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ED36F" w14:textId="77777777" w:rsidR="003F0237" w:rsidRDefault="003F0237" w:rsidP="00216AB8">
      <w:pPr>
        <w:pStyle w:val="AHPRADocumenttitle"/>
      </w:pPr>
      <w:bookmarkStart w:id="0" w:name="_GoBack"/>
      <w:bookmarkEnd w:id="0"/>
    </w:p>
    <w:p w14:paraId="00E806EE" w14:textId="2E33A006" w:rsidR="00950278" w:rsidRPr="00C3795C" w:rsidRDefault="00950278" w:rsidP="00216AB8">
      <w:pPr>
        <w:pStyle w:val="AHPRADocumenttitle"/>
      </w:pPr>
      <w:r>
        <w:rPr>
          <w:noProof/>
          <w:lang w:eastAsia="en-AU"/>
        </w:rPr>
        <mc:AlternateContent>
          <mc:Choice Requires="wps">
            <w:drawing>
              <wp:anchor distT="0" distB="0" distL="114300" distR="114300" simplePos="0" relativeHeight="251658240" behindDoc="0" locked="0" layoutInCell="1" allowOverlap="1" wp14:anchorId="221BAB2C" wp14:editId="42E9E6F6">
                <wp:simplePos x="0" y="0"/>
                <wp:positionH relativeFrom="column">
                  <wp:posOffset>-802005</wp:posOffset>
                </wp:positionH>
                <wp:positionV relativeFrom="paragraph">
                  <wp:posOffset>462915</wp:posOffset>
                </wp:positionV>
                <wp:extent cx="41760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33B437" id="_x0000_t32" coordsize="21600,21600" o:spt="32" o:oned="t" path="m,l21600,21600e" filled="f">
                <v:path arrowok="t" fillok="f" o:connecttype="none"/>
                <o:lock v:ext="edit" shapetype="t"/>
              </v:shapetype>
              <v:shape id="Straight Arrow Connector 2" o:spid="_x0000_s1026" type="#_x0000_t32" style="position:absolute;margin-left:-63.15pt;margin-top:36.45pt;width:32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HMuAEAAFYDAAAOAAAAZHJzL2Uyb0RvYy54bWysU8Fu2zAMvQ/YPwi6L7aDtd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"/>
            </w:pict>
          </mc:Fallback>
        </mc:AlternateContent>
      </w:r>
      <w:r>
        <w:t>Decision regulation impact statement</w:t>
      </w:r>
    </w:p>
    <w:p w14:paraId="605E82F2" w14:textId="77777777" w:rsidR="00950278" w:rsidRDefault="00950278" w:rsidP="00216AB8">
      <w:pPr>
        <w:outlineLvl w:val="0"/>
      </w:pPr>
    </w:p>
    <w:p w14:paraId="24D25762" w14:textId="77777777" w:rsidR="00950278" w:rsidRDefault="00950278" w:rsidP="00216AB8">
      <w:pPr>
        <w:pStyle w:val="AHPRADocumentsubheading"/>
      </w:pPr>
      <w:bookmarkStart w:id="1" w:name="_Toc149054765"/>
      <w:bookmarkStart w:id="2" w:name="_Toc149724015"/>
      <w:bookmarkStart w:id="3" w:name="_Toc149724590"/>
      <w:bookmarkStart w:id="4" w:name="_Toc149724991"/>
      <w:bookmarkStart w:id="5" w:name="_Toc164688860"/>
      <w:bookmarkStart w:id="6" w:name="_Toc164692690"/>
      <w:r>
        <w:t>Registration standard: Endorsement for scheduled medicines −</w:t>
      </w:r>
      <w:r>
        <w:br/>
        <w:t>designated registered nurse prescriber</w:t>
      </w:r>
      <w:bookmarkEnd w:id="1"/>
      <w:bookmarkEnd w:id="2"/>
      <w:bookmarkEnd w:id="3"/>
      <w:bookmarkEnd w:id="4"/>
      <w:bookmarkEnd w:id="5"/>
      <w:bookmarkEnd w:id="6"/>
    </w:p>
    <w:p w14:paraId="346F04E6" w14:textId="16EF6FF0" w:rsidR="00950278" w:rsidRDefault="00950278" w:rsidP="00216AB8">
      <w:pPr>
        <w:outlineLvl w:val="0"/>
      </w:pPr>
    </w:p>
    <w:p w14:paraId="7AA60FF1" w14:textId="06955EED" w:rsidR="00004AB6" w:rsidRDefault="00004AB6" w:rsidP="00216AB8">
      <w:pPr>
        <w:outlineLvl w:val="0"/>
      </w:pPr>
    </w:p>
    <w:p w14:paraId="2B67509D" w14:textId="1B23FBC7" w:rsidR="00004AB6" w:rsidRDefault="00004AB6" w:rsidP="00216AB8">
      <w:pPr>
        <w:outlineLvl w:val="0"/>
      </w:pPr>
    </w:p>
    <w:p w14:paraId="4E7EBC43" w14:textId="73B39003" w:rsidR="00004AB6" w:rsidRDefault="00004AB6" w:rsidP="00216AB8">
      <w:pPr>
        <w:outlineLvl w:val="0"/>
      </w:pPr>
    </w:p>
    <w:p w14:paraId="4AA8A9F8" w14:textId="71CB3636" w:rsidR="00004AB6" w:rsidRDefault="00004AB6" w:rsidP="00216AB8">
      <w:pPr>
        <w:outlineLvl w:val="0"/>
      </w:pPr>
    </w:p>
    <w:p w14:paraId="1BEBA710" w14:textId="406E1BBD" w:rsidR="00004AB6" w:rsidRDefault="00004AB6" w:rsidP="00216AB8">
      <w:pPr>
        <w:outlineLvl w:val="0"/>
      </w:pPr>
    </w:p>
    <w:p w14:paraId="5B2B09F6" w14:textId="5F4D07A8" w:rsidR="00004AB6" w:rsidRDefault="00004AB6" w:rsidP="00216AB8">
      <w:pPr>
        <w:outlineLvl w:val="0"/>
      </w:pPr>
    </w:p>
    <w:p w14:paraId="292BAC9F" w14:textId="36E27F0F" w:rsidR="00004AB6" w:rsidRDefault="00004AB6" w:rsidP="00216AB8">
      <w:pPr>
        <w:outlineLvl w:val="0"/>
      </w:pPr>
    </w:p>
    <w:p w14:paraId="53448454" w14:textId="77777777" w:rsidR="00316C1C" w:rsidRDefault="00316C1C" w:rsidP="00216AB8">
      <w:pPr>
        <w:outlineLvl w:val="0"/>
      </w:pPr>
    </w:p>
    <w:p w14:paraId="0FC9F488" w14:textId="77777777" w:rsidR="00316C1C" w:rsidRPr="00074717" w:rsidRDefault="00316C1C" w:rsidP="00216AB8">
      <w:pPr>
        <w:outlineLvl w:val="0"/>
        <w:rPr>
          <w:color w:val="595959" w:themeColor="text1" w:themeTint="A6"/>
          <w:sz w:val="24"/>
          <w:szCs w:val="32"/>
        </w:rPr>
      </w:pPr>
      <w:r w:rsidRPr="00074717">
        <w:rPr>
          <w:color w:val="595959" w:themeColor="text1" w:themeTint="A6"/>
          <w:sz w:val="24"/>
          <w:szCs w:val="32"/>
        </w:rPr>
        <w:t>Office of Impact Analysis ID: OBPR22-03391</w:t>
      </w:r>
    </w:p>
    <w:p w14:paraId="1992AF6F" w14:textId="5FB63CDC" w:rsidR="00316C1C" w:rsidRPr="00316C1C" w:rsidRDefault="00DD6663" w:rsidP="00216AB8">
      <w:pPr>
        <w:outlineLvl w:val="0"/>
      </w:pPr>
      <w:r>
        <w:rPr>
          <w:color w:val="595959" w:themeColor="text1" w:themeTint="A6"/>
          <w:sz w:val="24"/>
          <w:szCs w:val="32"/>
        </w:rPr>
        <w:t>May</w:t>
      </w:r>
      <w:r w:rsidR="009D45BC">
        <w:rPr>
          <w:color w:val="595959" w:themeColor="text1" w:themeTint="A6"/>
          <w:sz w:val="24"/>
          <w:szCs w:val="32"/>
        </w:rPr>
        <w:t xml:space="preserve"> 2024</w:t>
      </w:r>
    </w:p>
    <w:p w14:paraId="768ACA90" w14:textId="77777777" w:rsidR="00AA52F2" w:rsidRDefault="00AA52F2" w:rsidP="00216AB8">
      <w:pPr>
        <w:pStyle w:val="AHPRADocumentsubheading"/>
      </w:pPr>
    </w:p>
    <w:p w14:paraId="3916E571" w14:textId="77777777" w:rsidR="00AA52F2" w:rsidRDefault="00AA52F2" w:rsidP="00216AB8">
      <w:pPr>
        <w:pStyle w:val="AHPRADocumentsubheading"/>
      </w:pPr>
    </w:p>
    <w:p w14:paraId="608D7667" w14:textId="77777777" w:rsidR="003F0237" w:rsidRDefault="00E21690" w:rsidP="001923E5">
      <w:pPr>
        <w:pStyle w:val="AHPRADocumentsubheading"/>
        <w:rPr>
          <w:noProof/>
        </w:rPr>
      </w:pPr>
      <w:r w:rsidRPr="00AA52F2">
        <w:br w:type="page"/>
      </w:r>
      <w:bookmarkStart w:id="7" w:name="_Toc149724016"/>
      <w:bookmarkStart w:id="8" w:name="_Toc149724591"/>
      <w:bookmarkStart w:id="9" w:name="_Toc164692691"/>
      <w:r w:rsidR="00EE6017">
        <w:lastRenderedPageBreak/>
        <w:t>Table of contents</w:t>
      </w:r>
      <w:bookmarkEnd w:id="7"/>
      <w:bookmarkEnd w:id="8"/>
      <w:bookmarkEnd w:id="9"/>
      <w:r w:rsidR="00E96291">
        <w:fldChar w:fldCharType="begin"/>
      </w:r>
      <w:r w:rsidR="00E96291">
        <w:instrText xml:space="preserve"> TOC \o "2-3" \h \z \t "Heading 1,1,AHPRA Document subheading,1,AHPRA Subheading,2,AHPRA Subheading level 2,3,Subtitle,1,Style AHPRA Document title + After:  0 pt,1" </w:instrText>
      </w:r>
      <w:r w:rsidR="00E96291">
        <w:fldChar w:fldCharType="separate"/>
      </w:r>
    </w:p>
    <w:p w14:paraId="59792D8B" w14:textId="2BE4890E" w:rsidR="003F0237" w:rsidRDefault="00AF325E">
      <w:pPr>
        <w:pStyle w:val="TOC1"/>
        <w:rPr>
          <w:rFonts w:asciiTheme="minorHAnsi" w:eastAsiaTheme="minorEastAsia" w:hAnsiTheme="minorHAnsi" w:cstheme="minorBidi"/>
          <w:b w:val="0"/>
          <w:color w:val="auto"/>
          <w:kern w:val="2"/>
          <w:sz w:val="22"/>
          <w:szCs w:val="22"/>
          <w:lang w:eastAsia="en-AU"/>
          <w14:ligatures w14:val="standardContextual"/>
        </w:rPr>
      </w:pPr>
      <w:hyperlink w:anchor="_Toc164692691" w:history="1">
        <w:r w:rsidR="003F0237" w:rsidRPr="003F4099">
          <w:rPr>
            <w:rStyle w:val="Hyperlink"/>
          </w:rPr>
          <w:t>Table of contents</w:t>
        </w:r>
        <w:r w:rsidR="003F0237">
          <w:rPr>
            <w:webHidden/>
          </w:rPr>
          <w:tab/>
        </w:r>
        <w:r w:rsidR="003F0237">
          <w:rPr>
            <w:webHidden/>
          </w:rPr>
          <w:fldChar w:fldCharType="begin"/>
        </w:r>
        <w:r w:rsidR="003F0237">
          <w:rPr>
            <w:webHidden/>
          </w:rPr>
          <w:instrText xml:space="preserve"> PAGEREF _Toc164692691 \h </w:instrText>
        </w:r>
        <w:r w:rsidR="003F0237">
          <w:rPr>
            <w:webHidden/>
          </w:rPr>
        </w:r>
        <w:r w:rsidR="003F0237">
          <w:rPr>
            <w:webHidden/>
          </w:rPr>
          <w:fldChar w:fldCharType="separate"/>
        </w:r>
        <w:r w:rsidR="00453DC1">
          <w:rPr>
            <w:webHidden/>
          </w:rPr>
          <w:t>2</w:t>
        </w:r>
        <w:r w:rsidR="003F0237">
          <w:rPr>
            <w:webHidden/>
          </w:rPr>
          <w:fldChar w:fldCharType="end"/>
        </w:r>
      </w:hyperlink>
    </w:p>
    <w:p w14:paraId="18D5120D" w14:textId="4012C0B2" w:rsidR="003F0237" w:rsidRDefault="00AF325E">
      <w:pPr>
        <w:pStyle w:val="TOC1"/>
        <w:rPr>
          <w:rFonts w:asciiTheme="minorHAnsi" w:eastAsiaTheme="minorEastAsia" w:hAnsiTheme="minorHAnsi" w:cstheme="minorBidi"/>
          <w:b w:val="0"/>
          <w:color w:val="auto"/>
          <w:kern w:val="2"/>
          <w:sz w:val="22"/>
          <w:szCs w:val="22"/>
          <w:lang w:eastAsia="en-AU"/>
          <w14:ligatures w14:val="standardContextual"/>
        </w:rPr>
      </w:pPr>
      <w:hyperlink w:anchor="_Toc164692692" w:history="1">
        <w:r w:rsidR="003F0237" w:rsidRPr="003F4099">
          <w:rPr>
            <w:rStyle w:val="Hyperlink"/>
          </w:rPr>
          <w:t>Acknowledgements</w:t>
        </w:r>
        <w:r w:rsidR="003F0237">
          <w:rPr>
            <w:webHidden/>
          </w:rPr>
          <w:tab/>
        </w:r>
        <w:r w:rsidR="003F0237">
          <w:rPr>
            <w:webHidden/>
          </w:rPr>
          <w:fldChar w:fldCharType="begin"/>
        </w:r>
        <w:r w:rsidR="003F0237">
          <w:rPr>
            <w:webHidden/>
          </w:rPr>
          <w:instrText xml:space="preserve"> PAGEREF _Toc164692692 \h </w:instrText>
        </w:r>
        <w:r w:rsidR="003F0237">
          <w:rPr>
            <w:webHidden/>
          </w:rPr>
        </w:r>
        <w:r w:rsidR="003F0237">
          <w:rPr>
            <w:webHidden/>
          </w:rPr>
          <w:fldChar w:fldCharType="separate"/>
        </w:r>
        <w:r w:rsidR="00453DC1">
          <w:rPr>
            <w:webHidden/>
          </w:rPr>
          <w:t>5</w:t>
        </w:r>
        <w:r w:rsidR="003F0237">
          <w:rPr>
            <w:webHidden/>
          </w:rPr>
          <w:fldChar w:fldCharType="end"/>
        </w:r>
      </w:hyperlink>
    </w:p>
    <w:p w14:paraId="41224D6C" w14:textId="3A15745A" w:rsidR="003F0237" w:rsidRDefault="00AF325E">
      <w:pPr>
        <w:pStyle w:val="TOC1"/>
        <w:rPr>
          <w:rFonts w:asciiTheme="minorHAnsi" w:eastAsiaTheme="minorEastAsia" w:hAnsiTheme="minorHAnsi" w:cstheme="minorBidi"/>
          <w:b w:val="0"/>
          <w:color w:val="auto"/>
          <w:kern w:val="2"/>
          <w:sz w:val="22"/>
          <w:szCs w:val="22"/>
          <w:lang w:eastAsia="en-AU"/>
          <w14:ligatures w14:val="standardContextual"/>
        </w:rPr>
      </w:pPr>
      <w:hyperlink w:anchor="_Toc164692693" w:history="1">
        <w:r w:rsidR="003F0237" w:rsidRPr="003F4099">
          <w:rPr>
            <w:rStyle w:val="Hyperlink"/>
          </w:rPr>
          <w:t>Introduction</w:t>
        </w:r>
        <w:r w:rsidR="003F0237">
          <w:rPr>
            <w:webHidden/>
          </w:rPr>
          <w:tab/>
        </w:r>
        <w:r w:rsidR="003F0237">
          <w:rPr>
            <w:webHidden/>
          </w:rPr>
          <w:fldChar w:fldCharType="begin"/>
        </w:r>
        <w:r w:rsidR="003F0237">
          <w:rPr>
            <w:webHidden/>
          </w:rPr>
          <w:instrText xml:space="preserve"> PAGEREF _Toc164692693 \h </w:instrText>
        </w:r>
        <w:r w:rsidR="003F0237">
          <w:rPr>
            <w:webHidden/>
          </w:rPr>
        </w:r>
        <w:r w:rsidR="003F0237">
          <w:rPr>
            <w:webHidden/>
          </w:rPr>
          <w:fldChar w:fldCharType="separate"/>
        </w:r>
        <w:r w:rsidR="00453DC1">
          <w:rPr>
            <w:webHidden/>
          </w:rPr>
          <w:t>6</w:t>
        </w:r>
        <w:r w:rsidR="003F0237">
          <w:rPr>
            <w:webHidden/>
          </w:rPr>
          <w:fldChar w:fldCharType="end"/>
        </w:r>
      </w:hyperlink>
    </w:p>
    <w:p w14:paraId="5C00F3C3" w14:textId="5694523D" w:rsidR="003F0237" w:rsidRDefault="00AF325E">
      <w:pPr>
        <w:pStyle w:val="TOC1"/>
        <w:rPr>
          <w:rFonts w:asciiTheme="minorHAnsi" w:eastAsiaTheme="minorEastAsia" w:hAnsiTheme="minorHAnsi" w:cstheme="minorBidi"/>
          <w:b w:val="0"/>
          <w:color w:val="auto"/>
          <w:kern w:val="2"/>
          <w:sz w:val="22"/>
          <w:szCs w:val="22"/>
          <w:lang w:eastAsia="en-AU"/>
          <w14:ligatures w14:val="standardContextual"/>
        </w:rPr>
      </w:pPr>
      <w:hyperlink w:anchor="_Toc164692694" w:history="1">
        <w:r w:rsidR="003F0237" w:rsidRPr="003F4099">
          <w:rPr>
            <w:rStyle w:val="Hyperlink"/>
          </w:rPr>
          <w:t>Background</w:t>
        </w:r>
        <w:r w:rsidR="003F0237">
          <w:rPr>
            <w:webHidden/>
          </w:rPr>
          <w:tab/>
        </w:r>
        <w:r w:rsidR="003F0237">
          <w:rPr>
            <w:webHidden/>
          </w:rPr>
          <w:fldChar w:fldCharType="begin"/>
        </w:r>
        <w:r w:rsidR="003F0237">
          <w:rPr>
            <w:webHidden/>
          </w:rPr>
          <w:instrText xml:space="preserve"> PAGEREF _Toc164692694 \h </w:instrText>
        </w:r>
        <w:r w:rsidR="003F0237">
          <w:rPr>
            <w:webHidden/>
          </w:rPr>
        </w:r>
        <w:r w:rsidR="003F0237">
          <w:rPr>
            <w:webHidden/>
          </w:rPr>
          <w:fldChar w:fldCharType="separate"/>
        </w:r>
        <w:r w:rsidR="00453DC1">
          <w:rPr>
            <w:webHidden/>
          </w:rPr>
          <w:t>8</w:t>
        </w:r>
        <w:r w:rsidR="003F0237">
          <w:rPr>
            <w:webHidden/>
          </w:rPr>
          <w:fldChar w:fldCharType="end"/>
        </w:r>
      </w:hyperlink>
    </w:p>
    <w:p w14:paraId="2B945D47" w14:textId="5FF8AB72"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695" w:history="1">
        <w:r w:rsidR="003F0237" w:rsidRPr="003F4099">
          <w:rPr>
            <w:rStyle w:val="Hyperlink"/>
            <w:noProof/>
          </w:rPr>
          <w:t>The role of the NMBA and the National Law</w:t>
        </w:r>
        <w:r w:rsidR="003F0237">
          <w:rPr>
            <w:noProof/>
            <w:webHidden/>
          </w:rPr>
          <w:tab/>
        </w:r>
        <w:r w:rsidR="003F0237">
          <w:rPr>
            <w:noProof/>
            <w:webHidden/>
          </w:rPr>
          <w:fldChar w:fldCharType="begin"/>
        </w:r>
        <w:r w:rsidR="003F0237">
          <w:rPr>
            <w:noProof/>
            <w:webHidden/>
          </w:rPr>
          <w:instrText xml:space="preserve"> PAGEREF _Toc164692695 \h </w:instrText>
        </w:r>
        <w:r w:rsidR="003F0237">
          <w:rPr>
            <w:noProof/>
            <w:webHidden/>
          </w:rPr>
        </w:r>
        <w:r w:rsidR="003F0237">
          <w:rPr>
            <w:noProof/>
            <w:webHidden/>
          </w:rPr>
          <w:fldChar w:fldCharType="separate"/>
        </w:r>
        <w:r w:rsidR="00453DC1">
          <w:rPr>
            <w:noProof/>
            <w:webHidden/>
          </w:rPr>
          <w:t>8</w:t>
        </w:r>
        <w:r w:rsidR="003F0237">
          <w:rPr>
            <w:noProof/>
            <w:webHidden/>
          </w:rPr>
          <w:fldChar w:fldCharType="end"/>
        </w:r>
      </w:hyperlink>
    </w:p>
    <w:p w14:paraId="75CB33AC" w14:textId="6CEA99E7"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696" w:history="1">
        <w:r w:rsidR="003F0237" w:rsidRPr="003F4099">
          <w:rPr>
            <w:rStyle w:val="Hyperlink"/>
            <w:noProof/>
          </w:rPr>
          <w:t>The role of registered nurses in primary care</w:t>
        </w:r>
        <w:r w:rsidR="003F0237">
          <w:rPr>
            <w:noProof/>
            <w:webHidden/>
          </w:rPr>
          <w:tab/>
        </w:r>
        <w:r w:rsidR="003F0237">
          <w:rPr>
            <w:noProof/>
            <w:webHidden/>
          </w:rPr>
          <w:fldChar w:fldCharType="begin"/>
        </w:r>
        <w:r w:rsidR="003F0237">
          <w:rPr>
            <w:noProof/>
            <w:webHidden/>
          </w:rPr>
          <w:instrText xml:space="preserve"> PAGEREF _Toc164692696 \h </w:instrText>
        </w:r>
        <w:r w:rsidR="003F0237">
          <w:rPr>
            <w:noProof/>
            <w:webHidden/>
          </w:rPr>
        </w:r>
        <w:r w:rsidR="003F0237">
          <w:rPr>
            <w:noProof/>
            <w:webHidden/>
          </w:rPr>
          <w:fldChar w:fldCharType="separate"/>
        </w:r>
        <w:r w:rsidR="00453DC1">
          <w:rPr>
            <w:noProof/>
            <w:webHidden/>
          </w:rPr>
          <w:t>8</w:t>
        </w:r>
        <w:r w:rsidR="003F0237">
          <w:rPr>
            <w:noProof/>
            <w:webHidden/>
          </w:rPr>
          <w:fldChar w:fldCharType="end"/>
        </w:r>
      </w:hyperlink>
    </w:p>
    <w:p w14:paraId="0F8A473F" w14:textId="684CDCC9"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697" w:history="1">
        <w:r w:rsidR="003F0237" w:rsidRPr="003F4099">
          <w:rPr>
            <w:rStyle w:val="Hyperlink"/>
            <w:noProof/>
          </w:rPr>
          <w:t>The role of registered nurses in our healthcare system</w:t>
        </w:r>
        <w:r w:rsidR="003F0237">
          <w:rPr>
            <w:noProof/>
            <w:webHidden/>
          </w:rPr>
          <w:tab/>
        </w:r>
        <w:r w:rsidR="003F0237">
          <w:rPr>
            <w:noProof/>
            <w:webHidden/>
          </w:rPr>
          <w:fldChar w:fldCharType="begin"/>
        </w:r>
        <w:r w:rsidR="003F0237">
          <w:rPr>
            <w:noProof/>
            <w:webHidden/>
          </w:rPr>
          <w:instrText xml:space="preserve"> PAGEREF _Toc164692697 \h </w:instrText>
        </w:r>
        <w:r w:rsidR="003F0237">
          <w:rPr>
            <w:noProof/>
            <w:webHidden/>
          </w:rPr>
        </w:r>
        <w:r w:rsidR="003F0237">
          <w:rPr>
            <w:noProof/>
            <w:webHidden/>
          </w:rPr>
          <w:fldChar w:fldCharType="separate"/>
        </w:r>
        <w:r w:rsidR="00453DC1">
          <w:rPr>
            <w:noProof/>
            <w:webHidden/>
          </w:rPr>
          <w:t>9</w:t>
        </w:r>
        <w:r w:rsidR="003F0237">
          <w:rPr>
            <w:noProof/>
            <w:webHidden/>
          </w:rPr>
          <w:fldChar w:fldCharType="end"/>
        </w:r>
      </w:hyperlink>
    </w:p>
    <w:p w14:paraId="46DBF5CE" w14:textId="259D2CB6"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698" w:history="1">
        <w:r w:rsidR="003F0237" w:rsidRPr="003F4099">
          <w:rPr>
            <w:rStyle w:val="Hyperlink"/>
            <w:noProof/>
          </w:rPr>
          <w:t>Current prescribing landscape in Australia</w:t>
        </w:r>
        <w:r w:rsidR="003F0237">
          <w:rPr>
            <w:noProof/>
            <w:webHidden/>
          </w:rPr>
          <w:tab/>
        </w:r>
        <w:r w:rsidR="003F0237">
          <w:rPr>
            <w:noProof/>
            <w:webHidden/>
          </w:rPr>
          <w:fldChar w:fldCharType="begin"/>
        </w:r>
        <w:r w:rsidR="003F0237">
          <w:rPr>
            <w:noProof/>
            <w:webHidden/>
          </w:rPr>
          <w:instrText xml:space="preserve"> PAGEREF _Toc164692698 \h </w:instrText>
        </w:r>
        <w:r w:rsidR="003F0237">
          <w:rPr>
            <w:noProof/>
            <w:webHidden/>
          </w:rPr>
        </w:r>
        <w:r w:rsidR="003F0237">
          <w:rPr>
            <w:noProof/>
            <w:webHidden/>
          </w:rPr>
          <w:fldChar w:fldCharType="separate"/>
        </w:r>
        <w:r w:rsidR="00453DC1">
          <w:rPr>
            <w:noProof/>
            <w:webHidden/>
          </w:rPr>
          <w:t>9</w:t>
        </w:r>
        <w:r w:rsidR="003F0237">
          <w:rPr>
            <w:noProof/>
            <w:webHidden/>
          </w:rPr>
          <w:fldChar w:fldCharType="end"/>
        </w:r>
      </w:hyperlink>
    </w:p>
    <w:p w14:paraId="7F71C955" w14:textId="4FB6008B"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699" w:history="1">
        <w:r w:rsidR="003F0237" w:rsidRPr="003F4099">
          <w:rPr>
            <w:rStyle w:val="Hyperlink"/>
            <w:noProof/>
          </w:rPr>
          <w:t>Scheduled medicines</w:t>
        </w:r>
        <w:r w:rsidR="003F0237">
          <w:rPr>
            <w:noProof/>
            <w:webHidden/>
          </w:rPr>
          <w:tab/>
        </w:r>
        <w:r w:rsidR="003F0237">
          <w:rPr>
            <w:noProof/>
            <w:webHidden/>
          </w:rPr>
          <w:fldChar w:fldCharType="begin"/>
        </w:r>
        <w:r w:rsidR="003F0237">
          <w:rPr>
            <w:noProof/>
            <w:webHidden/>
          </w:rPr>
          <w:instrText xml:space="preserve"> PAGEREF _Toc164692699 \h </w:instrText>
        </w:r>
        <w:r w:rsidR="003F0237">
          <w:rPr>
            <w:noProof/>
            <w:webHidden/>
          </w:rPr>
        </w:r>
        <w:r w:rsidR="003F0237">
          <w:rPr>
            <w:noProof/>
            <w:webHidden/>
          </w:rPr>
          <w:fldChar w:fldCharType="separate"/>
        </w:r>
        <w:r w:rsidR="00453DC1">
          <w:rPr>
            <w:noProof/>
            <w:webHidden/>
          </w:rPr>
          <w:t>9</w:t>
        </w:r>
        <w:r w:rsidR="003F0237">
          <w:rPr>
            <w:noProof/>
            <w:webHidden/>
          </w:rPr>
          <w:fldChar w:fldCharType="end"/>
        </w:r>
      </w:hyperlink>
    </w:p>
    <w:p w14:paraId="4B45B87D" w14:textId="69AE2F4F"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00" w:history="1">
        <w:r w:rsidR="003F0237" w:rsidRPr="003F4099">
          <w:rPr>
            <w:rStyle w:val="Hyperlink"/>
            <w:noProof/>
          </w:rPr>
          <w:t>The medication management cycle</w:t>
        </w:r>
        <w:r w:rsidR="003F0237">
          <w:rPr>
            <w:noProof/>
            <w:webHidden/>
          </w:rPr>
          <w:tab/>
        </w:r>
        <w:r w:rsidR="003F0237">
          <w:rPr>
            <w:noProof/>
            <w:webHidden/>
          </w:rPr>
          <w:fldChar w:fldCharType="begin"/>
        </w:r>
        <w:r w:rsidR="003F0237">
          <w:rPr>
            <w:noProof/>
            <w:webHidden/>
          </w:rPr>
          <w:instrText xml:space="preserve"> PAGEREF _Toc164692700 \h </w:instrText>
        </w:r>
        <w:r w:rsidR="003F0237">
          <w:rPr>
            <w:noProof/>
            <w:webHidden/>
          </w:rPr>
        </w:r>
        <w:r w:rsidR="003F0237">
          <w:rPr>
            <w:noProof/>
            <w:webHidden/>
          </w:rPr>
          <w:fldChar w:fldCharType="separate"/>
        </w:r>
        <w:r w:rsidR="00453DC1">
          <w:rPr>
            <w:noProof/>
            <w:webHidden/>
          </w:rPr>
          <w:t>10</w:t>
        </w:r>
        <w:r w:rsidR="003F0237">
          <w:rPr>
            <w:noProof/>
            <w:webHidden/>
          </w:rPr>
          <w:fldChar w:fldCharType="end"/>
        </w:r>
      </w:hyperlink>
    </w:p>
    <w:p w14:paraId="4CC381EE" w14:textId="445E2C63"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01" w:history="1">
        <w:r w:rsidR="003F0237" w:rsidRPr="003F4099">
          <w:rPr>
            <w:rStyle w:val="Hyperlink"/>
            <w:noProof/>
          </w:rPr>
          <w:t>The Health Professionals Prescribing Pathway (HPPP)</w:t>
        </w:r>
        <w:r w:rsidR="003F0237">
          <w:rPr>
            <w:noProof/>
            <w:webHidden/>
          </w:rPr>
          <w:tab/>
        </w:r>
        <w:r w:rsidR="003F0237">
          <w:rPr>
            <w:noProof/>
            <w:webHidden/>
          </w:rPr>
          <w:fldChar w:fldCharType="begin"/>
        </w:r>
        <w:r w:rsidR="003F0237">
          <w:rPr>
            <w:noProof/>
            <w:webHidden/>
          </w:rPr>
          <w:instrText xml:space="preserve"> PAGEREF _Toc164692701 \h </w:instrText>
        </w:r>
        <w:r w:rsidR="003F0237">
          <w:rPr>
            <w:noProof/>
            <w:webHidden/>
          </w:rPr>
        </w:r>
        <w:r w:rsidR="003F0237">
          <w:rPr>
            <w:noProof/>
            <w:webHidden/>
          </w:rPr>
          <w:fldChar w:fldCharType="separate"/>
        </w:r>
        <w:r w:rsidR="00453DC1">
          <w:rPr>
            <w:noProof/>
            <w:webHidden/>
          </w:rPr>
          <w:t>11</w:t>
        </w:r>
        <w:r w:rsidR="003F0237">
          <w:rPr>
            <w:noProof/>
            <w:webHidden/>
          </w:rPr>
          <w:fldChar w:fldCharType="end"/>
        </w:r>
      </w:hyperlink>
    </w:p>
    <w:p w14:paraId="035C5E3B" w14:textId="17369FCE"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02" w:history="1">
        <w:r w:rsidR="003F0237" w:rsidRPr="003F4099">
          <w:rPr>
            <w:rStyle w:val="Hyperlink"/>
            <w:noProof/>
          </w:rPr>
          <w:t>Models of RN prescribing in Australia</w:t>
        </w:r>
        <w:r w:rsidR="003F0237">
          <w:rPr>
            <w:noProof/>
            <w:webHidden/>
          </w:rPr>
          <w:tab/>
        </w:r>
        <w:r w:rsidR="003F0237">
          <w:rPr>
            <w:noProof/>
            <w:webHidden/>
          </w:rPr>
          <w:fldChar w:fldCharType="begin"/>
        </w:r>
        <w:r w:rsidR="003F0237">
          <w:rPr>
            <w:noProof/>
            <w:webHidden/>
          </w:rPr>
          <w:instrText xml:space="preserve"> PAGEREF _Toc164692702 \h </w:instrText>
        </w:r>
        <w:r w:rsidR="003F0237">
          <w:rPr>
            <w:noProof/>
            <w:webHidden/>
          </w:rPr>
        </w:r>
        <w:r w:rsidR="003F0237">
          <w:rPr>
            <w:noProof/>
            <w:webHidden/>
          </w:rPr>
          <w:fldChar w:fldCharType="separate"/>
        </w:r>
        <w:r w:rsidR="00453DC1">
          <w:rPr>
            <w:noProof/>
            <w:webHidden/>
          </w:rPr>
          <w:t>12</w:t>
        </w:r>
        <w:r w:rsidR="003F0237">
          <w:rPr>
            <w:noProof/>
            <w:webHidden/>
          </w:rPr>
          <w:fldChar w:fldCharType="end"/>
        </w:r>
      </w:hyperlink>
    </w:p>
    <w:p w14:paraId="0997BDF3" w14:textId="22E10D14"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03" w:history="1">
        <w:r w:rsidR="003F0237" w:rsidRPr="003F4099">
          <w:rPr>
            <w:rStyle w:val="Hyperlink"/>
            <w:noProof/>
          </w:rPr>
          <w:t>International RN prescribing models</w:t>
        </w:r>
        <w:r w:rsidR="003F0237">
          <w:rPr>
            <w:noProof/>
            <w:webHidden/>
          </w:rPr>
          <w:tab/>
        </w:r>
        <w:r w:rsidR="003F0237">
          <w:rPr>
            <w:noProof/>
            <w:webHidden/>
          </w:rPr>
          <w:fldChar w:fldCharType="begin"/>
        </w:r>
        <w:r w:rsidR="003F0237">
          <w:rPr>
            <w:noProof/>
            <w:webHidden/>
          </w:rPr>
          <w:instrText xml:space="preserve"> PAGEREF _Toc164692703 \h </w:instrText>
        </w:r>
        <w:r w:rsidR="003F0237">
          <w:rPr>
            <w:noProof/>
            <w:webHidden/>
          </w:rPr>
        </w:r>
        <w:r w:rsidR="003F0237">
          <w:rPr>
            <w:noProof/>
            <w:webHidden/>
          </w:rPr>
          <w:fldChar w:fldCharType="separate"/>
        </w:r>
        <w:r w:rsidR="00453DC1">
          <w:rPr>
            <w:noProof/>
            <w:webHidden/>
          </w:rPr>
          <w:t>12</w:t>
        </w:r>
        <w:r w:rsidR="003F0237">
          <w:rPr>
            <w:noProof/>
            <w:webHidden/>
          </w:rPr>
          <w:fldChar w:fldCharType="end"/>
        </w:r>
      </w:hyperlink>
    </w:p>
    <w:p w14:paraId="1D5ED5D1" w14:textId="01BA5C82"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04" w:history="1">
        <w:r w:rsidR="003F0237" w:rsidRPr="003F4099">
          <w:rPr>
            <w:rStyle w:val="Hyperlink"/>
            <w:noProof/>
          </w:rPr>
          <w:t>International reviews of the literature related to RN prescribing</w:t>
        </w:r>
        <w:r w:rsidR="003F0237">
          <w:rPr>
            <w:noProof/>
            <w:webHidden/>
          </w:rPr>
          <w:tab/>
        </w:r>
        <w:r w:rsidR="003F0237">
          <w:rPr>
            <w:noProof/>
            <w:webHidden/>
          </w:rPr>
          <w:fldChar w:fldCharType="begin"/>
        </w:r>
        <w:r w:rsidR="003F0237">
          <w:rPr>
            <w:noProof/>
            <w:webHidden/>
          </w:rPr>
          <w:instrText xml:space="preserve"> PAGEREF _Toc164692704 \h </w:instrText>
        </w:r>
        <w:r w:rsidR="003F0237">
          <w:rPr>
            <w:noProof/>
            <w:webHidden/>
          </w:rPr>
        </w:r>
        <w:r w:rsidR="003F0237">
          <w:rPr>
            <w:noProof/>
            <w:webHidden/>
          </w:rPr>
          <w:fldChar w:fldCharType="separate"/>
        </w:r>
        <w:r w:rsidR="00453DC1">
          <w:rPr>
            <w:noProof/>
            <w:webHidden/>
          </w:rPr>
          <w:t>13</w:t>
        </w:r>
        <w:r w:rsidR="003F0237">
          <w:rPr>
            <w:noProof/>
            <w:webHidden/>
          </w:rPr>
          <w:fldChar w:fldCharType="end"/>
        </w:r>
      </w:hyperlink>
    </w:p>
    <w:p w14:paraId="5A3D71CA" w14:textId="5218BAFF" w:rsidR="003F0237" w:rsidRDefault="00AF325E">
      <w:pPr>
        <w:pStyle w:val="TOC1"/>
        <w:tabs>
          <w:tab w:val="left" w:pos="480"/>
        </w:tabs>
        <w:rPr>
          <w:rFonts w:asciiTheme="minorHAnsi" w:eastAsiaTheme="minorEastAsia" w:hAnsiTheme="minorHAnsi" w:cstheme="minorBidi"/>
          <w:b w:val="0"/>
          <w:color w:val="auto"/>
          <w:kern w:val="2"/>
          <w:sz w:val="22"/>
          <w:szCs w:val="22"/>
          <w:lang w:eastAsia="en-AU"/>
          <w14:ligatures w14:val="standardContextual"/>
        </w:rPr>
      </w:pPr>
      <w:hyperlink w:anchor="_Toc164692705" w:history="1">
        <w:r w:rsidR="003F0237" w:rsidRPr="003F4099">
          <w:rPr>
            <w:rStyle w:val="Hyperlink"/>
            <w:lang w:val="en-US" w:eastAsia="en-NZ"/>
          </w:rPr>
          <w:t>1.</w:t>
        </w:r>
        <w:r w:rsidR="003F0237">
          <w:rPr>
            <w:rFonts w:asciiTheme="minorHAnsi" w:eastAsiaTheme="minorEastAsia" w:hAnsiTheme="minorHAnsi" w:cstheme="minorBidi"/>
            <w:b w:val="0"/>
            <w:color w:val="auto"/>
            <w:kern w:val="2"/>
            <w:sz w:val="22"/>
            <w:szCs w:val="22"/>
            <w:lang w:eastAsia="en-AU"/>
            <w14:ligatures w14:val="standardContextual"/>
          </w:rPr>
          <w:tab/>
        </w:r>
        <w:r w:rsidR="003F0237" w:rsidRPr="003F4099">
          <w:rPr>
            <w:rStyle w:val="Hyperlink"/>
            <w:lang w:val="en-US" w:eastAsia="en-NZ"/>
          </w:rPr>
          <w:t>What is the problem we are trying to solve?</w:t>
        </w:r>
        <w:r w:rsidR="003F0237">
          <w:rPr>
            <w:webHidden/>
          </w:rPr>
          <w:tab/>
        </w:r>
        <w:r w:rsidR="003F0237">
          <w:rPr>
            <w:webHidden/>
          </w:rPr>
          <w:fldChar w:fldCharType="begin"/>
        </w:r>
        <w:r w:rsidR="003F0237">
          <w:rPr>
            <w:webHidden/>
          </w:rPr>
          <w:instrText xml:space="preserve"> PAGEREF _Toc164692705 \h </w:instrText>
        </w:r>
        <w:r w:rsidR="003F0237">
          <w:rPr>
            <w:webHidden/>
          </w:rPr>
        </w:r>
        <w:r w:rsidR="003F0237">
          <w:rPr>
            <w:webHidden/>
          </w:rPr>
          <w:fldChar w:fldCharType="separate"/>
        </w:r>
        <w:r w:rsidR="00453DC1">
          <w:rPr>
            <w:webHidden/>
          </w:rPr>
          <w:t>15</w:t>
        </w:r>
        <w:r w:rsidR="003F0237">
          <w:rPr>
            <w:webHidden/>
          </w:rPr>
          <w:fldChar w:fldCharType="end"/>
        </w:r>
      </w:hyperlink>
    </w:p>
    <w:p w14:paraId="02433B70" w14:textId="0D075CA9"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06" w:history="1">
        <w:r w:rsidR="003F0237" w:rsidRPr="003F4099">
          <w:rPr>
            <w:rStyle w:val="Hyperlink"/>
            <w:noProof/>
          </w:rPr>
          <w:t>Problem 1: Inequities across healthcare in rural, regional and remote communities</w:t>
        </w:r>
        <w:r w:rsidR="003F0237">
          <w:rPr>
            <w:noProof/>
            <w:webHidden/>
          </w:rPr>
          <w:tab/>
        </w:r>
        <w:r w:rsidR="003F0237">
          <w:rPr>
            <w:noProof/>
            <w:webHidden/>
          </w:rPr>
          <w:fldChar w:fldCharType="begin"/>
        </w:r>
        <w:r w:rsidR="003F0237">
          <w:rPr>
            <w:noProof/>
            <w:webHidden/>
          </w:rPr>
          <w:instrText xml:space="preserve"> PAGEREF _Toc164692706 \h </w:instrText>
        </w:r>
        <w:r w:rsidR="003F0237">
          <w:rPr>
            <w:noProof/>
            <w:webHidden/>
          </w:rPr>
        </w:r>
        <w:r w:rsidR="003F0237">
          <w:rPr>
            <w:noProof/>
            <w:webHidden/>
          </w:rPr>
          <w:fldChar w:fldCharType="separate"/>
        </w:r>
        <w:r w:rsidR="00453DC1">
          <w:rPr>
            <w:noProof/>
            <w:webHidden/>
          </w:rPr>
          <w:t>15</w:t>
        </w:r>
        <w:r w:rsidR="003F0237">
          <w:rPr>
            <w:noProof/>
            <w:webHidden/>
          </w:rPr>
          <w:fldChar w:fldCharType="end"/>
        </w:r>
      </w:hyperlink>
    </w:p>
    <w:p w14:paraId="684BDE20" w14:textId="6BA6BA65"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07" w:history="1">
        <w:r w:rsidR="003F0237" w:rsidRPr="003F4099">
          <w:rPr>
            <w:rStyle w:val="Hyperlink"/>
            <w:noProof/>
          </w:rPr>
          <w:t>Problem 2: Cultural and social inequities in healthcare</w:t>
        </w:r>
        <w:r w:rsidR="003F0237">
          <w:rPr>
            <w:noProof/>
            <w:webHidden/>
          </w:rPr>
          <w:tab/>
        </w:r>
        <w:r w:rsidR="003F0237">
          <w:rPr>
            <w:noProof/>
            <w:webHidden/>
          </w:rPr>
          <w:fldChar w:fldCharType="begin"/>
        </w:r>
        <w:r w:rsidR="003F0237">
          <w:rPr>
            <w:noProof/>
            <w:webHidden/>
          </w:rPr>
          <w:instrText xml:space="preserve"> PAGEREF _Toc164692707 \h </w:instrText>
        </w:r>
        <w:r w:rsidR="003F0237">
          <w:rPr>
            <w:noProof/>
            <w:webHidden/>
          </w:rPr>
        </w:r>
        <w:r w:rsidR="003F0237">
          <w:rPr>
            <w:noProof/>
            <w:webHidden/>
          </w:rPr>
          <w:fldChar w:fldCharType="separate"/>
        </w:r>
        <w:r w:rsidR="00453DC1">
          <w:rPr>
            <w:noProof/>
            <w:webHidden/>
          </w:rPr>
          <w:t>15</w:t>
        </w:r>
        <w:r w:rsidR="003F0237">
          <w:rPr>
            <w:noProof/>
            <w:webHidden/>
          </w:rPr>
          <w:fldChar w:fldCharType="end"/>
        </w:r>
      </w:hyperlink>
    </w:p>
    <w:p w14:paraId="4195526F" w14:textId="0371552B"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08" w:history="1">
        <w:r w:rsidR="003F0237" w:rsidRPr="003F4099">
          <w:rPr>
            <w:rStyle w:val="Hyperlink"/>
            <w:noProof/>
          </w:rPr>
          <w:t>Pr</w:t>
        </w:r>
        <w:r w:rsidR="003F0237" w:rsidRPr="003F4099">
          <w:rPr>
            <w:rStyle w:val="Hyperlink"/>
            <w:bCs/>
            <w:noProof/>
          </w:rPr>
          <w:t>oblem 3: An ageing population and the impacts for healthcare</w:t>
        </w:r>
        <w:r w:rsidR="003F0237">
          <w:rPr>
            <w:noProof/>
            <w:webHidden/>
          </w:rPr>
          <w:tab/>
        </w:r>
        <w:r w:rsidR="003F0237">
          <w:rPr>
            <w:noProof/>
            <w:webHidden/>
          </w:rPr>
          <w:fldChar w:fldCharType="begin"/>
        </w:r>
        <w:r w:rsidR="003F0237">
          <w:rPr>
            <w:noProof/>
            <w:webHidden/>
          </w:rPr>
          <w:instrText xml:space="preserve"> PAGEREF _Toc164692708 \h </w:instrText>
        </w:r>
        <w:r w:rsidR="003F0237">
          <w:rPr>
            <w:noProof/>
            <w:webHidden/>
          </w:rPr>
        </w:r>
        <w:r w:rsidR="003F0237">
          <w:rPr>
            <w:noProof/>
            <w:webHidden/>
          </w:rPr>
          <w:fldChar w:fldCharType="separate"/>
        </w:r>
        <w:r w:rsidR="00453DC1">
          <w:rPr>
            <w:noProof/>
            <w:webHidden/>
          </w:rPr>
          <w:t>15</w:t>
        </w:r>
        <w:r w:rsidR="003F0237">
          <w:rPr>
            <w:noProof/>
            <w:webHidden/>
          </w:rPr>
          <w:fldChar w:fldCharType="end"/>
        </w:r>
      </w:hyperlink>
    </w:p>
    <w:p w14:paraId="188850E1" w14:textId="132E7F88"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09" w:history="1">
        <w:r w:rsidR="003F0237" w:rsidRPr="003F4099">
          <w:rPr>
            <w:rStyle w:val="Hyperlink"/>
            <w:noProof/>
          </w:rPr>
          <w:t>Problem 4: The impacts of COVID-19 on the utilisation and access to healthcare services</w:t>
        </w:r>
        <w:r w:rsidR="003F0237">
          <w:rPr>
            <w:noProof/>
            <w:webHidden/>
          </w:rPr>
          <w:tab/>
        </w:r>
        <w:r w:rsidR="003F0237">
          <w:rPr>
            <w:noProof/>
            <w:webHidden/>
          </w:rPr>
          <w:fldChar w:fldCharType="begin"/>
        </w:r>
        <w:r w:rsidR="003F0237">
          <w:rPr>
            <w:noProof/>
            <w:webHidden/>
          </w:rPr>
          <w:instrText xml:space="preserve"> PAGEREF _Toc164692709 \h </w:instrText>
        </w:r>
        <w:r w:rsidR="003F0237">
          <w:rPr>
            <w:noProof/>
            <w:webHidden/>
          </w:rPr>
        </w:r>
        <w:r w:rsidR="003F0237">
          <w:rPr>
            <w:noProof/>
            <w:webHidden/>
          </w:rPr>
          <w:fldChar w:fldCharType="separate"/>
        </w:r>
        <w:r w:rsidR="00453DC1">
          <w:rPr>
            <w:noProof/>
            <w:webHidden/>
          </w:rPr>
          <w:t>16</w:t>
        </w:r>
        <w:r w:rsidR="003F0237">
          <w:rPr>
            <w:noProof/>
            <w:webHidden/>
          </w:rPr>
          <w:fldChar w:fldCharType="end"/>
        </w:r>
      </w:hyperlink>
    </w:p>
    <w:p w14:paraId="40939870" w14:textId="071300E0"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10" w:history="1">
        <w:r w:rsidR="003F0237" w:rsidRPr="003F4099">
          <w:rPr>
            <w:rStyle w:val="Hyperlink"/>
            <w:noProof/>
          </w:rPr>
          <w:t>Problem 5: Preventable hospitalisations</w:t>
        </w:r>
        <w:r w:rsidR="003F0237">
          <w:rPr>
            <w:noProof/>
            <w:webHidden/>
          </w:rPr>
          <w:tab/>
        </w:r>
        <w:r w:rsidR="003F0237">
          <w:rPr>
            <w:noProof/>
            <w:webHidden/>
          </w:rPr>
          <w:fldChar w:fldCharType="begin"/>
        </w:r>
        <w:r w:rsidR="003F0237">
          <w:rPr>
            <w:noProof/>
            <w:webHidden/>
          </w:rPr>
          <w:instrText xml:space="preserve"> PAGEREF _Toc164692710 \h </w:instrText>
        </w:r>
        <w:r w:rsidR="003F0237">
          <w:rPr>
            <w:noProof/>
            <w:webHidden/>
          </w:rPr>
        </w:r>
        <w:r w:rsidR="003F0237">
          <w:rPr>
            <w:noProof/>
            <w:webHidden/>
          </w:rPr>
          <w:fldChar w:fldCharType="separate"/>
        </w:r>
        <w:r w:rsidR="00453DC1">
          <w:rPr>
            <w:noProof/>
            <w:webHidden/>
          </w:rPr>
          <w:t>17</w:t>
        </w:r>
        <w:r w:rsidR="003F0237">
          <w:rPr>
            <w:noProof/>
            <w:webHidden/>
          </w:rPr>
          <w:fldChar w:fldCharType="end"/>
        </w:r>
      </w:hyperlink>
    </w:p>
    <w:p w14:paraId="794BCC36" w14:textId="6F132473"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11" w:history="1">
        <w:r w:rsidR="003F0237" w:rsidRPr="003F4099">
          <w:rPr>
            <w:rStyle w:val="Hyperlink"/>
            <w:noProof/>
          </w:rPr>
          <w:t>Individuals affected by the problem of RNs not being able to prescribe</w:t>
        </w:r>
        <w:r w:rsidR="003F0237">
          <w:rPr>
            <w:noProof/>
            <w:webHidden/>
          </w:rPr>
          <w:tab/>
        </w:r>
        <w:r w:rsidR="003F0237">
          <w:rPr>
            <w:noProof/>
            <w:webHidden/>
          </w:rPr>
          <w:fldChar w:fldCharType="begin"/>
        </w:r>
        <w:r w:rsidR="003F0237">
          <w:rPr>
            <w:noProof/>
            <w:webHidden/>
          </w:rPr>
          <w:instrText xml:space="preserve"> PAGEREF _Toc164692711 \h </w:instrText>
        </w:r>
        <w:r w:rsidR="003F0237">
          <w:rPr>
            <w:noProof/>
            <w:webHidden/>
          </w:rPr>
        </w:r>
        <w:r w:rsidR="003F0237">
          <w:rPr>
            <w:noProof/>
            <w:webHidden/>
          </w:rPr>
          <w:fldChar w:fldCharType="separate"/>
        </w:r>
        <w:r w:rsidR="00453DC1">
          <w:rPr>
            <w:noProof/>
            <w:webHidden/>
          </w:rPr>
          <w:t>17</w:t>
        </w:r>
        <w:r w:rsidR="003F0237">
          <w:rPr>
            <w:noProof/>
            <w:webHidden/>
          </w:rPr>
          <w:fldChar w:fldCharType="end"/>
        </w:r>
      </w:hyperlink>
    </w:p>
    <w:p w14:paraId="6BE6376A" w14:textId="23B3B724" w:rsidR="003F0237" w:rsidRDefault="00AF325E">
      <w:pPr>
        <w:pStyle w:val="TOC1"/>
        <w:tabs>
          <w:tab w:val="left" w:pos="480"/>
        </w:tabs>
        <w:rPr>
          <w:rFonts w:asciiTheme="minorHAnsi" w:eastAsiaTheme="minorEastAsia" w:hAnsiTheme="minorHAnsi" w:cstheme="minorBidi"/>
          <w:b w:val="0"/>
          <w:color w:val="auto"/>
          <w:kern w:val="2"/>
          <w:sz w:val="22"/>
          <w:szCs w:val="22"/>
          <w:lang w:eastAsia="en-AU"/>
          <w14:ligatures w14:val="standardContextual"/>
        </w:rPr>
      </w:pPr>
      <w:hyperlink w:anchor="_Toc164692712" w:history="1">
        <w:r w:rsidR="003F0237" w:rsidRPr="003F4099">
          <w:rPr>
            <w:rStyle w:val="Hyperlink"/>
          </w:rPr>
          <w:t>2.</w:t>
        </w:r>
        <w:r w:rsidR="003F0237">
          <w:rPr>
            <w:rFonts w:asciiTheme="minorHAnsi" w:eastAsiaTheme="minorEastAsia" w:hAnsiTheme="minorHAnsi" w:cstheme="minorBidi"/>
            <w:b w:val="0"/>
            <w:color w:val="auto"/>
            <w:kern w:val="2"/>
            <w:sz w:val="22"/>
            <w:szCs w:val="22"/>
            <w:lang w:eastAsia="en-AU"/>
            <w14:ligatures w14:val="standardContextual"/>
          </w:rPr>
          <w:tab/>
        </w:r>
        <w:r w:rsidR="003F0237" w:rsidRPr="003F4099">
          <w:rPr>
            <w:rStyle w:val="Hyperlink"/>
          </w:rPr>
          <w:t>Why is Government action needed?</w:t>
        </w:r>
        <w:r w:rsidR="003F0237">
          <w:rPr>
            <w:webHidden/>
          </w:rPr>
          <w:tab/>
        </w:r>
        <w:r w:rsidR="003F0237">
          <w:rPr>
            <w:webHidden/>
          </w:rPr>
          <w:fldChar w:fldCharType="begin"/>
        </w:r>
        <w:r w:rsidR="003F0237">
          <w:rPr>
            <w:webHidden/>
          </w:rPr>
          <w:instrText xml:space="preserve"> PAGEREF _Toc164692712 \h </w:instrText>
        </w:r>
        <w:r w:rsidR="003F0237">
          <w:rPr>
            <w:webHidden/>
          </w:rPr>
        </w:r>
        <w:r w:rsidR="003F0237">
          <w:rPr>
            <w:webHidden/>
          </w:rPr>
          <w:fldChar w:fldCharType="separate"/>
        </w:r>
        <w:r w:rsidR="00453DC1">
          <w:rPr>
            <w:webHidden/>
          </w:rPr>
          <w:t>20</w:t>
        </w:r>
        <w:r w:rsidR="003F0237">
          <w:rPr>
            <w:webHidden/>
          </w:rPr>
          <w:fldChar w:fldCharType="end"/>
        </w:r>
      </w:hyperlink>
    </w:p>
    <w:p w14:paraId="79E8CAD3" w14:textId="6400EC23" w:rsidR="003F0237" w:rsidRDefault="00AF325E">
      <w:pPr>
        <w:pStyle w:val="TOC1"/>
        <w:tabs>
          <w:tab w:val="left" w:pos="480"/>
        </w:tabs>
        <w:rPr>
          <w:rFonts w:asciiTheme="minorHAnsi" w:eastAsiaTheme="minorEastAsia" w:hAnsiTheme="minorHAnsi" w:cstheme="minorBidi"/>
          <w:b w:val="0"/>
          <w:color w:val="auto"/>
          <w:kern w:val="2"/>
          <w:sz w:val="22"/>
          <w:szCs w:val="22"/>
          <w:lang w:eastAsia="en-AU"/>
          <w14:ligatures w14:val="standardContextual"/>
        </w:rPr>
      </w:pPr>
      <w:hyperlink w:anchor="_Toc164692713" w:history="1">
        <w:r w:rsidR="003F0237" w:rsidRPr="003F4099">
          <w:rPr>
            <w:rStyle w:val="Hyperlink"/>
          </w:rPr>
          <w:t>3.</w:t>
        </w:r>
        <w:r w:rsidR="003F0237">
          <w:rPr>
            <w:rFonts w:asciiTheme="minorHAnsi" w:eastAsiaTheme="minorEastAsia" w:hAnsiTheme="minorHAnsi" w:cstheme="minorBidi"/>
            <w:b w:val="0"/>
            <w:color w:val="auto"/>
            <w:kern w:val="2"/>
            <w:sz w:val="22"/>
            <w:szCs w:val="22"/>
            <w:lang w:eastAsia="en-AU"/>
            <w14:ligatures w14:val="standardContextual"/>
          </w:rPr>
          <w:tab/>
        </w:r>
        <w:r w:rsidR="003F0237" w:rsidRPr="003F4099">
          <w:rPr>
            <w:rStyle w:val="Hyperlink"/>
          </w:rPr>
          <w:t>What policy options are you considering?</w:t>
        </w:r>
        <w:r w:rsidR="003F0237">
          <w:rPr>
            <w:webHidden/>
          </w:rPr>
          <w:tab/>
        </w:r>
        <w:r w:rsidR="003F0237">
          <w:rPr>
            <w:webHidden/>
          </w:rPr>
          <w:fldChar w:fldCharType="begin"/>
        </w:r>
        <w:r w:rsidR="003F0237">
          <w:rPr>
            <w:webHidden/>
          </w:rPr>
          <w:instrText xml:space="preserve"> PAGEREF _Toc164692713 \h </w:instrText>
        </w:r>
        <w:r w:rsidR="003F0237">
          <w:rPr>
            <w:webHidden/>
          </w:rPr>
        </w:r>
        <w:r w:rsidR="003F0237">
          <w:rPr>
            <w:webHidden/>
          </w:rPr>
          <w:fldChar w:fldCharType="separate"/>
        </w:r>
        <w:r w:rsidR="00453DC1">
          <w:rPr>
            <w:webHidden/>
          </w:rPr>
          <w:t>23</w:t>
        </w:r>
        <w:r w:rsidR="003F0237">
          <w:rPr>
            <w:webHidden/>
          </w:rPr>
          <w:fldChar w:fldCharType="end"/>
        </w:r>
      </w:hyperlink>
    </w:p>
    <w:p w14:paraId="72BA0174" w14:textId="6B3C4F16"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14" w:history="1">
        <w:r w:rsidR="003F0237" w:rsidRPr="003F4099">
          <w:rPr>
            <w:rStyle w:val="Hyperlink"/>
            <w:noProof/>
          </w:rPr>
          <w:t>3.1 Option 1 – Retain the status quo</w:t>
        </w:r>
        <w:r w:rsidR="003F0237">
          <w:rPr>
            <w:noProof/>
            <w:webHidden/>
          </w:rPr>
          <w:tab/>
        </w:r>
        <w:r w:rsidR="003F0237">
          <w:rPr>
            <w:noProof/>
            <w:webHidden/>
          </w:rPr>
          <w:fldChar w:fldCharType="begin"/>
        </w:r>
        <w:r w:rsidR="003F0237">
          <w:rPr>
            <w:noProof/>
            <w:webHidden/>
          </w:rPr>
          <w:instrText xml:space="preserve"> PAGEREF _Toc164692714 \h </w:instrText>
        </w:r>
        <w:r w:rsidR="003F0237">
          <w:rPr>
            <w:noProof/>
            <w:webHidden/>
          </w:rPr>
        </w:r>
        <w:r w:rsidR="003F0237">
          <w:rPr>
            <w:noProof/>
            <w:webHidden/>
          </w:rPr>
          <w:fldChar w:fldCharType="separate"/>
        </w:r>
        <w:r w:rsidR="00453DC1">
          <w:rPr>
            <w:noProof/>
            <w:webHidden/>
          </w:rPr>
          <w:t>23</w:t>
        </w:r>
        <w:r w:rsidR="003F0237">
          <w:rPr>
            <w:noProof/>
            <w:webHidden/>
          </w:rPr>
          <w:fldChar w:fldCharType="end"/>
        </w:r>
      </w:hyperlink>
    </w:p>
    <w:p w14:paraId="64D6A245" w14:textId="02E12AEA"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15" w:history="1">
        <w:r w:rsidR="003F0237" w:rsidRPr="003F4099">
          <w:rPr>
            <w:rStyle w:val="Hyperlink"/>
            <w:noProof/>
          </w:rPr>
          <w:t>3.2 Option 2 – RNs expand their scope of practice to prescribe Schedule 2, 3, 4 and 8 medicines under supervision, in accordance with governance frameworks and prescribing agreements.</w:t>
        </w:r>
        <w:r w:rsidR="003F0237">
          <w:rPr>
            <w:noProof/>
            <w:webHidden/>
          </w:rPr>
          <w:tab/>
        </w:r>
        <w:r w:rsidR="003F0237">
          <w:rPr>
            <w:noProof/>
            <w:webHidden/>
          </w:rPr>
          <w:fldChar w:fldCharType="begin"/>
        </w:r>
        <w:r w:rsidR="003F0237">
          <w:rPr>
            <w:noProof/>
            <w:webHidden/>
          </w:rPr>
          <w:instrText xml:space="preserve"> PAGEREF _Toc164692715 \h </w:instrText>
        </w:r>
        <w:r w:rsidR="003F0237">
          <w:rPr>
            <w:noProof/>
            <w:webHidden/>
          </w:rPr>
        </w:r>
        <w:r w:rsidR="003F0237">
          <w:rPr>
            <w:noProof/>
            <w:webHidden/>
          </w:rPr>
          <w:fldChar w:fldCharType="separate"/>
        </w:r>
        <w:r w:rsidR="00453DC1">
          <w:rPr>
            <w:noProof/>
            <w:webHidden/>
          </w:rPr>
          <w:t>23</w:t>
        </w:r>
        <w:r w:rsidR="003F0237">
          <w:rPr>
            <w:noProof/>
            <w:webHidden/>
          </w:rPr>
          <w:fldChar w:fldCharType="end"/>
        </w:r>
      </w:hyperlink>
    </w:p>
    <w:p w14:paraId="191C16E6" w14:textId="68A825D9"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16" w:history="1">
        <w:r w:rsidR="003F0237" w:rsidRPr="003F4099">
          <w:rPr>
            <w:rStyle w:val="Hyperlink"/>
            <w:noProof/>
          </w:rPr>
          <w:t>3.3 Option 2a – Enable RNs to expand their scope of practice to prescribe Schedule 2, 3, and 4 medicines</w:t>
        </w:r>
        <w:r w:rsidR="003F0237">
          <w:rPr>
            <w:noProof/>
            <w:webHidden/>
          </w:rPr>
          <w:tab/>
        </w:r>
        <w:r w:rsidR="003F0237">
          <w:rPr>
            <w:noProof/>
            <w:webHidden/>
          </w:rPr>
          <w:fldChar w:fldCharType="begin"/>
        </w:r>
        <w:r w:rsidR="003F0237">
          <w:rPr>
            <w:noProof/>
            <w:webHidden/>
          </w:rPr>
          <w:instrText xml:space="preserve"> PAGEREF _Toc164692716 \h </w:instrText>
        </w:r>
        <w:r w:rsidR="003F0237">
          <w:rPr>
            <w:noProof/>
            <w:webHidden/>
          </w:rPr>
        </w:r>
        <w:r w:rsidR="003F0237">
          <w:rPr>
            <w:noProof/>
            <w:webHidden/>
          </w:rPr>
          <w:fldChar w:fldCharType="separate"/>
        </w:r>
        <w:r w:rsidR="00453DC1">
          <w:rPr>
            <w:noProof/>
            <w:webHidden/>
          </w:rPr>
          <w:t>24</w:t>
        </w:r>
        <w:r w:rsidR="003F0237">
          <w:rPr>
            <w:noProof/>
            <w:webHidden/>
          </w:rPr>
          <w:fldChar w:fldCharType="end"/>
        </w:r>
      </w:hyperlink>
    </w:p>
    <w:p w14:paraId="65A72342" w14:textId="2244BBA4"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17" w:history="1">
        <w:r w:rsidR="003F0237" w:rsidRPr="003F4099">
          <w:rPr>
            <w:rStyle w:val="Hyperlink"/>
            <w:noProof/>
          </w:rPr>
          <w:t>3.4 Option 2b – Enable RNs to expand their scope of practice to prescribe Schedule 2, 3, 4 and 8 medicines only under designation/supervision except for RNs working in private practice or as a sole practitioner</w:t>
        </w:r>
        <w:r w:rsidR="003F0237">
          <w:rPr>
            <w:noProof/>
            <w:webHidden/>
          </w:rPr>
          <w:tab/>
        </w:r>
        <w:r w:rsidR="003F0237">
          <w:rPr>
            <w:noProof/>
            <w:webHidden/>
          </w:rPr>
          <w:fldChar w:fldCharType="begin"/>
        </w:r>
        <w:r w:rsidR="003F0237">
          <w:rPr>
            <w:noProof/>
            <w:webHidden/>
          </w:rPr>
          <w:instrText xml:space="preserve"> PAGEREF _Toc164692717 \h </w:instrText>
        </w:r>
        <w:r w:rsidR="003F0237">
          <w:rPr>
            <w:noProof/>
            <w:webHidden/>
          </w:rPr>
        </w:r>
        <w:r w:rsidR="003F0237">
          <w:rPr>
            <w:noProof/>
            <w:webHidden/>
          </w:rPr>
          <w:fldChar w:fldCharType="separate"/>
        </w:r>
        <w:r w:rsidR="00453DC1">
          <w:rPr>
            <w:noProof/>
            <w:webHidden/>
          </w:rPr>
          <w:t>24</w:t>
        </w:r>
        <w:r w:rsidR="003F0237">
          <w:rPr>
            <w:noProof/>
            <w:webHidden/>
          </w:rPr>
          <w:fldChar w:fldCharType="end"/>
        </w:r>
      </w:hyperlink>
    </w:p>
    <w:p w14:paraId="58009389" w14:textId="2BB9424B" w:rsidR="003F0237" w:rsidRDefault="00AF325E">
      <w:pPr>
        <w:pStyle w:val="TOC1"/>
        <w:tabs>
          <w:tab w:val="left" w:pos="480"/>
        </w:tabs>
        <w:rPr>
          <w:rFonts w:asciiTheme="minorHAnsi" w:eastAsiaTheme="minorEastAsia" w:hAnsiTheme="minorHAnsi" w:cstheme="minorBidi"/>
          <w:b w:val="0"/>
          <w:color w:val="auto"/>
          <w:kern w:val="2"/>
          <w:sz w:val="22"/>
          <w:szCs w:val="22"/>
          <w:lang w:eastAsia="en-AU"/>
          <w14:ligatures w14:val="standardContextual"/>
        </w:rPr>
      </w:pPr>
      <w:hyperlink w:anchor="_Toc164692718" w:history="1">
        <w:r w:rsidR="003F0237" w:rsidRPr="003F4099">
          <w:rPr>
            <w:rStyle w:val="Hyperlink"/>
          </w:rPr>
          <w:t>4.</w:t>
        </w:r>
        <w:r w:rsidR="003F0237">
          <w:rPr>
            <w:rFonts w:asciiTheme="minorHAnsi" w:eastAsiaTheme="minorEastAsia" w:hAnsiTheme="minorHAnsi" w:cstheme="minorBidi"/>
            <w:b w:val="0"/>
            <w:color w:val="auto"/>
            <w:kern w:val="2"/>
            <w:sz w:val="22"/>
            <w:szCs w:val="22"/>
            <w:lang w:eastAsia="en-AU"/>
            <w14:ligatures w14:val="standardContextual"/>
          </w:rPr>
          <w:tab/>
        </w:r>
        <w:r w:rsidR="003F0237" w:rsidRPr="003F4099">
          <w:rPr>
            <w:rStyle w:val="Hyperlink"/>
          </w:rPr>
          <w:t>What is the likely net benefit of each option?</w:t>
        </w:r>
        <w:r w:rsidR="003F0237">
          <w:rPr>
            <w:webHidden/>
          </w:rPr>
          <w:tab/>
        </w:r>
        <w:r w:rsidR="003F0237">
          <w:rPr>
            <w:webHidden/>
          </w:rPr>
          <w:fldChar w:fldCharType="begin"/>
        </w:r>
        <w:r w:rsidR="003F0237">
          <w:rPr>
            <w:webHidden/>
          </w:rPr>
          <w:instrText xml:space="preserve"> PAGEREF _Toc164692718 \h </w:instrText>
        </w:r>
        <w:r w:rsidR="003F0237">
          <w:rPr>
            <w:webHidden/>
          </w:rPr>
        </w:r>
        <w:r w:rsidR="003F0237">
          <w:rPr>
            <w:webHidden/>
          </w:rPr>
          <w:fldChar w:fldCharType="separate"/>
        </w:r>
        <w:r w:rsidR="00453DC1">
          <w:rPr>
            <w:webHidden/>
          </w:rPr>
          <w:t>25</w:t>
        </w:r>
        <w:r w:rsidR="003F0237">
          <w:rPr>
            <w:webHidden/>
          </w:rPr>
          <w:fldChar w:fldCharType="end"/>
        </w:r>
      </w:hyperlink>
    </w:p>
    <w:p w14:paraId="2928D293" w14:textId="5C35E403" w:rsidR="003F0237" w:rsidRDefault="00AF325E">
      <w:pPr>
        <w:pStyle w:val="TOC1"/>
        <w:rPr>
          <w:rFonts w:asciiTheme="minorHAnsi" w:eastAsiaTheme="minorEastAsia" w:hAnsiTheme="minorHAnsi" w:cstheme="minorBidi"/>
          <w:b w:val="0"/>
          <w:color w:val="auto"/>
          <w:kern w:val="2"/>
          <w:sz w:val="22"/>
          <w:szCs w:val="22"/>
          <w:lang w:eastAsia="en-AU"/>
          <w14:ligatures w14:val="standardContextual"/>
        </w:rPr>
      </w:pPr>
      <w:hyperlink w:anchor="_Toc164692719" w:history="1">
        <w:r w:rsidR="003F0237" w:rsidRPr="003F4099">
          <w:rPr>
            <w:rStyle w:val="Hyperlink"/>
          </w:rPr>
          <w:t>4.1 Option 1 – Retain the status quo prescribing practice</w:t>
        </w:r>
        <w:r w:rsidR="003F0237">
          <w:rPr>
            <w:webHidden/>
          </w:rPr>
          <w:tab/>
        </w:r>
        <w:r w:rsidR="003F0237">
          <w:rPr>
            <w:webHidden/>
          </w:rPr>
          <w:fldChar w:fldCharType="begin"/>
        </w:r>
        <w:r w:rsidR="003F0237">
          <w:rPr>
            <w:webHidden/>
          </w:rPr>
          <w:instrText xml:space="preserve"> PAGEREF _Toc164692719 \h </w:instrText>
        </w:r>
        <w:r w:rsidR="003F0237">
          <w:rPr>
            <w:webHidden/>
          </w:rPr>
        </w:r>
        <w:r w:rsidR="003F0237">
          <w:rPr>
            <w:webHidden/>
          </w:rPr>
          <w:fldChar w:fldCharType="separate"/>
        </w:r>
        <w:r w:rsidR="00453DC1">
          <w:rPr>
            <w:webHidden/>
          </w:rPr>
          <w:t>25</w:t>
        </w:r>
        <w:r w:rsidR="003F0237">
          <w:rPr>
            <w:webHidden/>
          </w:rPr>
          <w:fldChar w:fldCharType="end"/>
        </w:r>
      </w:hyperlink>
    </w:p>
    <w:p w14:paraId="1E232925" w14:textId="34361908"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20" w:history="1">
        <w:r w:rsidR="003F0237" w:rsidRPr="003F4099">
          <w:rPr>
            <w:rStyle w:val="Hyperlink"/>
            <w:noProof/>
          </w:rPr>
          <w:t>Impacts to consumers</w:t>
        </w:r>
        <w:r w:rsidR="003F0237">
          <w:rPr>
            <w:noProof/>
            <w:webHidden/>
          </w:rPr>
          <w:tab/>
        </w:r>
        <w:r w:rsidR="003F0237">
          <w:rPr>
            <w:noProof/>
            <w:webHidden/>
          </w:rPr>
          <w:fldChar w:fldCharType="begin"/>
        </w:r>
        <w:r w:rsidR="003F0237">
          <w:rPr>
            <w:noProof/>
            <w:webHidden/>
          </w:rPr>
          <w:instrText xml:space="preserve"> PAGEREF _Toc164692720 \h </w:instrText>
        </w:r>
        <w:r w:rsidR="003F0237">
          <w:rPr>
            <w:noProof/>
            <w:webHidden/>
          </w:rPr>
        </w:r>
        <w:r w:rsidR="003F0237">
          <w:rPr>
            <w:noProof/>
            <w:webHidden/>
          </w:rPr>
          <w:fldChar w:fldCharType="separate"/>
        </w:r>
        <w:r w:rsidR="00453DC1">
          <w:rPr>
            <w:noProof/>
            <w:webHidden/>
          </w:rPr>
          <w:t>25</w:t>
        </w:r>
        <w:r w:rsidR="003F0237">
          <w:rPr>
            <w:noProof/>
            <w:webHidden/>
          </w:rPr>
          <w:fldChar w:fldCharType="end"/>
        </w:r>
      </w:hyperlink>
    </w:p>
    <w:p w14:paraId="45EE3ED1" w14:textId="1796551E"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21" w:history="1">
        <w:r w:rsidR="003F0237" w:rsidRPr="003F4099">
          <w:rPr>
            <w:rStyle w:val="Hyperlink"/>
            <w:noProof/>
          </w:rPr>
          <w:t>Costs of maintaining the status quo</w:t>
        </w:r>
        <w:r w:rsidR="003F0237">
          <w:rPr>
            <w:noProof/>
            <w:webHidden/>
          </w:rPr>
          <w:tab/>
        </w:r>
        <w:r w:rsidR="003F0237">
          <w:rPr>
            <w:noProof/>
            <w:webHidden/>
          </w:rPr>
          <w:fldChar w:fldCharType="begin"/>
        </w:r>
        <w:r w:rsidR="003F0237">
          <w:rPr>
            <w:noProof/>
            <w:webHidden/>
          </w:rPr>
          <w:instrText xml:space="preserve"> PAGEREF _Toc164692721 \h </w:instrText>
        </w:r>
        <w:r w:rsidR="003F0237">
          <w:rPr>
            <w:noProof/>
            <w:webHidden/>
          </w:rPr>
        </w:r>
        <w:r w:rsidR="003F0237">
          <w:rPr>
            <w:noProof/>
            <w:webHidden/>
          </w:rPr>
          <w:fldChar w:fldCharType="separate"/>
        </w:r>
        <w:r w:rsidR="00453DC1">
          <w:rPr>
            <w:noProof/>
            <w:webHidden/>
          </w:rPr>
          <w:t>25</w:t>
        </w:r>
        <w:r w:rsidR="003F0237">
          <w:rPr>
            <w:noProof/>
            <w:webHidden/>
          </w:rPr>
          <w:fldChar w:fldCharType="end"/>
        </w:r>
      </w:hyperlink>
    </w:p>
    <w:p w14:paraId="5FECB19D" w14:textId="6D087F18"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22" w:history="1">
        <w:r w:rsidR="003F0237" w:rsidRPr="003F4099">
          <w:rPr>
            <w:rStyle w:val="Hyperlink"/>
            <w:noProof/>
          </w:rPr>
          <w:t>Hospital admission costings</w:t>
        </w:r>
        <w:r w:rsidR="003F0237">
          <w:rPr>
            <w:noProof/>
            <w:webHidden/>
          </w:rPr>
          <w:tab/>
        </w:r>
        <w:r w:rsidR="003F0237">
          <w:rPr>
            <w:noProof/>
            <w:webHidden/>
          </w:rPr>
          <w:fldChar w:fldCharType="begin"/>
        </w:r>
        <w:r w:rsidR="003F0237">
          <w:rPr>
            <w:noProof/>
            <w:webHidden/>
          </w:rPr>
          <w:instrText xml:space="preserve"> PAGEREF _Toc164692722 \h </w:instrText>
        </w:r>
        <w:r w:rsidR="003F0237">
          <w:rPr>
            <w:noProof/>
            <w:webHidden/>
          </w:rPr>
        </w:r>
        <w:r w:rsidR="003F0237">
          <w:rPr>
            <w:noProof/>
            <w:webHidden/>
          </w:rPr>
          <w:fldChar w:fldCharType="separate"/>
        </w:r>
        <w:r w:rsidR="00453DC1">
          <w:rPr>
            <w:noProof/>
            <w:webHidden/>
          </w:rPr>
          <w:t>26</w:t>
        </w:r>
        <w:r w:rsidR="003F0237">
          <w:rPr>
            <w:noProof/>
            <w:webHidden/>
          </w:rPr>
          <w:fldChar w:fldCharType="end"/>
        </w:r>
      </w:hyperlink>
    </w:p>
    <w:p w14:paraId="1666BE23" w14:textId="058748E7"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23" w:history="1">
        <w:r w:rsidR="003F0237" w:rsidRPr="003F4099">
          <w:rPr>
            <w:rStyle w:val="Hyperlink"/>
            <w:noProof/>
          </w:rPr>
          <w:t>Table 1: Average cost of emergency department visit, hospitalisations and transfers for acute care</w:t>
        </w:r>
        <w:r w:rsidR="003F0237">
          <w:rPr>
            <w:noProof/>
            <w:webHidden/>
          </w:rPr>
          <w:tab/>
        </w:r>
        <w:r w:rsidR="003F0237">
          <w:rPr>
            <w:noProof/>
            <w:webHidden/>
          </w:rPr>
          <w:fldChar w:fldCharType="begin"/>
        </w:r>
        <w:r w:rsidR="003F0237">
          <w:rPr>
            <w:noProof/>
            <w:webHidden/>
          </w:rPr>
          <w:instrText xml:space="preserve"> PAGEREF _Toc164692723 \h </w:instrText>
        </w:r>
        <w:r w:rsidR="003F0237">
          <w:rPr>
            <w:noProof/>
            <w:webHidden/>
          </w:rPr>
        </w:r>
        <w:r w:rsidR="003F0237">
          <w:rPr>
            <w:noProof/>
            <w:webHidden/>
          </w:rPr>
          <w:fldChar w:fldCharType="separate"/>
        </w:r>
        <w:r w:rsidR="00453DC1">
          <w:rPr>
            <w:noProof/>
            <w:webHidden/>
          </w:rPr>
          <w:t>26</w:t>
        </w:r>
        <w:r w:rsidR="003F0237">
          <w:rPr>
            <w:noProof/>
            <w:webHidden/>
          </w:rPr>
          <w:fldChar w:fldCharType="end"/>
        </w:r>
      </w:hyperlink>
    </w:p>
    <w:p w14:paraId="7E98FFFB" w14:textId="7307CE76"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24" w:history="1">
        <w:r w:rsidR="003F0237" w:rsidRPr="003F4099">
          <w:rPr>
            <w:rStyle w:val="Hyperlink"/>
            <w:noProof/>
          </w:rPr>
          <w:t>Benefits of maintaining status quo</w:t>
        </w:r>
        <w:r w:rsidR="003F0237">
          <w:rPr>
            <w:noProof/>
            <w:webHidden/>
          </w:rPr>
          <w:tab/>
        </w:r>
        <w:r w:rsidR="003F0237">
          <w:rPr>
            <w:noProof/>
            <w:webHidden/>
          </w:rPr>
          <w:fldChar w:fldCharType="begin"/>
        </w:r>
        <w:r w:rsidR="003F0237">
          <w:rPr>
            <w:noProof/>
            <w:webHidden/>
          </w:rPr>
          <w:instrText xml:space="preserve"> PAGEREF _Toc164692724 \h </w:instrText>
        </w:r>
        <w:r w:rsidR="003F0237">
          <w:rPr>
            <w:noProof/>
            <w:webHidden/>
          </w:rPr>
        </w:r>
        <w:r w:rsidR="003F0237">
          <w:rPr>
            <w:noProof/>
            <w:webHidden/>
          </w:rPr>
          <w:fldChar w:fldCharType="separate"/>
        </w:r>
        <w:r w:rsidR="00453DC1">
          <w:rPr>
            <w:noProof/>
            <w:webHidden/>
          </w:rPr>
          <w:t>28</w:t>
        </w:r>
        <w:r w:rsidR="003F0237">
          <w:rPr>
            <w:noProof/>
            <w:webHidden/>
          </w:rPr>
          <w:fldChar w:fldCharType="end"/>
        </w:r>
      </w:hyperlink>
    </w:p>
    <w:p w14:paraId="4EA13406" w14:textId="475AACD3"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25" w:history="1">
        <w:r w:rsidR="003F0237" w:rsidRPr="003F4099">
          <w:rPr>
            <w:rStyle w:val="Hyperlink"/>
            <w:noProof/>
          </w:rPr>
          <w:t>4.2 Option 2 – RNs expand their scope of practice to prescribe Schedule 2, 3, 4 and 8 medicines under designation/supervision, in accordance with governance frameworks and prescribing agreements.</w:t>
        </w:r>
        <w:r w:rsidR="003F0237">
          <w:rPr>
            <w:noProof/>
            <w:webHidden/>
          </w:rPr>
          <w:tab/>
        </w:r>
        <w:r w:rsidR="003F0237">
          <w:rPr>
            <w:noProof/>
            <w:webHidden/>
          </w:rPr>
          <w:fldChar w:fldCharType="begin"/>
        </w:r>
        <w:r w:rsidR="003F0237">
          <w:rPr>
            <w:noProof/>
            <w:webHidden/>
          </w:rPr>
          <w:instrText xml:space="preserve"> PAGEREF _Toc164692725 \h </w:instrText>
        </w:r>
        <w:r w:rsidR="003F0237">
          <w:rPr>
            <w:noProof/>
            <w:webHidden/>
          </w:rPr>
        </w:r>
        <w:r w:rsidR="003F0237">
          <w:rPr>
            <w:noProof/>
            <w:webHidden/>
          </w:rPr>
          <w:fldChar w:fldCharType="separate"/>
        </w:r>
        <w:r w:rsidR="00453DC1">
          <w:rPr>
            <w:noProof/>
            <w:webHidden/>
          </w:rPr>
          <w:t>28</w:t>
        </w:r>
        <w:r w:rsidR="003F0237">
          <w:rPr>
            <w:noProof/>
            <w:webHidden/>
          </w:rPr>
          <w:fldChar w:fldCharType="end"/>
        </w:r>
      </w:hyperlink>
    </w:p>
    <w:p w14:paraId="19559D21" w14:textId="5DA949F0"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26" w:history="1">
        <w:r w:rsidR="003F0237" w:rsidRPr="003F4099">
          <w:rPr>
            <w:rStyle w:val="Hyperlink"/>
            <w:noProof/>
          </w:rPr>
          <w:t>Benefits of expanding the scope of practice of RNs to prescribe Schedule 2,3,4 and 8 medicines under supervision/designation</w:t>
        </w:r>
        <w:r w:rsidR="003F0237">
          <w:rPr>
            <w:noProof/>
            <w:webHidden/>
          </w:rPr>
          <w:tab/>
        </w:r>
        <w:r w:rsidR="003F0237">
          <w:rPr>
            <w:noProof/>
            <w:webHidden/>
          </w:rPr>
          <w:fldChar w:fldCharType="begin"/>
        </w:r>
        <w:r w:rsidR="003F0237">
          <w:rPr>
            <w:noProof/>
            <w:webHidden/>
          </w:rPr>
          <w:instrText xml:space="preserve"> PAGEREF _Toc164692726 \h </w:instrText>
        </w:r>
        <w:r w:rsidR="003F0237">
          <w:rPr>
            <w:noProof/>
            <w:webHidden/>
          </w:rPr>
        </w:r>
        <w:r w:rsidR="003F0237">
          <w:rPr>
            <w:noProof/>
            <w:webHidden/>
          </w:rPr>
          <w:fldChar w:fldCharType="separate"/>
        </w:r>
        <w:r w:rsidR="00453DC1">
          <w:rPr>
            <w:noProof/>
            <w:webHidden/>
          </w:rPr>
          <w:t>28</w:t>
        </w:r>
        <w:r w:rsidR="003F0237">
          <w:rPr>
            <w:noProof/>
            <w:webHidden/>
          </w:rPr>
          <w:fldChar w:fldCharType="end"/>
        </w:r>
      </w:hyperlink>
    </w:p>
    <w:p w14:paraId="0479B164" w14:textId="38A484F0"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27" w:history="1">
        <w:r w:rsidR="003F0237" w:rsidRPr="003F4099">
          <w:rPr>
            <w:rStyle w:val="Hyperlink"/>
            <w:noProof/>
          </w:rPr>
          <w:t>Cost benefit analysis</w:t>
        </w:r>
        <w:r w:rsidR="003F0237">
          <w:rPr>
            <w:noProof/>
            <w:webHidden/>
          </w:rPr>
          <w:tab/>
        </w:r>
        <w:r w:rsidR="003F0237">
          <w:rPr>
            <w:noProof/>
            <w:webHidden/>
          </w:rPr>
          <w:fldChar w:fldCharType="begin"/>
        </w:r>
        <w:r w:rsidR="003F0237">
          <w:rPr>
            <w:noProof/>
            <w:webHidden/>
          </w:rPr>
          <w:instrText xml:space="preserve"> PAGEREF _Toc164692727 \h </w:instrText>
        </w:r>
        <w:r w:rsidR="003F0237">
          <w:rPr>
            <w:noProof/>
            <w:webHidden/>
          </w:rPr>
        </w:r>
        <w:r w:rsidR="003F0237">
          <w:rPr>
            <w:noProof/>
            <w:webHidden/>
          </w:rPr>
          <w:fldChar w:fldCharType="separate"/>
        </w:r>
        <w:r w:rsidR="00453DC1">
          <w:rPr>
            <w:noProof/>
            <w:webHidden/>
          </w:rPr>
          <w:t>32</w:t>
        </w:r>
        <w:r w:rsidR="003F0237">
          <w:rPr>
            <w:noProof/>
            <w:webHidden/>
          </w:rPr>
          <w:fldChar w:fldCharType="end"/>
        </w:r>
      </w:hyperlink>
    </w:p>
    <w:p w14:paraId="4B96F7DC" w14:textId="236FC63D"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28" w:history="1">
        <w:r w:rsidR="003F0237" w:rsidRPr="003F4099">
          <w:rPr>
            <w:rStyle w:val="Hyperlink"/>
            <w:noProof/>
            <w:lang w:eastAsia="en-AU"/>
          </w:rPr>
          <w:t>Table 2: Potential a</w:t>
        </w:r>
        <w:r w:rsidR="003F0237" w:rsidRPr="003F4099">
          <w:rPr>
            <w:rStyle w:val="Hyperlink"/>
            <w:noProof/>
          </w:rPr>
          <w:t>voided costs of emergency department visit, hospitalisations and transfers for acute care</w:t>
        </w:r>
        <w:r w:rsidR="003F0237">
          <w:rPr>
            <w:noProof/>
            <w:webHidden/>
          </w:rPr>
          <w:tab/>
        </w:r>
        <w:r w:rsidR="003F0237">
          <w:rPr>
            <w:noProof/>
            <w:webHidden/>
          </w:rPr>
          <w:fldChar w:fldCharType="begin"/>
        </w:r>
        <w:r w:rsidR="003F0237">
          <w:rPr>
            <w:noProof/>
            <w:webHidden/>
          </w:rPr>
          <w:instrText xml:space="preserve"> PAGEREF _Toc164692728 \h </w:instrText>
        </w:r>
        <w:r w:rsidR="003F0237">
          <w:rPr>
            <w:noProof/>
            <w:webHidden/>
          </w:rPr>
        </w:r>
        <w:r w:rsidR="003F0237">
          <w:rPr>
            <w:noProof/>
            <w:webHidden/>
          </w:rPr>
          <w:fldChar w:fldCharType="separate"/>
        </w:r>
        <w:r w:rsidR="00453DC1">
          <w:rPr>
            <w:noProof/>
            <w:webHidden/>
          </w:rPr>
          <w:t>34</w:t>
        </w:r>
        <w:r w:rsidR="003F0237">
          <w:rPr>
            <w:noProof/>
            <w:webHidden/>
          </w:rPr>
          <w:fldChar w:fldCharType="end"/>
        </w:r>
      </w:hyperlink>
    </w:p>
    <w:p w14:paraId="79AF850A" w14:textId="428FC8A5"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29" w:history="1">
        <w:r w:rsidR="003F0237" w:rsidRPr="003F4099">
          <w:rPr>
            <w:rStyle w:val="Hyperlink"/>
            <w:noProof/>
          </w:rPr>
          <w:t>Table 3: Potential benefits</w:t>
        </w:r>
        <w:r w:rsidR="003F0237">
          <w:rPr>
            <w:noProof/>
            <w:webHidden/>
          </w:rPr>
          <w:tab/>
        </w:r>
        <w:r w:rsidR="003F0237">
          <w:rPr>
            <w:noProof/>
            <w:webHidden/>
          </w:rPr>
          <w:fldChar w:fldCharType="begin"/>
        </w:r>
        <w:r w:rsidR="003F0237">
          <w:rPr>
            <w:noProof/>
            <w:webHidden/>
          </w:rPr>
          <w:instrText xml:space="preserve"> PAGEREF _Toc164692729 \h </w:instrText>
        </w:r>
        <w:r w:rsidR="003F0237">
          <w:rPr>
            <w:noProof/>
            <w:webHidden/>
          </w:rPr>
        </w:r>
        <w:r w:rsidR="003F0237">
          <w:rPr>
            <w:noProof/>
            <w:webHidden/>
          </w:rPr>
          <w:fldChar w:fldCharType="separate"/>
        </w:r>
        <w:r w:rsidR="00453DC1">
          <w:rPr>
            <w:noProof/>
            <w:webHidden/>
          </w:rPr>
          <w:t>35</w:t>
        </w:r>
        <w:r w:rsidR="003F0237">
          <w:rPr>
            <w:noProof/>
            <w:webHidden/>
          </w:rPr>
          <w:fldChar w:fldCharType="end"/>
        </w:r>
      </w:hyperlink>
    </w:p>
    <w:p w14:paraId="5D8FD3D5" w14:textId="2D06FB24"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30" w:history="1">
        <w:r w:rsidR="003F0237" w:rsidRPr="003F4099">
          <w:rPr>
            <w:rStyle w:val="Hyperlink"/>
            <w:noProof/>
          </w:rPr>
          <w:t>Table 4: Potential costs</w:t>
        </w:r>
        <w:r w:rsidR="003F0237">
          <w:rPr>
            <w:noProof/>
            <w:webHidden/>
          </w:rPr>
          <w:tab/>
        </w:r>
        <w:r w:rsidR="003F0237">
          <w:rPr>
            <w:noProof/>
            <w:webHidden/>
          </w:rPr>
          <w:fldChar w:fldCharType="begin"/>
        </w:r>
        <w:r w:rsidR="003F0237">
          <w:rPr>
            <w:noProof/>
            <w:webHidden/>
          </w:rPr>
          <w:instrText xml:space="preserve"> PAGEREF _Toc164692730 \h </w:instrText>
        </w:r>
        <w:r w:rsidR="003F0237">
          <w:rPr>
            <w:noProof/>
            <w:webHidden/>
          </w:rPr>
        </w:r>
        <w:r w:rsidR="003F0237">
          <w:rPr>
            <w:noProof/>
            <w:webHidden/>
          </w:rPr>
          <w:fldChar w:fldCharType="separate"/>
        </w:r>
        <w:r w:rsidR="00453DC1">
          <w:rPr>
            <w:noProof/>
            <w:webHidden/>
          </w:rPr>
          <w:t>36</w:t>
        </w:r>
        <w:r w:rsidR="003F0237">
          <w:rPr>
            <w:noProof/>
            <w:webHidden/>
          </w:rPr>
          <w:fldChar w:fldCharType="end"/>
        </w:r>
      </w:hyperlink>
    </w:p>
    <w:p w14:paraId="71BE6E50" w14:textId="69E343AA"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31" w:history="1">
        <w:r w:rsidR="003F0237" w:rsidRPr="003F4099">
          <w:rPr>
            <w:rStyle w:val="Hyperlink"/>
            <w:noProof/>
          </w:rPr>
          <w:t>Further examples of where designated RN prescribing model may occur</w:t>
        </w:r>
        <w:r w:rsidR="003F0237">
          <w:rPr>
            <w:noProof/>
            <w:webHidden/>
          </w:rPr>
          <w:tab/>
        </w:r>
        <w:r w:rsidR="003F0237">
          <w:rPr>
            <w:noProof/>
            <w:webHidden/>
          </w:rPr>
          <w:fldChar w:fldCharType="begin"/>
        </w:r>
        <w:r w:rsidR="003F0237">
          <w:rPr>
            <w:noProof/>
            <w:webHidden/>
          </w:rPr>
          <w:instrText xml:space="preserve"> PAGEREF _Toc164692731 \h </w:instrText>
        </w:r>
        <w:r w:rsidR="003F0237">
          <w:rPr>
            <w:noProof/>
            <w:webHidden/>
          </w:rPr>
        </w:r>
        <w:r w:rsidR="003F0237">
          <w:rPr>
            <w:noProof/>
            <w:webHidden/>
          </w:rPr>
          <w:fldChar w:fldCharType="separate"/>
        </w:r>
        <w:r w:rsidR="00453DC1">
          <w:rPr>
            <w:noProof/>
            <w:webHidden/>
          </w:rPr>
          <w:t>36</w:t>
        </w:r>
        <w:r w:rsidR="003F0237">
          <w:rPr>
            <w:noProof/>
            <w:webHidden/>
          </w:rPr>
          <w:fldChar w:fldCharType="end"/>
        </w:r>
      </w:hyperlink>
    </w:p>
    <w:p w14:paraId="319AEE65" w14:textId="16954437"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32" w:history="1">
        <w:r w:rsidR="003F0237" w:rsidRPr="003F4099">
          <w:rPr>
            <w:rStyle w:val="Hyperlink"/>
            <w:noProof/>
          </w:rPr>
          <w:t>4.3 Option 2 (a): enable RNs to expand their scope of practice to prescribe Schedule 2, 3, and 4 medicines under designation/supervision, in accordance with governance frameworks and prescribing agreements.</w:t>
        </w:r>
        <w:r w:rsidR="003F0237">
          <w:rPr>
            <w:noProof/>
            <w:webHidden/>
          </w:rPr>
          <w:tab/>
        </w:r>
        <w:r w:rsidR="003F0237">
          <w:rPr>
            <w:noProof/>
            <w:webHidden/>
          </w:rPr>
          <w:fldChar w:fldCharType="begin"/>
        </w:r>
        <w:r w:rsidR="003F0237">
          <w:rPr>
            <w:noProof/>
            <w:webHidden/>
          </w:rPr>
          <w:instrText xml:space="preserve"> PAGEREF _Toc164692732 \h </w:instrText>
        </w:r>
        <w:r w:rsidR="003F0237">
          <w:rPr>
            <w:noProof/>
            <w:webHidden/>
          </w:rPr>
        </w:r>
        <w:r w:rsidR="003F0237">
          <w:rPr>
            <w:noProof/>
            <w:webHidden/>
          </w:rPr>
          <w:fldChar w:fldCharType="separate"/>
        </w:r>
        <w:r w:rsidR="00453DC1">
          <w:rPr>
            <w:noProof/>
            <w:webHidden/>
          </w:rPr>
          <w:t>37</w:t>
        </w:r>
        <w:r w:rsidR="003F0237">
          <w:rPr>
            <w:noProof/>
            <w:webHidden/>
          </w:rPr>
          <w:fldChar w:fldCharType="end"/>
        </w:r>
      </w:hyperlink>
    </w:p>
    <w:p w14:paraId="1FB871EF" w14:textId="3989F84B"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33" w:history="1">
        <w:r w:rsidR="003F0237" w:rsidRPr="003F4099">
          <w:rPr>
            <w:rStyle w:val="Hyperlink"/>
            <w:noProof/>
          </w:rPr>
          <w:t>4.4 Option 2 (b): enable RNs to expand their scope of practice to prescribe Schedule 2, 3, 4 and 8 medicines only under designation/supervision except for RNs working in private practice or as a sole practitioner</w:t>
        </w:r>
        <w:r w:rsidR="003F0237">
          <w:rPr>
            <w:noProof/>
            <w:webHidden/>
          </w:rPr>
          <w:tab/>
        </w:r>
        <w:r w:rsidR="003F0237">
          <w:rPr>
            <w:noProof/>
            <w:webHidden/>
          </w:rPr>
          <w:fldChar w:fldCharType="begin"/>
        </w:r>
        <w:r w:rsidR="003F0237">
          <w:rPr>
            <w:noProof/>
            <w:webHidden/>
          </w:rPr>
          <w:instrText xml:space="preserve"> PAGEREF _Toc164692733 \h </w:instrText>
        </w:r>
        <w:r w:rsidR="003F0237">
          <w:rPr>
            <w:noProof/>
            <w:webHidden/>
          </w:rPr>
        </w:r>
        <w:r w:rsidR="003F0237">
          <w:rPr>
            <w:noProof/>
            <w:webHidden/>
          </w:rPr>
          <w:fldChar w:fldCharType="separate"/>
        </w:r>
        <w:r w:rsidR="00453DC1">
          <w:rPr>
            <w:noProof/>
            <w:webHidden/>
          </w:rPr>
          <w:t>38</w:t>
        </w:r>
        <w:r w:rsidR="003F0237">
          <w:rPr>
            <w:noProof/>
            <w:webHidden/>
          </w:rPr>
          <w:fldChar w:fldCharType="end"/>
        </w:r>
      </w:hyperlink>
    </w:p>
    <w:p w14:paraId="01F79E1E" w14:textId="19669C7E" w:rsidR="003F0237" w:rsidRDefault="00AF325E">
      <w:pPr>
        <w:pStyle w:val="TOC1"/>
        <w:tabs>
          <w:tab w:val="left" w:pos="480"/>
        </w:tabs>
        <w:rPr>
          <w:rFonts w:asciiTheme="minorHAnsi" w:eastAsiaTheme="minorEastAsia" w:hAnsiTheme="minorHAnsi" w:cstheme="minorBidi"/>
          <w:b w:val="0"/>
          <w:color w:val="auto"/>
          <w:kern w:val="2"/>
          <w:sz w:val="22"/>
          <w:szCs w:val="22"/>
          <w:lang w:eastAsia="en-AU"/>
          <w14:ligatures w14:val="standardContextual"/>
        </w:rPr>
      </w:pPr>
      <w:hyperlink w:anchor="_Toc164692734" w:history="1">
        <w:r w:rsidR="003F0237" w:rsidRPr="003F4099">
          <w:rPr>
            <w:rStyle w:val="Hyperlink"/>
          </w:rPr>
          <w:t>5.</w:t>
        </w:r>
        <w:r w:rsidR="003F0237">
          <w:rPr>
            <w:rFonts w:asciiTheme="minorHAnsi" w:eastAsiaTheme="minorEastAsia" w:hAnsiTheme="minorHAnsi" w:cstheme="minorBidi"/>
            <w:b w:val="0"/>
            <w:color w:val="auto"/>
            <w:kern w:val="2"/>
            <w:sz w:val="22"/>
            <w:szCs w:val="22"/>
            <w:lang w:eastAsia="en-AU"/>
            <w14:ligatures w14:val="standardContextual"/>
          </w:rPr>
          <w:tab/>
        </w:r>
        <w:r w:rsidR="003F0237" w:rsidRPr="003F4099">
          <w:rPr>
            <w:rStyle w:val="Hyperlink"/>
          </w:rPr>
          <w:t>Who did you consult and how did you incorporate their feedback?</w:t>
        </w:r>
        <w:r w:rsidR="003F0237">
          <w:rPr>
            <w:webHidden/>
          </w:rPr>
          <w:tab/>
        </w:r>
        <w:r w:rsidR="003F0237">
          <w:rPr>
            <w:webHidden/>
          </w:rPr>
          <w:fldChar w:fldCharType="begin"/>
        </w:r>
        <w:r w:rsidR="003F0237">
          <w:rPr>
            <w:webHidden/>
          </w:rPr>
          <w:instrText xml:space="preserve"> PAGEREF _Toc164692734 \h </w:instrText>
        </w:r>
        <w:r w:rsidR="003F0237">
          <w:rPr>
            <w:webHidden/>
          </w:rPr>
        </w:r>
        <w:r w:rsidR="003F0237">
          <w:rPr>
            <w:webHidden/>
          </w:rPr>
          <w:fldChar w:fldCharType="separate"/>
        </w:r>
        <w:r w:rsidR="00453DC1">
          <w:rPr>
            <w:webHidden/>
          </w:rPr>
          <w:t>40</w:t>
        </w:r>
        <w:r w:rsidR="003F0237">
          <w:rPr>
            <w:webHidden/>
          </w:rPr>
          <w:fldChar w:fldCharType="end"/>
        </w:r>
      </w:hyperlink>
    </w:p>
    <w:p w14:paraId="13799288" w14:textId="3DC2F667"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35" w:history="1">
        <w:r w:rsidR="003F0237" w:rsidRPr="003F4099">
          <w:rPr>
            <w:rStyle w:val="Hyperlink"/>
            <w:noProof/>
          </w:rPr>
          <w:t>The consultation journey to date</w:t>
        </w:r>
        <w:r w:rsidR="003F0237">
          <w:rPr>
            <w:noProof/>
            <w:webHidden/>
          </w:rPr>
          <w:tab/>
        </w:r>
        <w:r w:rsidR="003F0237">
          <w:rPr>
            <w:noProof/>
            <w:webHidden/>
          </w:rPr>
          <w:fldChar w:fldCharType="begin"/>
        </w:r>
        <w:r w:rsidR="003F0237">
          <w:rPr>
            <w:noProof/>
            <w:webHidden/>
          </w:rPr>
          <w:instrText xml:space="preserve"> PAGEREF _Toc164692735 \h </w:instrText>
        </w:r>
        <w:r w:rsidR="003F0237">
          <w:rPr>
            <w:noProof/>
            <w:webHidden/>
          </w:rPr>
        </w:r>
        <w:r w:rsidR="003F0237">
          <w:rPr>
            <w:noProof/>
            <w:webHidden/>
          </w:rPr>
          <w:fldChar w:fldCharType="separate"/>
        </w:r>
        <w:r w:rsidR="00453DC1">
          <w:rPr>
            <w:noProof/>
            <w:webHidden/>
          </w:rPr>
          <w:t>40</w:t>
        </w:r>
        <w:r w:rsidR="003F0237">
          <w:rPr>
            <w:noProof/>
            <w:webHidden/>
          </w:rPr>
          <w:fldChar w:fldCharType="end"/>
        </w:r>
      </w:hyperlink>
    </w:p>
    <w:p w14:paraId="39F736A3" w14:textId="1F741A2F" w:rsidR="003F0237" w:rsidRDefault="00AF325E">
      <w:pPr>
        <w:pStyle w:val="TOC2"/>
        <w:rPr>
          <w:rFonts w:asciiTheme="minorHAnsi" w:eastAsiaTheme="minorEastAsia" w:hAnsiTheme="minorHAnsi" w:cstheme="minorBidi"/>
          <w:noProof/>
          <w:kern w:val="2"/>
          <w:sz w:val="22"/>
          <w:szCs w:val="22"/>
          <w:lang w:eastAsia="en-AU"/>
          <w14:ligatures w14:val="standardContextual"/>
        </w:rPr>
      </w:pPr>
      <w:hyperlink w:anchor="_Toc164692736" w:history="1">
        <w:r w:rsidR="003F0237" w:rsidRPr="003F4099">
          <w:rPr>
            <w:rStyle w:val="Hyperlink"/>
            <w:noProof/>
          </w:rPr>
          <w:t>Qualitative analysis of feedback to the consultation regulation impact statement</w:t>
        </w:r>
        <w:r w:rsidR="003F0237">
          <w:rPr>
            <w:noProof/>
            <w:webHidden/>
          </w:rPr>
          <w:tab/>
        </w:r>
        <w:r w:rsidR="003F0237">
          <w:rPr>
            <w:noProof/>
            <w:webHidden/>
          </w:rPr>
          <w:fldChar w:fldCharType="begin"/>
        </w:r>
        <w:r w:rsidR="003F0237">
          <w:rPr>
            <w:noProof/>
            <w:webHidden/>
          </w:rPr>
          <w:instrText xml:space="preserve"> PAGEREF _Toc164692736 \h </w:instrText>
        </w:r>
        <w:r w:rsidR="003F0237">
          <w:rPr>
            <w:noProof/>
            <w:webHidden/>
          </w:rPr>
        </w:r>
        <w:r w:rsidR="003F0237">
          <w:rPr>
            <w:noProof/>
            <w:webHidden/>
          </w:rPr>
          <w:fldChar w:fldCharType="separate"/>
        </w:r>
        <w:r w:rsidR="00453DC1">
          <w:rPr>
            <w:noProof/>
            <w:webHidden/>
          </w:rPr>
          <w:t>41</w:t>
        </w:r>
        <w:r w:rsidR="003F0237">
          <w:rPr>
            <w:noProof/>
            <w:webHidden/>
          </w:rPr>
          <w:fldChar w:fldCharType="end"/>
        </w:r>
      </w:hyperlink>
    </w:p>
    <w:p w14:paraId="5BF7E3C7" w14:textId="3268BA07"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37" w:history="1">
        <w:r w:rsidR="003F0237" w:rsidRPr="003F4099">
          <w:rPr>
            <w:rStyle w:val="Hyperlink"/>
            <w:noProof/>
          </w:rPr>
          <w:t>Qualitative findings: Problems identified in the C-RIS</w:t>
        </w:r>
        <w:r w:rsidR="003F0237">
          <w:rPr>
            <w:noProof/>
            <w:webHidden/>
          </w:rPr>
          <w:tab/>
        </w:r>
        <w:r w:rsidR="003F0237">
          <w:rPr>
            <w:noProof/>
            <w:webHidden/>
          </w:rPr>
          <w:fldChar w:fldCharType="begin"/>
        </w:r>
        <w:r w:rsidR="003F0237">
          <w:rPr>
            <w:noProof/>
            <w:webHidden/>
          </w:rPr>
          <w:instrText xml:space="preserve"> PAGEREF _Toc164692737 \h </w:instrText>
        </w:r>
        <w:r w:rsidR="003F0237">
          <w:rPr>
            <w:noProof/>
            <w:webHidden/>
          </w:rPr>
        </w:r>
        <w:r w:rsidR="003F0237">
          <w:rPr>
            <w:noProof/>
            <w:webHidden/>
          </w:rPr>
          <w:fldChar w:fldCharType="separate"/>
        </w:r>
        <w:r w:rsidR="00453DC1">
          <w:rPr>
            <w:noProof/>
            <w:webHidden/>
          </w:rPr>
          <w:t>41</w:t>
        </w:r>
        <w:r w:rsidR="003F0237">
          <w:rPr>
            <w:noProof/>
            <w:webHidden/>
          </w:rPr>
          <w:fldChar w:fldCharType="end"/>
        </w:r>
      </w:hyperlink>
    </w:p>
    <w:p w14:paraId="4FEA3DF5" w14:textId="2B17566E"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38" w:history="1">
        <w:r w:rsidR="003F0237" w:rsidRPr="003F4099">
          <w:rPr>
            <w:rStyle w:val="Hyperlink"/>
            <w:noProof/>
          </w:rPr>
          <w:t>Qualitative findings: Additional problems that respondents identified were not in the C-RIS</w:t>
        </w:r>
        <w:r w:rsidR="003F0237">
          <w:rPr>
            <w:noProof/>
            <w:webHidden/>
          </w:rPr>
          <w:tab/>
        </w:r>
        <w:r w:rsidR="003F0237">
          <w:rPr>
            <w:noProof/>
            <w:webHidden/>
          </w:rPr>
          <w:fldChar w:fldCharType="begin"/>
        </w:r>
        <w:r w:rsidR="003F0237">
          <w:rPr>
            <w:noProof/>
            <w:webHidden/>
          </w:rPr>
          <w:instrText xml:space="preserve"> PAGEREF _Toc164692738 \h </w:instrText>
        </w:r>
        <w:r w:rsidR="003F0237">
          <w:rPr>
            <w:noProof/>
            <w:webHidden/>
          </w:rPr>
        </w:r>
        <w:r w:rsidR="003F0237">
          <w:rPr>
            <w:noProof/>
            <w:webHidden/>
          </w:rPr>
          <w:fldChar w:fldCharType="separate"/>
        </w:r>
        <w:r w:rsidR="00453DC1">
          <w:rPr>
            <w:noProof/>
            <w:webHidden/>
          </w:rPr>
          <w:t>44</w:t>
        </w:r>
        <w:r w:rsidR="003F0237">
          <w:rPr>
            <w:noProof/>
            <w:webHidden/>
          </w:rPr>
          <w:fldChar w:fldCharType="end"/>
        </w:r>
      </w:hyperlink>
    </w:p>
    <w:p w14:paraId="6857B2B9" w14:textId="071A09FB"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39" w:history="1">
        <w:r w:rsidR="003F0237" w:rsidRPr="003F4099">
          <w:rPr>
            <w:rStyle w:val="Hyperlink"/>
            <w:noProof/>
          </w:rPr>
          <w:t>Qualitative Findings – Costs of Option 1: maintaining the status quo</w:t>
        </w:r>
        <w:r w:rsidR="003F0237">
          <w:rPr>
            <w:noProof/>
            <w:webHidden/>
          </w:rPr>
          <w:tab/>
        </w:r>
        <w:r w:rsidR="003F0237">
          <w:rPr>
            <w:noProof/>
            <w:webHidden/>
          </w:rPr>
          <w:fldChar w:fldCharType="begin"/>
        </w:r>
        <w:r w:rsidR="003F0237">
          <w:rPr>
            <w:noProof/>
            <w:webHidden/>
          </w:rPr>
          <w:instrText xml:space="preserve"> PAGEREF _Toc164692739 \h </w:instrText>
        </w:r>
        <w:r w:rsidR="003F0237">
          <w:rPr>
            <w:noProof/>
            <w:webHidden/>
          </w:rPr>
        </w:r>
        <w:r w:rsidR="003F0237">
          <w:rPr>
            <w:noProof/>
            <w:webHidden/>
          </w:rPr>
          <w:fldChar w:fldCharType="separate"/>
        </w:r>
        <w:r w:rsidR="00453DC1">
          <w:rPr>
            <w:noProof/>
            <w:webHidden/>
          </w:rPr>
          <w:t>45</w:t>
        </w:r>
        <w:r w:rsidR="003F0237">
          <w:rPr>
            <w:noProof/>
            <w:webHidden/>
          </w:rPr>
          <w:fldChar w:fldCharType="end"/>
        </w:r>
      </w:hyperlink>
    </w:p>
    <w:p w14:paraId="0770516E" w14:textId="752A1FAC"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40" w:history="1">
        <w:r w:rsidR="003F0237" w:rsidRPr="003F4099">
          <w:rPr>
            <w:rStyle w:val="Hyperlink"/>
            <w:noProof/>
          </w:rPr>
          <w:t>Qualitative findings: Additional costs and benefits not included in the status quo</w:t>
        </w:r>
        <w:r w:rsidR="003F0237">
          <w:rPr>
            <w:noProof/>
            <w:webHidden/>
          </w:rPr>
          <w:tab/>
        </w:r>
        <w:r w:rsidR="003F0237">
          <w:rPr>
            <w:noProof/>
            <w:webHidden/>
          </w:rPr>
          <w:fldChar w:fldCharType="begin"/>
        </w:r>
        <w:r w:rsidR="003F0237">
          <w:rPr>
            <w:noProof/>
            <w:webHidden/>
          </w:rPr>
          <w:instrText xml:space="preserve"> PAGEREF _Toc164692740 \h </w:instrText>
        </w:r>
        <w:r w:rsidR="003F0237">
          <w:rPr>
            <w:noProof/>
            <w:webHidden/>
          </w:rPr>
        </w:r>
        <w:r w:rsidR="003F0237">
          <w:rPr>
            <w:noProof/>
            <w:webHidden/>
          </w:rPr>
          <w:fldChar w:fldCharType="separate"/>
        </w:r>
        <w:r w:rsidR="00453DC1">
          <w:rPr>
            <w:noProof/>
            <w:webHidden/>
          </w:rPr>
          <w:t>47</w:t>
        </w:r>
        <w:r w:rsidR="003F0237">
          <w:rPr>
            <w:noProof/>
            <w:webHidden/>
          </w:rPr>
          <w:fldChar w:fldCharType="end"/>
        </w:r>
      </w:hyperlink>
    </w:p>
    <w:p w14:paraId="7AF0A3DA" w14:textId="6D5227D3"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41" w:history="1">
        <w:r w:rsidR="003F0237" w:rsidRPr="003F4099">
          <w:rPr>
            <w:rStyle w:val="Hyperlink"/>
            <w:noProof/>
          </w:rPr>
          <w:t>Qualitative findings: Option 2 – RNs expand their scope of practice to prescribe Schedule 2, 3, 4 and 8 medicines under supervision, in accordance with governance frameworks and prescribing agreements.</w:t>
        </w:r>
        <w:r w:rsidR="003F0237">
          <w:rPr>
            <w:noProof/>
            <w:webHidden/>
          </w:rPr>
          <w:tab/>
        </w:r>
        <w:r w:rsidR="003F0237">
          <w:rPr>
            <w:noProof/>
            <w:webHidden/>
          </w:rPr>
          <w:fldChar w:fldCharType="begin"/>
        </w:r>
        <w:r w:rsidR="003F0237">
          <w:rPr>
            <w:noProof/>
            <w:webHidden/>
          </w:rPr>
          <w:instrText xml:space="preserve"> PAGEREF _Toc164692741 \h </w:instrText>
        </w:r>
        <w:r w:rsidR="003F0237">
          <w:rPr>
            <w:noProof/>
            <w:webHidden/>
          </w:rPr>
        </w:r>
        <w:r w:rsidR="003F0237">
          <w:rPr>
            <w:noProof/>
            <w:webHidden/>
          </w:rPr>
          <w:fldChar w:fldCharType="separate"/>
        </w:r>
        <w:r w:rsidR="00453DC1">
          <w:rPr>
            <w:noProof/>
            <w:webHidden/>
          </w:rPr>
          <w:t>47</w:t>
        </w:r>
        <w:r w:rsidR="003F0237">
          <w:rPr>
            <w:noProof/>
            <w:webHidden/>
          </w:rPr>
          <w:fldChar w:fldCharType="end"/>
        </w:r>
      </w:hyperlink>
    </w:p>
    <w:p w14:paraId="7CCAD98D" w14:textId="2F1728D3"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42" w:history="1">
        <w:r w:rsidR="003F0237" w:rsidRPr="003F4099">
          <w:rPr>
            <w:rStyle w:val="Hyperlink"/>
            <w:noProof/>
          </w:rPr>
          <w:t>Qualitative findings: Additional options not included in the C-RIS</w:t>
        </w:r>
        <w:r w:rsidR="003F0237">
          <w:rPr>
            <w:noProof/>
            <w:webHidden/>
          </w:rPr>
          <w:tab/>
        </w:r>
        <w:r w:rsidR="003F0237">
          <w:rPr>
            <w:noProof/>
            <w:webHidden/>
          </w:rPr>
          <w:fldChar w:fldCharType="begin"/>
        </w:r>
        <w:r w:rsidR="003F0237">
          <w:rPr>
            <w:noProof/>
            <w:webHidden/>
          </w:rPr>
          <w:instrText xml:space="preserve"> PAGEREF _Toc164692742 \h </w:instrText>
        </w:r>
        <w:r w:rsidR="003F0237">
          <w:rPr>
            <w:noProof/>
            <w:webHidden/>
          </w:rPr>
        </w:r>
        <w:r w:rsidR="003F0237">
          <w:rPr>
            <w:noProof/>
            <w:webHidden/>
          </w:rPr>
          <w:fldChar w:fldCharType="separate"/>
        </w:r>
        <w:r w:rsidR="00453DC1">
          <w:rPr>
            <w:noProof/>
            <w:webHidden/>
          </w:rPr>
          <w:t>51</w:t>
        </w:r>
        <w:r w:rsidR="003F0237">
          <w:rPr>
            <w:noProof/>
            <w:webHidden/>
          </w:rPr>
          <w:fldChar w:fldCharType="end"/>
        </w:r>
      </w:hyperlink>
    </w:p>
    <w:p w14:paraId="0D090411" w14:textId="7B806DF4"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43" w:history="1">
        <w:r w:rsidR="003F0237" w:rsidRPr="003F4099">
          <w:rPr>
            <w:rStyle w:val="Hyperlink"/>
            <w:noProof/>
          </w:rPr>
          <w:t>Qualitative findings: Option 2a – RNs expand their scope of practice to prescribe Schedule 2, 3 and 4 medicines only under supervision, in accordance with governance frameworks and prescribing agreements</w:t>
        </w:r>
        <w:r w:rsidR="003F0237">
          <w:rPr>
            <w:noProof/>
            <w:webHidden/>
          </w:rPr>
          <w:tab/>
        </w:r>
        <w:r w:rsidR="003F0237">
          <w:rPr>
            <w:noProof/>
            <w:webHidden/>
          </w:rPr>
          <w:fldChar w:fldCharType="begin"/>
        </w:r>
        <w:r w:rsidR="003F0237">
          <w:rPr>
            <w:noProof/>
            <w:webHidden/>
          </w:rPr>
          <w:instrText xml:space="preserve"> PAGEREF _Toc164692743 \h </w:instrText>
        </w:r>
        <w:r w:rsidR="003F0237">
          <w:rPr>
            <w:noProof/>
            <w:webHidden/>
          </w:rPr>
        </w:r>
        <w:r w:rsidR="003F0237">
          <w:rPr>
            <w:noProof/>
            <w:webHidden/>
          </w:rPr>
          <w:fldChar w:fldCharType="separate"/>
        </w:r>
        <w:r w:rsidR="00453DC1">
          <w:rPr>
            <w:noProof/>
            <w:webHidden/>
          </w:rPr>
          <w:t>53</w:t>
        </w:r>
        <w:r w:rsidR="003F0237">
          <w:rPr>
            <w:noProof/>
            <w:webHidden/>
          </w:rPr>
          <w:fldChar w:fldCharType="end"/>
        </w:r>
      </w:hyperlink>
    </w:p>
    <w:p w14:paraId="2DEDADCF" w14:textId="72EB747E"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44" w:history="1">
        <w:r w:rsidR="003F0237" w:rsidRPr="003F4099">
          <w:rPr>
            <w:rStyle w:val="Hyperlink"/>
            <w:noProof/>
          </w:rPr>
          <w:t>Qualitative findings: Option 2 (b): enable RNs to expand their scope of practice to prescribe Schedule 2, 3, 4 and 8 medicines only under designation/supervision except for RNs working in private practice or as a sole practitioner</w:t>
        </w:r>
        <w:r w:rsidR="003F0237">
          <w:rPr>
            <w:noProof/>
            <w:webHidden/>
          </w:rPr>
          <w:tab/>
        </w:r>
        <w:r w:rsidR="003F0237">
          <w:rPr>
            <w:noProof/>
            <w:webHidden/>
          </w:rPr>
          <w:fldChar w:fldCharType="begin"/>
        </w:r>
        <w:r w:rsidR="003F0237">
          <w:rPr>
            <w:noProof/>
            <w:webHidden/>
          </w:rPr>
          <w:instrText xml:space="preserve"> PAGEREF _Toc164692744 \h </w:instrText>
        </w:r>
        <w:r w:rsidR="003F0237">
          <w:rPr>
            <w:noProof/>
            <w:webHidden/>
          </w:rPr>
        </w:r>
        <w:r w:rsidR="003F0237">
          <w:rPr>
            <w:noProof/>
            <w:webHidden/>
          </w:rPr>
          <w:fldChar w:fldCharType="separate"/>
        </w:r>
        <w:r w:rsidR="00453DC1">
          <w:rPr>
            <w:noProof/>
            <w:webHidden/>
          </w:rPr>
          <w:t>54</w:t>
        </w:r>
        <w:r w:rsidR="003F0237">
          <w:rPr>
            <w:noProof/>
            <w:webHidden/>
          </w:rPr>
          <w:fldChar w:fldCharType="end"/>
        </w:r>
      </w:hyperlink>
    </w:p>
    <w:p w14:paraId="1231A96E" w14:textId="49875DFB" w:rsidR="003F0237" w:rsidRDefault="00AF325E">
      <w:pPr>
        <w:pStyle w:val="TOC1"/>
        <w:tabs>
          <w:tab w:val="left" w:pos="480"/>
        </w:tabs>
        <w:rPr>
          <w:rFonts w:asciiTheme="minorHAnsi" w:eastAsiaTheme="minorEastAsia" w:hAnsiTheme="minorHAnsi" w:cstheme="minorBidi"/>
          <w:b w:val="0"/>
          <w:color w:val="auto"/>
          <w:kern w:val="2"/>
          <w:sz w:val="22"/>
          <w:szCs w:val="22"/>
          <w:lang w:eastAsia="en-AU"/>
          <w14:ligatures w14:val="standardContextual"/>
        </w:rPr>
      </w:pPr>
      <w:hyperlink w:anchor="_Toc164692745" w:history="1">
        <w:r w:rsidR="003F0237" w:rsidRPr="003F4099">
          <w:rPr>
            <w:rStyle w:val="Hyperlink"/>
          </w:rPr>
          <w:t>6.</w:t>
        </w:r>
        <w:r w:rsidR="003F0237">
          <w:rPr>
            <w:rFonts w:asciiTheme="minorHAnsi" w:eastAsiaTheme="minorEastAsia" w:hAnsiTheme="minorHAnsi" w:cstheme="minorBidi"/>
            <w:b w:val="0"/>
            <w:color w:val="auto"/>
            <w:kern w:val="2"/>
            <w:sz w:val="22"/>
            <w:szCs w:val="22"/>
            <w:lang w:eastAsia="en-AU"/>
            <w14:ligatures w14:val="standardContextual"/>
          </w:rPr>
          <w:tab/>
        </w:r>
        <w:r w:rsidR="003F0237" w:rsidRPr="003F4099">
          <w:rPr>
            <w:rStyle w:val="Hyperlink"/>
          </w:rPr>
          <w:t>What is the best option from those you have considered and how will it be implemented?</w:t>
        </w:r>
        <w:r w:rsidR="003F0237">
          <w:rPr>
            <w:webHidden/>
          </w:rPr>
          <w:tab/>
        </w:r>
        <w:r w:rsidR="003F0237">
          <w:rPr>
            <w:webHidden/>
          </w:rPr>
          <w:fldChar w:fldCharType="begin"/>
        </w:r>
        <w:r w:rsidR="003F0237">
          <w:rPr>
            <w:webHidden/>
          </w:rPr>
          <w:instrText xml:space="preserve"> PAGEREF _Toc164692745 \h </w:instrText>
        </w:r>
        <w:r w:rsidR="003F0237">
          <w:rPr>
            <w:webHidden/>
          </w:rPr>
        </w:r>
        <w:r w:rsidR="003F0237">
          <w:rPr>
            <w:webHidden/>
          </w:rPr>
          <w:fldChar w:fldCharType="separate"/>
        </w:r>
        <w:r w:rsidR="00453DC1">
          <w:rPr>
            <w:webHidden/>
          </w:rPr>
          <w:t>55</w:t>
        </w:r>
        <w:r w:rsidR="003F0237">
          <w:rPr>
            <w:webHidden/>
          </w:rPr>
          <w:fldChar w:fldCharType="end"/>
        </w:r>
      </w:hyperlink>
    </w:p>
    <w:p w14:paraId="163DA287" w14:textId="0B14744A"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46" w:history="1">
        <w:r w:rsidR="003F0237" w:rsidRPr="003F4099">
          <w:rPr>
            <w:rStyle w:val="Hyperlink"/>
            <w:noProof/>
          </w:rPr>
          <w:t>Key elements of proposed guidelines are:</w:t>
        </w:r>
        <w:r w:rsidR="003F0237">
          <w:rPr>
            <w:noProof/>
            <w:webHidden/>
          </w:rPr>
          <w:tab/>
        </w:r>
        <w:r w:rsidR="003F0237">
          <w:rPr>
            <w:noProof/>
            <w:webHidden/>
          </w:rPr>
          <w:fldChar w:fldCharType="begin"/>
        </w:r>
        <w:r w:rsidR="003F0237">
          <w:rPr>
            <w:noProof/>
            <w:webHidden/>
          </w:rPr>
          <w:instrText xml:space="preserve"> PAGEREF _Toc164692746 \h </w:instrText>
        </w:r>
        <w:r w:rsidR="003F0237">
          <w:rPr>
            <w:noProof/>
            <w:webHidden/>
          </w:rPr>
        </w:r>
        <w:r w:rsidR="003F0237">
          <w:rPr>
            <w:noProof/>
            <w:webHidden/>
          </w:rPr>
          <w:fldChar w:fldCharType="separate"/>
        </w:r>
        <w:r w:rsidR="00453DC1">
          <w:rPr>
            <w:noProof/>
            <w:webHidden/>
          </w:rPr>
          <w:t>58</w:t>
        </w:r>
        <w:r w:rsidR="003F0237">
          <w:rPr>
            <w:noProof/>
            <w:webHidden/>
          </w:rPr>
          <w:fldChar w:fldCharType="end"/>
        </w:r>
      </w:hyperlink>
    </w:p>
    <w:p w14:paraId="5590C60C" w14:textId="5600537A"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47" w:history="1">
        <w:r w:rsidR="003F0237" w:rsidRPr="003F4099">
          <w:rPr>
            <w:rStyle w:val="Hyperlink"/>
            <w:noProof/>
          </w:rPr>
          <w:t>What is designated nurse prescribing?</w:t>
        </w:r>
        <w:r w:rsidR="003F0237">
          <w:rPr>
            <w:noProof/>
            <w:webHidden/>
          </w:rPr>
          <w:tab/>
        </w:r>
        <w:r w:rsidR="003F0237">
          <w:rPr>
            <w:noProof/>
            <w:webHidden/>
          </w:rPr>
          <w:fldChar w:fldCharType="begin"/>
        </w:r>
        <w:r w:rsidR="003F0237">
          <w:rPr>
            <w:noProof/>
            <w:webHidden/>
          </w:rPr>
          <w:instrText xml:space="preserve"> PAGEREF _Toc164692747 \h </w:instrText>
        </w:r>
        <w:r w:rsidR="003F0237">
          <w:rPr>
            <w:noProof/>
            <w:webHidden/>
          </w:rPr>
        </w:r>
        <w:r w:rsidR="003F0237">
          <w:rPr>
            <w:noProof/>
            <w:webHidden/>
          </w:rPr>
          <w:fldChar w:fldCharType="separate"/>
        </w:r>
        <w:r w:rsidR="00453DC1">
          <w:rPr>
            <w:noProof/>
            <w:webHidden/>
          </w:rPr>
          <w:t>58</w:t>
        </w:r>
        <w:r w:rsidR="003F0237">
          <w:rPr>
            <w:noProof/>
            <w:webHidden/>
          </w:rPr>
          <w:fldChar w:fldCharType="end"/>
        </w:r>
      </w:hyperlink>
    </w:p>
    <w:p w14:paraId="2E0A8C42" w14:textId="473281D5"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48" w:history="1">
        <w:r w:rsidR="003F0237" w:rsidRPr="003F4099">
          <w:rPr>
            <w:rStyle w:val="Hyperlink"/>
            <w:noProof/>
          </w:rPr>
          <w:t>How would the model work?</w:t>
        </w:r>
        <w:r w:rsidR="003F0237">
          <w:rPr>
            <w:noProof/>
            <w:webHidden/>
          </w:rPr>
          <w:tab/>
        </w:r>
        <w:r w:rsidR="003F0237">
          <w:rPr>
            <w:noProof/>
            <w:webHidden/>
          </w:rPr>
          <w:fldChar w:fldCharType="begin"/>
        </w:r>
        <w:r w:rsidR="003F0237">
          <w:rPr>
            <w:noProof/>
            <w:webHidden/>
          </w:rPr>
          <w:instrText xml:space="preserve"> PAGEREF _Toc164692748 \h </w:instrText>
        </w:r>
        <w:r w:rsidR="003F0237">
          <w:rPr>
            <w:noProof/>
            <w:webHidden/>
          </w:rPr>
        </w:r>
        <w:r w:rsidR="003F0237">
          <w:rPr>
            <w:noProof/>
            <w:webHidden/>
          </w:rPr>
          <w:fldChar w:fldCharType="separate"/>
        </w:r>
        <w:r w:rsidR="00453DC1">
          <w:rPr>
            <w:noProof/>
            <w:webHidden/>
          </w:rPr>
          <w:t>59</w:t>
        </w:r>
        <w:r w:rsidR="003F0237">
          <w:rPr>
            <w:noProof/>
            <w:webHidden/>
          </w:rPr>
          <w:fldChar w:fldCharType="end"/>
        </w:r>
      </w:hyperlink>
    </w:p>
    <w:p w14:paraId="65B387E8" w14:textId="0C3F09C1" w:rsidR="003F0237" w:rsidRDefault="00AF325E">
      <w:pPr>
        <w:pStyle w:val="TOC3"/>
        <w:rPr>
          <w:rFonts w:asciiTheme="minorHAnsi" w:eastAsiaTheme="minorEastAsia" w:hAnsiTheme="minorHAnsi" w:cstheme="minorBidi"/>
          <w:noProof/>
          <w:color w:val="auto"/>
          <w:kern w:val="2"/>
          <w:sz w:val="22"/>
          <w:szCs w:val="22"/>
          <w:lang w:eastAsia="en-AU"/>
          <w14:ligatures w14:val="standardContextual"/>
        </w:rPr>
      </w:pPr>
      <w:hyperlink w:anchor="_Toc164692749" w:history="1">
        <w:r w:rsidR="003F0237" w:rsidRPr="003F4099">
          <w:rPr>
            <w:rStyle w:val="Hyperlink"/>
            <w:noProof/>
          </w:rPr>
          <w:t>Requirements for registration standard for endorsement</w:t>
        </w:r>
        <w:r w:rsidR="003F0237">
          <w:rPr>
            <w:noProof/>
            <w:webHidden/>
          </w:rPr>
          <w:tab/>
        </w:r>
        <w:r w:rsidR="003F0237">
          <w:rPr>
            <w:noProof/>
            <w:webHidden/>
          </w:rPr>
          <w:fldChar w:fldCharType="begin"/>
        </w:r>
        <w:r w:rsidR="003F0237">
          <w:rPr>
            <w:noProof/>
            <w:webHidden/>
          </w:rPr>
          <w:instrText xml:space="preserve"> PAGEREF _Toc164692749 \h </w:instrText>
        </w:r>
        <w:r w:rsidR="003F0237">
          <w:rPr>
            <w:noProof/>
            <w:webHidden/>
          </w:rPr>
        </w:r>
        <w:r w:rsidR="003F0237">
          <w:rPr>
            <w:noProof/>
            <w:webHidden/>
          </w:rPr>
          <w:fldChar w:fldCharType="separate"/>
        </w:r>
        <w:r w:rsidR="00453DC1">
          <w:rPr>
            <w:noProof/>
            <w:webHidden/>
          </w:rPr>
          <w:t>60</w:t>
        </w:r>
        <w:r w:rsidR="003F0237">
          <w:rPr>
            <w:noProof/>
            <w:webHidden/>
          </w:rPr>
          <w:fldChar w:fldCharType="end"/>
        </w:r>
      </w:hyperlink>
    </w:p>
    <w:p w14:paraId="3371B782" w14:textId="071BAE38" w:rsidR="003F0237" w:rsidRDefault="00AF325E">
      <w:pPr>
        <w:pStyle w:val="TOC1"/>
        <w:tabs>
          <w:tab w:val="left" w:pos="480"/>
        </w:tabs>
        <w:rPr>
          <w:rFonts w:asciiTheme="minorHAnsi" w:eastAsiaTheme="minorEastAsia" w:hAnsiTheme="minorHAnsi" w:cstheme="minorBidi"/>
          <w:b w:val="0"/>
          <w:color w:val="auto"/>
          <w:kern w:val="2"/>
          <w:sz w:val="22"/>
          <w:szCs w:val="22"/>
          <w:lang w:eastAsia="en-AU"/>
          <w14:ligatures w14:val="standardContextual"/>
        </w:rPr>
      </w:pPr>
      <w:hyperlink w:anchor="_Toc164692750" w:history="1">
        <w:r w:rsidR="003F0237" w:rsidRPr="003F4099">
          <w:rPr>
            <w:rStyle w:val="Hyperlink"/>
          </w:rPr>
          <w:t>7.</w:t>
        </w:r>
        <w:r w:rsidR="003F0237">
          <w:rPr>
            <w:rFonts w:asciiTheme="minorHAnsi" w:eastAsiaTheme="minorEastAsia" w:hAnsiTheme="minorHAnsi" w:cstheme="minorBidi"/>
            <w:b w:val="0"/>
            <w:color w:val="auto"/>
            <w:kern w:val="2"/>
            <w:sz w:val="22"/>
            <w:szCs w:val="22"/>
            <w:lang w:eastAsia="en-AU"/>
            <w14:ligatures w14:val="standardContextual"/>
          </w:rPr>
          <w:tab/>
        </w:r>
        <w:r w:rsidR="003F0237" w:rsidRPr="003F4099">
          <w:rPr>
            <w:rStyle w:val="Hyperlink"/>
          </w:rPr>
          <w:t>How will you implement and evaluate your chosen option against the success metrics?</w:t>
        </w:r>
        <w:r w:rsidR="003F0237">
          <w:rPr>
            <w:webHidden/>
          </w:rPr>
          <w:tab/>
        </w:r>
        <w:r w:rsidR="003F0237">
          <w:rPr>
            <w:webHidden/>
          </w:rPr>
          <w:fldChar w:fldCharType="begin"/>
        </w:r>
        <w:r w:rsidR="003F0237">
          <w:rPr>
            <w:webHidden/>
          </w:rPr>
          <w:instrText xml:space="preserve"> PAGEREF _Toc164692750 \h </w:instrText>
        </w:r>
        <w:r w:rsidR="003F0237">
          <w:rPr>
            <w:webHidden/>
          </w:rPr>
        </w:r>
        <w:r w:rsidR="003F0237">
          <w:rPr>
            <w:webHidden/>
          </w:rPr>
          <w:fldChar w:fldCharType="separate"/>
        </w:r>
        <w:r w:rsidR="00453DC1">
          <w:rPr>
            <w:webHidden/>
          </w:rPr>
          <w:t>61</w:t>
        </w:r>
        <w:r w:rsidR="003F0237">
          <w:rPr>
            <w:webHidden/>
          </w:rPr>
          <w:fldChar w:fldCharType="end"/>
        </w:r>
      </w:hyperlink>
    </w:p>
    <w:p w14:paraId="2C99C31B" w14:textId="684090AB" w:rsidR="003F0237" w:rsidRDefault="00AF325E">
      <w:pPr>
        <w:pStyle w:val="TOC1"/>
        <w:rPr>
          <w:rFonts w:asciiTheme="minorHAnsi" w:eastAsiaTheme="minorEastAsia" w:hAnsiTheme="minorHAnsi" w:cstheme="minorBidi"/>
          <w:b w:val="0"/>
          <w:color w:val="auto"/>
          <w:kern w:val="2"/>
          <w:sz w:val="22"/>
          <w:szCs w:val="22"/>
          <w:lang w:eastAsia="en-AU"/>
          <w14:ligatures w14:val="standardContextual"/>
        </w:rPr>
      </w:pPr>
      <w:hyperlink w:anchor="_Toc164692751" w:history="1">
        <w:r w:rsidR="003F0237" w:rsidRPr="003F4099">
          <w:rPr>
            <w:rStyle w:val="Hyperlink"/>
          </w:rPr>
          <w:t>References</w:t>
        </w:r>
        <w:r w:rsidR="003F0237">
          <w:rPr>
            <w:webHidden/>
          </w:rPr>
          <w:tab/>
        </w:r>
        <w:r w:rsidR="003F0237">
          <w:rPr>
            <w:webHidden/>
          </w:rPr>
          <w:fldChar w:fldCharType="begin"/>
        </w:r>
        <w:r w:rsidR="003F0237">
          <w:rPr>
            <w:webHidden/>
          </w:rPr>
          <w:instrText xml:space="preserve"> PAGEREF _Toc164692751 \h </w:instrText>
        </w:r>
        <w:r w:rsidR="003F0237">
          <w:rPr>
            <w:webHidden/>
          </w:rPr>
        </w:r>
        <w:r w:rsidR="003F0237">
          <w:rPr>
            <w:webHidden/>
          </w:rPr>
          <w:fldChar w:fldCharType="separate"/>
        </w:r>
        <w:r w:rsidR="00453DC1">
          <w:rPr>
            <w:webHidden/>
          </w:rPr>
          <w:t>63</w:t>
        </w:r>
        <w:r w:rsidR="003F0237">
          <w:rPr>
            <w:webHidden/>
          </w:rPr>
          <w:fldChar w:fldCharType="end"/>
        </w:r>
      </w:hyperlink>
    </w:p>
    <w:p w14:paraId="21DEA439" w14:textId="254A9B36" w:rsidR="003F0237" w:rsidRDefault="00AF325E">
      <w:pPr>
        <w:pStyle w:val="TOC1"/>
        <w:rPr>
          <w:rFonts w:asciiTheme="minorHAnsi" w:eastAsiaTheme="minorEastAsia" w:hAnsiTheme="minorHAnsi" w:cstheme="minorBidi"/>
          <w:b w:val="0"/>
          <w:color w:val="auto"/>
          <w:kern w:val="2"/>
          <w:sz w:val="22"/>
          <w:szCs w:val="22"/>
          <w:lang w:eastAsia="en-AU"/>
          <w14:ligatures w14:val="standardContextual"/>
        </w:rPr>
      </w:pPr>
      <w:hyperlink w:anchor="_Toc164692752" w:history="1">
        <w:r w:rsidR="003F0237" w:rsidRPr="003F4099">
          <w:rPr>
            <w:rStyle w:val="Hyperlink"/>
          </w:rPr>
          <w:t>Appendix A: Registration standard</w:t>
        </w:r>
        <w:r w:rsidR="003F0237">
          <w:rPr>
            <w:webHidden/>
          </w:rPr>
          <w:tab/>
        </w:r>
      </w:hyperlink>
      <w:r w:rsidR="00D6451A">
        <w:rPr>
          <w:webHidden/>
        </w:rPr>
        <w:fldChar w:fldCharType="begin"/>
      </w:r>
      <w:r w:rsidR="00D6451A">
        <w:rPr>
          <w:webHidden/>
        </w:rPr>
        <w:instrText xml:space="preserve"> PAGEREF _Toc164692769 \h </w:instrText>
      </w:r>
      <w:r w:rsidR="00D6451A">
        <w:rPr>
          <w:webHidden/>
        </w:rPr>
      </w:r>
      <w:r w:rsidR="00D6451A">
        <w:rPr>
          <w:webHidden/>
        </w:rPr>
        <w:fldChar w:fldCharType="separate"/>
      </w:r>
      <w:r w:rsidR="00453DC1">
        <w:rPr>
          <w:webHidden/>
        </w:rPr>
        <w:t>87</w:t>
      </w:r>
      <w:r w:rsidR="00D6451A">
        <w:rPr>
          <w:webHidden/>
        </w:rPr>
        <w:fldChar w:fldCharType="end"/>
      </w:r>
    </w:p>
    <w:p w14:paraId="25B801F5" w14:textId="0AD98457" w:rsidR="003F0237" w:rsidRDefault="00AF325E">
      <w:pPr>
        <w:pStyle w:val="TOC1"/>
        <w:rPr>
          <w:rFonts w:asciiTheme="minorHAnsi" w:eastAsiaTheme="minorEastAsia" w:hAnsiTheme="minorHAnsi" w:cstheme="minorBidi"/>
          <w:b w:val="0"/>
          <w:color w:val="auto"/>
          <w:kern w:val="2"/>
          <w:sz w:val="22"/>
          <w:szCs w:val="22"/>
          <w:lang w:eastAsia="en-AU"/>
          <w14:ligatures w14:val="standardContextual"/>
        </w:rPr>
      </w:pPr>
      <w:hyperlink w:anchor="_Toc164692761" w:history="1">
        <w:r w:rsidR="003F0237" w:rsidRPr="003F4099">
          <w:rPr>
            <w:rStyle w:val="Hyperlink"/>
          </w:rPr>
          <w:t>Appendix B: Guidelines</w:t>
        </w:r>
        <w:r w:rsidR="003F0237">
          <w:rPr>
            <w:webHidden/>
          </w:rPr>
          <w:tab/>
        </w:r>
        <w:r w:rsidR="00F823F0">
          <w:rPr>
            <w:webHidden/>
          </w:rPr>
          <w:fldChar w:fldCharType="begin"/>
        </w:r>
        <w:r w:rsidR="00F823F0">
          <w:rPr>
            <w:webHidden/>
          </w:rPr>
          <w:instrText xml:space="preserve"> PAGEREF _Toc164692769 \h </w:instrText>
        </w:r>
        <w:r w:rsidR="00F823F0">
          <w:rPr>
            <w:webHidden/>
          </w:rPr>
        </w:r>
        <w:r w:rsidR="00F823F0">
          <w:rPr>
            <w:webHidden/>
          </w:rPr>
          <w:fldChar w:fldCharType="separate"/>
        </w:r>
        <w:r w:rsidR="00453DC1">
          <w:rPr>
            <w:webHidden/>
          </w:rPr>
          <w:t>87</w:t>
        </w:r>
        <w:r w:rsidR="00F823F0">
          <w:rPr>
            <w:webHidden/>
          </w:rPr>
          <w:fldChar w:fldCharType="end"/>
        </w:r>
      </w:hyperlink>
    </w:p>
    <w:p w14:paraId="32B161F7" w14:textId="5CBFC3C8" w:rsidR="003F0237" w:rsidRDefault="00AF325E">
      <w:pPr>
        <w:pStyle w:val="TOC1"/>
        <w:rPr>
          <w:rFonts w:asciiTheme="minorHAnsi" w:eastAsiaTheme="minorEastAsia" w:hAnsiTheme="minorHAnsi" w:cstheme="minorBidi"/>
          <w:b w:val="0"/>
          <w:color w:val="auto"/>
          <w:kern w:val="2"/>
          <w:sz w:val="22"/>
          <w:szCs w:val="22"/>
          <w:lang w:eastAsia="en-AU"/>
          <w14:ligatures w14:val="standardContextual"/>
        </w:rPr>
      </w:pPr>
      <w:hyperlink w:anchor="_Toc164692769" w:history="1">
        <w:r w:rsidR="003F0237" w:rsidRPr="003F4099">
          <w:rPr>
            <w:rStyle w:val="Hyperlink"/>
          </w:rPr>
          <w:t>Appendix C: Previous consultation by the NMBA</w:t>
        </w:r>
        <w:r w:rsidR="003F0237">
          <w:rPr>
            <w:webHidden/>
          </w:rPr>
          <w:tab/>
        </w:r>
        <w:r w:rsidR="00F823F0">
          <w:rPr>
            <w:webHidden/>
          </w:rPr>
          <w:fldChar w:fldCharType="begin"/>
        </w:r>
        <w:r w:rsidR="00F823F0">
          <w:rPr>
            <w:webHidden/>
          </w:rPr>
          <w:instrText xml:space="preserve"> PAGEREF _Toc164692769 \h </w:instrText>
        </w:r>
        <w:r w:rsidR="00F823F0">
          <w:rPr>
            <w:webHidden/>
          </w:rPr>
        </w:r>
        <w:r w:rsidR="00F823F0">
          <w:rPr>
            <w:webHidden/>
          </w:rPr>
          <w:fldChar w:fldCharType="separate"/>
        </w:r>
        <w:r w:rsidR="00453DC1">
          <w:rPr>
            <w:webHidden/>
          </w:rPr>
          <w:t>87</w:t>
        </w:r>
        <w:r w:rsidR="00F823F0">
          <w:rPr>
            <w:webHidden/>
          </w:rPr>
          <w:fldChar w:fldCharType="end"/>
        </w:r>
      </w:hyperlink>
    </w:p>
    <w:p w14:paraId="16924439" w14:textId="1ED6B6E8" w:rsidR="003E15C5" w:rsidRDefault="00E96291" w:rsidP="00216AB8">
      <w:pPr>
        <w:pStyle w:val="TOC1"/>
        <w:outlineLvl w:val="0"/>
        <w:rPr>
          <w:rFonts w:asciiTheme="minorHAnsi" w:eastAsiaTheme="minorEastAsia" w:hAnsiTheme="minorHAnsi" w:cstheme="minorBidi"/>
          <w:color w:val="auto"/>
          <w:sz w:val="22"/>
          <w:szCs w:val="22"/>
          <w:lang w:eastAsia="en-AU"/>
        </w:rPr>
      </w:pPr>
      <w:r>
        <w:fldChar w:fldCharType="end"/>
      </w:r>
    </w:p>
    <w:p w14:paraId="471CCD68" w14:textId="044FEE37" w:rsidR="002262AD" w:rsidRDefault="00A14666" w:rsidP="00216AB8">
      <w:pPr>
        <w:spacing w:after="0"/>
        <w:outlineLvl w:val="0"/>
      </w:pPr>
      <w:r>
        <w:br w:type="page"/>
      </w:r>
    </w:p>
    <w:p w14:paraId="29D102B9" w14:textId="3A0866B2" w:rsidR="00A14666" w:rsidRDefault="00A14666" w:rsidP="00216AB8">
      <w:pPr>
        <w:pStyle w:val="AHPRADocumentsubheading"/>
      </w:pPr>
      <w:bookmarkStart w:id="10" w:name="_Toc164692692"/>
      <w:r>
        <w:lastRenderedPageBreak/>
        <w:t>Acknowledgements</w:t>
      </w:r>
      <w:bookmarkEnd w:id="10"/>
      <w:r w:rsidR="008C064D">
        <w:t xml:space="preserve">    </w:t>
      </w:r>
    </w:p>
    <w:p w14:paraId="3AE3A84E" w14:textId="2172722C" w:rsidR="00A532FA" w:rsidRDefault="00C65F26" w:rsidP="00216AB8">
      <w:pPr>
        <w:pStyle w:val="AHPRAbody"/>
        <w:outlineLvl w:val="0"/>
        <w:rPr>
          <w:szCs w:val="20"/>
        </w:rPr>
      </w:pPr>
      <w:r>
        <w:t xml:space="preserve">The Nursing and Midwifery Board of Australia (NMBA) has developed this decision regulation impact statement (D-RIS) from the </w:t>
      </w:r>
      <w:r w:rsidR="00116CB9">
        <w:t xml:space="preserve">feedback to the </w:t>
      </w:r>
      <w:r w:rsidR="00A532FA" w:rsidRPr="00BF73F7">
        <w:rPr>
          <w:rStyle w:val="normaltextrun"/>
          <w:szCs w:val="20"/>
          <w:lang w:val="en-US"/>
        </w:rPr>
        <w:t>consultation regulation impact statement (C-RIS) that analyse</w:t>
      </w:r>
      <w:r w:rsidR="00A532FA">
        <w:rPr>
          <w:rStyle w:val="normaltextrun"/>
          <w:szCs w:val="20"/>
          <w:lang w:val="en-US"/>
        </w:rPr>
        <w:t>d</w:t>
      </w:r>
      <w:r w:rsidR="00A532FA" w:rsidRPr="00BF73F7">
        <w:rPr>
          <w:rStyle w:val="normaltextrun"/>
          <w:szCs w:val="20"/>
          <w:lang w:val="en-US"/>
        </w:rPr>
        <w:t xml:space="preserve"> a number of options for the proposed model of designated </w:t>
      </w:r>
      <w:r w:rsidR="00A532FA">
        <w:rPr>
          <w:rStyle w:val="normaltextrun"/>
          <w:szCs w:val="20"/>
          <w:lang w:val="en-US"/>
        </w:rPr>
        <w:t>registered nurse (</w:t>
      </w:r>
      <w:r w:rsidR="00A532FA" w:rsidRPr="00BF73F7">
        <w:rPr>
          <w:rStyle w:val="normaltextrun"/>
          <w:szCs w:val="20"/>
          <w:lang w:val="en-US"/>
        </w:rPr>
        <w:t>RN</w:t>
      </w:r>
      <w:r w:rsidR="00A532FA">
        <w:rPr>
          <w:rStyle w:val="normaltextrun"/>
          <w:szCs w:val="20"/>
          <w:lang w:val="en-US"/>
        </w:rPr>
        <w:t>)</w:t>
      </w:r>
      <w:r w:rsidR="00A532FA" w:rsidRPr="00BF73F7">
        <w:rPr>
          <w:rStyle w:val="normaltextrun"/>
          <w:szCs w:val="20"/>
          <w:lang w:val="en-US"/>
        </w:rPr>
        <w:t xml:space="preserve"> prescribing to support the proposed </w:t>
      </w:r>
      <w:r w:rsidR="00A532FA" w:rsidRPr="00BF73F7">
        <w:rPr>
          <w:i/>
          <w:iCs/>
          <w:szCs w:val="20"/>
        </w:rPr>
        <w:t xml:space="preserve">Registration standard: Endorsement for scheduled medicines − designated registered nurse prescriber </w:t>
      </w:r>
      <w:r w:rsidR="00A532FA" w:rsidRPr="00054C0F">
        <w:rPr>
          <w:szCs w:val="20"/>
        </w:rPr>
        <w:t>(the proposed registration standard)</w:t>
      </w:r>
      <w:r w:rsidR="00A532FA">
        <w:rPr>
          <w:szCs w:val="20"/>
        </w:rPr>
        <w:t>.</w:t>
      </w:r>
    </w:p>
    <w:p w14:paraId="79D8795A" w14:textId="0B8142EB" w:rsidR="003C27F3" w:rsidRDefault="003C27F3" w:rsidP="00216AB8">
      <w:pPr>
        <w:pStyle w:val="AHPRAbody"/>
        <w:outlineLvl w:val="0"/>
        <w:rPr>
          <w:szCs w:val="20"/>
        </w:rPr>
      </w:pPr>
      <w:r>
        <w:rPr>
          <w:szCs w:val="20"/>
        </w:rPr>
        <w:t xml:space="preserve">The NMBA </w:t>
      </w:r>
      <w:r w:rsidR="00EB7311">
        <w:rPr>
          <w:szCs w:val="20"/>
        </w:rPr>
        <w:t xml:space="preserve">thanks </w:t>
      </w:r>
      <w:r w:rsidR="00EA2FBF">
        <w:rPr>
          <w:szCs w:val="20"/>
        </w:rPr>
        <w:t>our</w:t>
      </w:r>
      <w:r w:rsidR="00EB7311">
        <w:rPr>
          <w:szCs w:val="20"/>
        </w:rPr>
        <w:t xml:space="preserve"> stakeholders</w:t>
      </w:r>
      <w:r w:rsidR="001A7CB4">
        <w:rPr>
          <w:szCs w:val="20"/>
        </w:rPr>
        <w:t xml:space="preserve"> who provided feedback to the C-RIS</w:t>
      </w:r>
      <w:r w:rsidR="00EA2FBF">
        <w:rPr>
          <w:szCs w:val="20"/>
        </w:rPr>
        <w:t xml:space="preserve"> </w:t>
      </w:r>
      <w:r w:rsidR="00E5012C">
        <w:rPr>
          <w:szCs w:val="20"/>
        </w:rPr>
        <w:t xml:space="preserve">through both the online Qualtrics survey as well as written submissions. </w:t>
      </w:r>
      <w:r w:rsidR="001A7CB4">
        <w:rPr>
          <w:szCs w:val="20"/>
        </w:rPr>
        <w:t xml:space="preserve"> </w:t>
      </w:r>
    </w:p>
    <w:p w14:paraId="384434CA" w14:textId="5256636D" w:rsidR="004C73E3" w:rsidRDefault="004C73E3" w:rsidP="00216AB8">
      <w:pPr>
        <w:pStyle w:val="AHPRAbody"/>
        <w:outlineLvl w:val="0"/>
      </w:pPr>
      <w:r>
        <w:t xml:space="preserve">The NMBA also acknowledges the valuable input from the following </w:t>
      </w:r>
      <w:r w:rsidR="0063547A">
        <w:t>individuals who provided</w:t>
      </w:r>
      <w:r w:rsidR="282805F5">
        <w:t xml:space="preserve"> </w:t>
      </w:r>
      <w:r w:rsidR="3C506517">
        <w:t xml:space="preserve">case scenarios </w:t>
      </w:r>
      <w:r w:rsidR="09A8C999">
        <w:t>and discussed</w:t>
      </w:r>
      <w:r w:rsidR="3C506517">
        <w:t xml:space="preserve"> their current experiences</w:t>
      </w:r>
      <w:r w:rsidR="1DA6C6D2">
        <w:t xml:space="preserve"> in patient and client care.</w:t>
      </w:r>
    </w:p>
    <w:p w14:paraId="701B5C95" w14:textId="0E108B83" w:rsidR="0063547A" w:rsidRDefault="0063547A" w:rsidP="00216AB8">
      <w:pPr>
        <w:pStyle w:val="AHPRABulletlevel1"/>
        <w:outlineLvl w:val="0"/>
      </w:pPr>
      <w:r>
        <w:t>Mia Dhillon, General Manager, Australian Primary Health Care Nurses Association (APNA)</w:t>
      </w:r>
    </w:p>
    <w:p w14:paraId="1E91A2CF" w14:textId="0ECFEAF6" w:rsidR="33356CDE" w:rsidRDefault="33356CDE" w:rsidP="00216AB8">
      <w:pPr>
        <w:pStyle w:val="AHPRABulletlevel1"/>
        <w:outlineLvl w:val="0"/>
      </w:pPr>
      <w:r>
        <w:t>Sam Moses, RN, APNA Founder, Nurse Ambassador</w:t>
      </w:r>
    </w:p>
    <w:p w14:paraId="00C6072C" w14:textId="77777777" w:rsidR="002F5576" w:rsidRDefault="0063547A" w:rsidP="00216AB8">
      <w:pPr>
        <w:pStyle w:val="AHPRABulletlevel1"/>
        <w:outlineLvl w:val="0"/>
      </w:pPr>
      <w:r>
        <w:t>Helen Evans-Turner, Acting Director</w:t>
      </w:r>
      <w:r w:rsidR="002F5576">
        <w:t xml:space="preserve"> - Workforce Regulation, Workforce Planning and Strategies Branch, Australian Government Department of Health</w:t>
      </w:r>
    </w:p>
    <w:p w14:paraId="773EDB3B" w14:textId="6FEABFE5" w:rsidR="0063547A" w:rsidRPr="00C50C93" w:rsidRDefault="002F5576" w:rsidP="00216AB8">
      <w:pPr>
        <w:pStyle w:val="AHPRABulletlevel1"/>
        <w:outlineLvl w:val="0"/>
        <w:rPr>
          <w:szCs w:val="20"/>
        </w:rPr>
      </w:pPr>
      <w:r>
        <w:t xml:space="preserve">Eva-Gill Minero, Nurse </w:t>
      </w:r>
      <w:r w:rsidR="00C50C93">
        <w:t>Consultant</w:t>
      </w:r>
      <w:r>
        <w:t xml:space="preserve"> Mental Health Co-responder</w:t>
      </w:r>
      <w:r w:rsidR="00C50C93">
        <w:t>, Southern Adelaide Local Health Network (ASLHN) Specialist Community Mental Health Service – Marion</w:t>
      </w:r>
    </w:p>
    <w:p w14:paraId="43EA4595" w14:textId="77DBC0A8" w:rsidR="00C50C93" w:rsidRPr="003D1CCA" w:rsidRDefault="00C50C93" w:rsidP="00216AB8">
      <w:pPr>
        <w:pStyle w:val="AHPRABulletlevel1"/>
        <w:outlineLvl w:val="0"/>
      </w:pPr>
      <w:r>
        <w:t>Fra</w:t>
      </w:r>
      <w:r w:rsidR="1E063804">
        <w:t>n</w:t>
      </w:r>
      <w:r>
        <w:t xml:space="preserve"> Gore, Palliative Care Clinical Nurse Consultant, </w:t>
      </w:r>
      <w:r w:rsidR="0059082A">
        <w:t>Mercy Health</w:t>
      </w:r>
    </w:p>
    <w:p w14:paraId="342AA808" w14:textId="57E56F0F" w:rsidR="003D1CCA" w:rsidRPr="003D1CCA" w:rsidRDefault="003D1CCA" w:rsidP="00216AB8">
      <w:pPr>
        <w:pStyle w:val="AHPRABulletlevel1"/>
        <w:outlineLvl w:val="0"/>
      </w:pPr>
      <w:r>
        <w:t>Tara Chandrasegran, Acti</w:t>
      </w:r>
      <w:r w:rsidR="1584E189">
        <w:t>ng</w:t>
      </w:r>
      <w:r>
        <w:t xml:space="preserve"> National Director Care </w:t>
      </w:r>
      <w:r w:rsidR="5CAB622D">
        <w:t>L</w:t>
      </w:r>
      <w:r>
        <w:t>eadership, Mercy Health</w:t>
      </w:r>
    </w:p>
    <w:p w14:paraId="5BDC5521" w14:textId="1840A118" w:rsidR="003D1CCA" w:rsidRPr="00795B75" w:rsidRDefault="003D1CCA" w:rsidP="00216AB8">
      <w:pPr>
        <w:pStyle w:val="AHPRABulletlevel1"/>
        <w:outlineLvl w:val="0"/>
        <w:rPr>
          <w:szCs w:val="20"/>
        </w:rPr>
      </w:pPr>
      <w:r>
        <w:t xml:space="preserve">Adjunct Professor Sue Hawes, </w:t>
      </w:r>
      <w:r w:rsidR="00795B75">
        <w:t xml:space="preserve">Queensland </w:t>
      </w:r>
      <w:r>
        <w:t xml:space="preserve">Chief Executive Officer, Diabetes Australia </w:t>
      </w:r>
    </w:p>
    <w:p w14:paraId="0270E167" w14:textId="1837472D" w:rsidR="00795B75" w:rsidRPr="00A5648A" w:rsidRDefault="00795B75" w:rsidP="00216AB8">
      <w:pPr>
        <w:pStyle w:val="AHPRABulletlevel1"/>
        <w:outlineLvl w:val="0"/>
        <w:rPr>
          <w:szCs w:val="20"/>
        </w:rPr>
      </w:pPr>
      <w:r>
        <w:t>Nicole McL</w:t>
      </w:r>
      <w:r w:rsidR="00A5648A">
        <w:t>ure, Registered Nurse and Credentialled Diabetes Educator, Diabetes Australia</w:t>
      </w:r>
    </w:p>
    <w:p w14:paraId="1BB25ACC" w14:textId="321E1B21" w:rsidR="00A5648A" w:rsidRPr="00D51180" w:rsidRDefault="00A5648A" w:rsidP="00216AB8">
      <w:pPr>
        <w:pStyle w:val="AHPRABulletlevel1"/>
        <w:outlineLvl w:val="0"/>
        <w:rPr>
          <w:szCs w:val="20"/>
        </w:rPr>
      </w:pPr>
      <w:r>
        <w:t>Katie Pennington, Pr</w:t>
      </w:r>
      <w:r w:rsidR="00D51180">
        <w:t>imary Health Care Registered Nurse and Health Researcher</w:t>
      </w:r>
    </w:p>
    <w:p w14:paraId="33BDB7AB" w14:textId="13BA4EF6" w:rsidR="00D51180" w:rsidRPr="00B76A48" w:rsidRDefault="00D51180" w:rsidP="00216AB8">
      <w:pPr>
        <w:pStyle w:val="AHPRABulletlevel1"/>
        <w:outlineLvl w:val="0"/>
        <w:rPr>
          <w:szCs w:val="20"/>
        </w:rPr>
      </w:pPr>
      <w:r>
        <w:t>Penelope Marshall, Executive General Manager of Clinical Governance</w:t>
      </w:r>
      <w:r w:rsidR="00B76A48">
        <w:t>, Risk and Innovation, Blue Cross Aged Care</w:t>
      </w:r>
    </w:p>
    <w:p w14:paraId="6D73ECFC" w14:textId="0692D55C" w:rsidR="00B76A48" w:rsidRPr="00B76A48" w:rsidRDefault="00B76A48" w:rsidP="00216AB8">
      <w:pPr>
        <w:pStyle w:val="AHPRABulletlevel1"/>
        <w:outlineLvl w:val="0"/>
        <w:rPr>
          <w:szCs w:val="20"/>
        </w:rPr>
      </w:pPr>
      <w:r>
        <w:t>Tash Jennings, Nurse Practitioner, Alfred health</w:t>
      </w:r>
    </w:p>
    <w:p w14:paraId="56435C8D" w14:textId="77777777" w:rsidR="00B76A48" w:rsidRDefault="00B76A48" w:rsidP="00216AB8">
      <w:pPr>
        <w:pStyle w:val="AHPRABulletlevel1"/>
        <w:outlineLvl w:val="0"/>
        <w:rPr>
          <w:lang w:val="en-US"/>
        </w:rPr>
      </w:pPr>
      <w:r w:rsidRPr="25E6885C">
        <w:rPr>
          <w:lang w:val="en-US"/>
        </w:rPr>
        <w:t>Kate Swetenham, President PCNA, Director of Nursing End of Life Care</w:t>
      </w:r>
    </w:p>
    <w:p w14:paraId="741EEA49" w14:textId="12604386" w:rsidR="71DA520F" w:rsidRPr="00D008FA" w:rsidRDefault="71DA520F" w:rsidP="00216AB8">
      <w:pPr>
        <w:pStyle w:val="AHPRABulletlevel1"/>
        <w:outlineLvl w:val="0"/>
        <w:rPr>
          <w:rFonts w:eastAsia="Arial" w:cs="Arial"/>
          <w:szCs w:val="20"/>
          <w:lang w:val="en-US"/>
        </w:rPr>
      </w:pPr>
      <w:r w:rsidRPr="00D008FA">
        <w:rPr>
          <w:rFonts w:eastAsia="Arial" w:cs="Arial"/>
          <w:lang w:val="en-US"/>
        </w:rPr>
        <w:t xml:space="preserve">Ann </w:t>
      </w:r>
      <w:r w:rsidR="490DFE46" w:rsidRPr="00D008FA">
        <w:rPr>
          <w:rFonts w:eastAsia="Arial" w:cs="Arial"/>
          <w:lang w:val="en-US"/>
        </w:rPr>
        <w:t>Vaughan,</w:t>
      </w:r>
      <w:r w:rsidR="490DFE46" w:rsidRPr="78D3F9AE">
        <w:rPr>
          <w:rFonts w:eastAsia="Arial" w:cs="Arial"/>
          <w:lang w:val="en-US"/>
        </w:rPr>
        <w:t xml:space="preserve"> Centre Man</w:t>
      </w:r>
      <w:r w:rsidR="00204C9A">
        <w:rPr>
          <w:rFonts w:eastAsia="Arial" w:cs="Arial"/>
          <w:lang w:val="en-US"/>
        </w:rPr>
        <w:t>a</w:t>
      </w:r>
      <w:r w:rsidR="490DFE46" w:rsidRPr="78D3F9AE">
        <w:rPr>
          <w:rFonts w:eastAsia="Arial" w:cs="Arial"/>
          <w:lang w:val="en-US"/>
        </w:rPr>
        <w:t xml:space="preserve">ger </w:t>
      </w:r>
      <w:r w:rsidR="6F5A6A48" w:rsidRPr="78D3F9AE">
        <w:rPr>
          <w:rFonts w:eastAsia="Arial" w:cs="Arial"/>
          <w:lang w:val="en-US"/>
        </w:rPr>
        <w:t>and Clinical</w:t>
      </w:r>
      <w:r w:rsidR="490DFE46" w:rsidRPr="00D008FA">
        <w:rPr>
          <w:rFonts w:eastAsia="Arial" w:cs="Arial"/>
          <w:lang w:val="en-US"/>
        </w:rPr>
        <w:t xml:space="preserve"> Nurse Coordinator at Balmoral Bush Nursing Centre</w:t>
      </w:r>
      <w:r w:rsidR="00F26776">
        <w:rPr>
          <w:rFonts w:eastAsia="Arial" w:cs="Arial"/>
          <w:lang w:val="en-US"/>
        </w:rPr>
        <w:t>.</w:t>
      </w:r>
    </w:p>
    <w:p w14:paraId="38D484C5" w14:textId="194AC293" w:rsidR="00B86A9A" w:rsidRDefault="00B86A9A" w:rsidP="00216AB8">
      <w:pPr>
        <w:spacing w:after="0"/>
        <w:outlineLvl w:val="0"/>
        <w:rPr>
          <w:rFonts w:cs="Arial"/>
          <w:color w:val="5F6062"/>
          <w:sz w:val="28"/>
          <w:szCs w:val="52"/>
        </w:rPr>
      </w:pPr>
      <w:bookmarkStart w:id="11" w:name="_Toc24958604"/>
      <w:bookmarkStart w:id="12" w:name="_Toc24959083"/>
      <w:r>
        <w:br w:type="page"/>
      </w:r>
    </w:p>
    <w:p w14:paraId="0C360056" w14:textId="2233D08D" w:rsidR="00E21690" w:rsidRDefault="007E627E" w:rsidP="00216AB8">
      <w:pPr>
        <w:pStyle w:val="AHPRADocumentsubheading"/>
      </w:pPr>
      <w:bookmarkStart w:id="13" w:name="_Toc164692693"/>
      <w:r>
        <w:lastRenderedPageBreak/>
        <w:t>Introduction</w:t>
      </w:r>
      <w:bookmarkEnd w:id="11"/>
      <w:bookmarkEnd w:id="12"/>
      <w:bookmarkEnd w:id="13"/>
    </w:p>
    <w:p w14:paraId="5FF3C2CB" w14:textId="152D016B" w:rsidR="007E627E" w:rsidRDefault="007E627E" w:rsidP="00216AB8">
      <w:pPr>
        <w:pStyle w:val="AHPRAbody"/>
        <w:outlineLvl w:val="0"/>
      </w:pPr>
      <w:r>
        <w:t>In 2016, the former Australian Health Ministers’ Advisory Council’s Health Workforce Principal Committee (HWPC) requested that the Nursing and Midwifery Board of Australia (NMBA) work with the Australian and New Zealand Council of Chief Nursing and Midwifery Officers (ANZCCNMO) to explore potential models of prescribing by RNs. Since 2017, the NMBA and ANZCCNMO have undertaken extensive research and consultation with governments, key nursing and medical stakeholders, RNs and consumers about the potential for RNs to contribute to improving health outcomes for the Australian community</w:t>
      </w:r>
      <w:r w:rsidR="001F57A4">
        <w:t xml:space="preserve"> by working to their full scope of practice</w:t>
      </w:r>
      <w:r w:rsidR="00E34357">
        <w:t>.</w:t>
      </w:r>
    </w:p>
    <w:p w14:paraId="2584E161" w14:textId="00EFD47A" w:rsidR="007E627E" w:rsidRDefault="008A64CB" w:rsidP="00216AB8">
      <w:pPr>
        <w:pStyle w:val="AHPRAbody"/>
        <w:outlineLvl w:val="0"/>
      </w:pPr>
      <w:r>
        <w:t xml:space="preserve">The reform is driven by the </w:t>
      </w:r>
      <w:r w:rsidR="007E627E">
        <w:t xml:space="preserve">Australian </w:t>
      </w:r>
      <w:r w:rsidR="00C40187">
        <w:t>government’s</w:t>
      </w:r>
      <w:r w:rsidR="007E627E">
        <w:t xml:space="preserve"> </w:t>
      </w:r>
      <w:r>
        <w:t>commitment</w:t>
      </w:r>
      <w:r w:rsidR="007E627E">
        <w:t xml:space="preserve"> to ensuring that all Australians, including those who live in rural, regional, and remote parts of Australia and those in aged care and disadvantaged communities, can access timely, safe and effective healthcare</w:t>
      </w:r>
      <w:r w:rsidR="00702317">
        <w:t xml:space="preserve"> and </w:t>
      </w:r>
      <w:r w:rsidR="009D45BC">
        <w:t>h</w:t>
      </w:r>
      <w:r w:rsidR="00702317" w:rsidRPr="00CD5480">
        <w:t>ealth service</w:t>
      </w:r>
      <w:r>
        <w:t>.</w:t>
      </w:r>
    </w:p>
    <w:p w14:paraId="5008F317" w14:textId="715DB01C" w:rsidR="00E20188" w:rsidRDefault="007E627E" w:rsidP="009D45BC">
      <w:pPr>
        <w:pStyle w:val="AHPRAbody"/>
        <w:rPr>
          <w:noProof/>
        </w:rPr>
      </w:pPr>
      <w:r>
        <w:t xml:space="preserve">The </w:t>
      </w:r>
      <w:r w:rsidRPr="5AA7423A">
        <w:rPr>
          <w:i/>
          <w:iCs/>
        </w:rPr>
        <w:t>National Healthcare Agreement</w:t>
      </w:r>
      <w:r>
        <w:t xml:space="preserve"> (2022) affirms the agreement of all governments that Australia's health system should provide all Australians with timely access to quality health services based on their needs, not their ability to pay, regardless of where they live in the country. </w:t>
      </w:r>
      <w:r w:rsidRPr="00B86A9A">
        <w:rPr>
          <w:vertAlign w:val="superscript"/>
        </w:rPr>
        <w:t>1</w:t>
      </w:r>
      <w:r w:rsidR="0003463A">
        <w:rPr>
          <w:noProof/>
        </w:rPr>
        <w:t xml:space="preserve"> </w:t>
      </w:r>
    </w:p>
    <w:p w14:paraId="18B1D472" w14:textId="6BDE763A" w:rsidR="00035BDC" w:rsidRPr="009D45BC" w:rsidRDefault="0003463A" w:rsidP="009D45BC">
      <w:pPr>
        <w:pStyle w:val="AHPRAbody"/>
      </w:pPr>
      <w:r w:rsidRPr="009D45BC">
        <w:t xml:space="preserve">An objective of </w:t>
      </w:r>
      <w:r w:rsidR="009D45BC">
        <w:t>the</w:t>
      </w:r>
      <w:r w:rsidRPr="009D45BC">
        <w:t xml:space="preserve"> </w:t>
      </w:r>
      <w:hyperlink r:id="rId8" w:history="1">
        <w:r w:rsidRPr="009D45BC">
          <w:rPr>
            <w:rStyle w:val="Hyperlink"/>
            <w:i/>
            <w:iCs/>
            <w:color w:val="auto"/>
            <w:u w:val="none"/>
          </w:rPr>
          <w:t>National Medicines Policy</w:t>
        </w:r>
      </w:hyperlink>
      <w:r w:rsidR="00692412" w:rsidRPr="009D45BC">
        <w:t xml:space="preserve"> </w:t>
      </w:r>
      <w:r w:rsidR="009D45BC">
        <w:t>(</w:t>
      </w:r>
      <w:r w:rsidR="00692412" w:rsidRPr="009D45BC">
        <w:t>2022</w:t>
      </w:r>
      <w:r w:rsidR="009D45BC">
        <w:t>)</w:t>
      </w:r>
      <w:r w:rsidRPr="009D45BC">
        <w:t xml:space="preserve"> is that all Australian communities receive equitable and timely access to healthcare including medicines. </w:t>
      </w:r>
      <w:r w:rsidR="00EE73B3" w:rsidRPr="009D45BC">
        <w:t>The policy</w:t>
      </w:r>
      <w:r w:rsidR="00C254FF">
        <w:t xml:space="preserve"> </w:t>
      </w:r>
      <w:r w:rsidR="00035BDC" w:rsidRPr="009B4992">
        <w:t>aim</w:t>
      </w:r>
      <w:r w:rsidR="00EE73B3" w:rsidRPr="009B4992">
        <w:t>s</w:t>
      </w:r>
      <w:r w:rsidR="00035BDC" w:rsidRPr="009B4992">
        <w:t xml:space="preserve"> </w:t>
      </w:r>
      <w:r w:rsidR="00035BDC" w:rsidRPr="009D45BC">
        <w:t xml:space="preserve">to ensure </w:t>
      </w:r>
      <w:r w:rsidR="00AF33F3" w:rsidRPr="009D45BC">
        <w:t>the provision of</w:t>
      </w:r>
      <w:r w:rsidR="00035BDC" w:rsidRPr="009D45BC">
        <w:t xml:space="preserve"> timely, safe and affordable access to a high-quality and reliable supply of medicines and medicines-related services for all Australians. This should include </w:t>
      </w:r>
      <w:r w:rsidR="00B238FE" w:rsidRPr="009D45BC">
        <w:t>s</w:t>
      </w:r>
      <w:r w:rsidR="00035BDC" w:rsidRPr="009D45BC">
        <w:t>upport for a positive and sustainable policy and the successful development of medicines and medicines-related services in Australia</w:t>
      </w:r>
      <w:r w:rsidR="00B238FE" w:rsidRPr="009D45BC">
        <w:t xml:space="preserve"> that focus </w:t>
      </w:r>
      <w:r w:rsidR="00F26776">
        <w:t xml:space="preserve">on </w:t>
      </w:r>
      <w:r w:rsidR="00B238FE" w:rsidRPr="009D45BC">
        <w:t xml:space="preserve">person centred care </w:t>
      </w:r>
      <w:r w:rsidR="00187C14" w:rsidRPr="009D45BC">
        <w:t xml:space="preserve">and informed choice. </w:t>
      </w:r>
      <w:r w:rsidR="009B4992">
        <w:rPr>
          <w:vertAlign w:val="superscript"/>
        </w:rPr>
        <w:t>2</w:t>
      </w:r>
    </w:p>
    <w:p w14:paraId="078574FB" w14:textId="4C35B5A9" w:rsidR="007E627E" w:rsidRDefault="00FB52D9" w:rsidP="00216AB8">
      <w:pPr>
        <w:pStyle w:val="AHPRAbody"/>
        <w:outlineLvl w:val="0"/>
      </w:pPr>
      <w:r>
        <w:t>T</w:t>
      </w:r>
      <w:r w:rsidR="007E627E">
        <w:t xml:space="preserve">he Australian Government’s </w:t>
      </w:r>
      <w:r w:rsidR="007E627E" w:rsidRPr="007E627E">
        <w:rPr>
          <w:i/>
          <w:iCs/>
        </w:rPr>
        <w:t>Stronger Rural Health Strategy</w:t>
      </w:r>
      <w:r w:rsidR="007E627E">
        <w:t xml:space="preserve">, </w:t>
      </w:r>
      <w:r w:rsidR="007E627E" w:rsidRPr="007E627E">
        <w:rPr>
          <w:i/>
          <w:iCs/>
        </w:rPr>
        <w:t>Strengthening Medicare Taskforce Report</w:t>
      </w:r>
      <w:r w:rsidR="007E627E">
        <w:t xml:space="preserve"> and </w:t>
      </w:r>
      <w:r w:rsidR="009D45BC" w:rsidRPr="009B4992">
        <w:t>the</w:t>
      </w:r>
      <w:r w:rsidR="009D45BC" w:rsidRPr="007E627E">
        <w:rPr>
          <w:i/>
          <w:iCs/>
        </w:rPr>
        <w:t xml:space="preserve"> </w:t>
      </w:r>
      <w:r w:rsidR="007E627E" w:rsidRPr="007E627E">
        <w:rPr>
          <w:i/>
          <w:iCs/>
        </w:rPr>
        <w:t xml:space="preserve">Future </w:t>
      </w:r>
      <w:r w:rsidR="009D45BC">
        <w:rPr>
          <w:i/>
          <w:iCs/>
        </w:rPr>
        <w:t>f</w:t>
      </w:r>
      <w:r w:rsidR="009D45BC" w:rsidRPr="007E627E">
        <w:rPr>
          <w:i/>
          <w:iCs/>
        </w:rPr>
        <w:t xml:space="preserve">ocused </w:t>
      </w:r>
      <w:r w:rsidR="009D45BC">
        <w:rPr>
          <w:i/>
          <w:iCs/>
        </w:rPr>
        <w:t>p</w:t>
      </w:r>
      <w:r w:rsidR="009D45BC" w:rsidRPr="007E627E">
        <w:rPr>
          <w:i/>
          <w:iCs/>
        </w:rPr>
        <w:t xml:space="preserve">rimary </w:t>
      </w:r>
      <w:r w:rsidR="009D45BC">
        <w:rPr>
          <w:i/>
          <w:iCs/>
        </w:rPr>
        <w:t>h</w:t>
      </w:r>
      <w:r w:rsidR="009D45BC" w:rsidRPr="007E627E">
        <w:rPr>
          <w:i/>
          <w:iCs/>
        </w:rPr>
        <w:t>ealth</w:t>
      </w:r>
      <w:r w:rsidR="009D45BC">
        <w:rPr>
          <w:i/>
          <w:iCs/>
        </w:rPr>
        <w:t xml:space="preserve"> </w:t>
      </w:r>
      <w:r w:rsidR="009D45BC" w:rsidRPr="007E627E">
        <w:rPr>
          <w:i/>
          <w:iCs/>
        </w:rPr>
        <w:t xml:space="preserve">care </w:t>
      </w:r>
      <w:r w:rsidR="007E627E" w:rsidRPr="007E627E">
        <w:rPr>
          <w:i/>
          <w:iCs/>
        </w:rPr>
        <w:t>10</w:t>
      </w:r>
      <w:r w:rsidR="007E627E">
        <w:rPr>
          <w:i/>
          <w:iCs/>
        </w:rPr>
        <w:t>-</w:t>
      </w:r>
      <w:r w:rsidR="007E627E" w:rsidRPr="007E627E">
        <w:rPr>
          <w:i/>
          <w:iCs/>
        </w:rPr>
        <w:t>Year Plan</w:t>
      </w:r>
      <w:r w:rsidR="007E627E">
        <w:t xml:space="preserve"> are examples of strategies that identify areas where RNs have the potential to contribute to improving access to healthcare and improving the health outcomes of health consumers by broadening their scope of practice</w:t>
      </w:r>
      <w:r w:rsidR="00063BB9">
        <w:t>.</w:t>
      </w:r>
      <w:r w:rsidR="009B4992" w:rsidDel="009B4992">
        <w:t xml:space="preserve"> </w:t>
      </w:r>
      <w:r w:rsidR="007E627E" w:rsidRPr="63E8531F">
        <w:rPr>
          <w:vertAlign w:val="superscript"/>
        </w:rPr>
        <w:t>3,4</w:t>
      </w:r>
      <w:r w:rsidR="009B4992">
        <w:rPr>
          <w:vertAlign w:val="superscript"/>
        </w:rPr>
        <w:t xml:space="preserve">,5 </w:t>
      </w:r>
      <w:r w:rsidR="007E627E">
        <w:t>As part of the strateg</w:t>
      </w:r>
      <w:r w:rsidR="00167F05">
        <w:t>ies</w:t>
      </w:r>
      <w:r w:rsidR="007E627E">
        <w:t xml:space="preserve">, strengthening the role of the nursing workforce is critical to delivering increasing </w:t>
      </w:r>
      <w:r w:rsidR="7AAAC2D1">
        <w:t xml:space="preserve">interprofessional </w:t>
      </w:r>
      <w:r w:rsidR="657DCA8C">
        <w:t>practice</w:t>
      </w:r>
      <w:r w:rsidR="007E627E">
        <w:t xml:space="preserve"> and nursing-based models of primary healthcare across rural and remote communities</w:t>
      </w:r>
      <w:r w:rsidR="00566CD3">
        <w:t>. Allowing nurses to work to their full scope of practice</w:t>
      </w:r>
      <w:r w:rsidR="007E627E">
        <w:t xml:space="preserve"> can </w:t>
      </w:r>
      <w:r w:rsidR="00566CD3">
        <w:t xml:space="preserve">expand </w:t>
      </w:r>
      <w:r w:rsidR="007E627E">
        <w:t>access to care, improve case management and care coordination, reduce the need for hospitalisations and emergency department use and improve patient care results.</w:t>
      </w:r>
    </w:p>
    <w:p w14:paraId="46E55B35" w14:textId="641555BD" w:rsidR="003821FE" w:rsidRDefault="00C831B6" w:rsidP="00216AB8">
      <w:pPr>
        <w:pStyle w:val="AHPRAbody"/>
        <w:outlineLvl w:val="0"/>
        <w:rPr>
          <w:vertAlign w:val="superscript"/>
        </w:rPr>
      </w:pPr>
      <w:r>
        <w:t>These objectives</w:t>
      </w:r>
      <w:r w:rsidR="003821FE">
        <w:t xml:space="preserve"> align</w:t>
      </w:r>
      <w:r w:rsidR="00E55B8A">
        <w:t xml:space="preserve"> with the</w:t>
      </w:r>
      <w:r w:rsidR="003821FE">
        <w:t xml:space="preserve"> National</w:t>
      </w:r>
      <w:r w:rsidR="00E55B8A">
        <w:t xml:space="preserve"> Accreditation and Registration Scheme</w:t>
      </w:r>
      <w:r w:rsidR="003821FE">
        <w:t xml:space="preserve"> </w:t>
      </w:r>
      <w:r w:rsidR="009D45BC">
        <w:t xml:space="preserve">(the National Scheme) </w:t>
      </w:r>
      <w:r w:rsidR="0039519C">
        <w:t xml:space="preserve">which aims to </w:t>
      </w:r>
      <w:r w:rsidR="009E354F">
        <w:t>facilitate</w:t>
      </w:r>
      <w:r w:rsidR="61F31625">
        <w:t xml:space="preserve"> </w:t>
      </w:r>
      <w:r w:rsidR="003821FE">
        <w:t xml:space="preserve">workforce mobility across Australia, enabling </w:t>
      </w:r>
      <w:r w:rsidR="00B121F9">
        <w:t>the</w:t>
      </w:r>
      <w:r w:rsidR="003821FE">
        <w:t xml:space="preserve"> </w:t>
      </w:r>
      <w:r w:rsidR="00B121F9">
        <w:t>evidence-based</w:t>
      </w:r>
      <w:r w:rsidR="003821FE">
        <w:t xml:space="preserve"> development of a flexible, responsive and sustainable Australian health workforce</w:t>
      </w:r>
      <w:r w:rsidR="00DA2CD8">
        <w:t xml:space="preserve">. </w:t>
      </w:r>
      <w:r w:rsidR="009B4992">
        <w:rPr>
          <w:vertAlign w:val="superscript"/>
        </w:rPr>
        <w:t>6</w:t>
      </w:r>
    </w:p>
    <w:p w14:paraId="25E57DA7" w14:textId="5C8B9927" w:rsidR="007E627E" w:rsidRDefault="007E627E" w:rsidP="00216AB8">
      <w:pPr>
        <w:pStyle w:val="AHPRAbody"/>
        <w:outlineLvl w:val="0"/>
      </w:pPr>
      <w:r>
        <w:t xml:space="preserve">Investing in advanced models of care for the nursing workforce contributes to healthcare system effectiveness </w:t>
      </w:r>
      <w:r w:rsidR="009D45BC">
        <w:t xml:space="preserve">by </w:t>
      </w:r>
      <w:r>
        <w:t>recruiting and retaining nurses across various health contexts</w:t>
      </w:r>
      <w:r w:rsidR="009D45BC">
        <w:t>.</w:t>
      </w:r>
      <w:r>
        <w:t xml:space="preserve"> </w:t>
      </w:r>
      <w:r w:rsidR="009D45BC">
        <w:t>I</w:t>
      </w:r>
      <w:r>
        <w:t>t also deliver</w:t>
      </w:r>
      <w:r w:rsidR="009D45BC">
        <w:t xml:space="preserve">s </w:t>
      </w:r>
      <w:r>
        <w:t>improved collaborative practices that extend beyond traditional boundaries to maximise equity across healthcare and respond to growing demands in health and population needs.</w:t>
      </w:r>
    </w:p>
    <w:p w14:paraId="7012398B" w14:textId="6C4F48DA" w:rsidR="007E627E" w:rsidRDefault="007E627E" w:rsidP="00216AB8">
      <w:pPr>
        <w:pStyle w:val="AHPRAbody"/>
        <w:outlineLvl w:val="0"/>
      </w:pPr>
      <w:r>
        <w:t xml:space="preserve">The roles and opportunities for all health professionals to </w:t>
      </w:r>
      <w:r w:rsidR="00AE7389">
        <w:t>evolve</w:t>
      </w:r>
      <w:r>
        <w:t xml:space="preserve"> are continually </w:t>
      </w:r>
      <w:r w:rsidR="00B24AFE">
        <w:t>opening up</w:t>
      </w:r>
      <w:r>
        <w:t>. There is considerable scope for innovative approaches to improve healthcare delivery that make better use of nursing skills and knowledge. The COVID-19 pandemic has had wide ranging impacts on the health of the Australian community. Lockdowns have led to an increase in the number of people who have had their health issues either not managed or access to treatment delayed. The ongoing impacts of long COVID-19 is likely to see an increase in people seeking healthcare and has the potential to create longer delays in people being able to access health practitioners when they need to do so.</w:t>
      </w:r>
    </w:p>
    <w:p w14:paraId="06368D73" w14:textId="4FD69C9B" w:rsidR="007E627E" w:rsidRDefault="007E627E" w:rsidP="00216AB8">
      <w:pPr>
        <w:pStyle w:val="AHPRAbody"/>
        <w:outlineLvl w:val="0"/>
      </w:pPr>
      <w:r>
        <w:t xml:space="preserve">The COVID-19 pandemic demonstrated the importance of the nursing workforce in adapting to the unexpected and unprecedented surges in demand for care to ensure continuity and safe care for all. It also highlighted the importance and critical need for innovative roles such as nurse led models of care within the multidisciplinary and primary healthcare team to be able to deliver sustainable and successful health system responses for the future that are resilient against public healthcare emergencies. </w:t>
      </w:r>
    </w:p>
    <w:p w14:paraId="75DD234E" w14:textId="415B2D27" w:rsidR="007E627E" w:rsidRDefault="007E627E" w:rsidP="00216AB8">
      <w:pPr>
        <w:pStyle w:val="AHPRAbody"/>
        <w:outlineLvl w:val="0"/>
      </w:pPr>
      <w:r>
        <w:t xml:space="preserve">Investment in the development of advanced roles for nurses would </w:t>
      </w:r>
      <w:r w:rsidR="00D37092">
        <w:t>help alleviate the strain on the health system</w:t>
      </w:r>
      <w:r>
        <w:t xml:space="preserve"> created as a by-product of the COVID-19 pandemic</w:t>
      </w:r>
      <w:r w:rsidR="00694BF1">
        <w:t xml:space="preserve"> and ongoing population health issues</w:t>
      </w:r>
      <w:r>
        <w:t xml:space="preserve">. These include people living with chronic conditions who have suffered a disruption in care routines and those who have not accessed care throughout the pandemic, however, are highly vulnerable to complications. </w:t>
      </w:r>
    </w:p>
    <w:p w14:paraId="3FA05FD2" w14:textId="2C8A628B" w:rsidR="007E627E" w:rsidRDefault="007E627E" w:rsidP="00216AB8">
      <w:pPr>
        <w:pStyle w:val="AHPRAbody"/>
        <w:outlineLvl w:val="0"/>
      </w:pPr>
      <w:r>
        <w:lastRenderedPageBreak/>
        <w:t xml:space="preserve">The World Health Organisation </w:t>
      </w:r>
      <w:r w:rsidRPr="009B4992">
        <w:rPr>
          <w:i/>
          <w:iCs/>
        </w:rPr>
        <w:t>State of the World’s Nursing 2020</w:t>
      </w:r>
      <w:r>
        <w:t xml:space="preserve"> report recognised that nurses are critical to achieving universal health coverage. The United Nations predicts that there will 1.6 billion people over the age of 65 years by 2050. </w:t>
      </w:r>
      <w:r w:rsidR="00EE24FC">
        <w:t>The</w:t>
      </w:r>
      <w:r>
        <w:t xml:space="preserve"> </w:t>
      </w:r>
      <w:r w:rsidR="00EE24FC">
        <w:t xml:space="preserve">growth </w:t>
      </w:r>
      <w:r>
        <w:t xml:space="preserve">in life expectancy </w:t>
      </w:r>
      <w:r w:rsidR="00297528">
        <w:t>will likely</w:t>
      </w:r>
      <w:r>
        <w:t xml:space="preserve"> increase the burden of disease and </w:t>
      </w:r>
      <w:r w:rsidR="009B4992">
        <w:t xml:space="preserve">the associated </w:t>
      </w:r>
      <w:r>
        <w:t xml:space="preserve">chronic complex comorbidities that place even the most comprehensive health systems under strain. </w:t>
      </w:r>
      <w:r w:rsidR="009B4992">
        <w:rPr>
          <w:vertAlign w:val="superscript"/>
        </w:rPr>
        <w:t>7</w:t>
      </w:r>
    </w:p>
    <w:p w14:paraId="0688D821" w14:textId="2EDFC0A6" w:rsidR="007E627E" w:rsidRDefault="007E627E" w:rsidP="00216AB8">
      <w:pPr>
        <w:pStyle w:val="AHPRAbody"/>
        <w:outlineLvl w:val="0"/>
      </w:pPr>
      <w:r>
        <w:t xml:space="preserve">RNs are integral </w:t>
      </w:r>
      <w:r w:rsidR="00E37022">
        <w:t xml:space="preserve">to </w:t>
      </w:r>
      <w:r>
        <w:t>the delivery of all facets of healthcare</w:t>
      </w:r>
      <w:r w:rsidR="005551E2">
        <w:t xml:space="preserve">. Expanding </w:t>
      </w:r>
      <w:r>
        <w:t xml:space="preserve">the scope of practice of RNs provides opportunity to develop innovative models of prescribing that deliver safe, timely and effective access to medicines to all consumers. </w:t>
      </w:r>
      <w:r w:rsidR="005551E2">
        <w:t>Enabling RNs</w:t>
      </w:r>
      <w:r>
        <w:t xml:space="preserve"> to prescribe scheduled medicines </w:t>
      </w:r>
      <w:r w:rsidR="00E10BD4">
        <w:t>could allow them to</w:t>
      </w:r>
      <w:r>
        <w:t xml:space="preserve"> respond to the growing demands in health and population needs and enhance healthcare system efficiency.</w:t>
      </w:r>
    </w:p>
    <w:p w14:paraId="4AD81F7D" w14:textId="5E0A606D" w:rsidR="007E627E" w:rsidRDefault="007E627E" w:rsidP="00216AB8">
      <w:pPr>
        <w:pStyle w:val="AHPRAbody"/>
        <w:outlineLvl w:val="0"/>
      </w:pPr>
      <w:r>
        <w:t xml:space="preserve">There are a range of areas where RNs can expand their scope of practice to aid in addressing these issues, the most significant being for RNs to be able to prescribe scheduled medicines. In Australia, RNs are currently able to administer, supply, and adjust medicines. Enabling RNs to safely prescribe medicines in a supervised and collaborative prescribing model has the potential to assist with improving access to healthcare. Additionally, the International Council of Nurses </w:t>
      </w:r>
      <w:r w:rsidRPr="009B4992">
        <w:rPr>
          <w:i/>
          <w:iCs/>
        </w:rPr>
        <w:t>Recover to Rebuild: Investing in the Nursing Workforce for Health System Effectiveness</w:t>
      </w:r>
      <w:r>
        <w:t xml:space="preserve"> </w:t>
      </w:r>
      <w:r w:rsidR="005551E2">
        <w:t xml:space="preserve">(2023) </w:t>
      </w:r>
      <w:r w:rsidR="009B4992">
        <w:t>report found</w:t>
      </w:r>
      <w:r>
        <w:t xml:space="preserve"> that employing advanced models of care for RNs</w:t>
      </w:r>
      <w:r w:rsidR="005551E2">
        <w:t>,</w:t>
      </w:r>
      <w:r>
        <w:t xml:space="preserve"> including the ability to prescribe, could assist in rebuilding the nursing workforce through advanced practice that provides increased career opportunities and assists in recruitment and retention across various healthcare contexts. </w:t>
      </w:r>
      <w:r w:rsidR="009B4992">
        <w:rPr>
          <w:vertAlign w:val="superscript"/>
        </w:rPr>
        <w:t>8</w:t>
      </w:r>
    </w:p>
    <w:p w14:paraId="603CCC69" w14:textId="12330C74" w:rsidR="007E627E" w:rsidRDefault="00CE2955" w:rsidP="00216AB8">
      <w:pPr>
        <w:pStyle w:val="AHPRAbody"/>
        <w:outlineLvl w:val="0"/>
      </w:pPr>
      <w:r>
        <w:t xml:space="preserve">The </w:t>
      </w:r>
      <w:r w:rsidR="007E627E">
        <w:t xml:space="preserve">NMBA </w:t>
      </w:r>
      <w:r w:rsidR="00082468">
        <w:t>and</w:t>
      </w:r>
      <w:r w:rsidR="009772B7">
        <w:t xml:space="preserve"> the </w:t>
      </w:r>
      <w:r w:rsidR="007E627E">
        <w:t xml:space="preserve">ANZCCNMO </w:t>
      </w:r>
      <w:r>
        <w:t xml:space="preserve">have </w:t>
      </w:r>
      <w:r w:rsidR="007E627E">
        <w:t xml:space="preserve">developed options for </w:t>
      </w:r>
      <w:r>
        <w:t xml:space="preserve">RN </w:t>
      </w:r>
      <w:r w:rsidR="007E627E">
        <w:t xml:space="preserve">prescribing models </w:t>
      </w:r>
      <w:r>
        <w:t>to align with the key healthcare strategies of the Australian Government.</w:t>
      </w:r>
      <w:r w:rsidR="007E627E">
        <w:t xml:space="preserve"> Implementing designated </w:t>
      </w:r>
      <w:r w:rsidR="60FE38E7">
        <w:t>RN</w:t>
      </w:r>
      <w:r w:rsidR="007E627E">
        <w:t xml:space="preserve"> prescribing for appropriately trained and supported nurses to prescribe within </w:t>
      </w:r>
      <w:r w:rsidR="4CDE90D3">
        <w:t>and to their</w:t>
      </w:r>
      <w:r w:rsidR="007E627E">
        <w:t xml:space="preserve"> scope of practice across healthcare settings is likely to reduce the pressure on Australia’s healthcare system and increase timely access to care and medications. These innovative models of care can also meet the needs of Australians living in rural and remote areas, disadvantaged Australians and those who do not access mainstream</w:t>
      </w:r>
      <w:r>
        <w:t xml:space="preserve"> healthcare</w:t>
      </w:r>
      <w:r w:rsidR="007E627E">
        <w:t xml:space="preserve"> services. These models also have the potential to alleviate the pressure </w:t>
      </w:r>
      <w:r w:rsidR="744E38A7">
        <w:t xml:space="preserve">points </w:t>
      </w:r>
      <w:r w:rsidR="00E44817">
        <w:t>across</w:t>
      </w:r>
      <w:r w:rsidR="744E38A7">
        <w:t xml:space="preserve"> acute and primary care and where</w:t>
      </w:r>
      <w:r w:rsidR="007E627E">
        <w:t xml:space="preserve"> access to general practitioner appointments, particularly in areas experiencing workforce shortages</w:t>
      </w:r>
      <w:r w:rsidR="582B682F">
        <w:t xml:space="preserve"> is problematic for healthcare consumers</w:t>
      </w:r>
      <w:r w:rsidR="007E627E">
        <w:t xml:space="preserve">. Models of RN prescribing, particularly across the acute and primary care setting, </w:t>
      </w:r>
      <w:r w:rsidR="00BF1434">
        <w:t xml:space="preserve">are </w:t>
      </w:r>
      <w:r w:rsidR="007E627E">
        <w:t xml:space="preserve">likely to facilitate flexible service delivery to meet healthcare consumer needs. </w:t>
      </w:r>
    </w:p>
    <w:p w14:paraId="177AB55C" w14:textId="7EEC89BB" w:rsidR="007E627E" w:rsidRDefault="7C2B8BEA" w:rsidP="00216AB8">
      <w:pPr>
        <w:pStyle w:val="AHPRAbody"/>
        <w:outlineLvl w:val="0"/>
      </w:pPr>
      <w:r>
        <w:t xml:space="preserve">The issues Paper </w:t>
      </w:r>
      <w:r w:rsidR="3381F0C8">
        <w:t xml:space="preserve">1 </w:t>
      </w:r>
      <w:r>
        <w:t xml:space="preserve">as part of Phase </w:t>
      </w:r>
      <w:r w:rsidR="002346FB">
        <w:t xml:space="preserve">2 </w:t>
      </w:r>
      <w:r w:rsidR="4B208EA7">
        <w:t>of the</w:t>
      </w:r>
      <w:r w:rsidR="7D6180FE" w:rsidDel="009C188D">
        <w:t xml:space="preserve"> </w:t>
      </w:r>
      <w:r w:rsidR="27960F46" w:rsidRPr="00E12625">
        <w:rPr>
          <w:i/>
        </w:rPr>
        <w:t>U</w:t>
      </w:r>
      <w:r w:rsidR="004D3375" w:rsidRPr="00E12625">
        <w:rPr>
          <w:i/>
        </w:rPr>
        <w:t xml:space="preserve">nleashing the Potential of our Health Workforce – Scope of </w:t>
      </w:r>
      <w:r w:rsidR="74590F08" w:rsidRPr="34D773CE">
        <w:rPr>
          <w:i/>
          <w:iCs/>
        </w:rPr>
        <w:t>P</w:t>
      </w:r>
      <w:r w:rsidR="004D3375" w:rsidRPr="00E12625">
        <w:rPr>
          <w:i/>
          <w:iCs/>
        </w:rPr>
        <w:t xml:space="preserve">ractice </w:t>
      </w:r>
      <w:r w:rsidR="386F70F8" w:rsidRPr="34D773CE">
        <w:rPr>
          <w:i/>
          <w:iCs/>
        </w:rPr>
        <w:t>Independent</w:t>
      </w:r>
      <w:r w:rsidR="004D3375" w:rsidRPr="34D773CE">
        <w:rPr>
          <w:i/>
        </w:rPr>
        <w:t xml:space="preserve"> </w:t>
      </w:r>
      <w:r w:rsidR="002346FB" w:rsidRPr="002346FB">
        <w:rPr>
          <w:i/>
        </w:rPr>
        <w:t>Review</w:t>
      </w:r>
      <w:r w:rsidR="0026681A">
        <w:rPr>
          <w:i/>
        </w:rPr>
        <w:t>,</w:t>
      </w:r>
      <w:r w:rsidR="002346FB" w:rsidRPr="75252113">
        <w:rPr>
          <w:i/>
        </w:rPr>
        <w:t xml:space="preserve"> </w:t>
      </w:r>
      <w:r w:rsidR="002346FB">
        <w:t>released</w:t>
      </w:r>
      <w:r w:rsidR="2AC99CBE">
        <w:t xml:space="preserve"> </w:t>
      </w:r>
      <w:r w:rsidR="004D3375">
        <w:t>23 January 2024</w:t>
      </w:r>
      <w:r w:rsidR="0026681A">
        <w:t>,</w:t>
      </w:r>
      <w:r w:rsidR="00653357">
        <w:t xml:space="preserve"> </w:t>
      </w:r>
      <w:r w:rsidR="007E3463">
        <w:t>provides</w:t>
      </w:r>
      <w:r w:rsidR="00484E1D">
        <w:t xml:space="preserve"> </w:t>
      </w:r>
      <w:r w:rsidR="3F50BC5C">
        <w:t>strong</w:t>
      </w:r>
      <w:r w:rsidR="7E85D320">
        <w:t xml:space="preserve"> </w:t>
      </w:r>
      <w:r w:rsidR="082C1DEF">
        <w:t xml:space="preserve">evidence </w:t>
      </w:r>
      <w:r w:rsidR="44838558">
        <w:t>from the literature review</w:t>
      </w:r>
      <w:r w:rsidR="00222CB4">
        <w:t xml:space="preserve"> and</w:t>
      </w:r>
      <w:r w:rsidR="70C758AD">
        <w:t xml:space="preserve"> </w:t>
      </w:r>
      <w:r w:rsidR="0009121A">
        <w:t>advocates</w:t>
      </w:r>
      <w:r w:rsidR="4BC3D6B8">
        <w:t xml:space="preserve"> </w:t>
      </w:r>
      <w:r w:rsidR="73A466F3">
        <w:t>that</w:t>
      </w:r>
      <w:r w:rsidR="2CA47979">
        <w:t xml:space="preserve"> when</w:t>
      </w:r>
      <w:r w:rsidR="73A466F3">
        <w:t xml:space="preserve"> health</w:t>
      </w:r>
      <w:r w:rsidR="7BFDFA81">
        <w:t xml:space="preserve"> care professionals</w:t>
      </w:r>
      <w:r w:rsidR="7AF62F98">
        <w:t xml:space="preserve"> </w:t>
      </w:r>
      <w:r w:rsidR="27B15434">
        <w:t>are</w:t>
      </w:r>
      <w:r w:rsidR="47684E53">
        <w:t xml:space="preserve"> </w:t>
      </w:r>
      <w:r w:rsidR="1BA80EED">
        <w:t>able</w:t>
      </w:r>
      <w:r w:rsidR="47684E53">
        <w:t xml:space="preserve"> to </w:t>
      </w:r>
      <w:r w:rsidR="7BFDFA81">
        <w:t>work to full scope of practice</w:t>
      </w:r>
      <w:r w:rsidR="00222CB4">
        <w:t>,</w:t>
      </w:r>
      <w:r w:rsidR="7BFDFA81">
        <w:t xml:space="preserve"> consumer access to </w:t>
      </w:r>
      <w:r w:rsidR="3C8A12F1">
        <w:t>healthcare</w:t>
      </w:r>
      <w:r w:rsidR="00222CB4">
        <w:t xml:space="preserve">, </w:t>
      </w:r>
      <w:r w:rsidR="106F0F39">
        <w:t>healthcare</w:t>
      </w:r>
      <w:r w:rsidR="7BFDFA81">
        <w:t xml:space="preserve"> experiences </w:t>
      </w:r>
      <w:r w:rsidR="4869BF4D">
        <w:t xml:space="preserve">and </w:t>
      </w:r>
      <w:r w:rsidR="09E07F35">
        <w:t>health</w:t>
      </w:r>
      <w:r w:rsidR="4869BF4D">
        <w:t xml:space="preserve"> </w:t>
      </w:r>
      <w:r w:rsidR="77DCAF61">
        <w:t>outcomes</w:t>
      </w:r>
      <w:r w:rsidR="4869BF4D">
        <w:t xml:space="preserve"> ar</w:t>
      </w:r>
      <w:r w:rsidR="78E0B10C">
        <w:t xml:space="preserve">e </w:t>
      </w:r>
      <w:r w:rsidR="342A95AE">
        <w:t>improved</w:t>
      </w:r>
      <w:r w:rsidR="20A947DB">
        <w:t xml:space="preserve">. </w:t>
      </w:r>
      <w:r w:rsidR="002346FB">
        <w:t>Additionally,</w:t>
      </w:r>
      <w:r w:rsidR="07CD2ABD">
        <w:t xml:space="preserve"> this creates health care system </w:t>
      </w:r>
      <w:r w:rsidR="20A947DB">
        <w:t>efficiencies</w:t>
      </w:r>
      <w:r w:rsidR="3320D287">
        <w:t xml:space="preserve"> through decreased</w:t>
      </w:r>
      <w:r w:rsidR="0A71F4F7">
        <w:t xml:space="preserve"> pressure on the </w:t>
      </w:r>
      <w:r w:rsidR="74C296B7">
        <w:t xml:space="preserve">acute </w:t>
      </w:r>
      <w:r w:rsidR="6FF8D887">
        <w:t>care sector</w:t>
      </w:r>
      <w:r w:rsidR="74C296B7">
        <w:t xml:space="preserve">, </w:t>
      </w:r>
      <w:r w:rsidR="37DF0CC4">
        <w:t>improved</w:t>
      </w:r>
      <w:r w:rsidR="74C296B7">
        <w:t xml:space="preserve"> role utilisation and increased </w:t>
      </w:r>
      <w:r w:rsidR="3CA174E6">
        <w:t xml:space="preserve">retention of health professionals. </w:t>
      </w:r>
      <w:r w:rsidR="009B4992">
        <w:rPr>
          <w:vertAlign w:val="superscript"/>
        </w:rPr>
        <w:t>9</w:t>
      </w:r>
      <w:r w:rsidR="0026681A">
        <w:rPr>
          <w:vertAlign w:val="superscript"/>
        </w:rPr>
        <w:t xml:space="preserve">  </w:t>
      </w:r>
      <w:r w:rsidR="007E627E">
        <w:t xml:space="preserve">This decision regulation impact statement (D-RIS) evaluates the potential impacts of the proposed expansion of the scope of practice of RNs to enable them to safely prescribe scheduled medicines through the development of the proposed Registration standard: Endorsement for scheduled medicines − designated registered nurse prescriber (proposed registration standard). </w:t>
      </w:r>
    </w:p>
    <w:p w14:paraId="598C3C66" w14:textId="0068FCC7" w:rsidR="007E627E" w:rsidRDefault="007E627E" w:rsidP="00216AB8">
      <w:pPr>
        <w:pStyle w:val="AHPRAbody"/>
        <w:outlineLvl w:val="0"/>
      </w:pPr>
      <w:r>
        <w:t>The D-RIS is informed by extensive consultation undertaken with both health professions and the public</w:t>
      </w:r>
      <w:r w:rsidR="004455F5">
        <w:t>.</w:t>
      </w:r>
      <w:r>
        <w:t xml:space="preserve"> It describes the objectives</w:t>
      </w:r>
      <w:r w:rsidR="003F1815">
        <w:t xml:space="preserve"> and </w:t>
      </w:r>
      <w:r w:rsidR="000547BE">
        <w:t>evaluat</w:t>
      </w:r>
      <w:r w:rsidR="00CE2955">
        <w:t>es</w:t>
      </w:r>
      <w:r w:rsidR="000547BE">
        <w:t xml:space="preserve"> </w:t>
      </w:r>
      <w:r w:rsidR="00B84831">
        <w:t xml:space="preserve">the </w:t>
      </w:r>
      <w:r w:rsidR="008F465C">
        <w:t>options</w:t>
      </w:r>
      <w:r w:rsidR="00B84831">
        <w:t xml:space="preserve"> proposed </w:t>
      </w:r>
      <w:r w:rsidR="00CE2955">
        <w:t>based on feedback to the C-RIS</w:t>
      </w:r>
      <w:r w:rsidR="0026681A">
        <w:t>. The</w:t>
      </w:r>
      <w:r w:rsidR="00F14502">
        <w:t xml:space="preserve"> </w:t>
      </w:r>
      <w:r>
        <w:t>preferred option</w:t>
      </w:r>
      <w:r w:rsidR="00D710EE">
        <w:t xml:space="preserve"> </w:t>
      </w:r>
      <w:r w:rsidR="0026681A">
        <w:t xml:space="preserve">is </w:t>
      </w:r>
      <w:r w:rsidR="00D710EE">
        <w:t>to</w:t>
      </w:r>
      <w:r w:rsidR="00383242">
        <w:t xml:space="preserve"> </w:t>
      </w:r>
      <w:r w:rsidR="00CE2955">
        <w:t xml:space="preserve">enable </w:t>
      </w:r>
      <w:r w:rsidR="00383242">
        <w:t>RN</w:t>
      </w:r>
      <w:r w:rsidR="00B72523">
        <w:t>s</w:t>
      </w:r>
      <w:r w:rsidR="00383242">
        <w:t xml:space="preserve"> to prescribe </w:t>
      </w:r>
      <w:r w:rsidR="00277413">
        <w:t xml:space="preserve">scheduled </w:t>
      </w:r>
      <w:r w:rsidR="00461227">
        <w:t>2,</w:t>
      </w:r>
      <w:r w:rsidR="00395860">
        <w:t xml:space="preserve">3,4 and 8 </w:t>
      </w:r>
      <w:r w:rsidR="00CE2955">
        <w:t xml:space="preserve">medicines </w:t>
      </w:r>
      <w:r w:rsidR="002B3A56">
        <w:t>under supervision, in accordance with governance frameworks and prescribing agreements</w:t>
      </w:r>
      <w:r w:rsidR="000E676C">
        <w:t xml:space="preserve">. </w:t>
      </w:r>
      <w:r w:rsidR="005E61EC" w:rsidRPr="009B4992">
        <w:t>The D</w:t>
      </w:r>
      <w:r w:rsidR="009C09E1" w:rsidRPr="009B4992">
        <w:t>-RIS</w:t>
      </w:r>
      <w:r w:rsidR="00E22573" w:rsidRPr="009B4992">
        <w:t xml:space="preserve"> outlines</w:t>
      </w:r>
      <w:r w:rsidR="008658ED" w:rsidRPr="009B4992">
        <w:t xml:space="preserve"> </w:t>
      </w:r>
      <w:r w:rsidR="007E4784" w:rsidRPr="009B4992">
        <w:t xml:space="preserve">the </w:t>
      </w:r>
      <w:r w:rsidR="00290AE9" w:rsidRPr="009B4992">
        <w:t xml:space="preserve">regulatory </w:t>
      </w:r>
      <w:r w:rsidRPr="009B4992">
        <w:t>impact</w:t>
      </w:r>
      <w:r w:rsidR="00CE2955" w:rsidRPr="009B4992">
        <w:t>s</w:t>
      </w:r>
      <w:r w:rsidRPr="009B4992">
        <w:t xml:space="preserve"> (risks, costs and benefits) of the proposed </w:t>
      </w:r>
      <w:r w:rsidR="00290AE9" w:rsidRPr="009B4992">
        <w:t xml:space="preserve">registration </w:t>
      </w:r>
      <w:r w:rsidRPr="009B4992">
        <w:t>standard</w:t>
      </w:r>
      <w:r w:rsidR="009A56B7" w:rsidRPr="009B4992">
        <w:t xml:space="preserve"> </w:t>
      </w:r>
      <w:r w:rsidRPr="009B4992">
        <w:t>to better inform the regulatory, social</w:t>
      </w:r>
      <w:r w:rsidR="00B53C20" w:rsidRPr="009B4992">
        <w:t>, economic</w:t>
      </w:r>
      <w:r w:rsidRPr="009B4992">
        <w:t xml:space="preserve"> and health impact</w:t>
      </w:r>
      <w:r w:rsidR="0078192A" w:rsidRPr="009B4992">
        <w:t xml:space="preserve"> outcomes </w:t>
      </w:r>
      <w:r w:rsidR="00483261" w:rsidRPr="009B4992">
        <w:t>as a result of the prospective change</w:t>
      </w:r>
      <w:r w:rsidR="009B4992" w:rsidRPr="009B4992">
        <w:t>.</w:t>
      </w:r>
    </w:p>
    <w:p w14:paraId="672CFDD8" w14:textId="296A57D1" w:rsidR="00706065" w:rsidRDefault="007E627E" w:rsidP="00216AB8">
      <w:pPr>
        <w:pStyle w:val="AHPRAbody"/>
        <w:outlineLvl w:val="0"/>
      </w:pPr>
      <w:r>
        <w:t>It should be noted that nurse practitioner (NP) prescribing is out of scope for this D-RIS, as NPs already have authority to autonomously prescribe within their scope of practice.</w:t>
      </w:r>
      <w:r w:rsidR="43463BB7">
        <w:t xml:space="preserve"> It is also important to note that the NMBA and Ahpra do not have </w:t>
      </w:r>
      <w:r w:rsidR="678EC06D">
        <w:t>responsibility</w:t>
      </w:r>
      <w:r w:rsidR="43463BB7">
        <w:t xml:space="preserve"> for developing health </w:t>
      </w:r>
      <w:r w:rsidR="00E722A7">
        <w:t>system</w:t>
      </w:r>
      <w:r w:rsidR="43463BB7">
        <w:t xml:space="preserve"> requirements such as clinical governance structures </w:t>
      </w:r>
      <w:r w:rsidR="02D5BE26">
        <w:t>within healthcare organisations</w:t>
      </w:r>
      <w:r w:rsidR="228A7536">
        <w:t xml:space="preserve"> or </w:t>
      </w:r>
      <w:r w:rsidR="0B6FACD8">
        <w:t>developing</w:t>
      </w:r>
      <w:r w:rsidR="228A7536">
        <w:t xml:space="preserve"> and integrating endorsed designated RN prescribers into </w:t>
      </w:r>
      <w:r w:rsidR="00E722A7">
        <w:t>health</w:t>
      </w:r>
      <w:r w:rsidR="228A7536">
        <w:t xml:space="preserve"> funding </w:t>
      </w:r>
      <w:r w:rsidR="00E722A7">
        <w:t>systems</w:t>
      </w:r>
      <w:r w:rsidR="228A7536">
        <w:t xml:space="preserve"> such as the </w:t>
      </w:r>
      <w:r w:rsidR="79C14FB3">
        <w:t>Pharmaceutical Benefits Scheme (PBS) and Medical Benefits Schedule (MBS).</w:t>
      </w:r>
    </w:p>
    <w:p w14:paraId="1E781FFD" w14:textId="322FAC70" w:rsidR="00706065" w:rsidRDefault="00706065" w:rsidP="716C730B">
      <w:pPr>
        <w:pStyle w:val="AHPRAbody"/>
        <w:spacing w:after="0"/>
        <w:outlineLvl w:val="0"/>
      </w:pPr>
    </w:p>
    <w:p w14:paraId="20AB0382" w14:textId="260B057B" w:rsidR="00706065" w:rsidRDefault="00706065" w:rsidP="716C730B">
      <w:pPr>
        <w:pStyle w:val="AHPRAbody"/>
        <w:spacing w:after="0"/>
        <w:outlineLvl w:val="0"/>
        <w:rPr>
          <w:rFonts w:eastAsia="Arial"/>
          <w:szCs w:val="20"/>
        </w:rPr>
      </w:pPr>
      <w:r>
        <w:br w:type="page"/>
      </w:r>
    </w:p>
    <w:p w14:paraId="4A4690BE" w14:textId="77777777" w:rsidR="00706065" w:rsidRDefault="00706065" w:rsidP="00216AB8">
      <w:pPr>
        <w:pStyle w:val="AHPRADocumentsubheading"/>
      </w:pPr>
      <w:bookmarkStart w:id="14" w:name="_Toc164692694"/>
      <w:r>
        <w:lastRenderedPageBreak/>
        <w:t>Background</w:t>
      </w:r>
      <w:bookmarkEnd w:id="14"/>
      <w:r>
        <w:t xml:space="preserve"> </w:t>
      </w:r>
    </w:p>
    <w:p w14:paraId="102BA770" w14:textId="77777777" w:rsidR="00706065" w:rsidRDefault="00706065" w:rsidP="00216AB8">
      <w:pPr>
        <w:pStyle w:val="AHPRASubheading"/>
        <w:outlineLvl w:val="0"/>
      </w:pPr>
      <w:bookmarkStart w:id="15" w:name="_Toc164692695"/>
      <w:r>
        <w:t>The role of the NMBA and the National Law</w:t>
      </w:r>
      <w:bookmarkEnd w:id="15"/>
      <w:r>
        <w:t xml:space="preserve"> </w:t>
      </w:r>
    </w:p>
    <w:p w14:paraId="75C32211" w14:textId="5A7E02AE" w:rsidR="00706065" w:rsidRDefault="00706065" w:rsidP="00216AB8">
      <w:pPr>
        <w:pStyle w:val="AHPRAbody"/>
        <w:outlineLvl w:val="0"/>
      </w:pPr>
      <w:r>
        <w:t xml:space="preserve">The NMBA is one of 15 National Boards in the National Scheme. The National Scheme is governed by the Health Practitioner Regulation National Law </w:t>
      </w:r>
      <w:r w:rsidR="000F30F2">
        <w:t xml:space="preserve">(the National Law) </w:t>
      </w:r>
      <w:r>
        <w:t>as in force in each state and territory</w:t>
      </w:r>
      <w:r w:rsidR="000F30F2">
        <w:t>.</w:t>
      </w:r>
      <w:r>
        <w:t xml:space="preserve"> </w:t>
      </w:r>
      <w:r w:rsidR="009B4992" w:rsidRPr="009B4992">
        <w:rPr>
          <w:rStyle w:val="cf01"/>
          <w:rFonts w:ascii="Arial" w:hAnsi="Arial" w:cs="Arial"/>
          <w:sz w:val="20"/>
          <w:szCs w:val="20"/>
        </w:rPr>
        <w:t>The NMBA regulates the practice</w:t>
      </w:r>
      <w:r w:rsidR="009B4992">
        <w:rPr>
          <w:rStyle w:val="cf01"/>
        </w:rPr>
        <w:t xml:space="preserve"> </w:t>
      </w:r>
      <w:r w:rsidR="009B4992" w:rsidRPr="009B4992">
        <w:rPr>
          <w:rStyle w:val="cf01"/>
          <w:rFonts w:ascii="Arial" w:hAnsi="Arial" w:cs="Arial"/>
          <w:sz w:val="20"/>
          <w:szCs w:val="20"/>
        </w:rPr>
        <w:t>of nursing and midwifery in Australia, and one of its key roles is to protect the public</w:t>
      </w:r>
      <w:r w:rsidR="0026681A">
        <w:rPr>
          <w:rStyle w:val="cf01"/>
          <w:rFonts w:ascii="Arial" w:hAnsi="Arial" w:cs="Arial"/>
          <w:sz w:val="20"/>
          <w:szCs w:val="20"/>
        </w:rPr>
        <w:t xml:space="preserve"> </w:t>
      </w:r>
      <w:r w:rsidR="0026681A" w:rsidRPr="0026681A">
        <w:rPr>
          <w:rStyle w:val="cf01"/>
          <w:rFonts w:ascii="Arial" w:hAnsi="Arial" w:cs="Arial"/>
          <w:sz w:val="20"/>
          <w:szCs w:val="20"/>
        </w:rPr>
        <w:t xml:space="preserve">and </w:t>
      </w:r>
      <w:r w:rsidR="0026681A">
        <w:rPr>
          <w:rStyle w:val="cf01"/>
          <w:rFonts w:ascii="Arial" w:hAnsi="Arial" w:cs="Arial"/>
          <w:sz w:val="20"/>
          <w:szCs w:val="20"/>
        </w:rPr>
        <w:t xml:space="preserve">maintaining </w:t>
      </w:r>
      <w:r w:rsidR="0026681A" w:rsidRPr="0026681A">
        <w:rPr>
          <w:rStyle w:val="cf01"/>
          <w:rFonts w:ascii="Arial" w:hAnsi="Arial" w:cs="Arial"/>
          <w:sz w:val="20"/>
          <w:szCs w:val="20"/>
        </w:rPr>
        <w:t>public confidence in the safety of health services</w:t>
      </w:r>
      <w:r w:rsidR="009B4992" w:rsidRPr="009B4992">
        <w:rPr>
          <w:rStyle w:val="cf01"/>
          <w:rFonts w:ascii="Arial" w:hAnsi="Arial" w:cs="Arial"/>
          <w:sz w:val="20"/>
          <w:szCs w:val="20"/>
        </w:rPr>
        <w:t>. The NMBA does this by developing registration standards, professional codes, guidelines and standards for practice which together establish the requirements for the professional and safe practice of nurses and midwives in Australia.</w:t>
      </w:r>
      <w:r w:rsidR="009B4992">
        <w:rPr>
          <w:rStyle w:val="cf11"/>
        </w:rPr>
        <w:t xml:space="preserve"> </w:t>
      </w:r>
    </w:p>
    <w:p w14:paraId="59FED0B9" w14:textId="7C7A9F14" w:rsidR="00706065" w:rsidRDefault="00706065" w:rsidP="00216AB8">
      <w:pPr>
        <w:pStyle w:val="AHPRAbody"/>
        <w:outlineLvl w:val="0"/>
      </w:pPr>
      <w:r>
        <w:t>The National Law empowers the NMBA to develop and approve registration standards</w:t>
      </w:r>
      <w:r w:rsidR="00BF1434">
        <w:t>,</w:t>
      </w:r>
      <w:r>
        <w:t xml:space="preserve"> codes and guidelines to provide clear guidance about the NMBA’s expectations of the nursing and midwifery professions with regards to appropriate professional conduct and/or practice. All registration standards, codes and guidelines must comply with the National Law and be prepared in accordance with the Australian Health Practitioner Regulation Agency’s (Ahpra) </w:t>
      </w:r>
      <w:r w:rsidRPr="00706065">
        <w:rPr>
          <w:i/>
          <w:iCs/>
        </w:rPr>
        <w:t>Procedures for development of registration standards, codes and guidelines</w:t>
      </w:r>
      <w:r>
        <w:t xml:space="preserve">. If a National Board proposes a new standard, code or guideline, the National Law requires that the Board ensure there is wide-ranging consultation on the content of the proposal. </w:t>
      </w:r>
    </w:p>
    <w:p w14:paraId="3FFDE603" w14:textId="76D1B6CB" w:rsidR="0026681A" w:rsidRDefault="00706065" w:rsidP="00216AB8">
      <w:pPr>
        <w:pStyle w:val="AHPRAbody"/>
        <w:outlineLvl w:val="0"/>
      </w:pPr>
      <w:r w:rsidRPr="00F842D7">
        <w:t xml:space="preserve">The National Law sets out the objectives and guiding principles of the National Scheme. The main objective of the National Scheme is to protect the public </w:t>
      </w:r>
      <w:r w:rsidR="00624868">
        <w:t xml:space="preserve">and maintain public confidence in the safety of health </w:t>
      </w:r>
      <w:r w:rsidRPr="00F842D7">
        <w:t xml:space="preserve">by ensuring that only health practitioners who are suitably trained and qualified to practise in a competent and ethical manner are registered. Other objectives of the National Scheme are to facilitate workforce mobility across Australia; the provision of high-quality education and training of health practitioners; to facilitate access to services provided by health practitioners in accordance with the public interest; to enable the continuous development of a flexible, responsive and sustainable Australian health workforce; and to enable innovation in the education of, and service delivery by, health practitioners. </w:t>
      </w:r>
    </w:p>
    <w:p w14:paraId="78F4415F" w14:textId="1D4AE992" w:rsidR="00706065" w:rsidRDefault="00AA1D4A" w:rsidP="00216AB8">
      <w:pPr>
        <w:pStyle w:val="AHPRAbody"/>
        <w:outlineLvl w:val="0"/>
      </w:pPr>
      <w:r w:rsidRPr="00F842D7">
        <w:t>In building the capacity of the Australian health workforce</w:t>
      </w:r>
      <w:r w:rsidR="0026681A">
        <w:t>,</w:t>
      </w:r>
      <w:r w:rsidRPr="00F842D7">
        <w:t xml:space="preserve"> the National Scheme supports the government</w:t>
      </w:r>
      <w:r w:rsidR="00814752">
        <w:t xml:space="preserve">s’ </w:t>
      </w:r>
      <w:r w:rsidRPr="00F842D7">
        <w:t>commitment to embed cultural safety and eliminate racism in the health system in the provision of culturally safe health services to Aboriginal and Torres Strait Islander Peoples</w:t>
      </w:r>
      <w:r w:rsidR="00814752">
        <w:t>. Under</w:t>
      </w:r>
      <w:r w:rsidR="00706065">
        <w:t xml:space="preserve"> section 38 of the National Law, a National Board can develop registration standards</w:t>
      </w:r>
      <w:r w:rsidR="00814752">
        <w:t>.</w:t>
      </w:r>
      <w:r w:rsidR="00706065">
        <w:t xml:space="preserve"> Registration standards must be approved by the Ministerial Council for the National Scheme (comprising the Health Ministers of each state and territory and the Commonwealth) and set out requirements that must be met to obtain and retain registration in that profession (or for an endorsement on a practitioner’s registration). </w:t>
      </w:r>
    </w:p>
    <w:p w14:paraId="4D7CCCAD" w14:textId="5F56C6D0" w:rsidR="00706065" w:rsidRDefault="00706065" w:rsidP="00216AB8">
      <w:pPr>
        <w:pStyle w:val="AHPRAbody"/>
        <w:outlineLvl w:val="0"/>
      </w:pPr>
      <w:r>
        <w:t xml:space="preserve">Under section 94 of the National Law, a National Board may endorse the registration of a registered health practitioner registered by the Board as being qualified to administer, obtain, possess, prescribe, sell, </w:t>
      </w:r>
      <w:r w:rsidR="009923EC">
        <w:t>supply,</w:t>
      </w:r>
      <w:r>
        <w:t xml:space="preserve"> or use a scheduled medicine or class of scheduled medicines if the practitioner holds an approved qualification relevant to the endorsement and complies with any approved registration standard relevant to the endorsement. In addition, when developing standards, codes and guideline the NMBA needs to work within the parameters of other regulatory frameworks such as the respective state and territory drugs and poisons legislation. </w:t>
      </w:r>
    </w:p>
    <w:p w14:paraId="47C4E9BB" w14:textId="097890FE" w:rsidR="00706065" w:rsidRDefault="00706065" w:rsidP="00216AB8">
      <w:pPr>
        <w:pStyle w:val="AHPRAbody"/>
        <w:outlineLvl w:val="0"/>
      </w:pPr>
      <w:r>
        <w:t xml:space="preserve">Through an extensive process of consultation with stakeholders, health professions and the public, the NMBA developed options and a preferred option for potential models of RN </w:t>
      </w:r>
      <w:r w:rsidR="00E33120">
        <w:t>prescribing.</w:t>
      </w:r>
      <w:r>
        <w:t xml:space="preserve"> </w:t>
      </w:r>
    </w:p>
    <w:p w14:paraId="5B349C19" w14:textId="77777777" w:rsidR="00706065" w:rsidRDefault="00706065" w:rsidP="00216AB8">
      <w:pPr>
        <w:pStyle w:val="AHPRASubheading"/>
        <w:outlineLvl w:val="0"/>
      </w:pPr>
      <w:bookmarkStart w:id="16" w:name="_Toc164692696"/>
      <w:r>
        <w:t>The role of registered nurses in primary care</w:t>
      </w:r>
      <w:bookmarkEnd w:id="16"/>
      <w:r>
        <w:t xml:space="preserve"> </w:t>
      </w:r>
    </w:p>
    <w:p w14:paraId="0C554513" w14:textId="6EBAFB1A" w:rsidR="00706065" w:rsidRDefault="00706065" w:rsidP="00216AB8">
      <w:pPr>
        <w:pStyle w:val="AHPRAbody"/>
        <w:outlineLvl w:val="0"/>
      </w:pPr>
      <w:r>
        <w:t xml:space="preserve">Exploring the role of the </w:t>
      </w:r>
      <w:r w:rsidR="00DF4967">
        <w:t>RN</w:t>
      </w:r>
      <w:r>
        <w:t xml:space="preserve"> in the healthcare system</w:t>
      </w:r>
      <w:r w:rsidR="004635CA">
        <w:t>,</w:t>
      </w:r>
      <w:r>
        <w:t xml:space="preserve"> </w:t>
      </w:r>
      <w:r w:rsidR="00404D37">
        <w:t xml:space="preserve">a review of the </w:t>
      </w:r>
      <w:r>
        <w:t>literature around RN prescribing</w:t>
      </w:r>
      <w:r w:rsidR="00404D37">
        <w:t xml:space="preserve"> globally</w:t>
      </w:r>
      <w:r>
        <w:t xml:space="preserve"> provides an important illustration of the need for this approach to reform.</w:t>
      </w:r>
    </w:p>
    <w:p w14:paraId="3E47A326" w14:textId="65032220" w:rsidR="00706065" w:rsidRDefault="00706065" w:rsidP="00216AB8">
      <w:pPr>
        <w:pStyle w:val="AHPRAbody"/>
        <w:outlineLvl w:val="0"/>
      </w:pPr>
      <w:r>
        <w:t xml:space="preserve">Primary healthcare in Australia is often the first point of contact for people within the healthcare system, with the rate of primary healthcare services claimed increasing over recent years. Across </w:t>
      </w:r>
      <w:r w:rsidR="00610E27">
        <w:t>Australia</w:t>
      </w:r>
      <w:r>
        <w:t xml:space="preserve"> there were 7.6 general practice (GP) attendances per person in 2020-2021 compared to the 6.3 per person in 2018-2019.</w:t>
      </w:r>
      <w:r w:rsidR="009B4992">
        <w:rPr>
          <w:vertAlign w:val="superscript"/>
        </w:rPr>
        <w:t>10</w:t>
      </w:r>
      <w:r>
        <w:t xml:space="preserve"> </w:t>
      </w:r>
    </w:p>
    <w:p w14:paraId="5D4AB9F3" w14:textId="4A2AC636" w:rsidR="00706065" w:rsidRDefault="00706065" w:rsidP="00216AB8">
      <w:pPr>
        <w:pStyle w:val="AHPRAbody"/>
        <w:outlineLvl w:val="0"/>
      </w:pPr>
      <w:r>
        <w:t xml:space="preserve">Primary healthcare includes a range of health services that includes but is not limited to GP, dental services, and pharmaceutical services. Primary care is provided by a variety of health </w:t>
      </w:r>
      <w:r w:rsidR="00DA7AD3">
        <w:t>practit</w:t>
      </w:r>
      <w:r w:rsidR="001F51D6">
        <w:t xml:space="preserve">ioners </w:t>
      </w:r>
      <w:r w:rsidR="00610E27">
        <w:t>including</w:t>
      </w:r>
      <w:r>
        <w:t xml:space="preserve"> </w:t>
      </w:r>
      <w:r w:rsidR="00F2488A">
        <w:t xml:space="preserve">GPs, </w:t>
      </w:r>
      <w:r>
        <w:t xml:space="preserve">RNs, midwives, Aboriginal and Torres Strait Islander health practitioners, pharmacists, </w:t>
      </w:r>
      <w:r>
        <w:lastRenderedPageBreak/>
        <w:t>dentists, and allied health practitioners. Primary care may be delivered in a range of settings, including aged care, disability care and the community</w:t>
      </w:r>
      <w:r w:rsidR="009B4992">
        <w:t xml:space="preserve"> and the demand for primary healthcare services continue to rise. This is highlighted by: </w:t>
      </w:r>
    </w:p>
    <w:p w14:paraId="16CC949E" w14:textId="230298A0" w:rsidR="00706065" w:rsidRDefault="00706065" w:rsidP="00216AB8">
      <w:pPr>
        <w:pStyle w:val="AHPRABulletlevel1"/>
        <w:outlineLvl w:val="0"/>
      </w:pPr>
      <w:r>
        <w:t>Nationally in 2021 there were: 4.3 million Medicare-subsidised services provided by nurses, midwives and Aboriginal health workers compared to 2.8 million general practice nurse attendances in 2018</w:t>
      </w:r>
      <w:r w:rsidRPr="25E6885C">
        <w:rPr>
          <w:rFonts w:ascii="Tahoma" w:hAnsi="Tahoma" w:cs="Tahoma"/>
        </w:rPr>
        <w:t>⁠</w:t>
      </w:r>
      <w:r w:rsidRPr="25E6885C">
        <w:rPr>
          <w:rFonts w:cs="Arial"/>
        </w:rPr>
        <w:t>–</w:t>
      </w:r>
      <w:r>
        <w:t>19</w:t>
      </w:r>
      <w:r w:rsidRPr="25E6885C">
        <w:rPr>
          <w:rFonts w:ascii="Tahoma" w:hAnsi="Tahoma" w:cs="Tahoma"/>
        </w:rPr>
        <w:t>⁠</w:t>
      </w:r>
      <w:r>
        <w:t>.</w:t>
      </w:r>
      <w:r w:rsidRPr="25E6885C">
        <w:rPr>
          <w:vertAlign w:val="superscript"/>
        </w:rPr>
        <w:t xml:space="preserve"> </w:t>
      </w:r>
      <w:r w:rsidR="009B4992">
        <w:rPr>
          <w:vertAlign w:val="superscript"/>
        </w:rPr>
        <w:t>10</w:t>
      </w:r>
    </w:p>
    <w:p w14:paraId="3C1E994D" w14:textId="17FBC918" w:rsidR="00706065" w:rsidRPr="00CE6473" w:rsidRDefault="00706065" w:rsidP="00E0543F">
      <w:pPr>
        <w:pStyle w:val="AHPRABulletlevel1"/>
        <w:outlineLvl w:val="0"/>
      </w:pPr>
      <w:r>
        <w:t>There were 750,000 nurse practitioner attendances in 2020-2021 up from around 660,000 services in 2019–20. This represents 2.9 services per 100 people in 2020–21, up from 2.6 in 2019–20.</w:t>
      </w:r>
      <w:r w:rsidRPr="00E0543F">
        <w:rPr>
          <w:vertAlign w:val="superscript"/>
        </w:rPr>
        <w:t xml:space="preserve"> </w:t>
      </w:r>
      <w:r w:rsidR="009B4992" w:rsidRPr="00E0543F">
        <w:rPr>
          <w:vertAlign w:val="superscript"/>
        </w:rPr>
        <w:t>10</w:t>
      </w:r>
    </w:p>
    <w:p w14:paraId="648C0B37" w14:textId="77777777" w:rsidR="00E0543F" w:rsidRDefault="00E0543F" w:rsidP="00E0543F">
      <w:pPr>
        <w:pStyle w:val="AHPRABulletlevel1"/>
        <w:numPr>
          <w:ilvl w:val="0"/>
          <w:numId w:val="0"/>
        </w:numPr>
        <w:ind w:left="360"/>
        <w:outlineLvl w:val="0"/>
      </w:pPr>
    </w:p>
    <w:p w14:paraId="7CEC0399" w14:textId="411B91BD" w:rsidR="00706065" w:rsidRDefault="00706065" w:rsidP="00E0543F">
      <w:pPr>
        <w:pStyle w:val="AHPRABulletlevel1last"/>
        <w:outlineLvl w:val="0"/>
      </w:pPr>
      <w:r>
        <w:t>There were 3.4 million Practice Nurse/Aboriginal Health Worker Medicare-subsidised services provided in 2020-2021, an increase from 3.1 million services in 2019-2020. This represents 13 services per 100 people in 2020–21, up from 12 in 2019–20.</w:t>
      </w:r>
      <w:r w:rsidR="009B4992" w:rsidRPr="25E6885C" w:rsidDel="009B4992">
        <w:rPr>
          <w:vertAlign w:val="superscript"/>
        </w:rPr>
        <w:t xml:space="preserve"> </w:t>
      </w:r>
      <w:r w:rsidR="009B4992">
        <w:rPr>
          <w:vertAlign w:val="superscript"/>
        </w:rPr>
        <w:t>10</w:t>
      </w:r>
    </w:p>
    <w:p w14:paraId="68EAB160" w14:textId="03AE9662" w:rsidR="006061F5" w:rsidRDefault="00706065" w:rsidP="00216AB8">
      <w:pPr>
        <w:pStyle w:val="AHPRAbody"/>
        <w:outlineLvl w:val="0"/>
      </w:pPr>
      <w:r w:rsidRPr="006061F5">
        <w:t>Access to primary healthcare contributes to the reduction in the number of avoidable hospital visits and potentially preventable hospitalisations (PPH). PPH are conditions in which hospitalisations could have been prevented through the provision of appropriate preventative health interventions, management, and treatment. Access to primary healthcare can improve health and reduce inequality.</w:t>
      </w:r>
      <w:r w:rsidR="009B4992" w:rsidRPr="0037146D" w:rsidDel="009B4992">
        <w:rPr>
          <w:vertAlign w:val="superscript"/>
        </w:rPr>
        <w:t xml:space="preserve"> </w:t>
      </w:r>
      <w:r w:rsidR="009B4992">
        <w:rPr>
          <w:vertAlign w:val="superscript"/>
        </w:rPr>
        <w:t>11</w:t>
      </w:r>
      <w:r>
        <w:t xml:space="preserve"> </w:t>
      </w:r>
    </w:p>
    <w:p w14:paraId="4F8E749A" w14:textId="77777777" w:rsidR="00706065" w:rsidRDefault="00706065" w:rsidP="00216AB8">
      <w:pPr>
        <w:pStyle w:val="AHPRASubheading"/>
        <w:outlineLvl w:val="0"/>
      </w:pPr>
      <w:bookmarkStart w:id="17" w:name="_Toc164692697"/>
      <w:r>
        <w:t>The role of registered nurses in our healthcare system</w:t>
      </w:r>
      <w:bookmarkEnd w:id="17"/>
      <w:r>
        <w:t xml:space="preserve"> </w:t>
      </w:r>
    </w:p>
    <w:p w14:paraId="271C196E" w14:textId="3266D4ED" w:rsidR="00706065" w:rsidRDefault="00706065" w:rsidP="00216AB8">
      <w:pPr>
        <w:pStyle w:val="AHPRAbody"/>
        <w:outlineLvl w:val="0"/>
      </w:pPr>
      <w:r>
        <w:t>Of the 833,318 registered health practitioners in Australia, almost half (47%) are RNs (</w:t>
      </w:r>
      <w:r w:rsidR="009B4992">
        <w:t>408,469).</w:t>
      </w:r>
      <w:r>
        <w:t xml:space="preserve"> Of this number 62,591 work outside of metropolitan and regional centres − in rural, remote or very remote communities. </w:t>
      </w:r>
      <w:r w:rsidR="009B4992">
        <w:rPr>
          <w:vertAlign w:val="superscript"/>
        </w:rPr>
        <w:t>12</w:t>
      </w:r>
    </w:p>
    <w:p w14:paraId="7C08507F" w14:textId="18BBFE7E" w:rsidR="00706065" w:rsidRDefault="00706065" w:rsidP="00216AB8">
      <w:pPr>
        <w:pStyle w:val="AHPRAbody"/>
        <w:outlineLvl w:val="0"/>
      </w:pPr>
      <w:r>
        <w:t xml:space="preserve">RNs are comprehensively educated and have a broad scope of practice. They work as a part of </w:t>
      </w:r>
      <w:r w:rsidR="00593EBA">
        <w:t>interpr</w:t>
      </w:r>
      <w:r w:rsidR="00EF25D0">
        <w:t>o</w:t>
      </w:r>
      <w:r w:rsidR="00593EBA">
        <w:t>fessional</w:t>
      </w:r>
      <w:r>
        <w:t xml:space="preserve"> teams and currently have a role in administering, supplying, and adjusting medicines.</w:t>
      </w:r>
    </w:p>
    <w:p w14:paraId="66051989" w14:textId="506E95A4" w:rsidR="00706065" w:rsidRDefault="00706065" w:rsidP="00216AB8">
      <w:pPr>
        <w:pStyle w:val="AHPRAbody"/>
        <w:outlineLvl w:val="0"/>
      </w:pPr>
      <w:r>
        <w:t>Through their pre-registration education programs</w:t>
      </w:r>
      <w:r w:rsidR="00F67B4F">
        <w:t>,</w:t>
      </w:r>
      <w:r>
        <w:t xml:space="preserve"> RNs enter the workforce with foundational skills and knowledge to provide healthcare competently and safely. Throughout their careers RNs complete further education and training so that they can expand their scope of practice to meet the needs of the community. As such</w:t>
      </w:r>
      <w:r w:rsidR="003D723A">
        <w:t>,</w:t>
      </w:r>
      <w:r>
        <w:t xml:space="preserve"> the role of RNs has changed over </w:t>
      </w:r>
      <w:r w:rsidR="00750E9C">
        <w:t>time,</w:t>
      </w:r>
      <w:r>
        <w:t xml:space="preserve"> and they have taken on </w:t>
      </w:r>
      <w:r w:rsidR="004A6548">
        <w:t>responsibilities</w:t>
      </w:r>
      <w:r>
        <w:t xml:space="preserve"> that were once part of the scope of practice of other health professions such as inserting intravenous lines and suturing.</w:t>
      </w:r>
    </w:p>
    <w:p w14:paraId="731F624D" w14:textId="759C877F" w:rsidR="00706065" w:rsidRDefault="00706065" w:rsidP="00216AB8">
      <w:pPr>
        <w:pStyle w:val="AHPRAbody"/>
        <w:outlineLvl w:val="0"/>
      </w:pPr>
      <w:r>
        <w:t xml:space="preserve">As RNs are integral to the delivery of all facets of healthcare, expanding the scope of practice of RNs provides an opportunity to develop innovative models of prescribing that deliver safe, timely and effective access to medicines for all healthcare consumers. </w:t>
      </w:r>
    </w:p>
    <w:p w14:paraId="160B1A96" w14:textId="77777777" w:rsidR="00706065" w:rsidRDefault="00706065" w:rsidP="00216AB8">
      <w:pPr>
        <w:pStyle w:val="AHPRASubheading"/>
        <w:outlineLvl w:val="0"/>
      </w:pPr>
      <w:bookmarkStart w:id="18" w:name="_Toc164692698"/>
      <w:r>
        <w:t>Current prescribing landscape in Australia</w:t>
      </w:r>
      <w:bookmarkEnd w:id="18"/>
      <w:r>
        <w:t xml:space="preserve"> </w:t>
      </w:r>
    </w:p>
    <w:p w14:paraId="4307B4A6" w14:textId="77777777" w:rsidR="00706065" w:rsidRDefault="00706065" w:rsidP="00216AB8">
      <w:pPr>
        <w:pStyle w:val="AHPRAbody"/>
        <w:outlineLvl w:val="0"/>
      </w:pPr>
      <w:r>
        <w:t xml:space="preserve">Prescribing of medicines in Australia is primarily done by medical practitioners (general practitioners and specialists). Dentists, optometrists, podiatrists, nurse practitioners, nurses and midwives can also prescribe medicines within their scope of practice.  </w:t>
      </w:r>
    </w:p>
    <w:p w14:paraId="19AA1B13" w14:textId="2A561607" w:rsidR="00706065" w:rsidRDefault="00706065" w:rsidP="00216AB8">
      <w:pPr>
        <w:pStyle w:val="AHPRAbody"/>
        <w:outlineLvl w:val="0"/>
      </w:pPr>
      <w:r>
        <w:t xml:space="preserve">The prescribing of medicines is regulated through the relevant drugs and poisons legislation in each state or territory. That legislation specifies which health practitioners are authorised to administer, obtain, possess, prescribe, sell, supply, or use scheduled medicines. </w:t>
      </w:r>
      <w:r w:rsidR="00174097">
        <w:t>T</w:t>
      </w:r>
      <w:r w:rsidR="2C19BE0B">
        <w:t>he</w:t>
      </w:r>
      <w:r w:rsidR="2C19BE0B" w:rsidRPr="77F44A5A">
        <w:t xml:space="preserve"> legislative authority for </w:t>
      </w:r>
      <w:r w:rsidR="2C19BE0B">
        <w:t xml:space="preserve">RNs </w:t>
      </w:r>
      <w:r w:rsidR="2C19BE0B" w:rsidRPr="77F44A5A">
        <w:t>to administer</w:t>
      </w:r>
      <w:r w:rsidR="2C19BE0B">
        <w:t xml:space="preserve"> scheduled medicines </w:t>
      </w:r>
      <w:r w:rsidR="2C19BE0B" w:rsidRPr="77F44A5A">
        <w:t>is determined by or under legislation of the state or territory</w:t>
      </w:r>
      <w:r w:rsidR="001B7700">
        <w:t>.</w:t>
      </w:r>
    </w:p>
    <w:p w14:paraId="21FB9369" w14:textId="2A7561C7" w:rsidR="00706065" w:rsidRDefault="00706065" w:rsidP="00216AB8">
      <w:pPr>
        <w:pStyle w:val="AHPRAbody"/>
        <w:outlineLvl w:val="0"/>
      </w:pPr>
      <w:r w:rsidRPr="00341B31">
        <w:t>The Commonwealth also regulates and monitors the appropriate prescribing practice of Pharmaceutical Benefits Scheme (PBS) medicines by all relevant health professions through the Professional Services Review (PSR). The PSR includes mechanisms to protect patients and the community from risks associated with inappropriate prescribing practice though its regulation and response.</w:t>
      </w:r>
      <w:r w:rsidR="009B4992">
        <w:t xml:space="preserve"> </w:t>
      </w:r>
      <w:r w:rsidR="009B4992">
        <w:rPr>
          <w:vertAlign w:val="superscript"/>
        </w:rPr>
        <w:t>13</w:t>
      </w:r>
    </w:p>
    <w:p w14:paraId="4B52E202" w14:textId="77777777" w:rsidR="00706065" w:rsidRDefault="00706065" w:rsidP="00216AB8">
      <w:pPr>
        <w:pStyle w:val="AHPRASubheadinglevel2"/>
        <w:outlineLvl w:val="0"/>
      </w:pPr>
      <w:bookmarkStart w:id="19" w:name="_Toc164692699"/>
      <w:r>
        <w:t>Scheduled medicines</w:t>
      </w:r>
      <w:bookmarkEnd w:id="19"/>
      <w:r>
        <w:t xml:space="preserve"> </w:t>
      </w:r>
    </w:p>
    <w:p w14:paraId="45B54FC7" w14:textId="2AEEFF65" w:rsidR="00706065" w:rsidRDefault="00706065" w:rsidP="00216AB8">
      <w:pPr>
        <w:pStyle w:val="AHPRAbody"/>
        <w:outlineLvl w:val="0"/>
      </w:pPr>
      <w:r>
        <w:t>Scheduling is a national classification system that controls how medicines and poisons are made available to the public. Medicines and poisons are classified into ‘schedules’ according to the level of regulatory control over the availability of the medicine or poison required to protect public health and safety.</w:t>
      </w:r>
      <w:r w:rsidR="009B4992">
        <w:rPr>
          <w:vertAlign w:val="superscript"/>
        </w:rPr>
        <w:t>14,15.</w:t>
      </w:r>
    </w:p>
    <w:p w14:paraId="57C25218" w14:textId="611507B1" w:rsidR="00562DC3" w:rsidRDefault="00706065" w:rsidP="00216AB8">
      <w:pPr>
        <w:pStyle w:val="AHPRAbody"/>
        <w:outlineLvl w:val="0"/>
      </w:pPr>
      <w:r>
        <w:t xml:space="preserve">Some medicines have a higher risk of causing harm than others. Also, some medicines are at higher risk of misuse, such as medicines that can cause dependence or addiction. Scheduling is a way of </w:t>
      </w:r>
      <w:r w:rsidR="009B3014">
        <w:t>classifying</w:t>
      </w:r>
      <w:r>
        <w:t xml:space="preserve"> </w:t>
      </w:r>
      <w:r>
        <w:lastRenderedPageBreak/>
        <w:t xml:space="preserve">which medicines or poisons need to be more tightly controlled, and which don’t. </w:t>
      </w:r>
      <w:r w:rsidR="00402FCD">
        <w:t>In Australia,</w:t>
      </w:r>
      <w:r w:rsidR="000D5CA1">
        <w:t xml:space="preserve"> </w:t>
      </w:r>
      <w:r w:rsidR="00402FCD">
        <w:t xml:space="preserve">there </w:t>
      </w:r>
      <w:r>
        <w:t>are schedules that are arranged from least to most tightly controlled.</w:t>
      </w:r>
      <w:r w:rsidR="009B4992" w:rsidRPr="009B4992">
        <w:rPr>
          <w:vertAlign w:val="superscript"/>
        </w:rPr>
        <w:t xml:space="preserve"> </w:t>
      </w:r>
      <w:r w:rsidR="009B4992">
        <w:rPr>
          <w:vertAlign w:val="superscript"/>
        </w:rPr>
        <w:t>10</w:t>
      </w:r>
    </w:p>
    <w:p w14:paraId="504C95E0" w14:textId="67FB4125" w:rsidR="009923EC" w:rsidRDefault="00706065" w:rsidP="00216AB8">
      <w:pPr>
        <w:pStyle w:val="AHPRAbody"/>
        <w:outlineLvl w:val="0"/>
        <w:rPr>
          <w:vertAlign w:val="superscript"/>
        </w:rPr>
      </w:pPr>
      <w:r>
        <w:t xml:space="preserve">Medicines </w:t>
      </w:r>
      <w:r w:rsidR="00475FEB">
        <w:t xml:space="preserve">are </w:t>
      </w:r>
      <w:r w:rsidR="003E783C">
        <w:t>classif</w:t>
      </w:r>
      <w:r w:rsidR="00F501B0">
        <w:t>ied</w:t>
      </w:r>
      <w:r>
        <w:t xml:space="preserve"> </w:t>
      </w:r>
      <w:r w:rsidR="00475FEB">
        <w:t xml:space="preserve">under </w:t>
      </w:r>
      <w:r>
        <w:t xml:space="preserve">schedules 2, 3, 4 </w:t>
      </w:r>
      <w:r w:rsidR="00C06A1B">
        <w:t xml:space="preserve">and </w:t>
      </w:r>
      <w:r>
        <w:t xml:space="preserve">8 </w:t>
      </w:r>
      <w:r w:rsidR="0043362B">
        <w:t>with examples</w:t>
      </w:r>
      <w:r>
        <w:t xml:space="preserve"> described in the table below. </w:t>
      </w:r>
    </w:p>
    <w:p w14:paraId="3B5CB5B5" w14:textId="6A079BB3" w:rsidR="005035B2" w:rsidRPr="00363A6E" w:rsidRDefault="005035B2" w:rsidP="00216AB8">
      <w:pPr>
        <w:pStyle w:val="AHPRAbody"/>
        <w:outlineLvl w:val="0"/>
        <w:rPr>
          <w:b/>
          <w:bCs/>
        </w:rPr>
      </w:pPr>
      <w:r w:rsidRPr="00363A6E">
        <w:rPr>
          <w:b/>
          <w:bCs/>
        </w:rPr>
        <w:t>Table 1:</w:t>
      </w:r>
      <w:r w:rsidR="00363A6E">
        <w:rPr>
          <w:b/>
          <w:bCs/>
        </w:rPr>
        <w:t xml:space="preserve"> </w:t>
      </w:r>
      <w:r w:rsidR="00363A6E" w:rsidRPr="00363A6E">
        <w:rPr>
          <w:b/>
          <w:bCs/>
        </w:rPr>
        <w:t xml:space="preserve">Description of scheduled medicines </w:t>
      </w:r>
      <w:r w:rsidR="00363A6E">
        <w:rPr>
          <w:b/>
          <w:bCs/>
        </w:rPr>
        <w:t xml:space="preserve">relevant to </w:t>
      </w:r>
      <w:r w:rsidR="0053537F">
        <w:rPr>
          <w:b/>
          <w:bCs/>
        </w:rPr>
        <w:t>designated RN prescribing</w:t>
      </w:r>
    </w:p>
    <w:tbl>
      <w:tblPr>
        <w:tblW w:w="0" w:type="auto"/>
        <w:tblLayout w:type="fixed"/>
        <w:tblLook w:val="04A0" w:firstRow="1" w:lastRow="0" w:firstColumn="1" w:lastColumn="0" w:noHBand="0" w:noVBand="1"/>
      </w:tblPr>
      <w:tblGrid>
        <w:gridCol w:w="1410"/>
        <w:gridCol w:w="4680"/>
        <w:gridCol w:w="3300"/>
      </w:tblGrid>
      <w:tr w:rsidR="5AA7423A" w14:paraId="5192E342" w14:textId="77777777" w:rsidTr="0046466B">
        <w:trPr>
          <w:trHeight w:val="37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Mar>
              <w:top w:w="129" w:type="dxa"/>
              <w:left w:w="107" w:type="dxa"/>
              <w:right w:w="62" w:type="dxa"/>
            </w:tcMar>
          </w:tcPr>
          <w:p w14:paraId="0EF3D7E3" w14:textId="52A57371" w:rsidR="5AA7423A" w:rsidRDefault="5AA7423A" w:rsidP="00216AB8">
            <w:pPr>
              <w:spacing w:after="0" w:line="254" w:lineRule="auto"/>
              <w:outlineLvl w:val="0"/>
              <w:rPr>
                <w:rFonts w:eastAsia="Arial" w:cs="Arial"/>
                <w:b/>
                <w:bCs/>
                <w:color w:val="FFFFFF" w:themeColor="background1"/>
                <w:szCs w:val="20"/>
              </w:rPr>
            </w:pPr>
            <w:r w:rsidRPr="5AA7423A">
              <w:rPr>
                <w:rFonts w:eastAsia="Arial" w:cs="Arial"/>
                <w:b/>
                <w:bCs/>
                <w:color w:val="FFFFFF" w:themeColor="background1"/>
                <w:szCs w:val="20"/>
              </w:rPr>
              <w:t xml:space="preserve">Schedule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Mar>
              <w:top w:w="129" w:type="dxa"/>
              <w:left w:w="107" w:type="dxa"/>
              <w:right w:w="62" w:type="dxa"/>
            </w:tcMar>
          </w:tcPr>
          <w:p w14:paraId="17F95B1E" w14:textId="3BCAB5BB" w:rsidR="5AA7423A" w:rsidRDefault="5AA7423A" w:rsidP="00216AB8">
            <w:pPr>
              <w:spacing w:after="0" w:line="254" w:lineRule="auto"/>
              <w:outlineLvl w:val="0"/>
              <w:rPr>
                <w:rFonts w:eastAsia="Arial" w:cs="Arial"/>
                <w:b/>
                <w:bCs/>
                <w:color w:val="FFFFFF" w:themeColor="background1"/>
                <w:szCs w:val="20"/>
              </w:rPr>
            </w:pPr>
            <w:r w:rsidRPr="5AA7423A">
              <w:rPr>
                <w:rFonts w:eastAsia="Arial" w:cs="Arial"/>
                <w:b/>
                <w:bCs/>
                <w:color w:val="FFFFFF" w:themeColor="background1"/>
                <w:szCs w:val="20"/>
              </w:rPr>
              <w:t xml:space="preserve">Description  </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Mar>
              <w:top w:w="129" w:type="dxa"/>
              <w:left w:w="107" w:type="dxa"/>
              <w:right w:w="62" w:type="dxa"/>
            </w:tcMar>
          </w:tcPr>
          <w:p w14:paraId="3D74DBDF" w14:textId="27D9199C" w:rsidR="5AA7423A" w:rsidRDefault="5AA7423A" w:rsidP="00216AB8">
            <w:pPr>
              <w:spacing w:after="0" w:line="254" w:lineRule="auto"/>
              <w:outlineLvl w:val="0"/>
              <w:rPr>
                <w:rFonts w:eastAsia="Arial" w:cs="Arial"/>
                <w:b/>
                <w:bCs/>
                <w:color w:val="FFFFFF" w:themeColor="background1"/>
                <w:szCs w:val="20"/>
              </w:rPr>
            </w:pPr>
            <w:r w:rsidRPr="5AA7423A">
              <w:rPr>
                <w:rFonts w:eastAsia="Arial" w:cs="Arial"/>
                <w:b/>
                <w:bCs/>
                <w:color w:val="FFFFFF" w:themeColor="background1"/>
                <w:szCs w:val="20"/>
              </w:rPr>
              <w:t xml:space="preserve">Examples </w:t>
            </w:r>
          </w:p>
        </w:tc>
      </w:tr>
      <w:tr w:rsidR="5AA7423A" w14:paraId="2F305725" w14:textId="77777777" w:rsidTr="0046466B">
        <w:trPr>
          <w:trHeight w:val="94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56E7DDEF" w14:textId="71B7EC85" w:rsidR="5AA7423A" w:rsidRDefault="5AA7423A" w:rsidP="00216AB8">
            <w:pPr>
              <w:spacing w:after="0" w:line="254" w:lineRule="auto"/>
              <w:outlineLvl w:val="0"/>
              <w:rPr>
                <w:rFonts w:eastAsia="Arial" w:cs="Arial"/>
                <w:color w:val="333333"/>
                <w:szCs w:val="20"/>
              </w:rPr>
            </w:pPr>
            <w:r w:rsidRPr="5AA7423A">
              <w:rPr>
                <w:rFonts w:eastAsia="Arial" w:cs="Arial"/>
                <w:color w:val="333333"/>
                <w:szCs w:val="20"/>
              </w:rPr>
              <w:t xml:space="preserve">Schedule 2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609A1A7A" w14:textId="0C0E39CE" w:rsidR="5AA7423A" w:rsidRDefault="5AA7423A" w:rsidP="00216AB8">
            <w:pPr>
              <w:spacing w:after="0"/>
              <w:outlineLvl w:val="0"/>
              <w:rPr>
                <w:rFonts w:eastAsia="Arial" w:cs="Arial"/>
                <w:color w:val="333333"/>
                <w:szCs w:val="20"/>
              </w:rPr>
            </w:pPr>
            <w:r w:rsidRPr="5AA7423A">
              <w:rPr>
                <w:rFonts w:eastAsia="Arial" w:cs="Arial"/>
                <w:b/>
                <w:bCs/>
                <w:color w:val="333333"/>
                <w:szCs w:val="20"/>
              </w:rPr>
              <w:t>Pharmacy medicine</w:t>
            </w:r>
            <w:r w:rsidRPr="5AA7423A">
              <w:rPr>
                <w:rFonts w:eastAsia="Arial" w:cs="Arial"/>
                <w:color w:val="333333"/>
                <w:szCs w:val="20"/>
              </w:rPr>
              <w:t xml:space="preserve"> − Medicines that are available on the shelf at supermarkets and pharmacies. </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51FC7746" w14:textId="36D1761F" w:rsidR="5AA7423A" w:rsidRDefault="5AA7423A" w:rsidP="00216AB8">
            <w:pPr>
              <w:spacing w:after="0"/>
              <w:outlineLvl w:val="0"/>
              <w:rPr>
                <w:rFonts w:eastAsia="Arial" w:cs="Arial"/>
                <w:color w:val="262626" w:themeColor="text1" w:themeTint="D9"/>
                <w:szCs w:val="20"/>
              </w:rPr>
            </w:pPr>
            <w:r w:rsidRPr="5AA7423A">
              <w:rPr>
                <w:rFonts w:eastAsia="Arial" w:cs="Arial"/>
                <w:color w:val="333333"/>
                <w:szCs w:val="20"/>
              </w:rPr>
              <w:t>Panadol</w:t>
            </w:r>
            <w:r w:rsidRPr="5AA7423A">
              <w:rPr>
                <w:rFonts w:eastAsia="Arial" w:cs="Arial"/>
                <w:color w:val="262626" w:themeColor="text1" w:themeTint="D9"/>
                <w:szCs w:val="20"/>
              </w:rPr>
              <w:t xml:space="preserve"> </w:t>
            </w:r>
          </w:p>
          <w:p w14:paraId="6F461048" w14:textId="127CBC92" w:rsidR="5AA7423A" w:rsidRDefault="5AA7423A" w:rsidP="00216AB8">
            <w:pPr>
              <w:spacing w:after="0"/>
              <w:outlineLvl w:val="0"/>
              <w:rPr>
                <w:rFonts w:eastAsia="Arial" w:cs="Arial"/>
                <w:color w:val="262626" w:themeColor="text1" w:themeTint="D9"/>
                <w:szCs w:val="20"/>
              </w:rPr>
            </w:pPr>
            <w:r w:rsidRPr="5AA7423A">
              <w:rPr>
                <w:rFonts w:eastAsia="Arial" w:cs="Arial"/>
                <w:color w:val="333333"/>
                <w:szCs w:val="20"/>
              </w:rPr>
              <w:t>Ibuprofen</w:t>
            </w:r>
            <w:r w:rsidRPr="5AA7423A">
              <w:rPr>
                <w:rFonts w:eastAsia="Arial" w:cs="Arial"/>
                <w:color w:val="262626" w:themeColor="text1" w:themeTint="D9"/>
                <w:szCs w:val="20"/>
              </w:rPr>
              <w:t xml:space="preserve"> </w:t>
            </w:r>
          </w:p>
          <w:p w14:paraId="7435F313" w14:textId="69ED2D20" w:rsidR="5AA7423A" w:rsidRDefault="5AA7423A" w:rsidP="00216AB8">
            <w:pPr>
              <w:spacing w:after="0"/>
              <w:outlineLvl w:val="0"/>
              <w:rPr>
                <w:rFonts w:eastAsia="Arial" w:cs="Arial"/>
                <w:color w:val="333333"/>
                <w:szCs w:val="20"/>
              </w:rPr>
            </w:pPr>
            <w:r w:rsidRPr="5AA7423A">
              <w:rPr>
                <w:rFonts w:eastAsia="Arial" w:cs="Arial"/>
                <w:color w:val="333333"/>
                <w:szCs w:val="20"/>
              </w:rPr>
              <w:t xml:space="preserve">Cold and flu preparations </w:t>
            </w:r>
          </w:p>
        </w:tc>
      </w:tr>
      <w:tr w:rsidR="5AA7423A" w14:paraId="38DDA98D" w14:textId="77777777" w:rsidTr="0046466B">
        <w:trPr>
          <w:trHeight w:val="139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14B075D6" w14:textId="084901C9" w:rsidR="5AA7423A" w:rsidRDefault="5AA7423A" w:rsidP="00216AB8">
            <w:pPr>
              <w:spacing w:after="0" w:line="254" w:lineRule="auto"/>
              <w:outlineLvl w:val="0"/>
              <w:rPr>
                <w:rFonts w:eastAsia="Arial" w:cs="Arial"/>
                <w:color w:val="333333"/>
                <w:szCs w:val="20"/>
              </w:rPr>
            </w:pPr>
            <w:r w:rsidRPr="5AA7423A">
              <w:rPr>
                <w:rFonts w:eastAsia="Arial" w:cs="Arial"/>
                <w:color w:val="333333"/>
                <w:szCs w:val="20"/>
              </w:rPr>
              <w:t xml:space="preserve">Schedule 3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55EDAEEE" w14:textId="15DD3833" w:rsidR="5AA7423A" w:rsidRDefault="5AA7423A" w:rsidP="00216AB8">
            <w:pPr>
              <w:spacing w:after="0"/>
              <w:outlineLvl w:val="0"/>
              <w:rPr>
                <w:rFonts w:eastAsia="Arial" w:cs="Arial"/>
                <w:color w:val="333333"/>
                <w:szCs w:val="20"/>
              </w:rPr>
            </w:pPr>
            <w:r w:rsidRPr="5AA7423A">
              <w:rPr>
                <w:rFonts w:eastAsia="Arial" w:cs="Arial"/>
                <w:b/>
                <w:bCs/>
                <w:color w:val="333333"/>
                <w:szCs w:val="20"/>
              </w:rPr>
              <w:t>Pharmacist only medicine</w:t>
            </w:r>
            <w:r w:rsidRPr="5AA7423A">
              <w:rPr>
                <w:rFonts w:eastAsia="Arial" w:cs="Arial"/>
                <w:color w:val="333333"/>
                <w:szCs w:val="20"/>
              </w:rPr>
              <w:t xml:space="preserve"> − Medicines that are available from a pharmacist without a prescription. These medicines are usually behind the pharmacy counter. </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3A82E2F1" w14:textId="5AF868DA" w:rsidR="5AA7423A" w:rsidRDefault="5AA7423A" w:rsidP="00216AB8">
            <w:pPr>
              <w:spacing w:after="0"/>
              <w:outlineLvl w:val="0"/>
              <w:rPr>
                <w:rFonts w:eastAsia="Arial" w:cs="Arial"/>
                <w:color w:val="333333"/>
                <w:szCs w:val="20"/>
              </w:rPr>
            </w:pPr>
            <w:r w:rsidRPr="5AA7423A">
              <w:rPr>
                <w:rFonts w:eastAsia="Arial" w:cs="Arial"/>
                <w:color w:val="333333"/>
                <w:szCs w:val="20"/>
              </w:rPr>
              <w:t xml:space="preserve">Limited topical antibiotics  </w:t>
            </w:r>
          </w:p>
          <w:p w14:paraId="6A13616B" w14:textId="721B07E2" w:rsidR="5AA7423A" w:rsidRDefault="5AA7423A" w:rsidP="00216AB8">
            <w:pPr>
              <w:spacing w:after="0"/>
              <w:outlineLvl w:val="0"/>
              <w:rPr>
                <w:rFonts w:eastAsia="Arial" w:cs="Arial"/>
                <w:color w:val="333333"/>
                <w:szCs w:val="20"/>
              </w:rPr>
            </w:pPr>
            <w:r w:rsidRPr="5AA7423A">
              <w:rPr>
                <w:rFonts w:eastAsia="Arial" w:cs="Arial"/>
                <w:color w:val="333333"/>
                <w:szCs w:val="20"/>
              </w:rPr>
              <w:t xml:space="preserve">Limited oral antifungals </w:t>
            </w:r>
          </w:p>
          <w:p w14:paraId="23BA4288" w14:textId="4EF1AE0F" w:rsidR="5AA7423A" w:rsidRDefault="5AA7423A" w:rsidP="00216AB8">
            <w:pPr>
              <w:spacing w:after="0"/>
              <w:outlineLvl w:val="0"/>
              <w:rPr>
                <w:rFonts w:eastAsia="Arial" w:cs="Arial"/>
                <w:color w:val="333333"/>
                <w:szCs w:val="20"/>
              </w:rPr>
            </w:pPr>
            <w:r w:rsidRPr="5AA7423A">
              <w:rPr>
                <w:rFonts w:eastAsia="Arial" w:cs="Arial"/>
                <w:color w:val="333333"/>
                <w:szCs w:val="20"/>
              </w:rPr>
              <w:t xml:space="preserve">Acid reflux medicines </w:t>
            </w:r>
          </w:p>
          <w:p w14:paraId="5991B6E8" w14:textId="206624C4" w:rsidR="5AA7423A" w:rsidRDefault="5AA7423A" w:rsidP="00216AB8">
            <w:pPr>
              <w:spacing w:after="0"/>
              <w:outlineLvl w:val="0"/>
              <w:rPr>
                <w:rFonts w:eastAsia="Arial" w:cs="Arial"/>
                <w:color w:val="333333"/>
                <w:szCs w:val="20"/>
              </w:rPr>
            </w:pPr>
            <w:r w:rsidRPr="5AA7423A">
              <w:rPr>
                <w:rFonts w:eastAsia="Arial" w:cs="Arial"/>
                <w:color w:val="333333"/>
                <w:szCs w:val="20"/>
              </w:rPr>
              <w:t xml:space="preserve">Sleep aid medicines </w:t>
            </w:r>
          </w:p>
          <w:p w14:paraId="4E9E2DD3" w14:textId="3FA0F27B" w:rsidR="5AA7423A" w:rsidRDefault="5AA7423A" w:rsidP="00216AB8">
            <w:pPr>
              <w:spacing w:after="0"/>
              <w:outlineLvl w:val="0"/>
              <w:rPr>
                <w:rFonts w:eastAsia="Arial" w:cs="Arial"/>
                <w:color w:val="333333"/>
                <w:szCs w:val="20"/>
              </w:rPr>
            </w:pPr>
            <w:r w:rsidRPr="5AA7423A">
              <w:rPr>
                <w:rFonts w:eastAsia="Arial" w:cs="Arial"/>
                <w:color w:val="333333"/>
                <w:szCs w:val="20"/>
              </w:rPr>
              <w:t xml:space="preserve">Emergency contraception </w:t>
            </w:r>
          </w:p>
        </w:tc>
      </w:tr>
      <w:tr w:rsidR="5AA7423A" w14:paraId="5B380499" w14:textId="77777777" w:rsidTr="0046466B">
        <w:trPr>
          <w:trHeight w:val="139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42357D0E" w14:textId="07C16A5B" w:rsidR="5AA7423A" w:rsidRDefault="5AA7423A" w:rsidP="00216AB8">
            <w:pPr>
              <w:spacing w:after="0" w:line="254" w:lineRule="auto"/>
              <w:outlineLvl w:val="0"/>
              <w:rPr>
                <w:rFonts w:eastAsia="Arial" w:cs="Arial"/>
                <w:color w:val="333333"/>
                <w:szCs w:val="20"/>
              </w:rPr>
            </w:pPr>
            <w:r w:rsidRPr="5AA7423A">
              <w:rPr>
                <w:rFonts w:eastAsia="Arial" w:cs="Arial"/>
                <w:color w:val="333333"/>
                <w:szCs w:val="20"/>
              </w:rPr>
              <w:t xml:space="preserve">Schedule 4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56BD636D" w14:textId="26225630" w:rsidR="5AA7423A" w:rsidRDefault="5AA7423A" w:rsidP="00216AB8">
            <w:pPr>
              <w:spacing w:after="0"/>
              <w:outlineLvl w:val="0"/>
              <w:rPr>
                <w:rFonts w:eastAsia="Arial" w:cs="Arial"/>
                <w:color w:val="333333"/>
                <w:szCs w:val="20"/>
              </w:rPr>
            </w:pPr>
            <w:r w:rsidRPr="5AA7423A">
              <w:rPr>
                <w:rFonts w:eastAsia="Arial" w:cs="Arial"/>
                <w:b/>
                <w:bCs/>
                <w:color w:val="333333"/>
                <w:szCs w:val="20"/>
              </w:rPr>
              <w:t>Prescription only medicine</w:t>
            </w:r>
            <w:r w:rsidRPr="5AA7423A">
              <w:rPr>
                <w:rFonts w:eastAsia="Arial" w:cs="Arial"/>
                <w:color w:val="333333"/>
                <w:szCs w:val="20"/>
              </w:rPr>
              <w:t xml:space="preserve"> − Medicines which must be prescribed by an authorised healthcare professional (such as your doctor or nurse practitioner). They may be supplied in hospital or bought from a pharmacy with a prescription. </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1DEFB690" w14:textId="3CDE485B" w:rsidR="5AA7423A" w:rsidRDefault="5AA7423A" w:rsidP="00216AB8">
            <w:pPr>
              <w:spacing w:after="0"/>
              <w:outlineLvl w:val="0"/>
              <w:rPr>
                <w:rFonts w:eastAsia="Arial" w:cs="Arial"/>
                <w:color w:val="262626" w:themeColor="text1" w:themeTint="D9"/>
                <w:szCs w:val="20"/>
              </w:rPr>
            </w:pPr>
            <w:r w:rsidRPr="5AA7423A">
              <w:rPr>
                <w:rFonts w:eastAsia="Arial" w:cs="Arial"/>
                <w:color w:val="333333"/>
                <w:szCs w:val="20"/>
              </w:rPr>
              <w:t xml:space="preserve">Antibiotics </w:t>
            </w:r>
            <w:r w:rsidRPr="5AA7423A">
              <w:rPr>
                <w:rFonts w:eastAsia="Arial" w:cs="Arial"/>
                <w:color w:val="262626" w:themeColor="text1" w:themeTint="D9"/>
                <w:szCs w:val="20"/>
              </w:rPr>
              <w:t xml:space="preserve"> </w:t>
            </w:r>
          </w:p>
          <w:p w14:paraId="0D036BEC" w14:textId="1D6BFB70" w:rsidR="5AA7423A" w:rsidRDefault="5AA7423A" w:rsidP="00216AB8">
            <w:pPr>
              <w:spacing w:after="0"/>
              <w:outlineLvl w:val="0"/>
              <w:rPr>
                <w:rFonts w:eastAsia="Arial" w:cs="Arial"/>
                <w:color w:val="262626" w:themeColor="text1" w:themeTint="D9"/>
                <w:szCs w:val="20"/>
              </w:rPr>
            </w:pPr>
            <w:r w:rsidRPr="5AA7423A">
              <w:rPr>
                <w:rFonts w:eastAsia="Arial" w:cs="Arial"/>
                <w:color w:val="333333"/>
                <w:szCs w:val="20"/>
              </w:rPr>
              <w:t>Anti hypertensives</w:t>
            </w:r>
            <w:r w:rsidRPr="5AA7423A">
              <w:rPr>
                <w:rFonts w:eastAsia="Arial" w:cs="Arial"/>
                <w:color w:val="262626" w:themeColor="text1" w:themeTint="D9"/>
                <w:szCs w:val="20"/>
              </w:rPr>
              <w:t xml:space="preserve"> </w:t>
            </w:r>
          </w:p>
          <w:p w14:paraId="19B85AC6" w14:textId="49F37912" w:rsidR="5AA7423A" w:rsidRDefault="5AA7423A" w:rsidP="00216AB8">
            <w:pPr>
              <w:spacing w:after="0"/>
              <w:outlineLvl w:val="0"/>
              <w:rPr>
                <w:rFonts w:eastAsia="Arial" w:cs="Arial"/>
                <w:color w:val="262626" w:themeColor="text1" w:themeTint="D9"/>
                <w:szCs w:val="20"/>
              </w:rPr>
            </w:pPr>
            <w:r w:rsidRPr="5AA7423A">
              <w:rPr>
                <w:rFonts w:eastAsia="Arial" w:cs="Arial"/>
                <w:color w:val="333333"/>
                <w:szCs w:val="20"/>
              </w:rPr>
              <w:t>Anticoagulants</w:t>
            </w:r>
            <w:r w:rsidRPr="5AA7423A">
              <w:rPr>
                <w:rFonts w:eastAsia="Arial" w:cs="Arial"/>
                <w:color w:val="262626" w:themeColor="text1" w:themeTint="D9"/>
                <w:szCs w:val="20"/>
              </w:rPr>
              <w:t xml:space="preserve"> </w:t>
            </w:r>
          </w:p>
          <w:p w14:paraId="489C4EB5" w14:textId="418CBA21" w:rsidR="5AA7423A" w:rsidRDefault="5AA7423A" w:rsidP="00216AB8">
            <w:pPr>
              <w:spacing w:after="0"/>
              <w:outlineLvl w:val="0"/>
              <w:rPr>
                <w:rFonts w:eastAsia="Arial" w:cs="Arial"/>
                <w:color w:val="333333"/>
                <w:szCs w:val="20"/>
              </w:rPr>
            </w:pPr>
            <w:r w:rsidRPr="5AA7423A">
              <w:rPr>
                <w:rFonts w:eastAsia="Arial" w:cs="Arial"/>
                <w:color w:val="333333"/>
                <w:szCs w:val="20"/>
              </w:rPr>
              <w:t xml:space="preserve">Cholesterol Medicines </w:t>
            </w:r>
          </w:p>
        </w:tc>
      </w:tr>
      <w:tr w:rsidR="5AA7423A" w14:paraId="4570934D" w14:textId="77777777" w:rsidTr="0046466B">
        <w:trPr>
          <w:trHeight w:val="163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1508AE00" w14:textId="49A9B7F3" w:rsidR="5AA7423A" w:rsidRDefault="5AA7423A" w:rsidP="00216AB8">
            <w:pPr>
              <w:spacing w:after="0" w:line="254" w:lineRule="auto"/>
              <w:outlineLvl w:val="0"/>
              <w:rPr>
                <w:rFonts w:eastAsia="Arial" w:cs="Arial"/>
                <w:color w:val="333333"/>
                <w:szCs w:val="20"/>
              </w:rPr>
            </w:pPr>
            <w:r w:rsidRPr="5AA7423A">
              <w:rPr>
                <w:rFonts w:eastAsia="Arial" w:cs="Arial"/>
                <w:color w:val="333333"/>
                <w:szCs w:val="20"/>
              </w:rPr>
              <w:t xml:space="preserve">Schedule 8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5AE55860" w14:textId="3709AC8D" w:rsidR="5AA7423A" w:rsidRDefault="5AA7423A" w:rsidP="00216AB8">
            <w:pPr>
              <w:spacing w:after="0"/>
              <w:outlineLvl w:val="0"/>
              <w:rPr>
                <w:rFonts w:eastAsia="Arial" w:cs="Arial"/>
                <w:color w:val="333333"/>
                <w:szCs w:val="20"/>
              </w:rPr>
            </w:pPr>
            <w:r w:rsidRPr="5AA7423A">
              <w:rPr>
                <w:rFonts w:eastAsia="Arial" w:cs="Arial"/>
                <w:b/>
                <w:bCs/>
                <w:color w:val="333333"/>
                <w:szCs w:val="20"/>
              </w:rPr>
              <w:t>Controlled drug</w:t>
            </w:r>
            <w:r w:rsidRPr="5AA7423A">
              <w:rPr>
                <w:rFonts w:eastAsia="Arial" w:cs="Arial"/>
                <w:color w:val="333333"/>
                <w:szCs w:val="20"/>
              </w:rPr>
              <w:t xml:space="preserve"> − Medicines or chemicals which have special rules for producing, supplying, distributing, owning and using them. These medicines may only be prescribed by an authorised healthcare professional who may need a special prescribing permit. </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9" w:type="dxa"/>
              <w:left w:w="107" w:type="dxa"/>
              <w:right w:w="62" w:type="dxa"/>
            </w:tcMar>
          </w:tcPr>
          <w:p w14:paraId="49172606" w14:textId="19FA7347" w:rsidR="5AA7423A" w:rsidRDefault="5AA7423A" w:rsidP="00216AB8">
            <w:pPr>
              <w:spacing w:after="0"/>
              <w:outlineLvl w:val="0"/>
              <w:rPr>
                <w:rFonts w:eastAsia="Arial" w:cs="Arial"/>
                <w:color w:val="262626" w:themeColor="text1" w:themeTint="D9"/>
                <w:szCs w:val="20"/>
              </w:rPr>
            </w:pPr>
            <w:r w:rsidRPr="5AA7423A">
              <w:rPr>
                <w:rFonts w:eastAsia="Arial" w:cs="Arial"/>
                <w:color w:val="333333"/>
                <w:szCs w:val="20"/>
              </w:rPr>
              <w:t>Morphine</w:t>
            </w:r>
            <w:r w:rsidRPr="5AA7423A">
              <w:rPr>
                <w:rFonts w:eastAsia="Arial" w:cs="Arial"/>
                <w:color w:val="262626" w:themeColor="text1" w:themeTint="D9"/>
                <w:szCs w:val="20"/>
              </w:rPr>
              <w:t xml:space="preserve"> </w:t>
            </w:r>
          </w:p>
          <w:p w14:paraId="1901199D" w14:textId="19678932" w:rsidR="5AA7423A" w:rsidRDefault="5AA7423A" w:rsidP="00216AB8">
            <w:pPr>
              <w:spacing w:after="0"/>
              <w:outlineLvl w:val="0"/>
              <w:rPr>
                <w:rFonts w:eastAsia="Arial" w:cs="Arial"/>
                <w:color w:val="262626" w:themeColor="text1" w:themeTint="D9"/>
                <w:szCs w:val="20"/>
              </w:rPr>
            </w:pPr>
            <w:r w:rsidRPr="5AA7423A">
              <w:rPr>
                <w:rFonts w:eastAsia="Arial" w:cs="Arial"/>
                <w:color w:val="333333"/>
                <w:szCs w:val="20"/>
              </w:rPr>
              <w:t>Oxycodone</w:t>
            </w:r>
            <w:r w:rsidRPr="5AA7423A">
              <w:rPr>
                <w:rFonts w:eastAsia="Arial" w:cs="Arial"/>
                <w:color w:val="262626" w:themeColor="text1" w:themeTint="D9"/>
                <w:szCs w:val="20"/>
              </w:rPr>
              <w:t xml:space="preserve"> </w:t>
            </w:r>
          </w:p>
          <w:p w14:paraId="2A57A425" w14:textId="3F3D5A4D" w:rsidR="5AA7423A" w:rsidRDefault="5AA7423A" w:rsidP="00216AB8">
            <w:pPr>
              <w:spacing w:after="0"/>
              <w:outlineLvl w:val="0"/>
              <w:rPr>
                <w:rFonts w:eastAsia="Arial" w:cs="Arial"/>
                <w:color w:val="262626" w:themeColor="text1" w:themeTint="D9"/>
                <w:szCs w:val="20"/>
              </w:rPr>
            </w:pPr>
            <w:r w:rsidRPr="5AA7423A">
              <w:rPr>
                <w:rFonts w:eastAsia="Arial" w:cs="Arial"/>
                <w:color w:val="333333"/>
                <w:szCs w:val="20"/>
              </w:rPr>
              <w:t>Fentanyl</w:t>
            </w:r>
            <w:r w:rsidRPr="5AA7423A">
              <w:rPr>
                <w:rFonts w:eastAsia="Arial" w:cs="Arial"/>
                <w:color w:val="262626" w:themeColor="text1" w:themeTint="D9"/>
                <w:szCs w:val="20"/>
              </w:rPr>
              <w:t xml:space="preserve"> </w:t>
            </w:r>
          </w:p>
          <w:p w14:paraId="4FCD3889" w14:textId="21274A5A" w:rsidR="5AA7423A" w:rsidRDefault="5AA7423A" w:rsidP="00216AB8">
            <w:pPr>
              <w:spacing w:after="0"/>
              <w:outlineLvl w:val="0"/>
              <w:rPr>
                <w:rFonts w:eastAsia="Arial" w:cs="Arial"/>
                <w:color w:val="333333"/>
                <w:szCs w:val="20"/>
              </w:rPr>
            </w:pPr>
            <w:r w:rsidRPr="5AA7423A">
              <w:rPr>
                <w:rFonts w:eastAsia="Arial" w:cs="Arial"/>
                <w:color w:val="333333"/>
                <w:szCs w:val="20"/>
              </w:rPr>
              <w:t>Methadone</w:t>
            </w:r>
          </w:p>
        </w:tc>
      </w:tr>
    </w:tbl>
    <w:p w14:paraId="24C9DC8D" w14:textId="2F807BFB" w:rsidR="00887165" w:rsidRDefault="00887165" w:rsidP="00216AB8">
      <w:pPr>
        <w:pStyle w:val="AHPRAbody"/>
        <w:spacing w:before="240"/>
        <w:outlineLvl w:val="0"/>
        <w:rPr>
          <w:highlight w:val="green"/>
        </w:rPr>
      </w:pPr>
      <w:r>
        <w:t xml:space="preserve">The Australian Institute of Health and Welfare’s </w:t>
      </w:r>
      <w:r w:rsidRPr="5AA7423A">
        <w:rPr>
          <w:i/>
          <w:iCs/>
        </w:rPr>
        <w:t xml:space="preserve">Health care quality and performance </w:t>
      </w:r>
      <w:r w:rsidR="00577DAE" w:rsidRPr="009B4992">
        <w:t>(</w:t>
      </w:r>
      <w:r w:rsidRPr="009B4992">
        <w:t>2022</w:t>
      </w:r>
      <w:r w:rsidR="00577DAE" w:rsidRPr="009B4992">
        <w:t>)</w:t>
      </w:r>
      <w:r w:rsidRPr="009B4992">
        <w:t xml:space="preserve"> report</w:t>
      </w:r>
      <w:r w:rsidRPr="00577DAE">
        <w:t>, highlights</w:t>
      </w:r>
      <w:r>
        <w:t xml:space="preserve"> the following:</w:t>
      </w:r>
      <w:r w:rsidR="009B4992" w:rsidRPr="5AA7423A" w:rsidDel="009B4992">
        <w:rPr>
          <w:vertAlign w:val="superscript"/>
        </w:rPr>
        <w:t xml:space="preserve"> </w:t>
      </w:r>
      <w:r w:rsidR="009B4992">
        <w:rPr>
          <w:vertAlign w:val="superscript"/>
        </w:rPr>
        <w:t>16,17</w:t>
      </w:r>
      <w:r w:rsidRPr="5AA7423A">
        <w:rPr>
          <w:vertAlign w:val="superscript"/>
        </w:rPr>
        <w:t xml:space="preserve"> </w:t>
      </w:r>
    </w:p>
    <w:p w14:paraId="6F1ECF88" w14:textId="4B2221DA" w:rsidR="00887165" w:rsidRDefault="00887165" w:rsidP="00216AB8">
      <w:pPr>
        <w:pStyle w:val="AHPRABulletlevel1"/>
        <w:outlineLvl w:val="0"/>
      </w:pPr>
      <w:r>
        <w:t>During 2021, 317.4 million prescriptions were dispensed under the Pharmaceutical Benefits Scheme (PBS) and the Repatriation Pharmaceutical Benefits Scheme (RPBS). The government spent $14.1 billion on all PBS and RPBS medicines an increase of 7.0% from 2020 which equates to</w:t>
      </w:r>
      <w:r w:rsidR="00A342C0">
        <w:t xml:space="preserve"> </w:t>
      </w:r>
      <w:r>
        <w:t xml:space="preserve">government spending </w:t>
      </w:r>
      <w:r w:rsidR="00C0456C">
        <w:t xml:space="preserve">of </w:t>
      </w:r>
      <w:r>
        <w:t xml:space="preserve">$541 per person.  </w:t>
      </w:r>
    </w:p>
    <w:p w14:paraId="0C0C8B19" w14:textId="5626F02B" w:rsidR="00887165" w:rsidRDefault="00887165" w:rsidP="00216AB8">
      <w:pPr>
        <w:pStyle w:val="AHPRABulletlevel1"/>
        <w:outlineLvl w:val="0"/>
      </w:pPr>
      <w:r>
        <w:t xml:space="preserve">About 87% of all medicines dispensed during 2020-2021 were prescribed by GPs. </w:t>
      </w:r>
    </w:p>
    <w:p w14:paraId="5840E6C4" w14:textId="714F3FA7" w:rsidR="00887165" w:rsidRDefault="00887165" w:rsidP="00216AB8">
      <w:pPr>
        <w:pStyle w:val="AHPRABulletlevel1"/>
        <w:outlineLvl w:val="0"/>
      </w:pPr>
      <w:r>
        <w:t xml:space="preserve">Seven of the 10 most common PBS medicines prescribed were for chronic conditions including hypertension, gastric reflux and diabetes. They were: Rosuvastatin (cholesterol reduction), Atorvastatin (cholesterol reduction), Pantoprazole (gastric reflux), Esomeprazole (gastric reflux), Perindopril (blood pressure), Irbesartan (blood pressure) and Metformin (diabetes). </w:t>
      </w:r>
    </w:p>
    <w:p w14:paraId="4CE1DF3E" w14:textId="0F1A78CD" w:rsidR="00887165" w:rsidRDefault="00887165" w:rsidP="00216AB8">
      <w:pPr>
        <w:pStyle w:val="AHPRABulletlevel1last"/>
        <w:outlineLvl w:val="0"/>
      </w:pPr>
      <w:r>
        <w:t xml:space="preserve">Over half of the medicines (54%) were dispensed to people aged 65 and over. People aged 50 and over received 75% of all PBS medicines dispensed. </w:t>
      </w:r>
    </w:p>
    <w:p w14:paraId="45741469" w14:textId="52F7208D" w:rsidR="00681BEC" w:rsidRDefault="00887165" w:rsidP="00271930">
      <w:pPr>
        <w:pStyle w:val="AHPRAbody"/>
        <w:outlineLvl w:val="0"/>
      </w:pPr>
      <w:r>
        <w:t xml:space="preserve">The Australian system of prescribing medicines </w:t>
      </w:r>
      <w:r w:rsidR="00BE100B">
        <w:t>expends a lot</w:t>
      </w:r>
      <w:r>
        <w:t xml:space="preserve"> of time, money and human resources</w:t>
      </w:r>
      <w:r w:rsidR="008B0AC4">
        <w:t>.</w:t>
      </w:r>
      <w:r>
        <w:t xml:space="preserve"> GPs are having to prescribe the bulk of medicines the Australian community</w:t>
      </w:r>
      <w:r w:rsidR="008B0AC4">
        <w:t>, primarily to</w:t>
      </w:r>
      <w:r>
        <w:t xml:space="preserve"> manage long term chronic conditions. This </w:t>
      </w:r>
      <w:r w:rsidR="00BC6248">
        <w:t xml:space="preserve">trend </w:t>
      </w:r>
      <w:r>
        <w:t xml:space="preserve">is concerning as the </w:t>
      </w:r>
      <w:r w:rsidRPr="00173E2F">
        <w:rPr>
          <w:i/>
          <w:iCs/>
        </w:rPr>
        <w:t>General Practice: Health of the Nation</w:t>
      </w:r>
      <w:r>
        <w:t xml:space="preserve"> </w:t>
      </w:r>
      <w:r w:rsidR="00577DAE">
        <w:t xml:space="preserve">(2022) </w:t>
      </w:r>
      <w:r>
        <w:t xml:space="preserve">report </w:t>
      </w:r>
      <w:r w:rsidR="00BC6248">
        <w:t xml:space="preserve">raised </w:t>
      </w:r>
      <w:r>
        <w:t xml:space="preserve">burnout across the GP profession, unsustainable workloads which are impacting on the provision of patient care and a declining interest in the profession as a career pathway. </w:t>
      </w:r>
      <w:r w:rsidR="009B4992" w:rsidRPr="006C775A">
        <w:rPr>
          <w:vertAlign w:val="superscript"/>
        </w:rPr>
        <w:t>1</w:t>
      </w:r>
      <w:r w:rsidR="009B4992">
        <w:rPr>
          <w:vertAlign w:val="superscript"/>
        </w:rPr>
        <w:t>8</w:t>
      </w:r>
      <w:r w:rsidRPr="006C775A">
        <w:rPr>
          <w:vertAlign w:val="superscript"/>
        </w:rPr>
        <w:t xml:space="preserve"> </w:t>
      </w:r>
    </w:p>
    <w:p w14:paraId="3E198E32" w14:textId="557A073A" w:rsidR="00887165" w:rsidRDefault="00887165" w:rsidP="00216AB8">
      <w:pPr>
        <w:pStyle w:val="AHPRASubheadinglevel2"/>
        <w:outlineLvl w:val="0"/>
      </w:pPr>
      <w:bookmarkStart w:id="20" w:name="_Toc164692700"/>
      <w:r>
        <w:t xml:space="preserve">The </w:t>
      </w:r>
      <w:r w:rsidR="0053537F">
        <w:t>medication management cycle</w:t>
      </w:r>
      <w:bookmarkEnd w:id="20"/>
    </w:p>
    <w:p w14:paraId="7570E84E" w14:textId="0C621B7D" w:rsidR="00887165" w:rsidRDefault="00887165" w:rsidP="00216AB8">
      <w:pPr>
        <w:pStyle w:val="AHPRAbody"/>
        <w:outlineLvl w:val="0"/>
      </w:pPr>
      <w:r>
        <w:t xml:space="preserve">The medication management cycle (MMC) describes the key steps and background processes that underpin medicine use in all settings for quality use of medicines and medicine safety. The MMC provides </w:t>
      </w:r>
      <w:r>
        <w:lastRenderedPageBreak/>
        <w:t>a framework for understanding and improving medication management in episodes of care where medicines are involved.</w:t>
      </w:r>
      <w:r w:rsidR="009B4992">
        <w:rPr>
          <w:vertAlign w:val="superscript"/>
        </w:rPr>
        <w:t>19,20</w:t>
      </w:r>
    </w:p>
    <w:p w14:paraId="078CF7DE" w14:textId="77777777" w:rsidR="00887165" w:rsidRDefault="00887165" w:rsidP="00216AB8">
      <w:pPr>
        <w:pStyle w:val="AHPRAbody"/>
        <w:outlineLvl w:val="0"/>
      </w:pPr>
      <w:r>
        <w:t>The cycle comprises the following steps:</w:t>
      </w:r>
    </w:p>
    <w:p w14:paraId="460DB91E" w14:textId="77777777" w:rsidR="00887165" w:rsidRDefault="00887165" w:rsidP="00216AB8">
      <w:pPr>
        <w:pStyle w:val="AHPRABulletlevel1"/>
        <w:outlineLvl w:val="0"/>
      </w:pPr>
      <w:r>
        <w:t>The decision to prescribe if a medicine is required</w:t>
      </w:r>
    </w:p>
    <w:p w14:paraId="178399F4" w14:textId="77777777" w:rsidR="00887165" w:rsidRDefault="00887165" w:rsidP="00216AB8">
      <w:pPr>
        <w:pStyle w:val="AHPRABulletlevel1"/>
        <w:outlineLvl w:val="0"/>
      </w:pPr>
      <w:r>
        <w:t>Recording the medicine or prescription</w:t>
      </w:r>
    </w:p>
    <w:p w14:paraId="2EB5E841" w14:textId="77777777" w:rsidR="00887165" w:rsidRDefault="00887165" w:rsidP="00216AB8">
      <w:pPr>
        <w:pStyle w:val="AHPRABulletlevel1"/>
        <w:outlineLvl w:val="0"/>
      </w:pPr>
      <w:r>
        <w:t>Reviewing the medicine or prescription</w:t>
      </w:r>
    </w:p>
    <w:p w14:paraId="139BCB73" w14:textId="77777777" w:rsidR="00887165" w:rsidRDefault="00887165" w:rsidP="00216AB8">
      <w:pPr>
        <w:pStyle w:val="AHPRABulletlevel1"/>
        <w:outlineLvl w:val="0"/>
      </w:pPr>
      <w:r>
        <w:t>Issuing the medicine which includes dispensing and supply</w:t>
      </w:r>
    </w:p>
    <w:p w14:paraId="5AD8B957" w14:textId="42F753D3" w:rsidR="00887165" w:rsidRDefault="00887165" w:rsidP="00216AB8">
      <w:pPr>
        <w:pStyle w:val="AHPRABulletlevel1"/>
        <w:outlineLvl w:val="0"/>
      </w:pPr>
      <w:r>
        <w:t>Providing medicines information to the patient/client in how to store and use the medicine</w:t>
      </w:r>
    </w:p>
    <w:p w14:paraId="474B3225" w14:textId="77777777" w:rsidR="00887165" w:rsidRDefault="00887165" w:rsidP="00216AB8">
      <w:pPr>
        <w:pStyle w:val="AHPRABulletlevel1"/>
        <w:outlineLvl w:val="0"/>
      </w:pPr>
      <w:r>
        <w:t xml:space="preserve">Appropriately distributing and storing the medicine </w:t>
      </w:r>
    </w:p>
    <w:p w14:paraId="2ACF92BB" w14:textId="77777777" w:rsidR="00887165" w:rsidRDefault="00887165" w:rsidP="00216AB8">
      <w:pPr>
        <w:pStyle w:val="AHPRABulletlevel1"/>
        <w:outlineLvl w:val="0"/>
      </w:pPr>
      <w:r>
        <w:t xml:space="preserve">Administering the medicine </w:t>
      </w:r>
    </w:p>
    <w:p w14:paraId="783CC8E0" w14:textId="77777777" w:rsidR="00887165" w:rsidRPr="00B83E6B" w:rsidRDefault="00887165" w:rsidP="00216AB8">
      <w:pPr>
        <w:pStyle w:val="AHPRABulletlevel1"/>
        <w:outlineLvl w:val="0"/>
      </w:pPr>
      <w:r>
        <w:t>Monitoring the patient/client response to medicines</w:t>
      </w:r>
    </w:p>
    <w:p w14:paraId="4EF33B60" w14:textId="68DC3569" w:rsidR="00887165" w:rsidRDefault="00887165" w:rsidP="00216AB8">
      <w:pPr>
        <w:pStyle w:val="AHPRABulletlevel1last"/>
        <w:outlineLvl w:val="0"/>
      </w:pPr>
      <w:r>
        <w:t>With the patient’s/clients consent transferring information about the medicine to health care professional involved in the next episode of care.</w:t>
      </w:r>
    </w:p>
    <w:p w14:paraId="1457D354" w14:textId="5C51CB07" w:rsidR="00887165" w:rsidRDefault="00887165" w:rsidP="00216AB8">
      <w:pPr>
        <w:pStyle w:val="AHPRAbody"/>
        <w:outlineLvl w:val="0"/>
      </w:pPr>
      <w:r>
        <w:t>Nurses already play a crucial role in the medication management cycle</w:t>
      </w:r>
      <w:r w:rsidR="008D6B32">
        <w:t>.</w:t>
      </w:r>
      <w:r>
        <w:t xml:space="preserve"> </w:t>
      </w:r>
      <w:r w:rsidR="008D6B32">
        <w:t xml:space="preserve">In </w:t>
      </w:r>
      <w:r>
        <w:t>rural and remote areas where nurse led services are prevalent</w:t>
      </w:r>
      <w:r w:rsidR="008D6B32">
        <w:t>,</w:t>
      </w:r>
      <w:r>
        <w:t xml:space="preserve"> RNs are already shouldering responsibility for the MMC.</w:t>
      </w:r>
      <w:r w:rsidR="009B4992" w:rsidRPr="006C775A" w:rsidDel="009B4992">
        <w:rPr>
          <w:vertAlign w:val="superscript"/>
        </w:rPr>
        <w:t xml:space="preserve"> </w:t>
      </w:r>
      <w:r w:rsidR="009B4992">
        <w:rPr>
          <w:vertAlign w:val="superscript"/>
        </w:rPr>
        <w:t xml:space="preserve">20 </w:t>
      </w:r>
      <w:r>
        <w:t>RNs</w:t>
      </w:r>
      <w:r w:rsidR="00672883">
        <w:t xml:space="preserve"> work across all </w:t>
      </w:r>
      <w:r w:rsidR="00DE4F3F">
        <w:t>sectors of healthcare and</w:t>
      </w:r>
      <w:r>
        <w:t xml:space="preserve"> are well placed from a workforce distribution perspective to </w:t>
      </w:r>
      <w:r w:rsidR="002725DF">
        <w:t>improve</w:t>
      </w:r>
      <w:r>
        <w:t xml:space="preserve"> access and equity in healthcare</w:t>
      </w:r>
      <w:r w:rsidR="002725DF">
        <w:t>. With further education and training, RNs can</w:t>
      </w:r>
      <w:r>
        <w:t xml:space="preserve"> extend their involvement in the medication management cycle </w:t>
      </w:r>
      <w:r w:rsidR="00A64E22">
        <w:t xml:space="preserve">to </w:t>
      </w:r>
      <w:r w:rsidR="002725DF">
        <w:t>include prescribing</w:t>
      </w:r>
      <w:r>
        <w:t>.</w:t>
      </w:r>
    </w:p>
    <w:p w14:paraId="0852EA40" w14:textId="4CA7641C" w:rsidR="00887165" w:rsidRDefault="006C0681" w:rsidP="00216AB8">
      <w:pPr>
        <w:pStyle w:val="AHPRASubheadinglevel2"/>
        <w:outlineLvl w:val="0"/>
      </w:pPr>
      <w:bookmarkStart w:id="21" w:name="_Toc164692701"/>
      <w:r>
        <w:t xml:space="preserve">The </w:t>
      </w:r>
      <w:r w:rsidR="00887165">
        <w:t>Health Professionals Prescribing Pathway (HPPP)</w:t>
      </w:r>
      <w:bookmarkEnd w:id="21"/>
      <w:r w:rsidR="00887165">
        <w:t xml:space="preserve"> </w:t>
      </w:r>
    </w:p>
    <w:p w14:paraId="6FF15D95" w14:textId="4AFB8704" w:rsidR="00887165" w:rsidRDefault="00887165" w:rsidP="00216AB8">
      <w:pPr>
        <w:pStyle w:val="AHPRAbody"/>
        <w:outlineLvl w:val="0"/>
      </w:pPr>
      <w:r>
        <w:t>Prescribing has been defined as an iterative process involving the steps of information gathering, clinical decision making, communication and evaluation which results in the initiation, continuation, or cessation of medicines. A prescriber is defined as a health practitioner authorised to undertake prescribing within their scope of practice.</w:t>
      </w:r>
      <w:r w:rsidR="00FE6A98">
        <w:t xml:space="preserve"> </w:t>
      </w:r>
      <w:r w:rsidR="009B4992">
        <w:rPr>
          <w:vertAlign w:val="superscript"/>
        </w:rPr>
        <w:t>21</w:t>
      </w:r>
    </w:p>
    <w:p w14:paraId="19A01026" w14:textId="4E3F5165" w:rsidR="00887165" w:rsidRDefault="00887165" w:rsidP="00216AB8">
      <w:pPr>
        <w:pStyle w:val="AHPRAbody"/>
        <w:outlineLvl w:val="0"/>
      </w:pPr>
      <w:r>
        <w:t xml:space="preserve">In 2013, Health Ministers approved the </w:t>
      </w:r>
      <w:bookmarkStart w:id="22" w:name="_Hlk163661451"/>
      <w:r>
        <w:t>Health Professionals Prescribing Pathway</w:t>
      </w:r>
      <w:bookmarkEnd w:id="22"/>
      <w:r>
        <w:t xml:space="preserve"> (HPPP)</w:t>
      </w:r>
      <w:r w:rsidR="006C0681">
        <w:t xml:space="preserve"> project</w:t>
      </w:r>
      <w:r>
        <w:t xml:space="preserve">. Based on the work of Professor Lisa Nissen and incorporating national and international research, the HPPP was developed to provide a nationally recognised and consistent approach to prescribing by a diverse range of health professionals. This framework details the principles that underpin best-practice prescribing; sets out the steps required for a health professional to prescribe; provides a considered approach to the role of stakeholders and details various models of prescribing. Three models of prescribing were identified by the HPPP, each based on the level of autonomy afforded to the </w:t>
      </w:r>
      <w:r w:rsidR="004F53FD">
        <w:t xml:space="preserve">relevant </w:t>
      </w:r>
      <w:r>
        <w:t xml:space="preserve">health professional undertaking the prescribing duties. </w:t>
      </w:r>
      <w:r w:rsidR="009B4992">
        <w:rPr>
          <w:vertAlign w:val="superscript"/>
        </w:rPr>
        <w:t>21</w:t>
      </w:r>
    </w:p>
    <w:p w14:paraId="2C982E63" w14:textId="56D46DB2" w:rsidR="00887165" w:rsidRDefault="00887165" w:rsidP="00216AB8">
      <w:pPr>
        <w:pStyle w:val="AHPRAbody"/>
        <w:outlineLvl w:val="0"/>
      </w:pPr>
      <w:r>
        <w:t xml:space="preserve">In 2016, the Australian Health Ministers’ Advisory Council developed the </w:t>
      </w:r>
      <w:hyperlink r:id="rId9" w:history="1">
        <w:r w:rsidRPr="00FE02D3">
          <w:rPr>
            <w:rStyle w:val="Hyperlink"/>
          </w:rPr>
          <w:t>Guidance for National Boards: Applications to the Ministerial Council for approval for endorsements in relation to scheduled medicines under section 14 of the National Law</w:t>
        </w:r>
      </w:hyperlink>
      <w:r>
        <w:t xml:space="preserve">. </w:t>
      </w:r>
      <w:bookmarkStart w:id="23" w:name="_Hlk163661383"/>
      <w:r>
        <w:t xml:space="preserve">This guidance ensures that any proposal put forward for consideration by </w:t>
      </w:r>
      <w:r w:rsidR="009B4992">
        <w:t xml:space="preserve">the </w:t>
      </w:r>
      <w:r>
        <w:t xml:space="preserve">Ministerial Council is compliant with the HPPP </w:t>
      </w:r>
      <w:r w:rsidR="009B4992">
        <w:t xml:space="preserve">which ensures </w:t>
      </w:r>
      <w:r>
        <w:t>consistency across the profession, in the setting of</w:t>
      </w:r>
      <w:r w:rsidR="009B4992">
        <w:t xml:space="preserve"> course</w:t>
      </w:r>
      <w:r>
        <w:t xml:space="preserve"> curricul</w:t>
      </w:r>
      <w:r w:rsidR="009B4992">
        <w:t>a</w:t>
      </w:r>
      <w:r>
        <w:t xml:space="preserve"> and qualification requirements for clinical practice standards and guidelines that support the quality use of scheduled medicines. </w:t>
      </w:r>
      <w:bookmarkEnd w:id="23"/>
    </w:p>
    <w:p w14:paraId="653868B9" w14:textId="78B733D7" w:rsidR="00887165" w:rsidRDefault="00887165" w:rsidP="00216AB8">
      <w:pPr>
        <w:pStyle w:val="AHPRAbody"/>
        <w:outlineLvl w:val="0"/>
      </w:pPr>
      <w:r>
        <w:t xml:space="preserve">The HPPP </w:t>
      </w:r>
      <w:r w:rsidR="006C0681">
        <w:t xml:space="preserve">project </w:t>
      </w:r>
      <w:r>
        <w:t>established the models of prescribing for health practitioners in Australia</w:t>
      </w:r>
      <w:r w:rsidR="000E6828">
        <w:t>. T</w:t>
      </w:r>
      <w:r>
        <w:t>he NMBA has developed the options in this paper in relation to the HPPP.</w:t>
      </w:r>
      <w:r w:rsidR="009E6EDB">
        <w:t xml:space="preserve"> </w:t>
      </w:r>
      <w:r w:rsidR="009B4992">
        <w:rPr>
          <w:vertAlign w:val="superscript"/>
        </w:rPr>
        <w:t>21</w:t>
      </w:r>
    </w:p>
    <w:p w14:paraId="40167C77" w14:textId="77777777" w:rsidR="00887165" w:rsidRDefault="00887165" w:rsidP="00216AB8">
      <w:pPr>
        <w:pStyle w:val="AHPRAbody"/>
        <w:outlineLvl w:val="0"/>
      </w:pPr>
      <w:r>
        <w:t xml:space="preserve">The HPPP models of prescribing are as follows:  </w:t>
      </w:r>
    </w:p>
    <w:p w14:paraId="39B1B35A" w14:textId="77777777" w:rsidR="00887165" w:rsidRDefault="00887165" w:rsidP="00216AB8">
      <w:pPr>
        <w:pStyle w:val="AHPRASubheadinglevel3"/>
        <w:outlineLvl w:val="0"/>
      </w:pPr>
      <w:r>
        <w:t xml:space="preserve">Model 1: Autonomous prescribing </w:t>
      </w:r>
    </w:p>
    <w:p w14:paraId="713A6087" w14:textId="77777777" w:rsidR="00887165" w:rsidRDefault="00887165" w:rsidP="00216AB8">
      <w:pPr>
        <w:pStyle w:val="AHPRAbody"/>
        <w:outlineLvl w:val="0"/>
      </w:pPr>
      <w:r>
        <w:t xml:space="preserve">Occurs where a prescriber undertakes prescribing within their scope of practice without the approval or supervision of another health professional. The prescriber has been educated and authorised to autonomously prescribe in a specific area of clinical practice. Although the prescriber may prescribe autonomously, they recognise the role of all members of the healthcare team and ensure appropriate communication occurs between team members and the person taking medicine. </w:t>
      </w:r>
    </w:p>
    <w:p w14:paraId="67961D44" w14:textId="77777777" w:rsidR="00887165" w:rsidRDefault="00887165" w:rsidP="00216AB8">
      <w:pPr>
        <w:pStyle w:val="AHPRASubheadinglevel3"/>
        <w:outlineLvl w:val="0"/>
      </w:pPr>
      <w:r>
        <w:t xml:space="preserve">Model 2: Prescribing under supervision </w:t>
      </w:r>
    </w:p>
    <w:p w14:paraId="04EDAE38" w14:textId="1364715E" w:rsidR="00887165" w:rsidRDefault="00887165" w:rsidP="00216AB8">
      <w:pPr>
        <w:pStyle w:val="AHPRAbody"/>
        <w:outlineLvl w:val="0"/>
      </w:pPr>
      <w:r>
        <w:t xml:space="preserve">Occurs where a prescriber undertakes prescribing within their scope of practice under the supervision of another authorised health professional. The supervised prescriber has been educated to prescribe and has limited authorisation to prescribe medicines that is determined by legislation. The requirements of the </w:t>
      </w:r>
      <w:r>
        <w:lastRenderedPageBreak/>
        <w:t>National Board, policies of the jurisdiction, governance frameworks and policies and procedures of the employer or health service. The prescriber and supervisor recognise their role in the healthcare team and ensure appropriate communication occurs between team members and the health consumer receiving the prescribed medication. Supervision guidelines are established for prescribing under supervision and should be tailored to the prescribing agreements and clinical governance frameworks, policies and procedures developed by the employer or organisation.</w:t>
      </w:r>
    </w:p>
    <w:p w14:paraId="2D415F21" w14:textId="1A0C91EF" w:rsidR="00887165" w:rsidRDefault="00887165" w:rsidP="00216AB8">
      <w:pPr>
        <w:pStyle w:val="AHPRASubheadinglevel3"/>
        <w:outlineLvl w:val="0"/>
      </w:pPr>
      <w:r>
        <w:t>Model 3: Prescribing via a structured prescribing arrangement</w:t>
      </w:r>
    </w:p>
    <w:p w14:paraId="3FEB4516" w14:textId="77777777" w:rsidR="00887165" w:rsidRDefault="00887165" w:rsidP="00216AB8">
      <w:pPr>
        <w:pStyle w:val="AHPRAbody"/>
        <w:outlineLvl w:val="0"/>
      </w:pPr>
      <w:r>
        <w:t xml:space="preserve">Occurs where a prescriber with a limited authorisation to prescribe medicines in accordance with legislation, requirements of the National Board and/or jurisdictional or health service policy supplies and administers under a guideline, protocol or standing order. A structured prescribing arrangement should be documented sufficiently to describe the responsibilities of the prescriber(s) involved and the communication that occurs between team members and the person taking medicine. </w:t>
      </w:r>
    </w:p>
    <w:p w14:paraId="3FC63D80" w14:textId="77777777" w:rsidR="00887165" w:rsidRDefault="00887165" w:rsidP="00216AB8">
      <w:pPr>
        <w:pStyle w:val="AHPRASubheading"/>
        <w:outlineLvl w:val="0"/>
      </w:pPr>
      <w:bookmarkStart w:id="24" w:name="_Toc164692702"/>
      <w:r>
        <w:t>Models of RN prescribing in Australia</w:t>
      </w:r>
      <w:bookmarkEnd w:id="24"/>
      <w:r>
        <w:t xml:space="preserve"> </w:t>
      </w:r>
    </w:p>
    <w:p w14:paraId="33322F8B" w14:textId="2DDACC96" w:rsidR="00887165" w:rsidRDefault="00887165" w:rsidP="00216AB8">
      <w:pPr>
        <w:pStyle w:val="AHPRAbody"/>
        <w:outlineLvl w:val="0"/>
      </w:pPr>
      <w:r>
        <w:t xml:space="preserve">Nurse practitioners (NPs) endorsed by the NMBA are able to prescribe medicines under HPPP Model 1 – autonomous prescribing. As </w:t>
      </w:r>
      <w:r w:rsidR="009B4992">
        <w:t>of June 2023</w:t>
      </w:r>
      <w:r>
        <w:t xml:space="preserve">, there were 2,494 NPs or 0.7% of the overall RN workforce. </w:t>
      </w:r>
      <w:r w:rsidR="009B4992">
        <w:rPr>
          <w:vertAlign w:val="superscript"/>
        </w:rPr>
        <w:t>22</w:t>
      </w:r>
    </w:p>
    <w:p w14:paraId="42F997CF" w14:textId="345C0C05" w:rsidR="00887165" w:rsidRDefault="00887165" w:rsidP="00216AB8">
      <w:pPr>
        <w:pStyle w:val="AHPRAbody"/>
        <w:outlineLvl w:val="0"/>
      </w:pPr>
      <w:r>
        <w:t>Previously, RNs with an endorsement for scheduled medicines in rural and isolated practice were able to prescribe under HPPP Model 3 – prescribing via a structured prescribing arrangement. As of 1 February 2023, 1,275 RNs</w:t>
      </w:r>
      <w:r w:rsidR="00A8383C">
        <w:t xml:space="preserve"> (0.3% of the </w:t>
      </w:r>
      <w:r w:rsidR="00292777">
        <w:t>total RN workforce)</w:t>
      </w:r>
      <w:r>
        <w:t xml:space="preserve"> with an endorsement for scheduled medicines</w:t>
      </w:r>
      <w:r w:rsidR="007078C5">
        <w:t xml:space="preserve"> were able to obtain, supply and administer schedule 2, 3, 4 and 8 </w:t>
      </w:r>
      <w:r w:rsidR="00A8383C">
        <w:t>medicines in rural and isolated practice settings under a structured prescribing arrangement and protocol</w:t>
      </w:r>
      <w:r>
        <w:t>.</w:t>
      </w:r>
      <w:r w:rsidRPr="006C775A">
        <w:rPr>
          <w:vertAlign w:val="superscript"/>
        </w:rPr>
        <w:t xml:space="preserve"> </w:t>
      </w:r>
      <w:r w:rsidR="009B4992">
        <w:rPr>
          <w:vertAlign w:val="superscript"/>
        </w:rPr>
        <w:t>22</w:t>
      </w:r>
      <w:r>
        <w:t xml:space="preserve"> This endorsement </w:t>
      </w:r>
      <w:r w:rsidR="00775F42">
        <w:t>was retired in</w:t>
      </w:r>
      <w:r>
        <w:t xml:space="preserve"> April 2023. This is due to Australian states and territories now being able to regulate the safe use of medicines by rural and isolated practice RNs through local medicines and poisons legislation, policies and protocols and no longer require additional regulation by the NMBA. </w:t>
      </w:r>
    </w:p>
    <w:p w14:paraId="7C41A56E" w14:textId="779FFCE5" w:rsidR="00887165" w:rsidRDefault="00115189" w:rsidP="00216AB8">
      <w:pPr>
        <w:pStyle w:val="AHPRAbody"/>
        <w:outlineLvl w:val="0"/>
        <w:rPr>
          <w:vertAlign w:val="superscript"/>
        </w:rPr>
      </w:pPr>
      <w:r>
        <w:t>In summary, d</w:t>
      </w:r>
      <w:r w:rsidR="00B82999">
        <w:t>epend</w:t>
      </w:r>
      <w:r>
        <w:t>ent</w:t>
      </w:r>
      <w:r w:rsidR="00887165">
        <w:t xml:space="preserve"> on jurisdiction and employing organisation, RNs that are not qualified as NPs may prescribe via structured prescribing arrangements. </w:t>
      </w:r>
      <w:r w:rsidR="009B4992">
        <w:rPr>
          <w:vertAlign w:val="superscript"/>
        </w:rPr>
        <w:t xml:space="preserve">20 </w:t>
      </w:r>
      <w:r w:rsidR="00887165">
        <w:t>There are two common types of prescribing arrangements</w:t>
      </w:r>
      <w:r w:rsidR="009A2B69">
        <w:t xml:space="preserve"> −</w:t>
      </w:r>
      <w:r w:rsidR="00887165">
        <w:t xml:space="preserve"> </w:t>
      </w:r>
      <w:r w:rsidR="009A2B69">
        <w:t xml:space="preserve">‘prescribe </w:t>
      </w:r>
      <w:r w:rsidR="00887165">
        <w:t>to administer</w:t>
      </w:r>
      <w:r w:rsidR="009A2B69">
        <w:t>’</w:t>
      </w:r>
      <w:r w:rsidR="00887165">
        <w:t xml:space="preserve"> where an RN is authorised only to administer a single dose of a medicine, and </w:t>
      </w:r>
      <w:r w:rsidR="009A2B69">
        <w:t>‘</w:t>
      </w:r>
      <w:r w:rsidR="00887165">
        <w:t>prescribe</w:t>
      </w:r>
      <w:r w:rsidR="009305DC">
        <w:t xml:space="preserve"> </w:t>
      </w:r>
      <w:r w:rsidR="00887165">
        <w:t>for</w:t>
      </w:r>
      <w:r w:rsidR="009305DC">
        <w:t xml:space="preserve"> </w:t>
      </w:r>
      <w:r w:rsidR="00887165">
        <w:t>supply</w:t>
      </w:r>
      <w:r w:rsidR="009A2B69">
        <w:t>’</w:t>
      </w:r>
      <w:r w:rsidR="00887165">
        <w:t xml:space="preserve"> where an RN is authorised to prescribe a medicine for a short or ongoing course of therapy. In this structure there is no consistent approach or existing operationalised standards for RNs who work with and under these arrangements to ensure that they are competent or educationally prepared to perform these tasks.</w:t>
      </w:r>
      <w:r w:rsidR="00707132">
        <w:t xml:space="preserve"> </w:t>
      </w:r>
      <w:r w:rsidR="009B4992">
        <w:rPr>
          <w:vertAlign w:val="superscript"/>
        </w:rPr>
        <w:t>20</w:t>
      </w:r>
    </w:p>
    <w:p w14:paraId="31C30040" w14:textId="546ABC35" w:rsidR="009B4992" w:rsidRPr="009B4992" w:rsidRDefault="009B4992" w:rsidP="00216AB8">
      <w:pPr>
        <w:pStyle w:val="AHPRAbody"/>
        <w:outlineLvl w:val="0"/>
        <w:rPr>
          <w:b/>
          <w:bCs/>
          <w:color w:val="0070C0"/>
          <w:vertAlign w:val="superscript"/>
        </w:rPr>
      </w:pPr>
      <w:r w:rsidRPr="009B4992">
        <w:rPr>
          <w:b/>
          <w:bCs/>
          <w:color w:val="0070C0"/>
        </w:rPr>
        <w:t xml:space="preserve">Midwifery prescribing models </w:t>
      </w:r>
    </w:p>
    <w:p w14:paraId="12471809" w14:textId="3BDAABDC" w:rsidR="009B4992" w:rsidRDefault="009B4992" w:rsidP="009B4992">
      <w:pPr>
        <w:pStyle w:val="AHPRAbody"/>
        <w:spacing w:after="0"/>
        <w:outlineLvl w:val="0"/>
      </w:pPr>
      <w:r>
        <w:t>Midwives in Australia who have undertaken additional postgraduate training and hold additional prescribing qualifications can also prescribe medicines within their scope of practice with an endorsement.  The endorsement means that the midwife has met the requirements of the NMBA Registration standard: Endorsement for scheduled medicines for midwives and is qualified to prescribe scheduled medicines 2, 3,4 and 8. This standard came into effect in January 2016 and is similar to the model proposed for designated prescribing apart from the varying clinical context. There are 1,089 endorsed Midwives as of 30 June 2023.</w:t>
      </w:r>
    </w:p>
    <w:p w14:paraId="759B40DD" w14:textId="77777777" w:rsidR="00887165" w:rsidRDefault="00887165" w:rsidP="009B4992">
      <w:pPr>
        <w:pStyle w:val="AHPRASubheading"/>
        <w:spacing w:after="0"/>
        <w:outlineLvl w:val="0"/>
      </w:pPr>
      <w:bookmarkStart w:id="25" w:name="_Toc164692703"/>
      <w:r>
        <w:t>International RN prescribing models</w:t>
      </w:r>
      <w:bookmarkEnd w:id="25"/>
      <w:r>
        <w:t xml:space="preserve"> </w:t>
      </w:r>
    </w:p>
    <w:p w14:paraId="601465FB" w14:textId="2E4200EF" w:rsidR="00887165" w:rsidRDefault="00887165" w:rsidP="00216AB8">
      <w:pPr>
        <w:pStyle w:val="AHPRAbody"/>
        <w:outlineLvl w:val="0"/>
      </w:pPr>
      <w:r>
        <w:t xml:space="preserve">Prescribing by nurses is well established internationally. Prescribing by nurses in either autonomous or collaborative prescribing models is legislated in the United States (US), Sweden, South Africa, Israel, China, Cyprus, United Kingdom (UK), Canada, Ireland, New Zealand (NZ), the Netherlands, Madagascar, Ethiopia, Pakistan, and Australia. The following examples of nurse prescribing models provide valuable guidance to inform the development of designated </w:t>
      </w:r>
      <w:r w:rsidR="002835E5">
        <w:t xml:space="preserve">RN </w:t>
      </w:r>
      <w:r>
        <w:t xml:space="preserve">prescribing in Australia. Many of these models of prescribing were developed to support health reform objectives, improve safe timely access to medicines for consumers and to improve access to care. The evidence from the evaluation of these models is that </w:t>
      </w:r>
      <w:r w:rsidR="002835E5">
        <w:t>RNs</w:t>
      </w:r>
      <w:r>
        <w:t xml:space="preserve"> who are educated to prescribe</w:t>
      </w:r>
      <w:r w:rsidR="00AC26D2">
        <w:t>,</w:t>
      </w:r>
      <w:r>
        <w:t xml:space="preserve"> do so safely and effectively within their scope of practice. </w:t>
      </w:r>
    </w:p>
    <w:p w14:paraId="0999263A" w14:textId="3FE123A9" w:rsidR="00887165" w:rsidRDefault="00887165" w:rsidP="00216AB8">
      <w:pPr>
        <w:pStyle w:val="AHPRAbody"/>
        <w:outlineLvl w:val="0"/>
      </w:pPr>
      <w:r>
        <w:t xml:space="preserve">Nurse prescribing was introduced in Sweden in 1994 when aged care and district nurses gained the authority to prescribe over-the-counter medications. In 2000, the right to prescribe was extended to other specialist nurses working in community care or home nursing who have completed education at the postgraduate diploma level. </w:t>
      </w:r>
      <w:r w:rsidR="009B4992">
        <w:rPr>
          <w:vertAlign w:val="superscript"/>
        </w:rPr>
        <w:t>23</w:t>
      </w:r>
    </w:p>
    <w:p w14:paraId="535C42F4" w14:textId="057BA1CB" w:rsidR="00887165" w:rsidRDefault="00887165" w:rsidP="00216AB8">
      <w:pPr>
        <w:pStyle w:val="AHPRAbody"/>
        <w:outlineLvl w:val="0"/>
      </w:pPr>
      <w:r>
        <w:lastRenderedPageBreak/>
        <w:t xml:space="preserve">In the UK, various forms of </w:t>
      </w:r>
      <w:r w:rsidR="00AC26D2">
        <w:t xml:space="preserve">nurse </w:t>
      </w:r>
      <w:r>
        <w:t xml:space="preserve">prescribing have been in place since 1994, when a health visitor formulary was introduced. An expanded prescribing formulary was introduced in 2002 facilitating forms of nurse prescribing in other health settings. In 2006, this formulary was superseded by legislation that enabled independent nurse prescribers, who have completed specific prescribing training (also required for dentists, independent prescribing pharmacists and optometrists), to prescribe from the entire British National Formulary (BNF) within their scope of practice. </w:t>
      </w:r>
      <w:r w:rsidR="009B4992">
        <w:rPr>
          <w:vertAlign w:val="superscript"/>
        </w:rPr>
        <w:t>24</w:t>
      </w:r>
    </w:p>
    <w:p w14:paraId="0A2434BE" w14:textId="4C4BF058" w:rsidR="00887165" w:rsidRDefault="00887165" w:rsidP="00216AB8">
      <w:pPr>
        <w:pStyle w:val="AHPRAbody"/>
        <w:outlineLvl w:val="0"/>
      </w:pPr>
      <w:r>
        <w:t xml:space="preserve">In Ireland, nurse prescribing was introduced in 2007 with prescribers gaining the regulated title ‘Registered nurse prescriber’. RN prescribing is conducted within employment models, in hospital, nursing home, clinic or other health service settings and requires a collaborative practice agreement between a medical practitioner, the health service and the RN prescriber. An independent review of nurse and midwife prescribing in Ireland in 2009 identified that the model of prescribing was safe and appropriate. </w:t>
      </w:r>
      <w:r w:rsidRPr="00006A25">
        <w:rPr>
          <w:vertAlign w:val="superscript"/>
        </w:rPr>
        <w:t>2</w:t>
      </w:r>
      <w:r w:rsidR="009B4992">
        <w:rPr>
          <w:vertAlign w:val="superscript"/>
        </w:rPr>
        <w:t>5</w:t>
      </w:r>
      <w:r>
        <w:t xml:space="preserve"> </w:t>
      </w:r>
    </w:p>
    <w:p w14:paraId="278C3F6E" w14:textId="45E5F27F" w:rsidR="00CC7CF1" w:rsidRDefault="00887165" w:rsidP="00216AB8">
      <w:pPr>
        <w:pStyle w:val="AHPRAbody"/>
        <w:outlineLvl w:val="0"/>
        <w:rPr>
          <w:vertAlign w:val="superscript"/>
        </w:rPr>
      </w:pPr>
      <w:r>
        <w:t xml:space="preserve">In 2011, </w:t>
      </w:r>
      <w:r w:rsidR="006A685A">
        <w:t xml:space="preserve">New Zealand </w:t>
      </w:r>
      <w:r>
        <w:t xml:space="preserve">legislation enabled diabetes specialist RNs to prescribe 26 medicines related to diabetic patient care. In 2013, further amendments extended prescriptive authority to other health practitioners under either designated or delegated authority. In 2016, regulations for other RN prescribers came into force enabling RNs practising in primary health and specialty teams who meet educational requirements of the Nursing Council of New Zealand (NCNZ) to prescribe under the designated authority criteria. RNs practising in primary health and specialty teams now also incorporate </w:t>
      </w:r>
      <w:r w:rsidR="00AC26D2">
        <w:t>RN prescribers</w:t>
      </w:r>
      <w:r>
        <w:t xml:space="preserve"> in </w:t>
      </w:r>
      <w:r w:rsidR="00AC26D2">
        <w:t>the area</w:t>
      </w:r>
      <w:r w:rsidR="00CA3B0B">
        <w:t xml:space="preserve"> of </w:t>
      </w:r>
      <w:r>
        <w:t xml:space="preserve">diabetes health. These RN prescribers </w:t>
      </w:r>
      <w:r w:rsidR="00B3129B">
        <w:t xml:space="preserve">predominantly </w:t>
      </w:r>
      <w:r>
        <w:t xml:space="preserve">work with people with common, chronic, and long-term conditions to provide timely access to care. The model enables appropriately qualified and experienced RNs to prescribe from a limited formulary independently and within their scope of practice for patients under their care. </w:t>
      </w:r>
      <w:r w:rsidRPr="006C775A">
        <w:rPr>
          <w:vertAlign w:val="superscript"/>
        </w:rPr>
        <w:t>2</w:t>
      </w:r>
      <w:r w:rsidR="009B4992">
        <w:rPr>
          <w:vertAlign w:val="superscript"/>
        </w:rPr>
        <w:t>6</w:t>
      </w:r>
    </w:p>
    <w:p w14:paraId="43E46FD8" w14:textId="77777777" w:rsidR="00CC7CF1" w:rsidRPr="007251D4" w:rsidRDefault="00CC7CF1" w:rsidP="00216AB8">
      <w:pPr>
        <w:pStyle w:val="AHPRASubheading"/>
        <w:outlineLvl w:val="0"/>
      </w:pPr>
      <w:bookmarkStart w:id="26" w:name="_Toc164692704"/>
      <w:bookmarkStart w:id="27" w:name="_Toc75167"/>
      <w:r w:rsidRPr="007251D4">
        <w:t>International reviews of the literature related to RN prescribing</w:t>
      </w:r>
      <w:bookmarkEnd w:id="26"/>
      <w:r w:rsidRPr="007251D4">
        <w:t xml:space="preserve"> </w:t>
      </w:r>
      <w:bookmarkEnd w:id="27"/>
    </w:p>
    <w:p w14:paraId="2DA39400" w14:textId="21E207F3" w:rsidR="00CC7CF1" w:rsidRDefault="00905AD7" w:rsidP="00216AB8">
      <w:pPr>
        <w:pStyle w:val="AHPRAbody"/>
        <w:outlineLvl w:val="0"/>
      </w:pPr>
      <w:r>
        <w:t>In 2018, a</w:t>
      </w:r>
      <w:r w:rsidR="00CC7CF1">
        <w:t>n exploratory literature review of prescribing by nurses and midwives identified that RN prescribing has dual benefits for patients as well as the nursing profession. Survey</w:t>
      </w:r>
      <w:r w:rsidR="00F62A53">
        <w:t xml:space="preserve"> responses </w:t>
      </w:r>
      <w:r w:rsidR="00CC7CF1">
        <w:t>from RN prescribers reported on the RN advanced scope that effectively facilitated continuity of care through improved access to medications as part of nursing care plans. Additionally, RNs reported that having authority to prescribe, provided opportunities for increased professional recognition and respect, including enhanced career development. RN prescribing also contributed to greater avoidance of hospital admissions, as the RN was able to assess, prescribe, obtain and give medicines quickly and potentially avoiding a hospital admission</w:t>
      </w:r>
      <w:r w:rsidR="00901AB3">
        <w:t>.</w:t>
      </w:r>
      <w:r w:rsidR="00CC7CF1" w:rsidRPr="00901AB3">
        <w:rPr>
          <w:szCs w:val="20"/>
          <w:vertAlign w:val="superscript"/>
        </w:rPr>
        <w:t>2</w:t>
      </w:r>
      <w:r w:rsidR="009B4992">
        <w:rPr>
          <w:szCs w:val="20"/>
          <w:vertAlign w:val="superscript"/>
        </w:rPr>
        <w:t>7</w:t>
      </w:r>
      <w:r w:rsidR="00CC7CF1" w:rsidRPr="00901AB3">
        <w:rPr>
          <w:szCs w:val="20"/>
          <w:vertAlign w:val="superscript"/>
        </w:rPr>
        <w:t xml:space="preserve"> </w:t>
      </w:r>
    </w:p>
    <w:p w14:paraId="5BEF3C37" w14:textId="29A97485" w:rsidR="00CC7CF1" w:rsidRDefault="00CC7CF1" w:rsidP="00216AB8">
      <w:pPr>
        <w:pStyle w:val="AHPRAbody"/>
        <w:outlineLvl w:val="0"/>
      </w:pPr>
      <w:r>
        <w:t xml:space="preserve">RN prescribing has also been anecdotally reported to promote health service cost effectiveness, especially in public health scenarios. The International Council of Nurses report that in order to invest and rebuild health systems to manage the COVID-19 backlog, COVID-19 waves and non-COVID-19 care, advanced practice roles of RNs could be cost effective in addressing population health, meeting the needs of increasing chronic care requirements whilst also having a positive effect on the nursing workforce in terms of retention and recruitment. </w:t>
      </w:r>
      <w:r w:rsidR="009B4992">
        <w:rPr>
          <w:vertAlign w:val="superscript"/>
        </w:rPr>
        <w:t>28</w:t>
      </w:r>
    </w:p>
    <w:p w14:paraId="03E603BE" w14:textId="693C169B" w:rsidR="00CC7CF1" w:rsidRDefault="00CC7CF1" w:rsidP="00216AB8">
      <w:pPr>
        <w:pStyle w:val="AHPRAbody"/>
        <w:outlineLvl w:val="0"/>
      </w:pPr>
      <w:r>
        <w:t xml:space="preserve">Other studies have reviewed RN prescribing and patient perceptions and suggest that patients appear satisfied with RN prescribing on a range of different aspects, including accessibility, timeliness and convenience. Also reported was the increasing quality of the relationship between RN prescriber and the patient characterised by the RN providing continuity of care, information, and health promotion regarding medication and treatment. Interestingly in these studies, 46% of patients reported that GPs were busy and patients felt minor problems were best dealt by the RN prescriber, leaving the GP free to deal with more serious </w:t>
      </w:r>
      <w:r w:rsidR="00F62A53">
        <w:t>cases</w:t>
      </w:r>
      <w:r>
        <w:t>. Out of 15 patients treated by an RN prescriber, 13 participants (86%) felt that their relationship with the RN was enhanced as a result of the RN</w:t>
      </w:r>
      <w:r w:rsidR="00CA3B0B">
        <w:t>’</w:t>
      </w:r>
      <w:r>
        <w:t>s ability to prescribe.</w:t>
      </w:r>
      <w:r w:rsidRPr="00814752">
        <w:rPr>
          <w:szCs w:val="20"/>
          <w:vertAlign w:val="superscript"/>
        </w:rPr>
        <w:t xml:space="preserve"> </w:t>
      </w:r>
      <w:r w:rsidR="009B4992" w:rsidRPr="00814752">
        <w:rPr>
          <w:szCs w:val="20"/>
          <w:vertAlign w:val="superscript"/>
        </w:rPr>
        <w:t>27,28</w:t>
      </w:r>
      <w:r w:rsidRPr="00814752">
        <w:rPr>
          <w:szCs w:val="20"/>
          <w:vertAlign w:val="superscript"/>
        </w:rPr>
        <w:t xml:space="preserve"> </w:t>
      </w:r>
    </w:p>
    <w:p w14:paraId="2A2A49DF" w14:textId="43AC36DB" w:rsidR="00CC7CF1" w:rsidRDefault="008001DD" w:rsidP="00216AB8">
      <w:pPr>
        <w:pStyle w:val="AHPRAbody"/>
        <w:outlineLvl w:val="0"/>
      </w:pPr>
      <w:r>
        <w:t>Several</w:t>
      </w:r>
      <w:r w:rsidR="00CC7CF1">
        <w:t xml:space="preserve"> studies that reported a high proportion of patients who have experienced RN prescribing </w:t>
      </w:r>
      <w:r w:rsidR="00487B06">
        <w:t xml:space="preserve">had </w:t>
      </w:r>
      <w:r w:rsidR="00CC7CF1">
        <w:t xml:space="preserve">no preference in relation to who they may see regarding future treatment </w:t>
      </w:r>
      <w:r w:rsidR="00487B06">
        <w:t>between</w:t>
      </w:r>
      <w:r w:rsidR="00CC7CF1">
        <w:t xml:space="preserve"> an RN or </w:t>
      </w:r>
      <w:r w:rsidR="00487B06">
        <w:t xml:space="preserve">other </w:t>
      </w:r>
      <w:r w:rsidR="00CC7CF1">
        <w:t>medical practitioner. These findings suggest that many patients are comfortable with RN prescribing, although a small minority of patients acknowledged a preference to still receive their prescriptions from medical practitioners in areas where they could also get prescriptions from RNs.</w:t>
      </w:r>
      <w:r w:rsidR="00CC7CF1">
        <w:rPr>
          <w:vertAlign w:val="superscript"/>
        </w:rPr>
        <w:t>2</w:t>
      </w:r>
      <w:r w:rsidR="009B4992">
        <w:rPr>
          <w:vertAlign w:val="superscript"/>
        </w:rPr>
        <w:t>4</w:t>
      </w:r>
      <w:r w:rsidR="00CC7CF1">
        <w:t xml:space="preserve"> </w:t>
      </w:r>
    </w:p>
    <w:p w14:paraId="3360AC2E" w14:textId="1237D87B" w:rsidR="00CC7CF1" w:rsidRDefault="00CC7CF1" w:rsidP="00216AB8">
      <w:pPr>
        <w:pStyle w:val="AHPRAbody"/>
        <w:outlineLvl w:val="0"/>
      </w:pPr>
      <w:r>
        <w:t xml:space="preserve">In 2016, a review of </w:t>
      </w:r>
      <w:r w:rsidRPr="5AA7423A">
        <w:rPr>
          <w:i/>
          <w:iCs/>
        </w:rPr>
        <w:t>Non-medical prescribing versus medical prescribing for acute and chronic disease management in primary and secondary care</w:t>
      </w:r>
      <w:r>
        <w:t xml:space="preserve"> found that pharmacists and nurses with varying levels of undergraduate, postgraduate, and specific on</w:t>
      </w:r>
      <w:r w:rsidRPr="5AA7423A">
        <w:rPr>
          <w:rFonts w:ascii="Cambria Math" w:eastAsia="Cambria Math" w:hAnsi="Cambria Math" w:cs="Cambria Math"/>
        </w:rPr>
        <w:t>‐</w:t>
      </w:r>
      <w:r>
        <w:t>the</w:t>
      </w:r>
      <w:r w:rsidRPr="5AA7423A">
        <w:rPr>
          <w:rFonts w:ascii="Cambria Math" w:eastAsia="Cambria Math" w:hAnsi="Cambria Math" w:cs="Cambria Math"/>
        </w:rPr>
        <w:t>‐</w:t>
      </w:r>
      <w:r>
        <w:t xml:space="preserve">job training related to </w:t>
      </w:r>
      <w:r w:rsidR="001F5FC9">
        <w:t xml:space="preserve">a </w:t>
      </w:r>
      <w:r>
        <w:t>disease or condition were able to deliver comparable prescribing outcomes to medical practitioners. Non</w:t>
      </w:r>
      <w:r w:rsidRPr="5AA7423A">
        <w:rPr>
          <w:rFonts w:ascii="Cambria Math" w:eastAsia="Cambria Math" w:hAnsi="Cambria Math" w:cs="Cambria Math"/>
        </w:rPr>
        <w:t>‐</w:t>
      </w:r>
      <w:r>
        <w:t xml:space="preserve">medical prescribers frequently had medical support available to facilitate an innovative and collaborative practice model. </w:t>
      </w:r>
      <w:r w:rsidRPr="07C39D30">
        <w:rPr>
          <w:vertAlign w:val="superscript"/>
        </w:rPr>
        <w:t>2</w:t>
      </w:r>
      <w:r w:rsidR="20A144EC" w:rsidRPr="07C39D30">
        <w:rPr>
          <w:vertAlign w:val="superscript"/>
        </w:rPr>
        <w:t>5</w:t>
      </w:r>
      <w:r>
        <w:t xml:space="preserve"> </w:t>
      </w:r>
    </w:p>
    <w:p w14:paraId="1EBA3515" w14:textId="0D5CFFA5" w:rsidR="00CC7CF1" w:rsidRDefault="00CC7CF1" w:rsidP="00216AB8">
      <w:pPr>
        <w:pStyle w:val="AHPRAbody"/>
        <w:outlineLvl w:val="0"/>
      </w:pPr>
      <w:r>
        <w:lastRenderedPageBreak/>
        <w:t xml:space="preserve">Medical practitioners in the UK, where much of the RN prescribing literature is published, have generally reported positive perceptions about the contribution of RN prescribing, identifying that they could foresee the benefit to their patients. However even though the medical practitioner views on the supervision of RN prescribers were positive there were concerns raised about the time required to undertake their prescribing and remuneration of the role. </w:t>
      </w:r>
      <w:r w:rsidR="009B4992">
        <w:rPr>
          <w:vertAlign w:val="superscript"/>
        </w:rPr>
        <w:t>27,29</w:t>
      </w:r>
    </w:p>
    <w:p w14:paraId="68932E55" w14:textId="7F6D55C4" w:rsidR="00CC7CF1" w:rsidRDefault="00CC7CF1" w:rsidP="00216AB8">
      <w:pPr>
        <w:pStyle w:val="AHPRAbody"/>
        <w:outlineLvl w:val="0"/>
      </w:pPr>
      <w:r>
        <w:t>In 2010, studies suggested reduced length of hospital stay related to RN prescribing and evaluated the impact of prescribing insulin and oral hypoglycaemic medication by RNs who provide diabetes care. The outcome revealed a reduction in length of stay in the RN prescribing intervention period by an average of three days (</w:t>
      </w:r>
      <w:r w:rsidR="000A7912">
        <w:t>17.5 to 14.5 days</w:t>
      </w:r>
      <w:r>
        <w:t>).</w:t>
      </w:r>
      <w:r w:rsidR="009B4992" w:rsidDel="009B4992">
        <w:rPr>
          <w:vertAlign w:val="superscript"/>
        </w:rPr>
        <w:t xml:space="preserve"> </w:t>
      </w:r>
      <w:r w:rsidR="009B4992">
        <w:rPr>
          <w:vertAlign w:val="superscript"/>
        </w:rPr>
        <w:t>30</w:t>
      </w:r>
      <w:r>
        <w:t xml:space="preserve"> In another study</w:t>
      </w:r>
      <w:r w:rsidR="00DF5E45">
        <w:t>,</w:t>
      </w:r>
      <w:r>
        <w:t xml:space="preserve"> the length of stay was reduced by two days in the RN prescribing intervention group (</w:t>
      </w:r>
      <w:r w:rsidR="000A7912">
        <w:t>nine to seven days</w:t>
      </w:r>
      <w:r>
        <w:t>). Reduced medication errors were also reported in both of these studies for insulin and hypoglycaemic agents, with reported medication errors lower in the intervention group (</w:t>
      </w:r>
      <w:r w:rsidR="000A7912">
        <w:t>six to four</w:t>
      </w:r>
      <w:r>
        <w:t xml:space="preserve">) and an overall mean reduction of 21 errors. </w:t>
      </w:r>
      <w:r w:rsidR="009B4992">
        <w:rPr>
          <w:vertAlign w:val="superscript"/>
        </w:rPr>
        <w:t>30,31</w:t>
      </w:r>
      <w:r>
        <w:t xml:space="preserve"> </w:t>
      </w:r>
    </w:p>
    <w:p w14:paraId="71656C8F" w14:textId="0FDC2571" w:rsidR="00CC7CF1" w:rsidRDefault="00CC7CF1" w:rsidP="00216AB8">
      <w:pPr>
        <w:pStyle w:val="AHPRAbody"/>
        <w:outlineLvl w:val="0"/>
      </w:pPr>
      <w:r>
        <w:t>In another study</w:t>
      </w:r>
      <w:r w:rsidR="00DF5E45">
        <w:t>,</w:t>
      </w:r>
      <w:r>
        <w:t xml:space="preserve"> an evaluation of 32 community patients </w:t>
      </w:r>
      <w:r w:rsidR="000A7912">
        <w:t xml:space="preserve">in the palliative care setting </w:t>
      </w:r>
      <w:r>
        <w:t>was undertaken to determine the time taken for patients to receive medication prescribed pre and post implementation of RN prescribing. The study demonstrated that 19% of patients obtained medication between 2-6 hours and 34% between 24-48 hours prior to implementation. Post implementation of RN prescribing</w:t>
      </w:r>
      <w:r w:rsidR="00064839">
        <w:t>,</w:t>
      </w:r>
      <w:r>
        <w:t xml:space="preserve"> 50% of patients in the palliative care setting receiv</w:t>
      </w:r>
      <w:r w:rsidR="0013393C">
        <w:t>ed</w:t>
      </w:r>
      <w:r>
        <w:t xml:space="preserve"> medication within 5 hours and 86% in less than 24 hours which </w:t>
      </w:r>
      <w:r w:rsidR="0013393C">
        <w:t xml:space="preserve">marked </w:t>
      </w:r>
      <w:r>
        <w:t xml:space="preserve">a significant improvement. </w:t>
      </w:r>
      <w:r w:rsidR="009B4992" w:rsidRPr="6AB9406F">
        <w:rPr>
          <w:vertAlign w:val="superscript"/>
        </w:rPr>
        <w:t xml:space="preserve"> 32,33</w:t>
      </w:r>
    </w:p>
    <w:p w14:paraId="5B02A98D" w14:textId="3ACA388E" w:rsidR="00CC7CF1" w:rsidRDefault="04E4E3CD" w:rsidP="6AB9406F">
      <w:pPr>
        <w:pStyle w:val="AHPRAbody"/>
      </w:pPr>
      <w:r w:rsidRPr="6AB9406F">
        <w:rPr>
          <w:rFonts w:eastAsia="Arial"/>
          <w:szCs w:val="20"/>
        </w:rPr>
        <w:t>In a study of RN prescribers, a total of 776 (89%) out of the 886 sample</w:t>
      </w:r>
      <w:r w:rsidR="0CF19D73" w:rsidRPr="6AB9406F">
        <w:rPr>
          <w:rFonts w:eastAsia="Arial"/>
          <w:szCs w:val="20"/>
        </w:rPr>
        <w:t xml:space="preserve"> </w:t>
      </w:r>
      <w:r w:rsidR="00CC7CF1" w:rsidRPr="6AB9406F">
        <w:rPr>
          <w:szCs w:val="20"/>
        </w:rPr>
        <w:t xml:space="preserve">reported that they felt confident in their prescribing practice. In this study the participants also </w:t>
      </w:r>
      <w:r w:rsidR="00CC7CF1">
        <w:t>identified factors preventing prescribing which included inadequate formulary, lack of prescription pads and objection by some medical staff. The study also identified degrees of limited support from other clinicians, a lack of confidence to negotiate prescribing responsibilities, imposed restrictions on RN prescribers, and a reduced confidence resulting from the time lag between course completion and registration with a professional body.</w:t>
      </w:r>
      <w:r w:rsidR="00CC7CF1" w:rsidRPr="6AB9406F">
        <w:rPr>
          <w:vertAlign w:val="superscript"/>
        </w:rPr>
        <w:t>2</w:t>
      </w:r>
      <w:r w:rsidR="009B4992" w:rsidRPr="6AB9406F">
        <w:rPr>
          <w:vertAlign w:val="superscript"/>
        </w:rPr>
        <w:t>9</w:t>
      </w:r>
      <w:r w:rsidR="00CC7CF1">
        <w:t xml:space="preserve"> </w:t>
      </w:r>
    </w:p>
    <w:p w14:paraId="0673813E" w14:textId="4FEAF876" w:rsidR="00CC7CF1" w:rsidRDefault="00CC7CF1" w:rsidP="00216AB8">
      <w:pPr>
        <w:pStyle w:val="AHPRAbody"/>
        <w:outlineLvl w:val="0"/>
      </w:pPr>
      <w:r>
        <w:t>The ability to prescribe is dependent on the prescriber’s education and confidence to do so. Most studies reported that generally RNs felt confident in their prescribing practice and the health consumers</w:t>
      </w:r>
      <w:r w:rsidR="00F07BB4">
        <w:t xml:space="preserve"> and the public</w:t>
      </w:r>
      <w:r>
        <w:t xml:space="preserve"> who had experienced RN prescribing also felt confident. Suitably trained RNs are able to diagnose and prescribe within their scope of practice. A more recent evaluation of RN prescribing also reported that RNs’ prescribing decisions were clinically appropriate across a range of different dimensions, that nurse prescribers are safe and that there appeared to be little difference across the prescribing practices between GP and RN prescribing in relation to dose and medication prescribed. </w:t>
      </w:r>
      <w:r w:rsidR="009B4992" w:rsidRPr="00814752">
        <w:rPr>
          <w:szCs w:val="20"/>
          <w:vertAlign w:val="superscript"/>
        </w:rPr>
        <w:t>34,35,36,37</w:t>
      </w:r>
      <w:r w:rsidRPr="00814752">
        <w:rPr>
          <w:szCs w:val="20"/>
          <w:vertAlign w:val="superscript"/>
        </w:rPr>
        <w:t xml:space="preserve"> </w:t>
      </w:r>
    </w:p>
    <w:p w14:paraId="151B387E" w14:textId="4FBED39E" w:rsidR="005634CF" w:rsidRDefault="00CC7CF1" w:rsidP="00216AB8">
      <w:pPr>
        <w:pStyle w:val="AHPRAbody"/>
        <w:outlineLvl w:val="0"/>
        <w:rPr>
          <w:highlight w:val="yellow"/>
        </w:rPr>
      </w:pPr>
      <w:r>
        <w:t>Although Australia has a federated government model, there is an opportunity to extend the prescribing rights of RNs in a nationally consistent manner, including the approaches to education, competence and practice standards in relation to prescribing. A nationally consistent model of endorsed prescribing by suitably educated and qualified RNs has the potential to reduce the risk of confusion, inconsistency and potentially increase the confidence in the safety and effectiveness of health professional prescribing models, while retaining the current sovereignty of the states and territories to authorise prescribers under their relevant drugs and poisons legislation.</w:t>
      </w:r>
      <w:r w:rsidR="10252A09">
        <w:t xml:space="preserve"> </w:t>
      </w:r>
      <w:r w:rsidR="009B4992">
        <w:rPr>
          <w:shd w:val="clear" w:color="auto" w:fill="FFFFFF" w:themeFill="background1"/>
          <w:vertAlign w:val="superscript"/>
        </w:rPr>
        <w:t>20</w:t>
      </w:r>
    </w:p>
    <w:p w14:paraId="6D2AC19D" w14:textId="77777777" w:rsidR="005634CF" w:rsidRDefault="005634CF" w:rsidP="00216AB8">
      <w:pPr>
        <w:spacing w:after="0"/>
        <w:outlineLvl w:val="0"/>
        <w:rPr>
          <w:rFonts w:cs="Arial"/>
        </w:rPr>
      </w:pPr>
      <w:r>
        <w:br w:type="page"/>
      </w:r>
    </w:p>
    <w:p w14:paraId="065096DD" w14:textId="01CE993B" w:rsidR="00244C55" w:rsidRDefault="009305DC" w:rsidP="00F842D7">
      <w:pPr>
        <w:pStyle w:val="AHPRADocumentsubheading"/>
        <w:numPr>
          <w:ilvl w:val="0"/>
          <w:numId w:val="21"/>
        </w:numPr>
        <w:spacing w:after="240"/>
        <w:ind w:left="357" w:hanging="357"/>
        <w:rPr>
          <w:lang w:val="en-US" w:eastAsia="en-NZ"/>
        </w:rPr>
      </w:pPr>
      <w:bookmarkStart w:id="28" w:name="_Toc164692705"/>
      <w:r w:rsidRPr="3EB5A10A">
        <w:rPr>
          <w:lang w:val="en-US" w:eastAsia="en-NZ"/>
        </w:rPr>
        <w:lastRenderedPageBreak/>
        <w:t>What is the problem we are trying to solve?</w:t>
      </w:r>
      <w:bookmarkEnd w:id="28"/>
    </w:p>
    <w:p w14:paraId="30BA3F20" w14:textId="6A11510F" w:rsidR="002F3B29" w:rsidRPr="00DB6DED" w:rsidRDefault="00DE266C" w:rsidP="00DB6DED">
      <w:pPr>
        <w:pStyle w:val="AHPRAbody"/>
      </w:pPr>
      <w:r w:rsidRPr="00DB6DED">
        <w:t>Government</w:t>
      </w:r>
      <w:r w:rsidR="00244C55" w:rsidRPr="00DB6DED">
        <w:t xml:space="preserve"> policy </w:t>
      </w:r>
      <w:r w:rsidR="00FC696A" w:rsidRPr="00DB6DED">
        <w:t xml:space="preserve">reports </w:t>
      </w:r>
      <w:r w:rsidR="00001AD1">
        <w:t>dating</w:t>
      </w:r>
      <w:r w:rsidR="00244C55" w:rsidRPr="00DB6DED">
        <w:t xml:space="preserve"> back to </w:t>
      </w:r>
      <w:r w:rsidR="00F3722D" w:rsidRPr="00DB6DED">
        <w:t>200</w:t>
      </w:r>
      <w:r w:rsidR="00E73F60" w:rsidRPr="00DB6DED">
        <w:t>5</w:t>
      </w:r>
      <w:r w:rsidR="00F3722D" w:rsidRPr="00DB6DED">
        <w:t xml:space="preserve"> including</w:t>
      </w:r>
      <w:r w:rsidR="00092CDF" w:rsidRPr="00DB6DED">
        <w:t xml:space="preserve"> a </w:t>
      </w:r>
      <w:r w:rsidR="005A0C90" w:rsidRPr="00DB6DED">
        <w:t>Productivity</w:t>
      </w:r>
      <w:r w:rsidR="006002BD" w:rsidRPr="00DB6DED">
        <w:t xml:space="preserve"> Commission report</w:t>
      </w:r>
      <w:r w:rsidR="426C4BA4" w:rsidRPr="00DB6DED">
        <w:t xml:space="preserve"> </w:t>
      </w:r>
      <w:r w:rsidR="000B7B75" w:rsidRPr="00DB6DED">
        <w:t xml:space="preserve">state </w:t>
      </w:r>
      <w:r w:rsidR="00432EE0" w:rsidRPr="00DB6DED">
        <w:t>that there is an opportunity</w:t>
      </w:r>
      <w:r w:rsidR="005A0C90" w:rsidRPr="00DB6DED">
        <w:t xml:space="preserve"> for </w:t>
      </w:r>
      <w:r w:rsidR="00203632" w:rsidRPr="00DB6DED">
        <w:t>RNs to</w:t>
      </w:r>
      <w:r w:rsidR="00432EE0" w:rsidRPr="00DB6DED">
        <w:t xml:space="preserve"> extend their scope of practice and prevent some of the unhealthy </w:t>
      </w:r>
      <w:r w:rsidR="00E27885" w:rsidRPr="00DB6DED">
        <w:t xml:space="preserve">outcomes associated with less than </w:t>
      </w:r>
      <w:r w:rsidR="005A0C90" w:rsidRPr="00DB6DED">
        <w:t>optimal</w:t>
      </w:r>
      <w:r w:rsidR="00E27885" w:rsidRPr="00DB6DED">
        <w:t xml:space="preserve"> use of medicine</w:t>
      </w:r>
      <w:r w:rsidR="55E6264F" w:rsidRPr="00DB6DED">
        <w:t xml:space="preserve">. </w:t>
      </w:r>
      <w:r w:rsidR="009B4992">
        <w:t>The report</w:t>
      </w:r>
      <w:r w:rsidR="009B4992">
        <w:rPr>
          <w:rStyle w:val="CommentReference"/>
          <w:rFonts w:cs="Times New Roman"/>
        </w:rPr>
        <w:t xml:space="preserve"> i</w:t>
      </w:r>
      <w:r w:rsidR="55E6264F" w:rsidRPr="00DB6DED">
        <w:t>ncluded</w:t>
      </w:r>
      <w:r w:rsidR="00E27885" w:rsidRPr="00DB6DED">
        <w:t xml:space="preserve"> </w:t>
      </w:r>
      <w:r w:rsidR="00EC45B2" w:rsidRPr="00DB6DED">
        <w:t xml:space="preserve">using a </w:t>
      </w:r>
      <w:r w:rsidR="00E27885" w:rsidRPr="00DB6DED">
        <w:t xml:space="preserve">collaborative </w:t>
      </w:r>
      <w:r w:rsidR="000B7BF3" w:rsidRPr="00DB6DED">
        <w:t xml:space="preserve">health professional </w:t>
      </w:r>
      <w:r w:rsidR="43BAC767" w:rsidRPr="00DB6DED">
        <w:t>approach th</w:t>
      </w:r>
      <w:r w:rsidR="00383256" w:rsidRPr="00DB6DED">
        <w:t>at has the</w:t>
      </w:r>
      <w:r w:rsidR="009D1BD2" w:rsidRPr="00DB6DED">
        <w:t xml:space="preserve"> potential </w:t>
      </w:r>
      <w:r w:rsidR="00AE7949" w:rsidRPr="00DB6DED">
        <w:t xml:space="preserve">to increase the scale and effectiveness of access to healthcare </w:t>
      </w:r>
      <w:r w:rsidR="00BF0C95" w:rsidRPr="00DB6DED">
        <w:t>by addressing the barriers and the problems outlined in this D-RIS</w:t>
      </w:r>
      <w:r w:rsidR="009F4BF2" w:rsidRPr="00DB6DED">
        <w:t xml:space="preserve"> which </w:t>
      </w:r>
      <w:r w:rsidR="13836093" w:rsidRPr="00DB6DED">
        <w:t xml:space="preserve">continue </w:t>
      </w:r>
      <w:r w:rsidR="5AB6BF98" w:rsidRPr="00DB6DED">
        <w:t>to impede</w:t>
      </w:r>
      <w:r w:rsidR="009F4BF2" w:rsidRPr="00DB6DED">
        <w:t xml:space="preserve"> </w:t>
      </w:r>
      <w:r w:rsidR="00110E99" w:rsidRPr="00DB6DED">
        <w:t xml:space="preserve">access to </w:t>
      </w:r>
      <w:r w:rsidR="7CC525AD" w:rsidRPr="00DB6DED">
        <w:t>medicines</w:t>
      </w:r>
      <w:r w:rsidR="5220FF39" w:rsidRPr="00DB6DED">
        <w:t>.</w:t>
      </w:r>
      <w:r w:rsidR="009B4992" w:rsidRPr="009B4992">
        <w:rPr>
          <w:shd w:val="clear" w:color="auto" w:fill="FFFFFF" w:themeFill="background1"/>
          <w:vertAlign w:val="superscript"/>
        </w:rPr>
        <w:t xml:space="preserve"> </w:t>
      </w:r>
      <w:r w:rsidR="009B4992">
        <w:rPr>
          <w:shd w:val="clear" w:color="auto" w:fill="FFFFFF" w:themeFill="background1"/>
          <w:vertAlign w:val="superscript"/>
        </w:rPr>
        <w:t xml:space="preserve">38 </w:t>
      </w:r>
      <w:r w:rsidR="54DC0D43" w:rsidRPr="00DB6DED">
        <w:t xml:space="preserve">The National Health Workforce Planning and Research Collaboration </w:t>
      </w:r>
      <w:r w:rsidR="296CA006" w:rsidRPr="00DB6DED">
        <w:t xml:space="preserve">in 2010 </w:t>
      </w:r>
      <w:r w:rsidR="54DC0D43" w:rsidRPr="00DB6DED">
        <w:t>also stated that the number of Australian prescribers need</w:t>
      </w:r>
      <w:r w:rsidR="092E949F" w:rsidRPr="00DB6DED">
        <w:t>ed</w:t>
      </w:r>
      <w:r w:rsidR="54DC0D43" w:rsidRPr="00DB6DED">
        <w:t xml:space="preserve"> to increase to </w:t>
      </w:r>
      <w:r w:rsidR="0EF9D125" w:rsidRPr="00DB6DED">
        <w:t>maintain access</w:t>
      </w:r>
      <w:r w:rsidR="54DC0D43" w:rsidRPr="00DB6DED">
        <w:t xml:space="preserve"> to </w:t>
      </w:r>
      <w:r w:rsidR="4CD79368" w:rsidRPr="00DB6DED">
        <w:t>medicines.</w:t>
      </w:r>
      <w:r w:rsidR="009B4992">
        <w:t xml:space="preserve"> </w:t>
      </w:r>
      <w:r w:rsidR="009B4992">
        <w:rPr>
          <w:shd w:val="clear" w:color="auto" w:fill="FFFFFF" w:themeFill="background1"/>
          <w:vertAlign w:val="superscript"/>
        </w:rPr>
        <w:t>39</w:t>
      </w:r>
      <w:r w:rsidR="4CD79368" w:rsidRPr="00DB6DED">
        <w:t xml:space="preserve"> </w:t>
      </w:r>
    </w:p>
    <w:p w14:paraId="2AEB2238" w14:textId="7DB0533E" w:rsidR="727059B9" w:rsidRPr="00DB6DED" w:rsidRDefault="727059B9" w:rsidP="00DB6DED">
      <w:pPr>
        <w:pStyle w:val="AHPRAbody"/>
      </w:pPr>
      <w:r w:rsidRPr="00DB6DED">
        <w:t xml:space="preserve">Australian </w:t>
      </w:r>
      <w:r w:rsidR="00AA7009" w:rsidRPr="00DB6DED">
        <w:t xml:space="preserve">healthcare consumers </w:t>
      </w:r>
      <w:r w:rsidRPr="00DB6DED">
        <w:t xml:space="preserve">do not have equitable and timely access to medicines or medicines related services. Equitable access to healthcare must be at the centre of health reform. There are </w:t>
      </w:r>
      <w:r w:rsidR="6EC72950" w:rsidRPr="00DB6DED">
        <w:t>multifaceted</w:t>
      </w:r>
      <w:r w:rsidRPr="00DB6DED">
        <w:t xml:space="preserve"> </w:t>
      </w:r>
      <w:r w:rsidR="520E26CF" w:rsidRPr="00DB6DED">
        <w:t>problems</w:t>
      </w:r>
      <w:r w:rsidRPr="00DB6DED">
        <w:t xml:space="preserve"> that </w:t>
      </w:r>
      <w:r w:rsidR="77D5BC37" w:rsidRPr="00DB6DED">
        <w:t>result</w:t>
      </w:r>
      <w:r w:rsidRPr="00DB6DED">
        <w:t xml:space="preserve"> in </w:t>
      </w:r>
      <w:r w:rsidR="63712976" w:rsidRPr="00DB6DED">
        <w:t>difficulties</w:t>
      </w:r>
      <w:r w:rsidR="314D2022" w:rsidRPr="00DB6DED">
        <w:t xml:space="preserve"> </w:t>
      </w:r>
      <w:r w:rsidR="005E4B27" w:rsidRPr="00DB6DED">
        <w:t>with</w:t>
      </w:r>
      <w:r w:rsidR="314D2022" w:rsidRPr="00DB6DED">
        <w:t xml:space="preserve"> </w:t>
      </w:r>
      <w:r w:rsidRPr="00DB6DED">
        <w:t>access</w:t>
      </w:r>
      <w:r w:rsidR="005E4B27" w:rsidRPr="00DB6DED">
        <w:t xml:space="preserve"> to</w:t>
      </w:r>
      <w:r w:rsidRPr="00DB6DED">
        <w:t xml:space="preserve"> </w:t>
      </w:r>
      <w:r w:rsidR="12569EB5" w:rsidRPr="00DB6DED">
        <w:t>medicines</w:t>
      </w:r>
      <w:r w:rsidR="0012268E" w:rsidRPr="00DB6DED">
        <w:t>,</w:t>
      </w:r>
      <w:r w:rsidR="12569EB5" w:rsidRPr="00DB6DED">
        <w:t xml:space="preserve"> </w:t>
      </w:r>
      <w:r w:rsidR="009C063C" w:rsidRPr="00DB6DED">
        <w:t xml:space="preserve">which </w:t>
      </w:r>
      <w:r w:rsidR="12569EB5" w:rsidRPr="00DB6DED">
        <w:t>adversely</w:t>
      </w:r>
      <w:r w:rsidRPr="00DB6DED">
        <w:t xml:space="preserve"> affect health consumers</w:t>
      </w:r>
      <w:r w:rsidR="496598D0" w:rsidRPr="00DB6DED">
        <w:t xml:space="preserve"> </w:t>
      </w:r>
      <w:r w:rsidRPr="00DB6DED">
        <w:t xml:space="preserve">symptom control related to diagnosis, </w:t>
      </w:r>
      <w:r w:rsidR="0D2D49C5" w:rsidRPr="00DB6DED">
        <w:t xml:space="preserve">experiences of healthcare, </w:t>
      </w:r>
      <w:r w:rsidRPr="00DB6DED">
        <w:t>health outcomes and quality of life</w:t>
      </w:r>
      <w:r w:rsidR="00BD46E0" w:rsidRPr="00DB6DED">
        <w:t xml:space="preserve"> for consumers</w:t>
      </w:r>
      <w:r w:rsidRPr="00DB6DED">
        <w:t xml:space="preserve">. </w:t>
      </w:r>
      <w:r w:rsidR="009B4992">
        <w:rPr>
          <w:shd w:val="clear" w:color="auto" w:fill="FFFFFF" w:themeFill="background1"/>
          <w:vertAlign w:val="superscript"/>
        </w:rPr>
        <w:t>40</w:t>
      </w:r>
    </w:p>
    <w:p w14:paraId="47AC9FDC" w14:textId="0083CEA2" w:rsidR="005634CF" w:rsidRPr="007251D4" w:rsidRDefault="005634CF" w:rsidP="002517D7">
      <w:pPr>
        <w:pStyle w:val="AHPRASubheading"/>
        <w:outlineLvl w:val="0"/>
      </w:pPr>
      <w:bookmarkStart w:id="29" w:name="_Toc164692706"/>
      <w:bookmarkStart w:id="30" w:name="_Toc75170"/>
      <w:r>
        <w:t>Problem 1</w:t>
      </w:r>
      <w:r w:rsidR="002517D7">
        <w:t>:</w:t>
      </w:r>
      <w:r>
        <w:t xml:space="preserve"> </w:t>
      </w:r>
      <w:r w:rsidRPr="007251D4">
        <w:t>Inequities across healthcare in rural, regional and remote communities</w:t>
      </w:r>
      <w:bookmarkEnd w:id="29"/>
      <w:r w:rsidRPr="007251D4">
        <w:t xml:space="preserve">  </w:t>
      </w:r>
      <w:bookmarkEnd w:id="30"/>
    </w:p>
    <w:p w14:paraId="447D851A" w14:textId="5B39F90E" w:rsidR="005634CF" w:rsidRDefault="009B4992" w:rsidP="422F38A3">
      <w:pPr>
        <w:pStyle w:val="pf0"/>
        <w:spacing w:before="0" w:beforeAutospacing="0" w:after="0" w:afterAutospacing="0"/>
      </w:pPr>
      <w:r w:rsidRPr="422F38A3">
        <w:rPr>
          <w:rFonts w:ascii="Arial" w:hAnsi="Arial" w:cs="Arial"/>
          <w:sz w:val="20"/>
          <w:szCs w:val="20"/>
        </w:rPr>
        <w:t>P</w:t>
      </w:r>
      <w:r w:rsidR="005634CF" w:rsidRPr="422F38A3">
        <w:rPr>
          <w:rFonts w:ascii="Arial" w:hAnsi="Arial" w:cs="Arial"/>
          <w:sz w:val="20"/>
          <w:szCs w:val="20"/>
        </w:rPr>
        <w:t>atients in regional and remote</w:t>
      </w:r>
      <w:r w:rsidRPr="422F38A3">
        <w:rPr>
          <w:rFonts w:ascii="Arial" w:hAnsi="Arial" w:cs="Arial"/>
          <w:sz w:val="20"/>
          <w:szCs w:val="20"/>
        </w:rPr>
        <w:t xml:space="preserve"> communities face challenging living situations and</w:t>
      </w:r>
      <w:r w:rsidR="00D5130C" w:rsidRPr="422F38A3">
        <w:rPr>
          <w:rFonts w:ascii="Arial" w:hAnsi="Arial" w:cs="Arial"/>
          <w:sz w:val="20"/>
          <w:szCs w:val="20"/>
        </w:rPr>
        <w:t xml:space="preserve"> rural Australians do not </w:t>
      </w:r>
      <w:r w:rsidRPr="422F38A3">
        <w:rPr>
          <w:rFonts w:ascii="Arial" w:hAnsi="Arial" w:cs="Arial"/>
          <w:sz w:val="20"/>
          <w:szCs w:val="20"/>
        </w:rPr>
        <w:t xml:space="preserve">have equitable </w:t>
      </w:r>
      <w:r w:rsidR="00D5130C" w:rsidRPr="422F38A3">
        <w:rPr>
          <w:rFonts w:ascii="Arial" w:hAnsi="Arial" w:cs="Arial"/>
          <w:sz w:val="20"/>
          <w:szCs w:val="20"/>
        </w:rPr>
        <w:t xml:space="preserve">health </w:t>
      </w:r>
      <w:r w:rsidR="00E94910" w:rsidRPr="422F38A3">
        <w:rPr>
          <w:rFonts w:ascii="Arial" w:hAnsi="Arial" w:cs="Arial"/>
          <w:sz w:val="20"/>
          <w:szCs w:val="20"/>
        </w:rPr>
        <w:t xml:space="preserve">outcomes. </w:t>
      </w:r>
      <w:r w:rsidRPr="422F38A3">
        <w:rPr>
          <w:rFonts w:ascii="Arial" w:hAnsi="Arial" w:cs="Arial"/>
          <w:sz w:val="20"/>
          <w:szCs w:val="20"/>
          <w:shd w:val="clear" w:color="auto" w:fill="FFFFFF" w:themeFill="background1"/>
          <w:vertAlign w:val="superscript"/>
        </w:rPr>
        <w:t>41</w:t>
      </w:r>
      <w:r w:rsidRPr="422F38A3">
        <w:rPr>
          <w:rFonts w:ascii="Arial" w:hAnsi="Arial" w:cs="Arial"/>
          <w:sz w:val="20"/>
          <w:szCs w:val="20"/>
        </w:rPr>
        <w:t xml:space="preserve"> </w:t>
      </w:r>
      <w:r w:rsidR="005634CF" w:rsidRPr="422F38A3">
        <w:rPr>
          <w:rFonts w:ascii="Arial" w:hAnsi="Arial" w:cs="Arial"/>
          <w:sz w:val="20"/>
          <w:szCs w:val="20"/>
        </w:rPr>
        <w:t xml:space="preserve">As the </w:t>
      </w:r>
      <w:r w:rsidR="005634CF" w:rsidRPr="422F38A3">
        <w:rPr>
          <w:rFonts w:ascii="Arial" w:hAnsi="Arial" w:cs="Arial"/>
          <w:i/>
          <w:iCs/>
          <w:sz w:val="20"/>
          <w:szCs w:val="20"/>
        </w:rPr>
        <w:t>Stronger Rural Health Strategy</w:t>
      </w:r>
      <w:r w:rsidR="005634CF" w:rsidRPr="422F38A3">
        <w:rPr>
          <w:rFonts w:ascii="Arial" w:hAnsi="Arial" w:cs="Arial"/>
          <w:sz w:val="20"/>
          <w:szCs w:val="20"/>
        </w:rPr>
        <w:t xml:space="preserve"> indicates, Australia continues to face a significant maldistribution of the medical workforce with regional, rural, and remote areas receiving far less access to medical services than the major cities. </w:t>
      </w:r>
      <w:r w:rsidR="008B195E" w:rsidRPr="422F38A3">
        <w:rPr>
          <w:rFonts w:ascii="Arial" w:hAnsi="Arial" w:cs="Arial"/>
          <w:sz w:val="20"/>
          <w:szCs w:val="20"/>
        </w:rPr>
        <w:t>Additionally</w:t>
      </w:r>
      <w:r w:rsidR="006A6301" w:rsidRPr="422F38A3">
        <w:rPr>
          <w:rFonts w:ascii="Arial" w:hAnsi="Arial" w:cs="Arial"/>
          <w:sz w:val="20"/>
          <w:szCs w:val="20"/>
        </w:rPr>
        <w:t xml:space="preserve"> </w:t>
      </w:r>
      <w:r w:rsidR="008B195E" w:rsidRPr="422F38A3">
        <w:rPr>
          <w:rFonts w:ascii="Arial" w:hAnsi="Arial" w:cs="Arial"/>
          <w:sz w:val="20"/>
          <w:szCs w:val="20"/>
        </w:rPr>
        <w:t xml:space="preserve">smaller rural towns have the lowest number of health professionals </w:t>
      </w:r>
      <w:r w:rsidR="00C951CE" w:rsidRPr="422F38A3">
        <w:rPr>
          <w:rFonts w:ascii="Arial" w:hAnsi="Arial" w:cs="Arial"/>
          <w:sz w:val="20"/>
          <w:szCs w:val="20"/>
        </w:rPr>
        <w:t>per capita</w:t>
      </w:r>
      <w:r w:rsidR="00FB7B54" w:rsidRPr="422F38A3">
        <w:rPr>
          <w:rFonts w:ascii="Arial" w:hAnsi="Arial" w:cs="Arial"/>
          <w:sz w:val="20"/>
          <w:szCs w:val="20"/>
        </w:rPr>
        <w:t xml:space="preserve">. </w:t>
      </w:r>
      <w:r w:rsidR="005634CF" w:rsidRPr="422F38A3">
        <w:rPr>
          <w:rFonts w:ascii="Arial" w:hAnsi="Arial" w:cs="Arial"/>
          <w:sz w:val="20"/>
          <w:szCs w:val="20"/>
        </w:rPr>
        <w:t xml:space="preserve">Patients living in rural communities are having to </w:t>
      </w:r>
      <w:r w:rsidR="00FB7B54" w:rsidRPr="422F38A3">
        <w:rPr>
          <w:rFonts w:ascii="Arial" w:hAnsi="Arial" w:cs="Arial"/>
          <w:sz w:val="20"/>
          <w:szCs w:val="20"/>
        </w:rPr>
        <w:t>expend</w:t>
      </w:r>
      <w:r w:rsidR="005634CF" w:rsidRPr="422F38A3">
        <w:rPr>
          <w:rFonts w:ascii="Arial" w:hAnsi="Arial" w:cs="Arial"/>
          <w:sz w:val="20"/>
          <w:szCs w:val="20"/>
        </w:rPr>
        <w:t xml:space="preserve"> considerable time and effort to access health services. They are driving long distances and </w:t>
      </w:r>
      <w:r w:rsidR="00574108" w:rsidRPr="422F38A3">
        <w:rPr>
          <w:rFonts w:ascii="Arial" w:hAnsi="Arial" w:cs="Arial"/>
          <w:sz w:val="20"/>
          <w:szCs w:val="20"/>
        </w:rPr>
        <w:t>experiencing long wait times</w:t>
      </w:r>
      <w:r w:rsidR="00D1541C" w:rsidRPr="422F38A3">
        <w:rPr>
          <w:rFonts w:ascii="Arial" w:hAnsi="Arial" w:cs="Arial"/>
          <w:sz w:val="20"/>
          <w:szCs w:val="20"/>
        </w:rPr>
        <w:t xml:space="preserve"> </w:t>
      </w:r>
      <w:r w:rsidR="005634CF" w:rsidRPr="422F38A3">
        <w:rPr>
          <w:rFonts w:ascii="Arial" w:hAnsi="Arial" w:cs="Arial"/>
          <w:sz w:val="20"/>
          <w:szCs w:val="20"/>
        </w:rPr>
        <w:t>to get their basic healthcare needs met</w:t>
      </w:r>
      <w:r w:rsidR="00D1541C" w:rsidRPr="422F38A3">
        <w:rPr>
          <w:rFonts w:ascii="Arial" w:hAnsi="Arial" w:cs="Arial"/>
          <w:sz w:val="20"/>
          <w:szCs w:val="20"/>
        </w:rPr>
        <w:t>.</w:t>
      </w:r>
      <w:r w:rsidR="0074651C" w:rsidRPr="422F38A3">
        <w:rPr>
          <w:rFonts w:ascii="Arial" w:hAnsi="Arial" w:cs="Arial"/>
          <w:sz w:val="20"/>
          <w:szCs w:val="20"/>
        </w:rPr>
        <w:t xml:space="preserve"> </w:t>
      </w:r>
      <w:r w:rsidR="00D1541C" w:rsidRPr="422F38A3">
        <w:rPr>
          <w:rFonts w:ascii="Arial" w:hAnsi="Arial" w:cs="Arial"/>
          <w:sz w:val="20"/>
          <w:szCs w:val="20"/>
        </w:rPr>
        <w:t>This</w:t>
      </w:r>
      <w:r w:rsidR="0074651C" w:rsidRPr="422F38A3">
        <w:rPr>
          <w:rFonts w:ascii="Arial" w:hAnsi="Arial" w:cs="Arial"/>
          <w:sz w:val="20"/>
          <w:szCs w:val="20"/>
        </w:rPr>
        <w:t xml:space="preserve"> creates </w:t>
      </w:r>
      <w:r w:rsidR="00C044EC" w:rsidRPr="422F38A3">
        <w:rPr>
          <w:rFonts w:ascii="Arial" w:hAnsi="Arial" w:cs="Arial"/>
          <w:sz w:val="20"/>
          <w:szCs w:val="20"/>
        </w:rPr>
        <w:t xml:space="preserve">increased </w:t>
      </w:r>
      <w:r w:rsidR="0074651C" w:rsidRPr="422F38A3">
        <w:rPr>
          <w:rFonts w:ascii="Arial" w:hAnsi="Arial" w:cs="Arial"/>
          <w:sz w:val="20"/>
          <w:szCs w:val="20"/>
        </w:rPr>
        <w:t xml:space="preserve">pressure on </w:t>
      </w:r>
      <w:r w:rsidR="00C044EC" w:rsidRPr="422F38A3">
        <w:rPr>
          <w:rFonts w:ascii="Arial" w:hAnsi="Arial" w:cs="Arial"/>
          <w:sz w:val="20"/>
          <w:szCs w:val="20"/>
        </w:rPr>
        <w:t>regional</w:t>
      </w:r>
      <w:r w:rsidR="00326637" w:rsidRPr="422F38A3">
        <w:rPr>
          <w:rFonts w:ascii="Arial" w:hAnsi="Arial" w:cs="Arial"/>
          <w:sz w:val="20"/>
          <w:szCs w:val="20"/>
        </w:rPr>
        <w:t xml:space="preserve"> and metropolitan</w:t>
      </w:r>
      <w:r w:rsidR="0074651C" w:rsidRPr="422F38A3">
        <w:rPr>
          <w:rFonts w:ascii="Arial" w:hAnsi="Arial" w:cs="Arial"/>
          <w:sz w:val="20"/>
          <w:szCs w:val="20"/>
        </w:rPr>
        <w:t xml:space="preserve"> health hubs</w:t>
      </w:r>
      <w:r w:rsidR="006A4FB9" w:rsidRPr="422F38A3">
        <w:rPr>
          <w:rFonts w:ascii="Arial" w:hAnsi="Arial" w:cs="Arial"/>
          <w:sz w:val="20"/>
          <w:szCs w:val="20"/>
        </w:rPr>
        <w:t xml:space="preserve"> </w:t>
      </w:r>
      <w:r w:rsidR="00D051F1" w:rsidRPr="422F38A3">
        <w:rPr>
          <w:rFonts w:ascii="Arial" w:hAnsi="Arial" w:cs="Arial"/>
          <w:sz w:val="20"/>
          <w:szCs w:val="20"/>
        </w:rPr>
        <w:t>leading to</w:t>
      </w:r>
      <w:r w:rsidR="00FB7B54" w:rsidRPr="422F38A3">
        <w:rPr>
          <w:rFonts w:ascii="Arial" w:hAnsi="Arial" w:cs="Arial"/>
          <w:sz w:val="20"/>
          <w:szCs w:val="20"/>
        </w:rPr>
        <w:t xml:space="preserve"> </w:t>
      </w:r>
      <w:r w:rsidR="003308D8" w:rsidRPr="422F38A3">
        <w:rPr>
          <w:rFonts w:ascii="Arial" w:hAnsi="Arial" w:cs="Arial"/>
          <w:sz w:val="20"/>
          <w:szCs w:val="20"/>
        </w:rPr>
        <w:t>an increase in emergency department presentations.</w:t>
      </w:r>
      <w:r w:rsidRPr="422F38A3">
        <w:rPr>
          <w:rFonts w:ascii="Arial" w:hAnsi="Arial" w:cs="Arial"/>
          <w:sz w:val="20"/>
          <w:szCs w:val="20"/>
        </w:rPr>
        <w:t xml:space="preserve"> </w:t>
      </w:r>
      <w:r w:rsidRPr="422F38A3">
        <w:rPr>
          <w:rFonts w:ascii="Arial" w:hAnsi="Arial" w:cs="Arial"/>
          <w:sz w:val="20"/>
          <w:szCs w:val="20"/>
          <w:shd w:val="clear" w:color="auto" w:fill="FFFFFF" w:themeFill="background1"/>
          <w:vertAlign w:val="superscript"/>
        </w:rPr>
        <w:t>41</w:t>
      </w:r>
      <w:r w:rsidRPr="422F38A3">
        <w:rPr>
          <w:rFonts w:ascii="Arial" w:hAnsi="Arial" w:cs="Arial"/>
          <w:sz w:val="20"/>
          <w:szCs w:val="20"/>
        </w:rPr>
        <w:t xml:space="preserve"> There is a higher burden of disease in rural Australia with patients living with long term health conditions such as arthritis, asthma, back problems, diabetes, heart and vascular disease. This can add further considerable stress on the healthcare system. Due </w:t>
      </w:r>
      <w:r w:rsidR="005634CF" w:rsidRPr="422F38A3">
        <w:rPr>
          <w:rFonts w:ascii="Arial" w:hAnsi="Arial" w:cs="Arial"/>
          <w:sz w:val="20"/>
          <w:szCs w:val="20"/>
        </w:rPr>
        <w:t>to their poorer access to, and use of, primary healthcare services, this population encounter higher rates of injury, hospitalisation and death in comparison to people living in major cities</w:t>
      </w:r>
      <w:r w:rsidR="007E74B4" w:rsidRPr="422F38A3">
        <w:rPr>
          <w:rFonts w:ascii="Arial" w:hAnsi="Arial" w:cs="Arial"/>
          <w:sz w:val="20"/>
          <w:szCs w:val="20"/>
        </w:rPr>
        <w:t xml:space="preserve"> as they may only seek care </w:t>
      </w:r>
      <w:r w:rsidR="000034B1" w:rsidRPr="422F38A3">
        <w:rPr>
          <w:rFonts w:ascii="Arial" w:hAnsi="Arial" w:cs="Arial"/>
          <w:sz w:val="20"/>
          <w:szCs w:val="20"/>
        </w:rPr>
        <w:t>if</w:t>
      </w:r>
      <w:r w:rsidR="0058278C" w:rsidRPr="422F38A3">
        <w:rPr>
          <w:rFonts w:ascii="Arial" w:hAnsi="Arial" w:cs="Arial"/>
          <w:sz w:val="20"/>
          <w:szCs w:val="20"/>
        </w:rPr>
        <w:t xml:space="preserve"> their health conditions become sever</w:t>
      </w:r>
      <w:r w:rsidR="009345EA" w:rsidRPr="422F38A3">
        <w:rPr>
          <w:rFonts w:ascii="Arial" w:hAnsi="Arial" w:cs="Arial"/>
          <w:sz w:val="20"/>
          <w:szCs w:val="20"/>
        </w:rPr>
        <w:t>e</w:t>
      </w:r>
      <w:r w:rsidR="005634CF" w:rsidRPr="422F38A3">
        <w:rPr>
          <w:rFonts w:ascii="Arial" w:hAnsi="Arial" w:cs="Arial"/>
          <w:sz w:val="20"/>
          <w:szCs w:val="20"/>
        </w:rPr>
        <w:t xml:space="preserve">. </w:t>
      </w:r>
      <w:r w:rsidRPr="422F38A3">
        <w:rPr>
          <w:rFonts w:ascii="Arial" w:hAnsi="Arial" w:cs="Arial"/>
          <w:sz w:val="20"/>
          <w:szCs w:val="20"/>
          <w:vertAlign w:val="superscript"/>
        </w:rPr>
        <w:t>42,43</w:t>
      </w:r>
      <w:r w:rsidR="005634CF" w:rsidRPr="422F38A3">
        <w:rPr>
          <w:rFonts w:ascii="Arial" w:hAnsi="Arial" w:cs="Arial"/>
          <w:sz w:val="20"/>
          <w:szCs w:val="20"/>
          <w:vertAlign w:val="superscript"/>
        </w:rPr>
        <w:t xml:space="preserve"> </w:t>
      </w:r>
      <w:r w:rsidR="00291337" w:rsidRPr="422F38A3">
        <w:rPr>
          <w:rFonts w:ascii="Arial" w:hAnsi="Arial" w:cs="Arial"/>
          <w:sz w:val="20"/>
          <w:szCs w:val="20"/>
        </w:rPr>
        <w:t>Th</w:t>
      </w:r>
      <w:r w:rsidR="324452E5" w:rsidRPr="422F38A3">
        <w:rPr>
          <w:rFonts w:ascii="Arial" w:hAnsi="Arial" w:cs="Arial"/>
          <w:sz w:val="20"/>
          <w:szCs w:val="20"/>
        </w:rPr>
        <w:t>ere</w:t>
      </w:r>
      <w:r w:rsidR="75EF6918" w:rsidRPr="422F38A3">
        <w:rPr>
          <w:rFonts w:ascii="Arial" w:hAnsi="Arial" w:cs="Arial"/>
          <w:sz w:val="20"/>
          <w:szCs w:val="20"/>
        </w:rPr>
        <w:t xml:space="preserve"> </w:t>
      </w:r>
      <w:r w:rsidR="002A60A3" w:rsidRPr="422F38A3">
        <w:rPr>
          <w:rFonts w:ascii="Arial" w:hAnsi="Arial" w:cs="Arial"/>
          <w:sz w:val="20"/>
          <w:szCs w:val="20"/>
        </w:rPr>
        <w:t xml:space="preserve">is a </w:t>
      </w:r>
      <w:r w:rsidR="005970DD" w:rsidRPr="422F38A3">
        <w:rPr>
          <w:rFonts w:ascii="Arial" w:hAnsi="Arial" w:cs="Arial"/>
          <w:sz w:val="20"/>
          <w:szCs w:val="20"/>
        </w:rPr>
        <w:t xml:space="preserve">higher burden of disease in rural Australia </w:t>
      </w:r>
      <w:r w:rsidR="00F62066" w:rsidRPr="422F38A3">
        <w:rPr>
          <w:rFonts w:ascii="Arial" w:hAnsi="Arial" w:cs="Arial"/>
          <w:sz w:val="20"/>
          <w:szCs w:val="20"/>
        </w:rPr>
        <w:t xml:space="preserve">and this </w:t>
      </w:r>
      <w:r w:rsidR="005970DD" w:rsidRPr="422F38A3">
        <w:rPr>
          <w:rFonts w:ascii="Arial" w:hAnsi="Arial" w:cs="Arial"/>
          <w:sz w:val="20"/>
          <w:szCs w:val="20"/>
        </w:rPr>
        <w:t>represents a $27.5b loss in economic contribution</w:t>
      </w:r>
      <w:r w:rsidR="009801C9" w:rsidRPr="422F38A3">
        <w:rPr>
          <w:rFonts w:ascii="Arial" w:hAnsi="Arial" w:cs="Arial"/>
          <w:sz w:val="20"/>
          <w:szCs w:val="20"/>
        </w:rPr>
        <w:t xml:space="preserve"> and also </w:t>
      </w:r>
      <w:r w:rsidR="009B484B" w:rsidRPr="422F38A3">
        <w:rPr>
          <w:rFonts w:ascii="Arial" w:hAnsi="Arial" w:cs="Arial"/>
          <w:sz w:val="20"/>
          <w:szCs w:val="20"/>
        </w:rPr>
        <w:t xml:space="preserve">supports an </w:t>
      </w:r>
      <w:r w:rsidR="00180C38" w:rsidRPr="422F38A3">
        <w:rPr>
          <w:rFonts w:ascii="Arial" w:hAnsi="Arial" w:cs="Arial"/>
          <w:sz w:val="20"/>
          <w:szCs w:val="20"/>
        </w:rPr>
        <w:t>overrepresentation</w:t>
      </w:r>
      <w:r w:rsidR="009B484B" w:rsidRPr="422F38A3">
        <w:rPr>
          <w:rFonts w:ascii="Arial" w:hAnsi="Arial" w:cs="Arial"/>
          <w:sz w:val="20"/>
          <w:szCs w:val="20"/>
        </w:rPr>
        <w:t xml:space="preserve"> of potentially </w:t>
      </w:r>
      <w:r w:rsidR="00180C38" w:rsidRPr="422F38A3">
        <w:rPr>
          <w:rFonts w:ascii="Arial" w:hAnsi="Arial" w:cs="Arial"/>
          <w:sz w:val="20"/>
          <w:szCs w:val="20"/>
        </w:rPr>
        <w:t>avoidable</w:t>
      </w:r>
      <w:r w:rsidR="00B03B86" w:rsidRPr="422F38A3">
        <w:rPr>
          <w:rFonts w:ascii="Arial" w:hAnsi="Arial" w:cs="Arial"/>
          <w:sz w:val="20"/>
          <w:szCs w:val="20"/>
        </w:rPr>
        <w:t xml:space="preserve"> deaths</w:t>
      </w:r>
      <w:r w:rsidR="00C02D90" w:rsidRPr="422F38A3">
        <w:rPr>
          <w:rFonts w:ascii="Arial" w:hAnsi="Arial" w:cs="Arial"/>
          <w:sz w:val="20"/>
          <w:szCs w:val="20"/>
        </w:rPr>
        <w:t xml:space="preserve"> </w:t>
      </w:r>
      <w:r w:rsidR="004B3828" w:rsidRPr="422F38A3">
        <w:rPr>
          <w:rFonts w:ascii="Arial" w:hAnsi="Arial" w:cs="Arial"/>
          <w:sz w:val="20"/>
          <w:szCs w:val="20"/>
        </w:rPr>
        <w:t xml:space="preserve">and decreased life expectancy. </w:t>
      </w:r>
      <w:r w:rsidRPr="422F38A3">
        <w:rPr>
          <w:rFonts w:ascii="Arial" w:hAnsi="Arial" w:cs="Arial"/>
          <w:sz w:val="20"/>
          <w:szCs w:val="20"/>
          <w:shd w:val="clear" w:color="auto" w:fill="FFFFFF" w:themeFill="background1"/>
          <w:vertAlign w:val="superscript"/>
        </w:rPr>
        <w:t xml:space="preserve">41 </w:t>
      </w:r>
    </w:p>
    <w:p w14:paraId="1842DDD5" w14:textId="77777777" w:rsidR="005634CF" w:rsidRPr="007251D4" w:rsidRDefault="005634CF" w:rsidP="00216AB8">
      <w:pPr>
        <w:pStyle w:val="AHPRASubheading"/>
        <w:outlineLvl w:val="0"/>
      </w:pPr>
      <w:bookmarkStart w:id="31" w:name="_Toc164692707"/>
      <w:bookmarkStart w:id="32" w:name="_Toc75171"/>
      <w:r>
        <w:t xml:space="preserve">Problem 2: </w:t>
      </w:r>
      <w:r w:rsidRPr="007251D4">
        <w:t>Cultural and social inequities in healthcare</w:t>
      </w:r>
      <w:bookmarkEnd w:id="31"/>
      <w:r w:rsidRPr="007251D4">
        <w:t xml:space="preserve"> </w:t>
      </w:r>
      <w:bookmarkEnd w:id="32"/>
    </w:p>
    <w:p w14:paraId="24BDC89A" w14:textId="429F5FDB" w:rsidR="00D53F11" w:rsidRDefault="005634CF" w:rsidP="005431A4">
      <w:pPr>
        <w:pStyle w:val="AHPRAbody"/>
        <w:spacing w:after="0"/>
      </w:pPr>
      <w:r w:rsidRPr="0022082D">
        <w:t>Cultural and social backgrounds and geographical location should not be barriers to achieving timely access to healthcare</w:t>
      </w:r>
      <w:r w:rsidR="0044360D" w:rsidRPr="0022082D">
        <w:t>.</w:t>
      </w:r>
      <w:r w:rsidR="00A31051" w:rsidRPr="0022082D">
        <w:t xml:space="preserve"> </w:t>
      </w:r>
      <w:r w:rsidR="00C95784" w:rsidRPr="0022082D">
        <w:t xml:space="preserve">Aboriginal and Torres Strait Islander </w:t>
      </w:r>
      <w:r w:rsidR="00B34D5A">
        <w:t>P</w:t>
      </w:r>
      <w:r w:rsidR="00C95784" w:rsidRPr="0022082D">
        <w:t>eople</w:t>
      </w:r>
      <w:r w:rsidR="00E05C7C">
        <w:t>s</w:t>
      </w:r>
      <w:r w:rsidR="00C95784" w:rsidRPr="0022082D">
        <w:t xml:space="preserve"> </w:t>
      </w:r>
      <w:r w:rsidR="00BA62D6" w:rsidRPr="0022082D">
        <w:t>experience higher level</w:t>
      </w:r>
      <w:r w:rsidR="00F07F7E">
        <w:t>s</w:t>
      </w:r>
      <w:r w:rsidR="00BA62D6" w:rsidRPr="0022082D">
        <w:t xml:space="preserve"> of unsatisfactory health outcomes</w:t>
      </w:r>
      <w:r w:rsidR="00C95784" w:rsidRPr="0022082D">
        <w:t xml:space="preserve"> with </w:t>
      </w:r>
      <w:r w:rsidR="003B14A5" w:rsidRPr="0022082D">
        <w:t xml:space="preserve">burden of disease 2.3 times that of non-Indigenous Australians. </w:t>
      </w:r>
      <w:r w:rsidR="009B4992" w:rsidRPr="009B4992">
        <w:rPr>
          <w:szCs w:val="20"/>
          <w:shd w:val="clear" w:color="auto" w:fill="FFFFFF" w:themeFill="background1"/>
          <w:vertAlign w:val="superscript"/>
        </w:rPr>
        <w:t>4</w:t>
      </w:r>
      <w:r w:rsidR="009B4992">
        <w:rPr>
          <w:szCs w:val="20"/>
          <w:shd w:val="clear" w:color="auto" w:fill="FFFFFF" w:themeFill="background1"/>
          <w:vertAlign w:val="superscript"/>
        </w:rPr>
        <w:t xml:space="preserve">4 </w:t>
      </w:r>
      <w:r w:rsidR="002054BA">
        <w:t>T</w:t>
      </w:r>
      <w:r w:rsidR="004314C0" w:rsidRPr="0022082D">
        <w:t xml:space="preserve">he leading contributors to </w:t>
      </w:r>
      <w:r w:rsidR="001D2CDE" w:rsidRPr="0022082D">
        <w:t xml:space="preserve">disease burden </w:t>
      </w:r>
      <w:r w:rsidR="00566DDA" w:rsidRPr="0022082D">
        <w:t>were mental</w:t>
      </w:r>
      <w:r w:rsidR="003B14A5" w:rsidRPr="0022082D">
        <w:t xml:space="preserve"> </w:t>
      </w:r>
      <w:r w:rsidR="04A7FA84" w:rsidRPr="0022082D">
        <w:t xml:space="preserve">health </w:t>
      </w:r>
      <w:r w:rsidR="003B14A5" w:rsidRPr="0022082D">
        <w:t xml:space="preserve">and </w:t>
      </w:r>
      <w:r w:rsidR="009D554E" w:rsidRPr="0022082D">
        <w:t>substance use</w:t>
      </w:r>
      <w:r w:rsidR="002054BA">
        <w:t>,</w:t>
      </w:r>
      <w:r w:rsidR="00987EFF" w:rsidRPr="0022082D">
        <w:t xml:space="preserve"> followed by chronic health disease</w:t>
      </w:r>
      <w:r w:rsidR="005749E1" w:rsidRPr="0022082D">
        <w:t xml:space="preserve"> such as </w:t>
      </w:r>
      <w:r w:rsidR="00E75BE3" w:rsidRPr="0022082D">
        <w:t>c</w:t>
      </w:r>
      <w:r w:rsidR="005749E1" w:rsidRPr="0022082D">
        <w:t xml:space="preserve">ardiovascular, </w:t>
      </w:r>
      <w:r w:rsidR="00E75BE3" w:rsidRPr="0022082D">
        <w:t>r</w:t>
      </w:r>
      <w:r w:rsidR="005749E1" w:rsidRPr="0022082D">
        <w:t>espiratory</w:t>
      </w:r>
      <w:r w:rsidR="00414FED" w:rsidRPr="0022082D">
        <w:t xml:space="preserve">, </w:t>
      </w:r>
      <w:r w:rsidR="0018330D" w:rsidRPr="0022082D">
        <w:t xml:space="preserve">kidney, </w:t>
      </w:r>
      <w:r w:rsidR="003A26EA" w:rsidRPr="0022082D">
        <w:t>musculoskeletal</w:t>
      </w:r>
      <w:r w:rsidR="009B4992">
        <w:t xml:space="preserve"> disease</w:t>
      </w:r>
      <w:r w:rsidR="009B4390" w:rsidRPr="0022082D">
        <w:t>,</w:t>
      </w:r>
      <w:r w:rsidR="00126131" w:rsidRPr="0022082D">
        <w:t xml:space="preserve"> cancer</w:t>
      </w:r>
      <w:r w:rsidR="00414FED" w:rsidRPr="0022082D">
        <w:t xml:space="preserve"> </w:t>
      </w:r>
      <w:r w:rsidR="00E02D12" w:rsidRPr="0022082D">
        <w:t xml:space="preserve">and sexually </w:t>
      </w:r>
      <w:r w:rsidR="00E75BE3" w:rsidRPr="0022082D">
        <w:t>transmissible</w:t>
      </w:r>
      <w:r w:rsidR="00E02D12" w:rsidRPr="0022082D">
        <w:t xml:space="preserve"> infections</w:t>
      </w:r>
      <w:r w:rsidR="00E75BE3" w:rsidRPr="0022082D">
        <w:t>.</w:t>
      </w:r>
      <w:r w:rsidR="00987EFF" w:rsidRPr="0022082D">
        <w:t xml:space="preserve"> </w:t>
      </w:r>
      <w:r w:rsidR="00C22BAD">
        <w:t>The</w:t>
      </w:r>
      <w:r w:rsidR="00DB17FA">
        <w:t xml:space="preserve"> </w:t>
      </w:r>
      <w:r w:rsidR="000C1700">
        <w:t xml:space="preserve">Aboriginal and Torres Strait Islander </w:t>
      </w:r>
      <w:r w:rsidR="003F51A5">
        <w:t>population</w:t>
      </w:r>
      <w:r w:rsidR="00F82071" w:rsidRPr="0022082D">
        <w:t xml:space="preserve"> increases with </w:t>
      </w:r>
      <w:r w:rsidR="00840C0C" w:rsidRPr="0022082D">
        <w:t>geographical</w:t>
      </w:r>
      <w:r w:rsidR="00F82071" w:rsidRPr="0022082D">
        <w:t xml:space="preserve"> remoteness </w:t>
      </w:r>
      <w:r w:rsidR="00840C0C" w:rsidRPr="0022082D">
        <w:t xml:space="preserve">and </w:t>
      </w:r>
      <w:r w:rsidR="00D165FD">
        <w:t>as such the</w:t>
      </w:r>
      <w:r w:rsidR="00A86FE7">
        <w:t>se communities</w:t>
      </w:r>
      <w:r w:rsidR="00612A59">
        <w:t xml:space="preserve"> often</w:t>
      </w:r>
      <w:r w:rsidR="008D0B01">
        <w:t xml:space="preserve"> </w:t>
      </w:r>
      <w:r w:rsidR="00840C0C" w:rsidRPr="0022082D">
        <w:t xml:space="preserve">have lower access to health </w:t>
      </w:r>
      <w:r w:rsidR="004F1E43" w:rsidRPr="0022082D">
        <w:t>services</w:t>
      </w:r>
      <w:r w:rsidR="00B91421" w:rsidRPr="0022082D">
        <w:t>.</w:t>
      </w:r>
      <w:r w:rsidR="009B4992">
        <w:t xml:space="preserve"> </w:t>
      </w:r>
      <w:r w:rsidR="009B4992">
        <w:rPr>
          <w:szCs w:val="20"/>
          <w:shd w:val="clear" w:color="auto" w:fill="FFFFFF" w:themeFill="background1"/>
          <w:vertAlign w:val="superscript"/>
        </w:rPr>
        <w:t>45</w:t>
      </w:r>
      <w:r w:rsidR="009B4992">
        <w:t xml:space="preserve"> </w:t>
      </w:r>
      <w:r w:rsidR="1C1EED9F" w:rsidRPr="0022082D">
        <w:t>D</w:t>
      </w:r>
      <w:r w:rsidR="2FFF4E3E" w:rsidRPr="0022082D">
        <w:t>espite significant effort</w:t>
      </w:r>
      <w:r w:rsidR="65049AD7" w:rsidRPr="0022082D">
        <w:t>s</w:t>
      </w:r>
      <w:r w:rsidR="2FFF4E3E" w:rsidRPr="0022082D">
        <w:t xml:space="preserve"> by the Australian government, scholars, policy makers and communities to provide fair and equitable healthcare, this challenging and longstanding issue remains unresolve</w:t>
      </w:r>
      <w:r w:rsidR="3FF8A9AB" w:rsidRPr="0022082D">
        <w:t>d</w:t>
      </w:r>
      <w:r w:rsidR="2FFF4E3E" w:rsidRPr="0022082D">
        <w:t xml:space="preserve"> </w:t>
      </w:r>
      <w:r w:rsidR="6F286591" w:rsidRPr="0022082D">
        <w:t>and does not aid in meeting t</w:t>
      </w:r>
      <w:r w:rsidR="0066293E" w:rsidRPr="0022082D">
        <w:t>he Government</w:t>
      </w:r>
      <w:r w:rsidR="00B76F4B" w:rsidRPr="0022082D">
        <w:t xml:space="preserve">s National Agreement on Closing the </w:t>
      </w:r>
      <w:r w:rsidR="00565A73" w:rsidRPr="0022082D">
        <w:t xml:space="preserve">Gap </w:t>
      </w:r>
      <w:r w:rsidR="3A164569" w:rsidRPr="0022082D">
        <w:t xml:space="preserve">and </w:t>
      </w:r>
      <w:r w:rsidR="5726F87E" w:rsidRPr="0022082D">
        <w:t xml:space="preserve">to </w:t>
      </w:r>
      <w:r w:rsidR="00565A73" w:rsidRPr="0022082D">
        <w:t>overcom</w:t>
      </w:r>
      <w:r w:rsidR="667DA01B" w:rsidRPr="0022082D">
        <w:t>e</w:t>
      </w:r>
      <w:r w:rsidR="00565A73" w:rsidRPr="0022082D">
        <w:t xml:space="preserve"> the inequality experienced by Aboriginal and Torres Strait Islander people</w:t>
      </w:r>
      <w:r w:rsidR="2C8D3DBE" w:rsidRPr="0022082D">
        <w:t xml:space="preserve"> and in achieving life</w:t>
      </w:r>
      <w:r w:rsidR="00565A73" w:rsidRPr="0022082D">
        <w:t xml:space="preserve"> outcomes equal to all Australians. </w:t>
      </w:r>
      <w:r w:rsidR="009B4992">
        <w:rPr>
          <w:szCs w:val="20"/>
          <w:shd w:val="clear" w:color="auto" w:fill="FFFFFF" w:themeFill="background1"/>
          <w:vertAlign w:val="superscript"/>
        </w:rPr>
        <w:t>46</w:t>
      </w:r>
    </w:p>
    <w:p w14:paraId="02EB4217" w14:textId="6A65F7AA" w:rsidR="005634CF" w:rsidRPr="007251D4" w:rsidRDefault="005634CF" w:rsidP="002517D7">
      <w:pPr>
        <w:pStyle w:val="AHPRASubheading"/>
        <w:ind w:left="-6" w:right="6"/>
        <w:outlineLvl w:val="0"/>
      </w:pPr>
      <w:bookmarkStart w:id="33" w:name="_Toc164692708"/>
      <w:bookmarkStart w:id="34" w:name="_Toc75172"/>
      <w:r>
        <w:t>Pr</w:t>
      </w:r>
      <w:r w:rsidRPr="00291CFE">
        <w:rPr>
          <w:bCs/>
        </w:rPr>
        <w:t>oblem 3: An ageing population and the impacts for healthcare</w:t>
      </w:r>
      <w:bookmarkEnd w:id="33"/>
      <w:r w:rsidRPr="00291CFE">
        <w:rPr>
          <w:bCs/>
        </w:rPr>
        <w:t xml:space="preserve"> </w:t>
      </w:r>
      <w:bookmarkEnd w:id="34"/>
    </w:p>
    <w:p w14:paraId="263EFE5D" w14:textId="3442382F" w:rsidR="009B4992" w:rsidRDefault="00414C4C" w:rsidP="009B4992">
      <w:pPr>
        <w:pStyle w:val="AHPRAbody"/>
        <w:outlineLvl w:val="0"/>
      </w:pPr>
      <w:r w:rsidRPr="009B4992">
        <w:rPr>
          <w:szCs w:val="20"/>
        </w:rPr>
        <w:t xml:space="preserve">There </w:t>
      </w:r>
      <w:r w:rsidR="005634CF" w:rsidRPr="009B4992">
        <w:rPr>
          <w:szCs w:val="20"/>
        </w:rPr>
        <w:t>is an ageing global population. The World Health Organisation (WHO) predicts that by 2050</w:t>
      </w:r>
      <w:r w:rsidRPr="009B4992">
        <w:rPr>
          <w:szCs w:val="20"/>
        </w:rPr>
        <w:t>,</w:t>
      </w:r>
      <w:r w:rsidR="005634CF" w:rsidRPr="009B4992">
        <w:rPr>
          <w:szCs w:val="20"/>
        </w:rPr>
        <w:t xml:space="preserve"> there will be 1.5 billion people over 65 years of age. </w:t>
      </w:r>
      <w:r w:rsidR="009B4992" w:rsidRPr="009B4992">
        <w:rPr>
          <w:szCs w:val="20"/>
        </w:rPr>
        <w:t xml:space="preserve">On 28 June 2023, the Australian Institute of Health and Welfare’s publication </w:t>
      </w:r>
      <w:r w:rsidR="009B4992" w:rsidRPr="009B4992">
        <w:rPr>
          <w:i/>
          <w:iCs/>
          <w:szCs w:val="20"/>
        </w:rPr>
        <w:t xml:space="preserve">Australia’s Health </w:t>
      </w:r>
      <w:r w:rsidR="009B4992" w:rsidRPr="009B4992">
        <w:rPr>
          <w:szCs w:val="20"/>
        </w:rPr>
        <w:t xml:space="preserve">estimated that 16% of Australia’s 26 million people are currently over the age of 65, that percentage is projected to increase to 23% by 2061. Five per cent of the population is projected to be over the age of 85 by 2061. </w:t>
      </w:r>
      <w:r w:rsidR="009B4992">
        <w:rPr>
          <w:vertAlign w:val="superscript"/>
        </w:rPr>
        <w:t>47</w:t>
      </w:r>
    </w:p>
    <w:p w14:paraId="0DD9617B" w14:textId="5277D675" w:rsidR="005634CF" w:rsidRDefault="005634CF" w:rsidP="00216AB8">
      <w:pPr>
        <w:pStyle w:val="AHPRAbody"/>
        <w:outlineLvl w:val="0"/>
        <w:rPr>
          <w:vertAlign w:val="superscript"/>
        </w:rPr>
      </w:pPr>
      <w:r>
        <w:t>This has implications for healthcare as with increasing life expectancy is the increased burden of chronic disease</w:t>
      </w:r>
      <w:r w:rsidR="00424F80">
        <w:t>.</w:t>
      </w:r>
      <w:r>
        <w:t xml:space="preserve"> </w:t>
      </w:r>
      <w:r w:rsidR="004E7758">
        <w:t>The</w:t>
      </w:r>
      <w:r>
        <w:t xml:space="preserve"> </w:t>
      </w:r>
      <w:r w:rsidR="00076C66">
        <w:t xml:space="preserve">diabetes </w:t>
      </w:r>
      <w:r>
        <w:t xml:space="preserve">epidemic </w:t>
      </w:r>
      <w:r w:rsidR="004E7758">
        <w:t>is currently</w:t>
      </w:r>
      <w:r>
        <w:t xml:space="preserve"> one of largest and most complex challenges</w:t>
      </w:r>
      <w:r w:rsidR="00606517">
        <w:t xml:space="preserve"> in</w:t>
      </w:r>
      <w:r>
        <w:t xml:space="preserve"> </w:t>
      </w:r>
      <w:r w:rsidR="002E613F">
        <w:t>healthcare</w:t>
      </w:r>
      <w:r w:rsidR="004D4E18">
        <w:t>,</w:t>
      </w:r>
      <w:r>
        <w:t xml:space="preserve"> </w:t>
      </w:r>
      <w:r w:rsidR="004D4E18">
        <w:t>with</w:t>
      </w:r>
      <w:r w:rsidR="00E125B6">
        <w:t xml:space="preserve"> </w:t>
      </w:r>
      <w:r>
        <w:t xml:space="preserve">1.5 million Australians living with diabetes. In 2021-2022 there were 1.3 million hospitalisations associated with diabetes </w:t>
      </w:r>
      <w:r w:rsidR="009F3567">
        <w:t xml:space="preserve">with </w:t>
      </w:r>
      <w:r>
        <w:t>most hospitalisation</w:t>
      </w:r>
      <w:r w:rsidR="0038261A">
        <w:t>s</w:t>
      </w:r>
      <w:r>
        <w:t xml:space="preserve"> (72%) </w:t>
      </w:r>
      <w:r w:rsidR="007B6A54">
        <w:t xml:space="preserve">occurring </w:t>
      </w:r>
      <w:r>
        <w:t>in those aged over 60</w:t>
      </w:r>
      <w:r w:rsidR="007B6A54">
        <w:t xml:space="preserve"> years</w:t>
      </w:r>
      <w:r>
        <w:t xml:space="preserve">. </w:t>
      </w:r>
      <w:r w:rsidR="009A1E51">
        <w:t>C</w:t>
      </w:r>
      <w:r>
        <w:t>omplications</w:t>
      </w:r>
      <w:r w:rsidR="009A1E51">
        <w:t xml:space="preserve"> associated</w:t>
      </w:r>
      <w:r>
        <w:t xml:space="preserve"> with diabetes </w:t>
      </w:r>
      <w:r w:rsidR="1867841C">
        <w:t>include t</w:t>
      </w:r>
      <w:r>
        <w:t xml:space="preserve">he risk of dementia, cardiovascular disease, </w:t>
      </w:r>
      <w:r w:rsidR="6071B538">
        <w:t>s</w:t>
      </w:r>
      <w:r>
        <w:t xml:space="preserve">troke, end </w:t>
      </w:r>
      <w:r>
        <w:lastRenderedPageBreak/>
        <w:t xml:space="preserve">stage kidney disease, and blindness. This places enormous pressure on already stretched health services and workforce. </w:t>
      </w:r>
      <w:r w:rsidR="009B4992">
        <w:rPr>
          <w:vertAlign w:val="superscript"/>
        </w:rPr>
        <w:t>48</w:t>
      </w:r>
    </w:p>
    <w:p w14:paraId="7AD32524" w14:textId="05ECB439" w:rsidR="003A0DFC" w:rsidRPr="007A4ACC" w:rsidRDefault="16B28265" w:rsidP="007A4ACC">
      <w:pPr>
        <w:pStyle w:val="AHPRAbody"/>
      </w:pPr>
      <w:r w:rsidRPr="007A4ACC">
        <w:t xml:space="preserve">As of </w:t>
      </w:r>
      <w:r w:rsidR="00BD43E0" w:rsidRPr="007A4ACC">
        <w:t xml:space="preserve">June 2022, approximately 407,000 people were using residential aged care, home care or transition care in Australia. </w:t>
      </w:r>
      <w:r w:rsidR="00F118EC">
        <w:t>Forty-six per cent</w:t>
      </w:r>
      <w:r w:rsidR="006023B1">
        <w:t xml:space="preserve"> of those</w:t>
      </w:r>
      <w:r w:rsidR="00BD43E0" w:rsidRPr="007A4ACC">
        <w:t xml:space="preserve"> people </w:t>
      </w:r>
      <w:r w:rsidR="00A52DBF" w:rsidRPr="007A4ACC">
        <w:t xml:space="preserve">were </w:t>
      </w:r>
      <w:r w:rsidR="00BD43E0" w:rsidRPr="007A4ACC">
        <w:t>using permanent or respite residential aged care</w:t>
      </w:r>
      <w:r w:rsidR="00ED6B5F" w:rsidRPr="007A4ACC">
        <w:t xml:space="preserve">. </w:t>
      </w:r>
      <w:r w:rsidR="009B4992">
        <w:rPr>
          <w:vertAlign w:val="superscript"/>
        </w:rPr>
        <w:t>49</w:t>
      </w:r>
      <w:r w:rsidR="009B4992" w:rsidRPr="007A4ACC" w:rsidDel="009B4992">
        <w:t xml:space="preserve"> </w:t>
      </w:r>
      <w:r w:rsidR="009D62C2" w:rsidRPr="007A4ACC">
        <w:t>The</w:t>
      </w:r>
      <w:r w:rsidR="00ED6B5F" w:rsidRPr="007A4ACC">
        <w:t xml:space="preserve"> number of people entering</w:t>
      </w:r>
      <w:r w:rsidR="0048655E" w:rsidRPr="007A4ACC">
        <w:t xml:space="preserve"> and living permanently in </w:t>
      </w:r>
      <w:r w:rsidR="00ED6B5F" w:rsidRPr="007A4ACC">
        <w:t>aged care</w:t>
      </w:r>
      <w:r w:rsidR="0048655E" w:rsidRPr="007A4ACC">
        <w:t xml:space="preserve"> increased by 3.1% </w:t>
      </w:r>
      <w:r w:rsidR="00AA5E62" w:rsidRPr="007A4ACC">
        <w:t xml:space="preserve">over the </w:t>
      </w:r>
      <w:r w:rsidR="00CB66FD">
        <w:t>past five</w:t>
      </w:r>
      <w:r w:rsidR="00AA5E62" w:rsidRPr="007A4ACC">
        <w:t xml:space="preserve"> years</w:t>
      </w:r>
      <w:r w:rsidR="006A5471">
        <w:t>,</w:t>
      </w:r>
      <w:r w:rsidR="00AA5E62" w:rsidRPr="007A4ACC">
        <w:t xml:space="preserve"> which can be attributed to the </w:t>
      </w:r>
      <w:r w:rsidR="009A11D9" w:rsidRPr="007A4ACC">
        <w:t>Australia’s ageing population.</w:t>
      </w:r>
      <w:r w:rsidR="009B4992">
        <w:t xml:space="preserve"> </w:t>
      </w:r>
      <w:r w:rsidR="003404EE">
        <w:rPr>
          <w:vertAlign w:val="superscript"/>
        </w:rPr>
        <w:t xml:space="preserve">49 </w:t>
      </w:r>
      <w:r w:rsidR="003404EE" w:rsidRPr="007A4ACC">
        <w:t>With</w:t>
      </w:r>
      <w:r w:rsidR="009A11D9" w:rsidRPr="007A4ACC">
        <w:t xml:space="preserve"> an ageing population comes the need for increases in care requirements </w:t>
      </w:r>
      <w:r w:rsidR="002F7C22" w:rsidRPr="007A4ACC">
        <w:t xml:space="preserve">as aged care residents experience multiple comorbidities in their health. </w:t>
      </w:r>
      <w:r w:rsidR="00577DB4" w:rsidRPr="007A4ACC">
        <w:t>T</w:t>
      </w:r>
      <w:r w:rsidR="00A30568" w:rsidRPr="007A4ACC">
        <w:t>he</w:t>
      </w:r>
      <w:r w:rsidR="00577DB4" w:rsidRPr="007A4ACC">
        <w:t xml:space="preserve"> </w:t>
      </w:r>
      <w:r w:rsidR="006008DC">
        <w:t xml:space="preserve">final report of the </w:t>
      </w:r>
      <w:hyperlink r:id="rId10" w:history="1">
        <w:r w:rsidR="00577DB4" w:rsidRPr="007A4ACC">
          <w:rPr>
            <w:rStyle w:val="Hyperlink"/>
            <w:color w:val="auto"/>
            <w:u w:val="none"/>
          </w:rPr>
          <w:t>Royal Commission into Aged Care Quality and Safety</w:t>
        </w:r>
      </w:hyperlink>
      <w:r w:rsidR="0027319A" w:rsidRPr="007A4ACC">
        <w:t xml:space="preserve"> </w:t>
      </w:r>
      <w:r w:rsidR="006008DC">
        <w:t xml:space="preserve">(2021) </w:t>
      </w:r>
      <w:r w:rsidR="0027319A" w:rsidRPr="007A4ACC">
        <w:t xml:space="preserve">identified </w:t>
      </w:r>
      <w:r w:rsidR="00577DB4" w:rsidRPr="007A4ACC">
        <w:t xml:space="preserve">that </w:t>
      </w:r>
      <w:r w:rsidR="00232902" w:rsidRPr="007A4ACC">
        <w:t xml:space="preserve">adequate qualified </w:t>
      </w:r>
      <w:r w:rsidR="00577DB4" w:rsidRPr="007A4ACC">
        <w:t>staffing levels are critical to the quality of residential care, and recommended at least one RN be on-site at all times at each residential facility</w:t>
      </w:r>
      <w:r w:rsidR="009B4992">
        <w:t xml:space="preserve">. </w:t>
      </w:r>
      <w:r w:rsidR="009B4992">
        <w:rPr>
          <w:vertAlign w:val="superscript"/>
        </w:rPr>
        <w:t>50</w:t>
      </w:r>
      <w:r w:rsidR="007E37A8" w:rsidRPr="007A4ACC">
        <w:t xml:space="preserve"> </w:t>
      </w:r>
    </w:p>
    <w:p w14:paraId="1E962D30" w14:textId="151AF846" w:rsidR="002F7212" w:rsidRPr="007A4ACC" w:rsidRDefault="003F0421" w:rsidP="007A4ACC">
      <w:pPr>
        <w:pStyle w:val="AHPRAbody"/>
      </w:pPr>
      <w:r w:rsidRPr="007A4ACC">
        <w:t xml:space="preserve">This will </w:t>
      </w:r>
      <w:r w:rsidR="001A4016">
        <w:t>ensure</w:t>
      </w:r>
      <w:r w:rsidRPr="007A4ACC">
        <w:t xml:space="preserve"> that aged care residents have access to high quality clinical care </w:t>
      </w:r>
      <w:r w:rsidR="00830886" w:rsidRPr="007A4ACC">
        <w:t>at all time</w:t>
      </w:r>
      <w:r w:rsidR="00F97351" w:rsidRPr="007A4ACC">
        <w:t>s</w:t>
      </w:r>
      <w:r w:rsidR="007B01BC">
        <w:t>.</w:t>
      </w:r>
      <w:r w:rsidR="00F97351" w:rsidRPr="007A4ACC">
        <w:t xml:space="preserve"> </w:t>
      </w:r>
      <w:r w:rsidR="00814F69">
        <w:t>T</w:t>
      </w:r>
      <w:r w:rsidR="00864BC7" w:rsidRPr="007A4ACC">
        <w:t>his</w:t>
      </w:r>
      <w:r w:rsidR="00024025">
        <w:t xml:space="preserve"> care</w:t>
      </w:r>
      <w:r w:rsidR="00864BC7" w:rsidRPr="007A4ACC">
        <w:t xml:space="preserve"> </w:t>
      </w:r>
      <w:r w:rsidR="00F97351" w:rsidRPr="007A4ACC">
        <w:t>could include medication management</w:t>
      </w:r>
      <w:r w:rsidR="00864BC7" w:rsidRPr="007A4ACC">
        <w:t xml:space="preserve"> which would assist </w:t>
      </w:r>
      <w:r w:rsidR="00852E1E" w:rsidRPr="007A4ACC">
        <w:t xml:space="preserve">in care </w:t>
      </w:r>
      <w:r w:rsidR="009E4C4F" w:rsidRPr="007A4ACC">
        <w:t>decisions</w:t>
      </w:r>
      <w:r w:rsidR="00852E1E" w:rsidRPr="007A4ACC">
        <w:t xml:space="preserve"> around responding to aged care </w:t>
      </w:r>
      <w:r w:rsidR="00CC4333" w:rsidRPr="007A4ACC">
        <w:t>residents’</w:t>
      </w:r>
      <w:r w:rsidR="00852E1E" w:rsidRPr="007A4ACC">
        <w:t xml:space="preserve"> condition and help</w:t>
      </w:r>
      <w:r w:rsidR="28BB1F3D" w:rsidRPr="007A4ACC">
        <w:t xml:space="preserve">ing </w:t>
      </w:r>
      <w:r w:rsidR="00852E1E" w:rsidRPr="007A4ACC">
        <w:t xml:space="preserve">to prevent </w:t>
      </w:r>
      <w:r w:rsidR="00F0680E" w:rsidRPr="007A4ACC">
        <w:t>unnecessary</w:t>
      </w:r>
      <w:r w:rsidR="00852E1E" w:rsidRPr="007A4ACC">
        <w:t xml:space="preserve"> </w:t>
      </w:r>
      <w:r w:rsidR="00F0680E" w:rsidRPr="007A4ACC">
        <w:t>hospitalisations</w:t>
      </w:r>
      <w:r w:rsidR="00852E1E" w:rsidRPr="007A4ACC">
        <w:t xml:space="preserve"> </w:t>
      </w:r>
      <w:r w:rsidR="009F4150" w:rsidRPr="007A4ACC">
        <w:t xml:space="preserve">through medication management and </w:t>
      </w:r>
      <w:r w:rsidR="006B2C1A" w:rsidRPr="007A4ACC">
        <w:t xml:space="preserve">access to high quality </w:t>
      </w:r>
      <w:r w:rsidR="00E241DC" w:rsidRPr="007A4ACC">
        <w:t>palliative care</w:t>
      </w:r>
      <w:r w:rsidR="00E24094" w:rsidRPr="007A4ACC">
        <w:t xml:space="preserve">. </w:t>
      </w:r>
      <w:r w:rsidR="00A40E7F" w:rsidRPr="007A4ACC">
        <w:t xml:space="preserve"> </w:t>
      </w:r>
    </w:p>
    <w:p w14:paraId="60F5A55D" w14:textId="08BE1ECB" w:rsidR="002F7212" w:rsidRPr="007A4ACC" w:rsidRDefault="00E24094" w:rsidP="007A4ACC">
      <w:pPr>
        <w:pStyle w:val="AHPRAbody"/>
      </w:pPr>
      <w:r w:rsidRPr="007A4ACC">
        <w:t xml:space="preserve">This </w:t>
      </w:r>
      <w:r w:rsidR="00A40E7F" w:rsidRPr="007A4ACC">
        <w:t>aligns with the Aged Care Royal Commission recommendations</w:t>
      </w:r>
      <w:r w:rsidRPr="007A4ACC">
        <w:t xml:space="preserve"> as </w:t>
      </w:r>
      <w:r w:rsidR="00EB0AFA" w:rsidRPr="007A4ACC">
        <w:t>traditionally</w:t>
      </w:r>
      <w:r w:rsidRPr="007A4ACC">
        <w:t xml:space="preserve"> there has been a lack of support in the aged care </w:t>
      </w:r>
      <w:r w:rsidR="002F7212" w:rsidRPr="007A4ACC">
        <w:t>sector to deliver quality palliative care</w:t>
      </w:r>
      <w:r w:rsidR="0013579E">
        <w:t>.</w:t>
      </w:r>
      <w:r w:rsidR="002F7212" w:rsidRPr="007A4ACC">
        <w:t xml:space="preserve"> </w:t>
      </w:r>
      <w:r w:rsidR="00215B76">
        <w:t>These barriers</w:t>
      </w:r>
      <w:r w:rsidR="00CC4333" w:rsidRPr="007A4ACC">
        <w:t xml:space="preserve"> impact experiences of </w:t>
      </w:r>
      <w:r w:rsidR="0034151A" w:rsidRPr="007A4ACC">
        <w:t>death</w:t>
      </w:r>
      <w:r w:rsidR="00656C32" w:rsidRPr="007A4ACC">
        <w:t xml:space="preserve"> and dying of the resident in aged care</w:t>
      </w:r>
      <w:r w:rsidR="006B641D" w:rsidRPr="007A4ACC">
        <w:t>,</w:t>
      </w:r>
      <w:r w:rsidR="000D6DC2" w:rsidRPr="007A4ACC">
        <w:t xml:space="preserve"> </w:t>
      </w:r>
      <w:r w:rsidR="008A2275" w:rsidRPr="007A4ACC">
        <w:t xml:space="preserve">their </w:t>
      </w:r>
      <w:r w:rsidR="000D6DC2" w:rsidRPr="007A4ACC">
        <w:t>families</w:t>
      </w:r>
      <w:r w:rsidR="004C01B6" w:rsidRPr="007A4ACC">
        <w:t xml:space="preserve"> and </w:t>
      </w:r>
      <w:r w:rsidR="00656C32" w:rsidRPr="007A4ACC">
        <w:t>aged care staff</w:t>
      </w:r>
      <w:r w:rsidR="004C01B6" w:rsidRPr="007A4ACC">
        <w:t xml:space="preserve"> </w:t>
      </w:r>
      <w:r w:rsidR="00CC4333" w:rsidRPr="007A4ACC">
        <w:t>and</w:t>
      </w:r>
      <w:r w:rsidR="00656C32" w:rsidRPr="007A4ACC">
        <w:t xml:space="preserve"> </w:t>
      </w:r>
      <w:r w:rsidR="004C01B6" w:rsidRPr="007A4ACC">
        <w:t xml:space="preserve">leads to </w:t>
      </w:r>
      <w:r w:rsidR="000D6DC2" w:rsidRPr="007A4ACC">
        <w:t>increased co</w:t>
      </w:r>
      <w:r w:rsidR="004C01B6" w:rsidRPr="007A4ACC">
        <w:t>s</w:t>
      </w:r>
      <w:r w:rsidR="000D6DC2" w:rsidRPr="007A4ACC">
        <w:t xml:space="preserve">ts to the health sector </w:t>
      </w:r>
      <w:r w:rsidR="0034151A" w:rsidRPr="007A4ACC">
        <w:t xml:space="preserve">due to </w:t>
      </w:r>
      <w:r w:rsidR="004C01B6" w:rsidRPr="007A4ACC">
        <w:t>avoidable and unnecessary hospitalisation of residents.</w:t>
      </w:r>
    </w:p>
    <w:p w14:paraId="677D5651" w14:textId="498C163B" w:rsidR="005634CF" w:rsidRDefault="005634CF" w:rsidP="00216AB8">
      <w:pPr>
        <w:pStyle w:val="AHPRAbody"/>
        <w:outlineLvl w:val="0"/>
      </w:pPr>
      <w:r>
        <w:t>There is also increasing demand for acute care services across the spectrum in both hospital and community settings</w:t>
      </w:r>
      <w:r w:rsidR="00AF5921">
        <w:t>.</w:t>
      </w:r>
      <w:r>
        <w:t xml:space="preserve"> </w:t>
      </w:r>
      <w:r w:rsidR="00AF5921">
        <w:t>It</w:t>
      </w:r>
      <w:r>
        <w:t xml:space="preserve"> has been reported that even countries </w:t>
      </w:r>
      <w:r w:rsidR="002E0A18">
        <w:t>that currently have</w:t>
      </w:r>
      <w:r>
        <w:t xml:space="preserve"> comprehensive healthcare systems </w:t>
      </w:r>
      <w:r w:rsidR="002E0A18">
        <w:t xml:space="preserve">are likely to </w:t>
      </w:r>
      <w:r>
        <w:t>experience service gaps in the future</w:t>
      </w:r>
      <w:r w:rsidR="00AA52CC">
        <w:t>,</w:t>
      </w:r>
      <w:r>
        <w:t xml:space="preserve"> which </w:t>
      </w:r>
      <w:r w:rsidR="002E0A18">
        <w:t xml:space="preserve">may </w:t>
      </w:r>
      <w:r>
        <w:t xml:space="preserve">cause disparities in healthcare outcomes. </w:t>
      </w:r>
      <w:r>
        <w:rPr>
          <w:vertAlign w:val="superscript"/>
        </w:rPr>
        <w:t>33</w:t>
      </w:r>
      <w:r>
        <w:t xml:space="preserve"> Internationally, many countries have already adopted innovative models of RN prescribing and policy makers, government</w:t>
      </w:r>
      <w:r w:rsidR="00945A22">
        <w:t>s</w:t>
      </w:r>
      <w:r>
        <w:t xml:space="preserve"> and health departments in Australia should consider similar models to effectively address and meet the ongoing </w:t>
      </w:r>
      <w:r w:rsidR="0089466F">
        <w:t xml:space="preserve">health service </w:t>
      </w:r>
      <w:r>
        <w:t xml:space="preserve">challenges. The recently released </w:t>
      </w:r>
      <w:r>
        <w:rPr>
          <w:i/>
        </w:rPr>
        <w:t>Strengthening Medicare Taskforce Report</w:t>
      </w:r>
      <w:r>
        <w:t xml:space="preserve"> noted that Australia lags behind other countries in making the most of the skills of the primary care workforce. The report proposed a number of recommendations to improve access and outcomes for consumers in the primary care sectors. </w:t>
      </w:r>
      <w:r w:rsidR="009B4992">
        <w:rPr>
          <w:vertAlign w:val="superscript"/>
        </w:rPr>
        <w:t>51</w:t>
      </w:r>
    </w:p>
    <w:p w14:paraId="4E6548D4" w14:textId="77777777" w:rsidR="005634CF" w:rsidRDefault="005634CF" w:rsidP="00216AB8">
      <w:pPr>
        <w:pStyle w:val="AHPRAbody"/>
        <w:outlineLvl w:val="0"/>
      </w:pPr>
      <w:r>
        <w:t xml:space="preserve">These included: </w:t>
      </w:r>
    </w:p>
    <w:p w14:paraId="1EA7B9F8" w14:textId="6B052B4A" w:rsidR="005634CF" w:rsidRDefault="005634CF" w:rsidP="00216AB8">
      <w:pPr>
        <w:pStyle w:val="AHPRABulletlevel1"/>
        <w:outlineLvl w:val="0"/>
      </w:pPr>
      <w:r>
        <w:t>develop</w:t>
      </w:r>
      <w:r w:rsidR="00814752">
        <w:t>ing</w:t>
      </w:r>
      <w:r>
        <w:t xml:space="preserve"> new funding models that are locally relevant for sustainable rural and remote practice in collaboration with people, providers, and communities. Ensure new funding models do not disadvantage people who live in communities with little or no access to regular GP care, and whose care is led by other healthcare providers </w:t>
      </w:r>
    </w:p>
    <w:p w14:paraId="2396277A" w14:textId="60F9754C" w:rsidR="005634CF" w:rsidRDefault="005634CF" w:rsidP="00216AB8">
      <w:pPr>
        <w:pStyle w:val="AHPRABulletlevel1"/>
        <w:outlineLvl w:val="0"/>
      </w:pPr>
      <w:r>
        <w:t>work</w:t>
      </w:r>
      <w:r w:rsidR="00814752">
        <w:t>ing</w:t>
      </w:r>
      <w:r>
        <w:t xml:space="preserve"> with states and territories to review barriers and incentives for all health professionals to work to their full scope of practice </w:t>
      </w:r>
    </w:p>
    <w:p w14:paraId="527538A1" w14:textId="2ADF07EE" w:rsidR="005634CF" w:rsidRDefault="00814752" w:rsidP="00216AB8">
      <w:pPr>
        <w:pStyle w:val="AHPRABulletlevel1last"/>
        <w:outlineLvl w:val="0"/>
      </w:pPr>
      <w:r>
        <w:t xml:space="preserve">a need </w:t>
      </w:r>
      <w:r w:rsidR="005634CF">
        <w:t>to break down barrie</w:t>
      </w:r>
      <w:r w:rsidR="00F02436">
        <w:t>r</w:t>
      </w:r>
      <w:r w:rsidR="005634CF">
        <w:t xml:space="preserve">s to interprofessional collaboration and teamwork, build trust between professions and accelerate cultural change to allow healthcare providers to work to their full strength in a coordinated approach that maintains the patient at the centre. </w:t>
      </w:r>
    </w:p>
    <w:p w14:paraId="760A5300" w14:textId="77777777" w:rsidR="005634CF" w:rsidRPr="00E63C9A" w:rsidRDefault="005634CF" w:rsidP="00216AB8">
      <w:pPr>
        <w:pStyle w:val="AHPRASubheading"/>
        <w:outlineLvl w:val="0"/>
      </w:pPr>
      <w:bookmarkStart w:id="35" w:name="_Toc164692709"/>
      <w:r>
        <w:t xml:space="preserve">Problem 4: </w:t>
      </w:r>
      <w:r w:rsidRPr="00E63C9A">
        <w:t xml:space="preserve">The impacts of COVID-19 on </w:t>
      </w:r>
      <w:bookmarkStart w:id="36" w:name="_Toc75169"/>
      <w:r w:rsidRPr="00E63C9A">
        <w:t>the utilisation and access to healthcare services</w:t>
      </w:r>
      <w:bookmarkEnd w:id="35"/>
      <w:r w:rsidRPr="00E63C9A">
        <w:t xml:space="preserve">  </w:t>
      </w:r>
      <w:bookmarkEnd w:id="36"/>
    </w:p>
    <w:p w14:paraId="5CE81F74" w14:textId="290F3605" w:rsidR="005634CF" w:rsidRDefault="005634CF" w:rsidP="00216AB8">
      <w:pPr>
        <w:ind w:left="-5" w:right="7"/>
        <w:outlineLvl w:val="0"/>
      </w:pPr>
      <w:r>
        <w:t xml:space="preserve">The COVID-19 pandemic exacerbated inequities </w:t>
      </w:r>
      <w:r w:rsidR="007C44BF">
        <w:t>in</w:t>
      </w:r>
      <w:r>
        <w:t xml:space="preserve"> healthcare for consumers</w:t>
      </w:r>
      <w:r w:rsidR="003C7249">
        <w:t>. Access to healthcare was</w:t>
      </w:r>
      <w:r>
        <w:t xml:space="preserve"> further limited due to lockdowns and border closures causing workforce shortages in key areas. Wider impacts have been </w:t>
      </w:r>
      <w:r w:rsidR="002D5C9D">
        <w:t xml:space="preserve">to </w:t>
      </w:r>
      <w:r>
        <w:t xml:space="preserve">the health </w:t>
      </w:r>
      <w:r w:rsidR="002D5C9D">
        <w:t>of</w:t>
      </w:r>
      <w:r>
        <w:t xml:space="preserve"> the Australian community</w:t>
      </w:r>
      <w:r w:rsidR="00106E14">
        <w:t>.</w:t>
      </w:r>
      <w:r>
        <w:t xml:space="preserve"> </w:t>
      </w:r>
      <w:r w:rsidR="00106E14">
        <w:t xml:space="preserve">The </w:t>
      </w:r>
      <w:r>
        <w:t xml:space="preserve">inability </w:t>
      </w:r>
      <w:r w:rsidR="00106E14">
        <w:t xml:space="preserve">for many </w:t>
      </w:r>
      <w:r>
        <w:t xml:space="preserve">Australians to access </w:t>
      </w:r>
      <w:r w:rsidR="00716B40">
        <w:t xml:space="preserve">timely </w:t>
      </w:r>
      <w:r>
        <w:t>care due to the prolonged lockdowns has led to a backlog in people accessing care for management</w:t>
      </w:r>
      <w:r w:rsidR="07D57B35">
        <w:t xml:space="preserve"> of </w:t>
      </w:r>
      <w:r>
        <w:t>diagnos</w:t>
      </w:r>
      <w:r w:rsidR="4B830936">
        <w:t>ed illness</w:t>
      </w:r>
      <w:r>
        <w:t xml:space="preserve"> and treatment of health issues</w:t>
      </w:r>
      <w:r w:rsidR="00586C46">
        <w:t>,</w:t>
      </w:r>
      <w:r>
        <w:t xml:space="preserve"> or subsequent</w:t>
      </w:r>
      <w:r w:rsidR="4C5CC4A8">
        <w:t xml:space="preserve"> new</w:t>
      </w:r>
      <w:r>
        <w:t xml:space="preserve"> diagnosis in which there</w:t>
      </w:r>
      <w:r w:rsidR="4F972C67">
        <w:t xml:space="preserve"> has been </w:t>
      </w:r>
      <w:r>
        <w:t xml:space="preserve">treatment and management delay. </w:t>
      </w:r>
    </w:p>
    <w:p w14:paraId="5F689B77" w14:textId="643477CF" w:rsidR="00586C46" w:rsidRDefault="037ECCCB" w:rsidP="00586C46">
      <w:pPr>
        <w:pStyle w:val="AHPRAbody"/>
      </w:pPr>
      <w:r>
        <w:t>Whilst emergency department</w:t>
      </w:r>
      <w:r w:rsidR="725D8169">
        <w:t>s</w:t>
      </w:r>
      <w:r>
        <w:t xml:space="preserve"> </w:t>
      </w:r>
      <w:r w:rsidR="056512F5">
        <w:t xml:space="preserve">had </w:t>
      </w:r>
      <w:r>
        <w:t>a steady flow of patient presentations du</w:t>
      </w:r>
      <w:r w:rsidR="594A3E83">
        <w:t>ring</w:t>
      </w:r>
      <w:r>
        <w:t xml:space="preserve"> </w:t>
      </w:r>
      <w:r w:rsidR="00314BF7">
        <w:t xml:space="preserve">the </w:t>
      </w:r>
      <w:r>
        <w:t>COVID</w:t>
      </w:r>
      <w:r w:rsidR="00D14FC3">
        <w:t>-19</w:t>
      </w:r>
      <w:r w:rsidR="00314BF7">
        <w:t xml:space="preserve"> pandemic</w:t>
      </w:r>
      <w:r>
        <w:t xml:space="preserve">, restrictions </w:t>
      </w:r>
      <w:r w:rsidR="00D446CE">
        <w:t xml:space="preserve">led to </w:t>
      </w:r>
      <w:r w:rsidR="004C08AC">
        <w:t xml:space="preserve">a decrease </w:t>
      </w:r>
      <w:r>
        <w:t xml:space="preserve">in elective surgery by 8.3% in public </w:t>
      </w:r>
      <w:r w:rsidR="3890ECF3">
        <w:t xml:space="preserve">hospitals and 5.7% </w:t>
      </w:r>
      <w:r w:rsidR="54413C18">
        <w:t>across</w:t>
      </w:r>
      <w:r w:rsidR="3890ECF3">
        <w:t xml:space="preserve"> private </w:t>
      </w:r>
      <w:r w:rsidR="41A47795">
        <w:t xml:space="preserve">hospitals. The restrictions and </w:t>
      </w:r>
      <w:r w:rsidR="0463DF0F">
        <w:t>d</w:t>
      </w:r>
      <w:r w:rsidR="41A47795">
        <w:t>elay</w:t>
      </w:r>
      <w:r w:rsidR="45A2D295">
        <w:t xml:space="preserve">s </w:t>
      </w:r>
      <w:r w:rsidR="00CC3B98">
        <w:t>to</w:t>
      </w:r>
      <w:r w:rsidR="41A47795">
        <w:t xml:space="preserve"> elective surgeries </w:t>
      </w:r>
      <w:r w:rsidR="235C6ABF">
        <w:t xml:space="preserve">have </w:t>
      </w:r>
      <w:r w:rsidR="002C39B9">
        <w:t>resulted in</w:t>
      </w:r>
      <w:r w:rsidR="235C6ABF">
        <w:t xml:space="preserve"> an increase in </w:t>
      </w:r>
      <w:r w:rsidR="4F51BEE6">
        <w:t>waiting</w:t>
      </w:r>
      <w:r w:rsidR="235C6ABF">
        <w:t xml:space="preserve"> times </w:t>
      </w:r>
      <w:r w:rsidR="009B4992">
        <w:t xml:space="preserve">for patients waiting for elective surgery </w:t>
      </w:r>
      <w:r w:rsidR="203E2C3B">
        <w:t>from 2.8% to 7.6%</w:t>
      </w:r>
      <w:r w:rsidR="00B64579">
        <w:t xml:space="preserve">. </w:t>
      </w:r>
      <w:r w:rsidR="007963FE">
        <w:t>A</w:t>
      </w:r>
      <w:r w:rsidR="203E2C3B">
        <w:t xml:space="preserve"> </w:t>
      </w:r>
      <w:r w:rsidR="34695444">
        <w:t>proportion</w:t>
      </w:r>
      <w:r w:rsidR="203E2C3B">
        <w:t xml:space="preserve"> of these patients </w:t>
      </w:r>
      <w:r w:rsidR="007963FE">
        <w:t>now have a wait time of</w:t>
      </w:r>
      <w:r w:rsidR="203E2C3B">
        <w:t xml:space="preserve"> more tha</w:t>
      </w:r>
      <w:r w:rsidR="51ABDC43">
        <w:t>n</w:t>
      </w:r>
      <w:r w:rsidR="203E2C3B">
        <w:t xml:space="preserve"> 365 days for their elective </w:t>
      </w:r>
      <w:r w:rsidR="6F9359F4">
        <w:t>surgery.</w:t>
      </w:r>
      <w:r w:rsidR="009B4992">
        <w:t xml:space="preserve"> </w:t>
      </w:r>
      <w:r w:rsidR="009B4992">
        <w:rPr>
          <w:vertAlign w:val="superscript"/>
        </w:rPr>
        <w:t>52</w:t>
      </w:r>
      <w:r w:rsidR="1A3F9EBE">
        <w:t xml:space="preserve"> An example is the wait time for a total knee replacement</w:t>
      </w:r>
      <w:r w:rsidR="3B9FF7B1">
        <w:t xml:space="preserve"> which</w:t>
      </w:r>
      <w:r w:rsidR="1A3F9EBE">
        <w:t xml:space="preserve"> has increased f</w:t>
      </w:r>
      <w:r w:rsidR="278116F2">
        <w:t>rom</w:t>
      </w:r>
      <w:r w:rsidR="1A3F9EBE">
        <w:t xml:space="preserve"> 11-32%</w:t>
      </w:r>
      <w:r w:rsidR="4517EBA7">
        <w:t xml:space="preserve"> aligning with a projected burden of disease </w:t>
      </w:r>
      <w:r w:rsidR="15E82FC1">
        <w:t>of 236% by 2030.</w:t>
      </w:r>
      <w:r w:rsidR="000A657D">
        <w:t xml:space="preserve"> </w:t>
      </w:r>
      <w:r w:rsidR="009B4992">
        <w:t xml:space="preserve"> </w:t>
      </w:r>
      <w:r w:rsidR="1016F743" w:rsidRPr="00FF008C">
        <w:t xml:space="preserve">Many of these patients will </w:t>
      </w:r>
      <w:r w:rsidR="00F678F0" w:rsidRPr="00FF008C">
        <w:t>continue to</w:t>
      </w:r>
      <w:r w:rsidR="1016F743" w:rsidRPr="00FF008C">
        <w:t xml:space="preserve"> present to </w:t>
      </w:r>
      <w:r w:rsidR="00F678F0" w:rsidRPr="00FF008C">
        <w:t>GPs</w:t>
      </w:r>
      <w:r w:rsidR="1016F743" w:rsidRPr="00FF008C">
        <w:t xml:space="preserve"> for </w:t>
      </w:r>
      <w:r w:rsidR="00967B5D" w:rsidRPr="00FF008C">
        <w:t xml:space="preserve">ongoing </w:t>
      </w:r>
      <w:r w:rsidR="1016F743" w:rsidRPr="00FF008C">
        <w:t xml:space="preserve">symptom management </w:t>
      </w:r>
      <w:r w:rsidR="00967B5D" w:rsidRPr="00FF008C">
        <w:t>during their waiting</w:t>
      </w:r>
      <w:r w:rsidR="1016F743" w:rsidRPr="00FF008C">
        <w:t xml:space="preserve"> period for non-operative </w:t>
      </w:r>
      <w:r w:rsidR="4E83C55D" w:rsidRPr="00FF008C">
        <w:t>management</w:t>
      </w:r>
      <w:r w:rsidR="1016F743" w:rsidRPr="00FF008C">
        <w:t xml:space="preserve"> and a stepwise approach to analge</w:t>
      </w:r>
      <w:r w:rsidR="6F6969DB" w:rsidRPr="00FF008C">
        <w:t>sia or pain relief whic</w:t>
      </w:r>
      <w:r w:rsidR="481D2EF9" w:rsidRPr="00FF008C">
        <w:t>h</w:t>
      </w:r>
      <w:r w:rsidR="6F6969DB" w:rsidRPr="00FF008C">
        <w:t xml:space="preserve"> is </w:t>
      </w:r>
      <w:r w:rsidR="0A62DC55" w:rsidRPr="003404EE">
        <w:t>recommended</w:t>
      </w:r>
      <w:r w:rsidR="706F334F" w:rsidRPr="003404EE">
        <w:t xml:space="preserve"> </w:t>
      </w:r>
      <w:r w:rsidR="355EB951" w:rsidRPr="003404EE">
        <w:t xml:space="preserve">and required for </w:t>
      </w:r>
      <w:r w:rsidR="009B4992" w:rsidRPr="003404EE">
        <w:t>patients in</w:t>
      </w:r>
      <w:r w:rsidR="00967B5D" w:rsidRPr="003404EE">
        <w:t xml:space="preserve"> order</w:t>
      </w:r>
      <w:r w:rsidR="355EB951" w:rsidRPr="003404EE">
        <w:t xml:space="preserve"> to</w:t>
      </w:r>
      <w:r w:rsidR="355EB951" w:rsidRPr="00415A7F">
        <w:t xml:space="preserve"> maintain their normal activities of daily living.</w:t>
      </w:r>
      <w:r w:rsidR="009B4992">
        <w:rPr>
          <w:vertAlign w:val="superscript"/>
        </w:rPr>
        <w:t>53</w:t>
      </w:r>
    </w:p>
    <w:p w14:paraId="2F6D7C3D" w14:textId="2E7E65A4" w:rsidR="002E4680" w:rsidRDefault="6A541C72" w:rsidP="00CA08F0">
      <w:pPr>
        <w:pStyle w:val="AHPRAbody"/>
      </w:pPr>
      <w:r w:rsidRPr="00586C46">
        <w:lastRenderedPageBreak/>
        <w:t xml:space="preserve">During </w:t>
      </w:r>
      <w:r w:rsidR="00F72527">
        <w:t xml:space="preserve">the </w:t>
      </w:r>
      <w:r w:rsidRPr="00586C46">
        <w:t>COVID</w:t>
      </w:r>
      <w:r w:rsidR="001E5518">
        <w:t>-</w:t>
      </w:r>
      <w:r w:rsidR="00F72527">
        <w:t>19 pandemic</w:t>
      </w:r>
      <w:r w:rsidR="00022AEA">
        <w:t xml:space="preserve">, </w:t>
      </w:r>
      <w:r w:rsidR="7A4EAEEE" w:rsidRPr="7B310466">
        <w:t>delay</w:t>
      </w:r>
      <w:r w:rsidR="00F72527">
        <w:t>s</w:t>
      </w:r>
      <w:r w:rsidRPr="00CA08F0">
        <w:t xml:space="preserve"> </w:t>
      </w:r>
      <w:r w:rsidR="006275FB">
        <w:t xml:space="preserve">to </w:t>
      </w:r>
      <w:r w:rsidRPr="00CA08F0">
        <w:t>screening</w:t>
      </w:r>
      <w:r w:rsidR="009B4992">
        <w:t xml:space="preserve"> examinations</w:t>
      </w:r>
      <w:r w:rsidRPr="00CA08F0">
        <w:t xml:space="preserve"> such as </w:t>
      </w:r>
      <w:r w:rsidR="2F7B1B9E" w:rsidRPr="7B310466">
        <w:t xml:space="preserve">breast, </w:t>
      </w:r>
      <w:r w:rsidR="59362C7F" w:rsidRPr="7B310466">
        <w:t>cervical and</w:t>
      </w:r>
      <w:r w:rsidRPr="00CA08F0">
        <w:t xml:space="preserve"> colonoscopy</w:t>
      </w:r>
      <w:r w:rsidR="175B1759" w:rsidRPr="00CA08F0">
        <w:t xml:space="preserve"> </w:t>
      </w:r>
      <w:r w:rsidR="006852E6">
        <w:t>as well as postponed and/or cancelled</w:t>
      </w:r>
      <w:r w:rsidR="24792E2B" w:rsidRPr="00CA08F0">
        <w:t xml:space="preserve"> patient appointments </w:t>
      </w:r>
      <w:r w:rsidR="2CFF78DC" w:rsidRPr="7B310466">
        <w:t>resulted</w:t>
      </w:r>
      <w:r w:rsidR="24792E2B" w:rsidRPr="00CA08F0">
        <w:t xml:space="preserve"> in a </w:t>
      </w:r>
      <w:r w:rsidR="00480B48">
        <w:t>4</w:t>
      </w:r>
      <w:r w:rsidR="00022AEA">
        <w:t>0</w:t>
      </w:r>
      <w:r w:rsidR="00480B48">
        <w:t xml:space="preserve">% </w:t>
      </w:r>
      <w:r w:rsidR="24792E2B" w:rsidRPr="00CA08F0">
        <w:t>decrease in new cancer</w:t>
      </w:r>
      <w:r w:rsidR="6A8A4AAB" w:rsidRPr="00CA08F0">
        <w:t xml:space="preserve"> </w:t>
      </w:r>
      <w:r w:rsidR="1E8A9691" w:rsidRPr="7B310466">
        <w:t>diagnoses</w:t>
      </w:r>
      <w:r w:rsidR="0075487E">
        <w:t xml:space="preserve">. This </w:t>
      </w:r>
      <w:r w:rsidR="00A54599">
        <w:t xml:space="preserve">has </w:t>
      </w:r>
      <w:r w:rsidR="00480B48">
        <w:t xml:space="preserve">subsequently </w:t>
      </w:r>
      <w:r w:rsidR="00A54599">
        <w:t>resulted</w:t>
      </w:r>
      <w:r w:rsidR="6A8A4AAB" w:rsidRPr="00CA08F0">
        <w:t xml:space="preserve"> in patients </w:t>
      </w:r>
      <w:r w:rsidR="00DC7925">
        <w:t xml:space="preserve">now </w:t>
      </w:r>
      <w:r w:rsidR="6A8A4AAB" w:rsidRPr="00CA08F0">
        <w:t xml:space="preserve">being </w:t>
      </w:r>
      <w:r w:rsidR="260A3ADE" w:rsidRPr="7B310466">
        <w:t>diagnosed</w:t>
      </w:r>
      <w:r w:rsidR="6A8A4AAB" w:rsidRPr="00CA08F0">
        <w:t xml:space="preserve"> at more advanced stages</w:t>
      </w:r>
      <w:r w:rsidR="004B0FE7">
        <w:t xml:space="preserve"> of the </w:t>
      </w:r>
      <w:r w:rsidR="00267CBC">
        <w:t>disease</w:t>
      </w:r>
      <w:r w:rsidR="004B0FE7">
        <w:t xml:space="preserve"> process</w:t>
      </w:r>
      <w:r w:rsidR="6A8A4AAB" w:rsidRPr="00CA08F0">
        <w:t>.</w:t>
      </w:r>
      <w:r w:rsidR="24792E2B" w:rsidRPr="00CA08F0">
        <w:t xml:space="preserve"> </w:t>
      </w:r>
      <w:r w:rsidR="009B4992">
        <w:rPr>
          <w:vertAlign w:val="superscript"/>
        </w:rPr>
        <w:t>54</w:t>
      </w:r>
    </w:p>
    <w:p w14:paraId="7722904F" w14:textId="06B4FB4A" w:rsidR="005634CF" w:rsidRDefault="38F39420" w:rsidP="00CA08F0">
      <w:pPr>
        <w:pStyle w:val="AHPRAbody"/>
      </w:pPr>
      <w:r w:rsidRPr="7B310466">
        <w:t xml:space="preserve">There is </w:t>
      </w:r>
      <w:r w:rsidR="3AC2E25E" w:rsidRPr="7B310466">
        <w:t xml:space="preserve">also </w:t>
      </w:r>
      <w:r w:rsidRPr="7B310466">
        <w:t xml:space="preserve">accumulating </w:t>
      </w:r>
      <w:r w:rsidR="1AEE033C" w:rsidRPr="7B310466">
        <w:t xml:space="preserve">strong </w:t>
      </w:r>
      <w:r w:rsidRPr="7B310466">
        <w:t xml:space="preserve">evidence that COVID-19 can result in </w:t>
      </w:r>
      <w:r w:rsidR="4BB09552" w:rsidRPr="7B310466">
        <w:t xml:space="preserve">long term </w:t>
      </w:r>
      <w:r w:rsidRPr="7B310466">
        <w:t>organ damage</w:t>
      </w:r>
      <w:r w:rsidR="4D727368" w:rsidRPr="7B310466">
        <w:t xml:space="preserve"> </w:t>
      </w:r>
      <w:r w:rsidR="7208160F" w:rsidRPr="7B310466">
        <w:t xml:space="preserve">which </w:t>
      </w:r>
      <w:r w:rsidR="00EE00E0">
        <w:t>predisposes patient</w:t>
      </w:r>
      <w:r w:rsidR="006C0F6A">
        <w:t>s</w:t>
      </w:r>
      <w:r w:rsidR="00EE00E0">
        <w:t xml:space="preserve"> to</w:t>
      </w:r>
      <w:r w:rsidRPr="7B310466">
        <w:t xml:space="preserve"> new chronic conditions</w:t>
      </w:r>
      <w:r w:rsidR="4C420A05" w:rsidRPr="7B310466">
        <w:t xml:space="preserve"> </w:t>
      </w:r>
      <w:r w:rsidR="0578AB1F" w:rsidRPr="7B310466">
        <w:t>in</w:t>
      </w:r>
      <w:r w:rsidRPr="7B310466">
        <w:t xml:space="preserve"> the post-acute phase now termed </w:t>
      </w:r>
      <w:r w:rsidR="00B82436">
        <w:t>l</w:t>
      </w:r>
      <w:r w:rsidRPr="7B310466">
        <w:t xml:space="preserve">ong </w:t>
      </w:r>
      <w:r w:rsidR="1E96DD8E" w:rsidRPr="7B310466">
        <w:t>COVID.</w:t>
      </w:r>
      <w:r w:rsidR="00B85207">
        <w:t xml:space="preserve"> </w:t>
      </w:r>
      <w:r w:rsidR="1373E9CE" w:rsidRPr="7B310466">
        <w:t xml:space="preserve">This should be cause for concern </w:t>
      </w:r>
      <w:r w:rsidR="00B85207">
        <w:t>as</w:t>
      </w:r>
      <w:r w:rsidR="1E96DD8E" w:rsidRPr="7B310466">
        <w:t xml:space="preserve"> chronic condition</w:t>
      </w:r>
      <w:r w:rsidR="19ADD94D" w:rsidRPr="7B310466">
        <w:t>s</w:t>
      </w:r>
      <w:r w:rsidR="1E96DD8E" w:rsidRPr="7B310466">
        <w:t xml:space="preserve"> are</w:t>
      </w:r>
      <w:r w:rsidR="2592E4B5" w:rsidRPr="7B310466">
        <w:t xml:space="preserve"> already</w:t>
      </w:r>
      <w:r w:rsidR="1E96DD8E" w:rsidRPr="7B310466">
        <w:t xml:space="preserve"> the leading cause of </w:t>
      </w:r>
      <w:r w:rsidR="207BEB5B" w:rsidRPr="7B310466">
        <w:t>death</w:t>
      </w:r>
      <w:r w:rsidR="00B85207">
        <w:t xml:space="preserve"> in Australia.</w:t>
      </w:r>
      <w:r w:rsidR="2D43B10F" w:rsidRPr="7B310466">
        <w:t xml:space="preserve"> </w:t>
      </w:r>
      <w:r w:rsidR="00B85207">
        <w:t>T</w:t>
      </w:r>
      <w:r w:rsidR="1E96DD8E" w:rsidRPr="7B310466">
        <w:t xml:space="preserve">he impacts of long </w:t>
      </w:r>
      <w:r w:rsidR="2991BCB0" w:rsidRPr="7B310466">
        <w:t>COVID on</w:t>
      </w:r>
      <w:r w:rsidR="392F5340" w:rsidRPr="7B310466">
        <w:t xml:space="preserve"> </w:t>
      </w:r>
      <w:r w:rsidR="64577851" w:rsidRPr="7B310466">
        <w:t>respiratory</w:t>
      </w:r>
      <w:r w:rsidR="013F70D7" w:rsidRPr="7B310466">
        <w:t xml:space="preserve">, </w:t>
      </w:r>
      <w:r w:rsidR="0080505C" w:rsidRPr="7B310466">
        <w:t>cardiovascular</w:t>
      </w:r>
      <w:r w:rsidR="5734C0E3" w:rsidRPr="7B310466">
        <w:t>, kidney disease</w:t>
      </w:r>
      <w:r w:rsidR="611FD78F" w:rsidRPr="7B310466">
        <w:t xml:space="preserve"> and </w:t>
      </w:r>
      <w:r w:rsidR="5734C0E3" w:rsidRPr="7B310466">
        <w:t xml:space="preserve">diabetes </w:t>
      </w:r>
      <w:r w:rsidR="188FDBB2" w:rsidRPr="7B310466">
        <w:t xml:space="preserve">are </w:t>
      </w:r>
      <w:r w:rsidR="002A775A">
        <w:t>continually</w:t>
      </w:r>
      <w:r w:rsidR="188FDBB2" w:rsidRPr="7B310466">
        <w:t xml:space="preserve"> being recognised. </w:t>
      </w:r>
      <w:r w:rsidR="009B4992">
        <w:rPr>
          <w:vertAlign w:val="superscript"/>
        </w:rPr>
        <w:t>54</w:t>
      </w:r>
      <w:r w:rsidR="00BF020A">
        <w:rPr>
          <w:vertAlign w:val="superscript"/>
        </w:rPr>
        <w:t xml:space="preserve"> </w:t>
      </w:r>
      <w:r w:rsidR="2E6E564D" w:rsidRPr="7B310466">
        <w:t xml:space="preserve">The prevalence of increasing mental </w:t>
      </w:r>
      <w:r w:rsidR="0A2603D0" w:rsidRPr="7B310466">
        <w:t>health</w:t>
      </w:r>
      <w:r w:rsidR="2E6E564D" w:rsidRPr="7B310466">
        <w:t xml:space="preserve"> and neurological disease post </w:t>
      </w:r>
      <w:r w:rsidR="005D1A0B">
        <w:t>COVID</w:t>
      </w:r>
      <w:r w:rsidR="2E6E564D" w:rsidRPr="7B310466">
        <w:t xml:space="preserve"> and in </w:t>
      </w:r>
      <w:r w:rsidR="62B1C22C" w:rsidRPr="7B310466">
        <w:t>long COVID</w:t>
      </w:r>
      <w:r w:rsidR="00A25FE8">
        <w:t xml:space="preserve"> patients</w:t>
      </w:r>
      <w:r w:rsidR="2E6E564D" w:rsidRPr="7B310466">
        <w:t xml:space="preserve"> has also been reported on</w:t>
      </w:r>
      <w:r w:rsidR="00B269C5">
        <w:t>.</w:t>
      </w:r>
      <w:r w:rsidR="2E6E564D" w:rsidRPr="7B310466">
        <w:t xml:space="preserve"> </w:t>
      </w:r>
      <w:r w:rsidR="00B269C5">
        <w:t>Health</w:t>
      </w:r>
      <w:r w:rsidR="7D4962D2" w:rsidRPr="7B310466">
        <w:t xml:space="preserve"> polic</w:t>
      </w:r>
      <w:r w:rsidR="00B269C5">
        <w:t>ies</w:t>
      </w:r>
      <w:r w:rsidR="7D4962D2" w:rsidRPr="7B310466">
        <w:t xml:space="preserve"> will need </w:t>
      </w:r>
      <w:r w:rsidR="3440AE54" w:rsidRPr="7B310466">
        <w:t xml:space="preserve">to be </w:t>
      </w:r>
      <w:r w:rsidR="25110EF7" w:rsidRPr="7B310466">
        <w:t>cognisant</w:t>
      </w:r>
      <w:r w:rsidR="631B9741" w:rsidRPr="7B310466">
        <w:t xml:space="preserve"> </w:t>
      </w:r>
      <w:r w:rsidR="3440AE54" w:rsidRPr="7B310466">
        <w:t xml:space="preserve">and </w:t>
      </w:r>
      <w:r w:rsidR="0F034484" w:rsidRPr="7B310466">
        <w:t xml:space="preserve">considerate </w:t>
      </w:r>
      <w:r w:rsidR="00B269C5">
        <w:t>to make sure</w:t>
      </w:r>
      <w:r w:rsidR="0F034484" w:rsidRPr="7B310466">
        <w:t xml:space="preserve"> st</w:t>
      </w:r>
      <w:r w:rsidR="3CAC3BEF" w:rsidRPr="7B310466">
        <w:t>rategies</w:t>
      </w:r>
      <w:r w:rsidR="0F034484" w:rsidRPr="7B310466">
        <w:t xml:space="preserve"> do not</w:t>
      </w:r>
      <w:r w:rsidR="7D4962D2" w:rsidRPr="7B310466">
        <w:t xml:space="preserve"> </w:t>
      </w:r>
      <w:r w:rsidR="2DDA17F0" w:rsidRPr="7B310466">
        <w:t xml:space="preserve">further </w:t>
      </w:r>
      <w:r w:rsidR="7D4962D2" w:rsidRPr="7B310466">
        <w:t xml:space="preserve">exacerbate inequities in access to </w:t>
      </w:r>
      <w:r w:rsidR="105C0202" w:rsidRPr="7B310466">
        <w:t xml:space="preserve">medicines and </w:t>
      </w:r>
      <w:r w:rsidR="7D4962D2" w:rsidRPr="7B310466">
        <w:t>healthcare</w:t>
      </w:r>
      <w:r w:rsidR="00717A3E">
        <w:t xml:space="preserve"> in Australia</w:t>
      </w:r>
      <w:r w:rsidR="7D4962D2" w:rsidRPr="7B310466">
        <w:t>.</w:t>
      </w:r>
      <w:r w:rsidR="76FC4DFD" w:rsidRPr="7B310466">
        <w:t xml:space="preserve"> There is limited data in Australia on long COVID prevalence</w:t>
      </w:r>
      <w:r w:rsidR="00BB7BD5">
        <w:t>,</w:t>
      </w:r>
      <w:r w:rsidR="76FC4DFD" w:rsidRPr="7B310466">
        <w:t xml:space="preserve"> however it is estimated</w:t>
      </w:r>
      <w:r w:rsidR="5FE3F67F" w:rsidRPr="7B310466">
        <w:t xml:space="preserve"> that it </w:t>
      </w:r>
      <w:r w:rsidR="00BB7BD5">
        <w:t>affects</w:t>
      </w:r>
      <w:r w:rsidR="5FE3F67F" w:rsidRPr="7B310466">
        <w:t xml:space="preserve"> 5-10% of COVID</w:t>
      </w:r>
      <w:r w:rsidR="00B25F6D">
        <w:t>-</w:t>
      </w:r>
      <w:r w:rsidR="5FE3F67F" w:rsidRPr="7B310466">
        <w:t xml:space="preserve">19 cases </w:t>
      </w:r>
      <w:r w:rsidR="00E179B7">
        <w:t>leading to an</w:t>
      </w:r>
      <w:r w:rsidR="0C3578D7" w:rsidRPr="7B310466">
        <w:t xml:space="preserve"> increase the burden of non-communicable disease </w:t>
      </w:r>
      <w:r w:rsidR="16D01E10" w:rsidRPr="7B310466">
        <w:t xml:space="preserve">in Australia. </w:t>
      </w:r>
      <w:r w:rsidR="009B4992">
        <w:rPr>
          <w:vertAlign w:val="superscript"/>
        </w:rPr>
        <w:t>54</w:t>
      </w:r>
      <w:r w:rsidR="009B4992" w:rsidRPr="7B310466">
        <w:t xml:space="preserve"> </w:t>
      </w:r>
    </w:p>
    <w:p w14:paraId="3100442C" w14:textId="14F18762" w:rsidR="009B4992" w:rsidRDefault="689D81A7" w:rsidP="009B4992">
      <w:pPr>
        <w:pStyle w:val="AHPRAbody"/>
      </w:pPr>
      <w:r w:rsidRPr="7B310466">
        <w:t xml:space="preserve">There have been some studies undertaken that have demonstrated a </w:t>
      </w:r>
      <w:r w:rsidR="1492D5CF" w:rsidRPr="7B310466">
        <w:t xml:space="preserve">correlation between </w:t>
      </w:r>
      <w:r w:rsidR="45081E94" w:rsidRPr="7B310466">
        <w:t>diagnosis</w:t>
      </w:r>
      <w:r w:rsidR="6C3878F6" w:rsidRPr="7B310466">
        <w:t xml:space="preserve"> </w:t>
      </w:r>
      <w:r w:rsidR="1492D5CF" w:rsidRPr="7B310466">
        <w:t>of COVID</w:t>
      </w:r>
      <w:r w:rsidR="00E179B7">
        <w:t>-</w:t>
      </w:r>
      <w:r w:rsidR="1492D5CF" w:rsidRPr="7B310466">
        <w:t xml:space="preserve">19 and </w:t>
      </w:r>
      <w:r w:rsidR="27EEA7C8" w:rsidRPr="7B310466">
        <w:t>increased post</w:t>
      </w:r>
      <w:r w:rsidR="72BE0FE3" w:rsidRPr="7B310466">
        <w:t>-acute</w:t>
      </w:r>
      <w:r w:rsidR="1492D5CF" w:rsidRPr="7B310466">
        <w:t xml:space="preserve"> </w:t>
      </w:r>
      <w:r w:rsidR="38F0C3FD" w:rsidRPr="7B310466">
        <w:t xml:space="preserve">care activity within healthcare settings. </w:t>
      </w:r>
      <w:r w:rsidR="7348DFB2" w:rsidRPr="7B310466">
        <w:t xml:space="preserve">An English study in 2022 revealed </w:t>
      </w:r>
      <w:r w:rsidR="3072FB31" w:rsidRPr="7B310466">
        <w:t xml:space="preserve">that there were </w:t>
      </w:r>
      <w:r w:rsidR="68B149FE" w:rsidRPr="7B310466">
        <w:t>statistically</w:t>
      </w:r>
      <w:r w:rsidR="3072FB31" w:rsidRPr="7B310466">
        <w:t xml:space="preserve"> significant increases in </w:t>
      </w:r>
      <w:r w:rsidR="54D0E95F" w:rsidRPr="7B310466">
        <w:t>non-elective</w:t>
      </w:r>
      <w:r w:rsidR="3072FB31" w:rsidRPr="7B310466">
        <w:t xml:space="preserve"> admissions for </w:t>
      </w:r>
      <w:r w:rsidR="2B33AE4F" w:rsidRPr="7B310466">
        <w:t>patients age</w:t>
      </w:r>
      <w:r w:rsidR="70AEEFE7" w:rsidRPr="7B310466">
        <w:t>d</w:t>
      </w:r>
      <w:r w:rsidR="2B33AE4F" w:rsidRPr="7B310466">
        <w:t xml:space="preserve"> below 65 years </w:t>
      </w:r>
      <w:r w:rsidR="249FF993" w:rsidRPr="7B310466">
        <w:t xml:space="preserve">who were hospitalised during an acute </w:t>
      </w:r>
      <w:r w:rsidR="00020CBF">
        <w:t xml:space="preserve">COVID-19 </w:t>
      </w:r>
      <w:r w:rsidR="249FF993" w:rsidRPr="7B310466">
        <w:t>infection</w:t>
      </w:r>
      <w:r w:rsidR="00701F9E">
        <w:t>.</w:t>
      </w:r>
      <w:r w:rsidR="249FF993" w:rsidRPr="7B310466">
        <w:t xml:space="preserve"> </w:t>
      </w:r>
      <w:r w:rsidR="00701F9E">
        <w:t>F</w:t>
      </w:r>
      <w:r w:rsidR="2B33AE4F" w:rsidRPr="7B310466">
        <w:t xml:space="preserve">or </w:t>
      </w:r>
      <w:r w:rsidR="00701F9E">
        <w:t>the</w:t>
      </w:r>
      <w:r w:rsidR="2B33AE4F" w:rsidRPr="7B310466">
        <w:t xml:space="preserve"> COVID</w:t>
      </w:r>
      <w:r w:rsidR="00701F9E">
        <w:t>-</w:t>
      </w:r>
      <w:r w:rsidR="2B33AE4F" w:rsidRPr="7B310466">
        <w:t xml:space="preserve">19 </w:t>
      </w:r>
      <w:r w:rsidR="00701F9E">
        <w:t>pos</w:t>
      </w:r>
      <w:r w:rsidR="00B3290C">
        <w:t>i</w:t>
      </w:r>
      <w:r w:rsidR="00701F9E">
        <w:t xml:space="preserve">tive </w:t>
      </w:r>
      <w:r w:rsidR="2B33AE4F" w:rsidRPr="7B310466">
        <w:t>case</w:t>
      </w:r>
      <w:r w:rsidR="00701F9E">
        <w:t>s</w:t>
      </w:r>
      <w:r w:rsidR="2B33AE4F" w:rsidRPr="7B310466">
        <w:t xml:space="preserve"> that were not </w:t>
      </w:r>
      <w:r w:rsidR="52F4EC5A" w:rsidRPr="7B310466">
        <w:t>hospitalised</w:t>
      </w:r>
      <w:r w:rsidR="00701F9E">
        <w:t>,</w:t>
      </w:r>
      <w:r w:rsidR="2B33AE4F" w:rsidRPr="7B310466">
        <w:t xml:space="preserve"> there were </w:t>
      </w:r>
      <w:r w:rsidR="2C61C6D3" w:rsidRPr="7B310466">
        <w:t>significant</w:t>
      </w:r>
      <w:r w:rsidR="2B33AE4F" w:rsidRPr="7B310466">
        <w:t xml:space="preserve"> increases </w:t>
      </w:r>
      <w:r w:rsidR="0035177F">
        <w:t xml:space="preserve">across all ages </w:t>
      </w:r>
      <w:r w:rsidR="6ACC8BA5" w:rsidRPr="7B310466">
        <w:t xml:space="preserve">in attendances to </w:t>
      </w:r>
      <w:r w:rsidR="00701F9E">
        <w:t>GPs</w:t>
      </w:r>
      <w:r w:rsidR="57E7AE8C" w:rsidRPr="7B310466">
        <w:t xml:space="preserve"> </w:t>
      </w:r>
      <w:r w:rsidR="002A300B">
        <w:t xml:space="preserve">(including prescriptions) </w:t>
      </w:r>
      <w:r w:rsidR="57E7AE8C" w:rsidRPr="7B310466">
        <w:t>and nurs</w:t>
      </w:r>
      <w:r w:rsidR="16C1DFCD" w:rsidRPr="7B310466">
        <w:t>es</w:t>
      </w:r>
      <w:r w:rsidR="0035177F">
        <w:t>,</w:t>
      </w:r>
      <w:r w:rsidR="00B3290C">
        <w:t xml:space="preserve"> </w:t>
      </w:r>
      <w:r w:rsidR="63E1C31F" w:rsidRPr="7B310466">
        <w:t>emergency department presentations</w:t>
      </w:r>
      <w:r w:rsidR="2A0FCE79" w:rsidRPr="7B310466">
        <w:t>, outpatient consultations and mental health contacts. This was a</w:t>
      </w:r>
      <w:r w:rsidR="1083FD7F" w:rsidRPr="7B310466">
        <w:t xml:space="preserve">lso </w:t>
      </w:r>
      <w:r w:rsidR="0CA1CB84" w:rsidRPr="7B310466">
        <w:t xml:space="preserve">reflected </w:t>
      </w:r>
      <w:r w:rsidR="002A300B">
        <w:t>in</w:t>
      </w:r>
      <w:r w:rsidR="1083FD7F" w:rsidRPr="7B310466">
        <w:t xml:space="preserve"> a study undertaken in </w:t>
      </w:r>
      <w:r w:rsidR="1FB48243" w:rsidRPr="7B310466">
        <w:t>Italy</w:t>
      </w:r>
      <w:r w:rsidR="1083FD7F" w:rsidRPr="7B310466">
        <w:t xml:space="preserve"> and </w:t>
      </w:r>
      <w:r w:rsidR="5D90B8FF" w:rsidRPr="7B310466">
        <w:t>in the U</w:t>
      </w:r>
      <w:r w:rsidR="009B4992">
        <w:t xml:space="preserve">nited </w:t>
      </w:r>
      <w:r w:rsidR="5D90B8FF" w:rsidRPr="7B310466">
        <w:t>S</w:t>
      </w:r>
      <w:r w:rsidR="009B4992">
        <w:t>tates</w:t>
      </w:r>
      <w:r w:rsidR="6A6DA9C5" w:rsidRPr="7B310466">
        <w:t>.</w:t>
      </w:r>
      <w:r w:rsidR="009B4992">
        <w:t xml:space="preserve"> </w:t>
      </w:r>
      <w:r w:rsidR="009B4992">
        <w:rPr>
          <w:vertAlign w:val="superscript"/>
        </w:rPr>
        <w:t>55,56</w:t>
      </w:r>
      <w:r w:rsidR="009B4992" w:rsidRPr="7B310466">
        <w:t xml:space="preserve"> </w:t>
      </w:r>
    </w:p>
    <w:p w14:paraId="051F1107" w14:textId="2132B89D" w:rsidR="005634CF" w:rsidRPr="00985EAD" w:rsidRDefault="009B4992" w:rsidP="009B4992">
      <w:pPr>
        <w:pStyle w:val="AHPRAbody"/>
      </w:pPr>
      <w:r>
        <w:t>COVID</w:t>
      </w:r>
      <w:r w:rsidR="009A4DF7" w:rsidRPr="00985EAD">
        <w:t>-</w:t>
      </w:r>
      <w:r w:rsidR="006D1AA7" w:rsidRPr="00985EAD">
        <w:t>19 has</w:t>
      </w:r>
      <w:r w:rsidR="783BA779" w:rsidRPr="00985EAD">
        <w:t xml:space="preserve"> </w:t>
      </w:r>
      <w:r w:rsidR="0051486B" w:rsidRPr="00985EAD">
        <w:t xml:space="preserve">placed unprecedented demands on the health workforce </w:t>
      </w:r>
      <w:r w:rsidR="0041067F" w:rsidRPr="00985EAD">
        <w:t>including</w:t>
      </w:r>
      <w:r w:rsidR="2F600D50" w:rsidRPr="00985EAD">
        <w:t xml:space="preserve"> </w:t>
      </w:r>
      <w:r w:rsidR="005634CF" w:rsidRPr="00985EAD">
        <w:t xml:space="preserve">ongoing challenges to supply and distribution of </w:t>
      </w:r>
      <w:r w:rsidR="4794BEA5" w:rsidRPr="00985EAD">
        <w:t>health professionals</w:t>
      </w:r>
      <w:r w:rsidR="001C183D" w:rsidRPr="00985EAD">
        <w:t>.</w:t>
      </w:r>
      <w:r w:rsidR="4DFB5509" w:rsidRPr="00985EAD">
        <w:t xml:space="preserve"> </w:t>
      </w:r>
    </w:p>
    <w:p w14:paraId="13DCEDEC" w14:textId="2D5981F0" w:rsidR="005634CF" w:rsidRDefault="005634CF" w:rsidP="00216AB8">
      <w:pPr>
        <w:pStyle w:val="AHPRASubheading"/>
        <w:outlineLvl w:val="0"/>
      </w:pPr>
      <w:bookmarkStart w:id="37" w:name="_Toc164692710"/>
      <w:r>
        <w:t xml:space="preserve">Problem 5: Preventable </w:t>
      </w:r>
      <w:r w:rsidR="00DE2C4A">
        <w:t>hospitalisations</w:t>
      </w:r>
      <w:bookmarkEnd w:id="37"/>
    </w:p>
    <w:p w14:paraId="1DA028F0" w14:textId="6171C951" w:rsidR="005634CF" w:rsidRDefault="005634CF" w:rsidP="00216AB8">
      <w:pPr>
        <w:pStyle w:val="AHPRAbody"/>
        <w:outlineLvl w:val="0"/>
      </w:pPr>
      <w:r>
        <w:t xml:space="preserve">Potentially preventable hospitalisations (PPH) also known as preventable hospitalisations are those admissions to a hospital that could have been potentially prevented through timely, accessible, and appropriate healthcare management and intervention. This care can be delivered in primary and community settings by </w:t>
      </w:r>
      <w:r w:rsidR="00D312F6">
        <w:t>GPs</w:t>
      </w:r>
      <w:r>
        <w:t xml:space="preserve">, </w:t>
      </w:r>
      <w:r w:rsidR="00320E7F">
        <w:t>NPs</w:t>
      </w:r>
      <w:r>
        <w:t xml:space="preserve"> and allied health professionals. </w:t>
      </w:r>
      <w:r w:rsidR="009B4992">
        <w:rPr>
          <w:vertAlign w:val="superscript"/>
        </w:rPr>
        <w:t>57,58</w:t>
      </w:r>
      <w:r>
        <w:t xml:space="preserve"> </w:t>
      </w:r>
    </w:p>
    <w:p w14:paraId="244F4D7D" w14:textId="75D57747" w:rsidR="005634CF" w:rsidRPr="009E6338" w:rsidRDefault="005634CF" w:rsidP="00216AB8">
      <w:pPr>
        <w:pStyle w:val="AHPRAbody"/>
        <w:outlineLvl w:val="0"/>
        <w:rPr>
          <w:rFonts w:cstheme="minorBidi"/>
          <w:spacing w:val="2"/>
          <w:shd w:val="clear" w:color="auto" w:fill="F5F5F5"/>
        </w:rPr>
      </w:pPr>
      <w:r w:rsidRPr="5AA7423A">
        <w:rPr>
          <w:rFonts w:cstheme="minorBidi"/>
        </w:rPr>
        <w:t xml:space="preserve">Designated RN </w:t>
      </w:r>
      <w:r w:rsidR="00665DE8" w:rsidRPr="5AA7423A">
        <w:rPr>
          <w:rFonts w:cstheme="minorBidi"/>
        </w:rPr>
        <w:t xml:space="preserve">prescribers </w:t>
      </w:r>
      <w:r w:rsidRPr="5AA7423A">
        <w:rPr>
          <w:rFonts w:cstheme="minorBidi"/>
        </w:rPr>
        <w:t xml:space="preserve">could play a significant role in preventing </w:t>
      </w:r>
      <w:r w:rsidR="00830E61" w:rsidRPr="5AA7423A">
        <w:rPr>
          <w:rFonts w:cstheme="minorBidi"/>
        </w:rPr>
        <w:t xml:space="preserve">health </w:t>
      </w:r>
      <w:r w:rsidRPr="5AA7423A">
        <w:rPr>
          <w:rFonts w:cstheme="minorBidi"/>
        </w:rPr>
        <w:t xml:space="preserve">deterioration and PPH through </w:t>
      </w:r>
      <w:r w:rsidR="00884641" w:rsidRPr="5AA7423A">
        <w:rPr>
          <w:rFonts w:cstheme="minorBidi"/>
        </w:rPr>
        <w:t>improv</w:t>
      </w:r>
      <w:r w:rsidR="00884641">
        <w:rPr>
          <w:rFonts w:cstheme="minorBidi"/>
        </w:rPr>
        <w:t>ed</w:t>
      </w:r>
      <w:r w:rsidR="00884641" w:rsidRPr="5AA7423A">
        <w:rPr>
          <w:rFonts w:cstheme="minorBidi"/>
        </w:rPr>
        <w:t xml:space="preserve"> </w:t>
      </w:r>
      <w:r w:rsidRPr="5AA7423A">
        <w:rPr>
          <w:rFonts w:cstheme="minorBidi"/>
        </w:rPr>
        <w:t xml:space="preserve">access, efficiency and patient convenience. </w:t>
      </w:r>
      <w:r w:rsidR="009B4992">
        <w:rPr>
          <w:rFonts w:cstheme="minorBidi"/>
          <w:vertAlign w:val="superscript"/>
        </w:rPr>
        <w:t>5</w:t>
      </w:r>
      <w:r w:rsidR="009B4992" w:rsidRPr="00DA0C18">
        <w:rPr>
          <w:rFonts w:cstheme="minorBidi"/>
          <w:vertAlign w:val="superscript"/>
        </w:rPr>
        <w:t>9</w:t>
      </w:r>
      <w:r w:rsidRPr="5AA7423A">
        <w:rPr>
          <w:rFonts w:cstheme="minorBidi"/>
        </w:rPr>
        <w:t xml:space="preserve"> </w:t>
      </w:r>
      <w:r w:rsidR="009E6338" w:rsidRPr="5AA7423A">
        <w:rPr>
          <w:rFonts w:cstheme="minorBidi"/>
        </w:rPr>
        <w:t xml:space="preserve">During </w:t>
      </w:r>
      <w:r w:rsidR="00CF2F01" w:rsidRPr="5AA7423A">
        <w:rPr>
          <w:rFonts w:cstheme="minorBidi"/>
        </w:rPr>
        <w:t xml:space="preserve">2021 </w:t>
      </w:r>
      <w:r w:rsidR="009E6338" w:rsidRPr="5AA7423A">
        <w:rPr>
          <w:rFonts w:cstheme="minorBidi"/>
        </w:rPr>
        <w:t xml:space="preserve">in </w:t>
      </w:r>
      <w:r w:rsidR="00CF2F01" w:rsidRPr="5AA7423A">
        <w:rPr>
          <w:rFonts w:cstheme="minorBidi"/>
        </w:rPr>
        <w:t>Queensland</w:t>
      </w:r>
      <w:r w:rsidR="0093126F" w:rsidRPr="5AA7423A">
        <w:rPr>
          <w:rFonts w:cstheme="minorBidi"/>
        </w:rPr>
        <w:t>,</w:t>
      </w:r>
      <w:r w:rsidRPr="5AA7423A">
        <w:rPr>
          <w:rFonts w:cstheme="minorBidi"/>
        </w:rPr>
        <w:t xml:space="preserve"> there were 167,675 PPHs. </w:t>
      </w:r>
      <w:r w:rsidRPr="5AA7423A">
        <w:rPr>
          <w:rFonts w:cstheme="minorBidi"/>
          <w:spacing w:val="2"/>
        </w:rPr>
        <w:t xml:space="preserve">Adults </w:t>
      </w:r>
      <w:r w:rsidR="00AB40C4" w:rsidRPr="5AA7423A">
        <w:rPr>
          <w:rFonts w:cstheme="minorBidi"/>
          <w:spacing w:val="2"/>
        </w:rPr>
        <w:t xml:space="preserve">aged </w:t>
      </w:r>
      <w:r w:rsidRPr="5AA7423A">
        <w:rPr>
          <w:rFonts w:cstheme="minorBidi"/>
          <w:spacing w:val="2"/>
        </w:rPr>
        <w:t>85 and older experienced the highest rate which also varied by remoteness and socioeconomic status. More than 87% of those living in socioeconomically disadvantaged areas were likely to experience PPH and those living rural and remote areas twice as likely to experience PPH in comparison to those living in major cities. Diabetes or diabetes</w:t>
      </w:r>
      <w:r w:rsidRPr="5AA7423A">
        <w:rPr>
          <w:rFonts w:cstheme="minorBidi"/>
          <w:spacing w:val="2"/>
          <w:shd w:val="clear" w:color="auto" w:fill="FFFFFF" w:themeFill="background1"/>
        </w:rPr>
        <w:t xml:space="preserve"> associated conditions </w:t>
      </w:r>
      <w:r w:rsidR="00F55A3A" w:rsidRPr="5AA7423A">
        <w:rPr>
          <w:rFonts w:cstheme="minorBidi"/>
          <w:spacing w:val="2"/>
          <w:shd w:val="clear" w:color="auto" w:fill="FFFFFF" w:themeFill="background1"/>
        </w:rPr>
        <w:t xml:space="preserve">were </w:t>
      </w:r>
      <w:r w:rsidRPr="5AA7423A">
        <w:rPr>
          <w:rFonts w:cstheme="minorBidi"/>
          <w:spacing w:val="2"/>
          <w:shd w:val="clear" w:color="auto" w:fill="FFFFFF" w:themeFill="background1"/>
        </w:rPr>
        <w:t>one of the largest causes of PPH.</w:t>
      </w:r>
      <w:r w:rsidR="00A1306F">
        <w:rPr>
          <w:rFonts w:cstheme="minorBidi"/>
          <w:spacing w:val="2"/>
          <w:shd w:val="clear" w:color="auto" w:fill="FFFFFF" w:themeFill="background1"/>
        </w:rPr>
        <w:t xml:space="preserve"> </w:t>
      </w:r>
      <w:r w:rsidR="00A1306F">
        <w:rPr>
          <w:rFonts w:cstheme="minorBidi"/>
          <w:vertAlign w:val="superscript"/>
        </w:rPr>
        <w:t>60</w:t>
      </w:r>
    </w:p>
    <w:p w14:paraId="115C8722" w14:textId="36D896E8" w:rsidR="005634CF" w:rsidRPr="005758B3" w:rsidRDefault="00F11924" w:rsidP="00216AB8">
      <w:pPr>
        <w:shd w:val="clear" w:color="auto" w:fill="FFFFFF" w:themeFill="background1"/>
        <w:spacing w:before="240"/>
        <w:outlineLvl w:val="0"/>
        <w:rPr>
          <w:rFonts w:cstheme="minorBidi"/>
          <w:color w:val="212529"/>
          <w:shd w:val="clear" w:color="auto" w:fill="FFFFFF"/>
        </w:rPr>
      </w:pPr>
      <w:r>
        <w:rPr>
          <w:rFonts w:eastAsia="Times New Roman" w:cstheme="minorBidi"/>
          <w:lang w:eastAsia="en-AU"/>
        </w:rPr>
        <w:t>F</w:t>
      </w:r>
      <w:r w:rsidRPr="00DA0C18">
        <w:rPr>
          <w:rFonts w:eastAsia="Times New Roman" w:cstheme="minorBidi"/>
          <w:lang w:eastAsia="en-AU"/>
        </w:rPr>
        <w:t>rom 2019-2021</w:t>
      </w:r>
      <w:r w:rsidR="00D54627">
        <w:rPr>
          <w:rFonts w:eastAsia="Times New Roman" w:cstheme="minorBidi"/>
          <w:lang w:eastAsia="en-AU"/>
        </w:rPr>
        <w:t xml:space="preserve">, </w:t>
      </w:r>
      <w:r w:rsidR="005634CF" w:rsidRPr="00DA0C18">
        <w:rPr>
          <w:rFonts w:eastAsia="Times New Roman" w:cstheme="minorBidi"/>
          <w:lang w:eastAsia="en-AU"/>
        </w:rPr>
        <w:t>15% (92,019) of hospitalisations for Aboriginal and Torres Strait Islander people were potentially preventable</w:t>
      </w:r>
      <w:r w:rsidR="003C570F">
        <w:rPr>
          <w:rFonts w:eastAsia="Times New Roman" w:cstheme="minorBidi"/>
          <w:lang w:eastAsia="en-AU"/>
        </w:rPr>
        <w:t>.</w:t>
      </w:r>
      <w:r w:rsidR="005634CF" w:rsidRPr="00DA0C18">
        <w:rPr>
          <w:rFonts w:eastAsia="Times New Roman" w:cstheme="minorBidi"/>
          <w:lang w:eastAsia="en-AU"/>
        </w:rPr>
        <w:t xml:space="preserve">  </w:t>
      </w:r>
      <w:r w:rsidR="003C570F">
        <w:rPr>
          <w:rFonts w:eastAsia="Times New Roman" w:cstheme="minorBidi"/>
          <w:lang w:eastAsia="en-AU"/>
        </w:rPr>
        <w:t>T</w:t>
      </w:r>
      <w:r w:rsidR="005634CF" w:rsidRPr="00DA0C18">
        <w:rPr>
          <w:rFonts w:eastAsia="Times New Roman" w:cstheme="minorBidi"/>
          <w:lang w:eastAsia="en-AU"/>
        </w:rPr>
        <w:t xml:space="preserve">his is a rate of 55 potentially preventable hospitalisations per 1,000 population. </w:t>
      </w:r>
      <w:r w:rsidR="005634CF" w:rsidRPr="00DA0C18">
        <w:rPr>
          <w:rFonts w:cstheme="minorBidi"/>
          <w:spacing w:val="2"/>
          <w:shd w:val="clear" w:color="auto" w:fill="FFFFFF" w:themeFill="background1"/>
          <w:vertAlign w:val="superscript"/>
        </w:rPr>
        <w:t>(40)</w:t>
      </w:r>
      <w:r w:rsidR="005634CF" w:rsidRPr="00DA0C18">
        <w:rPr>
          <w:rFonts w:eastAsia="Times New Roman" w:cstheme="minorBidi"/>
          <w:lang w:eastAsia="en-AU"/>
        </w:rPr>
        <w:t xml:space="preserve"> The </w:t>
      </w:r>
      <w:r w:rsidR="005634CF" w:rsidRPr="00DA0C18">
        <w:rPr>
          <w:rFonts w:cstheme="minorBidi"/>
          <w:i/>
          <w:iCs/>
          <w:shd w:val="clear" w:color="auto" w:fill="FFFFFF"/>
        </w:rPr>
        <w:t>National Healthcare Agreement</w:t>
      </w:r>
      <w:r w:rsidR="005634CF" w:rsidRPr="00DA0C18">
        <w:rPr>
          <w:rFonts w:cstheme="minorBidi"/>
          <w:shd w:val="clear" w:color="auto" w:fill="FFFFFF"/>
        </w:rPr>
        <w:t xml:space="preserve"> affirms </w:t>
      </w:r>
      <w:r w:rsidR="00E74981">
        <w:rPr>
          <w:rFonts w:cstheme="minorBidi"/>
          <w:shd w:val="clear" w:color="auto" w:fill="FFFFFF"/>
        </w:rPr>
        <w:t xml:space="preserve">that </w:t>
      </w:r>
      <w:r w:rsidR="005634CF" w:rsidRPr="00DA0C18">
        <w:rPr>
          <w:rFonts w:cstheme="minorBidi"/>
          <w:shd w:val="clear" w:color="auto" w:fill="FFFFFF"/>
        </w:rPr>
        <w:t xml:space="preserve">Australia's health system should maintain health, support an integrated approach to treatment across the </w:t>
      </w:r>
      <w:r w:rsidR="005634CF" w:rsidRPr="003404EE">
        <w:rPr>
          <w:rFonts w:cstheme="minorBidi"/>
          <w:shd w:val="clear" w:color="auto" w:fill="FFFFFF"/>
        </w:rPr>
        <w:t xml:space="preserve">lifespan and provide timely access to quality health services </w:t>
      </w:r>
      <w:r w:rsidR="00960CB0" w:rsidRPr="003404EE">
        <w:rPr>
          <w:rFonts w:cstheme="minorBidi"/>
          <w:shd w:val="clear" w:color="auto" w:fill="FFFFFF"/>
        </w:rPr>
        <w:t xml:space="preserve">for all Australians </w:t>
      </w:r>
      <w:r w:rsidR="005634CF" w:rsidRPr="003404EE">
        <w:rPr>
          <w:rFonts w:cstheme="minorBidi"/>
          <w:shd w:val="clear" w:color="auto" w:fill="FFFFFF"/>
        </w:rPr>
        <w:t>regardless of where they live</w:t>
      </w:r>
      <w:r w:rsidR="005634CF" w:rsidRPr="003404EE">
        <w:rPr>
          <w:rFonts w:cstheme="minorBidi"/>
          <w:color w:val="212529"/>
          <w:shd w:val="clear" w:color="auto" w:fill="FFFFFF"/>
        </w:rPr>
        <w:t>.</w:t>
      </w:r>
      <w:r w:rsidR="00B80514" w:rsidRPr="003404EE" w:rsidDel="00B80514">
        <w:rPr>
          <w:rFonts w:cstheme="minorBidi"/>
          <w:color w:val="212529"/>
          <w:shd w:val="clear" w:color="auto" w:fill="FFFFFF"/>
        </w:rPr>
        <w:t xml:space="preserve"> </w:t>
      </w:r>
      <w:r w:rsidR="00B80514" w:rsidRPr="003404EE">
        <w:rPr>
          <w:rFonts w:cstheme="minorBidi"/>
          <w:color w:val="212529"/>
          <w:shd w:val="clear" w:color="auto" w:fill="FFFFFF"/>
          <w:vertAlign w:val="superscript"/>
        </w:rPr>
        <w:t>6</w:t>
      </w:r>
      <w:r w:rsidR="005634CF" w:rsidRPr="003404EE">
        <w:rPr>
          <w:rFonts w:cstheme="minorBidi"/>
          <w:color w:val="212529"/>
          <w:shd w:val="clear" w:color="auto" w:fill="FFFFFF"/>
          <w:vertAlign w:val="superscript"/>
        </w:rPr>
        <w:t>1</w:t>
      </w:r>
      <w:r w:rsidR="009B4992" w:rsidRPr="003404EE">
        <w:rPr>
          <w:rFonts w:cstheme="minorBidi"/>
          <w:color w:val="212529"/>
          <w:shd w:val="clear" w:color="auto" w:fill="FFFFFF"/>
        </w:rPr>
        <w:t xml:space="preserve"> </w:t>
      </w:r>
      <w:r w:rsidR="009B4992" w:rsidRPr="003404EE">
        <w:rPr>
          <w:rFonts w:cstheme="minorBidi"/>
          <w:shd w:val="clear" w:color="auto" w:fill="FFFFFF"/>
        </w:rPr>
        <w:t xml:space="preserve">Models of care using expanded scopes of practice to manage </w:t>
      </w:r>
      <w:r w:rsidR="005634CF" w:rsidRPr="003404EE">
        <w:rPr>
          <w:rFonts w:cstheme="minorBidi"/>
          <w:shd w:val="clear" w:color="auto" w:fill="FFFFFF"/>
        </w:rPr>
        <w:t xml:space="preserve">acute and chronic conditions within the community </w:t>
      </w:r>
      <w:r w:rsidR="009B4992" w:rsidRPr="003404EE">
        <w:rPr>
          <w:rFonts w:cstheme="minorBidi"/>
          <w:shd w:val="clear" w:color="auto" w:fill="FFFFFF"/>
        </w:rPr>
        <w:t xml:space="preserve">may lead to lower rates of </w:t>
      </w:r>
      <w:r w:rsidR="005634CF" w:rsidRPr="003404EE">
        <w:rPr>
          <w:rFonts w:cstheme="minorBidi"/>
          <w:shd w:val="clear" w:color="auto" w:fill="FFFFFF"/>
        </w:rPr>
        <w:t xml:space="preserve">hospitalisation </w:t>
      </w:r>
      <w:r w:rsidR="009B4992" w:rsidRPr="003404EE">
        <w:rPr>
          <w:rFonts w:cstheme="minorBidi"/>
          <w:shd w:val="clear" w:color="auto" w:fill="FFFFFF"/>
        </w:rPr>
        <w:t xml:space="preserve">and length of stay. </w:t>
      </w:r>
    </w:p>
    <w:p w14:paraId="25B8EB36" w14:textId="23DCA44F" w:rsidR="005634CF" w:rsidRPr="00C97B33" w:rsidRDefault="005634CF" w:rsidP="00216AB8">
      <w:pPr>
        <w:pStyle w:val="AHPRASubheading"/>
        <w:outlineLvl w:val="0"/>
      </w:pPr>
      <w:bookmarkStart w:id="38" w:name="_Toc164692711"/>
      <w:bookmarkStart w:id="39" w:name="_Hlk150768730"/>
      <w:r w:rsidRPr="00C97B33">
        <w:t xml:space="preserve">Individuals </w:t>
      </w:r>
      <w:r w:rsidR="00FC7511">
        <w:t>a</w:t>
      </w:r>
      <w:r w:rsidR="00FC7511" w:rsidRPr="00C97B33">
        <w:t xml:space="preserve">ffected </w:t>
      </w:r>
      <w:r w:rsidRPr="00C97B33">
        <w:t>by the problem of RNs not being able to prescribe</w:t>
      </w:r>
      <w:bookmarkEnd w:id="38"/>
    </w:p>
    <w:bookmarkEnd w:id="39"/>
    <w:p w14:paraId="33904F21" w14:textId="1D4985E8" w:rsidR="00966E33" w:rsidRDefault="005634CF" w:rsidP="00216AB8">
      <w:pPr>
        <w:pStyle w:val="AHPRAbody"/>
        <w:outlineLvl w:val="0"/>
      </w:pPr>
      <w:r>
        <w:t xml:space="preserve">The below journeys are </w:t>
      </w:r>
      <w:r w:rsidR="00864DF7">
        <w:t xml:space="preserve">real-life </w:t>
      </w:r>
      <w:r>
        <w:t xml:space="preserve">scenarios provided by </w:t>
      </w:r>
      <w:r w:rsidR="004C1259">
        <w:t xml:space="preserve">RNs working in </w:t>
      </w:r>
      <w:r w:rsidR="003C57C5">
        <w:t xml:space="preserve">health services </w:t>
      </w:r>
      <w:r>
        <w:t>in follow</w:t>
      </w:r>
      <w:r w:rsidR="0099294D">
        <w:t>-</w:t>
      </w:r>
      <w:r>
        <w:t>up</w:t>
      </w:r>
      <w:r w:rsidR="001022F3">
        <w:t xml:space="preserve"> discussions</w:t>
      </w:r>
      <w:r>
        <w:t xml:space="preserve"> to the consultation questions</w:t>
      </w:r>
      <w:r w:rsidR="00EA3BDE">
        <w:t xml:space="preserve"> within the C-RIS</w:t>
      </w:r>
      <w:r>
        <w:t>. The RNs communicated</w:t>
      </w:r>
      <w:r w:rsidR="009B7A5B">
        <w:t xml:space="preserve"> these </w:t>
      </w:r>
      <w:r w:rsidR="31F3218C">
        <w:t>scenarios to</w:t>
      </w:r>
      <w:r w:rsidR="007F4E51">
        <w:t xml:space="preserve"> demonstrate the</w:t>
      </w:r>
      <w:r>
        <w:t xml:space="preserve"> limitations in their current scope of practice</w:t>
      </w:r>
      <w:r w:rsidR="003A74B4">
        <w:t>,</w:t>
      </w:r>
      <w:r>
        <w:t xml:space="preserve"> and </w:t>
      </w:r>
      <w:r w:rsidR="003A74B4">
        <w:t xml:space="preserve">to express </w:t>
      </w:r>
      <w:r>
        <w:t xml:space="preserve">the frustration they felt as these limitations impacted not only the timeliness of care </w:t>
      </w:r>
      <w:r w:rsidR="00020599">
        <w:t xml:space="preserve">but </w:t>
      </w:r>
      <w:r>
        <w:t>also the overall quality of care and outcomes for the patients, residents and their families</w:t>
      </w:r>
      <w:r w:rsidR="002D56A1">
        <w:t>.</w:t>
      </w:r>
      <w:r>
        <w:t xml:space="preserve"> </w:t>
      </w:r>
      <w:r w:rsidR="593B14FF">
        <w:t>If appropriately</w:t>
      </w:r>
      <w:r>
        <w:t xml:space="preserve"> trained and educated</w:t>
      </w:r>
      <w:r w:rsidR="004814E9">
        <w:t>,</w:t>
      </w:r>
      <w:r>
        <w:t xml:space="preserve"> RNs could prescribe within their scope of practice under the supervision of an authorised prescriber </w:t>
      </w:r>
      <w:r w:rsidR="2405276D">
        <w:t>with a prescriber agreement in place,</w:t>
      </w:r>
      <w:r>
        <w:t xml:space="preserve"> judiciously, appropriately and </w:t>
      </w:r>
      <w:r w:rsidR="45F30F84">
        <w:t>safely after</w:t>
      </w:r>
      <w:r>
        <w:t xml:space="preserve"> having undertaken further education to demonstrate competent prescribing</w:t>
      </w:r>
      <w:r w:rsidR="00F116E7">
        <w:t>,</w:t>
      </w:r>
      <w:r w:rsidR="00EF58A4">
        <w:t xml:space="preserve"> </w:t>
      </w:r>
      <w:r w:rsidR="00726567">
        <w:rPr>
          <w:vertAlign w:val="superscript"/>
        </w:rPr>
        <w:t>20</w:t>
      </w:r>
      <w:r w:rsidR="009E5384">
        <w:rPr>
          <w:vertAlign w:val="superscript"/>
        </w:rPr>
        <w:t xml:space="preserve"> </w:t>
      </w:r>
      <w:r w:rsidR="009E5384">
        <w:t xml:space="preserve">these </w:t>
      </w:r>
      <w:r w:rsidR="00333A57">
        <w:t>patients’</w:t>
      </w:r>
      <w:r w:rsidR="009E5384">
        <w:t xml:space="preserve"> experiences could have been different</w:t>
      </w:r>
      <w:r w:rsidR="00333A57">
        <w:t xml:space="preserve">. </w:t>
      </w:r>
      <w:r w:rsidR="00EF58A4">
        <w:t xml:space="preserve">The </w:t>
      </w:r>
      <w:r w:rsidR="00333A57">
        <w:t>patients</w:t>
      </w:r>
      <w:r w:rsidR="00EF58A4">
        <w:t xml:space="preserve"> and their families </w:t>
      </w:r>
      <w:r>
        <w:t>could have</w:t>
      </w:r>
      <w:r w:rsidR="00030359">
        <w:t xml:space="preserve"> experienced</w:t>
      </w:r>
      <w:r w:rsidR="00540768">
        <w:t xml:space="preserve"> </w:t>
      </w:r>
      <w:r w:rsidR="00030359">
        <w:t>less stressful</w:t>
      </w:r>
      <w:r w:rsidR="00540768">
        <w:t xml:space="preserve">, more co-ordinated </w:t>
      </w:r>
      <w:r w:rsidR="00E26267">
        <w:t>episode</w:t>
      </w:r>
      <w:r w:rsidR="002E371D">
        <w:t>s</w:t>
      </w:r>
      <w:r w:rsidR="00E26267">
        <w:t xml:space="preserve"> of care </w:t>
      </w:r>
      <w:r w:rsidR="002E371D">
        <w:t xml:space="preserve">throughout </w:t>
      </w:r>
      <w:r w:rsidR="002E371D">
        <w:lastRenderedPageBreak/>
        <w:t xml:space="preserve">their individual </w:t>
      </w:r>
      <w:r w:rsidR="00826C07">
        <w:t>healthcare journey</w:t>
      </w:r>
      <w:r w:rsidR="00E77438">
        <w:t>s</w:t>
      </w:r>
      <w:r w:rsidR="00730CEF">
        <w:t xml:space="preserve"> and perhaps a more </w:t>
      </w:r>
      <w:r w:rsidR="003D020D">
        <w:t xml:space="preserve">comfortable and </w:t>
      </w:r>
      <w:r w:rsidR="00730CEF">
        <w:t xml:space="preserve">dignified death if a </w:t>
      </w:r>
      <w:r w:rsidR="00173B5E">
        <w:t>holistic</w:t>
      </w:r>
      <w:r w:rsidR="00730CEF">
        <w:t xml:space="preserve"> approach to care was applied</w:t>
      </w:r>
      <w:r w:rsidR="00173B5E">
        <w:t xml:space="preserve"> through </w:t>
      </w:r>
      <w:r w:rsidR="00707C3B">
        <w:t xml:space="preserve">RN’s </w:t>
      </w:r>
      <w:r w:rsidR="00173B5E">
        <w:t xml:space="preserve">expanded </w:t>
      </w:r>
      <w:r w:rsidR="003D020D">
        <w:t>scope of</w:t>
      </w:r>
      <w:r w:rsidR="00173B5E">
        <w:t xml:space="preserve"> practice</w:t>
      </w:r>
      <w:r w:rsidR="0020661A">
        <w:t>.</w:t>
      </w:r>
    </w:p>
    <w:p w14:paraId="7C7044E4" w14:textId="068DAECF" w:rsidR="005634CF" w:rsidRPr="00D77DEE" w:rsidRDefault="005634CF" w:rsidP="00216AB8">
      <w:pPr>
        <w:pStyle w:val="AHPRASubheadinglevel3"/>
        <w:outlineLvl w:val="0"/>
      </w:pPr>
      <w:r w:rsidRPr="00D77DEE">
        <w:t>Charlie</w:t>
      </w:r>
      <w:r w:rsidR="00FA04AA">
        <w:t>’</w:t>
      </w:r>
      <w:r w:rsidRPr="00D77DEE">
        <w:t xml:space="preserve">s </w:t>
      </w:r>
      <w:r w:rsidR="008D0D5B">
        <w:t>j</w:t>
      </w:r>
      <w:r w:rsidR="008D0D5B" w:rsidRPr="00D77DEE">
        <w:t>ourney</w:t>
      </w:r>
    </w:p>
    <w:p w14:paraId="7E22722E" w14:textId="3FB3C893" w:rsidR="00033EE5" w:rsidRDefault="00033EE5" w:rsidP="00216AB8">
      <w:pPr>
        <w:pStyle w:val="AHPRAbody"/>
        <w:outlineLvl w:val="0"/>
      </w:pPr>
      <w:r>
        <w:t>Charlie</w:t>
      </w:r>
      <w:r w:rsidR="00395B4A">
        <w:t>,</w:t>
      </w:r>
      <w:r>
        <w:t xml:space="preserve"> a </w:t>
      </w:r>
      <w:r w:rsidR="00051761">
        <w:t>73-year-old</w:t>
      </w:r>
      <w:r w:rsidR="005634CF">
        <w:t xml:space="preserve"> patient with end stage liver failure and encephalopathy</w:t>
      </w:r>
      <w:r w:rsidR="00161925">
        <w:t>,</w:t>
      </w:r>
      <w:r w:rsidR="00DD596A">
        <w:t xml:space="preserve"> </w:t>
      </w:r>
      <w:r w:rsidR="005634CF">
        <w:t xml:space="preserve">was being cared for </w:t>
      </w:r>
      <w:r w:rsidR="007F6EE7">
        <w:t xml:space="preserve">in his home </w:t>
      </w:r>
      <w:r w:rsidR="005634CF">
        <w:t>by the community palliative care nurse consultant</w:t>
      </w:r>
      <w:r w:rsidR="00793F82">
        <w:t xml:space="preserve"> when </w:t>
      </w:r>
      <w:r w:rsidR="0064323F">
        <w:t>his condition quickly deteriorated</w:t>
      </w:r>
      <w:r w:rsidR="005634CF">
        <w:t xml:space="preserve">. </w:t>
      </w:r>
      <w:r w:rsidR="0002261E">
        <w:t>At the time</w:t>
      </w:r>
      <w:r w:rsidR="00855424">
        <w:t>,</w:t>
      </w:r>
      <w:r w:rsidR="0002261E">
        <w:t xml:space="preserve"> no palliative care medications were in place and</w:t>
      </w:r>
      <w:r w:rsidR="00492796">
        <w:t xml:space="preserve"> </w:t>
      </w:r>
      <w:r w:rsidR="0002261E">
        <w:t xml:space="preserve">discussions </w:t>
      </w:r>
      <w:r w:rsidR="005634CF">
        <w:t xml:space="preserve">with </w:t>
      </w:r>
      <w:r w:rsidR="00CD20A9">
        <w:t xml:space="preserve">his </w:t>
      </w:r>
      <w:r w:rsidR="005634CF">
        <w:t xml:space="preserve">family regarding after hours medication had not occurred. Charlie </w:t>
      </w:r>
      <w:r w:rsidR="00917699">
        <w:t xml:space="preserve">became </w:t>
      </w:r>
      <w:r w:rsidR="005634CF" w:rsidRPr="009433A6">
        <w:t xml:space="preserve">terminally agitated and distressed which caused immense distress to </w:t>
      </w:r>
      <w:r w:rsidR="00CD20A9" w:rsidRPr="009433A6">
        <w:t xml:space="preserve">his </w:t>
      </w:r>
      <w:r w:rsidR="005634CF" w:rsidRPr="009433A6">
        <w:t>family</w:t>
      </w:r>
      <w:r w:rsidR="005634CF">
        <w:t xml:space="preserve">. The community palliative care nurse consultant was limited within her scope </w:t>
      </w:r>
      <w:r w:rsidR="00492796">
        <w:t xml:space="preserve">to provide treatment within the home </w:t>
      </w:r>
      <w:r w:rsidR="005634CF">
        <w:t xml:space="preserve">and Charlie was transferred to hospital via ambulance and admitted to the emergency department. Charlie died in the emergency department after lying on a trolley for four hours. Charlie </w:t>
      </w:r>
      <w:r w:rsidR="0056647A">
        <w:t xml:space="preserve">had </w:t>
      </w:r>
      <w:r w:rsidR="005634CF">
        <w:t>not want</w:t>
      </w:r>
      <w:r w:rsidR="003E723A">
        <w:t>ed</w:t>
      </w:r>
      <w:r w:rsidR="005634CF">
        <w:t xml:space="preserve"> to be hospitalised if he deteriorated</w:t>
      </w:r>
      <w:r w:rsidR="00CD077B">
        <w:t>,</w:t>
      </w:r>
      <w:r w:rsidR="005634CF">
        <w:t xml:space="preserve"> however his family were too </w:t>
      </w:r>
      <w:r w:rsidR="005634CF" w:rsidRPr="009433A6">
        <w:t xml:space="preserve">distressed by his </w:t>
      </w:r>
      <w:r w:rsidR="00CD077B">
        <w:t xml:space="preserve">discomfort </w:t>
      </w:r>
      <w:r w:rsidR="005634CF">
        <w:t>and the community palliative nurse consultant was not able to assist</w:t>
      </w:r>
      <w:r w:rsidR="00976A77">
        <w:t xml:space="preserve"> with care within his home</w:t>
      </w:r>
      <w:r w:rsidR="005634CF">
        <w:t>.</w:t>
      </w:r>
    </w:p>
    <w:p w14:paraId="4BFDA970" w14:textId="6A276844" w:rsidR="005634CF" w:rsidRPr="003F4A76" w:rsidRDefault="005634CF" w:rsidP="00216AB8">
      <w:pPr>
        <w:pStyle w:val="AHPRASubheadinglevel3"/>
        <w:outlineLvl w:val="0"/>
      </w:pPr>
      <w:r w:rsidRPr="003F4A76">
        <w:t>Tahlia</w:t>
      </w:r>
      <w:r w:rsidR="008D0D5B">
        <w:t>’</w:t>
      </w:r>
      <w:r w:rsidRPr="003F4A76">
        <w:t xml:space="preserve">s </w:t>
      </w:r>
      <w:r w:rsidR="008D0D5B">
        <w:t>j</w:t>
      </w:r>
      <w:r w:rsidR="008D0D5B" w:rsidRPr="003F4A76">
        <w:t>ourney</w:t>
      </w:r>
    </w:p>
    <w:p w14:paraId="08CE9607" w14:textId="5841ECBA" w:rsidR="005634CF" w:rsidRDefault="005634CF" w:rsidP="00216AB8">
      <w:pPr>
        <w:pStyle w:val="AHPRAbody"/>
        <w:outlineLvl w:val="0"/>
      </w:pPr>
      <w:r>
        <w:t>Tahlia</w:t>
      </w:r>
      <w:r w:rsidR="00180F91">
        <w:t>,</w:t>
      </w:r>
      <w:r>
        <w:t xml:space="preserve"> a </w:t>
      </w:r>
      <w:r w:rsidR="00051761">
        <w:t>24-year-old</w:t>
      </w:r>
      <w:r w:rsidR="00FA3D27">
        <w:t>,</w:t>
      </w:r>
      <w:r>
        <w:t xml:space="preserve"> well known to the community mental health team had run out of her regular </w:t>
      </w:r>
      <w:r w:rsidR="00180F91">
        <w:t xml:space="preserve">medication </w:t>
      </w:r>
      <w:r>
        <w:t xml:space="preserve">over </w:t>
      </w:r>
      <w:r w:rsidR="00051761">
        <w:t xml:space="preserve">a </w:t>
      </w:r>
      <w:r>
        <w:t>weekend</w:t>
      </w:r>
      <w:r w:rsidR="002D383F">
        <w:t>. As a result</w:t>
      </w:r>
      <w:r w:rsidR="00E766D1">
        <w:t>,</w:t>
      </w:r>
      <w:r w:rsidR="00664DF4">
        <w:t xml:space="preserve"> </w:t>
      </w:r>
      <w:r>
        <w:t xml:space="preserve">her distress and anxiety levels increased leading Talia to call an ambulance. An RN working </w:t>
      </w:r>
      <w:r w:rsidR="0610D2AB">
        <w:t xml:space="preserve">interprofessionally </w:t>
      </w:r>
      <w:r w:rsidR="104911F1">
        <w:t>with the</w:t>
      </w:r>
      <w:r>
        <w:t xml:space="preserve"> </w:t>
      </w:r>
      <w:r w:rsidR="008D4719">
        <w:t xml:space="preserve">ambulance </w:t>
      </w:r>
      <w:r w:rsidR="7CD03AD2">
        <w:t xml:space="preserve">service </w:t>
      </w:r>
      <w:r>
        <w:t xml:space="preserve">who knew Talia also attended </w:t>
      </w:r>
      <w:r w:rsidR="007C510B">
        <w:t xml:space="preserve">the call with the ambulance </w:t>
      </w:r>
      <w:r w:rsidR="00C223B6">
        <w:t>staff. The</w:t>
      </w:r>
      <w:r>
        <w:t xml:space="preserve"> RN was able to access </w:t>
      </w:r>
      <w:r w:rsidR="00B804DF">
        <w:t xml:space="preserve">Tahlia’s </w:t>
      </w:r>
      <w:r>
        <w:t xml:space="preserve">electronic </w:t>
      </w:r>
      <w:r w:rsidR="50FEB282">
        <w:t xml:space="preserve">medical </w:t>
      </w:r>
      <w:r w:rsidR="00AF5A74">
        <w:t xml:space="preserve">health </w:t>
      </w:r>
      <w:r w:rsidR="008D4719">
        <w:t xml:space="preserve">record </w:t>
      </w:r>
      <w:r w:rsidR="093D0150">
        <w:t xml:space="preserve">(EMR) </w:t>
      </w:r>
      <w:r w:rsidR="57869101">
        <w:t xml:space="preserve">to further establish a </w:t>
      </w:r>
      <w:r w:rsidR="227470D9">
        <w:t>history and</w:t>
      </w:r>
      <w:r>
        <w:t xml:space="preserve"> could see the order of regular </w:t>
      </w:r>
      <w:r w:rsidR="00850FF1">
        <w:t xml:space="preserve">anti-depressant and anticonvulsant </w:t>
      </w:r>
      <w:r>
        <w:t xml:space="preserve">medicines prescribed to treat Tahlia’s epilepsy and schizophrenia. A GP was contacted to write a </w:t>
      </w:r>
      <w:r w:rsidR="000034BA">
        <w:t>pre</w:t>
      </w:r>
      <w:r>
        <w:t>script</w:t>
      </w:r>
      <w:r w:rsidR="000034BA">
        <w:t>ion</w:t>
      </w:r>
      <w:r>
        <w:t xml:space="preserve"> however </w:t>
      </w:r>
      <w:r w:rsidR="000034C7">
        <w:t>refused</w:t>
      </w:r>
      <w:r>
        <w:t xml:space="preserve"> to provide a bridging order. Tahlia was subsequently transported to the </w:t>
      </w:r>
      <w:r w:rsidR="00B804DF">
        <w:t xml:space="preserve">nearest emergency department </w:t>
      </w:r>
      <w:r>
        <w:t xml:space="preserve">and triaged where a </w:t>
      </w:r>
      <w:r w:rsidR="00EB7854">
        <w:t>pre</w:t>
      </w:r>
      <w:r>
        <w:t>script</w:t>
      </w:r>
      <w:r w:rsidR="00EB7854">
        <w:t>ion</w:t>
      </w:r>
      <w:r>
        <w:t xml:space="preserve"> was written by a mental health </w:t>
      </w:r>
      <w:r w:rsidR="00320E7F">
        <w:t>NP</w:t>
      </w:r>
      <w:r>
        <w:t xml:space="preserve">. This process was incredibly distressing to the </w:t>
      </w:r>
      <w:r w:rsidR="006B29EC">
        <w:t xml:space="preserve">Tahlia </w:t>
      </w:r>
      <w:r>
        <w:t xml:space="preserve">causing a </w:t>
      </w:r>
      <w:bookmarkStart w:id="40" w:name="_Int_OOTJEHZP"/>
      <w:r w:rsidR="089C4280">
        <w:t>6–8-hour</w:t>
      </w:r>
      <w:bookmarkEnd w:id="40"/>
      <w:r>
        <w:t xml:space="preserve"> intervention.</w:t>
      </w:r>
    </w:p>
    <w:p w14:paraId="6E7F5D22" w14:textId="0F701800" w:rsidR="005634CF" w:rsidRPr="003F4A76" w:rsidRDefault="005634CF" w:rsidP="00216AB8">
      <w:pPr>
        <w:pStyle w:val="AHPRASubheadinglevel3"/>
        <w:outlineLvl w:val="0"/>
      </w:pPr>
      <w:r w:rsidRPr="003F4A76">
        <w:t>Kirra</w:t>
      </w:r>
      <w:r w:rsidR="00874869">
        <w:t>’</w:t>
      </w:r>
      <w:r w:rsidRPr="003F4A76">
        <w:t xml:space="preserve">s </w:t>
      </w:r>
      <w:r w:rsidR="00874869">
        <w:t>j</w:t>
      </w:r>
      <w:r w:rsidR="00874869" w:rsidRPr="003F4A76">
        <w:t>ourney</w:t>
      </w:r>
    </w:p>
    <w:p w14:paraId="2724D677" w14:textId="6C72B038" w:rsidR="005634CF" w:rsidRPr="00465C59" w:rsidRDefault="009857D2" w:rsidP="00216AB8">
      <w:pPr>
        <w:pStyle w:val="AHPRAbody"/>
        <w:outlineLvl w:val="0"/>
      </w:pPr>
      <w:r>
        <w:t>26-year-old</w:t>
      </w:r>
      <w:r w:rsidR="005634CF">
        <w:t xml:space="preserve"> Kirra was experiencing nausea secondary to pregnancy. Kirra had </w:t>
      </w:r>
      <w:r w:rsidR="1FBE3B3C">
        <w:t>a history</w:t>
      </w:r>
      <w:r w:rsidR="005634CF">
        <w:t xml:space="preserve"> of anxiety and depression and had recently commenced on low-risk antidepressants </w:t>
      </w:r>
      <w:r w:rsidR="00580BF5">
        <w:t>to manage her</w:t>
      </w:r>
      <w:r w:rsidR="005634CF">
        <w:t xml:space="preserve"> increasing anxiety around her pregnancy and social circumstances. The commencement of the </w:t>
      </w:r>
      <w:r w:rsidR="008F6A48">
        <w:t>medic</w:t>
      </w:r>
      <w:r w:rsidR="3B0D9683">
        <w:t>ine</w:t>
      </w:r>
      <w:r w:rsidR="005634CF">
        <w:t xml:space="preserve"> caused an increase in nausea which in turn increased the anxiety being experienced by Kirra. Kirra required review, assessment</w:t>
      </w:r>
      <w:r w:rsidR="5EE7528F">
        <w:t xml:space="preserve">, </w:t>
      </w:r>
      <w:r w:rsidR="005634CF">
        <w:t xml:space="preserve">some supportive strategies </w:t>
      </w:r>
      <w:r w:rsidR="0009701F">
        <w:t>as well as</w:t>
      </w:r>
      <w:r w:rsidR="005634CF">
        <w:t xml:space="preserve"> </w:t>
      </w:r>
      <w:r w:rsidR="00CC73BF">
        <w:t>anti-nausea medic</w:t>
      </w:r>
      <w:r w:rsidR="5EDD01AD">
        <w:t xml:space="preserve">ine </w:t>
      </w:r>
      <w:r w:rsidR="000034BA">
        <w:t>which required a prescription</w:t>
      </w:r>
      <w:r w:rsidR="005634CF">
        <w:t xml:space="preserve">. Kirra was unable to get an appointment with her </w:t>
      </w:r>
      <w:r w:rsidR="003F243F">
        <w:t xml:space="preserve">regular </w:t>
      </w:r>
      <w:r w:rsidR="005634CF">
        <w:t xml:space="preserve">GP </w:t>
      </w:r>
      <w:r w:rsidR="00FA36CE">
        <w:t>however</w:t>
      </w:r>
      <w:r w:rsidR="005634CF">
        <w:t xml:space="preserve"> a new clinic was taking appointments for the following </w:t>
      </w:r>
      <w:r w:rsidR="00E43889">
        <w:t>day,</w:t>
      </w:r>
      <w:r w:rsidR="005634CF">
        <w:t xml:space="preserve"> </w:t>
      </w:r>
      <w:r w:rsidR="00FA36CE">
        <w:t xml:space="preserve">but </w:t>
      </w:r>
      <w:r w:rsidR="005634CF">
        <w:t xml:space="preserve">the </w:t>
      </w:r>
      <w:r w:rsidR="00FA36CE">
        <w:t xml:space="preserve">consultation </w:t>
      </w:r>
      <w:r w:rsidR="005634CF">
        <w:t>cost was $100 which was out of Kirra</w:t>
      </w:r>
      <w:r w:rsidR="00B4147E">
        <w:t>’</w:t>
      </w:r>
      <w:r w:rsidR="005634CF">
        <w:t xml:space="preserve">s </w:t>
      </w:r>
      <w:r w:rsidR="00212D40">
        <w:t>budget</w:t>
      </w:r>
      <w:r w:rsidR="005634CF">
        <w:t xml:space="preserve">. This left Kirra with no other alternative but to present to the </w:t>
      </w:r>
      <w:r w:rsidR="00B27E86">
        <w:t xml:space="preserve">emergency department </w:t>
      </w:r>
      <w:r w:rsidR="005634CF">
        <w:t xml:space="preserve">despite </w:t>
      </w:r>
      <w:r w:rsidR="000034BA">
        <w:t xml:space="preserve">her </w:t>
      </w:r>
      <w:r w:rsidR="005634CF">
        <w:t xml:space="preserve">anxiety about attending hospital. Kirra spent </w:t>
      </w:r>
      <w:r w:rsidR="000034BA">
        <w:t xml:space="preserve">five </w:t>
      </w:r>
      <w:r w:rsidR="005634CF">
        <w:t xml:space="preserve">hours in the emergency waiting area during </w:t>
      </w:r>
      <w:r w:rsidR="006D1B7D">
        <w:t xml:space="preserve">which </w:t>
      </w:r>
      <w:r w:rsidR="00860D80">
        <w:t xml:space="preserve">she was only provided with a </w:t>
      </w:r>
      <w:r w:rsidR="005634CF">
        <w:t>vomit bag</w:t>
      </w:r>
      <w:r w:rsidR="00860D80">
        <w:t xml:space="preserve"> for her nausea</w:t>
      </w:r>
      <w:r w:rsidR="005634CF">
        <w:t xml:space="preserve">. On admission to an emergency bay a single dose of </w:t>
      </w:r>
      <w:r w:rsidR="00860D80">
        <w:t>anti-nausea medic</w:t>
      </w:r>
      <w:r w:rsidR="5BACEAD0">
        <w:t xml:space="preserve">ine </w:t>
      </w:r>
      <w:r w:rsidR="005634CF">
        <w:t xml:space="preserve">was </w:t>
      </w:r>
      <w:r w:rsidR="00391F38">
        <w:t xml:space="preserve">written up by the doctor and </w:t>
      </w:r>
      <w:r w:rsidR="005634CF">
        <w:t xml:space="preserve">administered by </w:t>
      </w:r>
      <w:r w:rsidR="00860D80">
        <w:t xml:space="preserve">an </w:t>
      </w:r>
      <w:r w:rsidR="005634CF">
        <w:t xml:space="preserve">RN. Kirra was advised to </w:t>
      </w:r>
      <w:r w:rsidR="00C278BC">
        <w:t>re-</w:t>
      </w:r>
      <w:r w:rsidR="005634CF">
        <w:t xml:space="preserve">present to the </w:t>
      </w:r>
      <w:r w:rsidR="00860D80">
        <w:t xml:space="preserve">emergency department </w:t>
      </w:r>
      <w:r w:rsidR="005634CF">
        <w:t xml:space="preserve">again if required. </w:t>
      </w:r>
    </w:p>
    <w:p w14:paraId="4B446979" w14:textId="63A64B6E" w:rsidR="005634CF" w:rsidRPr="00B66DBB" w:rsidRDefault="005634CF" w:rsidP="00216AB8">
      <w:pPr>
        <w:pStyle w:val="AHPRASubheadinglevel3"/>
        <w:outlineLvl w:val="0"/>
      </w:pPr>
      <w:r w:rsidRPr="00AC3FB0">
        <w:t>Paul</w:t>
      </w:r>
      <w:r w:rsidR="00AC3FB0">
        <w:t>’</w:t>
      </w:r>
      <w:r w:rsidRPr="00B66DBB">
        <w:t xml:space="preserve">s </w:t>
      </w:r>
      <w:r w:rsidR="00AC3FB0">
        <w:t>j</w:t>
      </w:r>
      <w:r w:rsidR="00AC3FB0" w:rsidRPr="00B66DBB">
        <w:t>ourney</w:t>
      </w:r>
    </w:p>
    <w:p w14:paraId="1A8F236C" w14:textId="4C5079F2" w:rsidR="005634CF" w:rsidRPr="00BE4213" w:rsidRDefault="005634CF" w:rsidP="00216AB8">
      <w:pPr>
        <w:pStyle w:val="Footer"/>
        <w:outlineLvl w:val="0"/>
      </w:pPr>
      <w:r w:rsidRPr="5AA7423A">
        <w:rPr>
          <w:rStyle w:val="AHPRAbodyChar"/>
        </w:rPr>
        <w:t>Paul</w:t>
      </w:r>
      <w:r w:rsidR="00860D80" w:rsidRPr="5AA7423A">
        <w:rPr>
          <w:rStyle w:val="AHPRAbodyChar"/>
        </w:rPr>
        <w:t>,</w:t>
      </w:r>
      <w:r w:rsidRPr="5AA7423A">
        <w:rPr>
          <w:rStyle w:val="AHPRAbodyChar"/>
        </w:rPr>
        <w:t xml:space="preserve"> a </w:t>
      </w:r>
      <w:r w:rsidR="00E43889" w:rsidRPr="5AA7423A">
        <w:rPr>
          <w:rStyle w:val="AHPRAbodyChar"/>
        </w:rPr>
        <w:t>51-year-old</w:t>
      </w:r>
      <w:r w:rsidRPr="5AA7423A">
        <w:rPr>
          <w:rStyle w:val="AHPRAbodyChar"/>
        </w:rPr>
        <w:t xml:space="preserve"> living in regional Australia takes clozapine for </w:t>
      </w:r>
      <w:r w:rsidR="00BD7B82" w:rsidRPr="5AA7423A">
        <w:rPr>
          <w:rStyle w:val="AHPRAbodyChar"/>
        </w:rPr>
        <w:t xml:space="preserve">his </w:t>
      </w:r>
      <w:r w:rsidRPr="5AA7423A">
        <w:rPr>
          <w:rStyle w:val="AHPRAbodyChar"/>
        </w:rPr>
        <w:t xml:space="preserve">schizophrenia. </w:t>
      </w:r>
      <w:r w:rsidR="00BD7B82" w:rsidRPr="5AA7423A">
        <w:rPr>
          <w:rStyle w:val="AHPRAbodyChar"/>
        </w:rPr>
        <w:t xml:space="preserve">During </w:t>
      </w:r>
      <w:r w:rsidRPr="5AA7423A">
        <w:rPr>
          <w:rStyle w:val="AHPRAbodyChar"/>
        </w:rPr>
        <w:t>a home visit by the community mental health RN</w:t>
      </w:r>
      <w:r>
        <w:t>, a change in Paul’s behaviour</w:t>
      </w:r>
      <w:r w:rsidR="005E53DB">
        <w:t xml:space="preserve"> was noticed</w:t>
      </w:r>
      <w:r>
        <w:t xml:space="preserve">. Paul was well known to the community health team and the RN could </w:t>
      </w:r>
      <w:r w:rsidR="00BE4213">
        <w:t xml:space="preserve">readily </w:t>
      </w:r>
      <w:r>
        <w:t xml:space="preserve">access Paul’s </w:t>
      </w:r>
      <w:r w:rsidR="00AC4274">
        <w:t>up-to-</w:t>
      </w:r>
      <w:r>
        <w:t xml:space="preserve">date </w:t>
      </w:r>
      <w:r w:rsidR="00AC4274">
        <w:t xml:space="preserve">blood </w:t>
      </w:r>
      <w:r>
        <w:t xml:space="preserve">profiles and assessments relevant to his clozapine treatment. Paul advised the RN that he had not taken his clozapine for four days or more. </w:t>
      </w:r>
      <w:r w:rsidR="000A71A0">
        <w:t>Paul’s regular GP</w:t>
      </w:r>
      <w:r>
        <w:t xml:space="preserve"> was on leave and could not be contacted</w:t>
      </w:r>
      <w:r w:rsidR="000F73D3">
        <w:t xml:space="preserve"> </w:t>
      </w:r>
      <w:r w:rsidR="00186810">
        <w:t xml:space="preserve">and </w:t>
      </w:r>
      <w:r>
        <w:t>the community mental health RN advise</w:t>
      </w:r>
      <w:r w:rsidR="006D74FB">
        <w:t>d</w:t>
      </w:r>
      <w:r>
        <w:t xml:space="preserve"> Paul to present to the nearest </w:t>
      </w:r>
      <w:r w:rsidR="005617A6">
        <w:t xml:space="preserve">emergency department </w:t>
      </w:r>
      <w:r>
        <w:t>to further assess Paul</w:t>
      </w:r>
      <w:r w:rsidR="000F73D3">
        <w:t xml:space="preserve">’s increasing </w:t>
      </w:r>
      <w:r w:rsidR="0052232A">
        <w:t xml:space="preserve">breakthrough </w:t>
      </w:r>
      <w:r w:rsidR="000F73D3">
        <w:t>symptoms</w:t>
      </w:r>
      <w:r>
        <w:t xml:space="preserve">. Paul did not present to the </w:t>
      </w:r>
      <w:r w:rsidR="000F56D1">
        <w:t>emergency department</w:t>
      </w:r>
      <w:r w:rsidR="0052232A">
        <w:t xml:space="preserve">. </w:t>
      </w:r>
      <w:r>
        <w:t xml:space="preserve">He was eventually </w:t>
      </w:r>
      <w:r w:rsidR="0052232A">
        <w:t xml:space="preserve">admitted </w:t>
      </w:r>
      <w:r>
        <w:t xml:space="preserve">to the intensive care unit </w:t>
      </w:r>
      <w:r w:rsidR="00277C62">
        <w:t xml:space="preserve">(ICU) </w:t>
      </w:r>
      <w:r>
        <w:t xml:space="preserve">via </w:t>
      </w:r>
      <w:r w:rsidR="00277C62">
        <w:t>the emergency depart</w:t>
      </w:r>
      <w:r w:rsidR="00947317">
        <w:t>ment</w:t>
      </w:r>
      <w:r w:rsidR="00277C62">
        <w:t xml:space="preserve"> </w:t>
      </w:r>
      <w:r>
        <w:t>and ambulance after drinking gastric eroding household cleaner and spent two weeks in the inpatient mental health unit post discharge from ICU.</w:t>
      </w:r>
    </w:p>
    <w:p w14:paraId="004E9F42" w14:textId="54EA3660" w:rsidR="005634CF" w:rsidRPr="00FC7511" w:rsidRDefault="005634CF" w:rsidP="00216AB8">
      <w:pPr>
        <w:pStyle w:val="AHPRASubheadinglevel3"/>
        <w:outlineLvl w:val="0"/>
      </w:pPr>
      <w:r w:rsidRPr="00FC7511">
        <w:t xml:space="preserve">Molly’s </w:t>
      </w:r>
      <w:r w:rsidR="00FC7511">
        <w:t>j</w:t>
      </w:r>
      <w:r w:rsidR="00FC7511" w:rsidRPr="00FC7511">
        <w:t>ourney</w:t>
      </w:r>
    </w:p>
    <w:p w14:paraId="63406338" w14:textId="74AEF917" w:rsidR="005634CF" w:rsidRPr="006B2694" w:rsidRDefault="005634CF" w:rsidP="00216AB8">
      <w:pPr>
        <w:pStyle w:val="AHPRAbody"/>
        <w:outlineLvl w:val="0"/>
        <w:rPr>
          <w:rFonts w:eastAsia="Times New Roman" w:cstheme="minorBidi"/>
          <w:color w:val="45494B"/>
          <w:lang w:eastAsia="en-AU"/>
        </w:rPr>
      </w:pPr>
      <w:r>
        <w:t xml:space="preserve">Molly was living with cerebral palsy and schizophrenia and had become fixated on </w:t>
      </w:r>
      <w:r w:rsidR="00BB681D">
        <w:t xml:space="preserve">her </w:t>
      </w:r>
      <w:r>
        <w:t xml:space="preserve">pregnancy diagnosis. Molly had good insight into </w:t>
      </w:r>
      <w:r w:rsidR="00215444">
        <w:t xml:space="preserve">her </w:t>
      </w:r>
      <w:r>
        <w:t xml:space="preserve">illness and management and knew that </w:t>
      </w:r>
      <w:r w:rsidR="001932AF">
        <w:t xml:space="preserve">she </w:t>
      </w:r>
      <w:r>
        <w:t xml:space="preserve">was verging on a psychotic episode. The episode occurred on a weekend in a rural area. The community mental health RN was able to access </w:t>
      </w:r>
      <w:r w:rsidR="00DB7B33">
        <w:t>Molly’s</w:t>
      </w:r>
      <w:r>
        <w:t xml:space="preserve"> </w:t>
      </w:r>
      <w:r w:rsidR="384927CC">
        <w:t>electronic</w:t>
      </w:r>
      <w:r w:rsidR="73C1DE58">
        <w:t xml:space="preserve"> </w:t>
      </w:r>
      <w:r w:rsidR="3514C81F">
        <w:t>medical health</w:t>
      </w:r>
      <w:r w:rsidR="00DB7B33">
        <w:t xml:space="preserve"> records</w:t>
      </w:r>
      <w:r w:rsidR="73ACD11F">
        <w:t xml:space="preserve"> (EMR)</w:t>
      </w:r>
      <w:r w:rsidR="00DB7B33">
        <w:t xml:space="preserve"> </w:t>
      </w:r>
      <w:r>
        <w:t xml:space="preserve">and was able to see that previously in similar circumstances </w:t>
      </w:r>
      <w:r w:rsidR="000207B4">
        <w:t>Molly</w:t>
      </w:r>
      <w:r>
        <w:t xml:space="preserve"> had been prescribed and administered </w:t>
      </w:r>
      <w:r w:rsidR="302D8FB1">
        <w:t xml:space="preserve">an antipsychotic medicine, </w:t>
      </w:r>
      <w:r>
        <w:t xml:space="preserve">risperidone </w:t>
      </w:r>
      <w:r>
        <w:lastRenderedPageBreak/>
        <w:t xml:space="preserve">until further review. The local community setting did not have facilities for a cerebral palsy patient and there were no beds. </w:t>
      </w:r>
      <w:r w:rsidR="000207B4">
        <w:t>Molly</w:t>
      </w:r>
      <w:r>
        <w:t xml:space="preserve"> commented that hospital admissions were disempowering. In this instance to avoid hospitalisation at Molly’s wishes</w:t>
      </w:r>
      <w:r w:rsidR="00BE2758">
        <w:t>,</w:t>
      </w:r>
      <w:r>
        <w:t xml:space="preserve"> the community mental health RN was able to involve </w:t>
      </w:r>
      <w:r w:rsidR="00282E20">
        <w:t>her</w:t>
      </w:r>
      <w:r>
        <w:t xml:space="preserve"> family to provide interim care and prevent the need for hospitalisation. </w:t>
      </w:r>
      <w:r w:rsidR="00892DF8">
        <w:t>Molly</w:t>
      </w:r>
      <w:r>
        <w:t xml:space="preserve"> had a </w:t>
      </w:r>
      <w:r w:rsidR="00282E20">
        <w:t>two-</w:t>
      </w:r>
      <w:r>
        <w:t xml:space="preserve">day wait to see the </w:t>
      </w:r>
      <w:r w:rsidR="00282E20">
        <w:t xml:space="preserve">local </w:t>
      </w:r>
      <w:r>
        <w:t>GP who then prescribed risperidone</w:t>
      </w:r>
      <w:r w:rsidR="2A4B2B6F">
        <w:t>.</w:t>
      </w:r>
    </w:p>
    <w:p w14:paraId="382B36AF" w14:textId="597A2B00" w:rsidR="005634CF" w:rsidRPr="00215444" w:rsidRDefault="005634CF" w:rsidP="00216AB8">
      <w:pPr>
        <w:pStyle w:val="AHPRASubheadinglevel3"/>
        <w:outlineLvl w:val="0"/>
      </w:pPr>
      <w:r w:rsidRPr="00215444">
        <w:t>Broadie</w:t>
      </w:r>
      <w:r w:rsidR="006D427B">
        <w:t>’</w:t>
      </w:r>
      <w:r w:rsidRPr="00215444">
        <w:t>s Journey</w:t>
      </w:r>
    </w:p>
    <w:p w14:paraId="355B767C" w14:textId="02BF8E7A" w:rsidR="005634CF" w:rsidRDefault="005634CF" w:rsidP="00216AB8">
      <w:pPr>
        <w:pStyle w:val="AHPRAbody"/>
        <w:outlineLvl w:val="0"/>
      </w:pPr>
      <w:r>
        <w:t>Broadie</w:t>
      </w:r>
      <w:r w:rsidR="001D4094">
        <w:t xml:space="preserve">, </w:t>
      </w:r>
      <w:r>
        <w:t xml:space="preserve">a 21-year-old apprentice carpenter sustained a small laceration at work which he did not believe required any further treatment apart from initial first aid on site. </w:t>
      </w:r>
      <w:r w:rsidR="008F5C4F">
        <w:t>A few days later</w:t>
      </w:r>
      <w:r>
        <w:t xml:space="preserve"> Broadie</w:t>
      </w:r>
      <w:r w:rsidR="00892DF8">
        <w:t>’</w:t>
      </w:r>
      <w:r>
        <w:t xml:space="preserve">s arm became red and inflamed. He was unable to get a GP appointment however presented </w:t>
      </w:r>
      <w:r w:rsidR="00892DF8">
        <w:t>at a</w:t>
      </w:r>
      <w:r>
        <w:t xml:space="preserve"> clinic near his house. On assessment the </w:t>
      </w:r>
      <w:r w:rsidR="00A27DBB">
        <w:t>RN at the clinic</w:t>
      </w:r>
      <w:r w:rsidR="00F357FC">
        <w:t xml:space="preserve"> </w:t>
      </w:r>
      <w:r>
        <w:t xml:space="preserve">made an initial unsupported diagnosis of cellulitis and advised Broadie that he would need to see a </w:t>
      </w:r>
      <w:r w:rsidR="00892DF8">
        <w:t xml:space="preserve">doctor </w:t>
      </w:r>
      <w:r>
        <w:t>for antibiotics. Broadie</w:t>
      </w:r>
      <w:r w:rsidR="3FA7C0F5">
        <w:t xml:space="preserve"> was unable to get </w:t>
      </w:r>
      <w:r w:rsidR="00A84CD0">
        <w:t>an immediate</w:t>
      </w:r>
      <w:r w:rsidR="3FA7C0F5">
        <w:t xml:space="preserve"> GP </w:t>
      </w:r>
      <w:r w:rsidR="003C4EA4">
        <w:t>appointment</w:t>
      </w:r>
      <w:r w:rsidR="0062576C">
        <w:t>.</w:t>
      </w:r>
      <w:r w:rsidR="3FA7C0F5">
        <w:t xml:space="preserve"> </w:t>
      </w:r>
      <w:r w:rsidR="5390D1C2">
        <w:t>Broadie's</w:t>
      </w:r>
      <w:r>
        <w:t xml:space="preserve"> arm became progressively worse </w:t>
      </w:r>
      <w:r w:rsidR="0062556D">
        <w:t>over the next few days</w:t>
      </w:r>
      <w:r w:rsidR="007C2C04">
        <w:t>,</w:t>
      </w:r>
      <w:r>
        <w:t xml:space="preserve"> so he presented to </w:t>
      </w:r>
      <w:r w:rsidR="00892DF8">
        <w:t>the emergency department</w:t>
      </w:r>
      <w:r>
        <w:t xml:space="preserve">. He was triaged and admitted for </w:t>
      </w:r>
      <w:r w:rsidR="0024461F">
        <w:t xml:space="preserve">intravenous </w:t>
      </w:r>
      <w:r>
        <w:t xml:space="preserve">antibiotics as </w:t>
      </w:r>
      <w:r w:rsidR="042F0A69">
        <w:t xml:space="preserve">at the time </w:t>
      </w:r>
      <w:r>
        <w:t xml:space="preserve">there was no capability for Hospital in the </w:t>
      </w:r>
      <w:r w:rsidR="00A575DA">
        <w:t xml:space="preserve">home </w:t>
      </w:r>
      <w:r>
        <w:t xml:space="preserve">to undertake home visits to administer the treatment required. </w:t>
      </w:r>
    </w:p>
    <w:p w14:paraId="3114ACA8" w14:textId="7BCE1DBE" w:rsidR="005634CF" w:rsidRPr="00215444" w:rsidRDefault="005634CF" w:rsidP="00216AB8">
      <w:pPr>
        <w:pStyle w:val="AHPRASubheadinglevel3"/>
        <w:outlineLvl w:val="0"/>
      </w:pPr>
      <w:r w:rsidRPr="00DB7C39">
        <w:t>Mark</w:t>
      </w:r>
      <w:r w:rsidR="00215444" w:rsidRPr="00DB7C39">
        <w:t>’</w:t>
      </w:r>
      <w:r w:rsidRPr="00DB7C39">
        <w:t xml:space="preserve">s </w:t>
      </w:r>
      <w:r w:rsidR="00215444" w:rsidRPr="00DB7C39">
        <w:t>journey</w:t>
      </w:r>
    </w:p>
    <w:p w14:paraId="640AB5DA" w14:textId="77F7215D" w:rsidR="005634CF" w:rsidRDefault="005634CF" w:rsidP="00216AB8">
      <w:pPr>
        <w:pStyle w:val="AHPRAbody"/>
        <w:outlineLvl w:val="0"/>
      </w:pPr>
      <w:r>
        <w:t>Mark</w:t>
      </w:r>
      <w:r w:rsidR="001D4094">
        <w:t xml:space="preserve">, </w:t>
      </w:r>
      <w:r>
        <w:t xml:space="preserve">a 40-year-old living in a rural area was on monthly antipsychotic depot intramuscular injections since being diagnosed and living with schizophrenia. Mark </w:t>
      </w:r>
      <w:r w:rsidR="007C2C04">
        <w:t>regularly attended</w:t>
      </w:r>
      <w:r>
        <w:t xml:space="preserve"> the </w:t>
      </w:r>
      <w:r w:rsidR="00BF416D">
        <w:t xml:space="preserve">local </w:t>
      </w:r>
      <w:r w:rsidR="00A95704">
        <w:t xml:space="preserve">depot clinic </w:t>
      </w:r>
      <w:r>
        <w:t xml:space="preserve">however had forgotten to attend the last clinic and started to develop breakthrough symptoms. </w:t>
      </w:r>
      <w:r w:rsidRPr="00DB7C39">
        <w:t xml:space="preserve">Mark called an ambulance due to hearing increasing voices and the ambulance attendees were able to administer </w:t>
      </w:r>
      <w:r w:rsidR="00A95704" w:rsidRPr="00DB7C39">
        <w:t>a one-off</w:t>
      </w:r>
      <w:r w:rsidRPr="00DB7C39">
        <w:t xml:space="preserve"> dose of medic</w:t>
      </w:r>
      <w:r w:rsidR="6EB77731">
        <w:t>ine</w:t>
      </w:r>
      <w:r w:rsidRPr="00E74E29">
        <w:t xml:space="preserve"> for the breakthrough symptoms</w:t>
      </w:r>
      <w:r>
        <w:t xml:space="preserve">. A community mental health RN visited Mark at home to follow up on the emergency call and undertook a full assessment </w:t>
      </w:r>
      <w:r w:rsidR="450C0969">
        <w:t>notin</w:t>
      </w:r>
      <w:r w:rsidR="09059E93">
        <w:t>g</w:t>
      </w:r>
      <w:r>
        <w:t xml:space="preserve"> Mark</w:t>
      </w:r>
      <w:r w:rsidR="00987ED2">
        <w:t>’</w:t>
      </w:r>
      <w:r>
        <w:t xml:space="preserve">s change in behaviour. The RN </w:t>
      </w:r>
      <w:r w:rsidR="00987ED2">
        <w:t>k</w:t>
      </w:r>
      <w:r>
        <w:t xml:space="preserve">new Mark and had already established rapport having worked in the </w:t>
      </w:r>
      <w:r w:rsidR="00987ED2">
        <w:t xml:space="preserve">depot </w:t>
      </w:r>
      <w:r>
        <w:t>clinic that Mark had attended and was aware that Mark had insight into the situation and required treatment. The RN had access to Mark</w:t>
      </w:r>
      <w:r w:rsidR="00987ED2">
        <w:t>’</w:t>
      </w:r>
      <w:r>
        <w:t xml:space="preserve">s medical history and treatment including dose, date and site of the last injection. The RN knew that Mark did not like presenting to the hospital and could get volatile when presenting to the hospital setting. The RN however had no option in the situation other than to advise Mark to present to </w:t>
      </w:r>
      <w:r w:rsidR="00AD0BFF">
        <w:t xml:space="preserve">the emergency department </w:t>
      </w:r>
      <w:r>
        <w:t xml:space="preserve">to be triaged in order for Mark to receive further breakthrough medication for his symptoms as required. No clinics were available to Mark in the area for another </w:t>
      </w:r>
      <w:r w:rsidR="00A95808">
        <w:t xml:space="preserve">two </w:t>
      </w:r>
      <w:r>
        <w:t xml:space="preserve">weeks and his </w:t>
      </w:r>
      <w:r w:rsidR="00625555">
        <w:t xml:space="preserve">regular </w:t>
      </w:r>
      <w:r>
        <w:t>GP was away</w:t>
      </w:r>
      <w:r w:rsidR="00625555">
        <w:t xml:space="preserve"> during this time</w:t>
      </w:r>
      <w:r>
        <w:t>.</w:t>
      </w:r>
    </w:p>
    <w:p w14:paraId="3C41E062" w14:textId="45BA1D13" w:rsidR="005634CF" w:rsidRPr="003170CF" w:rsidRDefault="005634CF" w:rsidP="00216AB8">
      <w:pPr>
        <w:pStyle w:val="AHPRASubheadinglevel3"/>
        <w:outlineLvl w:val="0"/>
      </w:pPr>
      <w:r>
        <w:t>Jose</w:t>
      </w:r>
      <w:r w:rsidR="00625555">
        <w:t>’</w:t>
      </w:r>
      <w:r>
        <w:t xml:space="preserve">s </w:t>
      </w:r>
      <w:r w:rsidR="00625555">
        <w:t>journey</w:t>
      </w:r>
    </w:p>
    <w:p w14:paraId="5AEFC615" w14:textId="3E664D27" w:rsidR="00524DCB" w:rsidRDefault="00C534CA" w:rsidP="00216AB8">
      <w:pPr>
        <w:pStyle w:val="AHPRAbody"/>
        <w:outlineLvl w:val="0"/>
      </w:pPr>
      <w:r>
        <w:t xml:space="preserve">Jose, an </w:t>
      </w:r>
      <w:r w:rsidR="005634CF">
        <w:t xml:space="preserve">89-year-old resident in an aged care </w:t>
      </w:r>
      <w:r w:rsidR="00F41E0E">
        <w:t>facility</w:t>
      </w:r>
      <w:r w:rsidR="00E101D3">
        <w:t xml:space="preserve"> </w:t>
      </w:r>
      <w:r w:rsidR="005634CF">
        <w:t xml:space="preserve">had become constipated. A full assessment was made by the </w:t>
      </w:r>
      <w:r w:rsidR="00F41E0E">
        <w:t xml:space="preserve">clinical </w:t>
      </w:r>
      <w:r w:rsidR="005634CF">
        <w:t>RN in charge of residents</w:t>
      </w:r>
      <w:r w:rsidR="00F41E0E">
        <w:t>’</w:t>
      </w:r>
      <w:r w:rsidR="005634CF">
        <w:t xml:space="preserve"> care</w:t>
      </w:r>
      <w:r w:rsidR="00E7007D">
        <w:t xml:space="preserve"> and determined that Jose</w:t>
      </w:r>
      <w:r w:rsidR="005634CF">
        <w:t xml:space="preserve"> needed</w:t>
      </w:r>
      <w:r w:rsidR="00840A15">
        <w:t xml:space="preserve"> additional hydration and</w:t>
      </w:r>
      <w:r w:rsidR="005634CF">
        <w:t xml:space="preserve"> oral </w:t>
      </w:r>
      <w:r w:rsidR="00486E2C">
        <w:t>medic</w:t>
      </w:r>
      <w:r w:rsidR="6858112B">
        <w:t>ines</w:t>
      </w:r>
      <w:r w:rsidR="00840A15">
        <w:t xml:space="preserve"> which needed prescribing</w:t>
      </w:r>
      <w:r w:rsidR="00486E2C">
        <w:t xml:space="preserve"> </w:t>
      </w:r>
      <w:r w:rsidR="0091237D">
        <w:t>to alleviate his</w:t>
      </w:r>
      <w:r w:rsidR="00486E2C">
        <w:t xml:space="preserve"> constipation</w:t>
      </w:r>
      <w:r w:rsidR="005634CF">
        <w:t>. Due to no GP being available to visit for a fortnight and no NP structure available at the residential aged care facility</w:t>
      </w:r>
      <w:r w:rsidR="0091237D">
        <w:t>,</w:t>
      </w:r>
      <w:r w:rsidR="005634CF">
        <w:t xml:space="preserve"> Jose </w:t>
      </w:r>
      <w:r w:rsidR="0091237D">
        <w:t>was</w:t>
      </w:r>
      <w:r w:rsidR="005634CF">
        <w:t xml:space="preserve"> transferred to the </w:t>
      </w:r>
      <w:r w:rsidR="0091237D">
        <w:t xml:space="preserve">nearest </w:t>
      </w:r>
      <w:r w:rsidR="005634CF">
        <w:t xml:space="preserve">emergency department for further assessment and treatment. Jose was given </w:t>
      </w:r>
      <w:r w:rsidR="00486E2C">
        <w:t>medication</w:t>
      </w:r>
      <w:r w:rsidR="005634CF">
        <w:t xml:space="preserve"> in emergency</w:t>
      </w:r>
      <w:r w:rsidR="00486E2C">
        <w:t xml:space="preserve"> and</w:t>
      </w:r>
      <w:r w:rsidR="0002621B">
        <w:t xml:space="preserve"> </w:t>
      </w:r>
      <w:r w:rsidR="005634CF">
        <w:t xml:space="preserve">intravenous fluid </w:t>
      </w:r>
      <w:r w:rsidR="0002621B">
        <w:t xml:space="preserve">before being </w:t>
      </w:r>
      <w:r w:rsidR="005634CF">
        <w:t>discharged back to the aged care facility.</w:t>
      </w:r>
    </w:p>
    <w:p w14:paraId="618F934B" w14:textId="7707E6DE" w:rsidR="005634CF" w:rsidRPr="00C97B33" w:rsidRDefault="005634CF" w:rsidP="00216AB8">
      <w:pPr>
        <w:pStyle w:val="AHPRASubheadinglevel3"/>
        <w:outlineLvl w:val="0"/>
      </w:pPr>
      <w:r w:rsidRPr="00C97B33">
        <w:t>Henry</w:t>
      </w:r>
      <w:r w:rsidR="00235F0B">
        <w:t>’</w:t>
      </w:r>
      <w:r w:rsidRPr="00C97B33">
        <w:t xml:space="preserve">s </w:t>
      </w:r>
      <w:r w:rsidR="00235F0B">
        <w:t>j</w:t>
      </w:r>
      <w:r w:rsidR="00235F0B" w:rsidRPr="00C97B33">
        <w:t>ourney</w:t>
      </w:r>
    </w:p>
    <w:p w14:paraId="4F47A376" w14:textId="54ABE5F2" w:rsidR="005634CF" w:rsidRPr="001031C0" w:rsidRDefault="0002621B" w:rsidP="00216AB8">
      <w:pPr>
        <w:pStyle w:val="AHPRAbody"/>
        <w:outlineLvl w:val="0"/>
      </w:pPr>
      <w:r>
        <w:t xml:space="preserve">Henry, an </w:t>
      </w:r>
      <w:r w:rsidR="000910A6">
        <w:t>82-year-old</w:t>
      </w:r>
      <w:r w:rsidR="005634CF">
        <w:t xml:space="preserve"> resident of an aged care facility had tested positive to COVID</w:t>
      </w:r>
      <w:r w:rsidR="00CE4663">
        <w:t>-</w:t>
      </w:r>
      <w:r w:rsidR="005634CF">
        <w:t>19</w:t>
      </w:r>
      <w:r>
        <w:t xml:space="preserve">. His COVID-19 </w:t>
      </w:r>
      <w:r w:rsidR="00270686">
        <w:t>diagnosis was</w:t>
      </w:r>
      <w:r w:rsidR="005634CF">
        <w:t xml:space="preserve"> within the </w:t>
      </w:r>
      <w:r w:rsidR="009C766E">
        <w:t xml:space="preserve">acceptable </w:t>
      </w:r>
      <w:r w:rsidR="005634CF">
        <w:t>time</w:t>
      </w:r>
      <w:r w:rsidR="00867F2D">
        <w:t>-</w:t>
      </w:r>
      <w:r w:rsidR="005634CF">
        <w:t xml:space="preserve">period for </w:t>
      </w:r>
      <w:r w:rsidR="00E076B2">
        <w:t>administratio</w:t>
      </w:r>
      <w:r w:rsidR="009C766E">
        <w:t>n of antiviral medic</w:t>
      </w:r>
      <w:r w:rsidR="651DA96C">
        <w:t>ine</w:t>
      </w:r>
      <w:r w:rsidR="005634CF">
        <w:t xml:space="preserve">. The RN in charge engaged with telehealth services for initial treatment however a </w:t>
      </w:r>
      <w:r w:rsidR="00270686">
        <w:t xml:space="preserve">prescription </w:t>
      </w:r>
      <w:r w:rsidR="006D2370">
        <w:t>for the antiviral medication</w:t>
      </w:r>
      <w:r w:rsidR="00DC502E">
        <w:t xml:space="preserve"> was required. </w:t>
      </w:r>
      <w:r w:rsidR="008D26BE">
        <w:t xml:space="preserve">The aged care facility was unable to access a GP within the </w:t>
      </w:r>
      <w:r w:rsidR="00E74E29">
        <w:t>24-hour</w:t>
      </w:r>
      <w:r w:rsidR="008D26BE">
        <w:t xml:space="preserve"> timeframe </w:t>
      </w:r>
      <w:r w:rsidR="008D65A1">
        <w:t>required for the antiviral treatment</w:t>
      </w:r>
      <w:r w:rsidR="00057531">
        <w:t xml:space="preserve"> and as a result Henry’s</w:t>
      </w:r>
      <w:r w:rsidR="005634CF">
        <w:t xml:space="preserve"> </w:t>
      </w:r>
      <w:r w:rsidR="00057531">
        <w:t xml:space="preserve">condition </w:t>
      </w:r>
      <w:r w:rsidR="005634CF">
        <w:t>deteriorated</w:t>
      </w:r>
      <w:r w:rsidR="009A1B20">
        <w:t xml:space="preserve">. Henry was </w:t>
      </w:r>
      <w:r w:rsidR="005634CF">
        <w:t>subsequently transported</w:t>
      </w:r>
      <w:r w:rsidR="009A1B20">
        <w:t xml:space="preserve"> by ambulance</w:t>
      </w:r>
      <w:r w:rsidR="005634CF">
        <w:t xml:space="preserve"> to the </w:t>
      </w:r>
      <w:r w:rsidR="009A1B20">
        <w:t xml:space="preserve">nearest </w:t>
      </w:r>
      <w:r w:rsidR="00072AAD">
        <w:t xml:space="preserve">emergency department </w:t>
      </w:r>
      <w:r w:rsidR="005634CF">
        <w:t>for admission.</w:t>
      </w:r>
    </w:p>
    <w:p w14:paraId="3E66E485" w14:textId="768CE78C" w:rsidR="005634CF" w:rsidRPr="008D28AD" w:rsidRDefault="005634CF" w:rsidP="00216AB8">
      <w:pPr>
        <w:pStyle w:val="AHPRASubheadinglevel3"/>
        <w:outlineLvl w:val="0"/>
      </w:pPr>
      <w:r w:rsidRPr="00107F4E">
        <w:t>Cathie</w:t>
      </w:r>
      <w:r w:rsidR="008D28AD" w:rsidRPr="00107F4E">
        <w:t>’</w:t>
      </w:r>
      <w:r w:rsidRPr="00107F4E">
        <w:t xml:space="preserve">s </w:t>
      </w:r>
      <w:r w:rsidR="008D28AD" w:rsidRPr="00107F4E">
        <w:t>j</w:t>
      </w:r>
      <w:r w:rsidRPr="00107F4E">
        <w:t>ourney</w:t>
      </w:r>
    </w:p>
    <w:p w14:paraId="05D65275" w14:textId="7716872A" w:rsidR="00A34158" w:rsidRDefault="005634CF" w:rsidP="00216AB8">
      <w:pPr>
        <w:pStyle w:val="AHPRAbody"/>
        <w:outlineLvl w:val="0"/>
      </w:pPr>
      <w:r>
        <w:t>Cathie</w:t>
      </w:r>
      <w:r w:rsidR="00A92B1A">
        <w:t>,</w:t>
      </w:r>
      <w:r>
        <w:t xml:space="preserve"> a 46-year-old </w:t>
      </w:r>
      <w:r w:rsidR="00A92B1A">
        <w:t xml:space="preserve">woman </w:t>
      </w:r>
      <w:r w:rsidR="007E4968">
        <w:t xml:space="preserve">with type 1 </w:t>
      </w:r>
      <w:r w:rsidR="23C28E9E">
        <w:t>diabetes</w:t>
      </w:r>
      <w:r w:rsidR="007E4968">
        <w:t xml:space="preserve"> </w:t>
      </w:r>
      <w:r w:rsidR="1AE52AF9">
        <w:t>resided</w:t>
      </w:r>
      <w:r w:rsidR="00D3449C">
        <w:t xml:space="preserve"> independently</w:t>
      </w:r>
      <w:r w:rsidR="1AE52AF9">
        <w:t xml:space="preserve"> </w:t>
      </w:r>
      <w:r w:rsidR="0853DBA1">
        <w:t>in</w:t>
      </w:r>
      <w:r w:rsidR="00E07048">
        <w:t xml:space="preserve"> </w:t>
      </w:r>
      <w:r w:rsidR="1AE52AF9">
        <w:t xml:space="preserve">her own home </w:t>
      </w:r>
      <w:r>
        <w:t xml:space="preserve">in rural </w:t>
      </w:r>
      <w:r w:rsidR="00072AAD">
        <w:t>Queensland</w:t>
      </w:r>
      <w:r w:rsidR="00DBCD5E">
        <w:t xml:space="preserve">. Cathie was under </w:t>
      </w:r>
      <w:r w:rsidR="06412FDC">
        <w:t>review from</w:t>
      </w:r>
      <w:r>
        <w:t xml:space="preserve"> a locum GP</w:t>
      </w:r>
      <w:r w:rsidR="2446C0C0">
        <w:t xml:space="preserve"> as</w:t>
      </w:r>
      <w:r>
        <w:t xml:space="preserve"> </w:t>
      </w:r>
      <w:r w:rsidR="001A4A14">
        <w:t xml:space="preserve">she </w:t>
      </w:r>
      <w:r w:rsidR="00C4548C">
        <w:t xml:space="preserve">had </w:t>
      </w:r>
      <w:r>
        <w:t xml:space="preserve">been feeling very drowsy in the mornings and her blood sugars were dropping to low levels. The </w:t>
      </w:r>
      <w:r w:rsidR="00672E40">
        <w:t xml:space="preserve">locum </w:t>
      </w:r>
      <w:r>
        <w:t xml:space="preserve">GP felt a review </w:t>
      </w:r>
      <w:r w:rsidR="00E427D8">
        <w:t>of her insulin</w:t>
      </w:r>
      <w:r w:rsidR="03993359">
        <w:t xml:space="preserve"> </w:t>
      </w:r>
      <w:r w:rsidR="120D4A89">
        <w:t>medicine regime</w:t>
      </w:r>
      <w:r w:rsidR="00E427D8">
        <w:t xml:space="preserve"> </w:t>
      </w:r>
      <w:r>
        <w:t xml:space="preserve">was necessary </w:t>
      </w:r>
      <w:r w:rsidR="00E427D8">
        <w:t xml:space="preserve">and consulted </w:t>
      </w:r>
      <w:r w:rsidR="00AB2D31">
        <w:t>an RN</w:t>
      </w:r>
      <w:r>
        <w:t xml:space="preserve"> </w:t>
      </w:r>
      <w:r w:rsidR="008E1BE9">
        <w:t>credentialed</w:t>
      </w:r>
      <w:r>
        <w:t xml:space="preserve"> diabe</w:t>
      </w:r>
      <w:r w:rsidR="35F51DE4">
        <w:t xml:space="preserve">tic </w:t>
      </w:r>
      <w:r>
        <w:t>educator (CDE)</w:t>
      </w:r>
      <w:r w:rsidR="007830B1">
        <w:t xml:space="preserve"> for advice</w:t>
      </w:r>
      <w:r>
        <w:t xml:space="preserve">. On review and assessment by the RN CDE, it was noted that Cathie required an insulin dosage </w:t>
      </w:r>
      <w:r w:rsidR="6617D496">
        <w:t>change</w:t>
      </w:r>
      <w:r>
        <w:t xml:space="preserve">. The RN CDE consulted with the </w:t>
      </w:r>
      <w:r w:rsidR="00672E40">
        <w:t xml:space="preserve">locum </w:t>
      </w:r>
      <w:r>
        <w:t xml:space="preserve">GP </w:t>
      </w:r>
      <w:r w:rsidR="54F24DC2">
        <w:t xml:space="preserve">to advise on this requirement for change </w:t>
      </w:r>
      <w:r>
        <w:t>so a prescription could be written and filled</w:t>
      </w:r>
      <w:r w:rsidR="4CDB2514">
        <w:t xml:space="preserve"> on the RN CDE</w:t>
      </w:r>
      <w:r w:rsidR="0046291C">
        <w:t>’</w:t>
      </w:r>
      <w:r w:rsidR="4CDB2514">
        <w:t>s advice</w:t>
      </w:r>
      <w:r>
        <w:t>. Cathie had a prescription filled by the pharmacist and the</w:t>
      </w:r>
      <w:r w:rsidR="00384324">
        <w:t xml:space="preserve"> RN</w:t>
      </w:r>
      <w:r>
        <w:t xml:space="preserve"> CDE revisited Cathie at home once the script was filled to review </w:t>
      </w:r>
      <w:r w:rsidR="007C6AA6">
        <w:t xml:space="preserve">her </w:t>
      </w:r>
      <w:r>
        <w:t xml:space="preserve">progress and </w:t>
      </w:r>
      <w:r w:rsidR="00D00E95">
        <w:t>blood sugar levels</w:t>
      </w:r>
      <w:r>
        <w:t xml:space="preserve">. On review it was noted further </w:t>
      </w:r>
      <w:r w:rsidR="0DB93E1F">
        <w:t xml:space="preserve">dosage change </w:t>
      </w:r>
      <w:r>
        <w:t xml:space="preserve">was required and the RN CDE was </w:t>
      </w:r>
      <w:r w:rsidR="002B11B9">
        <w:t>again</w:t>
      </w:r>
      <w:r>
        <w:t xml:space="preserve"> required to provide </w:t>
      </w:r>
      <w:r>
        <w:lastRenderedPageBreak/>
        <w:t xml:space="preserve">further </w:t>
      </w:r>
      <w:r w:rsidR="5D87931C">
        <w:t xml:space="preserve">treatment </w:t>
      </w:r>
      <w:r>
        <w:t xml:space="preserve">advice </w:t>
      </w:r>
      <w:r w:rsidR="00F45A71">
        <w:t>to the locum GP.</w:t>
      </w:r>
      <w:r w:rsidR="00FA15F0">
        <w:t xml:space="preserve"> </w:t>
      </w:r>
      <w:r>
        <w:t xml:space="preserve">Cathie was advised to revisit the </w:t>
      </w:r>
      <w:r w:rsidR="00672E40">
        <w:t xml:space="preserve">locum </w:t>
      </w:r>
      <w:r>
        <w:t>GP once again</w:t>
      </w:r>
      <w:r w:rsidR="00F45A71">
        <w:t xml:space="preserve"> for these changes to be made</w:t>
      </w:r>
      <w:r>
        <w:t>. Cathie felt frustrated at having to revisit</w:t>
      </w:r>
      <w:r w:rsidR="008C651D">
        <w:t xml:space="preserve"> the </w:t>
      </w:r>
      <w:r w:rsidR="00672E40">
        <w:t xml:space="preserve">locum </w:t>
      </w:r>
      <w:r w:rsidR="008C651D">
        <w:t>GP</w:t>
      </w:r>
      <w:r>
        <w:t xml:space="preserve"> and wondered why the CDE RN who was </w:t>
      </w:r>
      <w:r w:rsidR="29CC0146">
        <w:t>managing</w:t>
      </w:r>
      <w:r>
        <w:t xml:space="preserve"> </w:t>
      </w:r>
      <w:r w:rsidR="796E7550">
        <w:t xml:space="preserve">her treatment regime in collaboration with the GP </w:t>
      </w:r>
      <w:r>
        <w:t>and specialised in diabetes management could not do this in her home.</w:t>
      </w:r>
    </w:p>
    <w:p w14:paraId="15602655" w14:textId="607602E8" w:rsidR="00A34158" w:rsidRDefault="007F55AB" w:rsidP="00150885">
      <w:pPr>
        <w:pStyle w:val="AHPRAbody"/>
        <w:outlineLvl w:val="0"/>
      </w:pPr>
      <w:r w:rsidRPr="000A0A80">
        <w:rPr>
          <w:lang w:val="en-US" w:eastAsia="en-NZ"/>
        </w:rPr>
        <w:t>There is a need for more timely</w:t>
      </w:r>
      <w:r w:rsidR="002247B3">
        <w:rPr>
          <w:lang w:val="en-US" w:eastAsia="en-NZ"/>
        </w:rPr>
        <w:t xml:space="preserve">, </w:t>
      </w:r>
      <w:r w:rsidRPr="000A0A80">
        <w:rPr>
          <w:lang w:val="en-US" w:eastAsia="en-NZ"/>
        </w:rPr>
        <w:t>convenient</w:t>
      </w:r>
      <w:r w:rsidR="002247B3">
        <w:rPr>
          <w:lang w:val="en-US" w:eastAsia="en-NZ"/>
        </w:rPr>
        <w:t xml:space="preserve"> and equitable</w:t>
      </w:r>
      <w:r w:rsidRPr="000A0A80">
        <w:rPr>
          <w:lang w:val="en-US" w:eastAsia="en-NZ"/>
        </w:rPr>
        <w:t xml:space="preserve"> patient access to medicines</w:t>
      </w:r>
      <w:r w:rsidR="002A7361">
        <w:rPr>
          <w:lang w:val="en-US" w:eastAsia="en-NZ"/>
        </w:rPr>
        <w:t xml:space="preserve"> to improve</w:t>
      </w:r>
      <w:r w:rsidR="00EF6EA4">
        <w:rPr>
          <w:lang w:val="en-US" w:eastAsia="en-NZ"/>
        </w:rPr>
        <w:t xml:space="preserve"> </w:t>
      </w:r>
      <w:r w:rsidR="002A7361">
        <w:rPr>
          <w:lang w:val="en-US" w:eastAsia="en-NZ"/>
        </w:rPr>
        <w:t xml:space="preserve">the experiences </w:t>
      </w:r>
      <w:r w:rsidR="002247B3">
        <w:rPr>
          <w:lang w:val="en-US" w:eastAsia="en-NZ"/>
        </w:rPr>
        <w:t xml:space="preserve">and outcomes </w:t>
      </w:r>
      <w:r w:rsidR="007C0B3E">
        <w:rPr>
          <w:lang w:val="en-US" w:eastAsia="en-NZ"/>
        </w:rPr>
        <w:t>for</w:t>
      </w:r>
      <w:r w:rsidR="002A7361">
        <w:rPr>
          <w:lang w:val="en-US" w:eastAsia="en-NZ"/>
        </w:rPr>
        <w:t xml:space="preserve"> </w:t>
      </w:r>
      <w:r w:rsidR="00D21323">
        <w:rPr>
          <w:lang w:val="en-US" w:eastAsia="en-NZ"/>
        </w:rPr>
        <w:t>h</w:t>
      </w:r>
      <w:r w:rsidR="002A7361">
        <w:rPr>
          <w:lang w:val="en-US" w:eastAsia="en-NZ"/>
        </w:rPr>
        <w:t xml:space="preserve">ealth </w:t>
      </w:r>
      <w:r w:rsidR="00D21323">
        <w:rPr>
          <w:lang w:val="en-US" w:eastAsia="en-NZ"/>
        </w:rPr>
        <w:t>c</w:t>
      </w:r>
      <w:r w:rsidR="002A7361">
        <w:rPr>
          <w:lang w:val="en-US" w:eastAsia="en-NZ"/>
        </w:rPr>
        <w:t xml:space="preserve">onsumers in </w:t>
      </w:r>
      <w:r w:rsidR="002247B3">
        <w:rPr>
          <w:lang w:val="en-US" w:eastAsia="en-NZ"/>
        </w:rPr>
        <w:t>Australia</w:t>
      </w:r>
      <w:r w:rsidR="00BF020A">
        <w:rPr>
          <w:lang w:val="en-US" w:eastAsia="en-NZ"/>
        </w:rPr>
        <w:t>.</w:t>
      </w:r>
      <w:r w:rsidR="002A7361">
        <w:rPr>
          <w:lang w:val="en-US" w:eastAsia="en-NZ"/>
        </w:rPr>
        <w:t xml:space="preserve"> </w:t>
      </w:r>
    </w:p>
    <w:p w14:paraId="69A2FAC5" w14:textId="77777777" w:rsidR="00F515EA" w:rsidRDefault="00F515EA" w:rsidP="00216AB8">
      <w:pPr>
        <w:spacing w:after="0"/>
        <w:outlineLvl w:val="0"/>
        <w:rPr>
          <w:rFonts w:cs="Arial"/>
        </w:rPr>
      </w:pPr>
    </w:p>
    <w:p w14:paraId="4D5E5943" w14:textId="048E5EE2" w:rsidR="00F5273F" w:rsidRDefault="00F5273F" w:rsidP="00F842D7">
      <w:pPr>
        <w:pStyle w:val="AHPRADocumentsubheading"/>
        <w:numPr>
          <w:ilvl w:val="0"/>
          <w:numId w:val="21"/>
        </w:numPr>
        <w:tabs>
          <w:tab w:val="left" w:pos="709"/>
        </w:tabs>
      </w:pPr>
      <w:bookmarkStart w:id="41" w:name="_Toc164692712"/>
      <w:r>
        <w:t>Why is Government action needed?</w:t>
      </w:r>
      <w:bookmarkEnd w:id="41"/>
      <w:r>
        <w:t xml:space="preserve"> </w:t>
      </w:r>
    </w:p>
    <w:p w14:paraId="70A074FD" w14:textId="4CC2A8C0" w:rsidR="00F5273F" w:rsidRDefault="00F5273F" w:rsidP="005D40AF">
      <w:pPr>
        <w:pStyle w:val="AHPRAbody"/>
      </w:pPr>
      <w:r>
        <w:t xml:space="preserve">Australian governments are committed to ensuring that all Australians, including those </w:t>
      </w:r>
      <w:r w:rsidR="004A564C">
        <w:t>in aged care, disadvantaged communities</w:t>
      </w:r>
      <w:r w:rsidR="00015DF8">
        <w:t xml:space="preserve"> and </w:t>
      </w:r>
      <w:r>
        <w:t xml:space="preserve">live in rural, regional and remote parts of Australia can access timely, safe and effective healthcare. This can potentially be achieved through the proposed designated RN prescribing model which has been developed by the NMBA and ANZCCNMO in response to the request by the former Health Workforce Principal Committee to explore potential models of RN prescribing. </w:t>
      </w:r>
    </w:p>
    <w:p w14:paraId="56B50425" w14:textId="77777777" w:rsidR="00F5273F" w:rsidRDefault="00F5273F" w:rsidP="005D40AF">
      <w:pPr>
        <w:pStyle w:val="AHPRAbody"/>
      </w:pPr>
      <w:r>
        <w:t xml:space="preserve">The </w:t>
      </w:r>
      <w:r>
        <w:rPr>
          <w:i/>
        </w:rPr>
        <w:t xml:space="preserve">National Healthcare Agreement </w:t>
      </w:r>
      <w:r w:rsidRPr="005D40AF">
        <w:rPr>
          <w:iCs/>
        </w:rPr>
        <w:t>(2022)</w:t>
      </w:r>
      <w:r>
        <w:t xml:space="preserve"> affirms the agreement of all governments that Australia's health system should provide all Australians with timely access to quality health services based on their needs, not their ability to pay, regardless of where they live in the country. </w:t>
      </w:r>
      <w:r>
        <w:rPr>
          <w:vertAlign w:val="superscript"/>
        </w:rPr>
        <w:t>1</w:t>
      </w:r>
      <w:r>
        <w:t xml:space="preserve"> </w:t>
      </w:r>
    </w:p>
    <w:p w14:paraId="271C3EFA" w14:textId="45ECAB9A" w:rsidR="00DB0547" w:rsidRDefault="00F5273F" w:rsidP="001152ED">
      <w:pPr>
        <w:pStyle w:val="AHPRAbody"/>
      </w:pPr>
      <w:r>
        <w:t>Although Australia has a federated model of government there is an opportunity to extend the prescribing rights of RNs in a nationally consistent manner</w:t>
      </w:r>
      <w:r w:rsidR="00D649BF">
        <w:t>.</w:t>
      </w:r>
      <w:r w:rsidR="00DB0547">
        <w:t xml:space="preserve"> </w:t>
      </w:r>
      <w:r w:rsidR="00D649BF">
        <w:t>This</w:t>
      </w:r>
      <w:r>
        <w:t xml:space="preserve"> </w:t>
      </w:r>
      <w:r w:rsidR="00D649BF">
        <w:t xml:space="preserve">includes </w:t>
      </w:r>
      <w:r>
        <w:t>the approach to education, competence and practice standards in relation to prescribing. A nationally consistent model of endorsed prescribing by suitably educated and qualified RNs has the potential to reduce the risk of confusion, inconsistency and potentially increase the confidence in the safety and effectiveness of health professional prescribing models, while retaining the current sovereignty of the states and territories to authorise prescribers under their drugs and poisons legislation.</w:t>
      </w:r>
      <w:r w:rsidR="000D2A2D">
        <w:t xml:space="preserve"> </w:t>
      </w:r>
    </w:p>
    <w:p w14:paraId="767832F3" w14:textId="3AB2AEA1" w:rsidR="00C26624" w:rsidRPr="00C26624" w:rsidRDefault="0090126D" w:rsidP="001152ED">
      <w:pPr>
        <w:pStyle w:val="AHPRAbody"/>
        <w:rPr>
          <w:rFonts w:ascii="Segoe UI" w:eastAsia="Times New Roman" w:hAnsi="Segoe UI" w:cs="Segoe UI"/>
          <w:color w:val="333333"/>
          <w:sz w:val="18"/>
          <w:szCs w:val="18"/>
        </w:rPr>
      </w:pPr>
      <w:r>
        <w:t xml:space="preserve">As the </w:t>
      </w:r>
      <w:r w:rsidR="00DB0547">
        <w:t>national</w:t>
      </w:r>
      <w:r w:rsidR="00E27057">
        <w:t xml:space="preserve"> </w:t>
      </w:r>
      <w:r>
        <w:t>regulato</w:t>
      </w:r>
      <w:r w:rsidR="00E27057">
        <w:t xml:space="preserve">r, the </w:t>
      </w:r>
      <w:r w:rsidR="000D2A2D">
        <w:t xml:space="preserve">NMBA </w:t>
      </w:r>
      <w:r w:rsidR="00E27057">
        <w:t>has the</w:t>
      </w:r>
      <w:r w:rsidR="003C4F02">
        <w:t xml:space="preserve"> expertise to regulate nursing practice </w:t>
      </w:r>
      <w:r w:rsidR="001A4E22">
        <w:t>and this could</w:t>
      </w:r>
      <w:r w:rsidR="00450BB6">
        <w:t xml:space="preserve"> </w:t>
      </w:r>
      <w:r w:rsidR="005E07C6">
        <w:t xml:space="preserve">overcome the </w:t>
      </w:r>
      <w:r w:rsidR="003F23CD">
        <w:t xml:space="preserve">unknown degree of </w:t>
      </w:r>
      <w:r w:rsidR="005E07C6">
        <w:t xml:space="preserve">risk that currently exists with current national </w:t>
      </w:r>
      <w:r w:rsidR="003F23CD">
        <w:t>inconsistencies</w:t>
      </w:r>
      <w:r w:rsidR="005E07C6">
        <w:t xml:space="preserve"> where an RN with no </w:t>
      </w:r>
      <w:r w:rsidR="003F23CD">
        <w:t>additional</w:t>
      </w:r>
      <w:r w:rsidR="005E07C6">
        <w:t xml:space="preserve"> training </w:t>
      </w:r>
      <w:r w:rsidR="00C95CE7">
        <w:t xml:space="preserve">or </w:t>
      </w:r>
      <w:r w:rsidR="0053492C">
        <w:t>preparation</w:t>
      </w:r>
      <w:r w:rsidR="00C95CE7">
        <w:t xml:space="preserve"> through supply causes can </w:t>
      </w:r>
      <w:r w:rsidR="003F23CD">
        <w:t>prescribe</w:t>
      </w:r>
      <w:r w:rsidR="00450BB6">
        <w:t xml:space="preserve"> medicines. </w:t>
      </w:r>
      <w:r w:rsidR="001A4E22">
        <w:t xml:space="preserve"> </w:t>
      </w:r>
    </w:p>
    <w:p w14:paraId="637BC6ED" w14:textId="546E4AFE" w:rsidR="00F5273F" w:rsidRPr="00B16BEB" w:rsidRDefault="00F5273F" w:rsidP="00216AB8">
      <w:pPr>
        <w:pStyle w:val="AHPRAbody"/>
        <w:outlineLvl w:val="0"/>
        <w:rPr>
          <w:color w:val="000000" w:themeColor="text1"/>
          <w:sz w:val="21"/>
          <w:szCs w:val="21"/>
        </w:rPr>
      </w:pPr>
      <w:r>
        <w:t xml:space="preserve">The NMBA has worked collaboratively with the Australian Nursing and Midwifery </w:t>
      </w:r>
      <w:r w:rsidR="000C4120">
        <w:t>Accreditation</w:t>
      </w:r>
      <w:r w:rsidR="006E3269">
        <w:t xml:space="preserve"> </w:t>
      </w:r>
      <w:r>
        <w:t xml:space="preserve">Council (ANMAC) in </w:t>
      </w:r>
      <w:r w:rsidRPr="5AA7423A">
        <w:rPr>
          <w:rFonts w:cstheme="minorBidi"/>
          <w:color w:val="000000" w:themeColor="text1"/>
        </w:rPr>
        <w:t xml:space="preserve">developing the new </w:t>
      </w:r>
      <w:r w:rsidR="007E30EC" w:rsidRPr="5AA7423A">
        <w:rPr>
          <w:rFonts w:cstheme="minorBidi"/>
          <w:color w:val="000000" w:themeColor="text1"/>
        </w:rPr>
        <w:t xml:space="preserve">national </w:t>
      </w:r>
      <w:r w:rsidRPr="006A4C87">
        <w:t xml:space="preserve">Registered </w:t>
      </w:r>
      <w:r w:rsidR="007E30EC" w:rsidRPr="006A4C87">
        <w:t>nurse prescribing accreditation standards</w:t>
      </w:r>
      <w:r w:rsidR="007E30EC">
        <w:t xml:space="preserve"> </w:t>
      </w:r>
      <w:r w:rsidRPr="5AA7423A">
        <w:rPr>
          <w:color w:val="000000" w:themeColor="text1"/>
        </w:rPr>
        <w:t xml:space="preserve">in preparation for the introduction of </w:t>
      </w:r>
      <w:r w:rsidR="007E30EC" w:rsidRPr="5AA7423A">
        <w:rPr>
          <w:color w:val="000000" w:themeColor="text1"/>
        </w:rPr>
        <w:t xml:space="preserve">designated </w:t>
      </w:r>
      <w:r w:rsidRPr="5AA7423A">
        <w:rPr>
          <w:color w:val="000000" w:themeColor="text1"/>
        </w:rPr>
        <w:t>RN prescribing</w:t>
      </w:r>
      <w:r w:rsidR="009F2E82" w:rsidRPr="5AA7423A">
        <w:rPr>
          <w:color w:val="000000" w:themeColor="text1"/>
        </w:rPr>
        <w:t xml:space="preserve">. </w:t>
      </w:r>
      <w:r w:rsidR="0030750F" w:rsidRPr="5AA7423A">
        <w:rPr>
          <w:color w:val="000000" w:themeColor="text1"/>
        </w:rPr>
        <w:t>These accreditation standards ensure</w:t>
      </w:r>
      <w:r w:rsidRPr="5AA7423A">
        <w:rPr>
          <w:color w:val="000000" w:themeColor="text1"/>
        </w:rPr>
        <w:t xml:space="preserve"> </w:t>
      </w:r>
      <w:r w:rsidR="00477D84" w:rsidRPr="5AA7423A">
        <w:rPr>
          <w:color w:val="000000" w:themeColor="text1"/>
        </w:rPr>
        <w:t xml:space="preserve">designated </w:t>
      </w:r>
      <w:r w:rsidRPr="5AA7423A">
        <w:rPr>
          <w:color w:val="000000" w:themeColor="text1"/>
        </w:rPr>
        <w:t>RN</w:t>
      </w:r>
      <w:r w:rsidR="00477D84" w:rsidRPr="5AA7423A">
        <w:rPr>
          <w:color w:val="000000" w:themeColor="text1"/>
        </w:rPr>
        <w:t xml:space="preserve"> prescriber</w:t>
      </w:r>
      <w:r w:rsidRPr="5AA7423A">
        <w:rPr>
          <w:color w:val="000000" w:themeColor="text1"/>
        </w:rPr>
        <w:t xml:space="preserve">s have the knowledge and skills to meet the </w:t>
      </w:r>
      <w:hyperlink r:id="rId11">
        <w:r w:rsidRPr="5AA7423A">
          <w:rPr>
            <w:rStyle w:val="Hyperlink"/>
            <w:rFonts w:eastAsia="Calibri"/>
          </w:rPr>
          <w:t>NPS</w:t>
        </w:r>
        <w:r w:rsidR="00716454" w:rsidRPr="5AA7423A">
          <w:rPr>
            <w:rStyle w:val="Hyperlink"/>
            <w:rFonts w:eastAsia="Calibri"/>
          </w:rPr>
          <w:t xml:space="preserve"> </w:t>
        </w:r>
        <w:r w:rsidRPr="5AA7423A">
          <w:rPr>
            <w:rStyle w:val="Hyperlink"/>
            <w:rFonts w:eastAsia="Calibri"/>
          </w:rPr>
          <w:t>National Prescribing Competencies Framework</w:t>
        </w:r>
      </w:hyperlink>
      <w:r w:rsidRPr="5AA7423A">
        <w:rPr>
          <w:rStyle w:val="CommentReference"/>
          <w:sz w:val="20"/>
          <w:szCs w:val="20"/>
        </w:rPr>
        <w:t xml:space="preserve"> </w:t>
      </w:r>
      <w:r w:rsidR="00A6734C" w:rsidRPr="5AA7423A">
        <w:rPr>
          <w:color w:val="000000" w:themeColor="text1"/>
        </w:rPr>
        <w:t xml:space="preserve">in order </w:t>
      </w:r>
      <w:r w:rsidRPr="5AA7423A">
        <w:rPr>
          <w:color w:val="000000" w:themeColor="text1"/>
        </w:rPr>
        <w:t>to prescribe medicines judiciously, appropriately, safely and effectively</w:t>
      </w:r>
      <w:r w:rsidR="00247CD7" w:rsidRPr="5AA7423A">
        <w:rPr>
          <w:color w:val="000000" w:themeColor="text1"/>
        </w:rPr>
        <w:t>.</w:t>
      </w:r>
      <w:r w:rsidRPr="5AA7423A">
        <w:rPr>
          <w:color w:val="000000" w:themeColor="text1"/>
        </w:rPr>
        <w:t xml:space="preserve"> </w:t>
      </w:r>
    </w:p>
    <w:p w14:paraId="1E8B5322" w14:textId="4B674A31" w:rsidR="00F5273F" w:rsidRDefault="00F5273F" w:rsidP="00216AB8">
      <w:pPr>
        <w:pStyle w:val="AHPRAbody"/>
        <w:outlineLvl w:val="0"/>
      </w:pPr>
      <w:r>
        <w:t>Health Ministers have governing responsibilities under the National Scheme including approving registration standards</w:t>
      </w:r>
      <w:r w:rsidR="00ED067D">
        <w:t xml:space="preserve"> for the endorsement for scheduled medicines</w:t>
      </w:r>
      <w:r>
        <w:t xml:space="preserve">. They also have individual responsibilities for scheduled medicines law authorisations under the relevant state or territory drugs and poisons legislation. A matrix outlining variations between the drugs and poisons legislation of each state and territory has been developed by the NMBA for communication to the Commonwealth, </w:t>
      </w:r>
      <w:r w:rsidR="00F6486B">
        <w:t xml:space="preserve">state </w:t>
      </w:r>
      <w:r>
        <w:t xml:space="preserve">and </w:t>
      </w:r>
      <w:r w:rsidR="00F6486B">
        <w:t xml:space="preserve">territory </w:t>
      </w:r>
      <w:r>
        <w:t>Chief Nursing and Midwifery Officers. While these current laws allow for the options outlined in this D-RIS to be endorsed with Ministerial approval, governments will need to assist by working towards a uniform and coregulatory approach of state and territory drugs and poisons legislation as currently there is lack of legislative consistency which could impede timely access to medicines for patients and further contributes to RNs working below their scope of practice</w:t>
      </w:r>
      <w:r w:rsidRPr="004E13F3">
        <w:t>.</w:t>
      </w:r>
      <w:r w:rsidRPr="00107F4E">
        <w:rPr>
          <w:vertAlign w:val="superscript"/>
        </w:rPr>
        <w:t xml:space="preserve"> </w:t>
      </w:r>
      <w:r w:rsidR="00AB6BED">
        <w:rPr>
          <w:vertAlign w:val="superscript"/>
        </w:rPr>
        <w:t xml:space="preserve">20 </w:t>
      </w:r>
      <w:r>
        <w:t xml:space="preserve">A </w:t>
      </w:r>
      <w:r w:rsidR="00697EAA">
        <w:t xml:space="preserve">nationally </w:t>
      </w:r>
      <w:r>
        <w:t xml:space="preserve">collaborative approach is required to resolve these issues in the best interests of access and equity for patients and clients. </w:t>
      </w:r>
    </w:p>
    <w:p w14:paraId="6200FB71" w14:textId="5F2338AA" w:rsidR="00F5273F" w:rsidRDefault="00F5273F" w:rsidP="00216AB8">
      <w:pPr>
        <w:pStyle w:val="AHPRAbody"/>
        <w:outlineLvl w:val="0"/>
      </w:pPr>
      <w:r>
        <w:t xml:space="preserve">Governments also have an interest </w:t>
      </w:r>
      <w:r w:rsidR="002E142D">
        <w:t>to</w:t>
      </w:r>
      <w:r>
        <w:t xml:space="preserve"> </w:t>
      </w:r>
      <w:r w:rsidR="002E142D">
        <w:t xml:space="preserve">ensure </w:t>
      </w:r>
      <w:r>
        <w:t>that their regulatory frameworks achieve their stated objectives, including through the National Scheme which is founded on the National Law</w:t>
      </w:r>
      <w:r w:rsidR="001F4D70">
        <w:t>.</w:t>
      </w:r>
      <w:r>
        <w:t xml:space="preserve"> Governments have indicated that RNs should be able to work to their full capability and scope of practice competently to address health inequities and to allow access to timely, safe, and appropriate quality healthcare. The NMBA has proposed the</w:t>
      </w:r>
      <w:r w:rsidRPr="0097021F">
        <w:rPr>
          <w:iCs/>
        </w:rPr>
        <w:t xml:space="preserve"> </w:t>
      </w:r>
      <w:r w:rsidRPr="00507170">
        <w:rPr>
          <w:iCs/>
        </w:rPr>
        <w:t>Registration standard: Endorsement for scheduled medicines – designated registered nurse prescriber</w:t>
      </w:r>
      <w:r>
        <w:t xml:space="preserve"> to address this problem. </w:t>
      </w:r>
    </w:p>
    <w:p w14:paraId="5ABB11D0" w14:textId="5FC58953" w:rsidR="00F5273F" w:rsidRDefault="00F5273F" w:rsidP="00216AB8">
      <w:pPr>
        <w:pStyle w:val="AHPRAbody"/>
        <w:outlineLvl w:val="0"/>
      </w:pPr>
      <w:r>
        <w:t xml:space="preserve">In a National Cabinet </w:t>
      </w:r>
      <w:r w:rsidR="00CB7FA9">
        <w:t xml:space="preserve">statement </w:t>
      </w:r>
      <w:r>
        <w:t xml:space="preserve">released on 28 April 2023, Ministers reaffirmed their commitment to strengthening Medicare measures which included supporting the nursing workforce to work </w:t>
      </w:r>
      <w:r w:rsidR="008E446C">
        <w:t xml:space="preserve">to their full </w:t>
      </w:r>
      <w:r w:rsidR="006F1839">
        <w:t>scope in</w:t>
      </w:r>
      <w:r>
        <w:t xml:space="preserve"> order to meet community needs and provide models of care to improve access and quality of care. </w:t>
      </w:r>
      <w:r w:rsidR="00636DBB">
        <w:rPr>
          <w:vertAlign w:val="superscript"/>
        </w:rPr>
        <w:t>6</w:t>
      </w:r>
      <w:r>
        <w:rPr>
          <w:vertAlign w:val="superscript"/>
        </w:rPr>
        <w:t>2</w:t>
      </w:r>
      <w:r w:rsidR="62DBE173" w:rsidRPr="07C39D30">
        <w:rPr>
          <w:vertAlign w:val="superscript"/>
        </w:rPr>
        <w:t>,</w:t>
      </w:r>
      <w:r w:rsidR="00636DBB">
        <w:rPr>
          <w:vertAlign w:val="superscript"/>
        </w:rPr>
        <w:t>6</w:t>
      </w:r>
      <w:r w:rsidR="62DBE173" w:rsidRPr="07C39D30">
        <w:rPr>
          <w:vertAlign w:val="superscript"/>
        </w:rPr>
        <w:t>3</w:t>
      </w:r>
    </w:p>
    <w:p w14:paraId="01EC7A74" w14:textId="516657AD" w:rsidR="00B60492" w:rsidRPr="005D40AF" w:rsidRDefault="00F5273F" w:rsidP="00216AB8">
      <w:pPr>
        <w:pStyle w:val="AHPRAbody"/>
        <w:outlineLvl w:val="0"/>
        <w:rPr>
          <w:vertAlign w:val="superscript"/>
        </w:rPr>
      </w:pPr>
      <w:r>
        <w:lastRenderedPageBreak/>
        <w:t xml:space="preserve">Additionally, the interim review report </w:t>
      </w:r>
      <w:r>
        <w:rPr>
          <w:i/>
        </w:rPr>
        <w:t>Independent review of overseas health practitioner regulatory settings</w:t>
      </w:r>
      <w:r>
        <w:t xml:space="preserve"> (the Kruk review) has been endorsed by National Cabinet.</w:t>
      </w:r>
      <w:r w:rsidR="00661E64">
        <w:t xml:space="preserve"> </w:t>
      </w:r>
      <w:r>
        <w:t xml:space="preserve">The interim report recognised and identified actions that governments and regulators needed to take to ensure all Australians can access timely and appropriate healthcare. These included structural changes which are required to meet key policy commitments across health, aged care and disability settings. This includes enhancing the skills of health professionals to work to full scope of practice. A key reform priority is to support changes in models of care in the best interest of the Australian </w:t>
      </w:r>
      <w:r w:rsidR="00EE2598">
        <w:t xml:space="preserve">community </w:t>
      </w:r>
      <w:r>
        <w:t xml:space="preserve">in order to meet future health service demands. This is underpinned by the need to allow professionals to work to their full capabilities, enabling innovative approaches to education and training that allows for the continuous development of a flexible, responsive and sustainable health workforce that enhances service delivery and ensures the health workforce is able to meet community needs. </w:t>
      </w:r>
      <w:r w:rsidR="009055AE">
        <w:rPr>
          <w:vertAlign w:val="superscript"/>
        </w:rPr>
        <w:t>6</w:t>
      </w:r>
      <w:r>
        <w:rPr>
          <w:vertAlign w:val="superscript"/>
        </w:rPr>
        <w:t>4</w:t>
      </w:r>
    </w:p>
    <w:p w14:paraId="3C972DA0" w14:textId="1CE3ADFC" w:rsidR="00661E64" w:rsidRDefault="00661E64" w:rsidP="00216AB8">
      <w:pPr>
        <w:pStyle w:val="AHPRAbody"/>
        <w:outlineLvl w:val="0"/>
      </w:pPr>
      <w:r>
        <w:t xml:space="preserve">At their </w:t>
      </w:r>
      <w:r w:rsidR="00D570B4" w:rsidRPr="00D570B4">
        <w:t>November 2023 meeting</w:t>
      </w:r>
      <w:r w:rsidR="00A92473" w:rsidRPr="00A92473">
        <w:rPr>
          <w:rStyle w:val="Hyperlink"/>
          <w:rFonts w:cs="Times New Roman"/>
          <w:u w:val="none"/>
        </w:rPr>
        <w:t xml:space="preserve"> </w:t>
      </w:r>
      <w:r>
        <w:t xml:space="preserve">Health Ministers </w:t>
      </w:r>
      <w:r w:rsidRPr="00661E64">
        <w:t>reaffirmed their commitment to national health workforce reform</w:t>
      </w:r>
      <w:r>
        <w:t xml:space="preserve"> and Ministers have agreed to support all recommendations from the Kruk review report, </w:t>
      </w:r>
      <w:r w:rsidRPr="00661E64">
        <w:t xml:space="preserve">with several recommendations to urgently improve registration pathways for international health practitioners. </w:t>
      </w:r>
      <w:r w:rsidR="00D570B4">
        <w:rPr>
          <w:vertAlign w:val="superscript"/>
        </w:rPr>
        <w:t>62</w:t>
      </w:r>
    </w:p>
    <w:p w14:paraId="238E9936" w14:textId="53C996A8" w:rsidR="00F5273F" w:rsidRDefault="00F5273F" w:rsidP="00216AB8">
      <w:pPr>
        <w:pStyle w:val="AHPRAbody"/>
        <w:outlineLvl w:val="0"/>
      </w:pPr>
      <w:r>
        <w:t>For this</w:t>
      </w:r>
      <w:r w:rsidR="005B2C5D">
        <w:t xml:space="preserve"> reform</w:t>
      </w:r>
      <w:r>
        <w:t xml:space="preserve"> to occur it is imperative that </w:t>
      </w:r>
      <w:r w:rsidR="00BA6C5C">
        <w:t xml:space="preserve">policies </w:t>
      </w:r>
      <w:r>
        <w:t xml:space="preserve">and processes are current, </w:t>
      </w:r>
      <w:r w:rsidR="001B2BBC">
        <w:t>flexible</w:t>
      </w:r>
      <w:r>
        <w:t xml:space="preserve"> and are supported by evidence and best practice standards to meet regulation and key government policy commitments that support changes to models of care. The NMBA in its role as the regulator, has responded to changes in healthcare and the environment and is ensuring that new standards developed are current in reflecting healthcare issues. This needs to be a coordinated legislative and regulatory approach with government. </w:t>
      </w:r>
    </w:p>
    <w:p w14:paraId="30988183" w14:textId="66E36E39" w:rsidR="00F5273F" w:rsidRDefault="00F5273F" w:rsidP="00216AB8">
      <w:pPr>
        <w:pStyle w:val="AHPRAbody"/>
        <w:outlineLvl w:val="0"/>
      </w:pPr>
      <w:r>
        <w:t>On 2 May 2023, Minister for Health and Aged Care, The Honourable Mark Butler in a speech for the National Press Club discussed the need for nurses to be at the forefront of reform in primary healthcare by having the training and expertise to deliver</w:t>
      </w:r>
      <w:r w:rsidR="00506A2E">
        <w:t xml:space="preserve"> the</w:t>
      </w:r>
      <w:r>
        <w:t xml:space="preserve"> care that a patient needs. The Minister also touched on a pertinent point</w:t>
      </w:r>
      <w:r w:rsidR="008934A1">
        <w:t xml:space="preserve">, </w:t>
      </w:r>
      <w:r w:rsidR="004E619F">
        <w:t>“</w:t>
      </w:r>
      <w:r>
        <w:t>even if our health professionals have the training and expertise and can work to their full scope they may be held back by a complex system in which the government intends to fully review through a commission on scope of practice</w:t>
      </w:r>
      <w:r w:rsidR="004E619F">
        <w:t>”</w:t>
      </w:r>
      <w:r>
        <w:t xml:space="preserve">. </w:t>
      </w:r>
      <w:r w:rsidR="009D6AD0">
        <w:rPr>
          <w:vertAlign w:val="superscript"/>
        </w:rPr>
        <w:t>6</w:t>
      </w:r>
      <w:r w:rsidRPr="5AA7423A">
        <w:rPr>
          <w:vertAlign w:val="superscript"/>
        </w:rPr>
        <w:t>5</w:t>
      </w:r>
    </w:p>
    <w:p w14:paraId="6B435D2B" w14:textId="010A62EC" w:rsidR="0012215C" w:rsidRPr="0003613E" w:rsidRDefault="00F5273F" w:rsidP="008A5ACF">
      <w:pPr>
        <w:pStyle w:val="AHPRAbody"/>
        <w:outlineLvl w:val="0"/>
        <w:rPr>
          <w:rFonts w:eastAsia="Times New Roman"/>
          <w:color w:val="313131"/>
        </w:rPr>
      </w:pPr>
      <w:r w:rsidRPr="002E5F9B">
        <w:t xml:space="preserve">The </w:t>
      </w:r>
      <w:r w:rsidRPr="5AA7423A">
        <w:rPr>
          <w:i/>
          <w:iCs/>
        </w:rPr>
        <w:t>Unleashing the Potential of our Health Workforce Review</w:t>
      </w:r>
      <w:r w:rsidRPr="5AA7423A">
        <w:rPr>
          <w:rStyle w:val="Emphasis"/>
          <w:rFonts w:asciiTheme="minorHAnsi" w:hAnsiTheme="minorHAnsi" w:cstheme="minorBidi"/>
          <w:color w:val="0A0606"/>
          <w:shd w:val="clear" w:color="auto" w:fill="FFFFFF"/>
        </w:rPr>
        <w:t xml:space="preserve"> </w:t>
      </w:r>
      <w:r w:rsidRPr="002E5F9B">
        <w:t xml:space="preserve">was formally announced on 28 August 2023 and </w:t>
      </w:r>
      <w:r>
        <w:t xml:space="preserve">affirmed the need </w:t>
      </w:r>
      <w:r w:rsidRPr="002E5F9B">
        <w:t xml:space="preserve">to </w:t>
      </w:r>
      <w:r w:rsidRPr="002E5F9B">
        <w:rPr>
          <w:shd w:val="clear" w:color="auto" w:fill="FFFFFF"/>
        </w:rPr>
        <w:t xml:space="preserve">optimise </w:t>
      </w:r>
      <w:r>
        <w:rPr>
          <w:shd w:val="clear" w:color="auto" w:fill="FFFFFF"/>
        </w:rPr>
        <w:t xml:space="preserve">the </w:t>
      </w:r>
      <w:r w:rsidRPr="002E5F9B">
        <w:rPr>
          <w:shd w:val="clear" w:color="auto" w:fill="FFFFFF"/>
        </w:rPr>
        <w:t>health workforce across a stretched primary care sector, boosting health access and equity across all communities with a particular focus on regional and remote areas</w:t>
      </w:r>
      <w:r w:rsidRPr="007B6258">
        <w:rPr>
          <w:shd w:val="clear" w:color="auto" w:fill="FFFFFF"/>
        </w:rPr>
        <w:t>.</w:t>
      </w:r>
      <w:r w:rsidR="79318A2B" w:rsidRPr="002E5F9B">
        <w:rPr>
          <w:shd w:val="clear" w:color="auto" w:fill="FFFFFF"/>
        </w:rPr>
        <w:t xml:space="preserve"> </w:t>
      </w:r>
      <w:r w:rsidR="00CC6EC8">
        <w:rPr>
          <w:rFonts w:eastAsia="Minion Pro"/>
          <w:szCs w:val="20"/>
          <w:shd w:val="clear" w:color="auto" w:fill="FFFFFF"/>
          <w:vertAlign w:val="superscript"/>
        </w:rPr>
        <w:t>6</w:t>
      </w:r>
      <w:r w:rsidR="0065783C">
        <w:rPr>
          <w:rFonts w:eastAsia="Minion Pro"/>
          <w:szCs w:val="20"/>
          <w:shd w:val="clear" w:color="auto" w:fill="FFFFFF"/>
          <w:vertAlign w:val="superscript"/>
        </w:rPr>
        <w:t>6,67</w:t>
      </w:r>
      <w:r w:rsidR="004B7062">
        <w:rPr>
          <w:rFonts w:eastAsia="Minion Pro"/>
          <w:szCs w:val="20"/>
          <w:shd w:val="clear" w:color="auto" w:fill="FFFFFF"/>
          <w:vertAlign w:val="superscript"/>
        </w:rPr>
        <w:t xml:space="preserve"> </w:t>
      </w:r>
      <w:r w:rsidR="00C62F3A">
        <w:rPr>
          <w:shd w:val="clear" w:color="auto" w:fill="FFFFFF"/>
        </w:rPr>
        <w:t>This</w:t>
      </w:r>
      <w:r w:rsidRPr="007B6258">
        <w:rPr>
          <w:shd w:val="clear" w:color="auto" w:fill="FFFFFF"/>
        </w:rPr>
        <w:t xml:space="preserve"> review will provide </w:t>
      </w:r>
      <w:r>
        <w:rPr>
          <w:shd w:val="clear" w:color="auto" w:fill="FFFFFF"/>
        </w:rPr>
        <w:t xml:space="preserve">a </w:t>
      </w:r>
      <w:r w:rsidRPr="007B6258">
        <w:rPr>
          <w:shd w:val="clear" w:color="auto" w:fill="FFFFFF"/>
        </w:rPr>
        <w:t xml:space="preserve">focus on RNs who are </w:t>
      </w:r>
      <w:r w:rsidRPr="00D908CF">
        <w:rPr>
          <w:shd w:val="clear" w:color="auto" w:fill="FFFFFF"/>
        </w:rPr>
        <w:t>currently</w:t>
      </w:r>
      <w:r w:rsidRPr="007B6258">
        <w:rPr>
          <w:shd w:val="clear" w:color="auto" w:fill="FFFFFF"/>
        </w:rPr>
        <w:t xml:space="preserve"> underutilised in the delivery of quality healthcare and are currently not able to work to </w:t>
      </w:r>
      <w:r w:rsidRPr="007B6258">
        <w:rPr>
          <w:rFonts w:eastAsia="Times New Roman"/>
          <w:color w:val="313131"/>
        </w:rPr>
        <w:t xml:space="preserve">their potential </w:t>
      </w:r>
      <w:r w:rsidR="004F2635">
        <w:rPr>
          <w:rFonts w:eastAsia="Times New Roman"/>
          <w:color w:val="313131"/>
        </w:rPr>
        <w:t>or full scope of practice</w:t>
      </w:r>
      <w:r w:rsidRPr="007B6258">
        <w:rPr>
          <w:rFonts w:eastAsia="Times New Roman"/>
          <w:color w:val="313131"/>
        </w:rPr>
        <w:t>.</w:t>
      </w:r>
    </w:p>
    <w:p w14:paraId="4D2B32EA" w14:textId="1C075C57" w:rsidR="008A5ACF" w:rsidRPr="00F223EC" w:rsidRDefault="00F223EC" w:rsidP="00D36A00">
      <w:pPr>
        <w:pStyle w:val="AHPRAbody"/>
      </w:pPr>
      <w:r>
        <w:t>T</w:t>
      </w:r>
      <w:r w:rsidR="008A5ACF" w:rsidRPr="00E26AD3">
        <w:t>his can be achieved by</w:t>
      </w:r>
      <w:r w:rsidR="00767D78" w:rsidRPr="00E26AD3">
        <w:t xml:space="preserve"> support in</w:t>
      </w:r>
      <w:r w:rsidR="008A5ACF" w:rsidRPr="00E26AD3">
        <w:t xml:space="preserve"> making better use of RNs’ skills and knowledge through designated RN prescribing. </w:t>
      </w:r>
      <w:r w:rsidR="008A5ACF" w:rsidRPr="00F223EC">
        <w:t>Addressing inequities in access to timely, safe, and appropriate quality healthcare in Australia has been long standing and continues to create ongoing challenges. The impact of these inequities is particularly evident in rural and remote areas, aged care and palliative care services, mental health and hospital settings and in settings with communities who do not always</w:t>
      </w:r>
      <w:r w:rsidR="00291E2D">
        <w:t xml:space="preserve"> have</w:t>
      </w:r>
      <w:r w:rsidR="008A5ACF" w:rsidRPr="00F223EC">
        <w:t xml:space="preserve"> access</w:t>
      </w:r>
      <w:r w:rsidR="00291E2D">
        <w:t xml:space="preserve"> to</w:t>
      </w:r>
      <w:r w:rsidR="008A5ACF" w:rsidRPr="00F223EC">
        <w:t xml:space="preserve"> mainstream services. Reduced access to quality healthcare contributes to individuals experiencing, in general, poorer health outcomes.</w:t>
      </w:r>
    </w:p>
    <w:p w14:paraId="0D4D0664" w14:textId="7685E8D3" w:rsidR="008A5ACF" w:rsidRPr="00F223EC" w:rsidRDefault="008A5ACF" w:rsidP="00D36A00">
      <w:pPr>
        <w:pStyle w:val="AHPRAbody"/>
      </w:pPr>
      <w:r w:rsidRPr="00F223EC">
        <w:t xml:space="preserve">RNs are the largest </w:t>
      </w:r>
      <w:r w:rsidR="00A135FB">
        <w:t>healthcare</w:t>
      </w:r>
      <w:r w:rsidRPr="00F223EC">
        <w:t xml:space="preserve"> workforce in </w:t>
      </w:r>
      <w:r w:rsidR="00FC28EB">
        <w:t>Australia.</w:t>
      </w:r>
      <w:r w:rsidRPr="00F223EC">
        <w:t xml:space="preserve"> </w:t>
      </w:r>
      <w:r w:rsidR="00FC28EB">
        <w:t>The</w:t>
      </w:r>
      <w:r w:rsidRPr="00F223EC">
        <w:t xml:space="preserve"> introduction of designated RN prescribers who </w:t>
      </w:r>
      <w:r w:rsidR="002F6A15">
        <w:t xml:space="preserve">are suitably educated and </w:t>
      </w:r>
      <w:r w:rsidR="003E5F14">
        <w:t xml:space="preserve">trained </w:t>
      </w:r>
      <w:r w:rsidR="003E5F14" w:rsidRPr="00F223EC">
        <w:t>to</w:t>
      </w:r>
      <w:r w:rsidRPr="00F223EC">
        <w:t xml:space="preserve"> prescribe would allow the provision of timely, safe and affordable access to a high-quality and reliable supply of medicines and medicines-related services for all Australians. This </w:t>
      </w:r>
      <w:r w:rsidR="00942396">
        <w:t>could create an environment where</w:t>
      </w:r>
      <w:r w:rsidRPr="00F223EC">
        <w:t xml:space="preserve"> medicines are used safely, optimally and judiciously, with a focus on informed choice and coordinated person-centred care.  Non-medical prescribing may contribute to the delivery of sustainable, responsive and affordable access to medicines.</w:t>
      </w:r>
      <w:r w:rsidR="00531012">
        <w:t xml:space="preserve"> </w:t>
      </w:r>
      <w:r w:rsidR="00807E90">
        <w:rPr>
          <w:vertAlign w:val="superscript"/>
        </w:rPr>
        <w:t>2,68,69</w:t>
      </w:r>
      <w:r w:rsidR="00531012" w:rsidRPr="00F223EC">
        <w:t xml:space="preserve"> </w:t>
      </w:r>
      <w:r w:rsidRPr="00F223EC">
        <w:t>It may reduce costs, increase access, and improve outcomes for patients without compromising safety and quality.</w:t>
      </w:r>
      <w:r w:rsidR="00F33F74">
        <w:t xml:space="preserve"> </w:t>
      </w:r>
      <w:r w:rsidR="00F33F74">
        <w:rPr>
          <w:vertAlign w:val="superscript"/>
        </w:rPr>
        <w:t>2,</w:t>
      </w:r>
      <w:r w:rsidR="0053262D">
        <w:rPr>
          <w:vertAlign w:val="superscript"/>
        </w:rPr>
        <w:t>70</w:t>
      </w:r>
      <w:r w:rsidRPr="00F223EC">
        <w:t xml:space="preserve"> It promotes a flexible workforce, which is an important initiative to ensure consistency of healthcare delivery as the Australian population ages.</w:t>
      </w:r>
      <w:r w:rsidR="0053262D">
        <w:t xml:space="preserve"> </w:t>
      </w:r>
      <w:r w:rsidR="0053262D">
        <w:rPr>
          <w:vertAlign w:val="superscript"/>
        </w:rPr>
        <w:t>2,69</w:t>
      </w:r>
    </w:p>
    <w:p w14:paraId="5EFAD376" w14:textId="105312DF" w:rsidR="008A5ACF" w:rsidRPr="00F223EC" w:rsidRDefault="008A5ACF" w:rsidP="00D36A00">
      <w:pPr>
        <w:pStyle w:val="AHPRAbody"/>
      </w:pPr>
      <w:r w:rsidRPr="00F223EC">
        <w:t>There is considerable scope for innovative approaches to improve healthcare. Allowing appropriately trained and supported RNs to prescribe within their scope of practice across healthcare settings is likely to reduce the pressure on Australia’s healthcare system and increase timely access to patient care and medicines and can assist in building workforce capacity and sustainability.</w:t>
      </w:r>
    </w:p>
    <w:p w14:paraId="03D44B9C" w14:textId="33438247" w:rsidR="00AF6507" w:rsidRPr="00F223EC" w:rsidRDefault="00453F39" w:rsidP="00D36A00">
      <w:pPr>
        <w:pStyle w:val="AHPRAbody"/>
      </w:pPr>
      <w:r w:rsidRPr="00F223EC">
        <w:t>An ageing population</w:t>
      </w:r>
      <w:r w:rsidR="00D74601">
        <w:t xml:space="preserve"> </w:t>
      </w:r>
      <w:r w:rsidR="008A5ACF" w:rsidRPr="00F223EC">
        <w:t>increase</w:t>
      </w:r>
      <w:r w:rsidR="00D74601">
        <w:t>s</w:t>
      </w:r>
      <w:r w:rsidR="008A5ACF" w:rsidRPr="00F223EC">
        <w:t xml:space="preserve"> in chronic health and comorbidities as well as the impacts of the COVID-19 </w:t>
      </w:r>
      <w:r w:rsidR="00004EC5">
        <w:t xml:space="preserve">and subsequent long COVID </w:t>
      </w:r>
      <w:r w:rsidR="008A5ACF" w:rsidRPr="00F223EC">
        <w:t xml:space="preserve">have contributed further to issues in the healthcare system. A strategic and innovative approach in the form of complementary reform in line with current health strategies and </w:t>
      </w:r>
      <w:r w:rsidR="008A5ACF" w:rsidRPr="00F223EC">
        <w:lastRenderedPageBreak/>
        <w:t>initiatives is required to address these inequalitie</w:t>
      </w:r>
      <w:r w:rsidR="00CB7D3E">
        <w:t>s.</w:t>
      </w:r>
      <w:r w:rsidR="008A5ACF" w:rsidRPr="00F223EC">
        <w:t xml:space="preserve"> </w:t>
      </w:r>
      <w:r w:rsidR="00CB7D3E">
        <w:t>P</w:t>
      </w:r>
      <w:r w:rsidR="008A5ACF" w:rsidRPr="00F223EC">
        <w:t>rovid</w:t>
      </w:r>
      <w:r w:rsidR="00CB7D3E">
        <w:t>ing</w:t>
      </w:r>
      <w:r w:rsidR="008A5ACF" w:rsidRPr="00F223EC">
        <w:t xml:space="preserve"> an appropriately skilled and better distributed RN workforce where RNs can work to their scope of practice maximising workforce potential in the form of more flexible care delivery is crucial to improving health outcomes.</w:t>
      </w:r>
    </w:p>
    <w:p w14:paraId="517FD3F3" w14:textId="4E4B67BE" w:rsidR="006E5E1F" w:rsidRDefault="0003613E" w:rsidP="00D36A00">
      <w:pPr>
        <w:pStyle w:val="AHPRAbody"/>
      </w:pPr>
      <w:r w:rsidRPr="003404EE">
        <w:t>Government action is needed</w:t>
      </w:r>
      <w:r w:rsidR="00BF521B" w:rsidRPr="003404EE">
        <w:t xml:space="preserve"> to</w:t>
      </w:r>
      <w:r w:rsidRPr="003404EE">
        <w:t xml:space="preserve"> </w:t>
      </w:r>
      <w:r w:rsidR="004F07C4" w:rsidRPr="003404EE">
        <w:t xml:space="preserve">enable RNs to </w:t>
      </w:r>
      <w:r w:rsidR="00214096" w:rsidRPr="003404EE">
        <w:t>expand the</w:t>
      </w:r>
      <w:r w:rsidR="004F07C4" w:rsidRPr="003404EE">
        <w:t>ir</w:t>
      </w:r>
      <w:r w:rsidRPr="003404EE">
        <w:t xml:space="preserve"> scope of practice</w:t>
      </w:r>
      <w:r w:rsidR="00214096" w:rsidRPr="003404EE">
        <w:t xml:space="preserve"> </w:t>
      </w:r>
      <w:r w:rsidR="00AF2102" w:rsidRPr="003404EE">
        <w:t>to prescribe schedule medicines</w:t>
      </w:r>
      <w:r w:rsidR="006D0012" w:rsidRPr="003404EE">
        <w:t xml:space="preserve"> </w:t>
      </w:r>
      <w:r w:rsidR="00860F33" w:rsidRPr="003404EE">
        <w:t>through the</w:t>
      </w:r>
      <w:r w:rsidR="006D0012" w:rsidRPr="003404EE">
        <w:t xml:space="preserve"> </w:t>
      </w:r>
      <w:r w:rsidR="00F0359A" w:rsidRPr="003404EE">
        <w:t xml:space="preserve">introduction of the </w:t>
      </w:r>
      <w:r w:rsidRPr="003404EE">
        <w:t>proposed Registration standard: Endorsement for scheduled medicines − designated registered nurse prescriber</w:t>
      </w:r>
      <w:r w:rsidR="00764B6F" w:rsidRPr="003404EE">
        <w:t>.</w:t>
      </w:r>
      <w:r w:rsidR="00860F33" w:rsidRPr="003404EE">
        <w:t xml:space="preserve"> </w:t>
      </w:r>
    </w:p>
    <w:p w14:paraId="51F96341" w14:textId="6378C759" w:rsidR="00AF6507" w:rsidRPr="00F223EC" w:rsidRDefault="0003613E" w:rsidP="00D36A00">
      <w:pPr>
        <w:pStyle w:val="AHPRAbody"/>
      </w:pPr>
      <w:r w:rsidRPr="005D40AF">
        <w:t>Government will be required to work through the barriers that have been identified in the scope of practice review such as harmonisation of the drugs and poisons legislation, support of education and training for RNs and the review of funding towards education and training</w:t>
      </w:r>
      <w:r w:rsidR="000320E5">
        <w:t>.</w:t>
      </w:r>
      <w:r w:rsidRPr="005D40AF">
        <w:t xml:space="preserve"> </w:t>
      </w:r>
      <w:r w:rsidR="0099618C">
        <w:t>Ensuring</w:t>
      </w:r>
      <w:r w:rsidR="0099618C" w:rsidRPr="005D40AF">
        <w:t xml:space="preserve"> </w:t>
      </w:r>
      <w:r w:rsidRPr="005D40AF">
        <w:t xml:space="preserve">that </w:t>
      </w:r>
      <w:r w:rsidR="00647434">
        <w:t>education and training is accessible</w:t>
      </w:r>
      <w:r w:rsidR="00D92B2C">
        <w:t xml:space="preserve"> and that </w:t>
      </w:r>
      <w:r w:rsidRPr="005D40AF">
        <w:t xml:space="preserve">RNs are incentivised to undertake </w:t>
      </w:r>
      <w:r w:rsidR="00D92B2C">
        <w:t>it</w:t>
      </w:r>
      <w:r w:rsidRPr="005D40AF">
        <w:t xml:space="preserve"> </w:t>
      </w:r>
      <w:r w:rsidR="00D92B2C">
        <w:t>will allow</w:t>
      </w:r>
      <w:r w:rsidRPr="005D40AF">
        <w:t xml:space="preserve"> RNs</w:t>
      </w:r>
      <w:r w:rsidR="00D92B2C">
        <w:t xml:space="preserve"> to acquire the knowledge they need</w:t>
      </w:r>
      <w:r w:rsidRPr="005D40AF">
        <w:t xml:space="preserve"> to work to full scope of practice. This will also include review of the</w:t>
      </w:r>
      <w:r w:rsidR="00511EED" w:rsidRPr="005D40AF">
        <w:t xml:space="preserve"> Medicare Benefits Schedule </w:t>
      </w:r>
      <w:r w:rsidR="004A7F12" w:rsidRPr="005D40AF">
        <w:t xml:space="preserve">for </w:t>
      </w:r>
      <w:r w:rsidR="00B2686D" w:rsidRPr="005D40AF">
        <w:t xml:space="preserve">access to increased </w:t>
      </w:r>
      <w:r w:rsidR="004A7F12" w:rsidRPr="005D40AF">
        <w:t>services in primary practice and the</w:t>
      </w:r>
      <w:r w:rsidRPr="005D40AF">
        <w:t xml:space="preserve"> current Pharmaceutical Benefits Scheme that allow equity in access to medicines without financial disadvantage to primary health consumers in the space of RN designated prescribing</w:t>
      </w:r>
      <w:r w:rsidR="00AD3D37" w:rsidRPr="005D40AF">
        <w:t>. It is important to note that whilst</w:t>
      </w:r>
      <w:r w:rsidRPr="005D40AF">
        <w:t xml:space="preserve"> the Commonwealth has some levers</w:t>
      </w:r>
      <w:r w:rsidR="004B2424">
        <w:t>,</w:t>
      </w:r>
      <w:r w:rsidRPr="005D40AF">
        <w:t xml:space="preserve"> it is working closely with the States and Territories collaboratively on </w:t>
      </w:r>
      <w:r w:rsidR="002E52FB">
        <w:t xml:space="preserve">expanded scope of practice </w:t>
      </w:r>
      <w:r w:rsidRPr="005D40AF">
        <w:t xml:space="preserve">projects </w:t>
      </w:r>
      <w:r w:rsidR="002E52FB">
        <w:t xml:space="preserve">which include </w:t>
      </w:r>
      <w:r w:rsidRPr="005D40AF">
        <w:t>federal and financial arrangements to ensure effective policy partnership in increasing the scope of practice.</w:t>
      </w:r>
      <w:r w:rsidR="00E93443" w:rsidRPr="005D40AF">
        <w:t xml:space="preserve"> </w:t>
      </w:r>
      <w:r w:rsidR="008C15EC">
        <w:rPr>
          <w:vertAlign w:val="superscript"/>
        </w:rPr>
        <w:t>9</w:t>
      </w:r>
      <w:r w:rsidR="008C15EC" w:rsidRPr="005D40AF" w:rsidDel="008C15EC">
        <w:t xml:space="preserve"> </w:t>
      </w:r>
    </w:p>
    <w:p w14:paraId="4CD6EFCC" w14:textId="53C0C684" w:rsidR="008F0418" w:rsidRDefault="008A5ACF" w:rsidP="007E79C1">
      <w:pPr>
        <w:ind w:right="7"/>
        <w:outlineLvl w:val="0"/>
      </w:pPr>
      <w:r w:rsidRPr="00F223EC">
        <w:t xml:space="preserve">The introduction of designated RN prescribing aims to address several key problems and multifaceted challenges within the healthcare system. An additional workforce with expertise in medicines management </w:t>
      </w:r>
      <w:r w:rsidR="000B6744">
        <w:t>and</w:t>
      </w:r>
      <w:r w:rsidRPr="00F223EC">
        <w:t xml:space="preserve"> the ability to prescribe has the potential to facilitate safe and improved access to medicines for all Australians. </w:t>
      </w:r>
      <w:r w:rsidR="00F5273F">
        <w:t xml:space="preserve">There is a case for </w:t>
      </w:r>
      <w:r w:rsidR="00B608AF">
        <w:t xml:space="preserve">designated </w:t>
      </w:r>
      <w:r w:rsidR="00F5273F">
        <w:t xml:space="preserve">RN prescribing to assist in addressing the inequities outlined in the problem statement. </w:t>
      </w:r>
    </w:p>
    <w:p w14:paraId="44FE32F4" w14:textId="579219E1" w:rsidR="00F5273F" w:rsidRDefault="00F5273F" w:rsidP="007E79C1">
      <w:pPr>
        <w:ind w:right="7"/>
        <w:outlineLvl w:val="0"/>
      </w:pPr>
      <w:r>
        <w:t>The NMBA is required to put forward advice and recommendations to Health Ministers</w:t>
      </w:r>
      <w:r w:rsidR="008F0418">
        <w:t>. A</w:t>
      </w:r>
      <w:r>
        <w:t xml:space="preserve">fter further wide-ranging public consultation that </w:t>
      </w:r>
      <w:r w:rsidR="00EC3909">
        <w:t xml:space="preserve">have </w:t>
      </w:r>
      <w:r>
        <w:t>provided the opportunity to test the strengths and weaknesses of the options outlined and address any additional impacts options that were not originally considered</w:t>
      </w:r>
      <w:r w:rsidR="008F0418">
        <w:t>, this can now be achieved</w:t>
      </w:r>
      <w:r>
        <w:t>.</w:t>
      </w:r>
    </w:p>
    <w:p w14:paraId="0ED11974" w14:textId="73EC643B" w:rsidR="00B608AF" w:rsidRDefault="00F5273F" w:rsidP="00216AB8">
      <w:pPr>
        <w:pStyle w:val="AHPRAbody"/>
        <w:outlineLvl w:val="0"/>
      </w:pPr>
      <w:r>
        <w:t xml:space="preserve">This is a problem that the free market cannot resolve and intervention from </w:t>
      </w:r>
      <w:r w:rsidR="00014CE8">
        <w:t xml:space="preserve">government </w:t>
      </w:r>
      <w:r w:rsidR="00B37218">
        <w:t xml:space="preserve">is </w:t>
      </w:r>
      <w:r w:rsidR="002A42C2">
        <w:t xml:space="preserve">needed </w:t>
      </w:r>
      <w:r w:rsidR="00395F9D">
        <w:t xml:space="preserve">in order </w:t>
      </w:r>
      <w:r>
        <w:t xml:space="preserve">to enable nurses to work to their full scope of practice. In turn, this is expected to contribute to </w:t>
      </w:r>
      <w:r w:rsidR="00C1417C">
        <w:t xml:space="preserve">the current </w:t>
      </w:r>
      <w:r>
        <w:t xml:space="preserve">workforce, </w:t>
      </w:r>
      <w:r w:rsidR="00C1417C">
        <w:t xml:space="preserve">future </w:t>
      </w:r>
      <w:r>
        <w:t xml:space="preserve">workforce sustainability and will increase the satisfaction and add value to the registered nurse role through the </w:t>
      </w:r>
      <w:r w:rsidR="004C5BBE">
        <w:t>NMBA</w:t>
      </w:r>
      <w:r w:rsidR="00AE21E9">
        <w:t xml:space="preserve">’s </w:t>
      </w:r>
      <w:r>
        <w:t xml:space="preserve">development of health prescribing pathways and of the </w:t>
      </w:r>
      <w:r w:rsidRPr="00057169">
        <w:t>Registration standard: Endorsement for scheduled medicines − designated registered nurse prescriber</w:t>
      </w:r>
      <w:r>
        <w:t>.</w:t>
      </w:r>
    </w:p>
    <w:p w14:paraId="34B9DA6F" w14:textId="20DDE48D" w:rsidR="0017093C" w:rsidRDefault="00F5273F" w:rsidP="00216AB8">
      <w:pPr>
        <w:pStyle w:val="AHPRAbody"/>
        <w:outlineLvl w:val="0"/>
      </w:pPr>
      <w:r>
        <w:t>This opportunity may also relieve the pressure points and problems identified in the health system that have been outlined in this consultation and produce positive changes to a situation that currently directly contributes to health inequities and subsequently through this implemented innovative intervention can improve outcomes in the</w:t>
      </w:r>
      <w:r w:rsidR="00C97CE8">
        <w:t xml:space="preserve"> </w:t>
      </w:r>
      <w:r>
        <w:t>patient’s journey.</w:t>
      </w:r>
    </w:p>
    <w:p w14:paraId="536FE396" w14:textId="77777777" w:rsidR="0017093C" w:rsidRDefault="0017093C" w:rsidP="00216AB8">
      <w:pPr>
        <w:spacing w:after="0"/>
        <w:outlineLvl w:val="0"/>
        <w:rPr>
          <w:rFonts w:cs="Arial"/>
        </w:rPr>
      </w:pPr>
      <w:r>
        <w:br w:type="page"/>
      </w:r>
    </w:p>
    <w:p w14:paraId="22B3D724" w14:textId="77777777" w:rsidR="00182128" w:rsidRDefault="00182128" w:rsidP="00F842D7">
      <w:pPr>
        <w:pStyle w:val="AHPRADocumentsubheading"/>
        <w:numPr>
          <w:ilvl w:val="0"/>
          <w:numId w:val="21"/>
        </w:numPr>
      </w:pPr>
      <w:bookmarkStart w:id="42" w:name="_Toc164692713"/>
      <w:r>
        <w:lastRenderedPageBreak/>
        <w:t>What policy options are you considering?</w:t>
      </w:r>
      <w:bookmarkEnd w:id="42"/>
      <w:r>
        <w:t xml:space="preserve"> </w:t>
      </w:r>
    </w:p>
    <w:p w14:paraId="73B83CF3" w14:textId="6CD58CCC" w:rsidR="0017093C" w:rsidRDefault="0017093C" w:rsidP="00216AB8">
      <w:pPr>
        <w:pStyle w:val="AHPRASubheading"/>
        <w:outlineLvl w:val="0"/>
      </w:pPr>
      <w:bookmarkStart w:id="43" w:name="_Toc164692714"/>
      <w:r>
        <w:t>3.1 Option 1 –</w:t>
      </w:r>
      <w:r w:rsidR="002A42C2">
        <w:t xml:space="preserve"> </w:t>
      </w:r>
      <w:r w:rsidR="00182128">
        <w:t>Retain the status quo</w:t>
      </w:r>
      <w:bookmarkEnd w:id="43"/>
    </w:p>
    <w:p w14:paraId="59D56E49" w14:textId="13C6C1C6" w:rsidR="00184627" w:rsidRDefault="0017093C" w:rsidP="00765DF3">
      <w:pPr>
        <w:pStyle w:val="AHPRAbody"/>
      </w:pPr>
      <w:r w:rsidRPr="00765DF3">
        <w:t xml:space="preserve">This option would mean that there are no changes to the current prescribing arrangements in Australia. </w:t>
      </w:r>
      <w:r w:rsidR="001620C0">
        <w:t>No</w:t>
      </w:r>
      <w:r w:rsidRPr="00765DF3">
        <w:t xml:space="preserve"> regulatory action or legislative change </w:t>
      </w:r>
      <w:r w:rsidR="001620C0">
        <w:t xml:space="preserve">would be required </w:t>
      </w:r>
      <w:r w:rsidRPr="00765DF3">
        <w:t xml:space="preserve">and access and equity to healthcare and medicine in metropolitan, rural and remote areas would remain </w:t>
      </w:r>
      <w:r w:rsidR="00394D8A">
        <w:t>unchanged</w:t>
      </w:r>
      <w:r w:rsidRPr="00765DF3">
        <w:t xml:space="preserve">. </w:t>
      </w:r>
      <w:r w:rsidR="008046D2" w:rsidRPr="00765DF3">
        <w:t xml:space="preserve"> </w:t>
      </w:r>
    </w:p>
    <w:p w14:paraId="7E073ABF" w14:textId="7ADBB5AC" w:rsidR="0017093C" w:rsidRDefault="008046D2" w:rsidP="00765DF3">
      <w:pPr>
        <w:pStyle w:val="AHPRAbody"/>
      </w:pPr>
      <w:r w:rsidRPr="00765DF3">
        <w:t xml:space="preserve">There </w:t>
      </w:r>
      <w:r w:rsidR="00181329" w:rsidRPr="00765DF3">
        <w:t xml:space="preserve">would be </w:t>
      </w:r>
      <w:r w:rsidRPr="00765DF3">
        <w:t>continuation of risk posed by inconsistent education and governance requirements for RNs who are authorised to 'supply' through state regulations.</w:t>
      </w:r>
    </w:p>
    <w:p w14:paraId="6E5025D5" w14:textId="741E50F8" w:rsidR="000D565A" w:rsidRDefault="00CE6473" w:rsidP="00765DF3">
      <w:pPr>
        <w:pStyle w:val="AHPRAbody"/>
      </w:pPr>
      <w:r>
        <w:t>Additionally</w:t>
      </w:r>
      <w:r w:rsidR="00BD285E">
        <w:t>,</w:t>
      </w:r>
      <w:r w:rsidR="000D565A">
        <w:t xml:space="preserve"> b</w:t>
      </w:r>
      <w:r>
        <w:t>y maintaining the status quo through not enabling RNs to work to their full capability and scope of practice</w:t>
      </w:r>
      <w:r w:rsidR="00BD285E">
        <w:t>,</w:t>
      </w:r>
      <w:r>
        <w:t xml:space="preserve"> the government objectives and initiatives under the National Health Care Agreement 2022, The Stronger Rural Health Strategy, the Future Focused Health Care </w:t>
      </w:r>
      <w:r w:rsidR="00CF17D4">
        <w:t xml:space="preserve">Plan and Australia’s National Medicines Policy </w:t>
      </w:r>
      <w:r>
        <w:t xml:space="preserve">would not be met.  </w:t>
      </w:r>
    </w:p>
    <w:p w14:paraId="1BC6CB8F" w14:textId="430005B7" w:rsidR="001E4615" w:rsidRDefault="00CE6473" w:rsidP="00CE6473">
      <w:pPr>
        <w:pStyle w:val="BodyText"/>
        <w:outlineLvl w:val="0"/>
      </w:pPr>
      <w:r>
        <w:t>The option to retain the status quo</w:t>
      </w:r>
      <w:r w:rsidR="00CF17D4">
        <w:t xml:space="preserve"> also</w:t>
      </w:r>
      <w:r>
        <w:t xml:space="preserve"> does little to follow the recommendations that came out of the </w:t>
      </w:r>
      <w:hyperlink r:id="rId12" w:history="1">
        <w:r w:rsidRPr="00125A2C">
          <w:rPr>
            <w:rStyle w:val="Hyperlink"/>
          </w:rPr>
          <w:t xml:space="preserve">Royal Commission into </w:t>
        </w:r>
        <w:r w:rsidR="00CF17D4">
          <w:rPr>
            <w:rStyle w:val="Hyperlink"/>
          </w:rPr>
          <w:t xml:space="preserve">the </w:t>
        </w:r>
        <w:r w:rsidRPr="00125A2C">
          <w:rPr>
            <w:rStyle w:val="Hyperlink"/>
          </w:rPr>
          <w:t>Aged Care Quality and Safety Final Report</w:t>
        </w:r>
      </w:hyperlink>
      <w:r w:rsidR="00BD285E">
        <w:rPr>
          <w:rStyle w:val="Hyperlink"/>
        </w:rPr>
        <w:t>,</w:t>
      </w:r>
      <w:r>
        <w:t xml:space="preserve"> </w:t>
      </w:r>
      <w:r w:rsidR="00CF17D4">
        <w:t xml:space="preserve">in </w:t>
      </w:r>
      <w:r w:rsidR="001E4615">
        <w:t>continu</w:t>
      </w:r>
      <w:r w:rsidR="00CF17D4">
        <w:t>ing</w:t>
      </w:r>
      <w:r w:rsidR="001E4615">
        <w:t xml:space="preserve"> work on the National Agreement on Closing the Gap to ensure Aboriginal and Torres Strait Islander </w:t>
      </w:r>
      <w:r w:rsidR="00CF17D4">
        <w:t xml:space="preserve">People </w:t>
      </w:r>
      <w:r w:rsidR="001E4615">
        <w:t>have increased access to health and achieve better outcomes</w:t>
      </w:r>
      <w:r w:rsidR="00BD285E">
        <w:t>,</w:t>
      </w:r>
      <w:r w:rsidR="001E4615">
        <w:t xml:space="preserve"> or the National Health Act 1953 which saw reforms made with the intent to improve access to medicines to Aboriginal and Torres Strait Islander People.</w:t>
      </w:r>
    </w:p>
    <w:p w14:paraId="65BEADA8" w14:textId="2E8993C8" w:rsidR="00CE6473" w:rsidRPr="00765DF3" w:rsidRDefault="001E4615" w:rsidP="00CF17D4">
      <w:pPr>
        <w:pStyle w:val="BodyText"/>
        <w:outlineLvl w:val="0"/>
      </w:pPr>
      <w:r>
        <w:t xml:space="preserve">Australia </w:t>
      </w:r>
      <w:r w:rsidR="00CF17D4">
        <w:t xml:space="preserve">has </w:t>
      </w:r>
      <w:r>
        <w:t xml:space="preserve">a signatory to </w:t>
      </w:r>
      <w:r w:rsidR="00CF17D4">
        <w:t>the Declaration of Alma Ater and the Sustainable Development Goals</w:t>
      </w:r>
      <w:r w:rsidR="00BD285E">
        <w:t>.</w:t>
      </w:r>
      <w:r w:rsidR="00CF17D4">
        <w:t xml:space="preserve"> </w:t>
      </w:r>
      <w:r w:rsidR="00BD285E">
        <w:t>U</w:t>
      </w:r>
      <w:r w:rsidR="00CF17D4">
        <w:t>nder these declarations it is a human right for appropropiate and timely acce</w:t>
      </w:r>
      <w:r w:rsidR="00BD285E">
        <w:t>s</w:t>
      </w:r>
      <w:r w:rsidR="00CF17D4">
        <w:t>s to medicine</w:t>
      </w:r>
      <w:r w:rsidR="00BD285E">
        <w:t>. These</w:t>
      </w:r>
      <w:r w:rsidR="00CF17D4">
        <w:t xml:space="preserve"> objectives cannot be met by maintaing the status q</w:t>
      </w:r>
      <w:r w:rsidR="00BC1AEB">
        <w:t>uo</w:t>
      </w:r>
      <w:r w:rsidR="00CF17D4">
        <w:t>.</w:t>
      </w:r>
    </w:p>
    <w:p w14:paraId="7665B6FB" w14:textId="77777777" w:rsidR="0017093C" w:rsidRDefault="0017093C" w:rsidP="00216AB8">
      <w:pPr>
        <w:pStyle w:val="AHPRASubheading"/>
        <w:outlineLvl w:val="0"/>
      </w:pPr>
      <w:bookmarkStart w:id="44" w:name="_Toc164692715"/>
      <w:r>
        <w:t>3.2 Option 2 – RNs expand their scope of practice to prescribe Schedule 2, 3, 4 and 8 medicines under supervision, in accordance with governance frameworks and prescribing agreements.</w:t>
      </w:r>
      <w:bookmarkEnd w:id="44"/>
    </w:p>
    <w:p w14:paraId="3729B64B" w14:textId="7941F065" w:rsidR="0017093C" w:rsidRPr="008F326A" w:rsidRDefault="0017093C" w:rsidP="00216AB8">
      <w:pPr>
        <w:pStyle w:val="AHPRAbody"/>
        <w:outlineLvl w:val="0"/>
      </w:pPr>
      <w:r w:rsidRPr="008F326A">
        <w:t xml:space="preserve">This option proposes that suitably educated, qualified and authorised RNs could expand their scope of practice to prescribe scheduled medicines. To give </w:t>
      </w:r>
      <w:bookmarkStart w:id="45" w:name="_Hlk158191909"/>
      <w:r w:rsidRPr="008F326A">
        <w:t xml:space="preserve">effect to this option in accordance with the National Law, the NMBA would bring forward the proposed </w:t>
      </w:r>
      <w:r w:rsidRPr="005431A4">
        <w:t>Registration standard: Endorsement for scheduled medicines − designated registered nurse prescriber</w:t>
      </w:r>
      <w:r w:rsidRPr="008F326A">
        <w:t xml:space="preserve"> to Health Ministers for approval. RNs with this endorsement would be called </w:t>
      </w:r>
      <w:r w:rsidRPr="0068193E">
        <w:rPr>
          <w:b/>
          <w:bCs/>
        </w:rPr>
        <w:t>designated RN prescribers</w:t>
      </w:r>
      <w:r w:rsidRPr="008F326A">
        <w:t>.</w:t>
      </w:r>
    </w:p>
    <w:p w14:paraId="56431F81" w14:textId="7DEB0C69" w:rsidR="0017093C" w:rsidRDefault="0017093C" w:rsidP="00216AB8">
      <w:pPr>
        <w:pStyle w:val="AHPRAbody"/>
        <w:outlineLvl w:val="0"/>
      </w:pPr>
      <w:r>
        <w:t xml:space="preserve">The proposed registration standard would allow for RNs who </w:t>
      </w:r>
      <w:r w:rsidR="006C7A3C">
        <w:t>successfully complete</w:t>
      </w:r>
      <w:r>
        <w:t xml:space="preserve"> an </w:t>
      </w:r>
      <w:r w:rsidR="006C7A3C">
        <w:t>NMBA-</w:t>
      </w:r>
      <w:r>
        <w:t xml:space="preserve">approved postgraduate qualification to prescribe </w:t>
      </w:r>
      <w:r w:rsidR="0068193E">
        <w:t>S</w:t>
      </w:r>
      <w:r>
        <w:t>chedule 2,</w:t>
      </w:r>
      <w:r w:rsidR="00AF298D">
        <w:t xml:space="preserve"> </w:t>
      </w:r>
      <w:r>
        <w:t>3,</w:t>
      </w:r>
      <w:r w:rsidR="00AF298D">
        <w:t xml:space="preserve"> </w:t>
      </w:r>
      <w:r>
        <w:t xml:space="preserve">4 and 8 medicines </w:t>
      </w:r>
      <w:r w:rsidR="00386265">
        <w:t xml:space="preserve">as a designated RN prescriber, </w:t>
      </w:r>
      <w:r>
        <w:t xml:space="preserve">under supervision and in collaboration with an authorised </w:t>
      </w:r>
      <w:r w:rsidR="0068193E">
        <w:t>health practitioner</w:t>
      </w:r>
      <w:r w:rsidR="0006338C">
        <w:t>,</w:t>
      </w:r>
      <w:r w:rsidR="0068193E">
        <w:t xml:space="preserve"> </w:t>
      </w:r>
      <w:r>
        <w:t>to patients and clients.</w:t>
      </w:r>
    </w:p>
    <w:bookmarkEnd w:id="45"/>
    <w:p w14:paraId="681C83E8" w14:textId="7E663FEE" w:rsidR="0017093C" w:rsidRDefault="0017093C" w:rsidP="00216AB8">
      <w:pPr>
        <w:pStyle w:val="AHPRAbody"/>
        <w:outlineLvl w:val="0"/>
      </w:pPr>
      <w:r>
        <w:t xml:space="preserve">Nurses are the largest </w:t>
      </w:r>
      <w:r w:rsidR="004D19E4">
        <w:t xml:space="preserve">cohort within the </w:t>
      </w:r>
      <w:r>
        <w:t>healthcare workforce</w:t>
      </w:r>
      <w:r w:rsidR="003C5D70">
        <w:t xml:space="preserve"> </w:t>
      </w:r>
      <w:r>
        <w:t xml:space="preserve">and work with a range of populations in a variety of settings and are integral to all areas of healthcare. Expanding </w:t>
      </w:r>
      <w:r w:rsidR="003C02CF">
        <w:t xml:space="preserve">the </w:t>
      </w:r>
      <w:r>
        <w:t xml:space="preserve">RN scope of practice provides a real opportunity for </w:t>
      </w:r>
      <w:r w:rsidR="003C02CF">
        <w:t xml:space="preserve">the development of </w:t>
      </w:r>
      <w:r>
        <w:t>innovati</w:t>
      </w:r>
      <w:r w:rsidR="003C02CF">
        <w:t>ve</w:t>
      </w:r>
      <w:r>
        <w:t xml:space="preserve"> of models of care, that include</w:t>
      </w:r>
      <w:r w:rsidR="00A70DC1">
        <w:t>s</w:t>
      </w:r>
      <w:r>
        <w:t xml:space="preserve"> prescribing</w:t>
      </w:r>
      <w:r w:rsidR="00A70DC1">
        <w:t>,</w:t>
      </w:r>
      <w:r>
        <w:t xml:space="preserve"> to improve equity and access </w:t>
      </w:r>
      <w:r w:rsidR="00B84BE9">
        <w:t xml:space="preserve">for </w:t>
      </w:r>
      <w:r>
        <w:t>all Australians to medications and comprehensive, collaborative holistic healthcare that is not fragmented.</w:t>
      </w:r>
    </w:p>
    <w:p w14:paraId="28FD58A3" w14:textId="0B7E1EF8" w:rsidR="0017093C" w:rsidRDefault="00B84BE9" w:rsidP="00216AB8">
      <w:pPr>
        <w:pStyle w:val="AHPRAbody"/>
        <w:outlineLvl w:val="0"/>
      </w:pPr>
      <w:r>
        <w:t xml:space="preserve">Designated </w:t>
      </w:r>
      <w:r w:rsidR="0017093C">
        <w:t xml:space="preserve">RN prescribing can help address shortages of primary care providers, especially in rural and underserved areas. It expands the workforce capabilities of providing essential healthcare services, making it easier for patients to receive timely treatment. Streamlined </w:t>
      </w:r>
      <w:r w:rsidR="0072579E">
        <w:t>healthcare services</w:t>
      </w:r>
      <w:r w:rsidR="00197899">
        <w:t xml:space="preserve"> </w:t>
      </w:r>
      <w:r w:rsidR="0017093C">
        <w:t xml:space="preserve">that can be provided through </w:t>
      </w:r>
      <w:r w:rsidR="00197899">
        <w:t xml:space="preserve">designated </w:t>
      </w:r>
      <w:r w:rsidR="0017093C">
        <w:t xml:space="preserve">RN prescribing can lead to more efficient and timely patient care through collaborative approaches with GPs and </w:t>
      </w:r>
      <w:r w:rsidR="00320E7F">
        <w:t>NP</w:t>
      </w:r>
      <w:r w:rsidR="00197899">
        <w:t>s</w:t>
      </w:r>
      <w:r w:rsidR="0017093C">
        <w:t xml:space="preserve">. </w:t>
      </w:r>
    </w:p>
    <w:p w14:paraId="1A3E3AA3" w14:textId="59A2349F" w:rsidR="0017093C" w:rsidRPr="00673BE0" w:rsidRDefault="002F1679" w:rsidP="00216AB8">
      <w:pPr>
        <w:pStyle w:val="AHPRAbody"/>
        <w:outlineLvl w:val="0"/>
      </w:pPr>
      <w:r>
        <w:t xml:space="preserve">Designated </w:t>
      </w:r>
      <w:r w:rsidR="0017093C">
        <w:t>RN</w:t>
      </w:r>
      <w:r>
        <w:t xml:space="preserve"> prescribers</w:t>
      </w:r>
      <w:r w:rsidR="0017093C">
        <w:t xml:space="preserve"> could prescribe medicines promptly, reducing delays in treatment and improving patient satisfaction. Continuity of </w:t>
      </w:r>
      <w:r>
        <w:t xml:space="preserve">care </w:t>
      </w:r>
      <w:r w:rsidR="0017093C">
        <w:t xml:space="preserve">would be extended as RNs often have a deeper understanding of their patients' medical histories and health needs and can ensure a more seamless continuity of care and better integration of treatment plans. Designated RN prescribers could potentially improve </w:t>
      </w:r>
      <w:r>
        <w:t xml:space="preserve">chronic disease </w:t>
      </w:r>
      <w:r w:rsidR="0017093C">
        <w:t xml:space="preserve">such as diabetes or hypertension through review, adjustments and close monitoring and assessment whilst providing education on medication adherence and lifestyle changes. </w:t>
      </w:r>
      <w:r w:rsidR="000C7A35">
        <w:t xml:space="preserve">Designated </w:t>
      </w:r>
      <w:r w:rsidR="0017093C">
        <w:t>RN prescribing though a framework of collaborative practice with GPs, NPs, patients/clients and their families ensure</w:t>
      </w:r>
      <w:r w:rsidR="000C7A35">
        <w:t>s</w:t>
      </w:r>
      <w:r w:rsidR="0017093C">
        <w:t xml:space="preserve"> that any prescribing decisions are promoting safety </w:t>
      </w:r>
      <w:r w:rsidR="008C1DB5">
        <w:t xml:space="preserve">with </w:t>
      </w:r>
      <w:r w:rsidR="0017093C">
        <w:t>accountability. Additionally, RNs are skilled educators who can provide patients with essential information about their medicines, potential side effects, and how to take them properly. This can result in enhanced patient compliance and safety.</w:t>
      </w:r>
    </w:p>
    <w:p w14:paraId="605C3563" w14:textId="6AEA041F" w:rsidR="0017093C" w:rsidRDefault="0017093C" w:rsidP="00216AB8">
      <w:pPr>
        <w:pStyle w:val="AHPRASubheading"/>
        <w:outlineLvl w:val="0"/>
      </w:pPr>
      <w:bookmarkStart w:id="46" w:name="_Toc164692716"/>
      <w:r>
        <w:lastRenderedPageBreak/>
        <w:t>3.3 Option 2a – Enable RNs to expand their scope of practice to prescribe Schedule 2, 3, and 4 medicine</w:t>
      </w:r>
      <w:r w:rsidR="0068530A">
        <w:t>s</w:t>
      </w:r>
      <w:bookmarkEnd w:id="46"/>
    </w:p>
    <w:p w14:paraId="30489B08" w14:textId="6E8A31DE" w:rsidR="00524DCB" w:rsidRDefault="0017093C" w:rsidP="00814752">
      <w:pPr>
        <w:pStyle w:val="AHPRAbody"/>
        <w:outlineLvl w:val="0"/>
      </w:pPr>
      <w:r>
        <w:t xml:space="preserve">During the development of the proposed model of prescribing and earlier consultation with stakeholders, consideration was given to whether </w:t>
      </w:r>
      <w:r w:rsidR="00BC6070">
        <w:t xml:space="preserve">the </w:t>
      </w:r>
      <w:r>
        <w:t>endorsement should extend to Schedule 8 medicines.</w:t>
      </w:r>
      <w:r w:rsidR="00EB730E">
        <w:t xml:space="preserve"> </w:t>
      </w:r>
      <w:r w:rsidR="00841E38">
        <w:t>Several</w:t>
      </w:r>
      <w:r w:rsidR="00071C55">
        <w:t xml:space="preserve"> stakeholders</w:t>
      </w:r>
      <w:r w:rsidR="00E72CE7">
        <w:t xml:space="preserve"> </w:t>
      </w:r>
      <w:r>
        <w:t xml:space="preserve">raised concerns about the inclusion of Schedule 8 medicines due to the higher risk </w:t>
      </w:r>
      <w:r w:rsidR="00D72125">
        <w:t xml:space="preserve">for </w:t>
      </w:r>
      <w:r w:rsidR="00012084" w:rsidRPr="00D72125">
        <w:t>potential for misuse, abuse and dependence</w:t>
      </w:r>
      <w:r w:rsidR="00012084">
        <w:t xml:space="preserve"> </w:t>
      </w:r>
      <w:r w:rsidR="00071C55">
        <w:t xml:space="preserve">associated with </w:t>
      </w:r>
      <w:r>
        <w:t xml:space="preserve">these </w:t>
      </w:r>
      <w:r w:rsidR="004F3223">
        <w:t>medicines</w:t>
      </w:r>
      <w:r>
        <w:t xml:space="preserve">. There was also </w:t>
      </w:r>
      <w:r w:rsidR="00AA5F41">
        <w:t xml:space="preserve">mixed </w:t>
      </w:r>
      <w:r>
        <w:t>feedback from key stakeholders</w:t>
      </w:r>
      <w:r w:rsidR="00AD5344">
        <w:t xml:space="preserve"> such as the Chief State and Territory Nurses</w:t>
      </w:r>
      <w:r>
        <w:t>,</w:t>
      </w:r>
      <w:r w:rsidR="00AD5344">
        <w:t xml:space="preserve"> The </w:t>
      </w:r>
      <w:r w:rsidR="001D5531">
        <w:t>Australian</w:t>
      </w:r>
      <w:r w:rsidR="00AD5344">
        <w:t xml:space="preserve"> College of Nurse</w:t>
      </w:r>
      <w:r w:rsidR="001D5531">
        <w:t>s</w:t>
      </w:r>
      <w:r w:rsidR="00AC63D4">
        <w:t xml:space="preserve">, The Australian Nursing and Midwifery Federation, </w:t>
      </w:r>
      <w:r w:rsidR="006E7362">
        <w:t>Australian</w:t>
      </w:r>
      <w:r w:rsidR="00AC63D4">
        <w:t xml:space="preserve"> Primary </w:t>
      </w:r>
      <w:r w:rsidR="00D74E01">
        <w:t>Nurses Association</w:t>
      </w:r>
      <w:r w:rsidR="00AC63D4">
        <w:t>, Co</w:t>
      </w:r>
      <w:r w:rsidR="00EB6117">
        <w:t>ngress</w:t>
      </w:r>
      <w:r w:rsidR="00AC63D4">
        <w:t xml:space="preserve"> of </w:t>
      </w:r>
      <w:r w:rsidR="00C0790D">
        <w:t xml:space="preserve">Aboriginal and Torres </w:t>
      </w:r>
      <w:r w:rsidR="00BF5059">
        <w:t>Strait</w:t>
      </w:r>
      <w:r w:rsidR="00C0790D">
        <w:t xml:space="preserve"> Islander Nurses and Midwives, </w:t>
      </w:r>
      <w:r w:rsidR="00EF44F4">
        <w:t xml:space="preserve">RNs and </w:t>
      </w:r>
      <w:r>
        <w:t>health services that for the model to achieve its full potential of safe, timely and effective access to healthcare for consumers, Schedule 8 medicines needed to be included</w:t>
      </w:r>
      <w:r w:rsidR="001723B9">
        <w:t>.</w:t>
      </w:r>
      <w:r>
        <w:t xml:space="preserve"> </w:t>
      </w:r>
      <w:r w:rsidR="001723B9">
        <w:t xml:space="preserve">This </w:t>
      </w:r>
      <w:r w:rsidR="00E13D59">
        <w:t>feedback was prevalent across</w:t>
      </w:r>
      <w:r>
        <w:t xml:space="preserve"> areas of practice such as palliative care, </w:t>
      </w:r>
      <w:r w:rsidR="00DC3FAB">
        <w:t xml:space="preserve">mental health, </w:t>
      </w:r>
      <w:r>
        <w:t xml:space="preserve">community, rural, remote and emergency areas. In response to these concerns Option 2a proposes that the </w:t>
      </w:r>
      <w:r w:rsidR="0063119E">
        <w:t xml:space="preserve">proposed registration </w:t>
      </w:r>
      <w:r>
        <w:t>standard would be limited to prescribing only Schedule 2, 3 and 4 medicines. This option would otherwise include all the requirements described in Option 2.</w:t>
      </w:r>
    </w:p>
    <w:p w14:paraId="589AEAE9" w14:textId="45E31568" w:rsidR="0017093C" w:rsidRDefault="0017093C" w:rsidP="00216AB8">
      <w:pPr>
        <w:pStyle w:val="AHPRASubheading"/>
        <w:outlineLvl w:val="0"/>
      </w:pPr>
      <w:bookmarkStart w:id="47" w:name="_Toc164692717"/>
      <w:r>
        <w:t>3.4 Option 2b – Enable RNs to expand their scope of practice to prescribe Schedule 2, 3, 4 and 8 medicines only under designation/supervision except for RNs working in private practice or as a sole practitioner</w:t>
      </w:r>
      <w:bookmarkEnd w:id="47"/>
    </w:p>
    <w:p w14:paraId="2610B0C0" w14:textId="77777777" w:rsidR="008D6505" w:rsidRDefault="0017093C" w:rsidP="00216AB8">
      <w:pPr>
        <w:pStyle w:val="AHPRAbody"/>
        <w:outlineLvl w:val="0"/>
      </w:pPr>
      <w:r>
        <w:t xml:space="preserve">The NMBA received feedback through earlier consultation that the proposed governance framework may not be sufficient to address the risk posed where designated RN prescribers may be working in isolation, and the impact this may have on public safety, especially where RNs are working privately and/or performing cosmetic procedures. In response to these concerns, the </w:t>
      </w:r>
      <w:r w:rsidR="001D2E66">
        <w:t xml:space="preserve">proposed registration </w:t>
      </w:r>
      <w:r>
        <w:t>standard could be limited to RNs working in public healthcare settings, primary care and general practice for the first three years following its approval, to enable the standard to be established, embedded and evaluated.</w:t>
      </w:r>
      <w:r w:rsidR="00CE7FE8">
        <w:t xml:space="preserve"> </w:t>
      </w:r>
    </w:p>
    <w:p w14:paraId="1FC9D9F4" w14:textId="20FAAD06" w:rsidR="00980E9E" w:rsidRDefault="007B6F38" w:rsidP="00672D2A">
      <w:pPr>
        <w:pStyle w:val="AHPRAbody"/>
        <w:outlineLvl w:val="0"/>
      </w:pPr>
      <w:r>
        <w:t>The NMBA is currently consulting o</w:t>
      </w:r>
      <w:r w:rsidR="001E268D">
        <w:t>n</w:t>
      </w:r>
      <w:r w:rsidR="00B17427">
        <w:t xml:space="preserve"> proposed </w:t>
      </w:r>
      <w:r w:rsidR="00B17427" w:rsidRPr="00712CBF">
        <w:t>Guidelines for privately practising nurse</w:t>
      </w:r>
      <w:r w:rsidR="001E268D" w:rsidRPr="008B697E">
        <w:t>s</w:t>
      </w:r>
      <w:r w:rsidR="00B17427" w:rsidRPr="00712CBF">
        <w:t>.</w:t>
      </w:r>
      <w:r w:rsidR="00BA068A">
        <w:t xml:space="preserve"> These guidelines have been developed </w:t>
      </w:r>
      <w:r w:rsidR="00AF3E76">
        <w:t>to provide best practice for nursing services delivered in a private practice setting</w:t>
      </w:r>
      <w:r w:rsidR="00BA7A83">
        <w:t>.</w:t>
      </w:r>
      <w:r w:rsidR="00BA068A">
        <w:t xml:space="preserve"> </w:t>
      </w:r>
      <w:r w:rsidR="00D4319A">
        <w:t>A requirement of t</w:t>
      </w:r>
      <w:r w:rsidR="00B17427" w:rsidRPr="00DA71EA">
        <w:t xml:space="preserve">he proposed guidelines </w:t>
      </w:r>
      <w:r w:rsidR="00D4319A">
        <w:t>is that</w:t>
      </w:r>
      <w:r w:rsidR="00CE7FE8" w:rsidRPr="00DA71EA">
        <w:t xml:space="preserve"> </w:t>
      </w:r>
      <w:r w:rsidR="00D4319A">
        <w:t>p</w:t>
      </w:r>
      <w:r w:rsidR="00D41922" w:rsidRPr="00DA71EA">
        <w:t xml:space="preserve">rivately </w:t>
      </w:r>
      <w:r w:rsidR="00D4319A">
        <w:t>p</w:t>
      </w:r>
      <w:r w:rsidR="00D41922" w:rsidRPr="00DA71EA">
        <w:t xml:space="preserve">ractising </w:t>
      </w:r>
      <w:r w:rsidR="00D4319A">
        <w:t>n</w:t>
      </w:r>
      <w:r w:rsidR="00D41922" w:rsidRPr="00DA71EA">
        <w:t>urses (</w:t>
      </w:r>
      <w:r w:rsidR="00CE7FE8" w:rsidRPr="00DA71EA">
        <w:t>PPNs</w:t>
      </w:r>
      <w:r w:rsidR="00D41922" w:rsidRPr="00DA71EA">
        <w:t>)</w:t>
      </w:r>
      <w:r w:rsidR="00CE7FE8" w:rsidRPr="00DA71EA">
        <w:t xml:space="preserve"> must only deliver evidence-based services which considers previous treatments and responses to therapies (whether prescribed or non</w:t>
      </w:r>
      <w:r w:rsidR="00000C6F">
        <w:t>-</w:t>
      </w:r>
      <w:r w:rsidR="00CE7FE8" w:rsidRPr="00DA71EA">
        <w:t>prescribed). In keeping with the Quality Use of Medicines principles, PPNs are to follow a systematic evaluation process when considering, recommending or prescribing evidenced based medicines, therapies and services. PPNs must also comply with the relevant state and territory drugs, poisons and controlled substances.</w:t>
      </w:r>
    </w:p>
    <w:p w14:paraId="73D517C0" w14:textId="27D3D420" w:rsidR="00080755" w:rsidRPr="008B697E" w:rsidRDefault="00146782" w:rsidP="2198A52D">
      <w:pPr>
        <w:pStyle w:val="NormalWeb"/>
        <w:shd w:val="clear" w:color="auto" w:fill="FFFFFF" w:themeFill="background1"/>
        <w:spacing w:before="0" w:beforeAutospacing="0" w:after="120" w:afterAutospacing="0"/>
        <w:rPr>
          <w:rFonts w:ascii="Arial" w:eastAsia="Times New Roman" w:hAnsi="Arial" w:cs="Arial"/>
          <w:color w:val="222222"/>
          <w:sz w:val="20"/>
          <w:szCs w:val="20"/>
        </w:rPr>
      </w:pPr>
      <w:r w:rsidRPr="2198A52D">
        <w:rPr>
          <w:rFonts w:ascii="Arial" w:eastAsia="Times New Roman" w:hAnsi="Arial" w:cs="Arial"/>
          <w:color w:val="222222"/>
          <w:sz w:val="20"/>
          <w:szCs w:val="20"/>
        </w:rPr>
        <w:t xml:space="preserve">In relation to cosmetic injection </w:t>
      </w:r>
      <w:r w:rsidR="00514F93" w:rsidRPr="2198A52D">
        <w:rPr>
          <w:rFonts w:ascii="Arial" w:eastAsia="Times New Roman" w:hAnsi="Arial" w:cs="Arial"/>
          <w:color w:val="222222"/>
          <w:sz w:val="20"/>
          <w:szCs w:val="20"/>
        </w:rPr>
        <w:t xml:space="preserve">the </w:t>
      </w:r>
      <w:r w:rsidR="00980E9E" w:rsidRPr="2198A52D">
        <w:rPr>
          <w:rFonts w:ascii="Arial" w:eastAsia="Times New Roman" w:hAnsi="Arial" w:cs="Arial"/>
          <w:color w:val="222222"/>
          <w:sz w:val="20"/>
          <w:szCs w:val="20"/>
        </w:rPr>
        <w:t>NMBA considers that the administration of cosmetic injections is within the scope of appropriately educated RNs. It requires a detailed assessment and planning of care, complex anatomical and physiology knowledge as well as decision-making relating to pharmacodynamics and pharmacokinetics. RNs performing cosmetic injections must ensure safe and appropriate administration in accordance with best practice and clinical governance frameworks. </w:t>
      </w:r>
      <w:r w:rsidR="00080755" w:rsidRPr="2198A52D">
        <w:rPr>
          <w:rFonts w:ascii="Arial" w:eastAsia="Times New Roman" w:hAnsi="Arial" w:cs="Arial"/>
          <w:color w:val="222222"/>
          <w:sz w:val="20"/>
          <w:szCs w:val="20"/>
        </w:rPr>
        <w:t xml:space="preserve"> At present</w:t>
      </w:r>
      <w:r w:rsidR="003E7B94" w:rsidRPr="2198A52D">
        <w:rPr>
          <w:rFonts w:ascii="Arial" w:eastAsia="Times New Roman" w:hAnsi="Arial" w:cs="Arial"/>
          <w:color w:val="222222"/>
          <w:sz w:val="20"/>
          <w:szCs w:val="20"/>
        </w:rPr>
        <w:t xml:space="preserve"> the</w:t>
      </w:r>
      <w:r w:rsidR="00080755" w:rsidRPr="2198A52D">
        <w:rPr>
          <w:rFonts w:ascii="Arial" w:eastAsia="Times New Roman" w:hAnsi="Arial" w:cs="Arial"/>
          <w:color w:val="222222"/>
          <w:sz w:val="20"/>
          <w:szCs w:val="20"/>
        </w:rPr>
        <w:t xml:space="preserve"> person receiving the cosmetic injections: </w:t>
      </w:r>
    </w:p>
    <w:p w14:paraId="50FD1ACF" w14:textId="77777777" w:rsidR="00080755" w:rsidRPr="008B697E" w:rsidRDefault="00080755" w:rsidP="00F842D7">
      <w:pPr>
        <w:numPr>
          <w:ilvl w:val="0"/>
          <w:numId w:val="42"/>
        </w:numPr>
        <w:shd w:val="clear" w:color="auto" w:fill="FFFFFF"/>
        <w:spacing w:after="45"/>
        <w:rPr>
          <w:rFonts w:eastAsia="Times New Roman" w:cs="Arial"/>
          <w:color w:val="222222"/>
          <w:szCs w:val="20"/>
          <w:lang w:eastAsia="en-AU"/>
        </w:rPr>
      </w:pPr>
      <w:r w:rsidRPr="008B697E">
        <w:rPr>
          <w:rFonts w:eastAsia="Times New Roman" w:cs="Arial"/>
          <w:color w:val="222222"/>
          <w:szCs w:val="20"/>
          <w:lang w:eastAsia="en-AU"/>
        </w:rPr>
        <w:t>must have a consultation and assessment with a medical practitioner or NP, who is located in Australia, in line with the above</w:t>
      </w:r>
    </w:p>
    <w:p w14:paraId="18FA4CFF" w14:textId="77777777" w:rsidR="00080755" w:rsidRPr="008B697E" w:rsidRDefault="00080755" w:rsidP="00F842D7">
      <w:pPr>
        <w:numPr>
          <w:ilvl w:val="0"/>
          <w:numId w:val="42"/>
        </w:numPr>
        <w:shd w:val="clear" w:color="auto" w:fill="FFFFFF"/>
        <w:spacing w:after="45"/>
        <w:rPr>
          <w:rFonts w:eastAsia="Times New Roman" w:cs="Arial"/>
          <w:color w:val="222222"/>
          <w:szCs w:val="20"/>
          <w:lang w:eastAsia="en-AU"/>
        </w:rPr>
      </w:pPr>
      <w:r w:rsidRPr="008B697E">
        <w:rPr>
          <w:rFonts w:eastAsia="Times New Roman" w:cs="Arial"/>
          <w:color w:val="222222"/>
          <w:szCs w:val="20"/>
          <w:lang w:eastAsia="en-AU"/>
        </w:rPr>
        <w:t>is only treated by nurses with the appropriate education, skills and knowledge, utilising up-to-date knowledge of regional anatomy and safest practice </w:t>
      </w:r>
    </w:p>
    <w:p w14:paraId="5568854A" w14:textId="77777777" w:rsidR="00080755" w:rsidRPr="008B697E" w:rsidRDefault="00080755" w:rsidP="00F842D7">
      <w:pPr>
        <w:numPr>
          <w:ilvl w:val="0"/>
          <w:numId w:val="42"/>
        </w:numPr>
        <w:shd w:val="clear" w:color="auto" w:fill="FFFFFF"/>
        <w:spacing w:after="45"/>
        <w:rPr>
          <w:rFonts w:eastAsia="Times New Roman" w:cs="Arial"/>
          <w:color w:val="222222"/>
          <w:szCs w:val="20"/>
          <w:lang w:eastAsia="en-AU"/>
        </w:rPr>
      </w:pPr>
      <w:r w:rsidRPr="008B697E">
        <w:rPr>
          <w:rFonts w:eastAsia="Times New Roman" w:cs="Arial"/>
          <w:color w:val="222222"/>
          <w:szCs w:val="20"/>
          <w:lang w:eastAsia="en-AU"/>
        </w:rPr>
        <w:t>is in a clinical setting that meets acceptable healthcare quality and safety standards, and</w:t>
      </w:r>
    </w:p>
    <w:p w14:paraId="25CE39A2" w14:textId="77777777" w:rsidR="00080755" w:rsidRPr="008B697E" w:rsidRDefault="00080755" w:rsidP="00F842D7">
      <w:pPr>
        <w:numPr>
          <w:ilvl w:val="0"/>
          <w:numId w:val="42"/>
        </w:numPr>
        <w:shd w:val="clear" w:color="auto" w:fill="FFFFFF"/>
        <w:spacing w:after="45"/>
        <w:rPr>
          <w:rFonts w:eastAsia="Times New Roman" w:cs="Arial"/>
          <w:color w:val="222222"/>
          <w:szCs w:val="20"/>
          <w:lang w:eastAsia="en-AU"/>
        </w:rPr>
      </w:pPr>
      <w:r w:rsidRPr="008B697E">
        <w:rPr>
          <w:rFonts w:eastAsia="Times New Roman" w:cs="Arial"/>
          <w:color w:val="222222"/>
          <w:szCs w:val="20"/>
          <w:lang w:eastAsia="en-AU"/>
        </w:rPr>
        <w:t>is aware of arrangements in place to receive post procedural care</w:t>
      </w:r>
    </w:p>
    <w:p w14:paraId="4628AE0D" w14:textId="0D1C83BC" w:rsidR="00DA2816" w:rsidRPr="008B697E" w:rsidRDefault="00DA2816" w:rsidP="2198A52D">
      <w:pPr>
        <w:pStyle w:val="NormalWeb"/>
        <w:shd w:val="clear" w:color="auto" w:fill="FFFFFF" w:themeFill="background1"/>
        <w:rPr>
          <w:rFonts w:ascii="Arial" w:hAnsi="Arial" w:cs="Arial"/>
          <w:color w:val="222222"/>
          <w:sz w:val="20"/>
          <w:szCs w:val="20"/>
        </w:rPr>
      </w:pPr>
      <w:r w:rsidRPr="2198A52D">
        <w:rPr>
          <w:rFonts w:ascii="Arial" w:hAnsi="Arial" w:cs="Arial"/>
          <w:color w:val="222222"/>
          <w:sz w:val="20"/>
          <w:szCs w:val="20"/>
        </w:rPr>
        <w:t>Nurses are responsible for making professional judgements about when an activity is within their scope of practice and, when it is not, for initiating consultation and collaboration with, or referral to, other members of the healthcare team</w:t>
      </w:r>
      <w:r w:rsidR="00384F8E" w:rsidRPr="2198A52D">
        <w:rPr>
          <w:rFonts w:ascii="Arial" w:hAnsi="Arial" w:cs="Arial"/>
          <w:color w:val="222222"/>
          <w:sz w:val="20"/>
          <w:szCs w:val="20"/>
        </w:rPr>
        <w:t>.</w:t>
      </w:r>
    </w:p>
    <w:p w14:paraId="21AA06FC" w14:textId="7DB068A3" w:rsidR="00DA2816" w:rsidRPr="008B697E" w:rsidRDefault="00DA2816" w:rsidP="2198A52D">
      <w:pPr>
        <w:pStyle w:val="NormalWeb"/>
        <w:shd w:val="clear" w:color="auto" w:fill="FFFFFF" w:themeFill="background1"/>
        <w:rPr>
          <w:rFonts w:ascii="Arial" w:hAnsi="Arial" w:cs="Arial"/>
          <w:color w:val="222222"/>
          <w:sz w:val="20"/>
          <w:szCs w:val="20"/>
        </w:rPr>
      </w:pPr>
      <w:r w:rsidRPr="2198A52D">
        <w:rPr>
          <w:rFonts w:ascii="Arial" w:hAnsi="Arial" w:cs="Arial"/>
          <w:color w:val="222222"/>
          <w:sz w:val="20"/>
          <w:szCs w:val="20"/>
        </w:rPr>
        <w:t>The NMBA’s standards, codes and guidelines set the regulatory requirements within which nurses working in the area of cosmetic medical procedures must comply</w:t>
      </w:r>
      <w:r w:rsidR="00384F8E" w:rsidRPr="2198A52D">
        <w:rPr>
          <w:rFonts w:ascii="Arial" w:hAnsi="Arial" w:cs="Arial"/>
          <w:color w:val="222222"/>
          <w:sz w:val="20"/>
          <w:szCs w:val="20"/>
        </w:rPr>
        <w:t xml:space="preserve"> as with all contexts of clinical practice</w:t>
      </w:r>
      <w:r w:rsidRPr="2198A52D">
        <w:rPr>
          <w:rFonts w:ascii="Arial" w:hAnsi="Arial" w:cs="Arial"/>
          <w:color w:val="222222"/>
          <w:sz w:val="20"/>
          <w:szCs w:val="20"/>
        </w:rPr>
        <w:t>, to ensure ongoing competence and safe practice. This includes but is not limited to:</w:t>
      </w:r>
    </w:p>
    <w:p w14:paraId="12DAB85B" w14:textId="77777777" w:rsidR="00DA2816" w:rsidRPr="008B697E" w:rsidRDefault="00DA2816" w:rsidP="00F842D7">
      <w:pPr>
        <w:numPr>
          <w:ilvl w:val="0"/>
          <w:numId w:val="43"/>
        </w:numPr>
        <w:shd w:val="clear" w:color="auto" w:fill="FFFFFF"/>
        <w:spacing w:after="45"/>
        <w:rPr>
          <w:rFonts w:cs="Arial"/>
          <w:color w:val="222222"/>
          <w:szCs w:val="20"/>
        </w:rPr>
      </w:pPr>
      <w:r w:rsidRPr="008B697E">
        <w:rPr>
          <w:rFonts w:cs="Arial"/>
          <w:color w:val="222222"/>
          <w:szCs w:val="20"/>
        </w:rPr>
        <w:t>The relevant standards for practice </w:t>
      </w:r>
    </w:p>
    <w:p w14:paraId="6FC64460" w14:textId="77777777" w:rsidR="00DA2816" w:rsidRPr="008B697E" w:rsidRDefault="00AF325E" w:rsidP="00F842D7">
      <w:pPr>
        <w:numPr>
          <w:ilvl w:val="0"/>
          <w:numId w:val="43"/>
        </w:numPr>
        <w:shd w:val="clear" w:color="auto" w:fill="FFFFFF"/>
        <w:spacing w:after="45"/>
        <w:rPr>
          <w:rFonts w:cs="Arial"/>
          <w:color w:val="222222"/>
          <w:szCs w:val="20"/>
        </w:rPr>
      </w:pPr>
      <w:hyperlink r:id="rId13" w:history="1">
        <w:r w:rsidR="00DA2816" w:rsidRPr="008B697E">
          <w:rPr>
            <w:rStyle w:val="Hyperlink"/>
            <w:rFonts w:cs="Arial"/>
            <w:color w:val="0082F1"/>
            <w:szCs w:val="20"/>
          </w:rPr>
          <w:t>Registered nurse standards for practice</w:t>
        </w:r>
      </w:hyperlink>
      <w:r w:rsidR="00DA2816" w:rsidRPr="008B697E">
        <w:rPr>
          <w:rFonts w:cs="Arial"/>
          <w:color w:val="222222"/>
          <w:szCs w:val="20"/>
        </w:rPr>
        <w:t>, and</w:t>
      </w:r>
    </w:p>
    <w:p w14:paraId="5F165FBE" w14:textId="77777777" w:rsidR="00DA2816" w:rsidRPr="008B697E" w:rsidRDefault="00AF325E" w:rsidP="00F842D7">
      <w:pPr>
        <w:numPr>
          <w:ilvl w:val="0"/>
          <w:numId w:val="43"/>
        </w:numPr>
        <w:shd w:val="clear" w:color="auto" w:fill="FFFFFF"/>
        <w:spacing w:after="45"/>
        <w:rPr>
          <w:rFonts w:cs="Arial"/>
          <w:color w:val="222222"/>
          <w:szCs w:val="20"/>
        </w:rPr>
      </w:pPr>
      <w:hyperlink r:id="rId14" w:history="1">
        <w:r w:rsidR="00DA2816" w:rsidRPr="008B697E">
          <w:rPr>
            <w:rStyle w:val="Hyperlink"/>
            <w:rFonts w:cs="Arial"/>
            <w:color w:val="0082F1"/>
            <w:szCs w:val="20"/>
          </w:rPr>
          <w:t>Registration standard: Professional indemnity arrangements</w:t>
        </w:r>
      </w:hyperlink>
    </w:p>
    <w:p w14:paraId="7863DB2E" w14:textId="77777777" w:rsidR="00DA2816" w:rsidRPr="008B697E" w:rsidRDefault="00AF325E" w:rsidP="00F842D7">
      <w:pPr>
        <w:numPr>
          <w:ilvl w:val="0"/>
          <w:numId w:val="43"/>
        </w:numPr>
        <w:shd w:val="clear" w:color="auto" w:fill="FFFFFF"/>
        <w:spacing w:after="45"/>
        <w:rPr>
          <w:rFonts w:cs="Arial"/>
          <w:color w:val="222222"/>
          <w:szCs w:val="20"/>
        </w:rPr>
      </w:pPr>
      <w:hyperlink r:id="rId15" w:history="1">
        <w:r w:rsidR="00DA2816" w:rsidRPr="008B697E">
          <w:rPr>
            <w:rStyle w:val="Hyperlink"/>
            <w:rFonts w:cs="Arial"/>
            <w:color w:val="0082F1"/>
            <w:szCs w:val="20"/>
          </w:rPr>
          <w:t>Code of conduct for nurses</w:t>
        </w:r>
      </w:hyperlink>
    </w:p>
    <w:p w14:paraId="29DC67C7" w14:textId="77777777" w:rsidR="00DA2816" w:rsidRPr="008B697E" w:rsidRDefault="00AF325E" w:rsidP="00F842D7">
      <w:pPr>
        <w:numPr>
          <w:ilvl w:val="0"/>
          <w:numId w:val="43"/>
        </w:numPr>
        <w:shd w:val="clear" w:color="auto" w:fill="FFFFFF"/>
        <w:spacing w:after="45"/>
        <w:rPr>
          <w:rFonts w:cs="Arial"/>
          <w:color w:val="222222"/>
          <w:szCs w:val="20"/>
        </w:rPr>
      </w:pPr>
      <w:hyperlink r:id="rId16" w:history="1">
        <w:r w:rsidR="00DA2816" w:rsidRPr="008B697E">
          <w:rPr>
            <w:rStyle w:val="Hyperlink"/>
            <w:rFonts w:cs="Arial"/>
            <w:color w:val="0082F1"/>
            <w:szCs w:val="20"/>
          </w:rPr>
          <w:t>Decision-making framework for nursing and midwifery</w:t>
        </w:r>
      </w:hyperlink>
    </w:p>
    <w:p w14:paraId="0785FEB6" w14:textId="77777777" w:rsidR="00DA2816" w:rsidRPr="008B697E" w:rsidRDefault="00AF325E" w:rsidP="00F842D7">
      <w:pPr>
        <w:numPr>
          <w:ilvl w:val="0"/>
          <w:numId w:val="43"/>
        </w:numPr>
        <w:shd w:val="clear" w:color="auto" w:fill="FFFFFF"/>
        <w:spacing w:after="45"/>
        <w:rPr>
          <w:rFonts w:cs="Arial"/>
          <w:color w:val="222222"/>
          <w:szCs w:val="20"/>
        </w:rPr>
      </w:pPr>
      <w:hyperlink r:id="rId17" w:history="1">
        <w:r w:rsidR="00DA2816" w:rsidRPr="008B697E">
          <w:rPr>
            <w:rStyle w:val="Hyperlink"/>
            <w:rFonts w:cs="Arial"/>
            <w:color w:val="0082F1"/>
            <w:szCs w:val="20"/>
          </w:rPr>
          <w:t>Safety and quality guidelines for nurse practitioners</w:t>
        </w:r>
      </w:hyperlink>
    </w:p>
    <w:p w14:paraId="3A892F2F" w14:textId="77777777" w:rsidR="00DA2816" w:rsidRPr="008B697E" w:rsidRDefault="00AF325E" w:rsidP="00F842D7">
      <w:pPr>
        <w:numPr>
          <w:ilvl w:val="0"/>
          <w:numId w:val="43"/>
        </w:numPr>
        <w:shd w:val="clear" w:color="auto" w:fill="FFFFFF"/>
        <w:spacing w:after="45"/>
        <w:rPr>
          <w:rFonts w:cs="Arial"/>
          <w:color w:val="222222"/>
          <w:szCs w:val="20"/>
        </w:rPr>
      </w:pPr>
      <w:hyperlink r:id="rId18" w:history="1">
        <w:r w:rsidR="00DA2816" w:rsidRPr="008B697E">
          <w:rPr>
            <w:rStyle w:val="Hyperlink"/>
            <w:rFonts w:cs="Arial"/>
            <w:color w:val="0082F1"/>
            <w:szCs w:val="20"/>
          </w:rPr>
          <w:t>Guidelines for advertising regulated health services</w:t>
        </w:r>
      </w:hyperlink>
    </w:p>
    <w:p w14:paraId="3BE3F837" w14:textId="77777777" w:rsidR="00DA2816" w:rsidRPr="008B697E" w:rsidRDefault="00AF325E" w:rsidP="00F842D7">
      <w:pPr>
        <w:numPr>
          <w:ilvl w:val="0"/>
          <w:numId w:val="43"/>
        </w:numPr>
        <w:shd w:val="clear" w:color="auto" w:fill="FFFFFF"/>
        <w:spacing w:after="45"/>
        <w:rPr>
          <w:rFonts w:cs="Arial"/>
          <w:color w:val="222222"/>
          <w:szCs w:val="20"/>
        </w:rPr>
      </w:pPr>
      <w:hyperlink r:id="rId19" w:history="1">
        <w:r w:rsidR="00DA2816" w:rsidRPr="008B697E">
          <w:rPr>
            <w:rStyle w:val="Hyperlink"/>
            <w:rFonts w:cs="Arial"/>
            <w:color w:val="0082F1"/>
            <w:szCs w:val="20"/>
          </w:rPr>
          <w:t>Advertising compliance and enforcement strategy for the National Scheme</w:t>
        </w:r>
      </w:hyperlink>
      <w:r w:rsidR="00DA2816" w:rsidRPr="008B697E">
        <w:rPr>
          <w:rFonts w:cs="Arial"/>
          <w:color w:val="222222"/>
          <w:szCs w:val="20"/>
        </w:rPr>
        <w:t>, and</w:t>
      </w:r>
    </w:p>
    <w:p w14:paraId="33B61D2A" w14:textId="77777777" w:rsidR="00DA2816" w:rsidRDefault="00AF325E" w:rsidP="00F842D7">
      <w:pPr>
        <w:numPr>
          <w:ilvl w:val="0"/>
          <w:numId w:val="43"/>
        </w:numPr>
        <w:shd w:val="clear" w:color="auto" w:fill="FFFFFF"/>
        <w:spacing w:after="45"/>
        <w:rPr>
          <w:rFonts w:ascii="Open Sans" w:hAnsi="Open Sans" w:cs="Open Sans"/>
          <w:color w:val="222222"/>
          <w:sz w:val="21"/>
          <w:szCs w:val="21"/>
        </w:rPr>
      </w:pPr>
      <w:hyperlink r:id="rId20" w:history="1">
        <w:r w:rsidR="00DA2816" w:rsidRPr="008B697E">
          <w:rPr>
            <w:rStyle w:val="Hyperlink"/>
            <w:rFonts w:cs="Arial"/>
            <w:color w:val="0082F1"/>
            <w:szCs w:val="20"/>
          </w:rPr>
          <w:t>Telehealth guidance for practitioners</w:t>
        </w:r>
      </w:hyperlink>
    </w:p>
    <w:p w14:paraId="009413F5" w14:textId="2241B9DD" w:rsidR="009660DA" w:rsidRDefault="009660DA" w:rsidP="00814752">
      <w:pPr>
        <w:pStyle w:val="AHPRAbody"/>
        <w:spacing w:before="200"/>
        <w:outlineLvl w:val="0"/>
      </w:pPr>
      <w:r>
        <w:t xml:space="preserve">Whilst these areas are </w:t>
      </w:r>
      <w:r w:rsidR="00526C06">
        <w:t>highly monitored</w:t>
      </w:r>
      <w:r w:rsidR="002C2CAB">
        <w:t xml:space="preserve"> and regulated i</w:t>
      </w:r>
      <w:r>
        <w:t xml:space="preserve">n response to these concerns, the proposed registration standard could be limited to RNs working in public healthcare settings, primary care and general practice for the first three years following its approval, to enable the standard to be established, embedded and evaluated. </w:t>
      </w:r>
    </w:p>
    <w:p w14:paraId="28E2CE5E" w14:textId="77777777" w:rsidR="00BB2374" w:rsidRDefault="00AA3C02" w:rsidP="00F842D7">
      <w:pPr>
        <w:pStyle w:val="AHPRADocumentsubheading"/>
        <w:numPr>
          <w:ilvl w:val="0"/>
          <w:numId w:val="21"/>
        </w:numPr>
      </w:pPr>
      <w:bookmarkStart w:id="48" w:name="_Toc164692718"/>
      <w:r>
        <w:t>What is the likely net benefit of each option?</w:t>
      </w:r>
      <w:bookmarkEnd w:id="48"/>
    </w:p>
    <w:p w14:paraId="4000A3CE" w14:textId="621FF8B3" w:rsidR="00AA3C02" w:rsidRDefault="00AA3C02" w:rsidP="00D91823">
      <w:pPr>
        <w:pStyle w:val="AHPRADocumentsubheading"/>
      </w:pPr>
      <w:bookmarkStart w:id="49" w:name="_Toc164692719"/>
      <w:r>
        <w:t>4.1 Option 1 –</w:t>
      </w:r>
      <w:r w:rsidR="002A42C2">
        <w:t xml:space="preserve"> </w:t>
      </w:r>
      <w:r>
        <w:t>Retain the status quo prescribing practice</w:t>
      </w:r>
      <w:bookmarkEnd w:id="49"/>
    </w:p>
    <w:p w14:paraId="4A6B016F" w14:textId="4E52313D" w:rsidR="00AA3C02" w:rsidRDefault="00AA3C02" w:rsidP="00216AB8">
      <w:pPr>
        <w:pStyle w:val="AHPRASubheadinglevel2"/>
        <w:outlineLvl w:val="0"/>
      </w:pPr>
      <w:bookmarkStart w:id="50" w:name="_Toc164692720"/>
      <w:r>
        <w:t xml:space="preserve">Impacts to </w:t>
      </w:r>
      <w:r w:rsidR="00C8766F">
        <w:t>consumers</w:t>
      </w:r>
      <w:bookmarkEnd w:id="50"/>
    </w:p>
    <w:p w14:paraId="0622EEBF" w14:textId="4A6B20A9" w:rsidR="00AA3C02" w:rsidRDefault="00AA3C02" w:rsidP="00216AB8">
      <w:pPr>
        <w:pStyle w:val="AHPRAbody"/>
        <w:outlineLvl w:val="0"/>
      </w:pPr>
      <w:r>
        <w:t>This option would not facilitate improvements in access to healthcare or health service delivery for people seeking healthcare</w:t>
      </w:r>
      <w:r w:rsidR="005A29EA">
        <w:t xml:space="preserve"> and those vulnerable </w:t>
      </w:r>
      <w:r w:rsidR="006C34F1">
        <w:t xml:space="preserve">and marginalised </w:t>
      </w:r>
      <w:r w:rsidR="00A751A2">
        <w:t>communities</w:t>
      </w:r>
      <w:r w:rsidR="005A29EA">
        <w:t xml:space="preserve"> within </w:t>
      </w:r>
      <w:r w:rsidR="006C34F1">
        <w:t>Australia</w:t>
      </w:r>
      <w:r>
        <w:t>. The status quo would continue with only medical practitioners and nurse practitioners having authority to prescribe scheduled medicines in accordance with the respective state and territory drugs and poisons legislation.</w:t>
      </w:r>
    </w:p>
    <w:p w14:paraId="052DCCB0" w14:textId="77777777" w:rsidR="00AA3C02" w:rsidRDefault="00AA3C02" w:rsidP="00216AB8">
      <w:pPr>
        <w:pStyle w:val="AHPRASubheadinglevel2"/>
        <w:outlineLvl w:val="0"/>
      </w:pPr>
      <w:bookmarkStart w:id="51" w:name="_Toc164692721"/>
      <w:r>
        <w:t>Costs of maintaining the status quo</w:t>
      </w:r>
      <w:bookmarkEnd w:id="51"/>
    </w:p>
    <w:p w14:paraId="4912315C" w14:textId="7BF13EEA" w:rsidR="00AA3C02" w:rsidRDefault="00AA3C02" w:rsidP="00216AB8">
      <w:pPr>
        <w:pStyle w:val="BodyText"/>
        <w:outlineLvl w:val="0"/>
      </w:pPr>
      <w:r>
        <w:t xml:space="preserve">Not exploring expansions to the scope of practice of RNs would significantly impact the ability for the </w:t>
      </w:r>
      <w:r w:rsidRPr="5AA7423A">
        <w:rPr>
          <w:i/>
          <w:iCs/>
        </w:rPr>
        <w:t>Stronger Rural Health Strategy</w:t>
      </w:r>
      <w:r>
        <w:t xml:space="preserve"> to be effectively delivered. Since 2018, the Australian Government has invested $550 million through its </w:t>
      </w:r>
      <w:r w:rsidRPr="5AA7423A">
        <w:rPr>
          <w:i/>
          <w:iCs/>
        </w:rPr>
        <w:t>Stronger Rural Health Strategy</w:t>
      </w:r>
      <w:r>
        <w:t xml:space="preserve"> to improve the health of people living in rural, regional and remote Australia. The comprehensive package of 12 complimentary measures includes $8.3 million in strengthening the role of the nurses in primary health and 3,000 additional nurses in rural and remote areas across the country.</w:t>
      </w:r>
      <w:r w:rsidR="00BB29F4">
        <w:rPr>
          <w:vertAlign w:val="superscript"/>
        </w:rPr>
        <w:t>3</w:t>
      </w:r>
      <w:r>
        <w:t xml:space="preserve"> Furthermore, this option does not support the agreement of all governments that Australia's health system should provide all Australians with timely access to quality health services based on their needs, not their ability to pay, regardless of where they live in the country.</w:t>
      </w:r>
    </w:p>
    <w:p w14:paraId="59FC83D1" w14:textId="2009BF8B" w:rsidR="00AA3C02" w:rsidRDefault="00AA3C02" w:rsidP="00216AB8">
      <w:pPr>
        <w:pStyle w:val="BodyText"/>
        <w:outlineLvl w:val="0"/>
      </w:pPr>
      <w:r>
        <w:t xml:space="preserve">The option to retain the status quo does little to follow the recommendations that came out of the </w:t>
      </w:r>
      <w:hyperlink r:id="rId21" w:history="1">
        <w:r w:rsidR="004173CF" w:rsidRPr="00125A2C">
          <w:rPr>
            <w:rStyle w:val="Hyperlink"/>
          </w:rPr>
          <w:t>Royal Commission into Aged Care Quality and Safety Final Report</w:t>
        </w:r>
      </w:hyperlink>
      <w:r>
        <w:t xml:space="preserve"> </w:t>
      </w:r>
      <w:r w:rsidR="003429E1">
        <w:rPr>
          <w:vertAlign w:val="superscript"/>
        </w:rPr>
        <w:t xml:space="preserve">50 </w:t>
      </w:r>
      <w:r>
        <w:t>which recommended:</w:t>
      </w:r>
    </w:p>
    <w:p w14:paraId="4759CA42" w14:textId="136E37D9" w:rsidR="00AA3C02" w:rsidRDefault="00E42039" w:rsidP="00216AB8">
      <w:pPr>
        <w:pStyle w:val="AHPRABulletlevel1"/>
        <w:outlineLvl w:val="0"/>
      </w:pPr>
      <w:r>
        <w:t xml:space="preserve">Care </w:t>
      </w:r>
      <w:r w:rsidR="00AA3C02">
        <w:t xml:space="preserve">should be provided in an environment which protects older people from further risks to their health and should include the opportunity for in home care to prevent deterioration and potential hospital admission which causes distress for the resident </w:t>
      </w:r>
    </w:p>
    <w:p w14:paraId="5AB11DF1" w14:textId="0BA3B8FA" w:rsidR="00AA3C02" w:rsidRDefault="00E42039" w:rsidP="00216AB8">
      <w:pPr>
        <w:pStyle w:val="AHPRABulletlevel1"/>
        <w:outlineLvl w:val="0"/>
      </w:pPr>
      <w:r>
        <w:t xml:space="preserve">To </w:t>
      </w:r>
      <w:r w:rsidR="00AA3C02">
        <w:t xml:space="preserve">provide a system of aged care based on a universal right to high quality, safe and timely support and care that exemplified dignified living </w:t>
      </w:r>
    </w:p>
    <w:p w14:paraId="57D689D4" w14:textId="77777777" w:rsidR="00AA3C02" w:rsidRDefault="00AA3C02" w:rsidP="00216AB8">
      <w:pPr>
        <w:pStyle w:val="AHPRABulletlevel1last"/>
        <w:outlineLvl w:val="0"/>
      </w:pPr>
      <w:r>
        <w:t xml:space="preserve">The portion of best practice in aged care and the use of contemporaneous and innovative continuous improvement of which designated prescribing is one </w:t>
      </w:r>
    </w:p>
    <w:p w14:paraId="5C727DB4" w14:textId="77492828" w:rsidR="00AA3C02" w:rsidRPr="005C7A67" w:rsidRDefault="00AA3C02" w:rsidP="00216AB8">
      <w:pPr>
        <w:pStyle w:val="BodyText"/>
        <w:outlineLvl w:val="0"/>
        <w:rPr>
          <w:noProof w:val="0"/>
          <w:vertAlign w:val="superscript"/>
        </w:rPr>
      </w:pPr>
      <w:r w:rsidRPr="006D52EC">
        <w:t xml:space="preserve">Retaining the status quo does not support the International Council of Nurses plan for policy action to support nurses to work to their full scope and practice nor does it support </w:t>
      </w:r>
      <w:r w:rsidRPr="006D52EC">
        <w:rPr>
          <w:rFonts w:cstheme="minorBidi"/>
        </w:rPr>
        <w:t xml:space="preserve">the </w:t>
      </w:r>
      <w:r w:rsidR="00C152A8" w:rsidRPr="006D52EC">
        <w:rPr>
          <w:rFonts w:cstheme="minorBidi"/>
        </w:rPr>
        <w:t xml:space="preserve">Australian Government’s </w:t>
      </w:r>
      <w:r w:rsidR="00C152A8" w:rsidRPr="006D52EC">
        <w:rPr>
          <w:i/>
          <w:iCs/>
        </w:rPr>
        <w:t>Unleashing the Potential of our Health Workforce Review</w:t>
      </w:r>
      <w:r w:rsidR="00C152A8" w:rsidRPr="006D52EC">
        <w:rPr>
          <w:rStyle w:val="Emphasis"/>
          <w:rFonts w:asciiTheme="minorHAnsi" w:hAnsiTheme="minorHAnsi" w:cstheme="minorBidi"/>
          <w:shd w:val="clear" w:color="auto" w:fill="FFFFFF"/>
        </w:rPr>
        <w:t xml:space="preserve"> </w:t>
      </w:r>
      <w:r w:rsidRPr="006D52EC">
        <w:rPr>
          <w:rFonts w:cstheme="minorBidi"/>
          <w:shd w:val="clear" w:color="auto" w:fill="FFFFFF"/>
        </w:rPr>
        <w:t>which aims to optimise</w:t>
      </w:r>
      <w:r w:rsidR="00C152A8" w:rsidRPr="006D52EC">
        <w:rPr>
          <w:rFonts w:cstheme="minorBidi"/>
          <w:shd w:val="clear" w:color="auto" w:fill="FFFFFF"/>
        </w:rPr>
        <w:t xml:space="preserve"> the</w:t>
      </w:r>
      <w:r w:rsidRPr="006D52EC">
        <w:rPr>
          <w:rFonts w:cstheme="minorBidi"/>
          <w:shd w:val="clear" w:color="auto" w:fill="FFFFFF"/>
        </w:rPr>
        <w:t xml:space="preserve"> health workforce to improve health access and equity across all communities</w:t>
      </w:r>
      <w:r w:rsidRPr="006D52EC">
        <w:rPr>
          <w:rFonts w:cstheme="minorBidi"/>
        </w:rPr>
        <w:t xml:space="preserve"> </w:t>
      </w:r>
      <w:r w:rsidRPr="006D52EC">
        <w:rPr>
          <w:rFonts w:cstheme="minorBidi"/>
          <w:shd w:val="clear" w:color="auto" w:fill="FFFFFF"/>
        </w:rPr>
        <w:t>– including regional, rural and remote areas.</w:t>
      </w:r>
      <w:r w:rsidR="0047293E">
        <w:rPr>
          <w:noProof w:val="0"/>
          <w:vertAlign w:val="superscript"/>
        </w:rPr>
        <w:t>9,66</w:t>
      </w:r>
    </w:p>
    <w:p w14:paraId="2F4D4D9D" w14:textId="4735095D" w:rsidR="00AA3C02" w:rsidRPr="005C7A67" w:rsidRDefault="00AA3C02" w:rsidP="00216AB8">
      <w:pPr>
        <w:outlineLvl w:val="0"/>
        <w:rPr>
          <w:rFonts w:cs="Arial"/>
          <w:vertAlign w:val="superscript"/>
        </w:rPr>
      </w:pPr>
      <w:r w:rsidRPr="006D52EC">
        <w:rPr>
          <w:rFonts w:cstheme="minorBidi"/>
        </w:rPr>
        <w:t xml:space="preserve">To date there is very little </w:t>
      </w:r>
      <w:r w:rsidR="00521FCC" w:rsidRPr="006D52EC">
        <w:rPr>
          <w:rFonts w:cstheme="minorBidi"/>
        </w:rPr>
        <w:t>global</w:t>
      </w:r>
      <w:r w:rsidRPr="006D52EC">
        <w:rPr>
          <w:rFonts w:cstheme="minorBidi"/>
        </w:rPr>
        <w:t xml:space="preserve"> quantitative evidence related to cost benefit analysis</w:t>
      </w:r>
      <w:r w:rsidR="00546FCB" w:rsidRPr="006D52EC">
        <w:rPr>
          <w:rFonts w:cstheme="minorBidi"/>
        </w:rPr>
        <w:t xml:space="preserve"> </w:t>
      </w:r>
      <w:r w:rsidR="00D82C39" w:rsidRPr="006D52EC">
        <w:rPr>
          <w:rFonts w:cstheme="minorBidi"/>
        </w:rPr>
        <w:t xml:space="preserve">available </w:t>
      </w:r>
      <w:r w:rsidRPr="006D52EC">
        <w:rPr>
          <w:rFonts w:cstheme="minorBidi"/>
        </w:rPr>
        <w:t xml:space="preserve">for </w:t>
      </w:r>
      <w:r w:rsidR="009F3482" w:rsidRPr="006D52EC">
        <w:rPr>
          <w:rFonts w:cstheme="minorBidi"/>
        </w:rPr>
        <w:t xml:space="preserve">non-medical </w:t>
      </w:r>
      <w:r w:rsidRPr="006D52EC">
        <w:rPr>
          <w:rFonts w:cstheme="minorBidi"/>
        </w:rPr>
        <w:t xml:space="preserve">prescribing, </w:t>
      </w:r>
      <w:r w:rsidR="00D25806" w:rsidRPr="006D52EC">
        <w:rPr>
          <w:rFonts w:cstheme="minorBidi"/>
        </w:rPr>
        <w:t>including</w:t>
      </w:r>
      <w:r w:rsidRPr="006D52EC">
        <w:rPr>
          <w:rFonts w:cstheme="minorBidi"/>
        </w:rPr>
        <w:t xml:space="preserve"> NPs</w:t>
      </w:r>
      <w:r w:rsidR="0068162D">
        <w:rPr>
          <w:rFonts w:cstheme="minorBidi"/>
        </w:rPr>
        <w:t>.</w:t>
      </w:r>
      <w:r w:rsidRPr="005C7A67">
        <w:rPr>
          <w:rFonts w:cs="Arial"/>
          <w:vertAlign w:val="superscript"/>
        </w:rPr>
        <w:t xml:space="preserve"> </w:t>
      </w:r>
      <w:r w:rsidR="00415B2A">
        <w:rPr>
          <w:rFonts w:cs="Arial"/>
          <w:vertAlign w:val="superscript"/>
        </w:rPr>
        <w:t xml:space="preserve">71,72 </w:t>
      </w:r>
      <w:r w:rsidR="009A7DEB" w:rsidRPr="004E13F3">
        <w:rPr>
          <w:rFonts w:cs="Arial"/>
        </w:rPr>
        <w:t>As</w:t>
      </w:r>
      <w:r w:rsidR="009A7DEB" w:rsidRPr="006D52EC">
        <w:rPr>
          <w:rFonts w:cstheme="minorBidi"/>
        </w:rPr>
        <w:t xml:space="preserve"> such</w:t>
      </w:r>
      <w:r w:rsidR="00595FE6" w:rsidRPr="006D52EC">
        <w:rPr>
          <w:rFonts w:cstheme="minorBidi"/>
        </w:rPr>
        <w:t>,</w:t>
      </w:r>
      <w:r w:rsidR="009A7DEB" w:rsidRPr="006D52EC">
        <w:rPr>
          <w:rFonts w:cstheme="minorBidi"/>
        </w:rPr>
        <w:t xml:space="preserve"> it</w:t>
      </w:r>
      <w:r w:rsidR="00D25806" w:rsidRPr="006D52EC">
        <w:rPr>
          <w:rFonts w:cstheme="minorBidi"/>
        </w:rPr>
        <w:t xml:space="preserve"> is</w:t>
      </w:r>
      <w:r w:rsidRPr="006D52EC">
        <w:rPr>
          <w:rFonts w:cstheme="minorBidi"/>
        </w:rPr>
        <w:t xml:space="preserve"> difficult to be able to provide anything other than a hypothetical cost benefit analysis related to maintaining the status quo or other options in Australia and other countries where RN prescribing is well embedded and prevalent as part of healthcare</w:t>
      </w:r>
      <w:r w:rsidR="00E17DD1" w:rsidRPr="006D52EC">
        <w:rPr>
          <w:rFonts w:cstheme="minorBidi"/>
        </w:rPr>
        <w:t xml:space="preserve"> structures and systems</w:t>
      </w:r>
      <w:r w:rsidRPr="006D52EC">
        <w:rPr>
          <w:rFonts w:cstheme="minorBidi"/>
        </w:rPr>
        <w:t xml:space="preserve">. </w:t>
      </w:r>
    </w:p>
    <w:p w14:paraId="43A7571A" w14:textId="54457440" w:rsidR="00AA3C02" w:rsidRPr="00FE78DF" w:rsidRDefault="00AA3C02" w:rsidP="00216AB8">
      <w:pPr>
        <w:outlineLvl w:val="0"/>
        <w:rPr>
          <w:rFonts w:cstheme="minorBidi"/>
        </w:rPr>
      </w:pPr>
      <w:r w:rsidRPr="5AA7423A">
        <w:rPr>
          <w:rFonts w:cstheme="minorBidi"/>
        </w:rPr>
        <w:t xml:space="preserve">The NMBA </w:t>
      </w:r>
      <w:r w:rsidR="00650527">
        <w:rPr>
          <w:rFonts w:cstheme="minorBidi"/>
        </w:rPr>
        <w:t xml:space="preserve">31st July 2023 </w:t>
      </w:r>
      <w:r w:rsidR="003E5130">
        <w:rPr>
          <w:rFonts w:cstheme="minorBidi"/>
        </w:rPr>
        <w:t>sought advice from</w:t>
      </w:r>
      <w:r w:rsidR="0068162D">
        <w:rPr>
          <w:rFonts w:cstheme="minorBidi"/>
        </w:rPr>
        <w:t xml:space="preserve"> </w:t>
      </w:r>
      <w:r w:rsidRPr="5AA7423A">
        <w:rPr>
          <w:rFonts w:cstheme="minorBidi"/>
        </w:rPr>
        <w:t xml:space="preserve">Dr Gigi Lim from the University of Auckland. Dr Lim </w:t>
      </w:r>
      <w:r w:rsidR="001A1923">
        <w:rPr>
          <w:rFonts w:cstheme="minorBidi"/>
        </w:rPr>
        <w:t xml:space="preserve">who </w:t>
      </w:r>
      <w:r w:rsidRPr="5AA7423A">
        <w:rPr>
          <w:rFonts w:cstheme="minorBidi"/>
        </w:rPr>
        <w:t xml:space="preserve">has continued involvement in education and expansion of the RN </w:t>
      </w:r>
      <w:r w:rsidR="008930DF" w:rsidRPr="5AA7423A">
        <w:rPr>
          <w:rFonts w:cstheme="minorBidi"/>
        </w:rPr>
        <w:t xml:space="preserve">prescriber </w:t>
      </w:r>
      <w:r w:rsidRPr="5AA7423A">
        <w:rPr>
          <w:rFonts w:cstheme="minorBidi"/>
        </w:rPr>
        <w:t xml:space="preserve">role in </w:t>
      </w:r>
      <w:r w:rsidR="008930DF" w:rsidRPr="5AA7423A">
        <w:rPr>
          <w:rFonts w:cstheme="minorBidi"/>
        </w:rPr>
        <w:t xml:space="preserve">New </w:t>
      </w:r>
      <w:r w:rsidRPr="5AA7423A">
        <w:rPr>
          <w:rFonts w:cstheme="minorBidi"/>
        </w:rPr>
        <w:t>Ze</w:t>
      </w:r>
      <w:r w:rsidR="008930DF" w:rsidRPr="5AA7423A">
        <w:rPr>
          <w:rFonts w:cstheme="minorBidi"/>
        </w:rPr>
        <w:t>a</w:t>
      </w:r>
      <w:r w:rsidRPr="5AA7423A">
        <w:rPr>
          <w:rFonts w:cstheme="minorBidi"/>
        </w:rPr>
        <w:t>land</w:t>
      </w:r>
      <w:r w:rsidR="00D30250">
        <w:rPr>
          <w:rFonts w:cstheme="minorBidi"/>
        </w:rPr>
        <w:t xml:space="preserve"> s</w:t>
      </w:r>
      <w:r w:rsidR="004804CC">
        <w:rPr>
          <w:rFonts w:cstheme="minorBidi"/>
        </w:rPr>
        <w:t>ince its inception in 2006</w:t>
      </w:r>
      <w:r w:rsidRPr="5AA7423A">
        <w:rPr>
          <w:rFonts w:cstheme="minorBidi"/>
        </w:rPr>
        <w:t xml:space="preserve">. The NMBA reached out to Dr Lim after consulting with </w:t>
      </w:r>
      <w:r w:rsidR="008930DF" w:rsidRPr="5AA7423A">
        <w:rPr>
          <w:rFonts w:cstheme="minorBidi"/>
        </w:rPr>
        <w:t>the</w:t>
      </w:r>
      <w:r w:rsidRPr="5AA7423A">
        <w:rPr>
          <w:rFonts w:cstheme="minorBidi"/>
        </w:rPr>
        <w:t xml:space="preserve"> Chief</w:t>
      </w:r>
      <w:r w:rsidRPr="5AA7423A">
        <w:rPr>
          <w:rFonts w:cstheme="minorBidi"/>
          <w:lang w:val="en-NZ" w:eastAsia="en-NZ"/>
          <w14:ligatures w14:val="standardContextual"/>
        </w:rPr>
        <w:t xml:space="preserve"> Executive</w:t>
      </w:r>
      <w:r w:rsidR="008930DF" w:rsidRPr="5AA7423A">
        <w:rPr>
          <w:rFonts w:cstheme="minorBidi"/>
          <w:lang w:val="en-NZ" w:eastAsia="en-NZ"/>
          <w14:ligatures w14:val="standardContextual"/>
        </w:rPr>
        <w:t>/</w:t>
      </w:r>
      <w:r w:rsidRPr="5AA7423A">
        <w:rPr>
          <w:rFonts w:cstheme="minorBidi"/>
          <w:lang w:val="en-NZ" w:eastAsia="en-NZ"/>
          <w14:ligatures w14:val="standardContextual"/>
        </w:rPr>
        <w:t xml:space="preserve">Registrar of </w:t>
      </w:r>
      <w:r w:rsidRPr="5AA7423A">
        <w:rPr>
          <w:rFonts w:cstheme="minorBidi"/>
          <w:lang w:val="en-NZ" w:eastAsia="en-NZ"/>
          <w14:ligatures w14:val="standardContextual"/>
        </w:rPr>
        <w:lastRenderedPageBreak/>
        <w:t xml:space="preserve">the Te Kaunihera Tapuhi, Aotearoa, Nursing Council of New Zealand as literature searches proved unsuccessful in yielding data associated with recent quantitative results around cost benefit analysis related to RN prescribing. Dr Lim confirmed there are no studies that have investigated the cost benefit analysis of RN prescribers </w:t>
      </w:r>
      <w:r w:rsidR="00B63296" w:rsidRPr="5AA7423A">
        <w:rPr>
          <w:rFonts w:cstheme="minorBidi"/>
          <w:lang w:val="en-NZ" w:eastAsia="en-NZ"/>
          <w14:ligatures w14:val="standardContextual"/>
        </w:rPr>
        <w:t xml:space="preserve">in New Zealand </w:t>
      </w:r>
      <w:r w:rsidRPr="5AA7423A">
        <w:rPr>
          <w:rFonts w:cstheme="minorBidi"/>
          <w:lang w:val="en-NZ" w:eastAsia="en-NZ"/>
          <w14:ligatures w14:val="standardContextual"/>
        </w:rPr>
        <w:t>however welcomes participation from the NMBA in future studies supported by the School of Business, University of Auckland and with RN prescribers and GPs.</w:t>
      </w:r>
    </w:p>
    <w:p w14:paraId="4BB0134C" w14:textId="39B6CBE3" w:rsidR="00AA3C02" w:rsidRPr="00D81476" w:rsidRDefault="007618B4" w:rsidP="00216AB8">
      <w:pPr>
        <w:pStyle w:val="AHPRASubheadinglevel3"/>
        <w:outlineLvl w:val="0"/>
      </w:pPr>
      <w:r w:rsidRPr="5AA7423A">
        <w:rPr>
          <w:lang w:val="en-NZ" w:eastAsia="en-NZ"/>
        </w:rPr>
        <w:t xml:space="preserve">A case study methodology has been used to highlight the journey of patients and their families </w:t>
      </w:r>
      <w:r w:rsidR="00471062" w:rsidRPr="5AA7423A">
        <w:rPr>
          <w:lang w:val="en-NZ" w:eastAsia="en-NZ"/>
        </w:rPr>
        <w:t>with associated costings</w:t>
      </w:r>
      <w:r w:rsidR="00F345D3">
        <w:rPr>
          <w:lang w:val="en-NZ" w:eastAsia="en-NZ"/>
        </w:rPr>
        <w:t xml:space="preserve"> from maintaining </w:t>
      </w:r>
      <w:r w:rsidR="00AF715D">
        <w:rPr>
          <w:lang w:val="en-NZ" w:eastAsia="en-NZ"/>
        </w:rPr>
        <w:t>the status quo.</w:t>
      </w:r>
      <w:r w:rsidR="00AA3C02">
        <w:t xml:space="preserve">Case </w:t>
      </w:r>
      <w:r w:rsidR="00CF6902">
        <w:t>study</w:t>
      </w:r>
      <w:r w:rsidR="00AA3C02">
        <w:t>: George</w:t>
      </w:r>
      <w:r w:rsidR="00CF6902">
        <w:t>’</w:t>
      </w:r>
      <w:r w:rsidR="00AA3C02">
        <w:t xml:space="preserve">s </w:t>
      </w:r>
      <w:r w:rsidR="00CF6902">
        <w:t xml:space="preserve">journey </w:t>
      </w:r>
    </w:p>
    <w:p w14:paraId="3CE1317D" w14:textId="636DB75D" w:rsidR="00AA3C02" w:rsidRDefault="00AA3C02" w:rsidP="00216AB8">
      <w:pPr>
        <w:pStyle w:val="AHPRAbody"/>
        <w:outlineLvl w:val="0"/>
      </w:pPr>
      <w:r>
        <w:t>George</w:t>
      </w:r>
      <w:r w:rsidR="005077E7">
        <w:t>,</w:t>
      </w:r>
      <w:r>
        <w:t xml:space="preserve"> a 77-year-old with a history of anaemia and bowel malignancy </w:t>
      </w:r>
      <w:r w:rsidR="005077E7">
        <w:t xml:space="preserve">was </w:t>
      </w:r>
      <w:r>
        <w:t xml:space="preserve">being treated for symptom management by </w:t>
      </w:r>
      <w:r w:rsidR="002C2E56">
        <w:t xml:space="preserve">only </w:t>
      </w:r>
      <w:r>
        <w:t xml:space="preserve">a community palliative care nurse consultant. George lived at home with his wife who was his primary carer </w:t>
      </w:r>
      <w:r w:rsidR="00216F1A">
        <w:t>when his condition</w:t>
      </w:r>
      <w:r>
        <w:t xml:space="preserve"> suddenly deteriorated</w:t>
      </w:r>
      <w:r w:rsidR="00216F1A">
        <w:t xml:space="preserve">. His </w:t>
      </w:r>
      <w:r>
        <w:t xml:space="preserve">wife called an ambulance and George was </w:t>
      </w:r>
      <w:r w:rsidR="00216F1A">
        <w:t xml:space="preserve">taken </w:t>
      </w:r>
      <w:r>
        <w:t xml:space="preserve">to the emergency department. After waiting in for </w:t>
      </w:r>
      <w:r w:rsidR="00FB19E3">
        <w:t xml:space="preserve">two </w:t>
      </w:r>
      <w:r>
        <w:t>hours on a trolley and not being seen</w:t>
      </w:r>
      <w:r w:rsidR="00834514">
        <w:t>,</w:t>
      </w:r>
      <w:r>
        <w:t xml:space="preserve"> at the request of the Family and Medical Power Attorney</w:t>
      </w:r>
      <w:r w:rsidR="00392CD1">
        <w:t>,</w:t>
      </w:r>
      <w:r>
        <w:t xml:space="preserve"> George returned home. The community palliative care </w:t>
      </w:r>
      <w:r w:rsidR="00392CD1">
        <w:t xml:space="preserve">nurse </w:t>
      </w:r>
      <w:r>
        <w:t>consultant was called to visit George in his home to make further assessment and initiate a management plan</w:t>
      </w:r>
      <w:r w:rsidR="004640E0">
        <w:t xml:space="preserve"> however </w:t>
      </w:r>
      <w:r w:rsidR="00FD238E">
        <w:t xml:space="preserve">George’s regular </w:t>
      </w:r>
      <w:r>
        <w:t xml:space="preserve">GP was unable to </w:t>
      </w:r>
      <w:r w:rsidR="00C9061F">
        <w:t xml:space="preserve">visit </w:t>
      </w:r>
      <w:r w:rsidR="005050A1">
        <w:t xml:space="preserve">to </w:t>
      </w:r>
      <w:r>
        <w:t>review</w:t>
      </w:r>
      <w:r w:rsidR="005050A1">
        <w:t xml:space="preserve"> his medications</w:t>
      </w:r>
      <w:r>
        <w:t>. The RN was distressed with the situation and chose to drive to the GP to get an order for comfort measures until further review and treatment plans could be put in place.</w:t>
      </w:r>
    </w:p>
    <w:p w14:paraId="26344AF3" w14:textId="16FCAFDF" w:rsidR="00AA3C02" w:rsidRPr="00BF3BE8" w:rsidRDefault="00AA3C02" w:rsidP="00216AB8">
      <w:pPr>
        <w:pStyle w:val="AHPRASubheadinglevel3"/>
        <w:outlineLvl w:val="0"/>
      </w:pPr>
      <w:r>
        <w:t xml:space="preserve">Case </w:t>
      </w:r>
      <w:r w:rsidR="00CB6062">
        <w:t>study</w:t>
      </w:r>
      <w:r>
        <w:t>: Nellie</w:t>
      </w:r>
      <w:r w:rsidR="00CB6062">
        <w:t>’</w:t>
      </w:r>
      <w:r>
        <w:t xml:space="preserve">s </w:t>
      </w:r>
      <w:r w:rsidR="00CB6062">
        <w:t>journey</w:t>
      </w:r>
    </w:p>
    <w:p w14:paraId="3F2C0B24" w14:textId="636F8C65" w:rsidR="00AA3C02" w:rsidRDefault="00AA3C02" w:rsidP="00216AB8">
      <w:pPr>
        <w:pStyle w:val="AHPRAbody"/>
        <w:outlineLvl w:val="0"/>
      </w:pPr>
      <w:r>
        <w:t>Nellie</w:t>
      </w:r>
      <w:r w:rsidR="003F1EAD">
        <w:t>,</w:t>
      </w:r>
      <w:r>
        <w:t xml:space="preserve"> an 85-year-old resident with new onset dementia living in an aged care facility </w:t>
      </w:r>
      <w:r w:rsidR="00AE1B0C">
        <w:t xml:space="preserve">had become </w:t>
      </w:r>
      <w:r>
        <w:t xml:space="preserve">increasingly confused. Nellie had a urine test collected for pathology and initial </w:t>
      </w:r>
      <w:r w:rsidR="00AE1B0C">
        <w:t>in-</w:t>
      </w:r>
      <w:r>
        <w:t xml:space="preserve">facility testing returned a urinalysis reading that indicated infection. The RN in charge undertook a full assessment of Nellie and knew Nellie had </w:t>
      </w:r>
      <w:r w:rsidR="006F4043">
        <w:t>previously</w:t>
      </w:r>
      <w:r>
        <w:t xml:space="preserve"> received treatment for urinary tract infections. A GP was unable to be contacted to review</w:t>
      </w:r>
      <w:r w:rsidR="008153A7">
        <w:t xml:space="preserve"> Nellie</w:t>
      </w:r>
      <w:r>
        <w:t xml:space="preserve">. </w:t>
      </w:r>
      <w:r w:rsidR="00E54AF7">
        <w:t xml:space="preserve">The </w:t>
      </w:r>
      <w:r w:rsidR="1D777BD0">
        <w:t>urine cytology</w:t>
      </w:r>
      <w:r w:rsidR="00E54AF7">
        <w:t xml:space="preserve"> results </w:t>
      </w:r>
      <w:r w:rsidR="001314B6">
        <w:t>confirmed that</w:t>
      </w:r>
      <w:r w:rsidR="00556362">
        <w:t xml:space="preserve"> Nellie </w:t>
      </w:r>
      <w:r w:rsidR="00E45941">
        <w:t xml:space="preserve">had a urinary tract infection. Nellie’s </w:t>
      </w:r>
      <w:r>
        <w:t>electronic medical records noted previous antibiotic</w:t>
      </w:r>
      <w:r w:rsidR="00A55814">
        <w:t xml:space="preserve"> treatment</w:t>
      </w:r>
      <w:r w:rsidR="00CF2BA3">
        <w:t xml:space="preserve"> </w:t>
      </w:r>
      <w:r w:rsidR="00E64B12">
        <w:t>for the</w:t>
      </w:r>
      <w:r>
        <w:t xml:space="preserve"> same </w:t>
      </w:r>
      <w:r w:rsidR="00E64B12">
        <w:t xml:space="preserve">infection </w:t>
      </w:r>
      <w:r>
        <w:t>strain.</w:t>
      </w:r>
      <w:r w:rsidR="35167650">
        <w:t xml:space="preserve"> The GP had also written that should this episode be repeated</w:t>
      </w:r>
      <w:r w:rsidR="00624FDB">
        <w:t>, the</w:t>
      </w:r>
      <w:r w:rsidR="35167650">
        <w:t xml:space="preserve"> same </w:t>
      </w:r>
      <w:r w:rsidR="01F5ED64">
        <w:t>cytology</w:t>
      </w:r>
      <w:r w:rsidR="35167650">
        <w:t xml:space="preserve"> </w:t>
      </w:r>
      <w:r w:rsidR="0BC2DA69">
        <w:t xml:space="preserve">would be best managed with the </w:t>
      </w:r>
      <w:r w:rsidR="35167650">
        <w:t xml:space="preserve">same medicine which was noted in the EMR. </w:t>
      </w:r>
      <w:r>
        <w:t>During this time, Nellie</w:t>
      </w:r>
      <w:r w:rsidR="00533D03">
        <w:t>’s condition</w:t>
      </w:r>
      <w:r>
        <w:t xml:space="preserve"> had </w:t>
      </w:r>
      <w:r w:rsidR="00CF2BA3">
        <w:t>deteriorated,</w:t>
      </w:r>
      <w:r>
        <w:t xml:space="preserve"> and </w:t>
      </w:r>
      <w:r w:rsidR="00C90FE7">
        <w:t xml:space="preserve">she </w:t>
      </w:r>
      <w:r>
        <w:t>was transferred to hospital via ambulance</w:t>
      </w:r>
      <w:r w:rsidR="00CF2BA3">
        <w:t xml:space="preserve">. Nellie waited </w:t>
      </w:r>
      <w:r w:rsidR="007D34B0">
        <w:t xml:space="preserve">six </w:t>
      </w:r>
      <w:r>
        <w:t>hours in the emergency department on a trolley</w:t>
      </w:r>
      <w:r w:rsidR="00CF2BA3">
        <w:t xml:space="preserve"> before being admitted to a medical ward</w:t>
      </w:r>
      <w:r w:rsidR="007610BE">
        <w:t xml:space="preserve"> </w:t>
      </w:r>
      <w:r>
        <w:t xml:space="preserve">with delirium secondary to urinary sepsis. </w:t>
      </w:r>
      <w:r w:rsidR="007610BE">
        <w:t>Following her discharge from hospital,</w:t>
      </w:r>
      <w:r>
        <w:t xml:space="preserve"> it took Nellie approximately 10 days to be re-orientated to </w:t>
      </w:r>
      <w:r w:rsidR="00A3015A">
        <w:t xml:space="preserve">her </w:t>
      </w:r>
      <w:r>
        <w:t>residential environment. A marked decrease in Nellie</w:t>
      </w:r>
      <w:r w:rsidR="00251F66">
        <w:t>’</w:t>
      </w:r>
      <w:r>
        <w:t xml:space="preserve">s conditioning was noted by the RN </w:t>
      </w:r>
      <w:r w:rsidR="00A3015A">
        <w:t xml:space="preserve">at the facility </w:t>
      </w:r>
      <w:r>
        <w:t xml:space="preserve">accompanied by demonstrated poor </w:t>
      </w:r>
      <w:r w:rsidR="008E157A">
        <w:t>behavioural</w:t>
      </w:r>
      <w:r>
        <w:t xml:space="preserve"> outcomes.</w:t>
      </w:r>
    </w:p>
    <w:p w14:paraId="2F7E9541" w14:textId="53B155B0" w:rsidR="00A90DFE" w:rsidRDefault="00A90DFE" w:rsidP="00216AB8">
      <w:pPr>
        <w:pStyle w:val="AHPRASubheadinglevel2"/>
        <w:outlineLvl w:val="0"/>
      </w:pPr>
      <w:bookmarkStart w:id="52" w:name="_Toc164692722"/>
      <w:r>
        <w:t>Hospital admission costings</w:t>
      </w:r>
      <w:bookmarkEnd w:id="52"/>
    </w:p>
    <w:p w14:paraId="29C40742" w14:textId="1564972E" w:rsidR="007D4B78" w:rsidRPr="00012EEE" w:rsidRDefault="007D4B78" w:rsidP="00216AB8">
      <w:pPr>
        <w:pStyle w:val="AHPRAbody"/>
        <w:outlineLvl w:val="0"/>
        <w:rPr>
          <w:vertAlign w:val="superscript"/>
        </w:rPr>
      </w:pPr>
      <w:r>
        <w:t xml:space="preserve">According to the Independent Health and Aged Care Pricing Authority’s </w:t>
      </w:r>
      <w:r w:rsidRPr="5AA7423A">
        <w:rPr>
          <w:i/>
          <w:iCs/>
        </w:rPr>
        <w:t xml:space="preserve">National Benchmarking Portal periodic insights </w:t>
      </w:r>
      <w:r w:rsidR="00D72EEC">
        <w:rPr>
          <w:vertAlign w:val="superscript"/>
        </w:rPr>
        <w:t xml:space="preserve">73 </w:t>
      </w:r>
      <w:r>
        <w:t>the average cost per episode for patients admitted to hospitals for acute care</w:t>
      </w:r>
      <w:r w:rsidR="00835DF6">
        <w:t xml:space="preserve">, </w:t>
      </w:r>
      <w:r>
        <w:t>sub-acute and non-acute care</w:t>
      </w:r>
      <w:r w:rsidR="00835DF6">
        <w:t>,</w:t>
      </w:r>
      <w:r>
        <w:t xml:space="preserve"> emergency presentations </w:t>
      </w:r>
      <w:r w:rsidR="00835DF6">
        <w:t>and mental</w:t>
      </w:r>
      <w:r>
        <w:t xml:space="preserve"> health </w:t>
      </w:r>
      <w:r w:rsidR="00835DF6">
        <w:t xml:space="preserve">are outlined in Table 1 below. </w:t>
      </w:r>
    </w:p>
    <w:p w14:paraId="6057497D" w14:textId="211FA3C8" w:rsidR="007D4B78" w:rsidRDefault="007D4B78" w:rsidP="00216AB8">
      <w:pPr>
        <w:pStyle w:val="AHPRAbody"/>
        <w:outlineLvl w:val="0"/>
      </w:pPr>
      <w:r>
        <w:t>Acute care admission to public hospital</w:t>
      </w:r>
      <w:r w:rsidR="000722A7">
        <w:t>s</w:t>
      </w:r>
      <w:r>
        <w:t xml:space="preserve"> account for the majority of costs</w:t>
      </w:r>
      <w:r w:rsidR="00751F6B">
        <w:t xml:space="preserve">. Costs </w:t>
      </w:r>
      <w:r>
        <w:t>includes formal admission to hospital to receive short-term treatment</w:t>
      </w:r>
      <w:r w:rsidR="00751F6B">
        <w:t>,</w:t>
      </w:r>
      <w:r>
        <w:t xml:space="preserve"> treating illnesses or injuries, performing surgery or other diagnostic procedures.</w:t>
      </w:r>
    </w:p>
    <w:p w14:paraId="0FAB2A70" w14:textId="77777777" w:rsidR="007D4B78" w:rsidRDefault="007D4B78" w:rsidP="00216AB8">
      <w:pPr>
        <w:pStyle w:val="AHPRAbody"/>
        <w:outlineLvl w:val="0"/>
      </w:pPr>
      <w:r>
        <w:t>Sub-acute or non-acute care patient admissions include specialised care services related to the optimisation of the patient’s functioning and quality of life. This includes rehabilitation and palliative care.</w:t>
      </w:r>
    </w:p>
    <w:p w14:paraId="5819306E" w14:textId="4FD5DEA1" w:rsidR="00524DCB" w:rsidRDefault="007D4B78" w:rsidP="00814752">
      <w:pPr>
        <w:pStyle w:val="AHPRAbody"/>
        <w:outlineLvl w:val="0"/>
      </w:pPr>
      <w:r>
        <w:t>An emergency department presentation includes the service provided to a patient in a hospital’s emergency department without admission.</w:t>
      </w:r>
    </w:p>
    <w:p w14:paraId="79A8FA8D" w14:textId="6288E2B6" w:rsidR="007C3F64" w:rsidRDefault="007C3F64" w:rsidP="00216AB8">
      <w:pPr>
        <w:pStyle w:val="AHPRASubheadinglevel2"/>
        <w:spacing w:before="360"/>
        <w:outlineLvl w:val="0"/>
      </w:pPr>
      <w:bookmarkStart w:id="53" w:name="_Toc149054798"/>
      <w:bookmarkStart w:id="54" w:name="_Toc164692723"/>
      <w:r>
        <w:t>Table</w:t>
      </w:r>
      <w:r w:rsidR="009B4279">
        <w:t xml:space="preserve"> 1</w:t>
      </w:r>
      <w:r>
        <w:t xml:space="preserve">: </w:t>
      </w:r>
      <w:r w:rsidRPr="007C3F64">
        <w:t xml:space="preserve">Average cost of </w:t>
      </w:r>
      <w:r>
        <w:t>emergency department</w:t>
      </w:r>
      <w:r w:rsidRPr="007C3F64">
        <w:t xml:space="preserve"> visit, hospitalisations</w:t>
      </w:r>
      <w:r>
        <w:t xml:space="preserve"> </w:t>
      </w:r>
      <w:r w:rsidRPr="007C3F64">
        <w:t>and transfers for acute care</w:t>
      </w:r>
      <w:bookmarkEnd w:id="53"/>
      <w:bookmarkEnd w:id="54"/>
    </w:p>
    <w:tbl>
      <w:tblPr>
        <w:tblStyle w:val="PMCTableStyle2"/>
        <w:tblW w:w="9622"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1980"/>
        <w:gridCol w:w="1984"/>
        <w:gridCol w:w="1838"/>
        <w:gridCol w:w="3820"/>
      </w:tblGrid>
      <w:tr w:rsidR="00FB60F9" w14:paraId="2647A012" w14:textId="77777777" w:rsidTr="00814752">
        <w:trPr>
          <w:cnfStyle w:val="100000000000" w:firstRow="1" w:lastRow="0" w:firstColumn="0" w:lastColumn="0" w:oddVBand="0" w:evenVBand="0" w:oddHBand="0" w:evenHBand="0" w:firstRowFirstColumn="0" w:firstRowLastColumn="0" w:lastRowFirstColumn="0" w:lastRowLastColumn="0"/>
          <w:trHeight w:val="350"/>
          <w:tblHeader/>
        </w:trPr>
        <w:tc>
          <w:tcPr>
            <w:tcW w:w="0" w:type="dxa"/>
            <w:shd w:val="clear" w:color="auto" w:fill="00B0F0"/>
          </w:tcPr>
          <w:p w14:paraId="7BCF3075" w14:textId="77777777" w:rsidR="00AA3C02" w:rsidRPr="007C3F64" w:rsidRDefault="00AA3C02" w:rsidP="00216AB8">
            <w:pPr>
              <w:spacing w:after="0" w:line="254" w:lineRule="auto"/>
              <w:outlineLvl w:val="0"/>
              <w:rPr>
                <w:rFonts w:ascii="Arial" w:eastAsia="Arial" w:hAnsi="Arial" w:cs="Arial"/>
                <w:bCs/>
                <w:sz w:val="20"/>
                <w:szCs w:val="20"/>
              </w:rPr>
            </w:pPr>
            <w:r w:rsidRPr="007C3F64">
              <w:rPr>
                <w:rFonts w:ascii="Arial" w:eastAsia="Arial" w:hAnsi="Arial" w:cs="Arial"/>
                <w:bCs/>
                <w:sz w:val="20"/>
                <w:szCs w:val="20"/>
              </w:rPr>
              <w:t xml:space="preserve">Resource </w:t>
            </w:r>
          </w:p>
        </w:tc>
        <w:tc>
          <w:tcPr>
            <w:tcW w:w="0" w:type="dxa"/>
            <w:shd w:val="clear" w:color="auto" w:fill="00B0F0"/>
          </w:tcPr>
          <w:p w14:paraId="5682E992" w14:textId="77777777" w:rsidR="00AA3C02" w:rsidRPr="007C3F64" w:rsidRDefault="00AA3C02" w:rsidP="00216AB8">
            <w:pPr>
              <w:spacing w:after="0" w:line="254" w:lineRule="auto"/>
              <w:outlineLvl w:val="0"/>
              <w:rPr>
                <w:rFonts w:ascii="Arial" w:eastAsia="Arial" w:hAnsi="Arial" w:cs="Arial"/>
                <w:bCs/>
                <w:sz w:val="20"/>
                <w:szCs w:val="20"/>
              </w:rPr>
            </w:pPr>
            <w:r w:rsidRPr="007C3F64">
              <w:rPr>
                <w:rFonts w:ascii="Arial" w:eastAsia="Arial" w:hAnsi="Arial" w:cs="Arial"/>
                <w:bCs/>
                <w:sz w:val="20"/>
                <w:szCs w:val="20"/>
              </w:rPr>
              <w:t>Description</w:t>
            </w:r>
          </w:p>
        </w:tc>
        <w:tc>
          <w:tcPr>
            <w:tcW w:w="0" w:type="dxa"/>
            <w:shd w:val="clear" w:color="auto" w:fill="00B0F0"/>
          </w:tcPr>
          <w:p w14:paraId="7747639F" w14:textId="77777777" w:rsidR="00AA3C02" w:rsidRPr="007C3F64" w:rsidRDefault="00AA3C02" w:rsidP="00216AB8">
            <w:pPr>
              <w:spacing w:after="0" w:line="254" w:lineRule="auto"/>
              <w:outlineLvl w:val="0"/>
              <w:rPr>
                <w:rFonts w:ascii="Arial" w:eastAsia="Arial" w:hAnsi="Arial" w:cs="Arial"/>
                <w:bCs/>
                <w:sz w:val="20"/>
                <w:szCs w:val="20"/>
              </w:rPr>
            </w:pPr>
            <w:r w:rsidRPr="007C3F64">
              <w:rPr>
                <w:rFonts w:ascii="Arial" w:eastAsia="Arial" w:hAnsi="Arial" w:cs="Arial"/>
                <w:bCs/>
                <w:sz w:val="20"/>
                <w:szCs w:val="20"/>
              </w:rPr>
              <w:t>Value</w:t>
            </w:r>
          </w:p>
        </w:tc>
        <w:tc>
          <w:tcPr>
            <w:tcW w:w="0" w:type="dxa"/>
            <w:shd w:val="clear" w:color="auto" w:fill="00B0F0"/>
          </w:tcPr>
          <w:p w14:paraId="08C5C5F3" w14:textId="77777777" w:rsidR="00AA3C02" w:rsidRPr="007C3F64" w:rsidRDefault="00AA3C02" w:rsidP="00216AB8">
            <w:pPr>
              <w:spacing w:after="0" w:line="254" w:lineRule="auto"/>
              <w:outlineLvl w:val="0"/>
              <w:rPr>
                <w:rFonts w:ascii="Arial" w:eastAsia="Arial" w:hAnsi="Arial" w:cs="Arial"/>
                <w:bCs/>
                <w:sz w:val="20"/>
                <w:szCs w:val="20"/>
              </w:rPr>
            </w:pPr>
            <w:r w:rsidRPr="007C3F64">
              <w:rPr>
                <w:rFonts w:ascii="Arial" w:eastAsia="Arial" w:hAnsi="Arial" w:cs="Arial"/>
                <w:bCs/>
                <w:sz w:val="20"/>
                <w:szCs w:val="20"/>
              </w:rPr>
              <w:t xml:space="preserve">Source </w:t>
            </w:r>
          </w:p>
        </w:tc>
      </w:tr>
      <w:tr w:rsidR="00AA3C02" w:rsidRPr="00BC1972" w14:paraId="0131CAF9" w14:textId="77777777" w:rsidTr="21A7F60E">
        <w:trPr>
          <w:trHeight w:val="350"/>
        </w:trPr>
        <w:tc>
          <w:tcPr>
            <w:tcW w:w="1980" w:type="dxa"/>
          </w:tcPr>
          <w:p w14:paraId="24D48D23" w14:textId="4801E8D4" w:rsidR="00AA3C02" w:rsidRPr="007C3F64" w:rsidRDefault="00AA3C02" w:rsidP="00216AB8">
            <w:pPr>
              <w:pStyle w:val="TableBody"/>
              <w:outlineLvl w:val="0"/>
              <w:rPr>
                <w:rFonts w:ascii="Arial" w:hAnsi="Arial" w:cs="Arial"/>
                <w:color w:val="262626" w:themeColor="text1" w:themeTint="D9"/>
                <w:sz w:val="20"/>
              </w:rPr>
            </w:pPr>
            <w:r w:rsidRPr="007C3F64">
              <w:rPr>
                <w:rFonts w:ascii="Arial" w:hAnsi="Arial" w:cs="Arial"/>
                <w:sz w:val="20"/>
              </w:rPr>
              <w:t xml:space="preserve">Transfer to </w:t>
            </w:r>
            <w:r w:rsidR="007C3F64">
              <w:rPr>
                <w:rFonts w:ascii="Arial" w:hAnsi="Arial" w:cs="Arial"/>
                <w:sz w:val="20"/>
              </w:rPr>
              <w:t>e</w:t>
            </w:r>
            <w:r w:rsidR="007C3F64" w:rsidRPr="007C3F64">
              <w:rPr>
                <w:rFonts w:ascii="Arial" w:hAnsi="Arial" w:cs="Arial"/>
                <w:sz w:val="20"/>
              </w:rPr>
              <w:t xml:space="preserve">mergency </w:t>
            </w:r>
            <w:r w:rsidR="007C3F64">
              <w:rPr>
                <w:rFonts w:ascii="Arial" w:hAnsi="Arial" w:cs="Arial"/>
                <w:sz w:val="20"/>
              </w:rPr>
              <w:t>d</w:t>
            </w:r>
            <w:r w:rsidR="007C3F64" w:rsidRPr="007C3F64">
              <w:rPr>
                <w:rFonts w:ascii="Arial" w:hAnsi="Arial" w:cs="Arial"/>
                <w:sz w:val="20"/>
              </w:rPr>
              <w:t xml:space="preserve">epartment </w:t>
            </w:r>
          </w:p>
        </w:tc>
        <w:tc>
          <w:tcPr>
            <w:tcW w:w="1984" w:type="dxa"/>
          </w:tcPr>
          <w:p w14:paraId="09372CD8" w14:textId="0C4DE150" w:rsidR="00AA3C02" w:rsidRPr="007C3F64" w:rsidRDefault="00AA3C02" w:rsidP="00216AB8">
            <w:pPr>
              <w:pStyle w:val="TableBody"/>
              <w:outlineLvl w:val="0"/>
              <w:rPr>
                <w:rFonts w:ascii="Arial" w:hAnsi="Arial" w:cs="Arial"/>
                <w:color w:val="262626" w:themeColor="text1" w:themeTint="D9"/>
                <w:sz w:val="20"/>
              </w:rPr>
            </w:pPr>
            <w:r w:rsidRPr="007C3F64">
              <w:rPr>
                <w:rFonts w:ascii="Arial" w:hAnsi="Arial" w:cs="Arial"/>
                <w:color w:val="262626" w:themeColor="text1" w:themeTint="D9"/>
                <w:sz w:val="20"/>
              </w:rPr>
              <w:t xml:space="preserve">Emergency </w:t>
            </w:r>
            <w:r w:rsidR="007C3F64">
              <w:rPr>
                <w:rFonts w:ascii="Arial" w:hAnsi="Arial" w:cs="Arial"/>
                <w:color w:val="262626" w:themeColor="text1" w:themeTint="D9"/>
                <w:sz w:val="20"/>
              </w:rPr>
              <w:t>t</w:t>
            </w:r>
            <w:r w:rsidR="007C3F64" w:rsidRPr="007C3F64">
              <w:rPr>
                <w:rFonts w:ascii="Arial" w:hAnsi="Arial" w:cs="Arial"/>
                <w:color w:val="262626" w:themeColor="text1" w:themeTint="D9"/>
                <w:sz w:val="20"/>
              </w:rPr>
              <w:t xml:space="preserve">ransport </w:t>
            </w:r>
          </w:p>
        </w:tc>
        <w:tc>
          <w:tcPr>
            <w:tcW w:w="1838" w:type="dxa"/>
          </w:tcPr>
          <w:p w14:paraId="24C005A1" w14:textId="77777777" w:rsidR="00AA3C02" w:rsidRPr="00FB60F9" w:rsidRDefault="00AA3C02" w:rsidP="00216AB8">
            <w:pPr>
              <w:pStyle w:val="TableBody"/>
              <w:outlineLvl w:val="0"/>
              <w:rPr>
                <w:rFonts w:ascii="Arial" w:hAnsi="Arial" w:cs="Arial"/>
                <w:color w:val="262626" w:themeColor="text1" w:themeTint="D9"/>
                <w:sz w:val="20"/>
              </w:rPr>
            </w:pPr>
            <w:r w:rsidRPr="00FB60F9">
              <w:rPr>
                <w:rFonts w:ascii="Arial" w:hAnsi="Arial" w:cs="Arial"/>
                <w:color w:val="262626" w:themeColor="text1" w:themeTint="D9"/>
                <w:sz w:val="20"/>
              </w:rPr>
              <w:t>$1,358 Metropolitan</w:t>
            </w:r>
          </w:p>
          <w:p w14:paraId="75A4BCF0" w14:textId="77777777" w:rsidR="00AA3C02" w:rsidRPr="00FB60F9" w:rsidRDefault="00AA3C02" w:rsidP="00216AB8">
            <w:pPr>
              <w:pStyle w:val="TableBody"/>
              <w:outlineLvl w:val="0"/>
              <w:rPr>
                <w:rFonts w:ascii="Arial" w:hAnsi="Arial" w:cs="Arial"/>
                <w:color w:val="262626" w:themeColor="text1" w:themeTint="D9"/>
                <w:sz w:val="20"/>
              </w:rPr>
            </w:pPr>
            <w:r w:rsidRPr="00FB60F9">
              <w:rPr>
                <w:rFonts w:ascii="Arial" w:hAnsi="Arial" w:cs="Arial"/>
                <w:color w:val="262626" w:themeColor="text1" w:themeTint="D9"/>
                <w:sz w:val="20"/>
              </w:rPr>
              <w:t>$2,004 Rural</w:t>
            </w:r>
          </w:p>
        </w:tc>
        <w:tc>
          <w:tcPr>
            <w:tcW w:w="3820" w:type="dxa"/>
          </w:tcPr>
          <w:p w14:paraId="4BF14005" w14:textId="1974DB02" w:rsidR="00AA3C02" w:rsidRPr="00C15788" w:rsidRDefault="490093F0" w:rsidP="21A7F60E">
            <w:pPr>
              <w:pStyle w:val="TableNumbering"/>
              <w:numPr>
                <w:ilvl w:val="0"/>
                <w:numId w:val="0"/>
              </w:numPr>
              <w:outlineLvl w:val="0"/>
              <w:rPr>
                <w:rFonts w:ascii="Arial" w:hAnsi="Arial" w:cs="Arial"/>
                <w:sz w:val="20"/>
              </w:rPr>
            </w:pPr>
            <w:r w:rsidRPr="00C15788">
              <w:rPr>
                <w:rFonts w:ascii="Arial" w:hAnsi="Arial" w:cs="Arial"/>
                <w:sz w:val="20"/>
              </w:rPr>
              <w:t>National Aver</w:t>
            </w:r>
            <w:r w:rsidR="00B03E68" w:rsidRPr="00C15788">
              <w:rPr>
                <w:rFonts w:ascii="Arial" w:hAnsi="Arial" w:cs="Arial"/>
                <w:sz w:val="20"/>
              </w:rPr>
              <w:t>ag</w:t>
            </w:r>
            <w:r w:rsidRPr="00C15788">
              <w:rPr>
                <w:rFonts w:ascii="Arial" w:hAnsi="Arial" w:cs="Arial"/>
                <w:sz w:val="20"/>
              </w:rPr>
              <w:t>e excluding QLD and Tasmania</w:t>
            </w:r>
          </w:p>
        </w:tc>
      </w:tr>
      <w:tr w:rsidR="00AA3C02" w:rsidRPr="00BC1972" w14:paraId="02233AD0" w14:textId="77777777" w:rsidTr="21A7F60E">
        <w:trPr>
          <w:trHeight w:val="350"/>
        </w:trPr>
        <w:tc>
          <w:tcPr>
            <w:tcW w:w="1980" w:type="dxa"/>
          </w:tcPr>
          <w:p w14:paraId="6E446D0C" w14:textId="0CC2F9F9" w:rsidR="00AA3C02" w:rsidRPr="007C3F64" w:rsidRDefault="00FB60F9" w:rsidP="00216AB8">
            <w:pPr>
              <w:pStyle w:val="TableBody"/>
              <w:outlineLvl w:val="0"/>
              <w:rPr>
                <w:rFonts w:ascii="Arial" w:hAnsi="Arial" w:cs="Arial"/>
                <w:sz w:val="20"/>
              </w:rPr>
            </w:pPr>
            <w:r w:rsidRPr="007C3F64">
              <w:rPr>
                <w:rFonts w:ascii="Arial" w:hAnsi="Arial" w:cs="Arial"/>
                <w:sz w:val="20"/>
              </w:rPr>
              <w:t xml:space="preserve">Transfer to </w:t>
            </w:r>
            <w:r>
              <w:rPr>
                <w:rFonts w:ascii="Arial" w:hAnsi="Arial" w:cs="Arial"/>
                <w:sz w:val="20"/>
              </w:rPr>
              <w:t>e</w:t>
            </w:r>
            <w:r w:rsidRPr="007C3F64">
              <w:rPr>
                <w:rFonts w:ascii="Arial" w:hAnsi="Arial" w:cs="Arial"/>
                <w:sz w:val="20"/>
              </w:rPr>
              <w:t xml:space="preserve">mergency </w:t>
            </w:r>
            <w:r>
              <w:rPr>
                <w:rFonts w:ascii="Arial" w:hAnsi="Arial" w:cs="Arial"/>
                <w:sz w:val="20"/>
              </w:rPr>
              <w:t>d</w:t>
            </w:r>
            <w:r w:rsidRPr="007C3F64">
              <w:rPr>
                <w:rFonts w:ascii="Arial" w:hAnsi="Arial" w:cs="Arial"/>
                <w:sz w:val="20"/>
              </w:rPr>
              <w:t>epartment</w:t>
            </w:r>
          </w:p>
        </w:tc>
        <w:tc>
          <w:tcPr>
            <w:tcW w:w="1984" w:type="dxa"/>
          </w:tcPr>
          <w:p w14:paraId="52186736" w14:textId="1C568763" w:rsidR="00AA3C02" w:rsidRPr="007C3F64" w:rsidRDefault="00FB60F9" w:rsidP="00216AB8">
            <w:pPr>
              <w:pStyle w:val="TableBody"/>
              <w:outlineLvl w:val="0"/>
              <w:rPr>
                <w:rFonts w:ascii="Arial" w:hAnsi="Arial" w:cs="Arial"/>
                <w:color w:val="262626" w:themeColor="text1" w:themeTint="D9"/>
                <w:sz w:val="20"/>
              </w:rPr>
            </w:pPr>
            <w:r w:rsidRPr="007C3F64">
              <w:rPr>
                <w:rFonts w:ascii="Arial" w:hAnsi="Arial" w:cs="Arial"/>
                <w:color w:val="262626" w:themeColor="text1" w:themeTint="D9"/>
                <w:sz w:val="20"/>
              </w:rPr>
              <w:t>No</w:t>
            </w:r>
            <w:r>
              <w:rPr>
                <w:rFonts w:ascii="Arial" w:hAnsi="Arial" w:cs="Arial"/>
                <w:color w:val="262626" w:themeColor="text1" w:themeTint="D9"/>
                <w:sz w:val="20"/>
              </w:rPr>
              <w:t>n-</w:t>
            </w:r>
            <w:r w:rsidR="007C3F64">
              <w:rPr>
                <w:rFonts w:ascii="Arial" w:hAnsi="Arial" w:cs="Arial"/>
                <w:color w:val="262626" w:themeColor="text1" w:themeTint="D9"/>
                <w:sz w:val="20"/>
              </w:rPr>
              <w:t>e</w:t>
            </w:r>
            <w:r w:rsidR="007C3F64" w:rsidRPr="007C3F64">
              <w:rPr>
                <w:rFonts w:ascii="Arial" w:hAnsi="Arial" w:cs="Arial"/>
                <w:color w:val="262626" w:themeColor="text1" w:themeTint="D9"/>
                <w:sz w:val="20"/>
              </w:rPr>
              <w:t xml:space="preserve">mergency </w:t>
            </w:r>
            <w:r w:rsidR="007C3F64">
              <w:rPr>
                <w:rFonts w:ascii="Arial" w:hAnsi="Arial" w:cs="Arial"/>
                <w:color w:val="262626" w:themeColor="text1" w:themeTint="D9"/>
                <w:sz w:val="20"/>
              </w:rPr>
              <w:t>t</w:t>
            </w:r>
            <w:r w:rsidR="007C3F64" w:rsidRPr="007C3F64">
              <w:rPr>
                <w:rFonts w:ascii="Arial" w:hAnsi="Arial" w:cs="Arial"/>
                <w:color w:val="262626" w:themeColor="text1" w:themeTint="D9"/>
                <w:sz w:val="20"/>
              </w:rPr>
              <w:t xml:space="preserve">ransport </w:t>
            </w:r>
          </w:p>
        </w:tc>
        <w:tc>
          <w:tcPr>
            <w:tcW w:w="1838" w:type="dxa"/>
          </w:tcPr>
          <w:p w14:paraId="0D3C5FC2" w14:textId="77777777" w:rsidR="00AA3C02" w:rsidRPr="00FB60F9" w:rsidRDefault="00AA3C02" w:rsidP="00216AB8">
            <w:pPr>
              <w:pStyle w:val="TableBody"/>
              <w:outlineLvl w:val="0"/>
              <w:rPr>
                <w:rFonts w:ascii="Arial" w:hAnsi="Arial" w:cs="Arial"/>
                <w:color w:val="262626" w:themeColor="text1" w:themeTint="D9"/>
                <w:sz w:val="20"/>
              </w:rPr>
            </w:pPr>
            <w:r w:rsidRPr="00FB60F9">
              <w:rPr>
                <w:rFonts w:ascii="Arial" w:hAnsi="Arial" w:cs="Arial"/>
                <w:color w:val="262626" w:themeColor="text1" w:themeTint="D9"/>
                <w:sz w:val="20"/>
              </w:rPr>
              <w:t>$367 Metropolitan</w:t>
            </w:r>
          </w:p>
          <w:p w14:paraId="6032407C" w14:textId="31DCC11E" w:rsidR="00AA3C02" w:rsidRPr="00FB60F9" w:rsidRDefault="00AA3C02" w:rsidP="00216AB8">
            <w:pPr>
              <w:pStyle w:val="TableBody"/>
              <w:outlineLvl w:val="0"/>
              <w:rPr>
                <w:rFonts w:ascii="Arial" w:hAnsi="Arial" w:cs="Arial"/>
                <w:color w:val="262626" w:themeColor="text1" w:themeTint="D9"/>
                <w:sz w:val="20"/>
              </w:rPr>
            </w:pPr>
            <w:r w:rsidRPr="00FB60F9">
              <w:rPr>
                <w:rFonts w:ascii="Arial" w:hAnsi="Arial" w:cs="Arial"/>
                <w:color w:val="262626" w:themeColor="text1" w:themeTint="D9"/>
                <w:sz w:val="20"/>
              </w:rPr>
              <w:t>$620</w:t>
            </w:r>
            <w:r w:rsidR="007C3F64" w:rsidRPr="00FB60F9">
              <w:rPr>
                <w:rFonts w:ascii="Arial" w:hAnsi="Arial" w:cs="Arial"/>
                <w:color w:val="262626" w:themeColor="text1" w:themeTint="D9"/>
                <w:sz w:val="20"/>
              </w:rPr>
              <w:t xml:space="preserve"> Rural</w:t>
            </w:r>
          </w:p>
        </w:tc>
        <w:tc>
          <w:tcPr>
            <w:tcW w:w="3820" w:type="dxa"/>
          </w:tcPr>
          <w:p w14:paraId="02E0B8EE" w14:textId="504273F9" w:rsidR="00AA3C02" w:rsidRPr="00C15788" w:rsidRDefault="1C0A0BE3" w:rsidP="00C15788">
            <w:pPr>
              <w:pStyle w:val="TableNumbering"/>
              <w:numPr>
                <w:ilvl w:val="0"/>
                <w:numId w:val="0"/>
              </w:numPr>
              <w:outlineLvl w:val="0"/>
              <w:rPr>
                <w:rFonts w:ascii="Arial" w:hAnsi="Arial" w:cs="Arial"/>
                <w:sz w:val="20"/>
              </w:rPr>
            </w:pPr>
            <w:r w:rsidRPr="000208CE">
              <w:rPr>
                <w:rFonts w:ascii="Arial" w:hAnsi="Arial" w:cs="Arial"/>
                <w:sz w:val="20"/>
              </w:rPr>
              <w:t>National Aver</w:t>
            </w:r>
            <w:r w:rsidR="00B03E68" w:rsidRPr="000208CE">
              <w:rPr>
                <w:rFonts w:ascii="Arial" w:hAnsi="Arial" w:cs="Arial"/>
                <w:sz w:val="20"/>
              </w:rPr>
              <w:t>ag</w:t>
            </w:r>
            <w:r w:rsidRPr="000208CE">
              <w:rPr>
                <w:rFonts w:ascii="Arial" w:hAnsi="Arial" w:cs="Arial"/>
                <w:sz w:val="20"/>
              </w:rPr>
              <w:t>e excluding QLD and Tasmania</w:t>
            </w:r>
            <w:r w:rsidRPr="00C15788">
              <w:rPr>
                <w:rStyle w:val="Hyperlink"/>
                <w:rFonts w:ascii="Arial" w:hAnsi="Arial" w:cs="Arial"/>
                <w:sz w:val="20"/>
              </w:rPr>
              <w:t xml:space="preserve"> </w:t>
            </w:r>
          </w:p>
        </w:tc>
      </w:tr>
      <w:tr w:rsidR="00AA3C02" w:rsidRPr="00BC1972" w14:paraId="6974B428" w14:textId="77777777" w:rsidTr="21A7F60E">
        <w:trPr>
          <w:trHeight w:val="350"/>
        </w:trPr>
        <w:tc>
          <w:tcPr>
            <w:tcW w:w="1980" w:type="dxa"/>
          </w:tcPr>
          <w:p w14:paraId="1C93E175" w14:textId="0AC7F835" w:rsidR="00AA3C02" w:rsidRPr="007C3F64" w:rsidRDefault="00AA3C02" w:rsidP="00216AB8">
            <w:pPr>
              <w:pStyle w:val="TableBody"/>
              <w:outlineLvl w:val="0"/>
              <w:rPr>
                <w:rFonts w:ascii="Arial" w:hAnsi="Arial" w:cs="Arial"/>
                <w:sz w:val="20"/>
              </w:rPr>
            </w:pPr>
            <w:r w:rsidRPr="007C3F64">
              <w:rPr>
                <w:rFonts w:ascii="Arial" w:hAnsi="Arial" w:cs="Arial"/>
                <w:sz w:val="20"/>
              </w:rPr>
              <w:lastRenderedPageBreak/>
              <w:t xml:space="preserve">Emergency </w:t>
            </w:r>
            <w:r w:rsidR="007C3F64">
              <w:rPr>
                <w:rFonts w:ascii="Arial" w:hAnsi="Arial" w:cs="Arial"/>
                <w:sz w:val="20"/>
              </w:rPr>
              <w:t>d</w:t>
            </w:r>
            <w:r w:rsidR="007C3F64" w:rsidRPr="007C3F64">
              <w:rPr>
                <w:rFonts w:ascii="Arial" w:hAnsi="Arial" w:cs="Arial"/>
                <w:sz w:val="20"/>
              </w:rPr>
              <w:t xml:space="preserve">epartment </w:t>
            </w:r>
            <w:r w:rsidR="007C3F64">
              <w:rPr>
                <w:rFonts w:ascii="Arial" w:hAnsi="Arial" w:cs="Arial"/>
                <w:sz w:val="20"/>
              </w:rPr>
              <w:t>p</w:t>
            </w:r>
            <w:r w:rsidR="007C3F64" w:rsidRPr="007C3F64">
              <w:rPr>
                <w:rFonts w:ascii="Arial" w:hAnsi="Arial" w:cs="Arial"/>
                <w:sz w:val="20"/>
              </w:rPr>
              <w:t xml:space="preserve">resentation </w:t>
            </w:r>
          </w:p>
        </w:tc>
        <w:tc>
          <w:tcPr>
            <w:tcW w:w="1984" w:type="dxa"/>
          </w:tcPr>
          <w:p w14:paraId="703D1033" w14:textId="0AC4A38A" w:rsidR="00AA3C02" w:rsidRPr="007C3F64" w:rsidRDefault="00AA3C02" w:rsidP="00216AB8">
            <w:pPr>
              <w:pStyle w:val="TableBody"/>
              <w:spacing w:before="0" w:after="0"/>
              <w:outlineLvl w:val="0"/>
              <w:rPr>
                <w:rFonts w:ascii="Arial" w:hAnsi="Arial" w:cs="Arial"/>
                <w:sz w:val="20"/>
              </w:rPr>
            </w:pPr>
            <w:r w:rsidRPr="007C3F64">
              <w:rPr>
                <w:rFonts w:ascii="Arial" w:hAnsi="Arial" w:cs="Arial"/>
                <w:sz w:val="20"/>
              </w:rPr>
              <w:t xml:space="preserve">Cost associated with </w:t>
            </w:r>
            <w:r w:rsidR="00C56F7D">
              <w:rPr>
                <w:rFonts w:ascii="Arial" w:hAnsi="Arial" w:cs="Arial"/>
                <w:sz w:val="20"/>
              </w:rPr>
              <w:t>emergency department presentation</w:t>
            </w:r>
          </w:p>
        </w:tc>
        <w:tc>
          <w:tcPr>
            <w:tcW w:w="1838" w:type="dxa"/>
          </w:tcPr>
          <w:p w14:paraId="2629A29D" w14:textId="2F25EBFF" w:rsidR="00AA3C02" w:rsidRPr="00FB60F9" w:rsidRDefault="00AA3C02" w:rsidP="00216AB8">
            <w:pPr>
              <w:pStyle w:val="TableBody"/>
              <w:outlineLvl w:val="0"/>
              <w:rPr>
                <w:rFonts w:ascii="Arial" w:hAnsi="Arial" w:cs="Arial"/>
                <w:color w:val="262626" w:themeColor="text1" w:themeTint="D9"/>
                <w:sz w:val="20"/>
              </w:rPr>
            </w:pPr>
            <w:r w:rsidRPr="00FB60F9">
              <w:rPr>
                <w:rFonts w:ascii="Arial" w:hAnsi="Arial" w:cs="Arial"/>
                <w:color w:val="262626" w:themeColor="text1" w:themeTint="D9"/>
                <w:sz w:val="20"/>
              </w:rPr>
              <w:t>$</w:t>
            </w:r>
            <w:r w:rsidR="2056E33C" w:rsidRPr="00FB60F9">
              <w:rPr>
                <w:rFonts w:ascii="Arial" w:hAnsi="Arial" w:cs="Arial"/>
                <w:color w:val="262626" w:themeColor="text1" w:themeTint="D9"/>
                <w:sz w:val="20"/>
              </w:rPr>
              <w:t>791</w:t>
            </w:r>
          </w:p>
        </w:tc>
        <w:tc>
          <w:tcPr>
            <w:tcW w:w="3820" w:type="dxa"/>
          </w:tcPr>
          <w:p w14:paraId="26501650" w14:textId="511DBAB2" w:rsidR="00AA3C02" w:rsidRPr="003404EE" w:rsidRDefault="00AF325E" w:rsidP="00216AB8">
            <w:pPr>
              <w:pStyle w:val="TableBody"/>
              <w:outlineLvl w:val="0"/>
              <w:rPr>
                <w:rFonts w:ascii="Arial" w:hAnsi="Arial" w:cs="Arial"/>
                <w:color w:val="auto"/>
                <w:sz w:val="20"/>
              </w:rPr>
            </w:pPr>
            <w:hyperlink r:id="rId22" w:anchor="/periodic-insights/overview" w:history="1">
              <w:r w:rsidR="006A7E23" w:rsidRPr="003404EE">
                <w:rPr>
                  <w:rStyle w:val="Hyperlink"/>
                  <w:rFonts w:ascii="Arial" w:hAnsi="Arial" w:cs="Arial"/>
                  <w:color w:val="auto"/>
                  <w:sz w:val="20"/>
                  <w:u w:val="none"/>
                </w:rPr>
                <w:t xml:space="preserve">Independent Health and Aged Care Pricing Authority − </w:t>
              </w:r>
              <w:r w:rsidR="00DD4BD0" w:rsidRPr="003404EE">
                <w:rPr>
                  <w:rStyle w:val="Hyperlink"/>
                  <w:rFonts w:ascii="Arial" w:hAnsi="Arial" w:cs="Arial"/>
                  <w:color w:val="auto"/>
                  <w:sz w:val="20"/>
                  <w:u w:val="none"/>
                </w:rPr>
                <w:t>National benchmarking porta</w:t>
              </w:r>
              <w:r w:rsidR="00DF7EBA" w:rsidRPr="003404EE">
                <w:rPr>
                  <w:rStyle w:val="Hyperlink"/>
                  <w:rFonts w:ascii="Arial" w:hAnsi="Arial" w:cs="Arial"/>
                  <w:color w:val="auto"/>
                  <w:sz w:val="20"/>
                  <w:u w:val="none"/>
                </w:rPr>
                <w:t>l</w:t>
              </w:r>
              <w:r w:rsidR="006A7E23" w:rsidRPr="003404EE">
                <w:rPr>
                  <w:rStyle w:val="Hyperlink"/>
                  <w:rFonts w:ascii="Arial" w:hAnsi="Arial" w:cs="Arial"/>
                  <w:color w:val="auto"/>
                  <w:sz w:val="20"/>
                  <w:u w:val="none"/>
                </w:rPr>
                <w:t xml:space="preserve"> </w:t>
              </w:r>
              <w:r w:rsidR="008106E8" w:rsidRPr="003404EE">
                <w:rPr>
                  <w:rStyle w:val="Hyperlink"/>
                  <w:rFonts w:ascii="Arial" w:hAnsi="Arial" w:cs="Arial"/>
                  <w:color w:val="auto"/>
                  <w:sz w:val="20"/>
                  <w:u w:val="none"/>
                </w:rPr>
                <w:t xml:space="preserve">cost per national weighted activity unit </w:t>
              </w:r>
              <w:r w:rsidR="006A7E23" w:rsidRPr="003404EE">
                <w:rPr>
                  <w:rStyle w:val="Hyperlink"/>
                  <w:rFonts w:ascii="Arial" w:hAnsi="Arial" w:cs="Arial"/>
                  <w:color w:val="auto"/>
                  <w:sz w:val="20"/>
                  <w:u w:val="none"/>
                </w:rPr>
                <w:t>202</w:t>
              </w:r>
              <w:r w:rsidR="00DF7EBA" w:rsidRPr="003404EE">
                <w:rPr>
                  <w:rStyle w:val="Hyperlink"/>
                  <w:rFonts w:ascii="Arial" w:hAnsi="Arial" w:cs="Arial"/>
                  <w:color w:val="auto"/>
                  <w:sz w:val="20"/>
                  <w:u w:val="none"/>
                </w:rPr>
                <w:t>0-21 data</w:t>
              </w:r>
            </w:hyperlink>
          </w:p>
        </w:tc>
      </w:tr>
      <w:tr w:rsidR="00AA3C02" w:rsidRPr="00BC1972" w14:paraId="7C864B84" w14:textId="77777777" w:rsidTr="21A7F60E">
        <w:trPr>
          <w:trHeight w:val="350"/>
        </w:trPr>
        <w:tc>
          <w:tcPr>
            <w:tcW w:w="1980" w:type="dxa"/>
          </w:tcPr>
          <w:p w14:paraId="3D304C1B" w14:textId="77777777" w:rsidR="00AA3C02" w:rsidRPr="007C3F64" w:rsidRDefault="00AA3C02" w:rsidP="00216AB8">
            <w:pPr>
              <w:pStyle w:val="TableBody"/>
              <w:outlineLvl w:val="0"/>
              <w:rPr>
                <w:rFonts w:ascii="Arial" w:hAnsi="Arial" w:cs="Arial"/>
                <w:sz w:val="20"/>
              </w:rPr>
            </w:pPr>
            <w:r w:rsidRPr="007C3F64">
              <w:rPr>
                <w:rFonts w:ascii="Arial" w:hAnsi="Arial" w:cs="Arial"/>
                <w:sz w:val="20"/>
              </w:rPr>
              <w:t xml:space="preserve">Hospitalisation </w:t>
            </w:r>
          </w:p>
        </w:tc>
        <w:tc>
          <w:tcPr>
            <w:tcW w:w="1984" w:type="dxa"/>
          </w:tcPr>
          <w:p w14:paraId="00E47F08" w14:textId="77777777" w:rsidR="00AA3C02" w:rsidRPr="007C3F64" w:rsidRDefault="00AA3C02" w:rsidP="00216AB8">
            <w:pPr>
              <w:pStyle w:val="TableBody"/>
              <w:outlineLvl w:val="0"/>
              <w:rPr>
                <w:rFonts w:ascii="Arial" w:hAnsi="Arial" w:cs="Arial"/>
                <w:sz w:val="20"/>
              </w:rPr>
            </w:pPr>
            <w:r w:rsidRPr="007C3F64">
              <w:rPr>
                <w:rFonts w:ascii="Arial" w:hAnsi="Arial" w:cs="Arial"/>
                <w:sz w:val="20"/>
              </w:rPr>
              <w:t>Cost associated with acute care episode</w:t>
            </w:r>
          </w:p>
        </w:tc>
        <w:tc>
          <w:tcPr>
            <w:tcW w:w="1838" w:type="dxa"/>
          </w:tcPr>
          <w:p w14:paraId="222F6C0A" w14:textId="56E714C1" w:rsidR="00AA3C02" w:rsidRPr="00FB60F9" w:rsidRDefault="00AA3C02" w:rsidP="00216AB8">
            <w:pPr>
              <w:pStyle w:val="TableBody"/>
              <w:outlineLvl w:val="0"/>
              <w:rPr>
                <w:rFonts w:ascii="Arial" w:hAnsi="Arial" w:cs="Arial"/>
                <w:color w:val="262626" w:themeColor="text1" w:themeTint="D9"/>
                <w:sz w:val="20"/>
              </w:rPr>
            </w:pPr>
            <w:r w:rsidRPr="00FB60F9">
              <w:rPr>
                <w:rFonts w:ascii="Arial" w:hAnsi="Arial" w:cs="Arial"/>
                <w:color w:val="262626" w:themeColor="text1" w:themeTint="D9"/>
                <w:sz w:val="20"/>
              </w:rPr>
              <w:t>$5,</w:t>
            </w:r>
            <w:r w:rsidR="2056E33C" w:rsidRPr="00FB60F9">
              <w:rPr>
                <w:rFonts w:ascii="Arial" w:hAnsi="Arial" w:cs="Arial"/>
                <w:color w:val="262626" w:themeColor="text1" w:themeTint="D9"/>
                <w:sz w:val="20"/>
              </w:rPr>
              <w:t xml:space="preserve">273 </w:t>
            </w:r>
          </w:p>
        </w:tc>
        <w:tc>
          <w:tcPr>
            <w:tcW w:w="3820" w:type="dxa"/>
          </w:tcPr>
          <w:p w14:paraId="10508836" w14:textId="30FFF95E" w:rsidR="00AA3C02" w:rsidRPr="003404EE" w:rsidRDefault="00AF325E" w:rsidP="00216AB8">
            <w:pPr>
              <w:pStyle w:val="TableBody"/>
              <w:outlineLvl w:val="0"/>
              <w:rPr>
                <w:rFonts w:ascii="Arial" w:hAnsi="Arial" w:cs="Arial"/>
                <w:color w:val="auto"/>
                <w:sz w:val="20"/>
              </w:rPr>
            </w:pPr>
            <w:hyperlink r:id="rId23" w:anchor="/periodic-insights/overview" w:history="1">
              <w:r w:rsidR="008106E8" w:rsidRPr="003404EE">
                <w:rPr>
                  <w:rStyle w:val="Hyperlink"/>
                  <w:rFonts w:ascii="Arial" w:hAnsi="Arial" w:cs="Arial"/>
                  <w:color w:val="auto"/>
                  <w:sz w:val="20"/>
                  <w:u w:val="none"/>
                </w:rPr>
                <w:t>Independent Health and Aged Care Pricing Authority − National benchmarking portal cost per national weighted activity unit 2020-21 data</w:t>
              </w:r>
            </w:hyperlink>
          </w:p>
        </w:tc>
      </w:tr>
      <w:tr w:rsidR="00AA3C02" w:rsidRPr="00BC1972" w14:paraId="37A815B9" w14:textId="77777777" w:rsidTr="21A7F60E">
        <w:trPr>
          <w:trHeight w:val="350"/>
        </w:trPr>
        <w:tc>
          <w:tcPr>
            <w:tcW w:w="1980" w:type="dxa"/>
          </w:tcPr>
          <w:p w14:paraId="470C073B" w14:textId="2DB9F17A" w:rsidR="00AA3C02" w:rsidRPr="007C3F64" w:rsidRDefault="00FB60F9" w:rsidP="00216AB8">
            <w:pPr>
              <w:pStyle w:val="TableBody"/>
              <w:outlineLvl w:val="0"/>
              <w:rPr>
                <w:rFonts w:ascii="Arial" w:hAnsi="Arial" w:cs="Arial"/>
                <w:sz w:val="20"/>
              </w:rPr>
            </w:pPr>
            <w:r w:rsidRPr="007C3F64">
              <w:rPr>
                <w:rFonts w:ascii="Arial" w:hAnsi="Arial" w:cs="Arial"/>
                <w:sz w:val="20"/>
              </w:rPr>
              <w:t>Hospitalisation</w:t>
            </w:r>
          </w:p>
        </w:tc>
        <w:tc>
          <w:tcPr>
            <w:tcW w:w="1984" w:type="dxa"/>
          </w:tcPr>
          <w:p w14:paraId="337E3B13" w14:textId="77777777" w:rsidR="00AA3C02" w:rsidRPr="007C3F64" w:rsidRDefault="00AA3C02" w:rsidP="00216AB8">
            <w:pPr>
              <w:pStyle w:val="TableBody"/>
              <w:outlineLvl w:val="0"/>
              <w:rPr>
                <w:rFonts w:ascii="Arial" w:hAnsi="Arial" w:cs="Arial"/>
                <w:sz w:val="20"/>
              </w:rPr>
            </w:pPr>
            <w:r w:rsidRPr="007C3F64">
              <w:rPr>
                <w:rFonts w:ascii="Arial" w:hAnsi="Arial" w:cs="Arial"/>
                <w:sz w:val="20"/>
              </w:rPr>
              <w:t xml:space="preserve">Cost associated with sub-acute and non-acute Care episode </w:t>
            </w:r>
          </w:p>
        </w:tc>
        <w:tc>
          <w:tcPr>
            <w:tcW w:w="1838" w:type="dxa"/>
          </w:tcPr>
          <w:p w14:paraId="0CAD1D2D" w14:textId="29168988" w:rsidR="00AA3C02" w:rsidRPr="00FB60F9" w:rsidRDefault="00AA3C02" w:rsidP="00216AB8">
            <w:pPr>
              <w:pStyle w:val="TableBody"/>
              <w:outlineLvl w:val="0"/>
              <w:rPr>
                <w:rFonts w:ascii="Arial" w:hAnsi="Arial" w:cs="Arial"/>
                <w:color w:val="262626" w:themeColor="text1" w:themeTint="D9"/>
                <w:sz w:val="20"/>
              </w:rPr>
            </w:pPr>
            <w:r w:rsidRPr="00FB60F9">
              <w:rPr>
                <w:rFonts w:ascii="Arial" w:hAnsi="Arial" w:cs="Arial"/>
                <w:color w:val="262626" w:themeColor="text1" w:themeTint="D9"/>
                <w:sz w:val="20"/>
              </w:rPr>
              <w:t>$</w:t>
            </w:r>
            <w:r w:rsidR="2056E33C" w:rsidRPr="00FB60F9">
              <w:rPr>
                <w:rFonts w:ascii="Arial" w:hAnsi="Arial" w:cs="Arial"/>
                <w:color w:val="262626" w:themeColor="text1" w:themeTint="D9"/>
                <w:sz w:val="20"/>
              </w:rPr>
              <w:t>17,973</w:t>
            </w:r>
          </w:p>
        </w:tc>
        <w:tc>
          <w:tcPr>
            <w:tcW w:w="3820" w:type="dxa"/>
          </w:tcPr>
          <w:p w14:paraId="6844EF95" w14:textId="6B47F571" w:rsidR="00AA3C02" w:rsidRPr="003404EE" w:rsidRDefault="00AF325E" w:rsidP="00216AB8">
            <w:pPr>
              <w:pStyle w:val="TableBody"/>
              <w:outlineLvl w:val="0"/>
              <w:rPr>
                <w:rFonts w:ascii="Arial" w:hAnsi="Arial" w:cs="Arial"/>
                <w:color w:val="auto"/>
                <w:sz w:val="20"/>
              </w:rPr>
            </w:pPr>
            <w:hyperlink r:id="rId24" w:anchor="/periodic-insights/overview" w:history="1">
              <w:r w:rsidR="008106E8" w:rsidRPr="003404EE">
                <w:rPr>
                  <w:rStyle w:val="Hyperlink"/>
                  <w:rFonts w:ascii="Arial" w:hAnsi="Arial" w:cs="Arial"/>
                  <w:color w:val="auto"/>
                  <w:sz w:val="20"/>
                  <w:u w:val="none"/>
                </w:rPr>
                <w:t>Independent Health and Aged Care Pricing Authority − National benchmarking portal cost per national weighted activity unit 2020-21 data</w:t>
              </w:r>
            </w:hyperlink>
          </w:p>
        </w:tc>
      </w:tr>
      <w:tr w:rsidR="00AA3C02" w:rsidRPr="00BC1972" w14:paraId="3BD43F8E" w14:textId="77777777" w:rsidTr="21A7F60E">
        <w:trPr>
          <w:cnfStyle w:val="010000000000" w:firstRow="0" w:lastRow="1" w:firstColumn="0" w:lastColumn="0" w:oddVBand="0" w:evenVBand="0" w:oddHBand="0" w:evenHBand="0" w:firstRowFirstColumn="0" w:firstRowLastColumn="0" w:lastRowFirstColumn="0" w:lastRowLastColumn="0"/>
          <w:trHeight w:val="350"/>
        </w:trPr>
        <w:tc>
          <w:tcPr>
            <w:tcW w:w="1980" w:type="dxa"/>
            <w:shd w:val="clear" w:color="auto" w:fill="auto"/>
          </w:tcPr>
          <w:p w14:paraId="465637F1" w14:textId="70847533" w:rsidR="00AA3C02" w:rsidRPr="00C56F7D" w:rsidRDefault="00FB60F9" w:rsidP="00216AB8">
            <w:pPr>
              <w:pStyle w:val="TableBody"/>
              <w:outlineLvl w:val="0"/>
              <w:rPr>
                <w:rFonts w:ascii="Arial" w:hAnsi="Arial" w:cs="Arial"/>
                <w:sz w:val="20"/>
              </w:rPr>
            </w:pPr>
            <w:r w:rsidRPr="00C56F7D">
              <w:rPr>
                <w:rFonts w:ascii="Arial" w:hAnsi="Arial" w:cs="Arial"/>
                <w:sz w:val="20"/>
              </w:rPr>
              <w:t>Hospitalisation</w:t>
            </w:r>
          </w:p>
        </w:tc>
        <w:tc>
          <w:tcPr>
            <w:tcW w:w="1984" w:type="dxa"/>
            <w:shd w:val="clear" w:color="auto" w:fill="auto"/>
          </w:tcPr>
          <w:p w14:paraId="74ACFB4E" w14:textId="77777777" w:rsidR="00AA3C02" w:rsidRPr="00C56F7D" w:rsidRDefault="00AA3C02" w:rsidP="00216AB8">
            <w:pPr>
              <w:pStyle w:val="TableBody"/>
              <w:outlineLvl w:val="0"/>
              <w:rPr>
                <w:rFonts w:ascii="Arial" w:hAnsi="Arial" w:cs="Arial"/>
                <w:sz w:val="20"/>
              </w:rPr>
            </w:pPr>
            <w:r w:rsidRPr="00C56F7D">
              <w:rPr>
                <w:rFonts w:ascii="Arial" w:hAnsi="Arial" w:cs="Arial"/>
                <w:sz w:val="20"/>
              </w:rPr>
              <w:t xml:space="preserve">Cost associated with mental health episode of care </w:t>
            </w:r>
          </w:p>
        </w:tc>
        <w:tc>
          <w:tcPr>
            <w:tcW w:w="1838" w:type="dxa"/>
            <w:shd w:val="clear" w:color="auto" w:fill="auto"/>
          </w:tcPr>
          <w:p w14:paraId="2B31C89D" w14:textId="202C46A8" w:rsidR="00AA3C02" w:rsidRPr="00C56F7D" w:rsidRDefault="00AA3C02" w:rsidP="00216AB8">
            <w:pPr>
              <w:pStyle w:val="TableBody"/>
              <w:outlineLvl w:val="0"/>
              <w:rPr>
                <w:rFonts w:ascii="Arial" w:hAnsi="Arial" w:cs="Arial"/>
                <w:color w:val="262626" w:themeColor="text1" w:themeTint="D9"/>
                <w:sz w:val="20"/>
              </w:rPr>
            </w:pPr>
            <w:r w:rsidRPr="00C56F7D">
              <w:rPr>
                <w:rFonts w:ascii="Arial" w:hAnsi="Arial" w:cs="Arial"/>
                <w:color w:val="262626" w:themeColor="text1" w:themeTint="D9"/>
                <w:sz w:val="20"/>
              </w:rPr>
              <w:t>$19,</w:t>
            </w:r>
            <w:r w:rsidR="2056E33C" w:rsidRPr="00C56F7D">
              <w:rPr>
                <w:rFonts w:ascii="Arial" w:hAnsi="Arial" w:cs="Arial"/>
                <w:color w:val="262626" w:themeColor="text1" w:themeTint="D9"/>
                <w:sz w:val="20"/>
              </w:rPr>
              <w:t>831</w:t>
            </w:r>
          </w:p>
        </w:tc>
        <w:tc>
          <w:tcPr>
            <w:tcW w:w="3820" w:type="dxa"/>
            <w:shd w:val="clear" w:color="auto" w:fill="auto"/>
          </w:tcPr>
          <w:p w14:paraId="2FE9EA74" w14:textId="31F9D055" w:rsidR="00AA3C02" w:rsidRPr="003404EE" w:rsidRDefault="00AF325E" w:rsidP="00216AB8">
            <w:pPr>
              <w:pStyle w:val="TableBody"/>
              <w:outlineLvl w:val="0"/>
              <w:rPr>
                <w:rFonts w:ascii="Arial" w:hAnsi="Arial" w:cs="Arial"/>
                <w:color w:val="auto"/>
                <w:sz w:val="20"/>
              </w:rPr>
            </w:pPr>
            <w:hyperlink r:id="rId25" w:anchor="/periodic-insights/overview" w:history="1">
              <w:r w:rsidR="008106E8" w:rsidRPr="003404EE">
                <w:rPr>
                  <w:rStyle w:val="Hyperlink"/>
                  <w:rFonts w:ascii="Arial" w:hAnsi="Arial" w:cs="Arial"/>
                  <w:color w:val="auto"/>
                  <w:sz w:val="20"/>
                  <w:u w:val="none"/>
                </w:rPr>
                <w:t>Independent Health and Aged Care Pricing Authority − National benchmarking portal cost per national weighted activity unit 2020-21 data</w:t>
              </w:r>
            </w:hyperlink>
          </w:p>
        </w:tc>
      </w:tr>
    </w:tbl>
    <w:p w14:paraId="0D7746A3" w14:textId="23E7BB12" w:rsidR="00B340DC" w:rsidRDefault="00AA3C02" w:rsidP="00216AB8">
      <w:pPr>
        <w:pStyle w:val="AHPRAbody"/>
        <w:spacing w:before="360"/>
        <w:outlineLvl w:val="0"/>
        <w:rPr>
          <w:lang w:val="en-NZ" w:eastAsia="en-NZ"/>
        </w:rPr>
      </w:pPr>
      <w:r w:rsidRPr="00F62B18">
        <w:rPr>
          <w:lang w:val="en-NZ" w:eastAsia="en-NZ"/>
        </w:rPr>
        <w:t xml:space="preserve">If the status quo is maintained there will be a continued increase in potentially preventable hospitalisations </w:t>
      </w:r>
      <w:r w:rsidR="00654C2A">
        <w:rPr>
          <w:lang w:val="en-NZ" w:eastAsia="en-NZ"/>
        </w:rPr>
        <w:t xml:space="preserve">(PPH) </w:t>
      </w:r>
      <w:r w:rsidRPr="00F62B18">
        <w:rPr>
          <w:lang w:val="en-NZ" w:eastAsia="en-NZ"/>
        </w:rPr>
        <w:t xml:space="preserve">where designated RN prescribing </w:t>
      </w:r>
      <w:r w:rsidR="003F03D0">
        <w:rPr>
          <w:lang w:val="en-NZ" w:eastAsia="en-NZ"/>
        </w:rPr>
        <w:t>may</w:t>
      </w:r>
      <w:r w:rsidR="003F03D0" w:rsidRPr="00F62B18">
        <w:rPr>
          <w:lang w:val="en-NZ" w:eastAsia="en-NZ"/>
        </w:rPr>
        <w:t xml:space="preserve"> </w:t>
      </w:r>
      <w:r w:rsidRPr="00F62B18">
        <w:rPr>
          <w:lang w:val="en-NZ" w:eastAsia="en-NZ"/>
        </w:rPr>
        <w:t xml:space="preserve">have been able to fill the gap between primary care and the need for presentation to an emergency department. </w:t>
      </w:r>
    </w:p>
    <w:p w14:paraId="4603C900" w14:textId="7C62ECF4" w:rsidR="00AA3C02" w:rsidRPr="00866273" w:rsidRDefault="00726BE8" w:rsidP="00216AB8">
      <w:pPr>
        <w:pStyle w:val="AHPRAbody"/>
        <w:outlineLvl w:val="0"/>
      </w:pPr>
      <w:r>
        <w:rPr>
          <w:lang w:val="en-NZ" w:eastAsia="en-NZ"/>
        </w:rPr>
        <w:t xml:space="preserve">According to </w:t>
      </w:r>
      <w:r w:rsidR="00AA3C02">
        <w:rPr>
          <w:lang w:val="en-NZ" w:eastAsia="en-NZ"/>
        </w:rPr>
        <w:t>an Australian Institute of Health and Wellbeing report</w:t>
      </w:r>
      <w:r w:rsidR="003F03D0">
        <w:rPr>
          <w:lang w:val="en-NZ" w:eastAsia="en-NZ"/>
        </w:rPr>
        <w:t xml:space="preserve">, in </w:t>
      </w:r>
      <w:r w:rsidR="004D0E29">
        <w:rPr>
          <w:lang w:val="en-NZ" w:eastAsia="en-NZ"/>
        </w:rPr>
        <w:t>2020</w:t>
      </w:r>
      <w:r w:rsidR="00AA3C02">
        <w:rPr>
          <w:lang w:val="en-NZ" w:eastAsia="en-NZ"/>
        </w:rPr>
        <w:t xml:space="preserve"> </w:t>
      </w:r>
      <w:r w:rsidR="00AA3C02" w:rsidRPr="00F62B18">
        <w:rPr>
          <w:lang w:val="en-NZ" w:eastAsia="en-NZ"/>
        </w:rPr>
        <w:t xml:space="preserve">the rate of </w:t>
      </w:r>
      <w:r w:rsidR="00654C2A">
        <w:t>PPH</w:t>
      </w:r>
      <w:r w:rsidR="00AA3C02" w:rsidRPr="00F62B18">
        <w:t xml:space="preserve"> was 2,800 per 100,000 people</w:t>
      </w:r>
      <w:r w:rsidR="00AA3C02">
        <w:t xml:space="preserve">. The dataset also highlighted that </w:t>
      </w:r>
      <w:r w:rsidR="00AA3C02" w:rsidRPr="00F62B18">
        <w:t xml:space="preserve">people aged 65 years and over accounted for almost half (46%) of all </w:t>
      </w:r>
      <w:r w:rsidR="00654C2A">
        <w:t>PPH</w:t>
      </w:r>
      <w:r w:rsidR="00AA3C02" w:rsidRPr="00F62B18">
        <w:t xml:space="preserve"> </w:t>
      </w:r>
      <w:r w:rsidR="0008367A">
        <w:t>and</w:t>
      </w:r>
      <w:r w:rsidR="0008367A" w:rsidRPr="00F62B18">
        <w:t xml:space="preserve"> </w:t>
      </w:r>
      <w:r w:rsidR="00AA3C02" w:rsidRPr="00F62B18">
        <w:t xml:space="preserve">Aboriginal and/or Torres Strait Islander people </w:t>
      </w:r>
      <w:r w:rsidR="0008367A" w:rsidRPr="00F62B18">
        <w:t>experienc</w:t>
      </w:r>
      <w:r w:rsidR="0008367A">
        <w:t>ed</w:t>
      </w:r>
      <w:r w:rsidR="0008367A" w:rsidRPr="00F62B18">
        <w:t xml:space="preserve"> </w:t>
      </w:r>
      <w:r w:rsidR="00654C2A">
        <w:t>PPH</w:t>
      </w:r>
      <w:r w:rsidR="00AA3C02" w:rsidRPr="00F62B18">
        <w:t xml:space="preserve"> at a rate </w:t>
      </w:r>
      <w:r w:rsidR="004D0E29">
        <w:t>three</w:t>
      </w:r>
      <w:r w:rsidR="004D0E29" w:rsidRPr="00F62B18">
        <w:t xml:space="preserve"> </w:t>
      </w:r>
      <w:r w:rsidR="00AA3C02" w:rsidRPr="00F62B18">
        <w:t>times as high.</w:t>
      </w:r>
      <w:r w:rsidR="00AA3C02">
        <w:t xml:space="preserve"> </w:t>
      </w:r>
      <w:r w:rsidR="002D3ADA" w:rsidRPr="00F14EEC">
        <w:t>Of</w:t>
      </w:r>
      <w:r w:rsidR="00A7639C" w:rsidRPr="00F14EEC">
        <w:t xml:space="preserve"> this population</w:t>
      </w:r>
      <w:r w:rsidR="00F14EEC">
        <w:t>, in</w:t>
      </w:r>
      <w:r w:rsidR="00A7639C" w:rsidRPr="00F14EEC">
        <w:t xml:space="preserve"> </w:t>
      </w:r>
      <w:r w:rsidR="00A7639C" w:rsidRPr="00C6725E">
        <w:t xml:space="preserve">the period July 2017 to June 2019, there were 92,019 </w:t>
      </w:r>
      <w:r w:rsidR="00F14EEC">
        <w:t xml:space="preserve">hospitalisations </w:t>
      </w:r>
      <w:r w:rsidR="00A7639C" w:rsidRPr="00C6725E">
        <w:t>that were potentially preventable</w:t>
      </w:r>
      <w:r w:rsidR="00B606D8">
        <w:t xml:space="preserve">. </w:t>
      </w:r>
      <w:r w:rsidR="009F6CC0">
        <w:t>T</w:t>
      </w:r>
      <w:r w:rsidR="00A7639C" w:rsidRPr="00C6725E">
        <w:t>he</w:t>
      </w:r>
      <w:r w:rsidR="009F6CC0">
        <w:t>se</w:t>
      </w:r>
      <w:r w:rsidR="00A7639C" w:rsidRPr="00C6725E">
        <w:t xml:space="preserve"> </w:t>
      </w:r>
      <w:r w:rsidR="009F6CC0">
        <w:t>hospitalisations</w:t>
      </w:r>
      <w:r w:rsidR="006166A2" w:rsidRPr="00F14EEC">
        <w:t xml:space="preserve"> </w:t>
      </w:r>
      <w:r w:rsidR="00AA3C02" w:rsidRPr="00F14EEC">
        <w:t xml:space="preserve">could have been avoided through appropriate treatment interventions. </w:t>
      </w:r>
      <w:r w:rsidR="00866273">
        <w:rPr>
          <w:vertAlign w:val="superscript"/>
        </w:rPr>
        <w:t>74</w:t>
      </w:r>
      <w:r w:rsidR="00866273" w:rsidRPr="00F14EEC" w:rsidDel="00866273">
        <w:t xml:space="preserve"> </w:t>
      </w:r>
    </w:p>
    <w:p w14:paraId="1A42E762" w14:textId="13952F0E" w:rsidR="00AA3C02" w:rsidRDefault="004F6831" w:rsidP="00216AB8">
      <w:pPr>
        <w:pStyle w:val="AHPRAbody"/>
        <w:outlineLvl w:val="0"/>
        <w:rPr>
          <w:lang w:val="en-NZ" w:eastAsia="en-NZ"/>
        </w:rPr>
      </w:pPr>
      <w:r>
        <w:rPr>
          <w:lang w:val="en-NZ" w:eastAsia="en-NZ"/>
        </w:rPr>
        <w:t>Presentations</w:t>
      </w:r>
      <w:r w:rsidR="005E692E" w:rsidRPr="5AA7423A">
        <w:rPr>
          <w:lang w:val="en-NZ" w:eastAsia="en-NZ"/>
        </w:rPr>
        <w:t xml:space="preserve"> </w:t>
      </w:r>
      <w:r w:rsidR="00AA3C02" w:rsidRPr="5AA7423A">
        <w:rPr>
          <w:lang w:val="en-NZ" w:eastAsia="en-NZ"/>
        </w:rPr>
        <w:t>to the emergency</w:t>
      </w:r>
      <w:r w:rsidR="005E692E" w:rsidRPr="5AA7423A">
        <w:rPr>
          <w:lang w:val="en-NZ" w:eastAsia="en-NZ"/>
        </w:rPr>
        <w:t xml:space="preserve"> department result in</w:t>
      </w:r>
      <w:r w:rsidR="00AA3C02" w:rsidRPr="5AA7423A">
        <w:rPr>
          <w:lang w:val="en-NZ" w:eastAsia="en-NZ"/>
        </w:rPr>
        <w:t xml:space="preserve"> </w:t>
      </w:r>
      <w:r w:rsidR="005E692E" w:rsidRPr="5AA7423A">
        <w:rPr>
          <w:lang w:val="en-NZ" w:eastAsia="en-NZ"/>
        </w:rPr>
        <w:t xml:space="preserve">increased </w:t>
      </w:r>
      <w:r w:rsidR="00AA3C02" w:rsidRPr="5AA7423A">
        <w:rPr>
          <w:lang w:val="en-NZ" w:eastAsia="en-NZ"/>
        </w:rPr>
        <w:t>healthcare costs</w:t>
      </w:r>
      <w:r w:rsidR="005E692E" w:rsidRPr="5AA7423A">
        <w:rPr>
          <w:lang w:val="en-NZ" w:eastAsia="en-NZ"/>
        </w:rPr>
        <w:t>.</w:t>
      </w:r>
      <w:r w:rsidR="00AA3C02" w:rsidRPr="5AA7423A">
        <w:rPr>
          <w:lang w:val="en-NZ" w:eastAsia="en-NZ"/>
        </w:rPr>
        <w:t xml:space="preserve"> </w:t>
      </w:r>
      <w:r w:rsidR="00B12546" w:rsidRPr="5AA7423A">
        <w:rPr>
          <w:lang w:val="en-NZ" w:eastAsia="en-NZ"/>
        </w:rPr>
        <w:t>I</w:t>
      </w:r>
      <w:r w:rsidR="00AA3C02" w:rsidRPr="5AA7423A">
        <w:rPr>
          <w:lang w:val="en-NZ" w:eastAsia="en-NZ"/>
        </w:rPr>
        <w:t xml:space="preserve">f the status quo is maintained there will be no reduction in presentations to the emergency department in </w:t>
      </w:r>
      <w:r w:rsidR="00E14FE7" w:rsidRPr="5AA7423A">
        <w:rPr>
          <w:lang w:val="en-NZ" w:eastAsia="en-NZ"/>
        </w:rPr>
        <w:t xml:space="preserve">situations </w:t>
      </w:r>
      <w:r w:rsidR="00AA3C02" w:rsidRPr="5AA7423A">
        <w:rPr>
          <w:lang w:val="en-NZ" w:eastAsia="en-NZ"/>
        </w:rPr>
        <w:t>where designated RN prescribers could have potentially contributed to avoiding health service usage and maintained the wellbeing of the patient</w:t>
      </w:r>
      <w:r w:rsidR="00D42DC4">
        <w:rPr>
          <w:lang w:val="en-NZ" w:eastAsia="en-NZ"/>
        </w:rPr>
        <w:t>/</w:t>
      </w:r>
      <w:r w:rsidR="00AA3C02" w:rsidRPr="5AA7423A">
        <w:rPr>
          <w:lang w:val="en-NZ" w:eastAsia="en-NZ"/>
        </w:rPr>
        <w:t>client in their own familiar surroundings.</w:t>
      </w:r>
    </w:p>
    <w:p w14:paraId="13B3610A" w14:textId="6F5E80DA" w:rsidR="00AA3C02" w:rsidRDefault="00AA3C02" w:rsidP="00216AB8">
      <w:pPr>
        <w:pStyle w:val="AHPRAbody"/>
        <w:outlineLvl w:val="0"/>
        <w:rPr>
          <w:lang w:val="en-NZ" w:eastAsia="en-NZ"/>
        </w:rPr>
      </w:pPr>
      <w:r w:rsidRPr="5AA7423A">
        <w:rPr>
          <w:lang w:val="en-NZ" w:eastAsia="en-NZ"/>
        </w:rPr>
        <w:t xml:space="preserve">Hospital </w:t>
      </w:r>
      <w:r w:rsidR="003821F9">
        <w:rPr>
          <w:lang w:val="en-NZ" w:eastAsia="en-NZ"/>
        </w:rPr>
        <w:t xml:space="preserve">presentations </w:t>
      </w:r>
      <w:r w:rsidR="00043C29">
        <w:rPr>
          <w:lang w:val="en-NZ" w:eastAsia="en-NZ"/>
        </w:rPr>
        <w:t xml:space="preserve">and </w:t>
      </w:r>
      <w:r w:rsidR="00DC0123">
        <w:rPr>
          <w:lang w:val="en-NZ" w:eastAsia="en-NZ"/>
        </w:rPr>
        <w:t xml:space="preserve">PPHs </w:t>
      </w:r>
      <w:r w:rsidRPr="5AA7423A">
        <w:rPr>
          <w:lang w:val="en-NZ" w:eastAsia="en-NZ"/>
        </w:rPr>
        <w:t>negatively affect the morale and quality of life of patients and their families</w:t>
      </w:r>
      <w:r w:rsidR="001F7558">
        <w:rPr>
          <w:lang w:val="en-NZ" w:eastAsia="en-NZ"/>
        </w:rPr>
        <w:t>.</w:t>
      </w:r>
      <w:r w:rsidRPr="5AA7423A">
        <w:rPr>
          <w:lang w:val="en-NZ" w:eastAsia="en-NZ"/>
        </w:rPr>
        <w:t xml:space="preserve"> </w:t>
      </w:r>
      <w:r w:rsidR="00203A05">
        <w:rPr>
          <w:vertAlign w:val="superscript"/>
        </w:rPr>
        <w:t>75</w:t>
      </w:r>
      <w:r w:rsidR="00203A05">
        <w:t xml:space="preserve"> </w:t>
      </w:r>
      <w:r w:rsidR="001F7558">
        <w:rPr>
          <w:lang w:val="en-NZ" w:eastAsia="en-NZ"/>
        </w:rPr>
        <w:t>While</w:t>
      </w:r>
      <w:r w:rsidRPr="5AA7423A">
        <w:rPr>
          <w:lang w:val="en-NZ" w:eastAsia="en-NZ"/>
        </w:rPr>
        <w:t xml:space="preserve"> some hospital </w:t>
      </w:r>
      <w:r w:rsidR="00DC0123">
        <w:rPr>
          <w:lang w:val="en-NZ" w:eastAsia="en-NZ"/>
        </w:rPr>
        <w:t xml:space="preserve">presentations and </w:t>
      </w:r>
      <w:r w:rsidRPr="5AA7423A">
        <w:rPr>
          <w:lang w:val="en-NZ" w:eastAsia="en-NZ"/>
        </w:rPr>
        <w:t>admissions are required or unavoidable</w:t>
      </w:r>
      <w:r w:rsidR="00935BDD" w:rsidRPr="5AA7423A">
        <w:rPr>
          <w:lang w:val="en-NZ" w:eastAsia="en-NZ"/>
        </w:rPr>
        <w:t>,</w:t>
      </w:r>
      <w:r w:rsidRPr="5AA7423A">
        <w:rPr>
          <w:lang w:val="en-NZ" w:eastAsia="en-NZ"/>
        </w:rPr>
        <w:t xml:space="preserve"> in the </w:t>
      </w:r>
      <w:r w:rsidR="00935BDD" w:rsidRPr="5AA7423A">
        <w:rPr>
          <w:lang w:val="en-NZ" w:eastAsia="en-NZ"/>
        </w:rPr>
        <w:t xml:space="preserve">above </w:t>
      </w:r>
      <w:r w:rsidRPr="5AA7423A">
        <w:rPr>
          <w:lang w:val="en-NZ" w:eastAsia="en-NZ"/>
        </w:rPr>
        <w:t>case</w:t>
      </w:r>
      <w:r w:rsidR="00935BDD" w:rsidRPr="5AA7423A">
        <w:rPr>
          <w:lang w:val="en-NZ" w:eastAsia="en-NZ"/>
        </w:rPr>
        <w:t>s</w:t>
      </w:r>
      <w:r w:rsidRPr="5AA7423A">
        <w:rPr>
          <w:lang w:val="en-NZ" w:eastAsia="en-NZ"/>
        </w:rPr>
        <w:t xml:space="preserve"> </w:t>
      </w:r>
      <w:r w:rsidR="00AC3EE0">
        <w:rPr>
          <w:lang w:val="en-NZ" w:eastAsia="en-NZ"/>
        </w:rPr>
        <w:t xml:space="preserve">outlined </w:t>
      </w:r>
      <w:r w:rsidR="007E3058" w:rsidRPr="5AA7423A">
        <w:rPr>
          <w:lang w:val="en-NZ" w:eastAsia="en-NZ"/>
        </w:rPr>
        <w:t>access to</w:t>
      </w:r>
      <w:r w:rsidR="00935BDD" w:rsidRPr="5AA7423A">
        <w:rPr>
          <w:lang w:val="en-NZ" w:eastAsia="en-NZ"/>
        </w:rPr>
        <w:t xml:space="preserve"> </w:t>
      </w:r>
      <w:r w:rsidRPr="5AA7423A">
        <w:rPr>
          <w:lang w:val="en-NZ" w:eastAsia="en-NZ"/>
        </w:rPr>
        <w:t xml:space="preserve">a designated RN prescriber </w:t>
      </w:r>
      <w:r w:rsidR="00C92906" w:rsidRPr="5AA7423A">
        <w:rPr>
          <w:lang w:val="en-NZ" w:eastAsia="en-NZ"/>
        </w:rPr>
        <w:t>could have provided timely and effective care</w:t>
      </w:r>
      <w:r w:rsidRPr="5AA7423A">
        <w:rPr>
          <w:lang w:val="en-NZ" w:eastAsia="en-NZ"/>
        </w:rPr>
        <w:t xml:space="preserve">. </w:t>
      </w:r>
    </w:p>
    <w:p w14:paraId="639E6637" w14:textId="6C6964D1" w:rsidR="00AA3C02" w:rsidRPr="00BD1197" w:rsidRDefault="00AA3C02" w:rsidP="00216AB8">
      <w:pPr>
        <w:pStyle w:val="AHPRAbody"/>
        <w:outlineLvl w:val="0"/>
        <w:rPr>
          <w:shd w:val="clear" w:color="auto" w:fill="FFFFFF"/>
        </w:rPr>
      </w:pPr>
      <w:r w:rsidRPr="00B71253">
        <w:rPr>
          <w:lang w:val="en-NZ" w:eastAsia="en-NZ"/>
        </w:rPr>
        <w:t xml:space="preserve">Reducing hospitalisations amongst older </w:t>
      </w:r>
      <w:r w:rsidR="001E2817">
        <w:rPr>
          <w:lang w:val="en-NZ" w:eastAsia="en-NZ"/>
        </w:rPr>
        <w:t>Australians</w:t>
      </w:r>
      <w:r w:rsidR="001E2817" w:rsidRPr="00B71253">
        <w:rPr>
          <w:lang w:val="en-NZ" w:eastAsia="en-NZ"/>
        </w:rPr>
        <w:t xml:space="preserve"> </w:t>
      </w:r>
      <w:r w:rsidRPr="00B71253">
        <w:rPr>
          <w:lang w:val="en-NZ" w:eastAsia="en-NZ"/>
        </w:rPr>
        <w:t xml:space="preserve">has been a key government priority and there has been a body of evidence that suggests people with dementia are at greater risks of poorer outcomes during hospitalisations which increasingly leads to adverse events, readmissions, and mortality. </w:t>
      </w:r>
      <w:r w:rsidR="00E95DB6">
        <w:rPr>
          <w:lang w:val="en-NZ" w:eastAsia="en-NZ"/>
        </w:rPr>
        <w:t>In a</w:t>
      </w:r>
      <w:r w:rsidRPr="00B71253">
        <w:rPr>
          <w:lang w:val="en-NZ" w:eastAsia="en-NZ"/>
        </w:rPr>
        <w:t>n Australian study</w:t>
      </w:r>
      <w:r w:rsidR="00E95DB6">
        <w:rPr>
          <w:lang w:val="en-NZ" w:eastAsia="en-NZ"/>
        </w:rPr>
        <w:t>,</w:t>
      </w:r>
      <w:r w:rsidRPr="00B71253">
        <w:rPr>
          <w:lang w:val="en-NZ" w:eastAsia="en-NZ"/>
        </w:rPr>
        <w:t xml:space="preserve"> a group of older outpatients with a mean age of 78 years reported a lower </w:t>
      </w:r>
      <w:r w:rsidR="00570409">
        <w:rPr>
          <w:lang w:val="en-NZ" w:eastAsia="en-NZ"/>
        </w:rPr>
        <w:t>health related quali</w:t>
      </w:r>
      <w:r w:rsidR="00FF41D1">
        <w:rPr>
          <w:lang w:val="en-NZ" w:eastAsia="en-NZ"/>
        </w:rPr>
        <w:t>ty of life (</w:t>
      </w:r>
      <w:r w:rsidRPr="5AA7423A">
        <w:rPr>
          <w:lang w:val="en-NZ" w:eastAsia="en-NZ"/>
        </w:rPr>
        <w:t>HRQoL</w:t>
      </w:r>
      <w:r w:rsidR="00FF41D1">
        <w:rPr>
          <w:lang w:val="en-NZ" w:eastAsia="en-NZ"/>
        </w:rPr>
        <w:t>)</w:t>
      </w:r>
      <w:r w:rsidRPr="5AA7423A">
        <w:rPr>
          <w:lang w:val="en-NZ" w:eastAsia="en-NZ"/>
        </w:rPr>
        <w:t xml:space="preserve"> associated with increased hospital admissions. </w:t>
      </w:r>
      <w:r w:rsidR="006938CC">
        <w:rPr>
          <w:vertAlign w:val="superscript"/>
          <w:lang w:val="en-NZ" w:eastAsia="en-NZ"/>
        </w:rPr>
        <w:t>76,77</w:t>
      </w:r>
      <w:r w:rsidRPr="00BD1197">
        <w:rPr>
          <w:shd w:val="clear" w:color="auto" w:fill="FFFFFF"/>
        </w:rPr>
        <w:t xml:space="preserve"> </w:t>
      </w:r>
    </w:p>
    <w:p w14:paraId="4EC444EA" w14:textId="18D39EEB" w:rsidR="00AA3C02" w:rsidRPr="00045834" w:rsidRDefault="00B9550C" w:rsidP="00216AB8">
      <w:pPr>
        <w:pStyle w:val="AHPRAbody"/>
        <w:outlineLvl w:val="0"/>
      </w:pPr>
      <w:r>
        <w:t>I</w:t>
      </w:r>
      <w:r w:rsidRPr="00045834">
        <w:t xml:space="preserve">n </w:t>
      </w:r>
      <w:r w:rsidR="00AA3C02" w:rsidRPr="00045834">
        <w:t xml:space="preserve">2021–22, there were almost 280,200 mental health related public hospital emergency presentations. Aboriginal and Torres Strait Islander people </w:t>
      </w:r>
      <w:r w:rsidR="00996150">
        <w:t xml:space="preserve">account for 13% </w:t>
      </w:r>
      <w:r w:rsidR="000B1085">
        <w:t>of these presentations despite comprising of</w:t>
      </w:r>
      <w:r w:rsidR="00F7678C" w:rsidRPr="00045834">
        <w:t xml:space="preserve"> approximately 3% of the Australian population</w:t>
      </w:r>
      <w:r w:rsidR="00AA3C02" w:rsidRPr="00045834">
        <w:t xml:space="preserve">. This </w:t>
      </w:r>
      <w:r w:rsidR="003D3F2F">
        <w:t>percentage was</w:t>
      </w:r>
      <w:r w:rsidR="003D3F2F" w:rsidRPr="00045834">
        <w:t xml:space="preserve"> </w:t>
      </w:r>
      <w:r w:rsidR="00AA3C02" w:rsidRPr="00045834">
        <w:t>4.6 times</w:t>
      </w:r>
      <w:r w:rsidR="003D3F2F">
        <w:t xml:space="preserve"> higher than</w:t>
      </w:r>
      <w:r w:rsidR="00AA3C02" w:rsidRPr="00045834">
        <w:t xml:space="preserve"> the rate of non-indigenous Australians </w:t>
      </w:r>
      <w:r w:rsidR="00392D26">
        <w:t>reporting</w:t>
      </w:r>
      <w:r w:rsidR="00392D26" w:rsidRPr="00045834">
        <w:t xml:space="preserve"> </w:t>
      </w:r>
      <w:r w:rsidR="00AA3C02" w:rsidRPr="00045834">
        <w:t>to the emergency</w:t>
      </w:r>
      <w:r w:rsidR="008354C8" w:rsidRPr="00045834">
        <w:t xml:space="preserve"> department</w:t>
      </w:r>
      <w:r w:rsidR="00AA3C02" w:rsidRPr="00045834">
        <w:t xml:space="preserve"> for mental health-related presentations</w:t>
      </w:r>
      <w:r w:rsidR="007728C3" w:rsidRPr="00045834">
        <w:t xml:space="preserve"> (</w:t>
      </w:r>
      <w:r w:rsidR="00AF7161" w:rsidRPr="00045834">
        <w:t xml:space="preserve">443 </w:t>
      </w:r>
      <w:r w:rsidR="008354C8" w:rsidRPr="00045834">
        <w:t xml:space="preserve">vs 95 </w:t>
      </w:r>
      <w:r w:rsidR="008E7586" w:rsidRPr="00045834">
        <w:t>per 10,000 population)</w:t>
      </w:r>
      <w:r w:rsidR="0042535C">
        <w:t>.</w:t>
      </w:r>
      <w:r w:rsidR="008E7586" w:rsidRPr="00045834">
        <w:t xml:space="preserve"> </w:t>
      </w:r>
      <w:r w:rsidR="0042535C">
        <w:rPr>
          <w:vertAlign w:val="superscript"/>
        </w:rPr>
        <w:t>78</w:t>
      </w:r>
      <w:r w:rsidR="008577A4" w:rsidRPr="00045834">
        <w:t xml:space="preserve"> </w:t>
      </w:r>
      <w:r w:rsidR="00AA3C02" w:rsidRPr="00045834">
        <w:t xml:space="preserve">Mental </w:t>
      </w:r>
      <w:r w:rsidR="00B26551" w:rsidRPr="00045834">
        <w:t xml:space="preserve">health </w:t>
      </w:r>
      <w:r w:rsidR="00AA3C02" w:rsidRPr="00045834">
        <w:t xml:space="preserve">disorders </w:t>
      </w:r>
      <w:r w:rsidR="00A74E6D">
        <w:t>are</w:t>
      </w:r>
      <w:r w:rsidR="00A74E6D" w:rsidRPr="00045834">
        <w:t xml:space="preserve"> </w:t>
      </w:r>
      <w:r w:rsidR="00AA3C02" w:rsidRPr="00045834">
        <w:t>increasing</w:t>
      </w:r>
      <w:r w:rsidR="00E75BC1">
        <w:t xml:space="preserve"> globally,</w:t>
      </w:r>
      <w:r w:rsidR="00AA3C02" w:rsidRPr="00045834">
        <w:t xml:space="preserve"> as is </w:t>
      </w:r>
      <w:r w:rsidR="00950387" w:rsidRPr="00045834">
        <w:t xml:space="preserve">the </w:t>
      </w:r>
      <w:r w:rsidR="00AA3C02" w:rsidRPr="00045834">
        <w:t xml:space="preserve">body of evidence to suggest that </w:t>
      </w:r>
      <w:r w:rsidR="00950387" w:rsidRPr="00045834">
        <w:t>emergency department</w:t>
      </w:r>
      <w:r w:rsidR="0060254B" w:rsidRPr="00045834">
        <w:t>s</w:t>
      </w:r>
      <w:r w:rsidR="00950387" w:rsidRPr="00045834">
        <w:t xml:space="preserve"> </w:t>
      </w:r>
      <w:r w:rsidR="0060254B" w:rsidRPr="00045834">
        <w:t>are</w:t>
      </w:r>
      <w:r w:rsidR="00AA3C02" w:rsidRPr="00045834">
        <w:t xml:space="preserve"> not appropriate nor effective in responding to people </w:t>
      </w:r>
      <w:r w:rsidR="002A1DE4">
        <w:t>with</w:t>
      </w:r>
      <w:r w:rsidR="002A1DE4" w:rsidRPr="00045834">
        <w:t xml:space="preserve"> </w:t>
      </w:r>
      <w:r w:rsidR="00AA3C02" w:rsidRPr="00045834">
        <w:t xml:space="preserve">mental health </w:t>
      </w:r>
      <w:r w:rsidR="00184824">
        <w:t>conditions</w:t>
      </w:r>
      <w:r w:rsidR="00184824" w:rsidRPr="00045834">
        <w:t xml:space="preserve"> </w:t>
      </w:r>
      <w:r w:rsidR="00AA3C02" w:rsidRPr="00045834">
        <w:t xml:space="preserve">due to </w:t>
      </w:r>
      <w:r w:rsidR="0060254B" w:rsidRPr="00045834">
        <w:t>their</w:t>
      </w:r>
      <w:r w:rsidR="00AA3C02" w:rsidRPr="00045834">
        <w:t xml:space="preserve"> overly stimulating environments, decreased privacy and being staffed with </w:t>
      </w:r>
      <w:r w:rsidR="003B22B4" w:rsidRPr="00045834">
        <w:t xml:space="preserve">healthcare </w:t>
      </w:r>
      <w:r w:rsidR="00AA3C02" w:rsidRPr="00045834">
        <w:t xml:space="preserve">professionals </w:t>
      </w:r>
      <w:r w:rsidR="003B22B4" w:rsidRPr="00045834">
        <w:t>with</w:t>
      </w:r>
      <w:r w:rsidR="00032214" w:rsidRPr="00045834">
        <w:t xml:space="preserve"> little or no</w:t>
      </w:r>
      <w:r w:rsidR="00AA3C02" w:rsidRPr="00045834">
        <w:t xml:space="preserve"> expertise and training in mental health</w:t>
      </w:r>
      <w:r w:rsidR="00783695">
        <w:t>care</w:t>
      </w:r>
      <w:r w:rsidR="00370641">
        <w:t>.</w:t>
      </w:r>
      <w:r w:rsidR="00BD1197">
        <w:t xml:space="preserve"> </w:t>
      </w:r>
      <w:r w:rsidR="000B202A">
        <w:rPr>
          <w:vertAlign w:val="superscript"/>
        </w:rPr>
        <w:t>79,80</w:t>
      </w:r>
      <w:r w:rsidR="000B202A" w:rsidRPr="00045834">
        <w:t xml:space="preserve"> </w:t>
      </w:r>
      <w:r w:rsidR="00AA3C02" w:rsidRPr="00045834">
        <w:lastRenderedPageBreak/>
        <w:t xml:space="preserve">Mental </w:t>
      </w:r>
      <w:r w:rsidR="00032214" w:rsidRPr="00045834">
        <w:t xml:space="preserve">health patients </w:t>
      </w:r>
      <w:r w:rsidR="00AA3C02" w:rsidRPr="00045834">
        <w:t>also reported being judged and not being treated the same as patients with more obvious physical health presentations.</w:t>
      </w:r>
      <w:r w:rsidR="00BD1197">
        <w:t xml:space="preserve"> </w:t>
      </w:r>
      <w:r w:rsidR="00FA0E30">
        <w:rPr>
          <w:vertAlign w:val="superscript"/>
        </w:rPr>
        <w:t>79,80</w:t>
      </w:r>
      <w:r w:rsidR="00AA3C02" w:rsidRPr="00045834">
        <w:t xml:space="preserve"> </w:t>
      </w:r>
    </w:p>
    <w:p w14:paraId="5A94A54A" w14:textId="5D993174" w:rsidR="00AA3C02" w:rsidRPr="00A37CF8" w:rsidRDefault="00AA3C02" w:rsidP="00216AB8">
      <w:pPr>
        <w:pStyle w:val="AHPRAbody"/>
        <w:outlineLvl w:val="0"/>
        <w:rPr>
          <w:vertAlign w:val="superscript"/>
        </w:rPr>
      </w:pPr>
      <w:r w:rsidRPr="00A37CF8">
        <w:rPr>
          <w:lang w:val="en-NZ" w:eastAsia="en-NZ"/>
        </w:rPr>
        <w:t xml:space="preserve">Everyone has the right to die with dignity </w:t>
      </w:r>
      <w:r w:rsidR="00287B66">
        <w:rPr>
          <w:lang w:val="en-NZ" w:eastAsia="en-NZ"/>
        </w:rPr>
        <w:t>and</w:t>
      </w:r>
      <w:r w:rsidR="00327D17" w:rsidRPr="00A37CF8">
        <w:rPr>
          <w:lang w:val="en-NZ" w:eastAsia="en-NZ"/>
        </w:rPr>
        <w:t xml:space="preserve"> </w:t>
      </w:r>
      <w:r w:rsidRPr="00A37CF8">
        <w:rPr>
          <w:lang w:val="en-NZ" w:eastAsia="en-NZ"/>
        </w:rPr>
        <w:t xml:space="preserve">many people in the western world </w:t>
      </w:r>
      <w:r w:rsidR="00287B66">
        <w:rPr>
          <w:lang w:val="en-NZ" w:eastAsia="en-NZ"/>
        </w:rPr>
        <w:t>have expressed</w:t>
      </w:r>
      <w:r w:rsidR="00287B66" w:rsidRPr="00A37CF8">
        <w:rPr>
          <w:lang w:val="en-NZ" w:eastAsia="en-NZ"/>
        </w:rPr>
        <w:t xml:space="preserve"> </w:t>
      </w:r>
      <w:r w:rsidRPr="00A37CF8">
        <w:rPr>
          <w:lang w:val="en-NZ" w:eastAsia="en-NZ"/>
        </w:rPr>
        <w:t xml:space="preserve">a wish to receive </w:t>
      </w:r>
      <w:r w:rsidR="009C685F" w:rsidRPr="00A37CF8">
        <w:rPr>
          <w:lang w:val="en-NZ" w:eastAsia="en-NZ"/>
        </w:rPr>
        <w:t xml:space="preserve">end </w:t>
      </w:r>
      <w:r w:rsidRPr="00A37CF8">
        <w:rPr>
          <w:lang w:val="en-NZ" w:eastAsia="en-NZ"/>
        </w:rPr>
        <w:t>of</w:t>
      </w:r>
      <w:r w:rsidR="009C685F" w:rsidRPr="00A37CF8">
        <w:rPr>
          <w:lang w:val="en-NZ" w:eastAsia="en-NZ"/>
        </w:rPr>
        <w:t xml:space="preserve"> life </w:t>
      </w:r>
      <w:r w:rsidRPr="00A37CF8">
        <w:rPr>
          <w:lang w:val="en-NZ" w:eastAsia="en-NZ"/>
        </w:rPr>
        <w:t xml:space="preserve">(EOL) care at home. </w:t>
      </w:r>
      <w:r w:rsidRPr="00A37CF8">
        <w:t>In Australia it is estimated that 60 to 70 per cent of Australians would prefer to die at home, however only 14 per cent do so</w:t>
      </w:r>
      <w:r w:rsidR="00496906">
        <w:t>.</w:t>
      </w:r>
      <w:r w:rsidRPr="00A37CF8">
        <w:t xml:space="preserve"> </w:t>
      </w:r>
      <w:r w:rsidR="00496906">
        <w:t>The</w:t>
      </w:r>
      <w:r w:rsidRPr="00A37CF8">
        <w:t xml:space="preserve"> vast majority </w:t>
      </w:r>
      <w:r w:rsidR="00496906">
        <w:t xml:space="preserve">of Australians </w:t>
      </w:r>
      <w:r w:rsidRPr="00A37CF8">
        <w:t>die within a hospital or residential aged care setting</w:t>
      </w:r>
      <w:r w:rsidR="003B3D2E">
        <w:t>.</w:t>
      </w:r>
      <w:r w:rsidRPr="00A37CF8">
        <w:t xml:space="preserve"> </w:t>
      </w:r>
      <w:r w:rsidR="003528CE">
        <w:rPr>
          <w:vertAlign w:val="superscript"/>
        </w:rPr>
        <w:t>8</w:t>
      </w:r>
      <w:r w:rsidR="00E003F9">
        <w:rPr>
          <w:vertAlign w:val="superscript"/>
        </w:rPr>
        <w:t>1</w:t>
      </w:r>
      <w:r w:rsidRPr="00A37CF8">
        <w:t xml:space="preserve"> </w:t>
      </w:r>
      <w:r w:rsidRPr="00A37CF8">
        <w:rPr>
          <w:lang w:val="en-NZ" w:eastAsia="en-NZ"/>
        </w:rPr>
        <w:t xml:space="preserve">Providing </w:t>
      </w:r>
      <w:r w:rsidR="00C46C7D" w:rsidRPr="00A37CF8">
        <w:rPr>
          <w:lang w:val="en-NZ" w:eastAsia="en-NZ"/>
        </w:rPr>
        <w:t>EOL</w:t>
      </w:r>
      <w:r w:rsidR="003B3D2E">
        <w:rPr>
          <w:lang w:val="en-NZ" w:eastAsia="en-NZ"/>
        </w:rPr>
        <w:t xml:space="preserve"> </w:t>
      </w:r>
      <w:r w:rsidRPr="00A37CF8">
        <w:rPr>
          <w:lang w:val="en-NZ" w:eastAsia="en-NZ"/>
        </w:rPr>
        <w:t xml:space="preserve">and palliative care in the emergency department is challenging with patients often receiving invasive or neglected care as they present as </w:t>
      </w:r>
      <w:r w:rsidR="00BD309C">
        <w:rPr>
          <w:lang w:val="en-NZ" w:eastAsia="en-NZ"/>
        </w:rPr>
        <w:t>non-</w:t>
      </w:r>
      <w:r w:rsidRPr="00A37CF8">
        <w:rPr>
          <w:lang w:val="en-NZ" w:eastAsia="en-NZ"/>
        </w:rPr>
        <w:t xml:space="preserve">acute. Palliative care is not well integrated into this setting </w:t>
      </w:r>
      <w:r w:rsidR="004F2586">
        <w:rPr>
          <w:vertAlign w:val="superscript"/>
        </w:rPr>
        <w:t xml:space="preserve">82,83,84 </w:t>
      </w:r>
      <w:r w:rsidR="00032B71" w:rsidRPr="00A37CF8">
        <w:rPr>
          <w:lang w:val="en-NZ" w:eastAsia="en-NZ"/>
        </w:rPr>
        <w:t xml:space="preserve">and </w:t>
      </w:r>
      <w:r w:rsidRPr="00A37CF8">
        <w:rPr>
          <w:lang w:val="en-NZ" w:eastAsia="en-NZ"/>
        </w:rPr>
        <w:t xml:space="preserve">whilst there are many </w:t>
      </w:r>
      <w:r w:rsidRPr="00A37CF8">
        <w:rPr>
          <w:shd w:val="clear" w:color="auto" w:fill="FFFFFF"/>
        </w:rPr>
        <w:t>established</w:t>
      </w:r>
      <w:r w:rsidR="000F53D3">
        <w:rPr>
          <w:shd w:val="clear" w:color="auto" w:fill="FFFFFF"/>
        </w:rPr>
        <w:t>,</w:t>
      </w:r>
      <w:r w:rsidRPr="00A37CF8">
        <w:rPr>
          <w:shd w:val="clear" w:color="auto" w:fill="FFFFFF"/>
        </w:rPr>
        <w:t xml:space="preserve"> coordinated and dedicated services to support EOL and palliative care services in the community</w:t>
      </w:r>
      <w:r w:rsidR="000F4781" w:rsidRPr="00A37CF8">
        <w:rPr>
          <w:shd w:val="clear" w:color="auto" w:fill="FFFFFF"/>
        </w:rPr>
        <w:t>,</w:t>
      </w:r>
      <w:r w:rsidRPr="00A37CF8">
        <w:rPr>
          <w:shd w:val="clear" w:color="auto" w:fill="FFFFFF"/>
        </w:rPr>
        <w:t xml:space="preserve"> there are patients whose care journey could have been better assisted through a collaborative person-centred care approach in their final stages. </w:t>
      </w:r>
      <w:r w:rsidR="00263BCD" w:rsidRPr="00A37CF8">
        <w:rPr>
          <w:shd w:val="clear" w:color="auto" w:fill="FFFFFF"/>
        </w:rPr>
        <w:t>In the patient journeys</w:t>
      </w:r>
      <w:r w:rsidR="008A2588">
        <w:rPr>
          <w:shd w:val="clear" w:color="auto" w:fill="FFFFFF"/>
        </w:rPr>
        <w:t xml:space="preserve"> of Charlie and George</w:t>
      </w:r>
      <w:r w:rsidR="00FD4462" w:rsidRPr="00A37CF8">
        <w:rPr>
          <w:shd w:val="clear" w:color="auto" w:fill="FFFFFF"/>
        </w:rPr>
        <w:t>,</w:t>
      </w:r>
      <w:r w:rsidR="00263BCD" w:rsidRPr="00A37CF8">
        <w:rPr>
          <w:shd w:val="clear" w:color="auto" w:fill="FFFFFF"/>
        </w:rPr>
        <w:t xml:space="preserve"> </w:t>
      </w:r>
      <w:r w:rsidRPr="00A37CF8">
        <w:rPr>
          <w:shd w:val="clear" w:color="auto" w:fill="FFFFFF"/>
        </w:rPr>
        <w:t xml:space="preserve">a designated RN prescriber </w:t>
      </w:r>
      <w:r w:rsidR="00BD7469" w:rsidRPr="00A37CF8">
        <w:rPr>
          <w:shd w:val="clear" w:color="auto" w:fill="FFFFFF"/>
        </w:rPr>
        <w:t>may have been able to provide a holistic episode of care</w:t>
      </w:r>
      <w:r w:rsidR="00F90E3B" w:rsidRPr="00A37CF8">
        <w:rPr>
          <w:shd w:val="clear" w:color="auto" w:fill="FFFFFF"/>
        </w:rPr>
        <w:t>. This could have prevented the</w:t>
      </w:r>
      <w:r w:rsidRPr="00A37CF8">
        <w:rPr>
          <w:shd w:val="clear" w:color="auto" w:fill="FFFFFF"/>
        </w:rPr>
        <w:t xml:space="preserve"> moral distress and suffering </w:t>
      </w:r>
      <w:r w:rsidR="00F90E3B" w:rsidRPr="00A37CF8">
        <w:rPr>
          <w:shd w:val="clear" w:color="auto" w:fill="FFFFFF"/>
        </w:rPr>
        <w:t xml:space="preserve">experienced by the </w:t>
      </w:r>
      <w:r w:rsidRPr="00A37CF8">
        <w:rPr>
          <w:shd w:val="clear" w:color="auto" w:fill="FFFFFF"/>
        </w:rPr>
        <w:t xml:space="preserve">patient and their families and </w:t>
      </w:r>
      <w:r w:rsidR="00F90E3B" w:rsidRPr="00A37CF8">
        <w:rPr>
          <w:shd w:val="clear" w:color="auto" w:fill="FFFFFF"/>
        </w:rPr>
        <w:t>preserved</w:t>
      </w:r>
      <w:r w:rsidRPr="00A37CF8">
        <w:rPr>
          <w:shd w:val="clear" w:color="auto" w:fill="FFFFFF"/>
        </w:rPr>
        <w:t xml:space="preserve"> dignity in dying.</w:t>
      </w:r>
      <w:r w:rsidR="00DE4A4B" w:rsidRPr="00A37CF8">
        <w:rPr>
          <w:shd w:val="clear" w:color="auto" w:fill="FFFFFF"/>
        </w:rPr>
        <w:t xml:space="preserve"> </w:t>
      </w:r>
      <w:r w:rsidR="00CC094D" w:rsidRPr="00A37CF8">
        <w:rPr>
          <w:shd w:val="clear" w:color="auto" w:fill="FFFFFF"/>
        </w:rPr>
        <w:t>Access to a designated RN prescriber could also facilitate</w:t>
      </w:r>
      <w:r w:rsidR="00B948AE" w:rsidRPr="00A37CF8">
        <w:rPr>
          <w:shd w:val="clear" w:color="auto" w:fill="FFFFFF"/>
        </w:rPr>
        <w:t xml:space="preserve"> improved outcomes in</w:t>
      </w:r>
      <w:r w:rsidRPr="00A37CF8">
        <w:rPr>
          <w:shd w:val="clear" w:color="auto" w:fill="FFFFFF"/>
        </w:rPr>
        <w:t xml:space="preserve"> residential aged care setting</w:t>
      </w:r>
      <w:r w:rsidR="00B948AE" w:rsidRPr="00A37CF8">
        <w:rPr>
          <w:shd w:val="clear" w:color="auto" w:fill="FFFFFF"/>
        </w:rPr>
        <w:t>s</w:t>
      </w:r>
      <w:r w:rsidR="00A632B3" w:rsidRPr="00A37CF8">
        <w:rPr>
          <w:shd w:val="clear" w:color="auto" w:fill="FFFFFF"/>
        </w:rPr>
        <w:t xml:space="preserve"> as these settings</w:t>
      </w:r>
      <w:r w:rsidRPr="00A37CF8">
        <w:rPr>
          <w:shd w:val="clear" w:color="auto" w:fill="FFFFFF"/>
        </w:rPr>
        <w:t xml:space="preserve"> </w:t>
      </w:r>
      <w:r w:rsidR="006246F8">
        <w:t>often</w:t>
      </w:r>
      <w:r w:rsidR="006246F8" w:rsidRPr="00A37CF8">
        <w:t xml:space="preserve"> </w:t>
      </w:r>
      <w:r w:rsidRPr="00A37CF8">
        <w:t xml:space="preserve">face unique </w:t>
      </w:r>
      <w:r w:rsidR="00A632B3" w:rsidRPr="00A37CF8">
        <w:t xml:space="preserve">challenges </w:t>
      </w:r>
      <w:r w:rsidRPr="00A37CF8">
        <w:t>in administering palliative care</w:t>
      </w:r>
      <w:r w:rsidR="00A632B3" w:rsidRPr="00A37CF8">
        <w:t xml:space="preserve"> services</w:t>
      </w:r>
      <w:r w:rsidRPr="00A37CF8">
        <w:t xml:space="preserve">. </w:t>
      </w:r>
      <w:r w:rsidR="00BB428B">
        <w:rPr>
          <w:vertAlign w:val="superscript"/>
        </w:rPr>
        <w:t>85</w:t>
      </w:r>
    </w:p>
    <w:p w14:paraId="79042D4C" w14:textId="117BE614" w:rsidR="00AB2292" w:rsidRDefault="00AA3C02" w:rsidP="00216AB8">
      <w:pPr>
        <w:pStyle w:val="CommentText"/>
        <w:outlineLvl w:val="0"/>
      </w:pPr>
      <w:r w:rsidRPr="00A75480">
        <w:rPr>
          <w:rFonts w:cstheme="minorBidi"/>
          <w:lang w:val="en-NZ" w:eastAsia="en-NZ"/>
          <w14:ligatures w14:val="standardContextual"/>
        </w:rPr>
        <w:t xml:space="preserve">There were reported increases in </w:t>
      </w:r>
      <w:r w:rsidR="004D6FF3" w:rsidRPr="00A75480">
        <w:rPr>
          <w:rFonts w:cstheme="minorBidi"/>
          <w:lang w:val="en-NZ" w:eastAsia="en-NZ"/>
          <w14:ligatures w14:val="standardContextual"/>
        </w:rPr>
        <w:t xml:space="preserve">quality adjusted </w:t>
      </w:r>
      <w:r w:rsidRPr="00D17C81">
        <w:rPr>
          <w:rFonts w:cstheme="minorBidi"/>
          <w:lang w:val="en-NZ" w:eastAsia="en-NZ"/>
          <w14:ligatures w14:val="standardContextual"/>
        </w:rPr>
        <w:t xml:space="preserve">life </w:t>
      </w:r>
      <w:r w:rsidRPr="00485530">
        <w:rPr>
          <w:rFonts w:cstheme="minorBidi"/>
          <w:lang w:val="en-NZ" w:eastAsia="en-NZ"/>
          <w14:ligatures w14:val="standardContextual"/>
        </w:rPr>
        <w:t>years (QALY) in a</w:t>
      </w:r>
      <w:r w:rsidR="00EF6466">
        <w:rPr>
          <w:rFonts w:cstheme="minorBidi"/>
          <w:lang w:val="en-NZ" w:eastAsia="en-NZ"/>
          <w14:ligatures w14:val="standardContextual"/>
        </w:rPr>
        <w:t xml:space="preserve"> </w:t>
      </w:r>
      <w:r w:rsidR="004D08F6">
        <w:rPr>
          <w:rFonts w:cstheme="minorBidi"/>
          <w:lang w:val="en-NZ" w:eastAsia="en-NZ"/>
          <w14:ligatures w14:val="standardContextual"/>
        </w:rPr>
        <w:t xml:space="preserve">2018 </w:t>
      </w:r>
      <w:r w:rsidR="00EF6466">
        <w:rPr>
          <w:rFonts w:cstheme="minorBidi"/>
          <w:lang w:val="en-NZ" w:eastAsia="en-NZ"/>
          <w14:ligatures w14:val="standardContextual"/>
        </w:rPr>
        <w:t>KPMG</w:t>
      </w:r>
      <w:r w:rsidRPr="00485530">
        <w:rPr>
          <w:rFonts w:cstheme="minorBidi"/>
          <w:lang w:val="en-NZ" w:eastAsia="en-NZ"/>
          <w14:ligatures w14:val="standardContextual"/>
        </w:rPr>
        <w:t xml:space="preserve"> </w:t>
      </w:r>
      <w:r w:rsidR="004D6FF3" w:rsidRPr="00485530">
        <w:rPr>
          <w:rFonts w:cstheme="minorBidi"/>
          <w:lang w:val="en-NZ" w:eastAsia="en-NZ"/>
          <w14:ligatures w14:val="standardContextual"/>
        </w:rPr>
        <w:t xml:space="preserve">nurse practitioner </w:t>
      </w:r>
      <w:r w:rsidRPr="00485530">
        <w:rPr>
          <w:rFonts w:cstheme="minorBidi"/>
          <w:lang w:val="en-NZ" w:eastAsia="en-NZ"/>
          <w14:ligatures w14:val="standardContextual"/>
        </w:rPr>
        <w:t xml:space="preserve">study </w:t>
      </w:r>
      <w:r w:rsidR="004D08F6">
        <w:rPr>
          <w:rFonts w:cstheme="minorBidi"/>
          <w:lang w:val="en-NZ" w:eastAsia="en-NZ"/>
          <w14:ligatures w14:val="standardContextual"/>
        </w:rPr>
        <w:t xml:space="preserve">of </w:t>
      </w:r>
      <w:r w:rsidR="00FF75E7">
        <w:rPr>
          <w:rFonts w:cstheme="minorBidi"/>
          <w:lang w:val="en-NZ" w:eastAsia="en-NZ"/>
          <w14:ligatures w14:val="standardContextual"/>
        </w:rPr>
        <w:t xml:space="preserve">cost benefit </w:t>
      </w:r>
      <w:r w:rsidR="008B5AFF">
        <w:rPr>
          <w:rFonts w:cstheme="minorBidi"/>
          <w:lang w:val="en-NZ" w:eastAsia="en-NZ"/>
          <w14:ligatures w14:val="standardContextual"/>
        </w:rPr>
        <w:t>analysis</w:t>
      </w:r>
      <w:r w:rsidR="00FF75E7">
        <w:rPr>
          <w:rFonts w:cstheme="minorBidi"/>
          <w:lang w:val="en-NZ" w:eastAsia="en-NZ"/>
          <w14:ligatures w14:val="standardContextual"/>
        </w:rPr>
        <w:t xml:space="preserve"> </w:t>
      </w:r>
      <w:r w:rsidR="008B5AFF">
        <w:rPr>
          <w:rFonts w:cstheme="minorBidi"/>
          <w:lang w:val="en-NZ" w:eastAsia="en-NZ"/>
          <w14:ligatures w14:val="standardContextual"/>
        </w:rPr>
        <w:t>undertaken</w:t>
      </w:r>
      <w:r w:rsidR="00FF75E7">
        <w:rPr>
          <w:rFonts w:cstheme="minorBidi"/>
          <w:lang w:val="en-NZ" w:eastAsia="en-NZ"/>
          <w14:ligatures w14:val="standardContextual"/>
        </w:rPr>
        <w:t xml:space="preserve"> in 20</w:t>
      </w:r>
      <w:r w:rsidR="008B5AFF">
        <w:rPr>
          <w:rFonts w:cstheme="minorBidi"/>
          <w:lang w:val="en-NZ" w:eastAsia="en-NZ"/>
          <w14:ligatures w14:val="standardContextual"/>
        </w:rPr>
        <w:t>18. This was</w:t>
      </w:r>
      <w:r w:rsidR="004D08F6">
        <w:rPr>
          <w:rStyle w:val="normaltextrun"/>
          <w:rFonts w:cs="Arial"/>
          <w:color w:val="D13438"/>
          <w:u w:val="single"/>
          <w:shd w:val="clear" w:color="auto" w:fill="FFFFFF"/>
          <w:lang w:val="en-NZ"/>
        </w:rPr>
        <w:t xml:space="preserve"> </w:t>
      </w:r>
      <w:r w:rsidRPr="00485530">
        <w:rPr>
          <w:rFonts w:cstheme="minorBidi"/>
          <w:lang w:val="en-NZ" w:eastAsia="en-NZ"/>
          <w14:ligatures w14:val="standardContextual"/>
        </w:rPr>
        <w:t xml:space="preserve">through reduced emergency presentations and </w:t>
      </w:r>
      <w:r w:rsidR="014BBFDE" w:rsidRPr="00485530">
        <w:rPr>
          <w:rFonts w:cstheme="minorBidi"/>
          <w:lang w:val="en-NZ" w:eastAsia="en-NZ"/>
          <w14:ligatures w14:val="standardContextual"/>
        </w:rPr>
        <w:t>hospitalisations.</w:t>
      </w:r>
      <w:r w:rsidR="00485530" w:rsidRPr="00485530">
        <w:rPr>
          <w:rFonts w:cstheme="minorBidi"/>
          <w:lang w:val="en-NZ" w:eastAsia="en-NZ"/>
          <w14:ligatures w14:val="standardContextual"/>
        </w:rPr>
        <w:t xml:space="preserve"> QALY</w:t>
      </w:r>
      <w:r w:rsidR="00485530" w:rsidRPr="001D78F4">
        <w:rPr>
          <w:rFonts w:cs="Arial"/>
          <w:sz w:val="21"/>
          <w:szCs w:val="21"/>
          <w:shd w:val="clear" w:color="auto" w:fill="FFFFFF"/>
        </w:rPr>
        <w:t> is a generic measure of disease burden, including both the quality and the quantity of life lived</w:t>
      </w:r>
      <w:r w:rsidR="00485530">
        <w:rPr>
          <w:rFonts w:cs="Arial"/>
          <w:color w:val="4D5156"/>
          <w:sz w:val="21"/>
          <w:szCs w:val="21"/>
          <w:shd w:val="clear" w:color="auto" w:fill="FFFFFF"/>
        </w:rPr>
        <w:t>.</w:t>
      </w:r>
      <w:r w:rsidR="014BBFDE" w:rsidRPr="00D17C81">
        <w:rPr>
          <w:rFonts w:cstheme="minorBidi"/>
          <w:lang w:val="en-NZ" w:eastAsia="en-NZ"/>
          <w14:ligatures w14:val="standardContextual"/>
        </w:rPr>
        <w:t xml:space="preserve"> </w:t>
      </w:r>
      <w:r w:rsidR="00B05DB0">
        <w:rPr>
          <w:rFonts w:cstheme="minorBidi"/>
          <w:vertAlign w:val="superscript"/>
          <w:lang w:val="en-NZ" w:eastAsia="en-NZ"/>
          <w14:ligatures w14:val="standardContextual"/>
        </w:rPr>
        <w:t>86</w:t>
      </w:r>
      <w:r w:rsidR="00F30471" w:rsidRPr="00304C6F">
        <w:rPr>
          <w:rFonts w:cs="Arial"/>
          <w:vertAlign w:val="superscript"/>
        </w:rPr>
        <w:t xml:space="preserve"> </w:t>
      </w:r>
      <w:r w:rsidR="00AB2292" w:rsidRPr="00304C6F">
        <w:t xml:space="preserve">The use of </w:t>
      </w:r>
      <w:r w:rsidR="00AB2292" w:rsidRPr="002C148C">
        <w:t>QALY as a measure could be used to evaluate the impacts of designated RN prescribing once implemented.</w:t>
      </w:r>
    </w:p>
    <w:p w14:paraId="7A5A0CD9" w14:textId="415F0211" w:rsidR="00AA3C02" w:rsidRDefault="00AA3C02" w:rsidP="00216AB8">
      <w:pPr>
        <w:spacing w:beforeLines="60" w:before="144" w:afterLines="60" w:after="144"/>
        <w:outlineLvl w:val="0"/>
        <w:rPr>
          <w:rFonts w:cstheme="minorBidi"/>
          <w:lang w:val="en-NZ" w:eastAsia="en-NZ"/>
          <w14:ligatures w14:val="standardContextual"/>
        </w:rPr>
      </w:pPr>
      <w:r w:rsidRPr="5AA7423A">
        <w:rPr>
          <w:rFonts w:cstheme="minorBidi"/>
          <w:lang w:val="en-NZ" w:eastAsia="en-NZ"/>
          <w14:ligatures w14:val="standardContextual"/>
        </w:rPr>
        <w:t xml:space="preserve">Access to essential medicines is </w:t>
      </w:r>
      <w:r w:rsidR="00A52BB5" w:rsidRPr="5AA7423A">
        <w:rPr>
          <w:rFonts w:cstheme="minorBidi"/>
          <w:lang w:val="en-NZ" w:eastAsia="en-NZ"/>
          <w14:ligatures w14:val="standardContextual"/>
        </w:rPr>
        <w:t xml:space="preserve">identified as </w:t>
      </w:r>
      <w:r w:rsidRPr="5AA7423A">
        <w:rPr>
          <w:rFonts w:cstheme="minorBidi"/>
          <w:lang w:val="en-NZ" w:eastAsia="en-NZ"/>
          <w14:ligatures w14:val="standardContextual"/>
        </w:rPr>
        <w:t xml:space="preserve">a human right </w:t>
      </w:r>
      <w:r w:rsidR="008C4F9B" w:rsidRPr="5AA7423A">
        <w:rPr>
          <w:rFonts w:cstheme="minorBidi"/>
          <w:lang w:val="en-NZ" w:eastAsia="en-NZ"/>
          <w14:ligatures w14:val="standardContextual"/>
        </w:rPr>
        <w:t xml:space="preserve">under </w:t>
      </w:r>
      <w:r w:rsidRPr="5AA7423A">
        <w:rPr>
          <w:rFonts w:cstheme="minorBidi"/>
          <w:lang w:val="en-NZ" w:eastAsia="en-NZ"/>
          <w14:ligatures w14:val="standardContextual"/>
        </w:rPr>
        <w:t xml:space="preserve">the </w:t>
      </w:r>
      <w:r w:rsidRPr="5AA7423A">
        <w:rPr>
          <w:rFonts w:cstheme="minorBidi"/>
          <w:i/>
          <w:iCs/>
          <w:lang w:val="en-NZ" w:eastAsia="en-NZ"/>
          <w14:ligatures w14:val="standardContextual"/>
        </w:rPr>
        <w:t>International Treaty of Social Economic and Cultural Rights</w:t>
      </w:r>
      <w:r w:rsidRPr="5AA7423A">
        <w:rPr>
          <w:rFonts w:cstheme="minorBidi"/>
          <w:lang w:val="en-NZ" w:eastAsia="en-NZ"/>
          <w14:ligatures w14:val="standardContextual"/>
        </w:rPr>
        <w:t xml:space="preserve">. It is also underpinned by the </w:t>
      </w:r>
      <w:r w:rsidR="002C5890" w:rsidRPr="5AA7423A">
        <w:rPr>
          <w:rFonts w:cstheme="minorBidi"/>
          <w:i/>
          <w:iCs/>
          <w:lang w:val="en-NZ" w:eastAsia="en-NZ"/>
          <w14:ligatures w14:val="standardContextual"/>
        </w:rPr>
        <w:t xml:space="preserve">Declaration </w:t>
      </w:r>
      <w:r w:rsidRPr="5AA7423A">
        <w:rPr>
          <w:rFonts w:cstheme="minorBidi"/>
          <w:i/>
          <w:iCs/>
          <w:lang w:val="en-NZ" w:eastAsia="en-NZ"/>
          <w14:ligatures w14:val="standardContextual"/>
        </w:rPr>
        <w:t>of Alma Ata</w:t>
      </w:r>
      <w:r w:rsidRPr="5AA7423A">
        <w:rPr>
          <w:rFonts w:cstheme="minorBidi"/>
          <w:lang w:val="en-NZ" w:eastAsia="en-NZ"/>
          <w14:ligatures w14:val="standardContextual"/>
        </w:rPr>
        <w:t xml:space="preserve"> and the </w:t>
      </w:r>
      <w:r w:rsidRPr="5AA7423A">
        <w:rPr>
          <w:rFonts w:cstheme="minorBidi"/>
          <w:i/>
          <w:iCs/>
          <w:lang w:val="en-NZ" w:eastAsia="en-NZ"/>
          <w14:ligatures w14:val="standardContextual"/>
        </w:rPr>
        <w:t>Sustainable Development Goals</w:t>
      </w:r>
      <w:r w:rsidR="00BC65F3" w:rsidRPr="5AA7423A">
        <w:rPr>
          <w:rFonts w:cstheme="minorBidi"/>
          <w:lang w:val="en-NZ" w:eastAsia="en-NZ"/>
          <w14:ligatures w14:val="standardContextual"/>
        </w:rPr>
        <w:t>.</w:t>
      </w:r>
      <w:r w:rsidR="00FF75E7">
        <w:rPr>
          <w:rFonts w:cs="Arial"/>
          <w:vertAlign w:val="superscript"/>
        </w:rPr>
        <w:t>20</w:t>
      </w:r>
      <w:r w:rsidRPr="00A37CF8">
        <w:rPr>
          <w:rFonts w:cstheme="minorBidi"/>
          <w:lang w:val="en-NZ" w:eastAsia="en-NZ"/>
          <w14:ligatures w14:val="standardContextual"/>
        </w:rPr>
        <w:t xml:space="preserve"> </w:t>
      </w:r>
      <w:r w:rsidR="00BC65F3" w:rsidRPr="5AA7423A">
        <w:rPr>
          <w:rFonts w:cstheme="minorBidi"/>
          <w:lang w:val="en-NZ" w:eastAsia="en-NZ"/>
          <w14:ligatures w14:val="standardContextual"/>
        </w:rPr>
        <w:t>M</w:t>
      </w:r>
      <w:r w:rsidRPr="5AA7423A">
        <w:rPr>
          <w:rFonts w:cstheme="minorBidi"/>
          <w:lang w:val="en-NZ" w:eastAsia="en-NZ"/>
          <w14:ligatures w14:val="standardContextual"/>
        </w:rPr>
        <w:t>aintaining the status quo does not reflect or align with these universal interventions that ensure adequate healthcare</w:t>
      </w:r>
      <w:r w:rsidR="00531967">
        <w:rPr>
          <w:rFonts w:cstheme="minorBidi"/>
          <w:lang w:val="en-NZ" w:eastAsia="en-NZ"/>
          <w14:ligatures w14:val="standardContextual"/>
        </w:rPr>
        <w:t xml:space="preserve"> for all</w:t>
      </w:r>
      <w:r w:rsidRPr="5AA7423A">
        <w:rPr>
          <w:rFonts w:cstheme="minorBidi"/>
          <w:lang w:val="en-NZ" w:eastAsia="en-NZ"/>
          <w14:ligatures w14:val="standardContextual"/>
        </w:rPr>
        <w:t xml:space="preserve">. </w:t>
      </w:r>
    </w:p>
    <w:p w14:paraId="6BABCF46" w14:textId="2A241EEA" w:rsidR="00AA3C02" w:rsidRPr="00ED2CB1" w:rsidRDefault="00F1522C" w:rsidP="00216AB8">
      <w:pPr>
        <w:spacing w:beforeLines="60" w:before="144" w:afterLines="60" w:after="144"/>
        <w:outlineLvl w:val="0"/>
        <w:rPr>
          <w:b/>
          <w:bCs/>
          <w:color w:val="000000" w:themeColor="text1"/>
        </w:rPr>
      </w:pPr>
      <w:r>
        <w:rPr>
          <w:rFonts w:cstheme="minorBidi"/>
          <w:lang w:val="en-NZ" w:eastAsia="en-NZ"/>
          <w14:ligatures w14:val="standardContextual"/>
        </w:rPr>
        <w:t>There is also a</w:t>
      </w:r>
      <w:r w:rsidR="00AA3C02" w:rsidRPr="5AA7423A">
        <w:rPr>
          <w:rFonts w:cstheme="minorBidi"/>
          <w:lang w:val="en-NZ" w:eastAsia="en-NZ"/>
          <w14:ligatures w14:val="standardContextual"/>
        </w:rPr>
        <w:t xml:space="preserve"> risk that</w:t>
      </w:r>
      <w:r>
        <w:rPr>
          <w:rFonts w:cstheme="minorBidi"/>
          <w:lang w:val="en-NZ" w:eastAsia="en-NZ"/>
          <w14:ligatures w14:val="standardContextual"/>
        </w:rPr>
        <w:t xml:space="preserve"> maintaining the status quo will lead to</w:t>
      </w:r>
      <w:r w:rsidR="00AA3C02" w:rsidRPr="5AA7423A">
        <w:rPr>
          <w:rFonts w:cstheme="minorBidi"/>
          <w:lang w:val="en-NZ" w:eastAsia="en-NZ"/>
          <w14:ligatures w14:val="standardContextual"/>
        </w:rPr>
        <w:t xml:space="preserve"> </w:t>
      </w:r>
      <w:r w:rsidR="00AA3C02" w:rsidRPr="00BE2644">
        <w:t xml:space="preserve">highly qualified nurses </w:t>
      </w:r>
      <w:r w:rsidR="00AA3C02" w:rsidRPr="00BE2644">
        <w:rPr>
          <w:color w:val="000000" w:themeColor="text1"/>
        </w:rPr>
        <w:t xml:space="preserve">will </w:t>
      </w:r>
      <w:r>
        <w:t>leaving</w:t>
      </w:r>
      <w:r w:rsidRPr="00BE2644">
        <w:t xml:space="preserve"> </w:t>
      </w:r>
      <w:r w:rsidR="00AA3C02" w:rsidRPr="00BE2644">
        <w:t xml:space="preserve">the sector due to lack of career progression and systems </w:t>
      </w:r>
      <w:r w:rsidR="00050797">
        <w:t>where</w:t>
      </w:r>
      <w:r w:rsidR="00AA3C02" w:rsidRPr="00BE2644">
        <w:t xml:space="preserve"> RNs </w:t>
      </w:r>
      <w:r w:rsidR="00050797">
        <w:t xml:space="preserve">are unable </w:t>
      </w:r>
      <w:r w:rsidR="00AA3C02" w:rsidRPr="00BE2644">
        <w:t xml:space="preserve">to work to their full potential and scope of practice in the delivery of safe patient centred </w:t>
      </w:r>
      <w:r w:rsidR="00AA3C02" w:rsidRPr="005431A4">
        <w:t>care</w:t>
      </w:r>
      <w:r w:rsidR="00ED2CB1" w:rsidRPr="005431A4">
        <w:t xml:space="preserve"> </w:t>
      </w:r>
      <w:r w:rsidR="00B67831" w:rsidRPr="005431A4">
        <w:rPr>
          <w:rStyle w:val="normaltextrun"/>
          <w:rFonts w:cs="Arial"/>
          <w:szCs w:val="20"/>
          <w:shd w:val="clear" w:color="auto" w:fill="FFFFFF"/>
        </w:rPr>
        <w:t>as per the International Council of Nurses Report, Recover to Rebuild: Investing in the Nursing Workforce for Health System Effectivenes</w:t>
      </w:r>
      <w:r w:rsidR="00ED2CB1" w:rsidRPr="005431A4">
        <w:rPr>
          <w:rStyle w:val="normaltextrun"/>
          <w:rFonts w:cs="Arial"/>
          <w:szCs w:val="20"/>
          <w:shd w:val="clear" w:color="auto" w:fill="FFFFFF"/>
        </w:rPr>
        <w:t xml:space="preserve">s. </w:t>
      </w:r>
      <w:r w:rsidR="00ED2CB1" w:rsidRPr="005431A4">
        <w:rPr>
          <w:vertAlign w:val="superscript"/>
        </w:rPr>
        <w:t>8</w:t>
      </w:r>
    </w:p>
    <w:p w14:paraId="393BA6BE" w14:textId="77777777" w:rsidR="00AA3C02" w:rsidRDefault="00AA3C02" w:rsidP="00216AB8">
      <w:pPr>
        <w:pStyle w:val="AHPRASubheadinglevel2"/>
        <w:outlineLvl w:val="0"/>
      </w:pPr>
      <w:bookmarkStart w:id="55" w:name="_Toc164692724"/>
      <w:r>
        <w:t>Benefits of maintaining status quo</w:t>
      </w:r>
      <w:bookmarkEnd w:id="55"/>
    </w:p>
    <w:p w14:paraId="407899AB" w14:textId="302A92A6" w:rsidR="00AA3C02" w:rsidRDefault="00AA3C02" w:rsidP="00186478">
      <w:pPr>
        <w:pStyle w:val="AHPRAbody"/>
      </w:pPr>
      <w:r>
        <w:t xml:space="preserve">There were no identified benefits in the literature for maintaining the status quo however </w:t>
      </w:r>
      <w:r w:rsidR="00F43090">
        <w:t xml:space="preserve">the following benefits were identified </w:t>
      </w:r>
      <w:r w:rsidR="00200A53">
        <w:t>in</w:t>
      </w:r>
      <w:r w:rsidR="00F43090">
        <w:t xml:space="preserve"> the feedback to the C-RIS</w:t>
      </w:r>
      <w:r>
        <w:t>:</w:t>
      </w:r>
    </w:p>
    <w:p w14:paraId="6DAC1C5F" w14:textId="030D0787" w:rsidR="00AA3C02" w:rsidRPr="000B184B" w:rsidRDefault="00AA3C02" w:rsidP="00F842D7">
      <w:pPr>
        <w:pStyle w:val="ListParagraph"/>
        <w:numPr>
          <w:ilvl w:val="0"/>
          <w:numId w:val="12"/>
        </w:numPr>
        <w:spacing w:line="240" w:lineRule="auto"/>
        <w:jc w:val="both"/>
        <w:outlineLvl w:val="0"/>
        <w:rPr>
          <w:rFonts w:ascii="Arial" w:eastAsia="Arial" w:hAnsi="Arial" w:cs="Arial"/>
        </w:rPr>
      </w:pPr>
      <w:r w:rsidRPr="000B184B">
        <w:rPr>
          <w:rFonts w:ascii="Arial" w:eastAsia="Arial" w:hAnsi="Arial" w:cs="Arial"/>
        </w:rPr>
        <w:t xml:space="preserve">to focus on increasing the RN workforce and expanding the </w:t>
      </w:r>
      <w:r w:rsidR="00F43090">
        <w:rPr>
          <w:rFonts w:ascii="Arial" w:eastAsia="Arial" w:hAnsi="Arial" w:cs="Arial"/>
        </w:rPr>
        <w:t>n</w:t>
      </w:r>
      <w:r w:rsidR="00F43090" w:rsidRPr="000B184B">
        <w:rPr>
          <w:rFonts w:ascii="Arial" w:eastAsia="Arial" w:hAnsi="Arial" w:cs="Arial"/>
        </w:rPr>
        <w:t xml:space="preserve">urse </w:t>
      </w:r>
      <w:r w:rsidR="00F43090">
        <w:rPr>
          <w:rFonts w:ascii="Arial" w:eastAsia="Arial" w:hAnsi="Arial" w:cs="Arial"/>
        </w:rPr>
        <w:t>p</w:t>
      </w:r>
      <w:r w:rsidR="00F43090" w:rsidRPr="000B184B">
        <w:rPr>
          <w:rFonts w:ascii="Arial" w:eastAsia="Arial" w:hAnsi="Arial" w:cs="Arial"/>
        </w:rPr>
        <w:t xml:space="preserve">ractitioner </w:t>
      </w:r>
      <w:r w:rsidR="00F43090">
        <w:rPr>
          <w:rFonts w:ascii="Arial" w:eastAsia="Arial" w:hAnsi="Arial" w:cs="Arial"/>
        </w:rPr>
        <w:t>m</w:t>
      </w:r>
      <w:r w:rsidR="00F43090" w:rsidRPr="000B184B">
        <w:rPr>
          <w:rFonts w:ascii="Arial" w:eastAsia="Arial" w:hAnsi="Arial" w:cs="Arial"/>
        </w:rPr>
        <w:t xml:space="preserve">odels </w:t>
      </w:r>
    </w:p>
    <w:p w14:paraId="7EC94DE3" w14:textId="5F32DAC2" w:rsidR="00AA3C02" w:rsidRPr="000B184B" w:rsidRDefault="00AA3C02" w:rsidP="00F842D7">
      <w:pPr>
        <w:pStyle w:val="ListParagraph"/>
        <w:numPr>
          <w:ilvl w:val="0"/>
          <w:numId w:val="12"/>
        </w:numPr>
        <w:spacing w:line="240" w:lineRule="auto"/>
        <w:jc w:val="both"/>
        <w:outlineLvl w:val="0"/>
        <w:rPr>
          <w:rFonts w:ascii="Arial" w:eastAsia="Arial" w:hAnsi="Arial" w:cs="Arial"/>
        </w:rPr>
      </w:pPr>
      <w:r w:rsidRPr="000B184B">
        <w:rPr>
          <w:rFonts w:ascii="Arial" w:eastAsia="Arial" w:hAnsi="Arial" w:cs="Arial"/>
        </w:rPr>
        <w:t>avoid the burnout of RNs</w:t>
      </w:r>
    </w:p>
    <w:p w14:paraId="0BBDF488" w14:textId="77777777" w:rsidR="00AA3C02" w:rsidRPr="000B184B" w:rsidRDefault="00AA3C02" w:rsidP="00F842D7">
      <w:pPr>
        <w:pStyle w:val="ListParagraph"/>
        <w:numPr>
          <w:ilvl w:val="0"/>
          <w:numId w:val="12"/>
        </w:numPr>
        <w:spacing w:line="240" w:lineRule="auto"/>
        <w:jc w:val="both"/>
        <w:outlineLvl w:val="0"/>
        <w:rPr>
          <w:rFonts w:ascii="Arial" w:eastAsia="Arial" w:hAnsi="Arial" w:cs="Arial"/>
        </w:rPr>
      </w:pPr>
      <w:r w:rsidRPr="000B184B">
        <w:rPr>
          <w:rFonts w:ascii="Arial" w:eastAsia="Arial" w:hAnsi="Arial" w:cs="Arial"/>
        </w:rPr>
        <w:t>generate more income for medical practitioners</w:t>
      </w:r>
    </w:p>
    <w:p w14:paraId="115AAAA6" w14:textId="77777777" w:rsidR="00AA3C02" w:rsidRPr="000B184B" w:rsidRDefault="00AA3C02" w:rsidP="00F842D7">
      <w:pPr>
        <w:pStyle w:val="ListParagraph"/>
        <w:numPr>
          <w:ilvl w:val="0"/>
          <w:numId w:val="12"/>
        </w:numPr>
        <w:spacing w:line="240" w:lineRule="auto"/>
        <w:jc w:val="both"/>
        <w:outlineLvl w:val="0"/>
        <w:rPr>
          <w:rFonts w:ascii="Arial" w:eastAsia="Arial" w:hAnsi="Arial" w:cs="Arial"/>
        </w:rPr>
      </w:pPr>
      <w:r w:rsidRPr="000B184B">
        <w:rPr>
          <w:rFonts w:ascii="Arial" w:eastAsia="Arial" w:hAnsi="Arial" w:cs="Arial"/>
        </w:rPr>
        <w:t>maintain high quality safe prescribing</w:t>
      </w:r>
    </w:p>
    <w:p w14:paraId="5E516058" w14:textId="31FEFA55" w:rsidR="00AA3C02" w:rsidRDefault="00AA3C02" w:rsidP="00216AB8">
      <w:pPr>
        <w:pStyle w:val="AHPRASubheading"/>
        <w:outlineLvl w:val="0"/>
      </w:pPr>
      <w:bookmarkStart w:id="56" w:name="_Toc164692725"/>
      <w:r>
        <w:t>4.2 Option 2 – RNs expand their scope of practice to prescribe Schedule 2, 3, 4 and 8 medicines under designation/supervision, in accordance with governance frameworks and prescribing agreements.</w:t>
      </w:r>
      <w:bookmarkEnd w:id="56"/>
      <w:r>
        <w:t xml:space="preserve"> </w:t>
      </w:r>
    </w:p>
    <w:p w14:paraId="44480377" w14:textId="204F4F4A" w:rsidR="007F0166" w:rsidRDefault="007F0166" w:rsidP="00216AB8">
      <w:pPr>
        <w:pStyle w:val="AHPRASubheading"/>
        <w:outlineLvl w:val="0"/>
      </w:pPr>
      <w:bookmarkStart w:id="57" w:name="_Toc164692726"/>
      <w:r>
        <w:t>Benefits of expanding the scope of practice of RNs to prescribe Schedule 2</w:t>
      </w:r>
      <w:r w:rsidR="2B1696FF">
        <w:t>,</w:t>
      </w:r>
      <w:r>
        <w:t>3</w:t>
      </w:r>
      <w:r w:rsidR="31C5DA2B">
        <w:t>,</w:t>
      </w:r>
      <w:r>
        <w:t>4 and 8 medicines under supervision/designation</w:t>
      </w:r>
      <w:bookmarkEnd w:id="57"/>
    </w:p>
    <w:p w14:paraId="1760D61C" w14:textId="40FC97A9" w:rsidR="00AA3C02" w:rsidRDefault="00AA3C02" w:rsidP="00216AB8">
      <w:pPr>
        <w:pStyle w:val="AHPRAbody"/>
        <w:outlineLvl w:val="0"/>
      </w:pPr>
      <w:r>
        <w:t xml:space="preserve">This option </w:t>
      </w:r>
      <w:r w:rsidR="00FD42CD">
        <w:t>enables</w:t>
      </w:r>
      <w:r>
        <w:t xml:space="preserve"> </w:t>
      </w:r>
      <w:r w:rsidR="000B5DEF">
        <w:t>interprofessional</w:t>
      </w:r>
      <w:r>
        <w:t xml:space="preserve"> teams and innovative models of care to address the identified current issues in healthcare</w:t>
      </w:r>
      <w:r w:rsidR="00183D4C">
        <w:t xml:space="preserve">. </w:t>
      </w:r>
      <w:r w:rsidR="00A82DD8">
        <w:t>These include</w:t>
      </w:r>
      <w:r>
        <w:t xml:space="preserve"> healthcare </w:t>
      </w:r>
      <w:r w:rsidR="005E1C68">
        <w:t xml:space="preserve">backlogs as a result of the </w:t>
      </w:r>
      <w:r>
        <w:t xml:space="preserve">COVID-19 </w:t>
      </w:r>
      <w:r w:rsidR="005E1C68">
        <w:t xml:space="preserve">pandemic, </w:t>
      </w:r>
      <w:r>
        <w:t>illnesses arising from non-attendance</w:t>
      </w:r>
      <w:r w:rsidR="007A2A9A">
        <w:t xml:space="preserve"> </w:t>
      </w:r>
      <w:r>
        <w:t xml:space="preserve">or inability to access care during </w:t>
      </w:r>
      <w:r w:rsidR="005E1C68">
        <w:t xml:space="preserve">the </w:t>
      </w:r>
      <w:r>
        <w:t>COVID-19</w:t>
      </w:r>
      <w:r w:rsidR="005E1C68">
        <w:t xml:space="preserve"> pandemic</w:t>
      </w:r>
      <w:r>
        <w:t>, anticipated healthcare issues related to COVID-19 waves, surge requirements in healthcare, the increase of chronic comorbidities</w:t>
      </w:r>
      <w:r w:rsidR="00C77A05">
        <w:t xml:space="preserve"> and </w:t>
      </w:r>
      <w:r>
        <w:t>an ageing population</w:t>
      </w:r>
      <w:r w:rsidR="005E1C68">
        <w:t>.</w:t>
      </w:r>
      <w:r>
        <w:t xml:space="preserve"> </w:t>
      </w:r>
      <w:r w:rsidR="00406987">
        <w:t xml:space="preserve">This option </w:t>
      </w:r>
      <w:r>
        <w:t xml:space="preserve">can address inequities in rural health through improved access to patient care. Additionally, RNs who expand their practice to prescribe under a supervision model are provided with career opportunities which may positively </w:t>
      </w:r>
      <w:r w:rsidR="00D87F46">
        <w:t>affect</w:t>
      </w:r>
      <w:r>
        <w:t xml:space="preserve"> retention and allow for flexibility and deployment to areas of high need.</w:t>
      </w:r>
      <w:r w:rsidR="000C12FC" w:rsidDel="000C12FC">
        <w:rPr>
          <w:vertAlign w:val="superscript"/>
        </w:rPr>
        <w:t xml:space="preserve"> </w:t>
      </w:r>
      <w:r w:rsidR="005C67B6">
        <w:rPr>
          <w:vertAlign w:val="superscript"/>
        </w:rPr>
        <w:t>8</w:t>
      </w:r>
    </w:p>
    <w:p w14:paraId="79029F4C" w14:textId="25A14EAE" w:rsidR="00AA3C02" w:rsidRDefault="00AA3C02" w:rsidP="00216AB8">
      <w:pPr>
        <w:pStyle w:val="AHPRAbody"/>
        <w:outlineLvl w:val="0"/>
      </w:pPr>
      <w:r>
        <w:t>Evidence from international studies shows that RNs who are educated and authorised to prescribe, do so safely and effectively within their scope of practice.</w:t>
      </w:r>
      <w:r w:rsidR="00E35864" w:rsidDel="00E35864">
        <w:rPr>
          <w:vertAlign w:val="superscript"/>
        </w:rPr>
        <w:t xml:space="preserve"> </w:t>
      </w:r>
      <w:r w:rsidR="00E35864">
        <w:rPr>
          <w:vertAlign w:val="superscript"/>
        </w:rPr>
        <w:t>2</w:t>
      </w:r>
      <w:r w:rsidR="00443E56">
        <w:rPr>
          <w:vertAlign w:val="superscript"/>
        </w:rPr>
        <w:t>9,30,31,32,36,</w:t>
      </w:r>
      <w:r w:rsidR="00E35864">
        <w:rPr>
          <w:vertAlign w:val="superscript"/>
        </w:rPr>
        <w:t>59,71</w:t>
      </w:r>
      <w:r w:rsidR="002D1AC9">
        <w:rPr>
          <w:vertAlign w:val="superscript"/>
        </w:rPr>
        <w:t xml:space="preserve"> </w:t>
      </w:r>
      <w:r w:rsidR="00E35864">
        <w:rPr>
          <w:vertAlign w:val="superscript"/>
        </w:rPr>
        <w:t xml:space="preserve"> </w:t>
      </w:r>
      <w:r>
        <w:t xml:space="preserve">Based on this evidence, RNs play a considerable role in the assessment, diagnosis, management, and evaluation of care provided for </w:t>
      </w:r>
      <w:r>
        <w:lastRenderedPageBreak/>
        <w:t xml:space="preserve">consumers. The ability for appropriately educated and authorised RNs to prescribe a range of medicines has the potential to enhance timely access to health services for consumers. </w:t>
      </w:r>
    </w:p>
    <w:p w14:paraId="74A63079" w14:textId="15470352" w:rsidR="00AA3C02" w:rsidRDefault="00AA3C02" w:rsidP="00216AB8">
      <w:pPr>
        <w:pStyle w:val="AHPRAbody"/>
        <w:outlineLvl w:val="0"/>
      </w:pPr>
      <w:r w:rsidRPr="5AA7423A">
        <w:rPr>
          <w:rFonts w:cstheme="minorBidi"/>
        </w:rPr>
        <w:t xml:space="preserve">RNs who are </w:t>
      </w:r>
      <w:r w:rsidR="00C71CAC" w:rsidRPr="5AA7423A">
        <w:rPr>
          <w:rFonts w:cstheme="minorBidi"/>
        </w:rPr>
        <w:t xml:space="preserve">credentialled diabetes educators </w:t>
      </w:r>
      <w:r w:rsidRPr="5AA7423A">
        <w:rPr>
          <w:rFonts w:cstheme="minorBidi"/>
        </w:rPr>
        <w:t xml:space="preserve">(CDE) </w:t>
      </w:r>
      <w:r w:rsidR="00753BC3" w:rsidRPr="5AA7423A">
        <w:rPr>
          <w:rFonts w:cstheme="minorBidi"/>
        </w:rPr>
        <w:t xml:space="preserve">provide expertise in diabetes treatment and management guidance. </w:t>
      </w:r>
      <w:r w:rsidR="005C70A3" w:rsidRPr="5AA7423A">
        <w:rPr>
          <w:rFonts w:cstheme="minorBidi"/>
        </w:rPr>
        <w:t>RN CDEs</w:t>
      </w:r>
      <w:r w:rsidR="00753BC3" w:rsidRPr="5AA7423A">
        <w:rPr>
          <w:rFonts w:cstheme="minorBidi"/>
        </w:rPr>
        <w:t xml:space="preserve"> </w:t>
      </w:r>
      <w:r w:rsidR="00CA2AA1" w:rsidRPr="5AA7423A">
        <w:rPr>
          <w:rFonts w:cstheme="minorBidi"/>
        </w:rPr>
        <w:t xml:space="preserve">are </w:t>
      </w:r>
      <w:r w:rsidRPr="5AA7423A">
        <w:rPr>
          <w:rFonts w:cstheme="minorBidi"/>
        </w:rPr>
        <w:t xml:space="preserve">currently </w:t>
      </w:r>
      <w:r w:rsidR="00CA2AA1" w:rsidRPr="5AA7423A">
        <w:rPr>
          <w:rFonts w:cstheme="minorBidi"/>
        </w:rPr>
        <w:t xml:space="preserve">required to </w:t>
      </w:r>
      <w:r w:rsidRPr="5AA7423A">
        <w:rPr>
          <w:rFonts w:cstheme="minorBidi"/>
        </w:rPr>
        <w:t>complete an accredited Australian Diabetes Education Australia (ADEA) Graduate</w:t>
      </w:r>
      <w:r w:rsidRPr="5AA7423A">
        <w:rPr>
          <w:rFonts w:cstheme="minorBidi"/>
          <w:color w:val="202124"/>
          <w:shd w:val="clear" w:color="auto" w:fill="FFFFFF"/>
        </w:rPr>
        <w:t xml:space="preserve"> Certificate in diabetes education and management</w:t>
      </w:r>
      <w:r w:rsidR="00527C43" w:rsidRPr="5AA7423A">
        <w:rPr>
          <w:rFonts w:cstheme="minorBidi"/>
        </w:rPr>
        <w:t xml:space="preserve"> which entails </w:t>
      </w:r>
      <w:r w:rsidRPr="5AA7423A">
        <w:rPr>
          <w:rFonts w:cstheme="minorBidi"/>
        </w:rPr>
        <w:t>1,000 hours of practice in diabetes education</w:t>
      </w:r>
      <w:r w:rsidR="00CA2AA1" w:rsidRPr="5AA7423A">
        <w:rPr>
          <w:rFonts w:cstheme="minorBidi"/>
        </w:rPr>
        <w:t>,</w:t>
      </w:r>
      <w:r w:rsidRPr="5AA7423A">
        <w:rPr>
          <w:rFonts w:cstheme="minorBidi"/>
        </w:rPr>
        <w:t xml:space="preserve"> and a minim</w:t>
      </w:r>
      <w:r w:rsidR="00CA2AA1" w:rsidRPr="5AA7423A">
        <w:rPr>
          <w:rFonts w:cstheme="minorBidi"/>
        </w:rPr>
        <w:t>um</w:t>
      </w:r>
      <w:r w:rsidRPr="5AA7423A">
        <w:rPr>
          <w:rFonts w:cstheme="minorBidi"/>
        </w:rPr>
        <w:t xml:space="preserve"> </w:t>
      </w:r>
      <w:r w:rsidR="00CA2AA1" w:rsidRPr="5AA7423A">
        <w:rPr>
          <w:rFonts w:cstheme="minorBidi"/>
        </w:rPr>
        <w:t>six-</w:t>
      </w:r>
      <w:r w:rsidRPr="5AA7423A">
        <w:rPr>
          <w:rFonts w:cstheme="minorBidi"/>
        </w:rPr>
        <w:t xml:space="preserve">month mentoring program by an experienced </w:t>
      </w:r>
      <w:r w:rsidR="00527C43" w:rsidRPr="5AA7423A">
        <w:rPr>
          <w:rFonts w:cstheme="minorBidi"/>
        </w:rPr>
        <w:t xml:space="preserve">RN </w:t>
      </w:r>
      <w:r w:rsidRPr="5AA7423A">
        <w:rPr>
          <w:rFonts w:cstheme="minorBidi"/>
        </w:rPr>
        <w:t xml:space="preserve">CDE. </w:t>
      </w:r>
      <w:r w:rsidR="009559A3" w:rsidRPr="5AA7423A">
        <w:rPr>
          <w:rFonts w:cstheme="minorBidi"/>
        </w:rPr>
        <w:t>I</w:t>
      </w:r>
      <w:r w:rsidRPr="5AA7423A">
        <w:rPr>
          <w:rFonts w:cstheme="minorBidi"/>
        </w:rPr>
        <w:t>n regional and remote areas</w:t>
      </w:r>
      <w:r w:rsidR="009559A3" w:rsidRPr="5AA7423A">
        <w:rPr>
          <w:rFonts w:cstheme="minorBidi"/>
        </w:rPr>
        <w:t xml:space="preserve"> across Australia,</w:t>
      </w:r>
      <w:r w:rsidRPr="5AA7423A">
        <w:rPr>
          <w:rFonts w:cstheme="minorBidi"/>
        </w:rPr>
        <w:t xml:space="preserve"> RN CDEs are</w:t>
      </w:r>
      <w:r w:rsidR="009559A3" w:rsidRPr="5AA7423A">
        <w:rPr>
          <w:rFonts w:cstheme="minorBidi"/>
        </w:rPr>
        <w:t xml:space="preserve"> often</w:t>
      </w:r>
      <w:r w:rsidRPr="5AA7423A">
        <w:rPr>
          <w:rFonts w:cstheme="minorBidi"/>
        </w:rPr>
        <w:t xml:space="preserve"> </w:t>
      </w:r>
      <w:r w:rsidR="009559A3" w:rsidRPr="5AA7423A">
        <w:rPr>
          <w:rFonts w:cstheme="minorBidi"/>
        </w:rPr>
        <w:t>consulted</w:t>
      </w:r>
      <w:r w:rsidRPr="5AA7423A">
        <w:rPr>
          <w:rFonts w:cstheme="minorBidi"/>
        </w:rPr>
        <w:t xml:space="preserve"> </w:t>
      </w:r>
      <w:r w:rsidR="00527C43" w:rsidRPr="5AA7423A">
        <w:rPr>
          <w:rFonts w:cstheme="minorBidi"/>
        </w:rPr>
        <w:t>by medical practitioners</w:t>
      </w:r>
      <w:r w:rsidR="000E3B3B">
        <w:rPr>
          <w:rFonts w:cstheme="minorBidi"/>
        </w:rPr>
        <w:t>.</w:t>
      </w:r>
      <w:r w:rsidR="00527C43" w:rsidRPr="5AA7423A">
        <w:rPr>
          <w:rFonts w:cstheme="minorBidi"/>
        </w:rPr>
        <w:t xml:space="preserve"> </w:t>
      </w:r>
      <w:r w:rsidR="000E3B3B">
        <w:rPr>
          <w:rFonts w:cstheme="minorBidi"/>
        </w:rPr>
        <w:t>Medical practitioners</w:t>
      </w:r>
      <w:r w:rsidR="00442F7F" w:rsidRPr="5AA7423A">
        <w:rPr>
          <w:rFonts w:cstheme="minorBidi"/>
        </w:rPr>
        <w:t xml:space="preserve"> </w:t>
      </w:r>
      <w:r w:rsidR="000E3B3B">
        <w:rPr>
          <w:rFonts w:cstheme="minorBidi"/>
        </w:rPr>
        <w:t>seek advice on</w:t>
      </w:r>
      <w:r w:rsidR="00442F7F" w:rsidRPr="5AA7423A">
        <w:rPr>
          <w:rFonts w:cstheme="minorBidi"/>
        </w:rPr>
        <w:t xml:space="preserve"> their patients’ social and medical history and best practice clinical framework in diabetes</w:t>
      </w:r>
      <w:r w:rsidR="000E3B3B">
        <w:rPr>
          <w:rFonts w:cstheme="minorBidi"/>
        </w:rPr>
        <w:t xml:space="preserve"> </w:t>
      </w:r>
      <w:r w:rsidR="00515AA2" w:rsidRPr="5AA7423A">
        <w:rPr>
          <w:rFonts w:cstheme="minorBidi"/>
        </w:rPr>
        <w:t>regarding</w:t>
      </w:r>
      <w:r w:rsidRPr="5AA7423A">
        <w:rPr>
          <w:rFonts w:cstheme="minorBidi"/>
        </w:rPr>
        <w:t xml:space="preserve"> overall management of diabetes treatment including medic</w:t>
      </w:r>
      <w:r w:rsidR="3F712E5A" w:rsidRPr="5AA7423A">
        <w:rPr>
          <w:rFonts w:cstheme="minorBidi"/>
        </w:rPr>
        <w:t>ines</w:t>
      </w:r>
      <w:r w:rsidRPr="5AA7423A">
        <w:rPr>
          <w:rFonts w:cstheme="minorBidi"/>
        </w:rPr>
        <w:t xml:space="preserve"> management, review and titration</w:t>
      </w:r>
      <w:r w:rsidR="007520E0" w:rsidRPr="5AA7423A">
        <w:rPr>
          <w:rFonts w:cstheme="minorBidi"/>
        </w:rPr>
        <w:t xml:space="preserve"> as</w:t>
      </w:r>
      <w:r w:rsidRPr="5AA7423A">
        <w:rPr>
          <w:rFonts w:cstheme="minorBidi"/>
        </w:rPr>
        <w:t xml:space="preserve"> RN CDEs work through all aspects of the medication management cycle. </w:t>
      </w:r>
      <w:r w:rsidR="00432BC4" w:rsidRPr="5AA7423A">
        <w:rPr>
          <w:rFonts w:cstheme="minorBidi"/>
        </w:rPr>
        <w:t xml:space="preserve">In circumstances where </w:t>
      </w:r>
      <w:r w:rsidR="004E5493" w:rsidRPr="5AA7423A">
        <w:rPr>
          <w:rFonts w:cstheme="minorBidi"/>
        </w:rPr>
        <w:t xml:space="preserve">GPs are reliant on </w:t>
      </w:r>
      <w:r w:rsidR="003E53F4" w:rsidRPr="5AA7423A">
        <w:rPr>
          <w:rFonts w:cstheme="minorBidi"/>
        </w:rPr>
        <w:t>the input of RN CDEs</w:t>
      </w:r>
      <w:r w:rsidR="00432BC4" w:rsidRPr="5AA7423A">
        <w:rPr>
          <w:rFonts w:cstheme="minorBidi"/>
        </w:rPr>
        <w:t>,</w:t>
      </w:r>
      <w:r w:rsidR="003E53F4" w:rsidRPr="5AA7423A">
        <w:rPr>
          <w:rFonts w:cstheme="minorBidi"/>
        </w:rPr>
        <w:t xml:space="preserve"> </w:t>
      </w:r>
      <w:r w:rsidR="00A547B8" w:rsidRPr="5AA7423A">
        <w:rPr>
          <w:rFonts w:cstheme="minorBidi"/>
        </w:rPr>
        <w:t>there may be</w:t>
      </w:r>
      <w:r w:rsidR="006F3B7D" w:rsidRPr="5AA7423A">
        <w:rPr>
          <w:rFonts w:cstheme="minorBidi"/>
        </w:rPr>
        <w:t xml:space="preserve"> </w:t>
      </w:r>
      <w:r w:rsidRPr="5AA7423A">
        <w:rPr>
          <w:rFonts w:cstheme="minorBidi"/>
        </w:rPr>
        <w:t>fragmented care wi</w:t>
      </w:r>
      <w:r>
        <w:t xml:space="preserve">thout continuity </w:t>
      </w:r>
      <w:r w:rsidR="00A547B8">
        <w:t xml:space="preserve">which </w:t>
      </w:r>
      <w:r w:rsidR="003E53F4">
        <w:t xml:space="preserve">can </w:t>
      </w:r>
      <w:r>
        <w:t>introduce risk for the patient in their treatment plan.</w:t>
      </w:r>
    </w:p>
    <w:p w14:paraId="0C33F1F8" w14:textId="4A2005E6" w:rsidR="0095729E" w:rsidRDefault="00AA3C02" w:rsidP="00216AB8">
      <w:pPr>
        <w:pStyle w:val="AHPRAbody"/>
        <w:outlineLvl w:val="0"/>
      </w:pPr>
      <w:r>
        <w:t xml:space="preserve">Nurse prescribers have been considered safe and there appears to be little difference between RN and </w:t>
      </w:r>
      <w:r w:rsidR="006F70E7">
        <w:t xml:space="preserve">medical practitioners </w:t>
      </w:r>
      <w:r>
        <w:t>with regards to the type and dose of medications prescribed</w:t>
      </w:r>
      <w:r w:rsidR="00B83551">
        <w:t>.</w:t>
      </w:r>
      <w:r>
        <w:rPr>
          <w:rFonts w:cs="Times New Roman"/>
          <w:vertAlign w:val="superscript"/>
        </w:rPr>
        <w:t xml:space="preserve"> </w:t>
      </w:r>
      <w:r>
        <w:t xml:space="preserve">Further to this a systematic review of RN prescribing concluded that the effects of RN </w:t>
      </w:r>
      <w:r w:rsidR="3AD5BC7B">
        <w:t>prescribing,</w:t>
      </w:r>
      <w:r>
        <w:t xml:space="preserve"> and patient outcomes were similar or better when compared to </w:t>
      </w:r>
      <w:r w:rsidR="006F70E7">
        <w:t xml:space="preserve">medical practitioners </w:t>
      </w:r>
      <w:r>
        <w:t xml:space="preserve">and facilitated better patient care. </w:t>
      </w:r>
      <w:r w:rsidR="005E0416">
        <w:rPr>
          <w:rFonts w:cs="Times New Roman"/>
          <w:vertAlign w:val="superscript"/>
        </w:rPr>
        <w:t>72,87,88</w:t>
      </w:r>
      <w:r w:rsidR="00333E82" w:rsidRPr="0054736D">
        <w:t xml:space="preserve"> </w:t>
      </w:r>
      <w:r>
        <w:t>RN prescribing has been referred to as ‘one of the most exciting initiatives in the recent history of nursing’</w:t>
      </w:r>
      <w:r w:rsidR="0095729E">
        <w:t>.</w:t>
      </w:r>
      <w:r w:rsidRPr="00844CF3">
        <w:rPr>
          <w:rFonts w:cs="Times New Roman"/>
          <w:vertAlign w:val="superscript"/>
        </w:rPr>
        <w:t xml:space="preserve"> </w:t>
      </w:r>
      <w:r w:rsidR="00A41958">
        <w:rPr>
          <w:rFonts w:cs="Times New Roman"/>
          <w:vertAlign w:val="superscript"/>
        </w:rPr>
        <w:t>88</w:t>
      </w:r>
    </w:p>
    <w:p w14:paraId="0301622E" w14:textId="4F936332" w:rsidR="00420A78" w:rsidRPr="00844CF3" w:rsidRDefault="0095729E" w:rsidP="00216AB8">
      <w:pPr>
        <w:pStyle w:val="AHPRAbody"/>
        <w:outlineLvl w:val="0"/>
      </w:pPr>
      <w:r>
        <w:t xml:space="preserve">Despite </w:t>
      </w:r>
      <w:r w:rsidR="00AA3C02">
        <w:t xml:space="preserve">the successful introduction of the </w:t>
      </w:r>
      <w:r w:rsidR="00AA3C02" w:rsidRPr="5AA7423A">
        <w:rPr>
          <w:i/>
          <w:iCs/>
        </w:rPr>
        <w:t>Registration standard: Endorsement for scheduled medicines for midwives</w:t>
      </w:r>
      <w:r w:rsidR="00AA3C02">
        <w:t xml:space="preserve"> in 2016 which allows for suitably qualified midwives to be endorsed to prescribe schedule 2, 3, 4 and 8 medicines, RN prescribing has not been integrated into Australian </w:t>
      </w:r>
      <w:r w:rsidR="00766A7C">
        <w:t>healthcare</w:t>
      </w:r>
      <w:r w:rsidR="00AA3C02">
        <w:t xml:space="preserve">. </w:t>
      </w:r>
      <w:r>
        <w:t xml:space="preserve">This leaves Australia </w:t>
      </w:r>
      <w:r w:rsidRPr="00844CF3">
        <w:t xml:space="preserve">lagging behind in innovative models of healthcare that increase access and equity </w:t>
      </w:r>
      <w:r w:rsidR="00965268" w:rsidRPr="00844CF3">
        <w:t>for all Australians</w:t>
      </w:r>
      <w:r w:rsidR="17D93BAC" w:rsidRPr="00844CF3">
        <w:t xml:space="preserve"> </w:t>
      </w:r>
      <w:r w:rsidR="00AA3C02" w:rsidRPr="00844CF3">
        <w:t>and allows those RNs who chose to do so</w:t>
      </w:r>
      <w:r w:rsidR="003F22E8">
        <w:t>,</w:t>
      </w:r>
      <w:r w:rsidR="00AA3C02" w:rsidRPr="00844CF3">
        <w:t xml:space="preserve"> and with </w:t>
      </w:r>
      <w:r w:rsidR="00844CF3">
        <w:t xml:space="preserve">an </w:t>
      </w:r>
      <w:r w:rsidR="0374A8EB" w:rsidRPr="00844CF3">
        <w:t>endorsement</w:t>
      </w:r>
      <w:r w:rsidR="003F22E8">
        <w:t>,</w:t>
      </w:r>
      <w:r w:rsidR="0374A8EB" w:rsidRPr="00844CF3">
        <w:t xml:space="preserve"> to</w:t>
      </w:r>
      <w:r w:rsidR="00AA3C02" w:rsidRPr="00844CF3">
        <w:t xml:space="preserve"> work to the top of their scope. The designated RN prescriber works within a clinical governance framework compliant with Quality Use of Medicines (QUM) to a prescribing agreement established by the organisation or employer, not detracting from those already authorised to prescribe</w:t>
      </w:r>
      <w:r w:rsidR="682144FA" w:rsidRPr="00844CF3">
        <w:t xml:space="preserve"> autonomously</w:t>
      </w:r>
      <w:r w:rsidR="00AF1068">
        <w:t>.</w:t>
      </w:r>
    </w:p>
    <w:p w14:paraId="3E0C7E7D" w14:textId="77777777" w:rsidR="00AA3C02" w:rsidRPr="00D65429" w:rsidRDefault="00AA3C02" w:rsidP="00216AB8">
      <w:pPr>
        <w:pStyle w:val="AHPRASubheadinglevel3"/>
        <w:outlineLvl w:val="0"/>
      </w:pPr>
      <w:bookmarkStart w:id="58" w:name="_Toc57502"/>
      <w:r w:rsidRPr="00D65429">
        <w:t xml:space="preserve">Impact on health consumers  </w:t>
      </w:r>
      <w:bookmarkEnd w:id="58"/>
    </w:p>
    <w:p w14:paraId="005D65BE" w14:textId="6C1AEABA" w:rsidR="00AA3C02" w:rsidRDefault="00AA3C02" w:rsidP="008E157A">
      <w:pPr>
        <w:ind w:left="-5" w:right="50"/>
        <w:outlineLvl w:val="0"/>
      </w:pPr>
      <w:r>
        <w:t>The predicted impact for health consumers is that they may have improved access to timely and effective healthcare</w:t>
      </w:r>
      <w:r w:rsidR="003A376D">
        <w:t xml:space="preserve">. </w:t>
      </w:r>
      <w:r w:rsidR="00D31E00">
        <w:t>In particularly</w:t>
      </w:r>
      <w:r>
        <w:t xml:space="preserve"> for those in rural and remote areas, aged care and vulnerable cohorts such as such as Aboriginal and Torres Strait Islander Peoples</w:t>
      </w:r>
      <w:r w:rsidR="003A376D">
        <w:t>.</w:t>
      </w:r>
      <w:r>
        <w:t xml:space="preserve"> </w:t>
      </w:r>
      <w:r w:rsidR="007B55BA">
        <w:t>T</w:t>
      </w:r>
      <w:r>
        <w:t xml:space="preserve">he </w:t>
      </w:r>
      <w:r w:rsidR="005C3F5C">
        <w:t>model of designated RN prescribing</w:t>
      </w:r>
      <w:r w:rsidR="00EA34A8">
        <w:t xml:space="preserve"> with a </w:t>
      </w:r>
      <w:r>
        <w:t xml:space="preserve">prescribing agreement between the designated RN prescriber and the authorised health practitioner has the potential to improve the coordination of care for health consumers.   </w:t>
      </w:r>
    </w:p>
    <w:p w14:paraId="1A14E5D2" w14:textId="0F408778" w:rsidR="00AA3C02" w:rsidRDefault="00AA3C02" w:rsidP="00137214">
      <w:pPr>
        <w:pStyle w:val="AHPRABody1"/>
      </w:pPr>
      <w:r w:rsidRPr="2198A52D">
        <w:t xml:space="preserve">There may however be a financial cost to consumers for medicines prescribed by </w:t>
      </w:r>
      <w:r w:rsidR="0078490F" w:rsidRPr="2198A52D">
        <w:t xml:space="preserve">a designated </w:t>
      </w:r>
      <w:r w:rsidRPr="2198A52D">
        <w:t xml:space="preserve">RN </w:t>
      </w:r>
      <w:r w:rsidR="0078490F" w:rsidRPr="2198A52D">
        <w:t xml:space="preserve">prescriber </w:t>
      </w:r>
      <w:r w:rsidRPr="2198A52D">
        <w:t>if the medicines are not subsidised by the PBS</w:t>
      </w:r>
      <w:r w:rsidR="005702E1" w:rsidRPr="2198A52D">
        <w:t>.</w:t>
      </w:r>
      <w:r w:rsidRPr="2198A52D">
        <w:t xml:space="preserve"> There is also the potential risk of fragmentation of healthcare if the</w:t>
      </w:r>
      <w:r w:rsidR="005702E1" w:rsidRPr="2198A52D">
        <w:t xml:space="preserve"> designated</w:t>
      </w:r>
      <w:r w:rsidRPr="2198A52D">
        <w:t xml:space="preserve"> RN prescriber and the authorised health practitioner do not take a coordinated approach to the provision of care. This </w:t>
      </w:r>
      <w:r w:rsidR="00C6586F" w:rsidRPr="2198A52D">
        <w:t xml:space="preserve">risk </w:t>
      </w:r>
      <w:r w:rsidR="00744252" w:rsidRPr="2198A52D">
        <w:t xml:space="preserve">will </w:t>
      </w:r>
      <w:r w:rsidR="001C1CA9" w:rsidRPr="2198A52D">
        <w:t xml:space="preserve">be </w:t>
      </w:r>
      <w:r w:rsidRPr="2198A52D">
        <w:t>mitigated through the development of the prescribing agreement that is required as a part of the proposed model of prescribing</w:t>
      </w:r>
      <w:r w:rsidR="005D4816" w:rsidRPr="2198A52D">
        <w:t>,</w:t>
      </w:r>
      <w:r w:rsidR="00744252" w:rsidRPr="2198A52D">
        <w:t xml:space="preserve"> </w:t>
      </w:r>
      <w:r w:rsidR="00A900B6" w:rsidRPr="2198A52D">
        <w:t>underpinned</w:t>
      </w:r>
      <w:r w:rsidR="00EA0F6D" w:rsidRPr="2198A52D">
        <w:t xml:space="preserve"> by a </w:t>
      </w:r>
      <w:r w:rsidR="00A900B6" w:rsidRPr="2198A52D">
        <w:t xml:space="preserve">patient centred </w:t>
      </w:r>
      <w:r w:rsidR="00EA0F6D" w:rsidRPr="2198A52D">
        <w:t>collaborative approach</w:t>
      </w:r>
      <w:r w:rsidR="004924F6" w:rsidRPr="2198A52D">
        <w:t xml:space="preserve"> to clinical care</w:t>
      </w:r>
      <w:r w:rsidR="00E56332" w:rsidRPr="2198A52D">
        <w:t>.</w:t>
      </w:r>
      <w:r w:rsidR="000025D4" w:rsidRPr="2198A52D">
        <w:t xml:space="preserve"> </w:t>
      </w:r>
      <w:r w:rsidR="00C42757" w:rsidRPr="2198A52D">
        <w:t xml:space="preserve">This </w:t>
      </w:r>
      <w:r w:rsidR="00C6586F" w:rsidRPr="2198A52D">
        <w:t xml:space="preserve">risk </w:t>
      </w:r>
      <w:r w:rsidR="00C42757" w:rsidRPr="2198A52D">
        <w:t xml:space="preserve">mitigation </w:t>
      </w:r>
      <w:r w:rsidR="00936D71" w:rsidRPr="2198A52D">
        <w:t xml:space="preserve">strategy </w:t>
      </w:r>
      <w:r w:rsidR="00C42757" w:rsidRPr="2198A52D">
        <w:t xml:space="preserve">will be supported </w:t>
      </w:r>
      <w:r w:rsidR="00F12460" w:rsidRPr="2198A52D">
        <w:t xml:space="preserve">through the integration of clinical governance of the health care </w:t>
      </w:r>
      <w:r w:rsidR="005F1A8A" w:rsidRPr="2198A52D">
        <w:t xml:space="preserve">organisation and the required </w:t>
      </w:r>
      <w:r w:rsidR="00F47BBA" w:rsidRPr="2198A52D">
        <w:t xml:space="preserve">Australian Commission on </w:t>
      </w:r>
      <w:r w:rsidR="00A42795" w:rsidRPr="2198A52D">
        <w:t xml:space="preserve">Safety and </w:t>
      </w:r>
      <w:r w:rsidR="00F47BBA" w:rsidRPr="2198A52D">
        <w:t>Quality</w:t>
      </w:r>
      <w:r w:rsidR="00E96BF2" w:rsidRPr="2198A52D">
        <w:t xml:space="preserve"> in Health Care</w:t>
      </w:r>
      <w:r w:rsidR="00A42795" w:rsidRPr="2198A52D">
        <w:t xml:space="preserve">, National Safety and Quality Health </w:t>
      </w:r>
      <w:r w:rsidR="00E96BF2" w:rsidRPr="2198A52D">
        <w:t>Service</w:t>
      </w:r>
      <w:r w:rsidR="00A42795" w:rsidRPr="2198A52D">
        <w:t xml:space="preserve"> Standard</w:t>
      </w:r>
      <w:r w:rsidR="00AC3867" w:rsidRPr="2198A52D">
        <w:t xml:space="preserve"> communicating for </w:t>
      </w:r>
      <w:r w:rsidR="008E75EE" w:rsidRPr="2198A52D">
        <w:t>safety relevant</w:t>
      </w:r>
      <w:r w:rsidR="00EC44ED" w:rsidRPr="2198A52D">
        <w:t xml:space="preserve"> to the </w:t>
      </w:r>
      <w:r w:rsidR="00EB7134" w:rsidRPr="2198A52D">
        <w:t>healthcare</w:t>
      </w:r>
      <w:r w:rsidR="00EC44ED" w:rsidRPr="2198A52D">
        <w:t xml:space="preserve"> organisation. </w:t>
      </w:r>
      <w:r w:rsidR="008E75EE" w:rsidRPr="2198A52D">
        <w:t xml:space="preserve">This standard across any context of care describes the systems and processes to support effective </w:t>
      </w:r>
      <w:r w:rsidR="00CF0226" w:rsidRPr="2198A52D">
        <w:t xml:space="preserve">and coordinated </w:t>
      </w:r>
      <w:r w:rsidR="008E75EE" w:rsidRPr="2198A52D">
        <w:t xml:space="preserve">communication </w:t>
      </w:r>
      <w:r w:rsidR="00CF0226" w:rsidRPr="2198A52D">
        <w:t xml:space="preserve">which continually support </w:t>
      </w:r>
      <w:r w:rsidR="004A1112" w:rsidRPr="2198A52D">
        <w:t xml:space="preserve">the delivery of safe patient care. </w:t>
      </w:r>
      <w:r w:rsidR="00E25FE2" w:rsidRPr="2198A52D">
        <w:rPr>
          <w:rFonts w:cs="Times New Roman"/>
          <w:vertAlign w:val="superscript"/>
        </w:rPr>
        <w:t>19</w:t>
      </w:r>
    </w:p>
    <w:p w14:paraId="2EC15AD2" w14:textId="7EE89C48" w:rsidR="00AA3C02" w:rsidRDefault="00AA3C02" w:rsidP="00216AB8">
      <w:pPr>
        <w:pStyle w:val="AHPRASubheadinglevel3"/>
        <w:outlineLvl w:val="0"/>
      </w:pPr>
      <w:bookmarkStart w:id="59" w:name="_Toc57504"/>
      <w:r w:rsidRPr="00442931">
        <w:t xml:space="preserve">Impact on </w:t>
      </w:r>
      <w:r w:rsidR="00D21F35">
        <w:t>h</w:t>
      </w:r>
      <w:r w:rsidR="00D21F35" w:rsidRPr="00442931">
        <w:t xml:space="preserve">ealth </w:t>
      </w:r>
      <w:r w:rsidR="00D21F35">
        <w:t>o</w:t>
      </w:r>
      <w:r w:rsidR="00D21F35" w:rsidRPr="00442931">
        <w:t xml:space="preserve">rganisations </w:t>
      </w:r>
      <w:r w:rsidRPr="00442931">
        <w:t xml:space="preserve">and services </w:t>
      </w:r>
      <w:bookmarkEnd w:id="59"/>
    </w:p>
    <w:p w14:paraId="4AC5EE9B" w14:textId="48B08AEB" w:rsidR="00AA3C02" w:rsidRDefault="00AA3C02" w:rsidP="00A92473">
      <w:pPr>
        <w:ind w:left="-5" w:right="50"/>
        <w:outlineLvl w:val="0"/>
      </w:pPr>
      <w:r>
        <w:t xml:space="preserve">Health services seeking to introduce designated RN prescribing would have to develop a governance framework. There will be a time impost for putting in place a medicines advisory committee, and all other components required of the governance framework.  </w:t>
      </w:r>
    </w:p>
    <w:p w14:paraId="265F84D4" w14:textId="7CAC2148" w:rsidR="00AA3C02" w:rsidRDefault="00AA3C02" w:rsidP="00A92473">
      <w:pPr>
        <w:ind w:left="-5" w:right="50"/>
        <w:outlineLvl w:val="0"/>
      </w:pPr>
      <w:r>
        <w:t>There are several potential financial and time costs for health practitioners and health services if they decide to establish a designated RN prescribing model</w:t>
      </w:r>
      <w:r w:rsidR="00A9334F">
        <w:t xml:space="preserve"> including</w:t>
      </w:r>
      <w:r>
        <w:t xml:space="preserve">: </w:t>
      </w:r>
    </w:p>
    <w:p w14:paraId="39778EA9" w14:textId="77777777" w:rsidR="00AA3C02" w:rsidRDefault="00AA3C02" w:rsidP="00A92473">
      <w:pPr>
        <w:pStyle w:val="AHPRABulletlevel1last"/>
        <w:ind w:right="50"/>
        <w:outlineLvl w:val="0"/>
      </w:pPr>
      <w:r>
        <w:t xml:space="preserve">establishing the model including the governance framework, prescribing agreements and monitoring of prescribing by RNs. </w:t>
      </w:r>
    </w:p>
    <w:p w14:paraId="3AA8B479" w14:textId="55FC3435" w:rsidR="00AA3C02" w:rsidRDefault="00AA3C02" w:rsidP="00216AB8">
      <w:pPr>
        <w:pStyle w:val="AHPRABulletlevel1last"/>
        <w:outlineLvl w:val="0"/>
      </w:pPr>
      <w:r>
        <w:t>supporting RNs to meet the</w:t>
      </w:r>
      <w:r w:rsidR="00744B0E">
        <w:t xml:space="preserve"> knowledge and education</w:t>
      </w:r>
      <w:r>
        <w:t xml:space="preserve"> requirements of the proposed registration standard. </w:t>
      </w:r>
    </w:p>
    <w:p w14:paraId="75205FF1" w14:textId="77777777" w:rsidR="00AA3C02" w:rsidRDefault="00AA3C02" w:rsidP="00216AB8">
      <w:pPr>
        <w:pStyle w:val="AHPRABulletlevel1last"/>
        <w:outlineLvl w:val="0"/>
      </w:pPr>
      <w:r>
        <w:lastRenderedPageBreak/>
        <w:t xml:space="preserve">education of other health practitioners about the role that they play in the model.  </w:t>
      </w:r>
    </w:p>
    <w:p w14:paraId="760DA685" w14:textId="4186CD22" w:rsidR="00AA3C02" w:rsidRDefault="00AA3C02" w:rsidP="00216AB8">
      <w:pPr>
        <w:pStyle w:val="AHPRABulletlevel1last"/>
        <w:outlineLvl w:val="0"/>
      </w:pPr>
      <w:r>
        <w:t>potential increase</w:t>
      </w:r>
      <w:r w:rsidR="00744B0E">
        <w:t xml:space="preserve"> to</w:t>
      </w:r>
      <w:r>
        <w:t xml:space="preserve"> their insurance premiums as a result of enabling RNs to prescribe. </w:t>
      </w:r>
    </w:p>
    <w:p w14:paraId="76631B10" w14:textId="0A85CBEE" w:rsidR="00AA3C02" w:rsidRDefault="00AA3C02" w:rsidP="00216AB8">
      <w:pPr>
        <w:pStyle w:val="AHPRABulletlevel1last"/>
        <w:outlineLvl w:val="0"/>
      </w:pPr>
      <w:r>
        <w:t xml:space="preserve">an additional cost in wages as RNs with the endorsement would be eligible in each state and territory for a qualification allowance for postgraduate studies. </w:t>
      </w:r>
    </w:p>
    <w:p w14:paraId="531226DA" w14:textId="2D950B5F" w:rsidR="00AA3C02" w:rsidRDefault="00AA3C02" w:rsidP="00216AB8">
      <w:pPr>
        <w:pStyle w:val="AHPRABulletlevel1last"/>
        <w:outlineLvl w:val="0"/>
      </w:pPr>
      <w:r>
        <w:t xml:space="preserve">health services may need to backfill staff who take time off for study to undertake the postgraduate qualification however many Higher Education Providers (HEPs) choose to offer courses online in a </w:t>
      </w:r>
      <w:r w:rsidR="001F31B3">
        <w:t>hybrid</w:t>
      </w:r>
      <w:r>
        <w:t xml:space="preserve"> model that would allow RNs to work and study at the same time.</w:t>
      </w:r>
    </w:p>
    <w:p w14:paraId="7A6964B7" w14:textId="614BF9AB" w:rsidR="00AA3C02" w:rsidRDefault="00AA3C02" w:rsidP="00216AB8">
      <w:pPr>
        <w:ind w:right="632"/>
        <w:outlineLvl w:val="0"/>
      </w:pPr>
      <w:r>
        <w:t xml:space="preserve">Health services that decide to implement the proposed model of prescribing and employ designated RN prescribers may see an improved ability to provide timely access and better coordinated care to health consumers. For hospitals, there may be reductions in length of stay for inpatients, more timely discharge and therefore </w:t>
      </w:r>
      <w:r w:rsidR="000B4270">
        <w:t xml:space="preserve">a </w:t>
      </w:r>
      <w:r>
        <w:t>decrease in cost of care for health organisations.</w:t>
      </w:r>
    </w:p>
    <w:p w14:paraId="3849B36C" w14:textId="1E5001A1" w:rsidR="00AA3C02" w:rsidRDefault="00AA3C02" w:rsidP="00216AB8">
      <w:pPr>
        <w:ind w:right="632"/>
        <w:outlineLvl w:val="0"/>
      </w:pPr>
      <w:r>
        <w:t xml:space="preserve">The ability for designated RN prescribers to provide care to </w:t>
      </w:r>
      <w:r w:rsidR="000E2736">
        <w:t xml:space="preserve">some </w:t>
      </w:r>
      <w:r>
        <w:t xml:space="preserve">patients has the potential to free up health practitioners within health services to focus on more complex patients which leads to a more effective use of resources. </w:t>
      </w:r>
    </w:p>
    <w:p w14:paraId="7E750248" w14:textId="0F8BC6DB" w:rsidR="00AA3C02" w:rsidRPr="00BE3BC4" w:rsidRDefault="00AA3C02" w:rsidP="00216AB8">
      <w:pPr>
        <w:pStyle w:val="AHPRASubheadinglevel3"/>
        <w:outlineLvl w:val="0"/>
      </w:pPr>
      <w:r w:rsidRPr="00BE3BC4">
        <w:t xml:space="preserve">Impact to </w:t>
      </w:r>
      <w:r w:rsidR="00DE311B">
        <w:t>n</w:t>
      </w:r>
      <w:r w:rsidR="00DE311B" w:rsidRPr="00BE3BC4">
        <w:t xml:space="preserve">urse </w:t>
      </w:r>
      <w:r w:rsidR="00DE311B">
        <w:t>p</w:t>
      </w:r>
      <w:r w:rsidR="00DE311B" w:rsidRPr="00BE3BC4">
        <w:t>ractitioners</w:t>
      </w:r>
    </w:p>
    <w:p w14:paraId="69E5925E" w14:textId="6DB85340" w:rsidR="00AA3C02" w:rsidRDefault="00AA3C02" w:rsidP="00216AB8">
      <w:pPr>
        <w:ind w:right="632"/>
        <w:outlineLvl w:val="0"/>
      </w:pPr>
      <w:r>
        <w:t xml:space="preserve">There </w:t>
      </w:r>
      <w:r w:rsidR="00BC22DF">
        <w:t>will</w:t>
      </w:r>
      <w:r w:rsidR="0092770B">
        <w:t xml:space="preserve"> </w:t>
      </w:r>
      <w:r>
        <w:t xml:space="preserve">be </w:t>
      </w:r>
      <w:r w:rsidR="00DE311B">
        <w:t>a time impost</w:t>
      </w:r>
      <w:r>
        <w:t xml:space="preserve"> for </w:t>
      </w:r>
      <w:r w:rsidR="00C1797F">
        <w:t xml:space="preserve">NPs </w:t>
      </w:r>
      <w:r w:rsidR="008325A9">
        <w:t>who</w:t>
      </w:r>
      <w:r w:rsidR="009D2D0B">
        <w:t xml:space="preserve"> choose to</w:t>
      </w:r>
      <w:r w:rsidR="008325A9">
        <w:t xml:space="preserve"> work in collaboration with designated RN prescriber</w:t>
      </w:r>
      <w:r w:rsidR="000153FF">
        <w:t>s</w:t>
      </w:r>
      <w:r w:rsidR="008325A9">
        <w:t xml:space="preserve"> as the </w:t>
      </w:r>
      <w:r w:rsidR="000153FF">
        <w:t>authorised</w:t>
      </w:r>
      <w:r w:rsidR="008325A9">
        <w:t xml:space="preserve"> health practitioner</w:t>
      </w:r>
      <w:r w:rsidR="00D70B8F">
        <w:t>. The</w:t>
      </w:r>
      <w:r w:rsidR="000153FF">
        <w:t>se</w:t>
      </w:r>
      <w:r w:rsidR="00D70B8F">
        <w:t xml:space="preserve"> </w:t>
      </w:r>
      <w:r w:rsidR="00C1797F">
        <w:t>NPs</w:t>
      </w:r>
      <w:r w:rsidR="00D70B8F">
        <w:t xml:space="preserve"> would need to provide support and clinical </w:t>
      </w:r>
      <w:r w:rsidR="005F5DAD">
        <w:t xml:space="preserve">supervision </w:t>
      </w:r>
      <w:r w:rsidR="000153FF">
        <w:t>to the designated RN prescriber</w:t>
      </w:r>
      <w:r w:rsidR="005C5A06">
        <w:t xml:space="preserve"> as well as input </w:t>
      </w:r>
      <w:r>
        <w:t>in establishing a clinical governance framework relevant to the health care setting.</w:t>
      </w:r>
    </w:p>
    <w:p w14:paraId="07DA7E68" w14:textId="3477DEFF" w:rsidR="00AA3C02" w:rsidRDefault="00AA3C02" w:rsidP="00216AB8">
      <w:pPr>
        <w:ind w:right="632"/>
        <w:outlineLvl w:val="0"/>
        <w:rPr>
          <w:vertAlign w:val="superscript"/>
        </w:rPr>
      </w:pPr>
      <w:r>
        <w:t xml:space="preserve">Whilst some </w:t>
      </w:r>
      <w:r w:rsidR="008A3F59">
        <w:t>NPs</w:t>
      </w:r>
      <w:r>
        <w:t xml:space="preserve"> have raised concerns </w:t>
      </w:r>
      <w:r w:rsidR="000C12FC">
        <w:t xml:space="preserve">in the literature regarding the </w:t>
      </w:r>
      <w:r>
        <w:t>designated RN prescribing role eroding</w:t>
      </w:r>
      <w:r w:rsidR="000C12FC">
        <w:t xml:space="preserve"> or impacting on</w:t>
      </w:r>
      <w:r>
        <w:t xml:space="preserve"> the </w:t>
      </w:r>
      <w:r w:rsidR="008A3F59">
        <w:t xml:space="preserve">NP </w:t>
      </w:r>
      <w:r>
        <w:t>role</w:t>
      </w:r>
      <w:r w:rsidR="008A3F59">
        <w:t>,</w:t>
      </w:r>
      <w:r>
        <w:t xml:space="preserve"> </w:t>
      </w:r>
      <w:r w:rsidR="002042CA">
        <w:rPr>
          <w:vertAlign w:val="superscript"/>
        </w:rPr>
        <w:t xml:space="preserve">89 </w:t>
      </w:r>
      <w:r w:rsidR="008A3F59">
        <w:t xml:space="preserve">the </w:t>
      </w:r>
      <w:r>
        <w:t>NMBA perceive this to be a collaboration and</w:t>
      </w:r>
      <w:r w:rsidRPr="005342A6">
        <w:rPr>
          <w:i/>
          <w:iCs/>
        </w:rPr>
        <w:t xml:space="preserve"> </w:t>
      </w:r>
      <w:r>
        <w:t xml:space="preserve">that </w:t>
      </w:r>
      <w:r w:rsidR="00A92473">
        <w:t>NPs</w:t>
      </w:r>
      <w:r>
        <w:t xml:space="preserve"> harness the challenges that </w:t>
      </w:r>
      <w:r w:rsidR="00A92473">
        <w:t xml:space="preserve">they </w:t>
      </w:r>
      <w:r>
        <w:t xml:space="preserve">have faced with </w:t>
      </w:r>
      <w:r w:rsidR="00A92473">
        <w:t xml:space="preserve">regards to </w:t>
      </w:r>
      <w:r>
        <w:t>professional role recognition and scope in a medical led model</w:t>
      </w:r>
      <w:r w:rsidR="00A92473">
        <w:t>,</w:t>
      </w:r>
      <w:r w:rsidR="005342A6">
        <w:t xml:space="preserve"> </w:t>
      </w:r>
      <w:r>
        <w:t>to support RNs</w:t>
      </w:r>
      <w:r w:rsidR="00075D34">
        <w:t>.</w:t>
      </w:r>
      <w:r>
        <w:t xml:space="preserve"> This could strengthen nurse led models of care that improve access and equity</w:t>
      </w:r>
      <w:r w:rsidR="00963C25">
        <w:t>,</w:t>
      </w:r>
      <w:r>
        <w:t xml:space="preserve"> encouraging articulation of suitable designated RN prescribers to the </w:t>
      </w:r>
      <w:r w:rsidR="00320E7F">
        <w:t>NP</w:t>
      </w:r>
      <w:r>
        <w:t xml:space="preserve"> role through</w:t>
      </w:r>
      <w:r w:rsidR="004C4374">
        <w:t xml:space="preserve"> educational</w:t>
      </w:r>
      <w:r>
        <w:t xml:space="preserve"> pathways offered by accredited </w:t>
      </w:r>
      <w:r w:rsidR="004C4374">
        <w:t xml:space="preserve">higher education providers. This could </w:t>
      </w:r>
      <w:r w:rsidR="00F979C3">
        <w:t>also</w:t>
      </w:r>
      <w:r w:rsidR="004C4374">
        <w:t xml:space="preserve"> </w:t>
      </w:r>
      <w:r w:rsidR="28DB15D7">
        <w:t>assist in</w:t>
      </w:r>
      <w:r>
        <w:t xml:space="preserve"> succession planning for the </w:t>
      </w:r>
      <w:r w:rsidR="00320E7F">
        <w:t>NP</w:t>
      </w:r>
      <w:r w:rsidR="004C4374">
        <w:t xml:space="preserve"> </w:t>
      </w:r>
      <w:r>
        <w:t>workforce.</w:t>
      </w:r>
      <w:r w:rsidR="004C4374">
        <w:t xml:space="preserve"> </w:t>
      </w:r>
      <w:r w:rsidR="002042CA">
        <w:rPr>
          <w:vertAlign w:val="superscript"/>
        </w:rPr>
        <w:t>89</w:t>
      </w:r>
    </w:p>
    <w:p w14:paraId="64301B18" w14:textId="25A35498" w:rsidR="00AA3C02" w:rsidRDefault="00AA3C02" w:rsidP="00216AB8">
      <w:pPr>
        <w:ind w:left="-5" w:right="632"/>
        <w:outlineLvl w:val="0"/>
      </w:pPr>
      <w:r>
        <w:t xml:space="preserve">There will be no impact to the current prescribing practices by </w:t>
      </w:r>
      <w:r w:rsidR="00BC22DF">
        <w:t>NPs</w:t>
      </w:r>
      <w:r>
        <w:t xml:space="preserve"> as they work under Model 1 of the </w:t>
      </w:r>
      <w:r w:rsidR="00BC22DF">
        <w:t>HPPP</w:t>
      </w:r>
      <w:r>
        <w:t xml:space="preserve">, autonomous prescribing.  </w:t>
      </w:r>
    </w:p>
    <w:p w14:paraId="248C5438" w14:textId="09C6A012" w:rsidR="00AA3C02" w:rsidRPr="00943A5B" w:rsidRDefault="00AA3C02" w:rsidP="00216AB8">
      <w:pPr>
        <w:pStyle w:val="AHPRASubheadinglevel3"/>
        <w:outlineLvl w:val="0"/>
      </w:pPr>
      <w:r w:rsidRPr="00943A5B">
        <w:t xml:space="preserve">Impact to </w:t>
      </w:r>
      <w:r w:rsidR="00943A5B">
        <w:t>g</w:t>
      </w:r>
      <w:r w:rsidR="00943A5B" w:rsidRPr="00943A5B">
        <w:t xml:space="preserve">eneral </w:t>
      </w:r>
      <w:r w:rsidR="00943A5B">
        <w:t>p</w:t>
      </w:r>
      <w:r w:rsidR="00943A5B" w:rsidRPr="00943A5B">
        <w:t>ractitioners</w:t>
      </w:r>
    </w:p>
    <w:p w14:paraId="36879C6B" w14:textId="2A71997F" w:rsidR="00AA3C02" w:rsidRDefault="00AA3C02" w:rsidP="00216AB8">
      <w:pPr>
        <w:ind w:right="632"/>
        <w:outlineLvl w:val="0"/>
      </w:pPr>
      <w:r>
        <w:t xml:space="preserve">There will be a time impost for </w:t>
      </w:r>
      <w:r w:rsidR="009D2D0B">
        <w:t>GPs</w:t>
      </w:r>
      <w:r>
        <w:t xml:space="preserve"> who choose to work </w:t>
      </w:r>
      <w:r w:rsidR="004132D9">
        <w:t xml:space="preserve">with a </w:t>
      </w:r>
      <w:r>
        <w:t xml:space="preserve">designated RN prescriber </w:t>
      </w:r>
      <w:r w:rsidR="004132D9">
        <w:t xml:space="preserve">under a </w:t>
      </w:r>
      <w:r w:rsidR="003C77D7">
        <w:t xml:space="preserve">prescribing </w:t>
      </w:r>
      <w:r>
        <w:t>agreement</w:t>
      </w:r>
      <w:r w:rsidR="003C77D7">
        <w:t>.</w:t>
      </w:r>
      <w:r>
        <w:t xml:space="preserve"> </w:t>
      </w:r>
      <w:r w:rsidR="001C3952">
        <w:t>These GPs would need to provide support and clinical supervision to the designated RN prescriber as well as input in establishing a clinical governance framework relevant to the health care setting.</w:t>
      </w:r>
    </w:p>
    <w:p w14:paraId="12393DE3" w14:textId="023B5FCD" w:rsidR="00AA3C02" w:rsidRDefault="00AA3C02" w:rsidP="00216AB8">
      <w:pPr>
        <w:ind w:right="632"/>
        <w:outlineLvl w:val="0"/>
        <w:rPr>
          <w:rFonts w:eastAsia="Arial" w:cs="Arial"/>
          <w:szCs w:val="20"/>
        </w:rPr>
      </w:pPr>
      <w:r>
        <w:t xml:space="preserve">Medical practitioners will need guidance on the designated RN </w:t>
      </w:r>
      <w:r w:rsidR="00BE1EDE">
        <w:t xml:space="preserve">prescriber </w:t>
      </w:r>
      <w:r>
        <w:t>scope of practice</w:t>
      </w:r>
      <w:r w:rsidR="007E505B" w:rsidRPr="00832DE4">
        <w:rPr>
          <w:rFonts w:eastAsia="Arial" w:cs="Arial"/>
        </w:rPr>
        <w:t>.</w:t>
      </w:r>
      <w:r w:rsidR="442A711E" w:rsidRPr="00832DE4">
        <w:rPr>
          <w:rFonts w:eastAsia="Arial" w:cs="Arial"/>
        </w:rPr>
        <w:t xml:space="preserve"> </w:t>
      </w:r>
      <w:r w:rsidR="442A711E" w:rsidRPr="00832DE4">
        <w:rPr>
          <w:rFonts w:eastAsia="Arial" w:cs="Arial"/>
          <w:szCs w:val="20"/>
        </w:rPr>
        <w:t>Clear role delineation would need to be established for health professionals, health consumers and the public around the roles</w:t>
      </w:r>
      <w:r w:rsidR="002116F9">
        <w:rPr>
          <w:rFonts w:eastAsia="Arial" w:cs="Arial"/>
          <w:szCs w:val="20"/>
        </w:rPr>
        <w:t>.</w:t>
      </w:r>
      <w:r w:rsidR="442A711E" w:rsidRPr="00832DE4">
        <w:rPr>
          <w:rFonts w:eastAsia="Arial" w:cs="Arial"/>
          <w:szCs w:val="20"/>
        </w:rPr>
        <w:t xml:space="preserve"> </w:t>
      </w:r>
      <w:r w:rsidR="002116F9">
        <w:rPr>
          <w:rFonts w:eastAsia="Arial" w:cs="Arial"/>
          <w:szCs w:val="20"/>
        </w:rPr>
        <w:t>T</w:t>
      </w:r>
      <w:r w:rsidR="442A711E" w:rsidRPr="00832DE4">
        <w:rPr>
          <w:rFonts w:eastAsia="Arial" w:cs="Arial"/>
          <w:szCs w:val="20"/>
        </w:rPr>
        <w:t>he NMBA would make this</w:t>
      </w:r>
      <w:r w:rsidR="00FE73E5">
        <w:rPr>
          <w:rFonts w:eastAsia="Arial" w:cs="Arial"/>
          <w:szCs w:val="20"/>
        </w:rPr>
        <w:t xml:space="preserve"> delineation</w:t>
      </w:r>
      <w:r w:rsidR="442A711E" w:rsidRPr="00832DE4">
        <w:rPr>
          <w:rFonts w:eastAsia="Arial" w:cs="Arial"/>
          <w:szCs w:val="20"/>
        </w:rPr>
        <w:t xml:space="preserve"> clear through their scope of practice document available on the Ahpra</w:t>
      </w:r>
      <w:r w:rsidR="00FE73E5">
        <w:rPr>
          <w:rFonts w:eastAsia="Arial" w:cs="Arial"/>
          <w:szCs w:val="20"/>
        </w:rPr>
        <w:t xml:space="preserve"> and </w:t>
      </w:r>
      <w:r w:rsidR="442A711E" w:rsidRPr="00832DE4">
        <w:rPr>
          <w:rFonts w:eastAsia="Arial" w:cs="Arial"/>
          <w:szCs w:val="20"/>
        </w:rPr>
        <w:t>NMBA website</w:t>
      </w:r>
      <w:r w:rsidR="4BCC35BC" w:rsidRPr="5AA7423A">
        <w:rPr>
          <w:rFonts w:eastAsia="Arial" w:cs="Arial"/>
          <w:szCs w:val="20"/>
        </w:rPr>
        <w:t>.</w:t>
      </w:r>
    </w:p>
    <w:p w14:paraId="135FFB74" w14:textId="6821EA82" w:rsidR="4BCC35BC" w:rsidRPr="00A92473" w:rsidRDefault="4BCC35BC" w:rsidP="00A92473">
      <w:pPr>
        <w:ind w:right="632"/>
        <w:outlineLvl w:val="0"/>
        <w:rPr>
          <w:rFonts w:eastAsia="Arial" w:cs="Arial"/>
          <w:szCs w:val="20"/>
        </w:rPr>
      </w:pPr>
      <w:r w:rsidRPr="00A92473">
        <w:rPr>
          <w:rFonts w:eastAsia="Arial" w:cs="Arial"/>
          <w:szCs w:val="20"/>
        </w:rPr>
        <w:t>The prescribing agreement is a key document for the designated prescribing model and will be a written agreement between the designated RN prescriber and the medical practitioner and approved by the health organisation/service or employer.</w:t>
      </w:r>
    </w:p>
    <w:p w14:paraId="3907D853" w14:textId="53B54CB9" w:rsidR="00AA3C02" w:rsidRDefault="00AA3C02" w:rsidP="00216AB8">
      <w:pPr>
        <w:ind w:right="632"/>
        <w:outlineLvl w:val="0"/>
      </w:pPr>
      <w:r w:rsidRPr="00DC39D8">
        <w:rPr>
          <w:iCs/>
        </w:rPr>
        <w:t>There will also be</w:t>
      </w:r>
      <w:r w:rsidR="003B66BB">
        <w:rPr>
          <w:iCs/>
        </w:rPr>
        <w:t xml:space="preserve"> an initial and ongoing time</w:t>
      </w:r>
      <w:r w:rsidRPr="00DC39D8">
        <w:rPr>
          <w:iCs/>
        </w:rPr>
        <w:t xml:space="preserve"> impost for clinical supervision as model 2 of Health Professional Prescribing Pathways warrants prescribing under supervision. This aligns somewhat with the RACGP </w:t>
      </w:r>
      <w:r w:rsidR="005F25DC" w:rsidRPr="00E168F0">
        <w:rPr>
          <w:i/>
        </w:rPr>
        <w:t xml:space="preserve">Position </w:t>
      </w:r>
      <w:r w:rsidRPr="00E168F0">
        <w:rPr>
          <w:i/>
        </w:rPr>
        <w:t xml:space="preserve">on independent non-medical </w:t>
      </w:r>
      <w:r w:rsidR="00D05199" w:rsidRPr="00E168F0">
        <w:rPr>
          <w:i/>
        </w:rPr>
        <w:t xml:space="preserve">practitioner </w:t>
      </w:r>
      <w:r w:rsidRPr="00E168F0">
        <w:rPr>
          <w:i/>
        </w:rPr>
        <w:t>prescribing</w:t>
      </w:r>
      <w:r w:rsidRPr="00DC39D8">
        <w:rPr>
          <w:iCs/>
        </w:rPr>
        <w:t xml:space="preserve"> </w:t>
      </w:r>
      <w:r w:rsidRPr="00DC39D8">
        <w:t>where prescribing occurs under the direction and supervision of a medical practitioner</w:t>
      </w:r>
      <w:r w:rsidR="005A0D8C">
        <w:t>.</w:t>
      </w:r>
      <w:r w:rsidRPr="00DC39D8">
        <w:t xml:space="preserve"> </w:t>
      </w:r>
      <w:r w:rsidR="005A0D8C">
        <w:t>T</w:t>
      </w:r>
      <w:r w:rsidRPr="00DC39D8">
        <w:t>his arrangement will help ensure compliance with best practice, prevent the occurrence of adverse events and maintain continuity of patient care</w:t>
      </w:r>
      <w:r w:rsidRPr="00E168F0">
        <w:t xml:space="preserve">. </w:t>
      </w:r>
      <w:r w:rsidR="002071FC">
        <w:rPr>
          <w:vertAlign w:val="superscript"/>
        </w:rPr>
        <w:t>90</w:t>
      </w:r>
    </w:p>
    <w:p w14:paraId="7D02BE17" w14:textId="1882A1DC" w:rsidR="00AA3C02" w:rsidRDefault="00AA3C02" w:rsidP="00A92473">
      <w:pPr>
        <w:pStyle w:val="AHPRAbody"/>
      </w:pPr>
      <w:r>
        <w:t>RNs with expertise, working at an advanced level in a specific context of care who undertake postgraduate qualifications that lead to endorsement</w:t>
      </w:r>
      <w:r w:rsidR="00B711D0">
        <w:t xml:space="preserve"> as a designated RN prescriber</w:t>
      </w:r>
      <w:r>
        <w:t xml:space="preserve"> </w:t>
      </w:r>
      <w:r w:rsidR="00942900">
        <w:t xml:space="preserve">are able </w:t>
      </w:r>
      <w:r>
        <w:t xml:space="preserve">to work </w:t>
      </w:r>
      <w:r w:rsidR="00DD2554">
        <w:lastRenderedPageBreak/>
        <w:t>within</w:t>
      </w:r>
      <w:r>
        <w:t xml:space="preserve"> an interprofessional collaboration with all </w:t>
      </w:r>
      <w:r w:rsidR="00B711D0">
        <w:t xml:space="preserve">medical practitioners </w:t>
      </w:r>
      <w:r>
        <w:t xml:space="preserve">in promotion and management of health and wellbeing. These integrated and innovative approaches can meet increased care demands and improve overall access and equity to healthcare. </w:t>
      </w:r>
      <w:r w:rsidR="32D3832B" w:rsidRPr="00A92473">
        <w:t>However</w:t>
      </w:r>
      <w:r w:rsidR="004137C3" w:rsidRPr="00A92473">
        <w:t>,</w:t>
      </w:r>
      <w:r w:rsidR="32D3832B" w:rsidRPr="00A92473">
        <w:t xml:space="preserve"> it is acknowledged that this may be a challenge for some </w:t>
      </w:r>
      <w:r w:rsidR="00A34D4F" w:rsidRPr="00A92473">
        <w:t>m</w:t>
      </w:r>
      <w:r w:rsidR="32D3832B" w:rsidRPr="00A92473">
        <w:t xml:space="preserve">edical </w:t>
      </w:r>
      <w:r w:rsidR="00A34D4F" w:rsidRPr="00A92473">
        <w:t>p</w:t>
      </w:r>
      <w:r w:rsidR="32D3832B" w:rsidRPr="00A92473">
        <w:t xml:space="preserve">ractitioners and their professional identity and there are nurse prescribers who perceive that </w:t>
      </w:r>
      <w:r w:rsidR="00A34D4F" w:rsidRPr="00A92473">
        <w:t>d</w:t>
      </w:r>
      <w:r w:rsidR="32D3832B" w:rsidRPr="00A92473">
        <w:t xml:space="preserve">octors feel that prescribing rights of </w:t>
      </w:r>
      <w:r w:rsidR="00A34D4F" w:rsidRPr="00A92473">
        <w:t>n</w:t>
      </w:r>
      <w:r w:rsidR="32D3832B" w:rsidRPr="00A92473">
        <w:t>urses are a threat and should be exclusive to their own profession.</w:t>
      </w:r>
      <w:r w:rsidR="002071FC">
        <w:rPr>
          <w:vertAlign w:val="superscript"/>
        </w:rPr>
        <w:t>27</w:t>
      </w:r>
    </w:p>
    <w:p w14:paraId="6D4385AB" w14:textId="77777777" w:rsidR="00AA3C02" w:rsidRPr="000A6ADD" w:rsidRDefault="00AA3C02" w:rsidP="00216AB8">
      <w:pPr>
        <w:pStyle w:val="AHPRASubheadinglevel3"/>
        <w:outlineLvl w:val="0"/>
      </w:pPr>
      <w:bookmarkStart w:id="60" w:name="_Toc57505"/>
      <w:r w:rsidRPr="000A6ADD">
        <w:t xml:space="preserve">Impact to registered nurses </w:t>
      </w:r>
      <w:bookmarkEnd w:id="60"/>
    </w:p>
    <w:p w14:paraId="526BE123" w14:textId="1089464B" w:rsidR="00AA3C02" w:rsidRDefault="00AA3C02" w:rsidP="00216AB8">
      <w:pPr>
        <w:pStyle w:val="AHPRAbody"/>
        <w:outlineLvl w:val="0"/>
      </w:pPr>
      <w:r>
        <w:t>RNs who are educated and authorised to prescribe medicines have improved work satisfaction as they feel they are able to fully meet the needs of their patients, they have improved collegiality with other health practitioners and increased career opportunities which enhance positively on retention</w:t>
      </w:r>
      <w:r w:rsidRPr="00A34D4F">
        <w:t xml:space="preserve">. </w:t>
      </w:r>
      <w:r w:rsidR="00CF628B">
        <w:rPr>
          <w:vertAlign w:val="superscript"/>
        </w:rPr>
        <w:t>89</w:t>
      </w:r>
      <w:r w:rsidR="006D5707">
        <w:rPr>
          <w:vertAlign w:val="superscript"/>
        </w:rPr>
        <w:t xml:space="preserve"> </w:t>
      </w:r>
      <w:r w:rsidR="006D5707">
        <w:t xml:space="preserve">There has been much interest in the role of the </w:t>
      </w:r>
      <w:r w:rsidR="005431A4">
        <w:t>d</w:t>
      </w:r>
      <w:r w:rsidR="006D5707">
        <w:t xml:space="preserve">esignated </w:t>
      </w:r>
      <w:r w:rsidR="005431A4">
        <w:t>p</w:t>
      </w:r>
      <w:r w:rsidR="006D5707">
        <w:t xml:space="preserve">rovider since the original symposium in 2016. The ANMAC project working group has identified education providers </w:t>
      </w:r>
      <w:r w:rsidR="00A72EB4">
        <w:t>who are already interest</w:t>
      </w:r>
      <w:r w:rsidR="00077C4D">
        <w:t>ed</w:t>
      </w:r>
      <w:r w:rsidR="00A72EB4">
        <w:t xml:space="preserve"> in </w:t>
      </w:r>
      <w:r w:rsidR="0017227D">
        <w:t>developing</w:t>
      </w:r>
      <w:r w:rsidR="00A72EB4">
        <w:t xml:space="preserve"> courses. </w:t>
      </w:r>
      <w:r w:rsidR="006B5116">
        <w:t>There are 13</w:t>
      </w:r>
      <w:r w:rsidR="00BC7346">
        <w:t xml:space="preserve"> accredited and NMBA approved NP course and there are </w:t>
      </w:r>
      <w:r w:rsidR="00936223">
        <w:t xml:space="preserve">96 </w:t>
      </w:r>
      <w:r w:rsidR="000D4CB0">
        <w:t>course</w:t>
      </w:r>
      <w:r w:rsidR="00077C4D">
        <w:t>s</w:t>
      </w:r>
      <w:r w:rsidR="000D4CB0">
        <w:t xml:space="preserve"> that offer the Bachelor of Nursing Programs</w:t>
      </w:r>
      <w:r w:rsidR="00077C4D">
        <w:t xml:space="preserve">. All of </w:t>
      </w:r>
      <w:r w:rsidR="00C50794">
        <w:t>these courses</w:t>
      </w:r>
      <w:r w:rsidR="00077C4D">
        <w:t xml:space="preserve"> are well placed to put forward the new postgraduate </w:t>
      </w:r>
      <w:r w:rsidR="003F25A2">
        <w:t>diploma course</w:t>
      </w:r>
      <w:r w:rsidR="00B8799B">
        <w:t xml:space="preserve"> given that they already have the foundations required to me</w:t>
      </w:r>
      <w:r w:rsidR="00B63ECA">
        <w:t>et</w:t>
      </w:r>
      <w:r w:rsidR="00B8799B">
        <w:t xml:space="preserve"> the </w:t>
      </w:r>
      <w:r w:rsidR="00B63ECA">
        <w:t xml:space="preserve">RN </w:t>
      </w:r>
      <w:r w:rsidR="00B8799B">
        <w:t xml:space="preserve">prescribing </w:t>
      </w:r>
      <w:r w:rsidR="00B63ECA">
        <w:t xml:space="preserve">accreditation standards </w:t>
      </w:r>
      <w:r w:rsidR="006E2FBC">
        <w:t xml:space="preserve">in the undergraduate degree and in the Master of NP program. </w:t>
      </w:r>
    </w:p>
    <w:p w14:paraId="7CEC6080" w14:textId="4990552F" w:rsidR="00805951" w:rsidRPr="005431A4" w:rsidRDefault="00B435AD" w:rsidP="422F38A3">
      <w:pPr>
        <w:pStyle w:val="AHPRABody1"/>
      </w:pPr>
      <w:r w:rsidRPr="422F38A3">
        <w:t xml:space="preserve">This </w:t>
      </w:r>
      <w:r w:rsidR="00362CA3" w:rsidRPr="422F38A3">
        <w:t>option has</w:t>
      </w:r>
      <w:r w:rsidR="00805951" w:rsidRPr="422F38A3">
        <w:t xml:space="preserve"> the potential to reduce the moral distress felt by many RNs who hold the knowledge, skills and understanding of the patient in order to prescribe in many </w:t>
      </w:r>
      <w:r w:rsidR="006035AA" w:rsidRPr="422F38A3">
        <w:t>situations but</w:t>
      </w:r>
      <w:r w:rsidR="00805951" w:rsidRPr="422F38A3">
        <w:t xml:space="preserve"> are not able to due to scope of practice restrictions</w:t>
      </w:r>
      <w:r w:rsidRPr="422F38A3">
        <w:t>.</w:t>
      </w:r>
      <w:r>
        <w:br/>
      </w:r>
    </w:p>
    <w:p w14:paraId="0FA8EAD6" w14:textId="76819813" w:rsidR="00AA3C02" w:rsidRDefault="00AA3C02" w:rsidP="00216AB8">
      <w:pPr>
        <w:pStyle w:val="AHPRAbody"/>
        <w:outlineLvl w:val="0"/>
      </w:pPr>
      <w:r>
        <w:t xml:space="preserve">Education costs – The RN prescribing education is yet to be fully determined, however the current cost for the postgraduate midwifery prescribing program of study is $3,450, and it is anticipated that the cost for an RN prescribing program of study would be similar. </w:t>
      </w:r>
      <w:r w:rsidR="00362CA3">
        <w:t>There may be a cost imposed by unpaid leave</w:t>
      </w:r>
      <w:r w:rsidR="009B3571">
        <w:t xml:space="preserve"> and travel to undertake study if accredited programs do not utilise of hybrid model of education where students can </w:t>
      </w:r>
      <w:r w:rsidR="002F34EE">
        <w:t>participate in online education.</w:t>
      </w:r>
    </w:p>
    <w:p w14:paraId="5E45D587" w14:textId="77777777" w:rsidR="00AA3C02" w:rsidRDefault="00AA3C02" w:rsidP="00216AB8">
      <w:pPr>
        <w:pStyle w:val="AHPRAbody"/>
        <w:outlineLvl w:val="0"/>
      </w:pPr>
      <w:r>
        <w:t xml:space="preserve">Endorsement costs – a one off application $175 for applying to the NMBA for the endorsement.   </w:t>
      </w:r>
    </w:p>
    <w:p w14:paraId="381D8851" w14:textId="5C3A7D6C" w:rsidR="00AA3C02" w:rsidRDefault="00AA3C02" w:rsidP="00216AB8">
      <w:pPr>
        <w:pStyle w:val="AHPRAbody"/>
        <w:outlineLvl w:val="0"/>
      </w:pPr>
      <w:r>
        <w:t xml:space="preserve">Insurance costs – The NMBA’s </w:t>
      </w:r>
      <w:r>
        <w:rPr>
          <w:i/>
        </w:rPr>
        <w:t>Registration standard: Professional indemnity insurance arrangements</w:t>
      </w:r>
      <w:r>
        <w:t xml:space="preserve"> outlines the insurance requirements for nurses and midwives. Where RNs are employed by a health service, employers have PII arrangements in place that provide cover for practice. However, RNs can seek out discretionary PII cover in their own name as part of membership of a professional body or trade union if desired. For designated RN prescribers, PII arrangements would need to include the prescribing activities undertaken within the scope of practice under the </w:t>
      </w:r>
      <w:r w:rsidR="00FD6D73">
        <w:t xml:space="preserve">prescribing </w:t>
      </w:r>
      <w:r>
        <w:t xml:space="preserve">agreement. A review of current insurance premiums for RNs through membership or affiliation links indicate that the annual cost to the RN is currently $500. </w:t>
      </w:r>
    </w:p>
    <w:p w14:paraId="600350F5" w14:textId="24754C19" w:rsidR="00AA3C02" w:rsidRDefault="00AA3C02" w:rsidP="00216AB8">
      <w:pPr>
        <w:pStyle w:val="AHPRAbody"/>
        <w:outlineLvl w:val="0"/>
      </w:pPr>
      <w:r>
        <w:t>Ongoing compliance – One of the NMBA’s ongoing compliance requirements is continuing professional development (CPD). For designated RN prescribers</w:t>
      </w:r>
      <w:r w:rsidR="00387137">
        <w:t>,</w:t>
      </w:r>
      <w:r>
        <w:t xml:space="preserve"> an additional 10 hours of CPD relevant to the area of prescribing of scheduled medicines is required in accordance with the </w:t>
      </w:r>
      <w:r>
        <w:rPr>
          <w:i/>
        </w:rPr>
        <w:t>Registration standard: Continuing professional development</w:t>
      </w:r>
      <w:r>
        <w:t xml:space="preserve">. The cost will be dependent on the individual RN and the types of CPD they choose to undertake. For example, attending a conference is likely to attract an increased costs as opposed to accessing journals within the workplace or attending designated RN prescribing education provided by their employer. </w:t>
      </w:r>
    </w:p>
    <w:p w14:paraId="4EBBC8C7" w14:textId="77777777" w:rsidR="00CF17D4" w:rsidRPr="00C03443" w:rsidRDefault="00CF17D4" w:rsidP="00CF17D4">
      <w:pPr>
        <w:pStyle w:val="AHPRASubheadinglevel3"/>
        <w:outlineLvl w:val="0"/>
        <w:rPr>
          <w:b/>
          <w:bCs/>
        </w:rPr>
      </w:pPr>
      <w:r w:rsidRPr="00852735">
        <w:t xml:space="preserve">Impact </w:t>
      </w:r>
      <w:r w:rsidRPr="00C03443">
        <w:t xml:space="preserve">on governments </w:t>
      </w:r>
    </w:p>
    <w:p w14:paraId="15126691" w14:textId="77777777" w:rsidR="00CF17D4" w:rsidRPr="00457095" w:rsidRDefault="00CF17D4" w:rsidP="00CF17D4">
      <w:pPr>
        <w:pStyle w:val="AHPRAbody"/>
        <w:outlineLvl w:val="0"/>
      </w:pPr>
      <w:r>
        <w:t>In order to implement</w:t>
      </w:r>
      <w:r w:rsidRPr="00457095">
        <w:t xml:space="preserve"> designated RN prescribing, each state and territory would need to review and amend their respective drugs and poisons legislation. They will also need to create a requirement for the development of policies and guidance for public health services. </w:t>
      </w:r>
    </w:p>
    <w:p w14:paraId="7DF58E35" w14:textId="77777777" w:rsidR="00CF17D4" w:rsidRPr="00457095" w:rsidRDefault="00CF17D4" w:rsidP="00CF17D4">
      <w:pPr>
        <w:pStyle w:val="AHPRAbody"/>
        <w:outlineLvl w:val="0"/>
      </w:pPr>
      <w:r>
        <w:t xml:space="preserve">A review of the Medicare Benefits Schedule (MBS) and Pharmaceutical Benefits Scheme (PBS) would need to be undertaken by the Commonwealth Government in order for designated RN prescribing to deliver its potential benefits of equity and access to care. Currently under the </w:t>
      </w:r>
      <w:r w:rsidRPr="5AA7423A">
        <w:rPr>
          <w:i/>
          <w:iCs/>
        </w:rPr>
        <w:t>National Health Act 1953</w:t>
      </w:r>
      <w:r>
        <w:t>,</w:t>
      </w:r>
      <w:r w:rsidRPr="5AA7423A">
        <w:rPr>
          <w:i/>
          <w:iCs/>
        </w:rPr>
        <w:t xml:space="preserve"> </w:t>
      </w:r>
      <w:r>
        <w:t>pharmaceutical benefits can only be prescribed by medical practitioners, nurse practitioners and endorsed midwives. Nurse practitioners and endorsed midwives apply for approval to become PBS prescribers.</w:t>
      </w:r>
    </w:p>
    <w:p w14:paraId="505D76AC" w14:textId="77777777" w:rsidR="00CF17D4" w:rsidRPr="00A72644" w:rsidRDefault="00CF17D4" w:rsidP="00CF17D4">
      <w:pPr>
        <w:pStyle w:val="AHPRAbody"/>
        <w:outlineLvl w:val="0"/>
      </w:pPr>
      <w:r w:rsidRPr="00457095">
        <w:rPr>
          <w:color w:val="222222"/>
          <w:shd w:val="clear" w:color="auto" w:fill="FFFFFF"/>
        </w:rPr>
        <w:t xml:space="preserve">Additionally, </w:t>
      </w:r>
      <w:r>
        <w:rPr>
          <w:color w:val="222222"/>
          <w:shd w:val="clear" w:color="auto" w:fill="FFFFFF"/>
        </w:rPr>
        <w:t>t</w:t>
      </w:r>
      <w:r w:rsidRPr="00457095">
        <w:rPr>
          <w:color w:val="222222"/>
          <w:shd w:val="clear" w:color="auto" w:fill="FFFFFF"/>
        </w:rPr>
        <w:t>he Pharmaceutical Benefits Advisory Committee (PBAC) responsible for making recommendations to the Minister for Health regarding medicines for prescribing</w:t>
      </w:r>
      <w:r>
        <w:rPr>
          <w:color w:val="222222"/>
          <w:shd w:val="clear" w:color="auto" w:fill="FFFFFF"/>
        </w:rPr>
        <w:t>,</w:t>
      </w:r>
      <w:r w:rsidRPr="00457095">
        <w:rPr>
          <w:color w:val="222222"/>
          <w:shd w:val="clear" w:color="auto" w:fill="FFFFFF"/>
        </w:rPr>
        <w:t xml:space="preserve"> would need to include </w:t>
      </w:r>
      <w:r>
        <w:rPr>
          <w:color w:val="222222"/>
          <w:shd w:val="clear" w:color="auto" w:fill="FFFFFF"/>
        </w:rPr>
        <w:lastRenderedPageBreak/>
        <w:t xml:space="preserve">representation from </w:t>
      </w:r>
      <w:r w:rsidRPr="00457095">
        <w:rPr>
          <w:color w:val="222222"/>
          <w:shd w:val="clear" w:color="auto" w:fill="FFFFFF"/>
        </w:rPr>
        <w:t>endorsed RNs.</w:t>
      </w:r>
      <w:r>
        <w:rPr>
          <w:color w:val="222222"/>
          <w:shd w:val="clear" w:color="auto" w:fill="FFFFFF"/>
        </w:rPr>
        <w:t xml:space="preserve"> This would be beneficial to track and evaluate outcomes of designated RN prescribing.</w:t>
      </w:r>
    </w:p>
    <w:p w14:paraId="2C9E8239" w14:textId="77777777" w:rsidR="00CF17D4" w:rsidRPr="00A72644" w:rsidRDefault="00CF17D4" w:rsidP="00CF17D4">
      <w:pPr>
        <w:pStyle w:val="AHPRAbody"/>
        <w:outlineLvl w:val="0"/>
        <w:rPr>
          <w:rFonts w:eastAsia="Arial"/>
          <w:szCs w:val="20"/>
        </w:rPr>
      </w:pPr>
      <w:r>
        <w:rPr>
          <w:rFonts w:eastAsia="Arial"/>
          <w:szCs w:val="20"/>
        </w:rPr>
        <w:t>A recommendation of t</w:t>
      </w:r>
      <w:r w:rsidRPr="00A72644">
        <w:rPr>
          <w:rFonts w:eastAsia="Arial"/>
          <w:szCs w:val="20"/>
        </w:rPr>
        <w:t xml:space="preserve">he </w:t>
      </w:r>
      <w:r w:rsidRPr="00460A0A">
        <w:rPr>
          <w:rFonts w:eastAsia="Arial"/>
          <w:i/>
          <w:iCs/>
          <w:szCs w:val="20"/>
        </w:rPr>
        <w:t>Unleashing the Potential of our Health Workforce – Scope of Practice Review</w:t>
      </w:r>
      <w:r w:rsidRPr="00A72644">
        <w:rPr>
          <w:rFonts w:eastAsia="Arial"/>
          <w:szCs w:val="20"/>
        </w:rPr>
        <w:t xml:space="preserve">, is aimed at removing barriers to enable health practitioners to be able to work to their full scope to provide quality care services and greater access and equity to primary care. </w:t>
      </w:r>
    </w:p>
    <w:p w14:paraId="57F68119" w14:textId="77777777" w:rsidR="00CF17D4" w:rsidRPr="0083036C" w:rsidRDefault="00CF17D4" w:rsidP="00CF17D4">
      <w:pPr>
        <w:pStyle w:val="AHPRAbody"/>
        <w:outlineLvl w:val="0"/>
        <w:rPr>
          <w:rFonts w:ascii="Calibri" w:eastAsia="Calibri" w:hAnsi="Calibri" w:cs="Calibri"/>
          <w:szCs w:val="20"/>
        </w:rPr>
      </w:pPr>
      <w:r>
        <w:t>While the above activities are beyond the regulatory remit of the NMBA. The NMBA would welcome the opportunity to provide input to assist with the changes required to enable the smooth and successful implementation of designated RN prescribing across Australia.</w:t>
      </w:r>
    </w:p>
    <w:p w14:paraId="26C3855C" w14:textId="735099A0" w:rsidR="00CF17D4" w:rsidRDefault="00CF17D4" w:rsidP="00CF17D4">
      <w:pPr>
        <w:pStyle w:val="AHPRAbody"/>
        <w:outlineLvl w:val="0"/>
      </w:pPr>
      <w:r>
        <w:t xml:space="preserve">The NMBA anticipates that there would not be a large net increase in the number of medicines </w:t>
      </w:r>
      <w:r w:rsidR="006F1839">
        <w:t>prescribed as</w:t>
      </w:r>
      <w:r>
        <w:t xml:space="preserve"> some consumers would have previously had medicines prescribed by a medical practitioner or a nurse practitioner. The increase would be seen with new presentations and in line with growth and requirements in healthcare. </w:t>
      </w:r>
    </w:p>
    <w:p w14:paraId="7A45B66B" w14:textId="44BDADC2" w:rsidR="00AA3C02" w:rsidRPr="001A6263" w:rsidRDefault="00AA3C02" w:rsidP="00216AB8">
      <w:pPr>
        <w:pStyle w:val="AHPRASubheading"/>
        <w:outlineLvl w:val="0"/>
      </w:pPr>
      <w:bookmarkStart w:id="61" w:name="_Toc164692727"/>
      <w:r w:rsidRPr="001A6263">
        <w:t xml:space="preserve">Cost </w:t>
      </w:r>
      <w:r w:rsidR="00EB025B">
        <w:t>b</w:t>
      </w:r>
      <w:r w:rsidR="00EB025B" w:rsidRPr="001A6263">
        <w:t xml:space="preserve">enefit </w:t>
      </w:r>
      <w:r w:rsidR="00EB025B">
        <w:t>a</w:t>
      </w:r>
      <w:r w:rsidR="00EB025B" w:rsidRPr="001A6263">
        <w:t>nalysis</w:t>
      </w:r>
      <w:bookmarkEnd w:id="61"/>
      <w:r w:rsidR="00EB025B" w:rsidRPr="001A6263">
        <w:t xml:space="preserve"> </w:t>
      </w:r>
    </w:p>
    <w:p w14:paraId="5F742AE5" w14:textId="530C71BE" w:rsidR="00AA3C02" w:rsidRDefault="00AA3C02" w:rsidP="00216AB8">
      <w:pPr>
        <w:ind w:right="632"/>
        <w:outlineLvl w:val="0"/>
      </w:pPr>
      <w:r>
        <w:t>It is difficult to undertake a</w:t>
      </w:r>
      <w:r w:rsidR="00EB025B">
        <w:t>n</w:t>
      </w:r>
      <w:r>
        <w:t xml:space="preserve"> economic cost-benefit analysis of options in relation to RNs expanding their scope of practice to prescribe scheduled medicines, because the costs and benefits of social economic impacts can be challenging to quantify. The consultation </w:t>
      </w:r>
      <w:r w:rsidR="00A86696">
        <w:t xml:space="preserve">questions </w:t>
      </w:r>
      <w:r w:rsidR="00B55079">
        <w:t>within the C-RIS</w:t>
      </w:r>
      <w:r w:rsidR="001B2AAD">
        <w:t xml:space="preserve"> </w:t>
      </w:r>
      <w:r w:rsidR="00A86696">
        <w:t xml:space="preserve">were </w:t>
      </w:r>
      <w:r w:rsidR="00A23C5B">
        <w:t xml:space="preserve">developed </w:t>
      </w:r>
      <w:r>
        <w:t xml:space="preserve">to </w:t>
      </w:r>
      <w:r w:rsidR="006C3068">
        <w:t>gathe</w:t>
      </w:r>
      <w:r w:rsidR="00990859">
        <w:t xml:space="preserve">r </w:t>
      </w:r>
      <w:r>
        <w:t xml:space="preserve">further </w:t>
      </w:r>
      <w:r w:rsidR="00214759">
        <w:t xml:space="preserve">information </w:t>
      </w:r>
      <w:r w:rsidR="00DA0CEF">
        <w:t xml:space="preserve">from stakeholders </w:t>
      </w:r>
      <w:r>
        <w:t>on the potential costs and benefits associated with the options presented</w:t>
      </w:r>
      <w:r w:rsidR="00FC045B" w:rsidRPr="004C5738">
        <w:t>.</w:t>
      </w:r>
      <w:r w:rsidRPr="004C5738">
        <w:t xml:space="preserve"> </w:t>
      </w:r>
      <w:r w:rsidR="004137C3">
        <w:t>T</w:t>
      </w:r>
      <w:r w:rsidRPr="004C5738">
        <w:t xml:space="preserve">he </w:t>
      </w:r>
      <w:r w:rsidR="006F5DAF" w:rsidRPr="004C5738">
        <w:t>consultation</w:t>
      </w:r>
      <w:r w:rsidRPr="004C5738">
        <w:t xml:space="preserve"> feedback yielded results that correlate </w:t>
      </w:r>
      <w:r w:rsidR="41A9DDA7" w:rsidRPr="004C5738">
        <w:t>and support</w:t>
      </w:r>
      <w:r w:rsidRPr="004C5738">
        <w:t xml:space="preserve"> </w:t>
      </w:r>
      <w:r w:rsidR="1BE625DB" w:rsidRPr="004C5738">
        <w:t xml:space="preserve">the </w:t>
      </w:r>
      <w:r w:rsidRPr="004C5738">
        <w:t xml:space="preserve">international literature to date </w:t>
      </w:r>
      <w:r w:rsidR="006C3113">
        <w:t xml:space="preserve">that </w:t>
      </w:r>
      <w:r w:rsidRPr="004C5738">
        <w:t xml:space="preserve">describe studies which largely focused on assessing the benefits and effectiveness of non-medical prescribing without </w:t>
      </w:r>
      <w:r w:rsidR="002B2BBB" w:rsidRPr="004C5738">
        <w:t xml:space="preserve">consideration of </w:t>
      </w:r>
      <w:r w:rsidRPr="004C5738">
        <w:t>the cost</w:t>
      </w:r>
      <w:r w:rsidR="002B2BBB" w:rsidRPr="004C5738">
        <w:t>s</w:t>
      </w:r>
      <w:r w:rsidRPr="004C5738">
        <w:t>, economic benefits and resource</w:t>
      </w:r>
      <w:r w:rsidR="00264155" w:rsidRPr="004C5738">
        <w:t>s required</w:t>
      </w:r>
      <w:r w:rsidR="000B787F">
        <w:t>.</w:t>
      </w:r>
      <w:r w:rsidR="000B787F" w:rsidRPr="004C5738" w:rsidDel="000B787F">
        <w:rPr>
          <w:rFonts w:cs="Arial"/>
          <w:vertAlign w:val="superscript"/>
        </w:rPr>
        <w:t xml:space="preserve"> </w:t>
      </w:r>
      <w:r w:rsidR="000B787F">
        <w:rPr>
          <w:rFonts w:cs="Arial"/>
          <w:vertAlign w:val="superscript"/>
        </w:rPr>
        <w:t>71,72</w:t>
      </w:r>
    </w:p>
    <w:p w14:paraId="069E6F22" w14:textId="09B83EE1" w:rsidR="00AA3C02" w:rsidRDefault="00AA3C02" w:rsidP="00216AB8">
      <w:pPr>
        <w:ind w:right="632"/>
        <w:outlineLvl w:val="0"/>
      </w:pPr>
      <w:r>
        <w:t xml:space="preserve">Further, it is difficult to undertake a cost benefit analysis without complex modelling by health economists. The economic evaluation cited in the below tables outlines </w:t>
      </w:r>
      <w:r w:rsidR="007877EC">
        <w:t xml:space="preserve">the </w:t>
      </w:r>
      <w:r>
        <w:t>cost</w:t>
      </w:r>
      <w:r w:rsidR="007877EC">
        <w:t>s</w:t>
      </w:r>
      <w:r>
        <w:t xml:space="preserve"> </w:t>
      </w:r>
      <w:r w:rsidR="007877EC">
        <w:t xml:space="preserve">for </w:t>
      </w:r>
      <w:r>
        <w:t xml:space="preserve">admission to emergency and hospitalisations. Designated RN prescribing </w:t>
      </w:r>
      <w:r w:rsidR="00092BC8">
        <w:t xml:space="preserve">is likely to </w:t>
      </w:r>
      <w:r w:rsidR="00E82114">
        <w:t xml:space="preserve">yield </w:t>
      </w:r>
      <w:r w:rsidR="00092BC8">
        <w:t xml:space="preserve">cost </w:t>
      </w:r>
      <w:r>
        <w:t xml:space="preserve">benefits </w:t>
      </w:r>
      <w:r w:rsidR="00C60FAD">
        <w:t xml:space="preserve">to health services </w:t>
      </w:r>
      <w:r>
        <w:t xml:space="preserve">through reduced emergency departments visits, hospitalisations and </w:t>
      </w:r>
      <w:r w:rsidR="00953E28">
        <w:t xml:space="preserve">improved </w:t>
      </w:r>
      <w:r>
        <w:t xml:space="preserve">hospital flow. </w:t>
      </w:r>
      <w:r w:rsidR="005A1753">
        <w:t>Another</w:t>
      </w:r>
      <w:r w:rsidR="00E66E7F">
        <w:t xml:space="preserve"> important</w:t>
      </w:r>
      <w:r>
        <w:t xml:space="preserve"> benefit </w:t>
      </w:r>
      <w:r w:rsidR="00202B33">
        <w:t xml:space="preserve">will be </w:t>
      </w:r>
      <w:r>
        <w:t>to patients and health consumers</w:t>
      </w:r>
      <w:r w:rsidR="00202B33">
        <w:t>’</w:t>
      </w:r>
      <w:r>
        <w:t xml:space="preserve"> quality of life and their experiences afforded by this opportunity</w:t>
      </w:r>
      <w:r w:rsidR="00606DA4">
        <w:t>.</w:t>
      </w:r>
      <w:r>
        <w:t xml:space="preserve"> </w:t>
      </w:r>
      <w:r w:rsidR="00606DA4">
        <w:t>Designated RN prescribing</w:t>
      </w:r>
      <w:r>
        <w:t xml:space="preserve"> will enable </w:t>
      </w:r>
      <w:r w:rsidR="00606DA4">
        <w:t xml:space="preserve">some patients </w:t>
      </w:r>
      <w:r>
        <w:t>to have treatment in their homes and their communities, rurally and remote or where appropriate, equally and with greater access.</w:t>
      </w:r>
    </w:p>
    <w:p w14:paraId="3047E608" w14:textId="4A9FD6D8" w:rsidR="000C12FC" w:rsidRPr="003C3D8D" w:rsidRDefault="000C12FC" w:rsidP="003C3D8D">
      <w:pPr>
        <w:pStyle w:val="AHPRAbody"/>
      </w:pPr>
      <w:r w:rsidRPr="003C3D8D">
        <w:t>T</w:t>
      </w:r>
      <w:r w:rsidR="00AA3C02" w:rsidRPr="003C3D8D">
        <w:t xml:space="preserve">he value </w:t>
      </w:r>
      <w:r w:rsidRPr="003C3D8D">
        <w:t xml:space="preserve">of </w:t>
      </w:r>
      <w:r w:rsidR="00AA3C02" w:rsidRPr="003C3D8D">
        <w:t xml:space="preserve">designated RN prescribing is </w:t>
      </w:r>
      <w:r w:rsidRPr="003C3D8D">
        <w:t>evident when reviewing cost of emergency department visits, hospitalisations</w:t>
      </w:r>
      <w:r>
        <w:t xml:space="preserve">, </w:t>
      </w:r>
      <w:r w:rsidRPr="003C3D8D">
        <w:t>transfers for acute care and experiences of health consumers and their famil</w:t>
      </w:r>
      <w:r>
        <w:t>ies</w:t>
      </w:r>
      <w:r w:rsidRPr="003C3D8D">
        <w:t xml:space="preserve">. </w:t>
      </w:r>
    </w:p>
    <w:p w14:paraId="071A19F6" w14:textId="6320348C" w:rsidR="00AA3C02" w:rsidRDefault="00560332" w:rsidP="00216AB8">
      <w:pPr>
        <w:pStyle w:val="AHPRAbody"/>
        <w:outlineLvl w:val="0"/>
      </w:pPr>
      <w:r>
        <w:t>However,</w:t>
      </w:r>
      <w:r w:rsidR="000C12FC">
        <w:t xml:space="preserve"> </w:t>
      </w:r>
      <w:r w:rsidR="003C3D8D">
        <w:t>t</w:t>
      </w:r>
      <w:r w:rsidR="00AA3C02">
        <w:t>ools to evaluate the costs of monetary value is difficult to quantify for the following reasons:</w:t>
      </w:r>
    </w:p>
    <w:p w14:paraId="0F62A519" w14:textId="5D43420A" w:rsidR="00AA3C02" w:rsidRDefault="00AA3C02" w:rsidP="00216AB8">
      <w:pPr>
        <w:pStyle w:val="AHPRABulletlevel1last"/>
        <w:outlineLvl w:val="0"/>
      </w:pPr>
      <w:r>
        <w:t xml:space="preserve">PBS and </w:t>
      </w:r>
      <w:r w:rsidR="00740BDE">
        <w:t xml:space="preserve">MBS services </w:t>
      </w:r>
      <w:r>
        <w:t>for designated RN prescribers are not available which would impact on data to inform a cost benefit analysis in primary care</w:t>
      </w:r>
    </w:p>
    <w:p w14:paraId="5664626F" w14:textId="13E8D820" w:rsidR="00AA3C02" w:rsidRDefault="00AA3C02" w:rsidP="00216AB8">
      <w:pPr>
        <w:pStyle w:val="AHPRABulletlevel1last"/>
        <w:outlineLvl w:val="0"/>
      </w:pPr>
      <w:r>
        <w:t xml:space="preserve">There </w:t>
      </w:r>
      <w:r w:rsidR="00FF0857">
        <w:t>ha</w:t>
      </w:r>
      <w:r w:rsidR="00C72049">
        <w:t>s</w:t>
      </w:r>
      <w:r w:rsidR="00FF0857">
        <w:t xml:space="preserve"> been </w:t>
      </w:r>
      <w:r>
        <w:t xml:space="preserve">no pre </w:t>
      </w:r>
      <w:r w:rsidR="00482F81">
        <w:t xml:space="preserve">or </w:t>
      </w:r>
      <w:r>
        <w:t xml:space="preserve">post evaluation undertaken </w:t>
      </w:r>
      <w:r w:rsidR="00C132CE">
        <w:t xml:space="preserve">in </w:t>
      </w:r>
      <w:r w:rsidR="00C72049">
        <w:t xml:space="preserve">any of the </w:t>
      </w:r>
      <w:r w:rsidR="00C132CE">
        <w:t xml:space="preserve">countries where </w:t>
      </w:r>
      <w:r>
        <w:t xml:space="preserve">RN prescribing </w:t>
      </w:r>
      <w:r w:rsidR="00C132CE">
        <w:t xml:space="preserve">has been </w:t>
      </w:r>
      <w:r w:rsidR="00C72049">
        <w:t>implemented</w:t>
      </w:r>
    </w:p>
    <w:p w14:paraId="6421188F" w14:textId="36783002" w:rsidR="00AA3C02" w:rsidRDefault="00004D2C" w:rsidP="00216AB8">
      <w:pPr>
        <w:pStyle w:val="AHPRABulletlevel1last"/>
        <w:outlineLvl w:val="0"/>
      </w:pPr>
      <w:r>
        <w:t xml:space="preserve">There is very little quantitative </w:t>
      </w:r>
      <w:r w:rsidR="00AA3C02">
        <w:t xml:space="preserve">data </w:t>
      </w:r>
      <w:r w:rsidR="00C9390F">
        <w:t>related to RN prescribing and</w:t>
      </w:r>
      <w:r w:rsidR="00AA3C02">
        <w:t xml:space="preserve"> length of stay and the literature</w:t>
      </w:r>
      <w:r w:rsidR="00A547D6">
        <w:t xml:space="preserve"> available</w:t>
      </w:r>
      <w:r w:rsidR="00AA3C02">
        <w:t xml:space="preserve"> is outdated</w:t>
      </w:r>
    </w:p>
    <w:p w14:paraId="64B816CA" w14:textId="3BD691B2" w:rsidR="00AA3C02" w:rsidRDefault="00AA3C02" w:rsidP="00216AB8">
      <w:pPr>
        <w:pStyle w:val="AHPRABulletlevel1last"/>
        <w:outlineLvl w:val="0"/>
      </w:pPr>
      <w:r>
        <w:t xml:space="preserve">There is no adequate quantitative data related to RN prescribing and reduced emergency </w:t>
      </w:r>
      <w:r w:rsidR="00C9390F">
        <w:t xml:space="preserve">department </w:t>
      </w:r>
      <w:r>
        <w:t>visits or hospitalisations</w:t>
      </w:r>
    </w:p>
    <w:p w14:paraId="054F325B" w14:textId="0A403AA6" w:rsidR="00AA3C02" w:rsidRPr="00A86371" w:rsidRDefault="00C81011" w:rsidP="00216AB8">
      <w:pPr>
        <w:pStyle w:val="AHPRABulletlevel1last"/>
        <w:outlineLvl w:val="0"/>
      </w:pPr>
      <w:r>
        <w:t xml:space="preserve">The designated RN prescribing </w:t>
      </w:r>
      <w:r w:rsidR="00AA3C02">
        <w:t>model has not been introduced in Australia and whilst the NP role was introduced in 2000</w:t>
      </w:r>
      <w:r w:rsidR="00967E28">
        <w:t xml:space="preserve">, </w:t>
      </w:r>
      <w:r w:rsidR="00AA3C02">
        <w:t xml:space="preserve">no cost effectiveness analysis, cost unit analysis or cost benefit analysis </w:t>
      </w:r>
      <w:r w:rsidR="00967E28">
        <w:t xml:space="preserve">has been </w:t>
      </w:r>
      <w:r w:rsidR="00AA3C02">
        <w:t>undertaken</w:t>
      </w:r>
      <w:r w:rsidR="00967E28">
        <w:t>. T</w:t>
      </w:r>
      <w:r w:rsidR="00AA3C02">
        <w:t>he majority of research to date has been around clinical effectiveness and patient outcomes</w:t>
      </w:r>
      <w:r w:rsidR="004137C3">
        <w:t>.</w:t>
      </w:r>
      <w:r w:rsidR="00AA3C02">
        <w:t xml:space="preserve"> </w:t>
      </w:r>
    </w:p>
    <w:p w14:paraId="4A4B80E9" w14:textId="584F0C53" w:rsidR="00AA3C02" w:rsidRPr="006F4D7B" w:rsidRDefault="00AA3C02" w:rsidP="00216AB8">
      <w:pPr>
        <w:pStyle w:val="AHPRAbody"/>
        <w:outlineLvl w:val="0"/>
        <w:rPr>
          <w:vertAlign w:val="superscript"/>
        </w:rPr>
      </w:pPr>
      <w:r>
        <w:t xml:space="preserve">Quality </w:t>
      </w:r>
      <w:r w:rsidR="001627F3">
        <w:t xml:space="preserve">adjusted </w:t>
      </w:r>
      <w:r>
        <w:t xml:space="preserve">life years (QALYs) and life years gained </w:t>
      </w:r>
      <w:r w:rsidR="004F78E3">
        <w:t>is a measure commonly used</w:t>
      </w:r>
      <w:r>
        <w:t xml:space="preserve"> in international studies related to international pharmacist </w:t>
      </w:r>
      <w:r w:rsidR="000C0310">
        <w:t xml:space="preserve">and </w:t>
      </w:r>
      <w:r w:rsidR="00FD5636">
        <w:t>non-medical</w:t>
      </w:r>
      <w:r w:rsidR="000C0310">
        <w:t xml:space="preserve"> </w:t>
      </w:r>
      <w:r>
        <w:t>prescribing</w:t>
      </w:r>
      <w:r w:rsidR="008D37D8">
        <w:t xml:space="preserve"> </w:t>
      </w:r>
      <w:r w:rsidR="00E12A31">
        <w:rPr>
          <w:vertAlign w:val="superscript"/>
        </w:rPr>
        <w:t>71,72</w:t>
      </w:r>
      <w:r>
        <w:t xml:space="preserve">. </w:t>
      </w:r>
      <w:r w:rsidR="00D85CB1">
        <w:t xml:space="preserve">In </w:t>
      </w:r>
      <w:r w:rsidR="004D6520">
        <w:t xml:space="preserve">the </w:t>
      </w:r>
      <w:r>
        <w:t>2018</w:t>
      </w:r>
      <w:r w:rsidR="00203746">
        <w:t xml:space="preserve"> KPMG </w:t>
      </w:r>
      <w:r w:rsidR="004D6520">
        <w:t>Australian</w:t>
      </w:r>
      <w:r w:rsidR="00203746">
        <w:t xml:space="preserve"> </w:t>
      </w:r>
      <w:r w:rsidR="00320E7F">
        <w:t>NP</w:t>
      </w:r>
      <w:r w:rsidR="008333D3">
        <w:t xml:space="preserve"> model </w:t>
      </w:r>
      <w:r>
        <w:t xml:space="preserve">of </w:t>
      </w:r>
      <w:r w:rsidR="008333D3">
        <w:t>care cost benefit analysis</w:t>
      </w:r>
      <w:r w:rsidR="00F20333">
        <w:t xml:space="preserve"> it was</w:t>
      </w:r>
      <w:r w:rsidR="008333D3">
        <w:t xml:space="preserve"> </w:t>
      </w:r>
      <w:r>
        <w:t xml:space="preserve">estimated </w:t>
      </w:r>
      <w:r w:rsidR="00F20333">
        <w:t xml:space="preserve">that there were </w:t>
      </w:r>
      <w:r>
        <w:t>QALY gains from NPs.</w:t>
      </w:r>
      <w:r w:rsidR="00E30D69">
        <w:t xml:space="preserve"> </w:t>
      </w:r>
      <w:r w:rsidR="005315CD">
        <w:rPr>
          <w:vertAlign w:val="superscript"/>
        </w:rPr>
        <w:t>86</w:t>
      </w:r>
      <w:r w:rsidRPr="5AA7423A">
        <w:rPr>
          <w:vertAlign w:val="superscript"/>
        </w:rPr>
        <w:t xml:space="preserve"> </w:t>
      </w:r>
      <w:r w:rsidR="005315CD">
        <w:rPr>
          <w:vertAlign w:val="superscript"/>
        </w:rPr>
        <w:t xml:space="preserve"> </w:t>
      </w:r>
      <w:r>
        <w:t xml:space="preserve">It would be prudent of the government in future to undertake a cost benefit analysis in monetary terms using the disability of adjusted life years (DALYs), QALYs and additional sensitivity analyses such as the value of </w:t>
      </w:r>
      <w:r>
        <w:lastRenderedPageBreak/>
        <w:t>statistical life years gained (VSLY)</w:t>
      </w:r>
      <w:r w:rsidR="00D36CD2">
        <w:t>.</w:t>
      </w:r>
      <w:r w:rsidRPr="78D3F9AE">
        <w:rPr>
          <w:vertAlign w:val="superscript"/>
        </w:rPr>
        <w:t xml:space="preserve"> </w:t>
      </w:r>
      <w:r w:rsidR="00001C62">
        <w:rPr>
          <w:vertAlign w:val="superscript"/>
        </w:rPr>
        <w:t>9</w:t>
      </w:r>
      <w:r w:rsidR="00457050">
        <w:rPr>
          <w:vertAlign w:val="superscript"/>
        </w:rPr>
        <w:t xml:space="preserve">1 </w:t>
      </w:r>
      <w:r w:rsidR="00D36CD2">
        <w:t>This could</w:t>
      </w:r>
      <w:r>
        <w:t xml:space="preserve"> quantify the effects of designated RN prescribing </w:t>
      </w:r>
      <w:r w:rsidR="541F38C0">
        <w:t>and the impact</w:t>
      </w:r>
      <w:r w:rsidR="5CBF02FD">
        <w:t xml:space="preserve"> of</w:t>
      </w:r>
      <w:r w:rsidR="541F38C0" w:rsidRPr="006F4D7B">
        <w:t xml:space="preserve"> </w:t>
      </w:r>
      <w:r w:rsidRPr="006F4D7B">
        <w:t>N</w:t>
      </w:r>
      <w:r>
        <w:t>P</w:t>
      </w:r>
      <w:r w:rsidR="4DB307BA">
        <w:t>s</w:t>
      </w:r>
      <w:r>
        <w:t xml:space="preserve">. </w:t>
      </w:r>
    </w:p>
    <w:p w14:paraId="79B7B728" w14:textId="5C406FA3" w:rsidR="00181DB5" w:rsidRDefault="00AA3C02" w:rsidP="00216AB8">
      <w:pPr>
        <w:pStyle w:val="AHPRAbody"/>
        <w:outlineLvl w:val="0"/>
      </w:pPr>
      <w:r>
        <w:t xml:space="preserve">A hypothetical cost benefit analysis has been </w:t>
      </w:r>
      <w:r w:rsidR="003D5312">
        <w:t>formulated for designated RN prescribing with</w:t>
      </w:r>
      <w:r>
        <w:t xml:space="preserve"> a wider health system perspective</w:t>
      </w:r>
      <w:r w:rsidR="00F131C5">
        <w:t xml:space="preserve">. This </w:t>
      </w:r>
      <w:r w:rsidR="00750850">
        <w:t>analysis</w:t>
      </w:r>
      <w:r w:rsidR="00A86371">
        <w:t xml:space="preserve"> </w:t>
      </w:r>
      <w:r>
        <w:t xml:space="preserve">has been guided by the literature and </w:t>
      </w:r>
      <w:r w:rsidR="00BF78D3">
        <w:t xml:space="preserve">data from the </w:t>
      </w:r>
      <w:r>
        <w:t>Australian Institute of Health and Wellbeing</w:t>
      </w:r>
      <w:r w:rsidR="0043249F">
        <w:t xml:space="preserve"> and the Independent Health and Aged Care Pricing Authority</w:t>
      </w:r>
      <w:r>
        <w:t xml:space="preserve">. </w:t>
      </w:r>
    </w:p>
    <w:p w14:paraId="23100290" w14:textId="62479A06" w:rsidR="00FB3D32" w:rsidRPr="006F4D7B" w:rsidRDefault="00682E93" w:rsidP="00216AB8">
      <w:pPr>
        <w:pStyle w:val="AHPRAbody"/>
        <w:outlineLvl w:val="0"/>
      </w:pPr>
      <w:r>
        <w:t xml:space="preserve">The </w:t>
      </w:r>
      <w:r w:rsidR="0063147B" w:rsidRPr="006F4D7B">
        <w:t xml:space="preserve">case-based </w:t>
      </w:r>
      <w:r w:rsidR="00FB3D32" w:rsidRPr="006F4D7B">
        <w:t xml:space="preserve">scenarios presented </w:t>
      </w:r>
      <w:r w:rsidR="000737EB" w:rsidRPr="006F4D7B">
        <w:t>earlier</w:t>
      </w:r>
      <w:r w:rsidR="00FB3D32" w:rsidRPr="006F4D7B">
        <w:t xml:space="preserve"> in </w:t>
      </w:r>
      <w:r w:rsidR="00A560D7" w:rsidRPr="006F4D7B">
        <w:t xml:space="preserve">Option 1 </w:t>
      </w:r>
      <w:r w:rsidR="7688F83C" w:rsidRPr="006F4D7B">
        <w:t>are re</w:t>
      </w:r>
      <w:r w:rsidR="26E9C6C8">
        <w:t>-presented</w:t>
      </w:r>
      <w:r w:rsidR="7688F83C" w:rsidRPr="006F4D7B">
        <w:t xml:space="preserve"> </w:t>
      </w:r>
      <w:r w:rsidR="00F5439D" w:rsidRPr="006F4D7B">
        <w:t>with the inclusion</w:t>
      </w:r>
      <w:r w:rsidR="00005EBB" w:rsidRPr="006F4D7B">
        <w:t xml:space="preserve"> of</w:t>
      </w:r>
      <w:r w:rsidR="00874CDF" w:rsidRPr="006F4D7B">
        <w:t xml:space="preserve"> a</w:t>
      </w:r>
      <w:r w:rsidR="0050144D" w:rsidRPr="006F4D7B">
        <w:t xml:space="preserve"> designated RN prescriber</w:t>
      </w:r>
      <w:r w:rsidR="00874CDF" w:rsidRPr="006F4D7B">
        <w:t xml:space="preserve"> to provide a direct comparison of </w:t>
      </w:r>
      <w:r w:rsidR="0F89B633" w:rsidRPr="006F4D7B">
        <w:t xml:space="preserve">patient management with a designated RN prescriber involved in </w:t>
      </w:r>
      <w:r w:rsidR="1A70BEFB" w:rsidRPr="006F4D7B">
        <w:t>the episode of care</w:t>
      </w:r>
      <w:r w:rsidR="0F89B633" w:rsidRPr="006F4D7B">
        <w:t>.</w:t>
      </w:r>
      <w:r w:rsidR="003C1B37">
        <w:t xml:space="preserve"> There are also new scenarios that highlight the value on designated RN prescribing</w:t>
      </w:r>
      <w:r w:rsidR="001726AA">
        <w:t xml:space="preserve"> that have been provided directly from clinicians.</w:t>
      </w:r>
    </w:p>
    <w:p w14:paraId="1D824363" w14:textId="22AA80B0" w:rsidR="00E014F0" w:rsidRPr="00BF3BE8" w:rsidRDefault="00E014F0" w:rsidP="00216AB8">
      <w:pPr>
        <w:pStyle w:val="AHPRASubheadinglevel3"/>
        <w:outlineLvl w:val="0"/>
      </w:pPr>
      <w:r>
        <w:t>Case study: Nellie’s journey</w:t>
      </w:r>
    </w:p>
    <w:p w14:paraId="6D602D59" w14:textId="22A1657B" w:rsidR="00CA77C9" w:rsidRPr="00586F7C" w:rsidRDefault="00E014F0" w:rsidP="00216AB8">
      <w:pPr>
        <w:pStyle w:val="AHPRAbody"/>
        <w:outlineLvl w:val="0"/>
      </w:pPr>
      <w:r w:rsidRPr="00CA77C9">
        <w:t>Nellie, an 85-year-old resident with new onset dementia living in an aged care facility had become increasingly confused. Nellie ha</w:t>
      </w:r>
      <w:r w:rsidR="001B4065">
        <w:t>s</w:t>
      </w:r>
      <w:r w:rsidRPr="00CA77C9">
        <w:t xml:space="preserve"> a urine test collected for pathology and initial in-facility testing retur</w:t>
      </w:r>
      <w:r w:rsidR="001B4065">
        <w:t>ns</w:t>
      </w:r>
      <w:r w:rsidRPr="00CA77C9">
        <w:t xml:space="preserve"> a urinalysis reading </w:t>
      </w:r>
      <w:r w:rsidR="00586F7C">
        <w:t>indicating</w:t>
      </w:r>
      <w:r w:rsidRPr="00CA77C9">
        <w:t xml:space="preserve"> infection. The RN in charge is endorsed as a designated RN prescriber and </w:t>
      </w:r>
      <w:r w:rsidRPr="00586F7C">
        <w:t>reviews Nellie</w:t>
      </w:r>
      <w:r w:rsidR="004C1FFF">
        <w:t>’s</w:t>
      </w:r>
      <w:r w:rsidRPr="00586F7C">
        <w:t xml:space="preserve"> history before undertaking further examination to rule out other causes for the confusion and diagnoses a UTI based on additional pathology sensitivities. The designated RN prescriber consults with the facility’s </w:t>
      </w:r>
      <w:r w:rsidR="00320E7F">
        <w:t>NP</w:t>
      </w:r>
      <w:r w:rsidR="00811CD1" w:rsidRPr="00586F7C">
        <w:t xml:space="preserve"> (</w:t>
      </w:r>
      <w:r w:rsidRPr="00586F7C">
        <w:t>identified in the prescribing agreement</w:t>
      </w:r>
      <w:r w:rsidR="00811CD1" w:rsidRPr="00586F7C">
        <w:t>)</w:t>
      </w:r>
      <w:r w:rsidRPr="00586F7C">
        <w:t xml:space="preserve"> via telehealth to discuss Nellie</w:t>
      </w:r>
      <w:r w:rsidR="00125818">
        <w:t>’</w:t>
      </w:r>
      <w:r w:rsidRPr="00586F7C">
        <w:t xml:space="preserve">s case. A collaborative decision is made that Nellie commence on oral antibiotics and </w:t>
      </w:r>
      <w:r w:rsidR="002200E8" w:rsidRPr="00586F7C">
        <w:t>paracetamol</w:t>
      </w:r>
      <w:r w:rsidR="00CA77C9" w:rsidRPr="00586F7C">
        <w:t xml:space="preserve">. The designated RN prescriber completes the medication chart. A copy is sent to the pharmacy </w:t>
      </w:r>
      <w:r w:rsidR="00125818">
        <w:t xml:space="preserve">and </w:t>
      </w:r>
      <w:r w:rsidR="00A441DF">
        <w:t>the</w:t>
      </w:r>
      <w:r w:rsidR="00125818" w:rsidRPr="00586F7C">
        <w:t xml:space="preserve"> </w:t>
      </w:r>
      <w:r w:rsidR="00CA77C9" w:rsidRPr="00586F7C">
        <w:t xml:space="preserve">pharmacist reviews the order, prepares, and dispenses the medication to the facility where an RN administers the first dose and monitor for any signs of allergic reaction. Nellie’s family have been contacted during the process and are aware of the updates on Nellie. Nellie is reviewed 24 hours after commencing the antibiotics by the designated RN prescriber. </w:t>
      </w:r>
      <w:r w:rsidR="00A441DF">
        <w:t>Three days</w:t>
      </w:r>
      <w:r w:rsidR="00CA77C9" w:rsidRPr="00586F7C">
        <w:t xml:space="preserve"> after commencing the antibiotics Nellie’s acute confusion had resolved. </w:t>
      </w:r>
    </w:p>
    <w:p w14:paraId="1978BF09" w14:textId="77777777" w:rsidR="00586F7C" w:rsidRPr="00466793" w:rsidRDefault="00586F7C" w:rsidP="00216AB8">
      <w:pPr>
        <w:pStyle w:val="AHPRASubheadinglevel3"/>
        <w:outlineLvl w:val="0"/>
      </w:pPr>
      <w:r w:rsidRPr="00466793">
        <w:t xml:space="preserve">Case </w:t>
      </w:r>
      <w:r>
        <w:t>s</w:t>
      </w:r>
      <w:r w:rsidRPr="00466793">
        <w:t>tudy: Charlie</w:t>
      </w:r>
      <w:r>
        <w:t>’</w:t>
      </w:r>
      <w:r w:rsidRPr="00466793">
        <w:t xml:space="preserve">s </w:t>
      </w:r>
      <w:r>
        <w:t>j</w:t>
      </w:r>
      <w:r w:rsidRPr="00466793">
        <w:t>ourney</w:t>
      </w:r>
    </w:p>
    <w:p w14:paraId="2036A679" w14:textId="3F29BCA7" w:rsidR="00AA3C02" w:rsidRPr="000A70D9" w:rsidRDefault="00AA3C02" w:rsidP="00216AB8">
      <w:pPr>
        <w:pStyle w:val="AHPRAbody"/>
        <w:outlineLvl w:val="0"/>
      </w:pPr>
      <w:r w:rsidRPr="00D77DEE">
        <w:t xml:space="preserve">73-year-old </w:t>
      </w:r>
      <w:r>
        <w:t xml:space="preserve">Charlie lives at home </w:t>
      </w:r>
      <w:r w:rsidRPr="00D77DEE">
        <w:t>with end stage liver failure and encephalopathy</w:t>
      </w:r>
      <w:r>
        <w:t xml:space="preserve">. Charlie’s condition deteriorated quickly on the weekend. </w:t>
      </w:r>
      <w:r w:rsidRPr="00D77DEE">
        <w:t>Charlie was being cared for by the community palliative care nurse consultant</w:t>
      </w:r>
      <w:r>
        <w:t xml:space="preserve"> who was also a </w:t>
      </w:r>
      <w:r w:rsidRPr="002B684F">
        <w:t>ha</w:t>
      </w:r>
      <w:r>
        <w:t>d</w:t>
      </w:r>
      <w:r w:rsidRPr="002B684F">
        <w:t xml:space="preserve"> an endorsement for scheduled medicines for RNs</w:t>
      </w:r>
      <w:r>
        <w:t>.</w:t>
      </w:r>
      <w:r w:rsidRPr="00D77DEE">
        <w:t xml:space="preserve"> Discussions with the family regarding </w:t>
      </w:r>
      <w:r>
        <w:t xml:space="preserve">Charlie’s wishes had occurred at the commencement of care eight weeks ago. </w:t>
      </w:r>
      <w:r w:rsidRPr="00D77DEE">
        <w:t>Charlie becomes terminally agitated and distressed which also caused immense distress to the family. At the time no palliative care medications were in place. The community palliative care nurse consultant was c</w:t>
      </w:r>
      <w:r>
        <w:t>alled by the family and was able to visit Charlie with his family present to review and examine Charlie and revisit both Charlie and the families wishes. The RN calls the GP via telephone to provide a handover of the situation and to discuss the wishes of the patient documented in the history. The RN and the GP agree collaboratively that a syringe driver be commenced using morphine and midazolam and the RN prepares a script according to the schedule 8 drugs requirements and sends this to the local hospital pharmacy. The pharmacist reviews the order, prepares, and dispenses the medication. The syringe driver is commenced by the palliative nurse consultant also follows up with Charlie</w:t>
      </w:r>
      <w:r w:rsidR="00B81A59">
        <w:t>’</w:t>
      </w:r>
      <w:r>
        <w:t xml:space="preserve">s family by phone at the end of the shift to assess Charlie’s comfort. Charlie is visited twice a day by the endorsed palliative care nurse until his death 2 days later. Charlie was able to die in his home with dignity </w:t>
      </w:r>
      <w:r w:rsidRPr="000A70D9">
        <w:t>surrounded by his wife and family.</w:t>
      </w:r>
    </w:p>
    <w:p w14:paraId="2963EBA2" w14:textId="77777777" w:rsidR="00140D62" w:rsidRPr="00D81476" w:rsidRDefault="00140D62" w:rsidP="00216AB8">
      <w:pPr>
        <w:pStyle w:val="AHPRASubheadinglevel3"/>
        <w:outlineLvl w:val="0"/>
      </w:pPr>
      <w:r w:rsidRPr="00D81476">
        <w:t xml:space="preserve">Case </w:t>
      </w:r>
      <w:r>
        <w:t>s</w:t>
      </w:r>
      <w:r w:rsidRPr="00D81476">
        <w:t>tudy: George</w:t>
      </w:r>
      <w:r>
        <w:t>’</w:t>
      </w:r>
      <w:r w:rsidRPr="00D81476">
        <w:t xml:space="preserve">s </w:t>
      </w:r>
      <w:r>
        <w:t>j</w:t>
      </w:r>
      <w:r w:rsidRPr="00D81476">
        <w:t xml:space="preserve">ourney </w:t>
      </w:r>
    </w:p>
    <w:p w14:paraId="0AB21978" w14:textId="66CF82A2" w:rsidR="00AA3C02" w:rsidRDefault="00AA3C02" w:rsidP="00216AB8">
      <w:pPr>
        <w:pStyle w:val="AHPRAbody"/>
        <w:outlineLvl w:val="0"/>
      </w:pPr>
      <w:r w:rsidRPr="5AA7423A">
        <w:t xml:space="preserve">George was a 77-year-old with a history of anaemia and bowel malignancy being treated for symptom management only. George lived at home with his wife who was his primary carer and </w:t>
      </w:r>
      <w:r w:rsidR="00B81A59">
        <w:t>he</w:t>
      </w:r>
      <w:r w:rsidR="00B81A59" w:rsidRPr="5AA7423A">
        <w:t xml:space="preserve"> </w:t>
      </w:r>
      <w:r w:rsidRPr="5AA7423A">
        <w:t>deteriorated quickly at home. His wife called the GP on locum assignment who referred a palliative care nurse consultant attached to the clinic with an endorsement for scheduled medicines to review George in his home. The RN reviewed and assessed George and spoke extensively to his wife and his son who was the medical power of attorney. The RN spoke with the GP to discuss the consultation with George</w:t>
      </w:r>
      <w:r w:rsidR="00954C76">
        <w:t>’</w:t>
      </w:r>
      <w:r w:rsidRPr="5AA7423A">
        <w:t>s family and decided on a plan to commence a syringe driver of Glycopyrrolate, morphine and midazolam for pain and comfort in agreeance with the family and George</w:t>
      </w:r>
      <w:r w:rsidR="00D2232E">
        <w:t>’</w:t>
      </w:r>
      <w:r w:rsidRPr="5AA7423A">
        <w:t>s wishes</w:t>
      </w:r>
      <w:r w:rsidRPr="5AA7423A">
        <w:rPr>
          <w:color w:val="404040" w:themeColor="text1" w:themeTint="BF"/>
        </w:rPr>
        <w:t xml:space="preserve">. </w:t>
      </w:r>
      <w:r w:rsidRPr="00A703E6">
        <w:t xml:space="preserve">A collaborative </w:t>
      </w:r>
      <w:r w:rsidRPr="5AA7423A">
        <w:t>plan was set out by the GP and the palliative care nurse and under indirect supervision the RN was able to complete the script and prescribe the medications. This was then sent to the pharmacy and couriered in a locked box only accessible by code by the RN. In the interim</w:t>
      </w:r>
      <w:r w:rsidR="003F146A">
        <w:t>,</w:t>
      </w:r>
      <w:r w:rsidRPr="5AA7423A">
        <w:t xml:space="preserve"> the RN was able to educate George</w:t>
      </w:r>
      <w:r w:rsidR="003F146A">
        <w:t>’</w:t>
      </w:r>
      <w:r w:rsidRPr="5AA7423A">
        <w:t>s family on the syringe driver, its use and what to expect. When the medications arrived, the RN was able to prepare the syringe driver for use. This is communicated to the wider team and documented.</w:t>
      </w:r>
    </w:p>
    <w:p w14:paraId="7A9E14E5" w14:textId="71BF08B4" w:rsidR="00292157" w:rsidRDefault="00292157" w:rsidP="00216AB8">
      <w:pPr>
        <w:pStyle w:val="AHPRASubheadinglevel3"/>
        <w:outlineLvl w:val="0"/>
      </w:pPr>
      <w:r>
        <w:lastRenderedPageBreak/>
        <w:t>Case study: Tarni’s journey</w:t>
      </w:r>
    </w:p>
    <w:p w14:paraId="7235FED7" w14:textId="651989B9" w:rsidR="00AA3C02" w:rsidRPr="001C3B0D" w:rsidRDefault="4BF1E32D" w:rsidP="00216AB8">
      <w:pPr>
        <w:pStyle w:val="AHPRAbody"/>
        <w:outlineLvl w:val="0"/>
      </w:pPr>
      <w:r w:rsidRPr="001C3B0D">
        <w:t xml:space="preserve">Tarni is </w:t>
      </w:r>
      <w:r w:rsidR="00292157" w:rsidRPr="001C3B0D">
        <w:t xml:space="preserve">a </w:t>
      </w:r>
      <w:r w:rsidR="001C3B0D" w:rsidRPr="001C3B0D">
        <w:t>19-year-old</w:t>
      </w:r>
      <w:r w:rsidRPr="001C3B0D">
        <w:t xml:space="preserve"> Aboriginal and Torres Strait Islander female who presents complaining of lower abdominal pain for a few days. The designated RN prescriber undertakes a full patient history and nursing assessment as the patient has not had a health assessment for 12 months. This includes a diabetic screen as both parents have type 2 diabetes.  A urine test, pregnancy test and sexually transmitted infection (STI) screen is undertaken based on the RN assessment. The STI screen is positive. The RN designated prescriber, under a supervised prescribing agreement, prescribes the required treatment which, if not prescribed, could result in severe pelvic inflammatory disease and evacuation to the hospital. Through timely assessment of Tarni</w:t>
      </w:r>
      <w:r w:rsidR="001C3B0D" w:rsidRPr="001C3B0D">
        <w:t>’</w:t>
      </w:r>
      <w:r w:rsidRPr="001C3B0D">
        <w:t xml:space="preserve">s health status and </w:t>
      </w:r>
      <w:r w:rsidR="00AB3FC9">
        <w:t>appropriate</w:t>
      </w:r>
      <w:r w:rsidR="00AB3FC9" w:rsidRPr="001C3B0D">
        <w:t xml:space="preserve"> </w:t>
      </w:r>
      <w:r w:rsidRPr="001C3B0D">
        <w:t xml:space="preserve">response to her needs, including prescribing, the </w:t>
      </w:r>
      <w:r w:rsidR="001C3B0D" w:rsidRPr="001C3B0D">
        <w:t xml:space="preserve">designated </w:t>
      </w:r>
      <w:r w:rsidRPr="001C3B0D">
        <w:t>RN</w:t>
      </w:r>
      <w:r w:rsidR="001C3B0D" w:rsidRPr="001C3B0D">
        <w:t xml:space="preserve"> prescriber</w:t>
      </w:r>
      <w:r w:rsidRPr="001C3B0D">
        <w:t xml:space="preserve"> establishes a trusted relationship with the Aboriginal and Torres Strait Islander person and their family members</w:t>
      </w:r>
      <w:r w:rsidR="00D10020">
        <w:t>. This resulted in</w:t>
      </w:r>
      <w:r w:rsidRPr="001C3B0D">
        <w:t xml:space="preserve"> encouraging ongoing service engagement </w:t>
      </w:r>
      <w:r w:rsidR="009B7ABE">
        <w:t xml:space="preserve">which </w:t>
      </w:r>
      <w:r w:rsidRPr="001C3B0D">
        <w:t xml:space="preserve">positively </w:t>
      </w:r>
      <w:r w:rsidR="009B7ABE" w:rsidRPr="001C3B0D">
        <w:t>impact</w:t>
      </w:r>
      <w:r w:rsidR="009B7ABE">
        <w:t>ed</w:t>
      </w:r>
      <w:r w:rsidR="009B7ABE" w:rsidRPr="001C3B0D">
        <w:t xml:space="preserve"> </w:t>
      </w:r>
      <w:r w:rsidRPr="001C3B0D">
        <w:t>on</w:t>
      </w:r>
      <w:r w:rsidR="009B7ABE">
        <w:t xml:space="preserve"> Tarni</w:t>
      </w:r>
      <w:r w:rsidR="008348F1">
        <w:t xml:space="preserve">’s </w:t>
      </w:r>
      <w:r w:rsidRPr="001C3B0D">
        <w:t>health care outcomes. The designated RN prescriber works to enhance access to timely, holistic, responsive, and culturally safe care in the management of acute and chronic services in a rural Aboriginal community-controlled health clinic.</w:t>
      </w:r>
    </w:p>
    <w:p w14:paraId="0B99824D" w14:textId="63D0E705" w:rsidR="00AA3C02" w:rsidRPr="00DD4163" w:rsidRDefault="00AA3C02" w:rsidP="00216AB8">
      <w:pPr>
        <w:pStyle w:val="AHPRASubheadinglevel3"/>
        <w:outlineLvl w:val="0"/>
      </w:pPr>
      <w:r w:rsidRPr="00DD4163">
        <w:t xml:space="preserve">Case </w:t>
      </w:r>
      <w:r w:rsidR="004037D9">
        <w:t>s</w:t>
      </w:r>
      <w:r w:rsidR="004037D9" w:rsidRPr="00DD4163">
        <w:t>tudy</w:t>
      </w:r>
      <w:r w:rsidRPr="00DD4163">
        <w:t>: Mark</w:t>
      </w:r>
      <w:r w:rsidR="004037D9">
        <w:t>’</w:t>
      </w:r>
      <w:r w:rsidRPr="00DD4163">
        <w:t xml:space="preserve">s </w:t>
      </w:r>
      <w:r w:rsidR="004037D9">
        <w:t>j</w:t>
      </w:r>
      <w:r w:rsidR="004037D9" w:rsidRPr="00DD4163">
        <w:t>ourney</w:t>
      </w:r>
    </w:p>
    <w:p w14:paraId="1B28858A" w14:textId="2397955F" w:rsidR="00524DCB" w:rsidRDefault="00AA3C02" w:rsidP="00216AB8">
      <w:pPr>
        <w:pStyle w:val="AHPRAbody"/>
        <w:outlineLvl w:val="0"/>
        <w:rPr>
          <w:lang w:eastAsia="en-AU"/>
        </w:rPr>
      </w:pPr>
      <w:r w:rsidRPr="00164623">
        <w:rPr>
          <w:lang w:eastAsia="en-AU"/>
        </w:rPr>
        <w:t xml:space="preserve">Mark was a 40-year-old living in a rural area. Mark </w:t>
      </w:r>
      <w:r w:rsidR="00B264F0">
        <w:rPr>
          <w:lang w:eastAsia="en-AU"/>
        </w:rPr>
        <w:t>has been diagnosed</w:t>
      </w:r>
      <w:r w:rsidR="00BC16D9">
        <w:rPr>
          <w:lang w:eastAsia="en-AU"/>
        </w:rPr>
        <w:t xml:space="preserve"> with schizophrenia</w:t>
      </w:r>
      <w:r w:rsidR="00BC16D9" w:rsidRPr="00164623">
        <w:rPr>
          <w:lang w:eastAsia="en-AU"/>
        </w:rPr>
        <w:t xml:space="preserve"> </w:t>
      </w:r>
      <w:r w:rsidR="00BC16D9">
        <w:rPr>
          <w:lang w:eastAsia="en-AU"/>
        </w:rPr>
        <w:t xml:space="preserve">and is </w:t>
      </w:r>
      <w:r w:rsidRPr="00164623">
        <w:rPr>
          <w:lang w:eastAsia="en-AU"/>
        </w:rPr>
        <w:t xml:space="preserve">on monthly antipsychotic depot intramuscular injections </w:t>
      </w:r>
      <w:r>
        <w:rPr>
          <w:lang w:eastAsia="en-AU"/>
        </w:rPr>
        <w:t>(IM)</w:t>
      </w:r>
      <w:r w:rsidRPr="00164623">
        <w:rPr>
          <w:lang w:eastAsia="en-AU"/>
        </w:rPr>
        <w:t>. Mark was usually a regular at the Depot Clinic</w:t>
      </w:r>
      <w:r w:rsidR="00B264F0">
        <w:rPr>
          <w:lang w:eastAsia="en-AU"/>
        </w:rPr>
        <w:t>,</w:t>
      </w:r>
      <w:r w:rsidRPr="00164623">
        <w:rPr>
          <w:lang w:eastAsia="en-AU"/>
        </w:rPr>
        <w:t xml:space="preserve"> however had forgotten to attend the last clinic and had started to develop breakthrough symptoms. Mark called </w:t>
      </w:r>
      <w:r>
        <w:rPr>
          <w:lang w:eastAsia="en-AU"/>
        </w:rPr>
        <w:t xml:space="preserve">the local clinic in his area distressed with heightened behaviour. The community mental health RN who had an </w:t>
      </w:r>
      <w:r w:rsidRPr="002B684F">
        <w:t>endorsement for scheduled medicine</w:t>
      </w:r>
      <w:r>
        <w:t>s</w:t>
      </w:r>
      <w:r>
        <w:rPr>
          <w:lang w:eastAsia="en-AU"/>
        </w:rPr>
        <w:t xml:space="preserve"> triaged his call </w:t>
      </w:r>
      <w:r w:rsidRPr="00164623">
        <w:rPr>
          <w:lang w:eastAsia="en-AU"/>
        </w:rPr>
        <w:t>and</w:t>
      </w:r>
      <w:r>
        <w:rPr>
          <w:lang w:eastAsia="en-AU"/>
        </w:rPr>
        <w:t xml:space="preserve"> discussed the treatment options with a locum GP. A collaborative decision was made that Mark be prescribed his depot injection and be given oral medications for his breakthrough symptoms as required. </w:t>
      </w:r>
      <w:r w:rsidRPr="00164623">
        <w:rPr>
          <w:lang w:eastAsia="en-AU"/>
        </w:rPr>
        <w:t>The RN had access to Marks medical history and treatment</w:t>
      </w:r>
      <w:r>
        <w:rPr>
          <w:lang w:eastAsia="en-AU"/>
        </w:rPr>
        <w:t xml:space="preserve">. The RN prescribed the medication for </w:t>
      </w:r>
      <w:r w:rsidRPr="00164623">
        <w:rPr>
          <w:lang w:eastAsia="en-AU"/>
        </w:rPr>
        <w:t xml:space="preserve">Mark </w:t>
      </w:r>
      <w:r w:rsidRPr="00017254">
        <w:t>and sent this to the pharmacist who review</w:t>
      </w:r>
      <w:r>
        <w:t>s</w:t>
      </w:r>
      <w:r w:rsidRPr="00017254">
        <w:t xml:space="preserve"> the order, prepares, and dispenses the medication</w:t>
      </w:r>
      <w:r>
        <w:t>.</w:t>
      </w:r>
      <w:r>
        <w:rPr>
          <w:lang w:eastAsia="en-AU"/>
        </w:rPr>
        <w:t xml:space="preserve"> </w:t>
      </w:r>
      <w:r w:rsidRPr="00164623">
        <w:rPr>
          <w:lang w:eastAsia="en-AU"/>
        </w:rPr>
        <w:t xml:space="preserve">The RN </w:t>
      </w:r>
      <w:r>
        <w:rPr>
          <w:lang w:eastAsia="en-AU"/>
        </w:rPr>
        <w:t xml:space="preserve">visited Mark at home having already established rapport through the </w:t>
      </w:r>
      <w:r w:rsidRPr="00164623">
        <w:rPr>
          <w:lang w:eastAsia="en-AU"/>
        </w:rPr>
        <w:t>clinic</w:t>
      </w:r>
      <w:r>
        <w:rPr>
          <w:lang w:eastAsia="en-AU"/>
        </w:rPr>
        <w:t xml:space="preserve">, undertakes a review and assessment. Mark is dispensed oral medication for breakthrough and an IM depot injection is administered. This prevented the need for Mark to travel over 1 hour to the hospital as </w:t>
      </w:r>
      <w:r w:rsidRPr="00164623">
        <w:rPr>
          <w:lang w:eastAsia="en-AU"/>
        </w:rPr>
        <w:t xml:space="preserve">Mark did not like presenting to the hospital </w:t>
      </w:r>
      <w:r>
        <w:rPr>
          <w:lang w:eastAsia="en-AU"/>
        </w:rPr>
        <w:t>setting</w:t>
      </w:r>
      <w:r w:rsidRPr="00164623">
        <w:rPr>
          <w:lang w:eastAsia="en-AU"/>
        </w:rPr>
        <w:t xml:space="preserve">. </w:t>
      </w:r>
      <w:r>
        <w:rPr>
          <w:lang w:eastAsia="en-AU"/>
        </w:rPr>
        <w:t xml:space="preserve">Mark was be followed up again by the community mental health nurse. This is </w:t>
      </w:r>
      <w:r w:rsidR="00A72955">
        <w:rPr>
          <w:lang w:eastAsia="en-AU"/>
        </w:rPr>
        <w:t>communicated</w:t>
      </w:r>
      <w:r>
        <w:rPr>
          <w:lang w:eastAsia="en-AU"/>
        </w:rPr>
        <w:t xml:space="preserve"> to the </w:t>
      </w:r>
      <w:r w:rsidR="00A72955">
        <w:rPr>
          <w:lang w:eastAsia="en-AU"/>
        </w:rPr>
        <w:t>mental health and interprofessional</w:t>
      </w:r>
      <w:r>
        <w:rPr>
          <w:lang w:eastAsia="en-AU"/>
        </w:rPr>
        <w:t xml:space="preserve"> team and through </w:t>
      </w:r>
      <w:r w:rsidR="00DF02C5">
        <w:rPr>
          <w:lang w:eastAsia="en-AU"/>
        </w:rPr>
        <w:t>both verbal and</w:t>
      </w:r>
      <w:r>
        <w:rPr>
          <w:lang w:eastAsia="en-AU"/>
        </w:rPr>
        <w:t xml:space="preserve"> written documentation.</w:t>
      </w:r>
    </w:p>
    <w:p w14:paraId="7459A63E" w14:textId="61928CDD" w:rsidR="00F4026E" w:rsidRPr="00164623" w:rsidRDefault="00F4026E" w:rsidP="00216AB8">
      <w:pPr>
        <w:pStyle w:val="AHPRASubheadinglevel2"/>
        <w:spacing w:before="360"/>
        <w:outlineLvl w:val="0"/>
      </w:pPr>
      <w:bookmarkStart w:id="62" w:name="_Toc149054807"/>
      <w:bookmarkStart w:id="63" w:name="_Toc164692728"/>
      <w:r>
        <w:rPr>
          <w:lang w:eastAsia="en-AU"/>
        </w:rPr>
        <w:t>Table</w:t>
      </w:r>
      <w:r w:rsidR="005431A4">
        <w:rPr>
          <w:lang w:eastAsia="en-AU"/>
        </w:rPr>
        <w:t xml:space="preserve"> </w:t>
      </w:r>
      <w:r w:rsidR="00FF494E">
        <w:rPr>
          <w:lang w:eastAsia="en-AU"/>
        </w:rPr>
        <w:t>2</w:t>
      </w:r>
      <w:r>
        <w:rPr>
          <w:lang w:eastAsia="en-AU"/>
        </w:rPr>
        <w:t>: Potential a</w:t>
      </w:r>
      <w:r w:rsidRPr="002D1999">
        <w:t>voided cost</w:t>
      </w:r>
      <w:r>
        <w:t>s</w:t>
      </w:r>
      <w:r w:rsidRPr="002D1999">
        <w:t xml:space="preserve"> of </w:t>
      </w:r>
      <w:r>
        <w:t>emergency department</w:t>
      </w:r>
      <w:r w:rsidRPr="002D1999">
        <w:t xml:space="preserve"> visit, hospitalisations and transfers for acute care</w:t>
      </w:r>
      <w:bookmarkEnd w:id="62"/>
      <w:bookmarkEnd w:id="63"/>
    </w:p>
    <w:tbl>
      <w:tblPr>
        <w:tblStyle w:val="PMCTableStyle2"/>
        <w:tblW w:w="9346"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2336"/>
        <w:gridCol w:w="2336"/>
        <w:gridCol w:w="2337"/>
        <w:gridCol w:w="2337"/>
      </w:tblGrid>
      <w:tr w:rsidR="00F4026E" w:rsidRPr="00F4026E" w14:paraId="36148AC6" w14:textId="77777777" w:rsidTr="00814752">
        <w:trPr>
          <w:cnfStyle w:val="100000000000" w:firstRow="1" w:lastRow="0" w:firstColumn="0" w:lastColumn="0" w:oddVBand="0" w:evenVBand="0" w:oddHBand="0" w:evenHBand="0" w:firstRowFirstColumn="0" w:firstRowLastColumn="0" w:lastRowFirstColumn="0" w:lastRowLastColumn="0"/>
          <w:trHeight w:val="350"/>
          <w:tblHeader/>
        </w:trPr>
        <w:tc>
          <w:tcPr>
            <w:tcW w:w="0" w:type="dxa"/>
            <w:shd w:val="clear" w:color="auto" w:fill="00B0F0"/>
          </w:tcPr>
          <w:p w14:paraId="7C97B022" w14:textId="77777777" w:rsidR="00AA3C02" w:rsidRPr="00F4026E" w:rsidRDefault="00AA3C02" w:rsidP="00216AB8">
            <w:pPr>
              <w:spacing w:after="0" w:line="254" w:lineRule="auto"/>
              <w:outlineLvl w:val="0"/>
              <w:rPr>
                <w:rFonts w:ascii="Arial" w:eastAsia="Arial" w:hAnsi="Arial" w:cs="Arial"/>
                <w:bCs/>
                <w:sz w:val="20"/>
                <w:szCs w:val="20"/>
              </w:rPr>
            </w:pPr>
            <w:r w:rsidRPr="00F4026E">
              <w:rPr>
                <w:rFonts w:ascii="Arial" w:eastAsia="Arial" w:hAnsi="Arial" w:cs="Arial"/>
                <w:bCs/>
                <w:sz w:val="20"/>
                <w:szCs w:val="20"/>
              </w:rPr>
              <w:t xml:space="preserve">Resource </w:t>
            </w:r>
          </w:p>
        </w:tc>
        <w:tc>
          <w:tcPr>
            <w:tcW w:w="0" w:type="dxa"/>
            <w:shd w:val="clear" w:color="auto" w:fill="00B0F0"/>
          </w:tcPr>
          <w:p w14:paraId="624D009C" w14:textId="77777777" w:rsidR="00AA3C02" w:rsidRPr="00F4026E" w:rsidRDefault="00AA3C02" w:rsidP="00216AB8">
            <w:pPr>
              <w:spacing w:after="0" w:line="254" w:lineRule="auto"/>
              <w:outlineLvl w:val="0"/>
              <w:rPr>
                <w:rFonts w:ascii="Arial" w:eastAsia="Arial" w:hAnsi="Arial" w:cs="Arial"/>
                <w:bCs/>
                <w:sz w:val="20"/>
                <w:szCs w:val="20"/>
              </w:rPr>
            </w:pPr>
            <w:r w:rsidRPr="00F4026E">
              <w:rPr>
                <w:rFonts w:ascii="Arial" w:eastAsia="Arial" w:hAnsi="Arial" w:cs="Arial"/>
                <w:bCs/>
                <w:sz w:val="20"/>
                <w:szCs w:val="20"/>
              </w:rPr>
              <w:t>Description</w:t>
            </w:r>
          </w:p>
        </w:tc>
        <w:tc>
          <w:tcPr>
            <w:tcW w:w="0" w:type="dxa"/>
            <w:shd w:val="clear" w:color="auto" w:fill="00B0F0"/>
          </w:tcPr>
          <w:p w14:paraId="3F1D4F0B" w14:textId="77777777" w:rsidR="00AA3C02" w:rsidRPr="00F4026E" w:rsidRDefault="00AA3C02" w:rsidP="00216AB8">
            <w:pPr>
              <w:spacing w:after="0" w:line="254" w:lineRule="auto"/>
              <w:outlineLvl w:val="0"/>
              <w:rPr>
                <w:rFonts w:ascii="Arial" w:eastAsia="Arial" w:hAnsi="Arial" w:cs="Arial"/>
                <w:bCs/>
                <w:sz w:val="20"/>
                <w:szCs w:val="20"/>
              </w:rPr>
            </w:pPr>
            <w:r w:rsidRPr="00F4026E">
              <w:rPr>
                <w:rFonts w:ascii="Arial" w:eastAsia="Arial" w:hAnsi="Arial" w:cs="Arial"/>
                <w:bCs/>
                <w:sz w:val="20"/>
                <w:szCs w:val="20"/>
              </w:rPr>
              <w:t>Value</w:t>
            </w:r>
          </w:p>
        </w:tc>
        <w:tc>
          <w:tcPr>
            <w:tcW w:w="0" w:type="dxa"/>
            <w:shd w:val="clear" w:color="auto" w:fill="00B0F0"/>
          </w:tcPr>
          <w:p w14:paraId="626E21D3" w14:textId="77777777" w:rsidR="00AA3C02" w:rsidRPr="00F4026E" w:rsidRDefault="00AA3C02" w:rsidP="00216AB8">
            <w:pPr>
              <w:spacing w:after="0" w:line="254" w:lineRule="auto"/>
              <w:outlineLvl w:val="0"/>
              <w:rPr>
                <w:rFonts w:ascii="Arial" w:eastAsia="Arial" w:hAnsi="Arial" w:cs="Arial"/>
                <w:bCs/>
                <w:sz w:val="20"/>
                <w:szCs w:val="20"/>
              </w:rPr>
            </w:pPr>
            <w:r w:rsidRPr="00F4026E">
              <w:rPr>
                <w:rFonts w:ascii="Arial" w:eastAsia="Arial" w:hAnsi="Arial" w:cs="Arial"/>
                <w:bCs/>
                <w:sz w:val="20"/>
                <w:szCs w:val="20"/>
              </w:rPr>
              <w:t xml:space="preserve">Source </w:t>
            </w:r>
          </w:p>
        </w:tc>
      </w:tr>
      <w:tr w:rsidR="00F4026E" w:rsidRPr="00F4026E" w14:paraId="10C40D6B" w14:textId="77777777" w:rsidTr="21A7F60E">
        <w:trPr>
          <w:trHeight w:val="350"/>
        </w:trPr>
        <w:tc>
          <w:tcPr>
            <w:tcW w:w="0" w:type="dxa"/>
          </w:tcPr>
          <w:p w14:paraId="4D1C8FB7" w14:textId="7A1C6A01" w:rsidR="00AA3C02" w:rsidRPr="00F4026E" w:rsidRDefault="00AA3C02" w:rsidP="00216AB8">
            <w:pPr>
              <w:pStyle w:val="TableBody"/>
              <w:spacing w:before="0" w:after="0"/>
              <w:outlineLvl w:val="0"/>
              <w:rPr>
                <w:rFonts w:ascii="Arial" w:hAnsi="Arial" w:cs="Arial"/>
                <w:color w:val="262626" w:themeColor="text1" w:themeTint="D9"/>
                <w:sz w:val="20"/>
              </w:rPr>
            </w:pPr>
            <w:r w:rsidRPr="00F4026E">
              <w:rPr>
                <w:rFonts w:ascii="Arial" w:hAnsi="Arial" w:cs="Arial"/>
                <w:sz w:val="20"/>
              </w:rPr>
              <w:t xml:space="preserve">Avoid </w:t>
            </w:r>
            <w:r w:rsidR="00F4026E" w:rsidRPr="00F4026E">
              <w:rPr>
                <w:rFonts w:ascii="Arial" w:hAnsi="Arial" w:cs="Arial"/>
                <w:sz w:val="20"/>
              </w:rPr>
              <w:t xml:space="preserve">transfer </w:t>
            </w:r>
            <w:r w:rsidRPr="00F4026E">
              <w:rPr>
                <w:rFonts w:ascii="Arial" w:hAnsi="Arial" w:cs="Arial"/>
                <w:sz w:val="20"/>
              </w:rPr>
              <w:t xml:space="preserve">to </w:t>
            </w:r>
            <w:r w:rsidR="00F4026E" w:rsidRPr="00F4026E">
              <w:rPr>
                <w:rFonts w:ascii="Arial" w:hAnsi="Arial" w:cs="Arial"/>
                <w:sz w:val="20"/>
              </w:rPr>
              <w:t xml:space="preserve">emergency department </w:t>
            </w:r>
          </w:p>
        </w:tc>
        <w:tc>
          <w:tcPr>
            <w:tcW w:w="0" w:type="dxa"/>
          </w:tcPr>
          <w:p w14:paraId="5BC24BC0" w14:textId="2F1B9130" w:rsidR="00AA3C02" w:rsidRPr="00F4026E" w:rsidRDefault="00AA3C02" w:rsidP="00216AB8">
            <w:pPr>
              <w:pStyle w:val="TableBody"/>
              <w:outlineLvl w:val="0"/>
              <w:rPr>
                <w:rFonts w:ascii="Arial" w:hAnsi="Arial" w:cs="Arial"/>
                <w:color w:val="262626" w:themeColor="text1" w:themeTint="D9"/>
                <w:sz w:val="20"/>
              </w:rPr>
            </w:pPr>
            <w:r w:rsidRPr="00F4026E">
              <w:rPr>
                <w:rFonts w:ascii="Arial" w:hAnsi="Arial" w:cs="Arial"/>
                <w:color w:val="262626" w:themeColor="text1" w:themeTint="D9"/>
                <w:sz w:val="20"/>
              </w:rPr>
              <w:t xml:space="preserve">Emergency </w:t>
            </w:r>
            <w:r w:rsidR="00F4026E" w:rsidRPr="00F4026E">
              <w:rPr>
                <w:rFonts w:ascii="Arial" w:hAnsi="Arial" w:cs="Arial"/>
                <w:color w:val="262626" w:themeColor="text1" w:themeTint="D9"/>
                <w:sz w:val="20"/>
              </w:rPr>
              <w:t xml:space="preserve">transport </w:t>
            </w:r>
          </w:p>
        </w:tc>
        <w:tc>
          <w:tcPr>
            <w:tcW w:w="0" w:type="dxa"/>
          </w:tcPr>
          <w:p w14:paraId="47E0F0A6" w14:textId="77777777" w:rsidR="00AA3C02" w:rsidRPr="00F4026E" w:rsidRDefault="00AA3C02" w:rsidP="00216AB8">
            <w:pPr>
              <w:pStyle w:val="TableBody"/>
              <w:jc w:val="both"/>
              <w:outlineLvl w:val="0"/>
              <w:rPr>
                <w:rFonts w:ascii="Arial" w:hAnsi="Arial" w:cs="Arial"/>
                <w:color w:val="262626" w:themeColor="text1" w:themeTint="D9"/>
                <w:sz w:val="20"/>
              </w:rPr>
            </w:pPr>
            <w:r w:rsidRPr="00F4026E">
              <w:rPr>
                <w:rFonts w:ascii="Arial" w:hAnsi="Arial" w:cs="Arial"/>
                <w:color w:val="262626" w:themeColor="text1" w:themeTint="D9"/>
                <w:sz w:val="20"/>
              </w:rPr>
              <w:t>$1,358 Metropolitan</w:t>
            </w:r>
          </w:p>
          <w:p w14:paraId="1B7CD95D" w14:textId="77777777" w:rsidR="00AA3C02" w:rsidRPr="00F4026E" w:rsidRDefault="00AA3C02" w:rsidP="00216AB8">
            <w:pPr>
              <w:pStyle w:val="TableBody"/>
              <w:jc w:val="both"/>
              <w:outlineLvl w:val="0"/>
              <w:rPr>
                <w:rFonts w:ascii="Arial" w:hAnsi="Arial" w:cs="Arial"/>
                <w:color w:val="262626" w:themeColor="text1" w:themeTint="D9"/>
                <w:sz w:val="20"/>
              </w:rPr>
            </w:pPr>
            <w:r w:rsidRPr="00F4026E">
              <w:rPr>
                <w:rFonts w:ascii="Arial" w:hAnsi="Arial" w:cs="Arial"/>
                <w:color w:val="262626" w:themeColor="text1" w:themeTint="D9"/>
                <w:sz w:val="20"/>
              </w:rPr>
              <w:t>$2,004 Rural</w:t>
            </w:r>
          </w:p>
        </w:tc>
        <w:tc>
          <w:tcPr>
            <w:tcW w:w="0" w:type="dxa"/>
          </w:tcPr>
          <w:p w14:paraId="1FAB7C16" w14:textId="5B7B95A6" w:rsidR="00AA3C02" w:rsidRPr="002A3CF1" w:rsidRDefault="25189ECA" w:rsidP="21A7F60E">
            <w:pPr>
              <w:pStyle w:val="TableNumbering"/>
              <w:numPr>
                <w:ilvl w:val="0"/>
                <w:numId w:val="0"/>
              </w:numPr>
              <w:outlineLvl w:val="0"/>
              <w:rPr>
                <w:rFonts w:ascii="Arial" w:hAnsi="Arial" w:cs="Arial"/>
                <w:color w:val="auto"/>
                <w:sz w:val="20"/>
              </w:rPr>
            </w:pPr>
            <w:r w:rsidRPr="002A3CF1">
              <w:rPr>
                <w:rStyle w:val="Hyperlink"/>
                <w:rFonts w:ascii="Arial" w:hAnsi="Arial" w:cs="Arial"/>
                <w:color w:val="auto"/>
                <w:sz w:val="20"/>
                <w:u w:val="none"/>
              </w:rPr>
              <w:t xml:space="preserve">National </w:t>
            </w:r>
            <w:r w:rsidR="002A3CF1" w:rsidRPr="002A3CF1">
              <w:rPr>
                <w:rStyle w:val="Hyperlink"/>
                <w:rFonts w:ascii="Arial" w:hAnsi="Arial" w:cs="Arial"/>
                <w:color w:val="auto"/>
                <w:sz w:val="20"/>
                <w:u w:val="none"/>
              </w:rPr>
              <w:t>Average</w:t>
            </w:r>
            <w:r w:rsidRPr="002A3CF1">
              <w:rPr>
                <w:rStyle w:val="Hyperlink"/>
                <w:rFonts w:ascii="Arial" w:hAnsi="Arial" w:cs="Arial"/>
                <w:color w:val="auto"/>
                <w:sz w:val="20"/>
                <w:u w:val="none"/>
              </w:rPr>
              <w:t xml:space="preserve"> Excluding QLD </w:t>
            </w:r>
            <w:r w:rsidR="756B9CC8" w:rsidRPr="002A3CF1">
              <w:rPr>
                <w:rStyle w:val="Hyperlink"/>
                <w:rFonts w:ascii="Arial" w:hAnsi="Arial" w:cs="Arial"/>
                <w:color w:val="auto"/>
                <w:sz w:val="20"/>
                <w:u w:val="none"/>
              </w:rPr>
              <w:t>and</w:t>
            </w:r>
            <w:r w:rsidRPr="002A3CF1">
              <w:rPr>
                <w:rStyle w:val="Hyperlink"/>
                <w:rFonts w:ascii="Arial" w:hAnsi="Arial" w:cs="Arial"/>
                <w:color w:val="auto"/>
                <w:sz w:val="20"/>
                <w:u w:val="none"/>
              </w:rPr>
              <w:t xml:space="preserve"> Tasmania</w:t>
            </w:r>
          </w:p>
        </w:tc>
      </w:tr>
      <w:tr w:rsidR="00F4026E" w:rsidRPr="00F4026E" w14:paraId="2DBD2AFB" w14:textId="77777777" w:rsidTr="21A7F60E">
        <w:trPr>
          <w:trHeight w:val="350"/>
        </w:trPr>
        <w:tc>
          <w:tcPr>
            <w:tcW w:w="0" w:type="dxa"/>
          </w:tcPr>
          <w:p w14:paraId="4C4388E7" w14:textId="3C17303A" w:rsidR="00AA3C02" w:rsidRPr="00F4026E" w:rsidRDefault="00997E4B" w:rsidP="00216AB8">
            <w:pPr>
              <w:pStyle w:val="TableBody"/>
              <w:outlineLvl w:val="0"/>
              <w:rPr>
                <w:rFonts w:ascii="Arial" w:hAnsi="Arial" w:cs="Arial"/>
                <w:sz w:val="20"/>
              </w:rPr>
            </w:pPr>
            <w:r w:rsidRPr="00F4026E">
              <w:rPr>
                <w:rFonts w:ascii="Arial" w:hAnsi="Arial" w:cs="Arial"/>
                <w:sz w:val="20"/>
              </w:rPr>
              <w:t>Avoid transfer to emergency department</w:t>
            </w:r>
          </w:p>
        </w:tc>
        <w:tc>
          <w:tcPr>
            <w:tcW w:w="0" w:type="dxa"/>
          </w:tcPr>
          <w:p w14:paraId="55E7E740" w14:textId="081B21AA" w:rsidR="00AA3C02" w:rsidRPr="00F4026E" w:rsidRDefault="00AA3C02" w:rsidP="00216AB8">
            <w:pPr>
              <w:pStyle w:val="TableBody"/>
              <w:outlineLvl w:val="0"/>
              <w:rPr>
                <w:rFonts w:ascii="Arial" w:hAnsi="Arial" w:cs="Arial"/>
                <w:color w:val="262626" w:themeColor="text1" w:themeTint="D9"/>
                <w:sz w:val="20"/>
              </w:rPr>
            </w:pPr>
            <w:r w:rsidRPr="00F4026E">
              <w:rPr>
                <w:rFonts w:ascii="Arial" w:hAnsi="Arial" w:cs="Arial"/>
                <w:color w:val="262626" w:themeColor="text1" w:themeTint="D9"/>
                <w:sz w:val="20"/>
              </w:rPr>
              <w:t>No</w:t>
            </w:r>
            <w:r w:rsidR="00F4026E" w:rsidRPr="00F4026E">
              <w:rPr>
                <w:rFonts w:ascii="Arial" w:hAnsi="Arial" w:cs="Arial"/>
                <w:color w:val="262626" w:themeColor="text1" w:themeTint="D9"/>
                <w:sz w:val="20"/>
              </w:rPr>
              <w:t>n</w:t>
            </w:r>
            <w:r w:rsidR="00F4026E">
              <w:rPr>
                <w:rFonts w:ascii="Arial" w:hAnsi="Arial" w:cs="Arial"/>
                <w:color w:val="262626" w:themeColor="text1" w:themeTint="D9"/>
                <w:sz w:val="20"/>
              </w:rPr>
              <w:t>-</w:t>
            </w:r>
            <w:r w:rsidR="00F4026E" w:rsidRPr="00F4026E">
              <w:rPr>
                <w:rFonts w:ascii="Arial" w:hAnsi="Arial" w:cs="Arial"/>
                <w:color w:val="262626" w:themeColor="text1" w:themeTint="D9"/>
                <w:sz w:val="20"/>
              </w:rPr>
              <w:t xml:space="preserve">emergency </w:t>
            </w:r>
            <w:r w:rsidR="00F4026E">
              <w:rPr>
                <w:rFonts w:ascii="Arial" w:hAnsi="Arial" w:cs="Arial"/>
                <w:color w:val="262626" w:themeColor="text1" w:themeTint="D9"/>
                <w:sz w:val="20"/>
              </w:rPr>
              <w:t>t</w:t>
            </w:r>
            <w:r w:rsidR="00F4026E" w:rsidRPr="00F4026E">
              <w:rPr>
                <w:rFonts w:ascii="Arial" w:hAnsi="Arial" w:cs="Arial"/>
                <w:color w:val="262626" w:themeColor="text1" w:themeTint="D9"/>
                <w:sz w:val="20"/>
              </w:rPr>
              <w:t xml:space="preserve">ransport </w:t>
            </w:r>
          </w:p>
        </w:tc>
        <w:tc>
          <w:tcPr>
            <w:tcW w:w="0" w:type="dxa"/>
          </w:tcPr>
          <w:p w14:paraId="3C9F5A37" w14:textId="77777777" w:rsidR="00AA3C02" w:rsidRPr="00F4026E" w:rsidRDefault="00AA3C02" w:rsidP="00216AB8">
            <w:pPr>
              <w:pStyle w:val="TableBody"/>
              <w:jc w:val="both"/>
              <w:outlineLvl w:val="0"/>
              <w:rPr>
                <w:rFonts w:ascii="Arial" w:hAnsi="Arial" w:cs="Arial"/>
                <w:color w:val="262626" w:themeColor="text1" w:themeTint="D9"/>
                <w:sz w:val="20"/>
              </w:rPr>
            </w:pPr>
            <w:r w:rsidRPr="00F4026E">
              <w:rPr>
                <w:rFonts w:ascii="Arial" w:hAnsi="Arial" w:cs="Arial"/>
                <w:color w:val="262626" w:themeColor="text1" w:themeTint="D9"/>
                <w:sz w:val="20"/>
              </w:rPr>
              <w:t>$367 Metropolitan</w:t>
            </w:r>
          </w:p>
          <w:p w14:paraId="4854D343" w14:textId="365A819E" w:rsidR="00AA3C02" w:rsidRPr="00F4026E" w:rsidRDefault="00AA3C02" w:rsidP="00216AB8">
            <w:pPr>
              <w:pStyle w:val="TableBody"/>
              <w:jc w:val="both"/>
              <w:outlineLvl w:val="0"/>
              <w:rPr>
                <w:rFonts w:ascii="Arial" w:hAnsi="Arial" w:cs="Arial"/>
                <w:color w:val="262626" w:themeColor="text1" w:themeTint="D9"/>
                <w:sz w:val="20"/>
              </w:rPr>
            </w:pPr>
            <w:r w:rsidRPr="00F4026E">
              <w:rPr>
                <w:rFonts w:ascii="Arial" w:hAnsi="Arial" w:cs="Arial"/>
                <w:color w:val="262626" w:themeColor="text1" w:themeTint="D9"/>
                <w:sz w:val="20"/>
              </w:rPr>
              <w:t>$620</w:t>
            </w:r>
            <w:r w:rsidR="00F4026E" w:rsidRPr="00F4026E">
              <w:rPr>
                <w:rFonts w:ascii="Arial" w:hAnsi="Arial" w:cs="Arial"/>
                <w:color w:val="262626" w:themeColor="text1" w:themeTint="D9"/>
                <w:sz w:val="20"/>
              </w:rPr>
              <w:t xml:space="preserve"> Rural</w:t>
            </w:r>
          </w:p>
        </w:tc>
        <w:tc>
          <w:tcPr>
            <w:tcW w:w="0" w:type="dxa"/>
          </w:tcPr>
          <w:p w14:paraId="79397EAA" w14:textId="645B6EDF" w:rsidR="00AA3C02" w:rsidRPr="00F4026E" w:rsidRDefault="002A3CF1" w:rsidP="00FF494E">
            <w:pPr>
              <w:pStyle w:val="TableNumbering"/>
              <w:numPr>
                <w:ilvl w:val="0"/>
                <w:numId w:val="0"/>
              </w:numPr>
              <w:outlineLvl w:val="0"/>
              <w:rPr>
                <w:rFonts w:ascii="Arial" w:hAnsi="Arial" w:cs="Arial"/>
                <w:sz w:val="20"/>
              </w:rPr>
            </w:pPr>
            <w:r w:rsidRPr="00FB477E">
              <w:rPr>
                <w:rStyle w:val="Hyperlink"/>
                <w:rFonts w:ascii="Arial" w:hAnsi="Arial" w:cs="Arial"/>
                <w:color w:val="auto"/>
                <w:sz w:val="20"/>
                <w:u w:val="none"/>
              </w:rPr>
              <w:t>National Average Excluding QLD and Tasmania</w:t>
            </w:r>
          </w:p>
        </w:tc>
      </w:tr>
      <w:tr w:rsidR="00F4026E" w:rsidRPr="00F4026E" w14:paraId="53C83EED" w14:textId="77777777" w:rsidTr="21A7F60E">
        <w:trPr>
          <w:trHeight w:val="350"/>
        </w:trPr>
        <w:tc>
          <w:tcPr>
            <w:tcW w:w="0" w:type="dxa"/>
          </w:tcPr>
          <w:p w14:paraId="4D26B653" w14:textId="18964C06" w:rsidR="00AA3C02" w:rsidRPr="00F4026E" w:rsidRDefault="00AA3C02" w:rsidP="00216AB8">
            <w:pPr>
              <w:pStyle w:val="TableBody"/>
              <w:outlineLvl w:val="0"/>
              <w:rPr>
                <w:rFonts w:ascii="Arial" w:hAnsi="Arial" w:cs="Arial"/>
                <w:sz w:val="20"/>
              </w:rPr>
            </w:pPr>
            <w:r w:rsidRPr="00F4026E">
              <w:rPr>
                <w:rFonts w:ascii="Arial" w:hAnsi="Arial" w:cs="Arial"/>
                <w:sz w:val="20"/>
              </w:rPr>
              <w:t xml:space="preserve">Avoid </w:t>
            </w:r>
            <w:r w:rsidR="00F4026E">
              <w:rPr>
                <w:rFonts w:ascii="Arial" w:hAnsi="Arial" w:cs="Arial"/>
                <w:sz w:val="20"/>
              </w:rPr>
              <w:t>e</w:t>
            </w:r>
            <w:r w:rsidR="00F4026E" w:rsidRPr="00F4026E">
              <w:rPr>
                <w:rFonts w:ascii="Arial" w:hAnsi="Arial" w:cs="Arial"/>
                <w:sz w:val="20"/>
              </w:rPr>
              <w:t xml:space="preserve">mergency </w:t>
            </w:r>
            <w:r w:rsidR="00F4026E">
              <w:rPr>
                <w:rFonts w:ascii="Arial" w:hAnsi="Arial" w:cs="Arial"/>
                <w:sz w:val="20"/>
              </w:rPr>
              <w:t>d</w:t>
            </w:r>
            <w:r w:rsidR="00F4026E" w:rsidRPr="00F4026E">
              <w:rPr>
                <w:rFonts w:ascii="Arial" w:hAnsi="Arial" w:cs="Arial"/>
                <w:sz w:val="20"/>
              </w:rPr>
              <w:t xml:space="preserve">epartment </w:t>
            </w:r>
            <w:r w:rsidR="00F4026E">
              <w:rPr>
                <w:rFonts w:ascii="Arial" w:hAnsi="Arial" w:cs="Arial"/>
                <w:sz w:val="20"/>
              </w:rPr>
              <w:t>p</w:t>
            </w:r>
            <w:r w:rsidR="00F4026E" w:rsidRPr="00F4026E">
              <w:rPr>
                <w:rFonts w:ascii="Arial" w:hAnsi="Arial" w:cs="Arial"/>
                <w:sz w:val="20"/>
              </w:rPr>
              <w:t xml:space="preserve">resentation </w:t>
            </w:r>
          </w:p>
        </w:tc>
        <w:tc>
          <w:tcPr>
            <w:tcW w:w="0" w:type="dxa"/>
          </w:tcPr>
          <w:p w14:paraId="612D7181" w14:textId="6A7E7583" w:rsidR="00AA3C02" w:rsidRPr="00F4026E" w:rsidRDefault="00AA3C02" w:rsidP="00216AB8">
            <w:pPr>
              <w:pStyle w:val="TableBody"/>
              <w:spacing w:before="0" w:after="0"/>
              <w:outlineLvl w:val="0"/>
              <w:rPr>
                <w:rFonts w:ascii="Arial" w:hAnsi="Arial" w:cs="Arial"/>
                <w:sz w:val="20"/>
              </w:rPr>
            </w:pPr>
            <w:r w:rsidRPr="00F4026E">
              <w:rPr>
                <w:rFonts w:ascii="Arial" w:hAnsi="Arial" w:cs="Arial"/>
                <w:sz w:val="20"/>
              </w:rPr>
              <w:t xml:space="preserve">Cost associated with </w:t>
            </w:r>
            <w:r w:rsidR="00F30471">
              <w:rPr>
                <w:rFonts w:ascii="Arial" w:hAnsi="Arial" w:cs="Arial"/>
                <w:sz w:val="20"/>
              </w:rPr>
              <w:t>emergency department presentation</w:t>
            </w:r>
          </w:p>
        </w:tc>
        <w:tc>
          <w:tcPr>
            <w:tcW w:w="0" w:type="dxa"/>
          </w:tcPr>
          <w:p w14:paraId="69B2416A" w14:textId="77777777" w:rsidR="00AA3C02" w:rsidRPr="00F4026E" w:rsidRDefault="00AA3C02" w:rsidP="00216AB8">
            <w:pPr>
              <w:pStyle w:val="TableBody"/>
              <w:jc w:val="both"/>
              <w:outlineLvl w:val="0"/>
              <w:rPr>
                <w:rFonts w:ascii="Arial" w:hAnsi="Arial" w:cs="Arial"/>
                <w:color w:val="262626" w:themeColor="text1" w:themeTint="D9"/>
                <w:sz w:val="20"/>
              </w:rPr>
            </w:pPr>
            <w:r w:rsidRPr="00F4026E">
              <w:rPr>
                <w:rFonts w:ascii="Arial" w:hAnsi="Arial" w:cs="Arial"/>
                <w:color w:val="262626" w:themeColor="text1" w:themeTint="D9"/>
                <w:sz w:val="20"/>
              </w:rPr>
              <w:t>$789</w:t>
            </w:r>
          </w:p>
        </w:tc>
        <w:tc>
          <w:tcPr>
            <w:tcW w:w="0" w:type="dxa"/>
          </w:tcPr>
          <w:p w14:paraId="76847D4F" w14:textId="53C1CFB0" w:rsidR="00AA3C02" w:rsidRPr="00F4026E" w:rsidRDefault="00AF325E" w:rsidP="00216AB8">
            <w:pPr>
              <w:pStyle w:val="TableBody"/>
              <w:outlineLvl w:val="0"/>
              <w:rPr>
                <w:rFonts w:ascii="Arial" w:hAnsi="Arial" w:cs="Arial"/>
                <w:sz w:val="20"/>
              </w:rPr>
            </w:pPr>
            <w:hyperlink r:id="rId26" w:anchor="/periodic-insights/overview" w:history="1">
              <w:r w:rsidR="00F4026E" w:rsidRPr="00F4026E">
                <w:rPr>
                  <w:rStyle w:val="Hyperlink"/>
                  <w:rFonts w:ascii="Arial" w:hAnsi="Arial" w:cs="Arial"/>
                  <w:sz w:val="20"/>
                </w:rPr>
                <w:t>Independent Health and Aged Care Pricing Authority − National benchmarking portal cost per national weighted activity unit 2020-21 data</w:t>
              </w:r>
            </w:hyperlink>
          </w:p>
        </w:tc>
      </w:tr>
      <w:tr w:rsidR="00F4026E" w:rsidRPr="00F4026E" w14:paraId="260EB99C" w14:textId="77777777" w:rsidTr="21A7F60E">
        <w:trPr>
          <w:trHeight w:val="350"/>
        </w:trPr>
        <w:tc>
          <w:tcPr>
            <w:tcW w:w="0" w:type="dxa"/>
          </w:tcPr>
          <w:p w14:paraId="4422F46C" w14:textId="0CC0EB50" w:rsidR="00AA3C02" w:rsidRPr="00F4026E" w:rsidRDefault="00F4026E" w:rsidP="00216AB8">
            <w:pPr>
              <w:pStyle w:val="TableBody"/>
              <w:outlineLvl w:val="0"/>
              <w:rPr>
                <w:rFonts w:ascii="Arial" w:hAnsi="Arial" w:cs="Arial"/>
                <w:sz w:val="20"/>
              </w:rPr>
            </w:pPr>
            <w:r>
              <w:rPr>
                <w:rFonts w:ascii="Arial" w:hAnsi="Arial" w:cs="Arial"/>
                <w:sz w:val="20"/>
              </w:rPr>
              <w:t>Avoid h</w:t>
            </w:r>
            <w:r w:rsidR="00AA3C02" w:rsidRPr="00F4026E">
              <w:rPr>
                <w:rFonts w:ascii="Arial" w:hAnsi="Arial" w:cs="Arial"/>
                <w:sz w:val="20"/>
              </w:rPr>
              <w:t xml:space="preserve">ospitalisation </w:t>
            </w:r>
          </w:p>
        </w:tc>
        <w:tc>
          <w:tcPr>
            <w:tcW w:w="0" w:type="dxa"/>
          </w:tcPr>
          <w:p w14:paraId="0C07A369" w14:textId="77777777" w:rsidR="00AA3C02" w:rsidRPr="00F4026E" w:rsidRDefault="00AA3C02" w:rsidP="00216AB8">
            <w:pPr>
              <w:pStyle w:val="TableBody"/>
              <w:outlineLvl w:val="0"/>
              <w:rPr>
                <w:rFonts w:ascii="Arial" w:hAnsi="Arial" w:cs="Arial"/>
                <w:sz w:val="20"/>
              </w:rPr>
            </w:pPr>
            <w:r w:rsidRPr="00F4026E">
              <w:rPr>
                <w:rFonts w:ascii="Arial" w:hAnsi="Arial" w:cs="Arial"/>
                <w:sz w:val="20"/>
              </w:rPr>
              <w:t>Cost associated with acute care episode</w:t>
            </w:r>
          </w:p>
        </w:tc>
        <w:tc>
          <w:tcPr>
            <w:tcW w:w="0" w:type="dxa"/>
          </w:tcPr>
          <w:p w14:paraId="61541BE5" w14:textId="0E8C9D22" w:rsidR="00AA3C02" w:rsidRPr="00F4026E" w:rsidRDefault="00AA3C02" w:rsidP="00216AB8">
            <w:pPr>
              <w:pStyle w:val="TableBody"/>
              <w:jc w:val="both"/>
              <w:outlineLvl w:val="0"/>
              <w:rPr>
                <w:rFonts w:ascii="Arial" w:hAnsi="Arial" w:cs="Arial"/>
                <w:color w:val="262626" w:themeColor="text1" w:themeTint="D9"/>
                <w:sz w:val="20"/>
              </w:rPr>
            </w:pPr>
            <w:r w:rsidRPr="00F4026E">
              <w:rPr>
                <w:rFonts w:ascii="Arial" w:hAnsi="Arial" w:cs="Arial"/>
                <w:color w:val="262626" w:themeColor="text1" w:themeTint="D9"/>
                <w:sz w:val="20"/>
              </w:rPr>
              <w:t>$5,315</w:t>
            </w:r>
          </w:p>
        </w:tc>
        <w:tc>
          <w:tcPr>
            <w:tcW w:w="0" w:type="dxa"/>
          </w:tcPr>
          <w:p w14:paraId="72BF0AD0" w14:textId="09A6C2F6" w:rsidR="00AA3C02" w:rsidRPr="00F4026E" w:rsidRDefault="00AF325E" w:rsidP="00216AB8">
            <w:pPr>
              <w:pStyle w:val="TableBody"/>
              <w:outlineLvl w:val="0"/>
              <w:rPr>
                <w:rFonts w:ascii="Arial" w:hAnsi="Arial" w:cs="Arial"/>
                <w:sz w:val="20"/>
              </w:rPr>
            </w:pPr>
            <w:hyperlink r:id="rId27" w:anchor="/periodic-insights/overview" w:history="1">
              <w:r w:rsidR="00F4026E" w:rsidRPr="00F4026E">
                <w:rPr>
                  <w:rStyle w:val="Hyperlink"/>
                  <w:rFonts w:ascii="Arial" w:hAnsi="Arial" w:cs="Arial"/>
                  <w:sz w:val="20"/>
                </w:rPr>
                <w:t xml:space="preserve">Independent Health and Aged Care Pricing Authority − National benchmarking </w:t>
              </w:r>
              <w:r w:rsidR="00F4026E" w:rsidRPr="00F4026E">
                <w:rPr>
                  <w:rStyle w:val="Hyperlink"/>
                  <w:rFonts w:ascii="Arial" w:hAnsi="Arial" w:cs="Arial"/>
                  <w:sz w:val="20"/>
                </w:rPr>
                <w:lastRenderedPageBreak/>
                <w:t>portal cost per national weighted activity unit 2020-21 data</w:t>
              </w:r>
            </w:hyperlink>
          </w:p>
        </w:tc>
      </w:tr>
      <w:tr w:rsidR="00F4026E" w:rsidRPr="00F4026E" w14:paraId="1131C45E" w14:textId="77777777" w:rsidTr="21A7F60E">
        <w:trPr>
          <w:trHeight w:val="350"/>
        </w:trPr>
        <w:tc>
          <w:tcPr>
            <w:tcW w:w="0" w:type="dxa"/>
          </w:tcPr>
          <w:p w14:paraId="1DF36CD1" w14:textId="617085AA" w:rsidR="00AA3C02" w:rsidRPr="00F4026E" w:rsidRDefault="00F4026E" w:rsidP="00216AB8">
            <w:pPr>
              <w:pStyle w:val="TableBody"/>
              <w:outlineLvl w:val="0"/>
              <w:rPr>
                <w:rFonts w:ascii="Arial" w:hAnsi="Arial" w:cs="Arial"/>
                <w:sz w:val="20"/>
              </w:rPr>
            </w:pPr>
            <w:r>
              <w:rPr>
                <w:rFonts w:ascii="Arial" w:hAnsi="Arial" w:cs="Arial"/>
                <w:sz w:val="20"/>
              </w:rPr>
              <w:lastRenderedPageBreak/>
              <w:t>Avoid h</w:t>
            </w:r>
            <w:r w:rsidRPr="00F4026E">
              <w:rPr>
                <w:rFonts w:ascii="Arial" w:hAnsi="Arial" w:cs="Arial"/>
                <w:sz w:val="20"/>
              </w:rPr>
              <w:t>ospitalisation</w:t>
            </w:r>
          </w:p>
        </w:tc>
        <w:tc>
          <w:tcPr>
            <w:tcW w:w="0" w:type="dxa"/>
          </w:tcPr>
          <w:p w14:paraId="1EA24AEB" w14:textId="77777777" w:rsidR="00AA3C02" w:rsidRPr="00F4026E" w:rsidRDefault="00AA3C02" w:rsidP="00216AB8">
            <w:pPr>
              <w:pStyle w:val="TableBody"/>
              <w:outlineLvl w:val="0"/>
              <w:rPr>
                <w:rFonts w:ascii="Arial" w:hAnsi="Arial" w:cs="Arial"/>
                <w:sz w:val="20"/>
              </w:rPr>
            </w:pPr>
            <w:r w:rsidRPr="00F4026E">
              <w:rPr>
                <w:rFonts w:ascii="Arial" w:hAnsi="Arial" w:cs="Arial"/>
                <w:sz w:val="20"/>
              </w:rPr>
              <w:t xml:space="preserve">Cost associated with sub-acute and non-acute Care episode </w:t>
            </w:r>
          </w:p>
        </w:tc>
        <w:tc>
          <w:tcPr>
            <w:tcW w:w="0" w:type="dxa"/>
          </w:tcPr>
          <w:p w14:paraId="5320EDAA" w14:textId="77777777" w:rsidR="00AA3C02" w:rsidRPr="00F4026E" w:rsidRDefault="00AA3C02" w:rsidP="00216AB8">
            <w:pPr>
              <w:pStyle w:val="TableBody"/>
              <w:jc w:val="both"/>
              <w:outlineLvl w:val="0"/>
              <w:rPr>
                <w:rFonts w:ascii="Arial" w:hAnsi="Arial" w:cs="Arial"/>
                <w:color w:val="262626" w:themeColor="text1" w:themeTint="D9"/>
                <w:sz w:val="20"/>
              </w:rPr>
            </w:pPr>
            <w:r w:rsidRPr="00F4026E">
              <w:rPr>
                <w:rFonts w:ascii="Arial" w:hAnsi="Arial" w:cs="Arial"/>
                <w:color w:val="262626" w:themeColor="text1" w:themeTint="D9"/>
                <w:sz w:val="20"/>
              </w:rPr>
              <w:t>$16,118</w:t>
            </w:r>
          </w:p>
        </w:tc>
        <w:tc>
          <w:tcPr>
            <w:tcW w:w="0" w:type="dxa"/>
          </w:tcPr>
          <w:p w14:paraId="314A79DC" w14:textId="66524992" w:rsidR="00AA3C02" w:rsidRPr="00F4026E" w:rsidRDefault="00AF325E" w:rsidP="00216AB8">
            <w:pPr>
              <w:pStyle w:val="TableBody"/>
              <w:outlineLvl w:val="0"/>
              <w:rPr>
                <w:rFonts w:ascii="Arial" w:hAnsi="Arial" w:cs="Arial"/>
                <w:sz w:val="20"/>
              </w:rPr>
            </w:pPr>
            <w:hyperlink r:id="rId28" w:anchor="/periodic-insights/overview" w:history="1">
              <w:r w:rsidR="00F4026E" w:rsidRPr="00F4026E">
                <w:rPr>
                  <w:rStyle w:val="Hyperlink"/>
                  <w:rFonts w:ascii="Arial" w:hAnsi="Arial" w:cs="Arial"/>
                  <w:sz w:val="20"/>
                </w:rPr>
                <w:t>Independent Health and Aged Care Pricing Authority − National benchmarking portal cost per national weighted activity unit 2020-21 data</w:t>
              </w:r>
            </w:hyperlink>
          </w:p>
        </w:tc>
      </w:tr>
      <w:tr w:rsidR="00F4026E" w:rsidRPr="00F4026E" w14:paraId="6529CE86" w14:textId="77777777" w:rsidTr="21A7F60E">
        <w:trPr>
          <w:cnfStyle w:val="010000000000" w:firstRow="0" w:lastRow="1" w:firstColumn="0" w:lastColumn="0" w:oddVBand="0" w:evenVBand="0" w:oddHBand="0" w:evenHBand="0" w:firstRowFirstColumn="0" w:firstRowLastColumn="0" w:lastRowFirstColumn="0" w:lastRowLastColumn="0"/>
          <w:trHeight w:val="350"/>
        </w:trPr>
        <w:tc>
          <w:tcPr>
            <w:tcW w:w="0" w:type="dxa"/>
            <w:shd w:val="clear" w:color="auto" w:fill="auto"/>
          </w:tcPr>
          <w:p w14:paraId="3D46FCA7" w14:textId="223FE8B6" w:rsidR="00AA3C02" w:rsidRPr="00F4026E" w:rsidRDefault="00F4026E" w:rsidP="00216AB8">
            <w:pPr>
              <w:pStyle w:val="TableBody"/>
              <w:outlineLvl w:val="0"/>
              <w:rPr>
                <w:rFonts w:ascii="Arial" w:hAnsi="Arial" w:cs="Arial"/>
                <w:sz w:val="20"/>
              </w:rPr>
            </w:pPr>
            <w:r>
              <w:rPr>
                <w:rFonts w:ascii="Arial" w:hAnsi="Arial" w:cs="Arial"/>
                <w:sz w:val="20"/>
              </w:rPr>
              <w:t>Avoid h</w:t>
            </w:r>
            <w:r w:rsidRPr="00F4026E">
              <w:rPr>
                <w:rFonts w:ascii="Arial" w:hAnsi="Arial" w:cs="Arial"/>
                <w:sz w:val="20"/>
              </w:rPr>
              <w:t>ospitalisation</w:t>
            </w:r>
          </w:p>
        </w:tc>
        <w:tc>
          <w:tcPr>
            <w:tcW w:w="0" w:type="dxa"/>
            <w:shd w:val="clear" w:color="auto" w:fill="auto"/>
          </w:tcPr>
          <w:p w14:paraId="6757567A" w14:textId="77777777" w:rsidR="00AA3C02" w:rsidRPr="00F4026E" w:rsidRDefault="00AA3C02" w:rsidP="00216AB8">
            <w:pPr>
              <w:pStyle w:val="TableBody"/>
              <w:outlineLvl w:val="0"/>
              <w:rPr>
                <w:rFonts w:ascii="Arial" w:hAnsi="Arial" w:cs="Arial"/>
                <w:sz w:val="20"/>
              </w:rPr>
            </w:pPr>
            <w:r w:rsidRPr="00F4026E">
              <w:rPr>
                <w:rFonts w:ascii="Arial" w:hAnsi="Arial" w:cs="Arial"/>
                <w:sz w:val="20"/>
              </w:rPr>
              <w:t xml:space="preserve">Cost associated with mental health episode of care </w:t>
            </w:r>
          </w:p>
        </w:tc>
        <w:tc>
          <w:tcPr>
            <w:tcW w:w="0" w:type="dxa"/>
            <w:shd w:val="clear" w:color="auto" w:fill="auto"/>
          </w:tcPr>
          <w:p w14:paraId="1C9D6EEC" w14:textId="77777777" w:rsidR="00AA3C02" w:rsidRPr="00F4026E" w:rsidRDefault="00AA3C02" w:rsidP="00216AB8">
            <w:pPr>
              <w:pStyle w:val="TableBody"/>
              <w:jc w:val="both"/>
              <w:outlineLvl w:val="0"/>
              <w:rPr>
                <w:rFonts w:ascii="Arial" w:hAnsi="Arial" w:cs="Arial"/>
                <w:color w:val="262626" w:themeColor="text1" w:themeTint="D9"/>
                <w:sz w:val="20"/>
              </w:rPr>
            </w:pPr>
            <w:r w:rsidRPr="00F4026E">
              <w:rPr>
                <w:rFonts w:ascii="Arial" w:hAnsi="Arial" w:cs="Arial"/>
                <w:color w:val="262626" w:themeColor="text1" w:themeTint="D9"/>
                <w:sz w:val="20"/>
              </w:rPr>
              <w:t>$19,984</w:t>
            </w:r>
          </w:p>
        </w:tc>
        <w:tc>
          <w:tcPr>
            <w:tcW w:w="0" w:type="dxa"/>
            <w:shd w:val="clear" w:color="auto" w:fill="auto"/>
          </w:tcPr>
          <w:p w14:paraId="5EB51D16" w14:textId="069AEA09" w:rsidR="00AA3C02" w:rsidRPr="00F4026E" w:rsidRDefault="00AF325E" w:rsidP="00216AB8">
            <w:pPr>
              <w:pStyle w:val="TableBody"/>
              <w:outlineLvl w:val="0"/>
              <w:rPr>
                <w:rFonts w:ascii="Arial" w:hAnsi="Arial" w:cs="Arial"/>
                <w:sz w:val="20"/>
              </w:rPr>
            </w:pPr>
            <w:hyperlink r:id="rId29" w:anchor="/periodic-insights/overview" w:history="1">
              <w:r w:rsidR="00F4026E" w:rsidRPr="00F4026E">
                <w:rPr>
                  <w:rStyle w:val="Hyperlink"/>
                  <w:rFonts w:ascii="Arial" w:hAnsi="Arial" w:cs="Arial"/>
                  <w:sz w:val="20"/>
                </w:rPr>
                <w:t>Independent Health and Aged Care Pricing Authority − National benchmarking portal cost per national weighted activity unit 2020-21 data</w:t>
              </w:r>
            </w:hyperlink>
          </w:p>
        </w:tc>
      </w:tr>
    </w:tbl>
    <w:p w14:paraId="3E69863E" w14:textId="55570F05" w:rsidR="21A7F60E" w:rsidRDefault="21A7F60E" w:rsidP="21A7F60E">
      <w:bookmarkStart w:id="64" w:name="_Toc149054808"/>
    </w:p>
    <w:p w14:paraId="2D979AAE" w14:textId="1FC679B4" w:rsidR="00AA3C02" w:rsidRDefault="00AF361B" w:rsidP="00216AB8">
      <w:pPr>
        <w:pStyle w:val="AHPRASubheadinglevel2"/>
        <w:outlineLvl w:val="0"/>
      </w:pPr>
      <w:bookmarkStart w:id="65" w:name="_Toc164692729"/>
      <w:r>
        <w:t>Table</w:t>
      </w:r>
      <w:r w:rsidR="005431A4">
        <w:t xml:space="preserve"> </w:t>
      </w:r>
      <w:r w:rsidR="00800658">
        <w:t>3</w:t>
      </w:r>
      <w:r>
        <w:t>: Potential benefit</w:t>
      </w:r>
      <w:r w:rsidR="005035B2">
        <w:t>s</w:t>
      </w:r>
      <w:bookmarkEnd w:id="64"/>
      <w:bookmarkEnd w:id="65"/>
    </w:p>
    <w:tbl>
      <w:tblPr>
        <w:tblStyle w:val="PMCTableStyle2"/>
        <w:tblW w:w="9346"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9346"/>
      </w:tblGrid>
      <w:tr w:rsidR="00AA3C02" w:rsidRPr="00AF361B" w14:paraId="5AE4AC61" w14:textId="77777777" w:rsidTr="005866E2">
        <w:trPr>
          <w:cnfStyle w:val="100000000000" w:firstRow="1" w:lastRow="0" w:firstColumn="0" w:lastColumn="0" w:oddVBand="0" w:evenVBand="0" w:oddHBand="0" w:evenHBand="0" w:firstRowFirstColumn="0" w:firstRowLastColumn="0" w:lastRowFirstColumn="0" w:lastRowLastColumn="0"/>
          <w:trHeight w:val="350"/>
        </w:trPr>
        <w:tc>
          <w:tcPr>
            <w:tcW w:w="9346" w:type="dxa"/>
            <w:shd w:val="clear" w:color="auto" w:fill="00B0F0"/>
          </w:tcPr>
          <w:p w14:paraId="2C15C99F" w14:textId="7A80B2A1" w:rsidR="00AA3C02" w:rsidRPr="00AF361B" w:rsidRDefault="00AA3C02" w:rsidP="00216AB8">
            <w:pPr>
              <w:pStyle w:val="TableHeading"/>
              <w:spacing w:before="0" w:after="0"/>
              <w:outlineLvl w:val="0"/>
              <w:rPr>
                <w:rFonts w:ascii="Arial" w:hAnsi="Arial" w:cs="Arial"/>
                <w:sz w:val="20"/>
              </w:rPr>
            </w:pPr>
            <w:r w:rsidRPr="00AF361B">
              <w:rPr>
                <w:rFonts w:ascii="Arial" w:hAnsi="Arial" w:cs="Arial"/>
                <w:sz w:val="20"/>
              </w:rPr>
              <w:t xml:space="preserve">Potential </w:t>
            </w:r>
            <w:r w:rsidR="00AF361B">
              <w:rPr>
                <w:rFonts w:ascii="Arial" w:hAnsi="Arial" w:cs="Arial"/>
                <w:sz w:val="20"/>
              </w:rPr>
              <w:t>b</w:t>
            </w:r>
            <w:r w:rsidR="00AF361B" w:rsidRPr="00AF361B">
              <w:rPr>
                <w:rFonts w:ascii="Arial" w:hAnsi="Arial" w:cs="Arial"/>
                <w:sz w:val="20"/>
              </w:rPr>
              <w:t>enefits</w:t>
            </w:r>
          </w:p>
        </w:tc>
      </w:tr>
      <w:tr w:rsidR="00AA3C02" w:rsidRPr="00AF361B" w14:paraId="0D5224DE" w14:textId="77777777" w:rsidTr="005866E2">
        <w:trPr>
          <w:trHeight w:val="350"/>
        </w:trPr>
        <w:tc>
          <w:tcPr>
            <w:tcW w:w="9346" w:type="dxa"/>
          </w:tcPr>
          <w:p w14:paraId="11B5FA5B" w14:textId="77777777"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Early intervention</w:t>
            </w:r>
          </w:p>
        </w:tc>
      </w:tr>
      <w:tr w:rsidR="00AA3C02" w:rsidRPr="00AF361B" w14:paraId="430040CC" w14:textId="77777777" w:rsidTr="005866E2">
        <w:trPr>
          <w:trHeight w:val="350"/>
        </w:trPr>
        <w:tc>
          <w:tcPr>
            <w:tcW w:w="9346" w:type="dxa"/>
          </w:tcPr>
          <w:p w14:paraId="235D07C8" w14:textId="77777777"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Improved continuity of care</w:t>
            </w:r>
          </w:p>
        </w:tc>
      </w:tr>
      <w:tr w:rsidR="00AA3C02" w:rsidRPr="00AF361B" w14:paraId="778D4C76" w14:textId="77777777" w:rsidTr="005866E2">
        <w:trPr>
          <w:trHeight w:val="350"/>
        </w:trPr>
        <w:tc>
          <w:tcPr>
            <w:tcW w:w="9346" w:type="dxa"/>
          </w:tcPr>
          <w:p w14:paraId="7BC2B456" w14:textId="5A3228BC"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 xml:space="preserve">Reduced </w:t>
            </w:r>
            <w:r w:rsidR="00AF361B">
              <w:rPr>
                <w:rFonts w:ascii="Arial" w:hAnsi="Arial" w:cs="Arial"/>
                <w:szCs w:val="20"/>
              </w:rPr>
              <w:t>a</w:t>
            </w:r>
            <w:r w:rsidR="00AF361B" w:rsidRPr="00AF361B">
              <w:rPr>
                <w:rFonts w:ascii="Arial" w:hAnsi="Arial" w:cs="Arial"/>
                <w:szCs w:val="20"/>
              </w:rPr>
              <w:t xml:space="preserve">voidable </w:t>
            </w:r>
            <w:r w:rsidR="00AF361B">
              <w:rPr>
                <w:rFonts w:ascii="Arial" w:hAnsi="Arial" w:cs="Arial"/>
                <w:szCs w:val="20"/>
              </w:rPr>
              <w:t>h</w:t>
            </w:r>
            <w:r w:rsidR="00AF361B" w:rsidRPr="00AF361B">
              <w:rPr>
                <w:rFonts w:ascii="Arial" w:hAnsi="Arial" w:cs="Arial"/>
                <w:szCs w:val="20"/>
              </w:rPr>
              <w:t xml:space="preserve">ospital </w:t>
            </w:r>
            <w:r w:rsidR="00AF361B">
              <w:rPr>
                <w:rFonts w:ascii="Arial" w:hAnsi="Arial" w:cs="Arial"/>
                <w:szCs w:val="20"/>
              </w:rPr>
              <w:t>p</w:t>
            </w:r>
            <w:r w:rsidR="00AF361B" w:rsidRPr="00AF361B">
              <w:rPr>
                <w:rFonts w:ascii="Arial" w:hAnsi="Arial" w:cs="Arial"/>
                <w:szCs w:val="20"/>
              </w:rPr>
              <w:t>resentations</w:t>
            </w:r>
          </w:p>
        </w:tc>
      </w:tr>
      <w:tr w:rsidR="00AA3C02" w:rsidRPr="00AF361B" w14:paraId="660245DF" w14:textId="77777777" w:rsidTr="005866E2">
        <w:trPr>
          <w:trHeight w:val="350"/>
        </w:trPr>
        <w:tc>
          <w:tcPr>
            <w:tcW w:w="9346" w:type="dxa"/>
          </w:tcPr>
          <w:p w14:paraId="02BB4993" w14:textId="418386B3" w:rsidR="00AA3C02" w:rsidRPr="00AF361B" w:rsidRDefault="00AA3C02" w:rsidP="00216AB8">
            <w:pPr>
              <w:pStyle w:val="TableBody"/>
              <w:spacing w:line="240" w:lineRule="auto"/>
              <w:outlineLvl w:val="0"/>
              <w:rPr>
                <w:rFonts w:ascii="Arial" w:hAnsi="Arial" w:cs="Arial"/>
                <w:sz w:val="20"/>
              </w:rPr>
            </w:pPr>
            <w:r w:rsidRPr="00AF361B">
              <w:rPr>
                <w:rFonts w:ascii="Arial" w:hAnsi="Arial" w:cs="Arial"/>
                <w:sz w:val="20"/>
              </w:rPr>
              <w:t xml:space="preserve">Interprofessional </w:t>
            </w:r>
            <w:r w:rsidR="00AF361B">
              <w:rPr>
                <w:rFonts w:ascii="Arial" w:hAnsi="Arial" w:cs="Arial"/>
                <w:sz w:val="20"/>
              </w:rPr>
              <w:t>c</w:t>
            </w:r>
            <w:r w:rsidR="00AF361B" w:rsidRPr="00AF361B">
              <w:rPr>
                <w:rFonts w:ascii="Arial" w:hAnsi="Arial" w:cs="Arial"/>
                <w:sz w:val="20"/>
              </w:rPr>
              <w:t xml:space="preserve">ollaborative </w:t>
            </w:r>
            <w:r w:rsidR="00AF361B">
              <w:rPr>
                <w:rFonts w:ascii="Arial" w:hAnsi="Arial" w:cs="Arial"/>
                <w:sz w:val="20"/>
              </w:rPr>
              <w:t>a</w:t>
            </w:r>
            <w:r w:rsidR="00AF361B" w:rsidRPr="00AF361B">
              <w:rPr>
                <w:rFonts w:ascii="Arial" w:hAnsi="Arial" w:cs="Arial"/>
                <w:sz w:val="20"/>
              </w:rPr>
              <w:t>cute</w:t>
            </w:r>
            <w:r w:rsidRPr="00AF361B">
              <w:rPr>
                <w:rFonts w:ascii="Arial" w:hAnsi="Arial" w:cs="Arial"/>
                <w:sz w:val="20"/>
              </w:rPr>
              <w:t>/</w:t>
            </w:r>
            <w:r w:rsidR="00AF361B">
              <w:rPr>
                <w:rFonts w:ascii="Arial" w:hAnsi="Arial" w:cs="Arial"/>
                <w:sz w:val="20"/>
              </w:rPr>
              <w:t>c</w:t>
            </w:r>
            <w:r w:rsidR="00AF361B" w:rsidRPr="00AF361B">
              <w:rPr>
                <w:rFonts w:ascii="Arial" w:hAnsi="Arial" w:cs="Arial"/>
                <w:sz w:val="20"/>
              </w:rPr>
              <w:t xml:space="preserve">hronic </w:t>
            </w:r>
            <w:r w:rsidR="00AF361B">
              <w:rPr>
                <w:rFonts w:ascii="Arial" w:hAnsi="Arial" w:cs="Arial"/>
                <w:sz w:val="20"/>
              </w:rPr>
              <w:t>m</w:t>
            </w:r>
            <w:r w:rsidR="00AF361B" w:rsidRPr="00AF361B">
              <w:rPr>
                <w:rFonts w:ascii="Arial" w:hAnsi="Arial" w:cs="Arial"/>
                <w:sz w:val="20"/>
              </w:rPr>
              <w:t xml:space="preserve">anagement </w:t>
            </w:r>
            <w:r w:rsidR="00AF361B">
              <w:rPr>
                <w:rFonts w:ascii="Arial" w:hAnsi="Arial" w:cs="Arial"/>
                <w:sz w:val="20"/>
              </w:rPr>
              <w:t>d</w:t>
            </w:r>
            <w:r w:rsidR="00AF361B" w:rsidRPr="00AF361B">
              <w:rPr>
                <w:rFonts w:ascii="Arial" w:hAnsi="Arial" w:cs="Arial"/>
                <w:sz w:val="20"/>
              </w:rPr>
              <w:t>isease</w:t>
            </w:r>
          </w:p>
        </w:tc>
      </w:tr>
      <w:tr w:rsidR="00AA3C02" w:rsidRPr="00AF361B" w14:paraId="1AA1FFCB" w14:textId="77777777" w:rsidTr="005866E2">
        <w:trPr>
          <w:trHeight w:val="350"/>
        </w:trPr>
        <w:tc>
          <w:tcPr>
            <w:tcW w:w="9346" w:type="dxa"/>
          </w:tcPr>
          <w:p w14:paraId="003F6212" w14:textId="616E5B84"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 xml:space="preserve">Improved </w:t>
            </w:r>
            <w:r w:rsidR="00AF361B">
              <w:rPr>
                <w:rFonts w:ascii="Arial" w:hAnsi="Arial" w:cs="Arial"/>
                <w:szCs w:val="20"/>
              </w:rPr>
              <w:t>q</w:t>
            </w:r>
            <w:r w:rsidR="00AF361B" w:rsidRPr="00AF361B">
              <w:rPr>
                <w:rFonts w:ascii="Arial" w:hAnsi="Arial" w:cs="Arial"/>
                <w:szCs w:val="20"/>
              </w:rPr>
              <w:t xml:space="preserve">uality </w:t>
            </w:r>
            <w:r w:rsidRPr="00AF361B">
              <w:rPr>
                <w:rFonts w:ascii="Arial" w:hAnsi="Arial" w:cs="Arial"/>
                <w:szCs w:val="20"/>
              </w:rPr>
              <w:t xml:space="preserve">of </w:t>
            </w:r>
            <w:r w:rsidR="00AF361B">
              <w:rPr>
                <w:rFonts w:ascii="Arial" w:hAnsi="Arial" w:cs="Arial"/>
                <w:szCs w:val="20"/>
              </w:rPr>
              <w:t>l</w:t>
            </w:r>
            <w:r w:rsidRPr="00AF361B">
              <w:rPr>
                <w:rFonts w:ascii="Arial" w:hAnsi="Arial" w:cs="Arial"/>
                <w:szCs w:val="20"/>
              </w:rPr>
              <w:t>ife</w:t>
            </w:r>
          </w:p>
        </w:tc>
      </w:tr>
      <w:tr w:rsidR="00AA3C02" w:rsidRPr="00AF361B" w14:paraId="253254B6" w14:textId="77777777" w:rsidTr="005866E2">
        <w:trPr>
          <w:trHeight w:val="350"/>
        </w:trPr>
        <w:tc>
          <w:tcPr>
            <w:tcW w:w="9346" w:type="dxa"/>
          </w:tcPr>
          <w:p w14:paraId="53DECB83" w14:textId="647E4C77"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 xml:space="preserve">Decreased moral distress of </w:t>
            </w:r>
            <w:r w:rsidR="00AF361B">
              <w:rPr>
                <w:rFonts w:ascii="Arial" w:hAnsi="Arial" w:cs="Arial"/>
                <w:szCs w:val="20"/>
              </w:rPr>
              <w:t>p</w:t>
            </w:r>
            <w:r w:rsidR="00AF361B" w:rsidRPr="00AF361B">
              <w:rPr>
                <w:rFonts w:ascii="Arial" w:hAnsi="Arial" w:cs="Arial"/>
                <w:szCs w:val="20"/>
              </w:rPr>
              <w:t>atients</w:t>
            </w:r>
            <w:r w:rsidRPr="00AF361B">
              <w:rPr>
                <w:rFonts w:ascii="Arial" w:hAnsi="Arial" w:cs="Arial"/>
                <w:szCs w:val="20"/>
              </w:rPr>
              <w:t xml:space="preserve">, </w:t>
            </w:r>
            <w:r w:rsidR="00AF361B">
              <w:rPr>
                <w:rFonts w:ascii="Arial" w:hAnsi="Arial" w:cs="Arial"/>
                <w:szCs w:val="20"/>
              </w:rPr>
              <w:t>f</w:t>
            </w:r>
            <w:r w:rsidR="00AF361B" w:rsidRPr="00AF361B">
              <w:rPr>
                <w:rFonts w:ascii="Arial" w:hAnsi="Arial" w:cs="Arial"/>
                <w:szCs w:val="20"/>
              </w:rPr>
              <w:t xml:space="preserve">amily </w:t>
            </w:r>
            <w:r w:rsidRPr="00AF361B">
              <w:rPr>
                <w:rFonts w:ascii="Arial" w:hAnsi="Arial" w:cs="Arial"/>
                <w:szCs w:val="20"/>
              </w:rPr>
              <w:t xml:space="preserve">and </w:t>
            </w:r>
            <w:r w:rsidR="00AF361B">
              <w:rPr>
                <w:rFonts w:ascii="Arial" w:hAnsi="Arial" w:cs="Arial"/>
                <w:szCs w:val="20"/>
              </w:rPr>
              <w:t>h</w:t>
            </w:r>
            <w:r w:rsidR="00AF361B" w:rsidRPr="00AF361B">
              <w:rPr>
                <w:rFonts w:ascii="Arial" w:hAnsi="Arial" w:cs="Arial"/>
                <w:szCs w:val="20"/>
              </w:rPr>
              <w:t>ealth</w:t>
            </w:r>
            <w:r w:rsidR="00AF361B">
              <w:rPr>
                <w:rFonts w:ascii="Arial" w:hAnsi="Arial" w:cs="Arial"/>
                <w:szCs w:val="20"/>
              </w:rPr>
              <w:t>care professionals</w:t>
            </w:r>
            <w:r w:rsidR="00AF361B" w:rsidRPr="00AF361B">
              <w:rPr>
                <w:rFonts w:ascii="Arial" w:hAnsi="Arial" w:cs="Arial"/>
                <w:szCs w:val="20"/>
              </w:rPr>
              <w:t xml:space="preserve"> </w:t>
            </w:r>
            <w:r w:rsidRPr="00AF361B">
              <w:rPr>
                <w:rFonts w:ascii="Arial" w:hAnsi="Arial" w:cs="Arial"/>
                <w:szCs w:val="20"/>
              </w:rPr>
              <w:t xml:space="preserve">and the option to die with dignity </w:t>
            </w:r>
          </w:p>
        </w:tc>
      </w:tr>
      <w:tr w:rsidR="00AA3C02" w:rsidRPr="00AF361B" w14:paraId="7473F05B" w14:textId="77777777" w:rsidTr="005866E2">
        <w:trPr>
          <w:trHeight w:val="350"/>
        </w:trPr>
        <w:tc>
          <w:tcPr>
            <w:tcW w:w="9346" w:type="dxa"/>
          </w:tcPr>
          <w:p w14:paraId="16E89A4B" w14:textId="77777777"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Improved access to health care for rural and regional areas</w:t>
            </w:r>
          </w:p>
        </w:tc>
      </w:tr>
      <w:tr w:rsidR="00AA3C02" w:rsidRPr="00AF361B" w14:paraId="7E4A6D3A" w14:textId="77777777" w:rsidTr="005866E2">
        <w:trPr>
          <w:trHeight w:val="350"/>
        </w:trPr>
        <w:tc>
          <w:tcPr>
            <w:tcW w:w="9346" w:type="dxa"/>
          </w:tcPr>
          <w:p w14:paraId="1ED8CD58" w14:textId="5C486EBC"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 xml:space="preserve">Improved access to health care services for Aboriginal </w:t>
            </w:r>
            <w:r w:rsidR="00AF361B">
              <w:rPr>
                <w:rFonts w:ascii="Arial" w:hAnsi="Arial" w:cs="Arial"/>
                <w:szCs w:val="20"/>
              </w:rPr>
              <w:t>and</w:t>
            </w:r>
            <w:r w:rsidR="00AF361B" w:rsidRPr="00AF361B">
              <w:rPr>
                <w:rFonts w:ascii="Arial" w:hAnsi="Arial" w:cs="Arial"/>
                <w:szCs w:val="20"/>
              </w:rPr>
              <w:t xml:space="preserve"> </w:t>
            </w:r>
            <w:r w:rsidRPr="00AF361B">
              <w:rPr>
                <w:rFonts w:ascii="Arial" w:hAnsi="Arial" w:cs="Arial"/>
                <w:szCs w:val="20"/>
              </w:rPr>
              <w:t>Torres Strait Islander</w:t>
            </w:r>
            <w:r w:rsidR="00AF361B">
              <w:rPr>
                <w:rFonts w:ascii="Arial" w:hAnsi="Arial" w:cs="Arial"/>
                <w:szCs w:val="20"/>
              </w:rPr>
              <w:t xml:space="preserve"> Peoples</w:t>
            </w:r>
          </w:p>
        </w:tc>
      </w:tr>
      <w:tr w:rsidR="00AA3C02" w:rsidRPr="00AF361B" w14:paraId="1521F40B" w14:textId="77777777" w:rsidTr="005866E2">
        <w:trPr>
          <w:trHeight w:val="350"/>
        </w:trPr>
        <w:tc>
          <w:tcPr>
            <w:tcW w:w="9346" w:type="dxa"/>
          </w:tcPr>
          <w:p w14:paraId="084D361F" w14:textId="77777777"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Deprescribing under supervision</w:t>
            </w:r>
          </w:p>
        </w:tc>
      </w:tr>
      <w:tr w:rsidR="00AA3C02" w:rsidRPr="00AF361B" w14:paraId="46C4EC34" w14:textId="77777777" w:rsidTr="005866E2">
        <w:trPr>
          <w:trHeight w:val="350"/>
        </w:trPr>
        <w:tc>
          <w:tcPr>
            <w:tcW w:w="9346" w:type="dxa"/>
          </w:tcPr>
          <w:p w14:paraId="529C06FD" w14:textId="77777777"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Improved efficiency in primary health care</w:t>
            </w:r>
          </w:p>
        </w:tc>
      </w:tr>
      <w:tr w:rsidR="00AA3C02" w:rsidRPr="00C55FAB" w14:paraId="0AD680B8" w14:textId="77777777" w:rsidTr="005866E2">
        <w:trPr>
          <w:trHeight w:val="350"/>
        </w:trPr>
        <w:tc>
          <w:tcPr>
            <w:tcW w:w="9346" w:type="dxa"/>
          </w:tcPr>
          <w:p w14:paraId="0BA66DFF" w14:textId="61CD05A6"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 xml:space="preserve">Improved efficiency and flow in </w:t>
            </w:r>
            <w:r w:rsidR="00AF361B">
              <w:rPr>
                <w:rFonts w:ascii="Arial" w:hAnsi="Arial" w:cs="Arial"/>
                <w:szCs w:val="20"/>
              </w:rPr>
              <w:t>e</w:t>
            </w:r>
            <w:r w:rsidR="00AF361B" w:rsidRPr="00AF361B">
              <w:rPr>
                <w:rFonts w:ascii="Arial" w:hAnsi="Arial" w:cs="Arial"/>
                <w:szCs w:val="20"/>
              </w:rPr>
              <w:t>mergenc</w:t>
            </w:r>
            <w:r w:rsidR="00C55FAB">
              <w:rPr>
                <w:rFonts w:ascii="Arial" w:hAnsi="Arial" w:cs="Arial"/>
                <w:szCs w:val="20"/>
              </w:rPr>
              <w:t>y departments</w:t>
            </w:r>
            <w:r w:rsidR="00AF361B" w:rsidRPr="00AF361B">
              <w:rPr>
                <w:rFonts w:ascii="Arial" w:hAnsi="Arial" w:cs="Arial"/>
                <w:szCs w:val="20"/>
              </w:rPr>
              <w:t xml:space="preserve"> </w:t>
            </w:r>
          </w:p>
        </w:tc>
      </w:tr>
      <w:tr w:rsidR="00AA3C02" w:rsidRPr="00C55FAB" w14:paraId="51E3AB24" w14:textId="77777777" w:rsidTr="005866E2">
        <w:trPr>
          <w:trHeight w:val="350"/>
        </w:trPr>
        <w:tc>
          <w:tcPr>
            <w:tcW w:w="9346" w:type="dxa"/>
          </w:tcPr>
          <w:p w14:paraId="6214C558" w14:textId="77777777"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Increased skill of RNs and recruitment and retention from increased satisfaction</w:t>
            </w:r>
          </w:p>
        </w:tc>
      </w:tr>
      <w:tr w:rsidR="00AA3C02" w:rsidRPr="00C55FAB" w14:paraId="1E3B1891" w14:textId="77777777" w:rsidTr="005866E2">
        <w:trPr>
          <w:cnfStyle w:val="010000000000" w:firstRow="0" w:lastRow="1" w:firstColumn="0" w:lastColumn="0" w:oddVBand="0" w:evenVBand="0" w:oddHBand="0" w:evenHBand="0" w:firstRowFirstColumn="0" w:firstRowLastColumn="0" w:lastRowFirstColumn="0" w:lastRowLastColumn="0"/>
          <w:trHeight w:val="350"/>
        </w:trPr>
        <w:tc>
          <w:tcPr>
            <w:tcW w:w="9346" w:type="dxa"/>
            <w:shd w:val="clear" w:color="auto" w:fill="auto"/>
          </w:tcPr>
          <w:p w14:paraId="26296CAE" w14:textId="77F7E377" w:rsidR="00AA3C02" w:rsidRPr="00AF361B" w:rsidRDefault="00AA3C02" w:rsidP="00216AB8">
            <w:pPr>
              <w:spacing w:after="0" w:line="240" w:lineRule="auto"/>
              <w:jc w:val="both"/>
              <w:outlineLvl w:val="0"/>
              <w:rPr>
                <w:rFonts w:ascii="Arial" w:hAnsi="Arial" w:cs="Arial"/>
                <w:szCs w:val="20"/>
              </w:rPr>
            </w:pPr>
            <w:r w:rsidRPr="00AF361B">
              <w:rPr>
                <w:rFonts w:ascii="Arial" w:hAnsi="Arial" w:cs="Arial"/>
                <w:szCs w:val="20"/>
              </w:rPr>
              <w:t xml:space="preserve">Improved </w:t>
            </w:r>
            <w:r w:rsidR="00C55FAB">
              <w:rPr>
                <w:rFonts w:ascii="Arial" w:hAnsi="Arial" w:cs="Arial"/>
                <w:szCs w:val="20"/>
              </w:rPr>
              <w:t>q</w:t>
            </w:r>
            <w:r w:rsidR="00C55FAB" w:rsidRPr="00AF361B">
              <w:rPr>
                <w:rFonts w:ascii="Arial" w:hAnsi="Arial" w:cs="Arial"/>
                <w:szCs w:val="20"/>
              </w:rPr>
              <w:t xml:space="preserve">uality </w:t>
            </w:r>
            <w:r w:rsidRPr="00AF361B">
              <w:rPr>
                <w:rFonts w:ascii="Arial" w:hAnsi="Arial" w:cs="Arial"/>
                <w:szCs w:val="20"/>
              </w:rPr>
              <w:t xml:space="preserve">and </w:t>
            </w:r>
            <w:r w:rsidR="00C55FAB">
              <w:rPr>
                <w:rFonts w:ascii="Arial" w:hAnsi="Arial" w:cs="Arial"/>
                <w:szCs w:val="20"/>
              </w:rPr>
              <w:t>s</w:t>
            </w:r>
            <w:r w:rsidR="00C55FAB" w:rsidRPr="00AF361B">
              <w:rPr>
                <w:rFonts w:ascii="Arial" w:hAnsi="Arial" w:cs="Arial"/>
                <w:szCs w:val="20"/>
              </w:rPr>
              <w:t xml:space="preserve">afety </w:t>
            </w:r>
          </w:p>
        </w:tc>
      </w:tr>
    </w:tbl>
    <w:p w14:paraId="6E26243E" w14:textId="77777777" w:rsidR="00672D2A" w:rsidRDefault="00672D2A" w:rsidP="00216AB8">
      <w:pPr>
        <w:pStyle w:val="AHPRASubheadinglevel2"/>
        <w:spacing w:before="360"/>
        <w:outlineLvl w:val="0"/>
      </w:pPr>
      <w:bookmarkStart w:id="66" w:name="_Toc149054809"/>
    </w:p>
    <w:p w14:paraId="3CEA0F30" w14:textId="77777777" w:rsidR="00672D2A" w:rsidRDefault="00672D2A">
      <w:pPr>
        <w:spacing w:after="0"/>
        <w:rPr>
          <w:b/>
        </w:rPr>
      </w:pPr>
      <w:r>
        <w:br w:type="page"/>
      </w:r>
    </w:p>
    <w:p w14:paraId="2260D928" w14:textId="48493E5B" w:rsidR="00C55FAB" w:rsidRDefault="00C55FAB" w:rsidP="00216AB8">
      <w:pPr>
        <w:pStyle w:val="AHPRASubheadinglevel2"/>
        <w:spacing w:before="360"/>
        <w:outlineLvl w:val="0"/>
      </w:pPr>
      <w:bookmarkStart w:id="67" w:name="_Toc164692730"/>
      <w:r>
        <w:lastRenderedPageBreak/>
        <w:t>Table</w:t>
      </w:r>
      <w:r w:rsidR="00800658">
        <w:t xml:space="preserve"> 4</w:t>
      </w:r>
      <w:r>
        <w:t>: Potential cost</w:t>
      </w:r>
      <w:r w:rsidR="005035B2">
        <w:t>s</w:t>
      </w:r>
      <w:bookmarkEnd w:id="66"/>
      <w:bookmarkEnd w:id="67"/>
    </w:p>
    <w:tbl>
      <w:tblPr>
        <w:tblStyle w:val="PMCTableStyle2"/>
        <w:tblW w:w="948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9488"/>
      </w:tblGrid>
      <w:tr w:rsidR="00AA3C02" w14:paraId="483B029F" w14:textId="77777777" w:rsidTr="005866E2">
        <w:trPr>
          <w:cnfStyle w:val="100000000000" w:firstRow="1" w:lastRow="0" w:firstColumn="0" w:lastColumn="0" w:oddVBand="0" w:evenVBand="0" w:oddHBand="0" w:evenHBand="0" w:firstRowFirstColumn="0" w:firstRowLastColumn="0" w:lastRowFirstColumn="0" w:lastRowLastColumn="0"/>
          <w:trHeight w:val="350"/>
        </w:trPr>
        <w:tc>
          <w:tcPr>
            <w:tcW w:w="9488" w:type="dxa"/>
            <w:shd w:val="clear" w:color="auto" w:fill="00B0F0"/>
          </w:tcPr>
          <w:p w14:paraId="4A0BF822" w14:textId="0C58D5FF" w:rsidR="00AA3C02" w:rsidRPr="005035B2" w:rsidRDefault="00AA3C02" w:rsidP="00216AB8">
            <w:pPr>
              <w:pStyle w:val="TableHeading"/>
              <w:spacing w:after="0"/>
              <w:outlineLvl w:val="0"/>
              <w:rPr>
                <w:rFonts w:ascii="Arial" w:eastAsia="Cambria" w:hAnsi="Arial" w:cs="Times New Roman"/>
                <w:sz w:val="20"/>
              </w:rPr>
            </w:pPr>
            <w:r w:rsidRPr="005035B2">
              <w:rPr>
                <w:rFonts w:ascii="Arial" w:hAnsi="Arial" w:cs="Arial"/>
                <w:sz w:val="20"/>
              </w:rPr>
              <w:t xml:space="preserve">Potential </w:t>
            </w:r>
            <w:r w:rsidR="005035B2" w:rsidRPr="005035B2">
              <w:rPr>
                <w:rFonts w:ascii="Arial" w:hAnsi="Arial" w:cs="Arial"/>
                <w:sz w:val="20"/>
              </w:rPr>
              <w:t>costs</w:t>
            </w:r>
          </w:p>
        </w:tc>
      </w:tr>
      <w:tr w:rsidR="00AA3C02" w:rsidRPr="00BC1972" w14:paraId="307CF364" w14:textId="77777777" w:rsidTr="005866E2">
        <w:trPr>
          <w:trHeight w:val="350"/>
        </w:trPr>
        <w:tc>
          <w:tcPr>
            <w:tcW w:w="9488" w:type="dxa"/>
          </w:tcPr>
          <w:p w14:paraId="1AE0788A" w14:textId="77777777" w:rsidR="00AA3C02" w:rsidRPr="005035B2" w:rsidRDefault="00AA3C02" w:rsidP="00216AB8">
            <w:pPr>
              <w:spacing w:after="0" w:line="240" w:lineRule="auto"/>
              <w:jc w:val="both"/>
              <w:outlineLvl w:val="0"/>
              <w:rPr>
                <w:rFonts w:ascii="Arial" w:hAnsi="Arial" w:cs="Arial"/>
                <w:szCs w:val="20"/>
              </w:rPr>
            </w:pPr>
            <w:r w:rsidRPr="005035B2">
              <w:rPr>
                <w:rFonts w:ascii="Arial" w:hAnsi="Arial" w:cs="Arial"/>
                <w:szCs w:val="20"/>
              </w:rPr>
              <w:t>Education</w:t>
            </w:r>
          </w:p>
        </w:tc>
      </w:tr>
      <w:tr w:rsidR="00AA3C02" w:rsidRPr="00BC1972" w14:paraId="32CC5F6F" w14:textId="77777777" w:rsidTr="005866E2">
        <w:trPr>
          <w:trHeight w:val="350"/>
        </w:trPr>
        <w:tc>
          <w:tcPr>
            <w:tcW w:w="9488" w:type="dxa"/>
          </w:tcPr>
          <w:p w14:paraId="44921214" w14:textId="3D85FD9D" w:rsidR="00AA3C02" w:rsidRPr="005035B2" w:rsidRDefault="00AA3C02" w:rsidP="00216AB8">
            <w:pPr>
              <w:spacing w:after="0" w:line="240" w:lineRule="auto"/>
              <w:jc w:val="both"/>
              <w:outlineLvl w:val="0"/>
              <w:rPr>
                <w:rFonts w:ascii="Arial" w:hAnsi="Arial" w:cs="Arial"/>
                <w:szCs w:val="20"/>
              </w:rPr>
            </w:pPr>
            <w:r w:rsidRPr="005035B2">
              <w:rPr>
                <w:rFonts w:ascii="Arial" w:hAnsi="Arial" w:cs="Arial"/>
                <w:szCs w:val="20"/>
              </w:rPr>
              <w:t xml:space="preserve">Professional </w:t>
            </w:r>
            <w:r w:rsidR="005035B2">
              <w:rPr>
                <w:rFonts w:ascii="Arial" w:hAnsi="Arial" w:cs="Arial"/>
                <w:szCs w:val="20"/>
              </w:rPr>
              <w:t>i</w:t>
            </w:r>
            <w:r w:rsidR="005035B2" w:rsidRPr="005035B2">
              <w:rPr>
                <w:rFonts w:ascii="Arial" w:hAnsi="Arial" w:cs="Arial"/>
                <w:szCs w:val="20"/>
              </w:rPr>
              <w:t xml:space="preserve">ndemnity </w:t>
            </w:r>
            <w:r w:rsidR="005035B2">
              <w:rPr>
                <w:rFonts w:ascii="Arial" w:hAnsi="Arial" w:cs="Arial"/>
                <w:szCs w:val="20"/>
              </w:rPr>
              <w:t>i</w:t>
            </w:r>
            <w:r w:rsidR="005035B2" w:rsidRPr="005035B2">
              <w:rPr>
                <w:rFonts w:ascii="Arial" w:hAnsi="Arial" w:cs="Arial"/>
                <w:szCs w:val="20"/>
              </w:rPr>
              <w:t>nsurance</w:t>
            </w:r>
          </w:p>
        </w:tc>
      </w:tr>
      <w:tr w:rsidR="00AA3C02" w:rsidRPr="00BC1972" w14:paraId="7A24076D" w14:textId="77777777" w:rsidTr="005866E2">
        <w:trPr>
          <w:trHeight w:val="350"/>
        </w:trPr>
        <w:tc>
          <w:tcPr>
            <w:tcW w:w="9488" w:type="dxa"/>
          </w:tcPr>
          <w:p w14:paraId="6575FAD1" w14:textId="585F51BE" w:rsidR="00AA3C02" w:rsidRPr="005035B2" w:rsidRDefault="00AA3C02" w:rsidP="00216AB8">
            <w:pPr>
              <w:spacing w:after="0" w:line="240" w:lineRule="auto"/>
              <w:jc w:val="both"/>
              <w:outlineLvl w:val="0"/>
              <w:rPr>
                <w:rFonts w:ascii="Arial" w:hAnsi="Arial" w:cs="Arial"/>
                <w:szCs w:val="20"/>
              </w:rPr>
            </w:pPr>
            <w:r w:rsidRPr="005035B2">
              <w:rPr>
                <w:rFonts w:ascii="Arial" w:hAnsi="Arial" w:cs="Arial"/>
                <w:szCs w:val="20"/>
              </w:rPr>
              <w:t xml:space="preserve">Endorsement </w:t>
            </w:r>
            <w:r w:rsidR="005035B2">
              <w:rPr>
                <w:rFonts w:ascii="Arial" w:hAnsi="Arial" w:cs="Arial"/>
                <w:szCs w:val="20"/>
              </w:rPr>
              <w:t>c</w:t>
            </w:r>
            <w:r w:rsidR="005035B2" w:rsidRPr="005035B2">
              <w:rPr>
                <w:rFonts w:ascii="Arial" w:hAnsi="Arial" w:cs="Arial"/>
                <w:szCs w:val="20"/>
              </w:rPr>
              <w:t>ost</w:t>
            </w:r>
          </w:p>
        </w:tc>
      </w:tr>
      <w:tr w:rsidR="00AA3C02" w:rsidRPr="00BC1972" w14:paraId="0927DBBD" w14:textId="77777777" w:rsidTr="005866E2">
        <w:trPr>
          <w:cnfStyle w:val="010000000000" w:firstRow="0" w:lastRow="1" w:firstColumn="0" w:lastColumn="0" w:oddVBand="0" w:evenVBand="0" w:oddHBand="0" w:evenHBand="0" w:firstRowFirstColumn="0" w:firstRowLastColumn="0" w:lastRowFirstColumn="0" w:lastRowLastColumn="0"/>
          <w:trHeight w:val="350"/>
        </w:trPr>
        <w:tc>
          <w:tcPr>
            <w:tcW w:w="9488" w:type="dxa"/>
            <w:shd w:val="clear" w:color="auto" w:fill="auto"/>
          </w:tcPr>
          <w:p w14:paraId="533DE931" w14:textId="29FEDA12" w:rsidR="00AA3C02" w:rsidRPr="005035B2" w:rsidRDefault="00AA3C02" w:rsidP="00216AB8">
            <w:pPr>
              <w:spacing w:after="0" w:line="240" w:lineRule="auto"/>
              <w:jc w:val="both"/>
              <w:outlineLvl w:val="0"/>
              <w:rPr>
                <w:rFonts w:ascii="Arial" w:hAnsi="Arial" w:cs="Arial"/>
                <w:szCs w:val="20"/>
              </w:rPr>
            </w:pPr>
            <w:r w:rsidRPr="005035B2">
              <w:rPr>
                <w:rFonts w:ascii="Arial" w:hAnsi="Arial" w:cs="Arial"/>
                <w:szCs w:val="20"/>
              </w:rPr>
              <w:t>Time cost for supervision and set up</w:t>
            </w:r>
          </w:p>
        </w:tc>
      </w:tr>
    </w:tbl>
    <w:p w14:paraId="46EFCE38" w14:textId="390F08A2" w:rsidR="21A7F60E" w:rsidRPr="00A93EBD" w:rsidRDefault="21A7F60E" w:rsidP="004447BB">
      <w:pPr>
        <w:pStyle w:val="AHPRABody1"/>
      </w:pPr>
      <w:bookmarkStart w:id="68" w:name="_Toc57500"/>
    </w:p>
    <w:p w14:paraId="247F0E75" w14:textId="6D57752B" w:rsidR="008E2DF2" w:rsidRDefault="008E2DF2" w:rsidP="004447BB">
      <w:pPr>
        <w:pStyle w:val="AHPRABody1"/>
      </w:pPr>
      <w:r w:rsidRPr="422F38A3">
        <w:t>If we analyse the potential cost savings using Mark</w:t>
      </w:r>
      <w:r w:rsidRPr="422F38A3">
        <w:rPr>
          <w:b/>
          <w:bCs/>
        </w:rPr>
        <w:t>’</w:t>
      </w:r>
      <w:r w:rsidRPr="422F38A3">
        <w:t xml:space="preserve">s Journey, there are also cost benefits associated for the government through the provision of designated RN prescribers.  </w:t>
      </w:r>
      <w:r w:rsidRPr="422F38A3">
        <w:rPr>
          <w:rFonts w:eastAsiaTheme="minorEastAsia"/>
        </w:rPr>
        <w:t>In 2021</w:t>
      </w:r>
      <w:r w:rsidRPr="422F38A3">
        <w:rPr>
          <w:rFonts w:eastAsiaTheme="minorEastAsia"/>
          <w:b/>
          <w:bCs/>
        </w:rPr>
        <w:t>,</w:t>
      </w:r>
      <w:r w:rsidRPr="422F38A3">
        <w:rPr>
          <w:rFonts w:eastAsiaTheme="minorEastAsia"/>
        </w:rPr>
        <w:t xml:space="preserve"> there were 280,176 mental health-related presentations to ED departments for mental health related conditions. This is a cost saving of $61.6 million in governments spending on potential care that could be provided by designated RN prescribers. </w:t>
      </w:r>
      <w:r w:rsidRPr="422F38A3">
        <w:rPr>
          <w:vertAlign w:val="superscript"/>
        </w:rPr>
        <w:t>78</w:t>
      </w:r>
    </w:p>
    <w:p w14:paraId="5EA7FB10" w14:textId="77777777" w:rsidR="008E2DF2" w:rsidRDefault="008E2DF2" w:rsidP="004447BB">
      <w:pPr>
        <w:pStyle w:val="AHPRABody1"/>
      </w:pPr>
    </w:p>
    <w:tbl>
      <w:tblPr>
        <w:tblStyle w:val="PMCTableStyle2"/>
        <w:tblW w:w="948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9488"/>
      </w:tblGrid>
      <w:tr w:rsidR="008E2DF2" w:rsidRPr="00BC66C1" w14:paraId="0CF8B729" w14:textId="77777777" w:rsidTr="00717F43">
        <w:trPr>
          <w:cnfStyle w:val="100000000000" w:firstRow="1" w:lastRow="0" w:firstColumn="0" w:lastColumn="0" w:oddVBand="0" w:evenVBand="0" w:oddHBand="0" w:evenHBand="0" w:firstRowFirstColumn="0" w:firstRowLastColumn="0" w:lastRowFirstColumn="0" w:lastRowLastColumn="0"/>
          <w:trHeight w:val="350"/>
        </w:trPr>
        <w:tc>
          <w:tcPr>
            <w:tcW w:w="9346" w:type="dxa"/>
            <w:shd w:val="clear" w:color="auto" w:fill="00B0F0"/>
          </w:tcPr>
          <w:p w14:paraId="22AAC949" w14:textId="77777777" w:rsidR="008E2DF2" w:rsidRPr="008E2DF2" w:rsidRDefault="008E2DF2" w:rsidP="00717F43">
            <w:pPr>
              <w:pStyle w:val="AHPRABody1"/>
              <w:rPr>
                <w:rFonts w:ascii="Arial" w:eastAsiaTheme="minorEastAsia" w:hAnsi="Arial"/>
                <w:bCs/>
                <w:sz w:val="20"/>
              </w:rPr>
            </w:pPr>
            <w:r w:rsidRPr="008E2DF2">
              <w:rPr>
                <w:sz w:val="20"/>
              </w:rPr>
              <w:br w:type="page"/>
            </w:r>
            <w:r w:rsidRPr="008E2DF2">
              <w:rPr>
                <w:sz w:val="20"/>
                <w:vertAlign w:val="superscript"/>
              </w:rPr>
              <w:t xml:space="preserve"> </w:t>
            </w:r>
            <w:r w:rsidRPr="008E2DF2">
              <w:rPr>
                <w:rFonts w:ascii="Arial" w:eastAsiaTheme="minorEastAsia" w:hAnsi="Arial"/>
                <w:bCs/>
                <w:sz w:val="20"/>
              </w:rPr>
              <w:t>Cost saving through potential avoidance of Mental Health ED Presentations and Admissions</w:t>
            </w:r>
          </w:p>
        </w:tc>
      </w:tr>
      <w:tr w:rsidR="008E2DF2" w:rsidRPr="005E59B6" w14:paraId="1512AD6D" w14:textId="77777777" w:rsidTr="00717F43">
        <w:trPr>
          <w:trHeight w:val="350"/>
        </w:trPr>
        <w:tc>
          <w:tcPr>
            <w:tcW w:w="9346" w:type="dxa"/>
          </w:tcPr>
          <w:p w14:paraId="3C9757DE" w14:textId="77777777" w:rsidR="008E2DF2" w:rsidRPr="005E59B6" w:rsidRDefault="008E2DF2" w:rsidP="00717F43">
            <w:pPr>
              <w:pStyle w:val="AHPRABody1"/>
              <w:rPr>
                <w:rFonts w:ascii="Arial" w:eastAsiaTheme="minorEastAsia" w:hAnsi="Arial"/>
              </w:rPr>
            </w:pPr>
            <w:r w:rsidRPr="005E59B6">
              <w:rPr>
                <w:rFonts w:ascii="Arial" w:eastAsiaTheme="minorEastAsia" w:hAnsi="Arial"/>
              </w:rPr>
              <w:t xml:space="preserve">Avoidance of Mental Health Hospitalisations savings per patient $19,984 </w:t>
            </w:r>
          </w:p>
        </w:tc>
      </w:tr>
      <w:tr w:rsidR="008E2DF2" w:rsidRPr="005E59B6" w14:paraId="2F73E09F" w14:textId="77777777" w:rsidTr="00717F43">
        <w:trPr>
          <w:cnfStyle w:val="010000000000" w:firstRow="0" w:lastRow="1" w:firstColumn="0" w:lastColumn="0" w:oddVBand="0" w:evenVBand="0" w:oddHBand="0" w:evenHBand="0" w:firstRowFirstColumn="0" w:firstRowLastColumn="0" w:lastRowFirstColumn="0" w:lastRowLastColumn="0"/>
          <w:trHeight w:val="350"/>
        </w:trPr>
        <w:tc>
          <w:tcPr>
            <w:tcW w:w="9346" w:type="dxa"/>
          </w:tcPr>
          <w:p w14:paraId="0893F6E8" w14:textId="77777777" w:rsidR="008E2DF2" w:rsidRPr="005E59B6" w:rsidRDefault="008E2DF2" w:rsidP="00717F43">
            <w:pPr>
              <w:pStyle w:val="AHPRABody1"/>
              <w:rPr>
                <w:rFonts w:ascii="Arial" w:eastAsiaTheme="minorEastAsia" w:hAnsi="Arial"/>
              </w:rPr>
            </w:pPr>
            <w:r w:rsidRPr="005E59B6">
              <w:rPr>
                <w:rFonts w:ascii="Arial" w:eastAsiaTheme="minorEastAsia" w:hAnsi="Arial"/>
              </w:rPr>
              <w:t>Potential Cost saving $21,988 per Mental Health ED presentations</w:t>
            </w:r>
          </w:p>
        </w:tc>
      </w:tr>
    </w:tbl>
    <w:p w14:paraId="25FE2A55" w14:textId="77777777" w:rsidR="008E2DF2" w:rsidRDefault="008E2DF2" w:rsidP="004447BB">
      <w:pPr>
        <w:pStyle w:val="AHPRABody1"/>
      </w:pPr>
    </w:p>
    <w:p w14:paraId="37079112" w14:textId="10A4FCB3" w:rsidR="50E82BCC" w:rsidRPr="005E59B6" w:rsidRDefault="50E82BCC" w:rsidP="422F38A3">
      <w:pPr>
        <w:pStyle w:val="AHPRABody1"/>
        <w:rPr>
          <w:rFonts w:eastAsiaTheme="minorEastAsia"/>
        </w:rPr>
      </w:pPr>
      <w:r w:rsidRPr="422F38A3">
        <w:t xml:space="preserve">If we </w:t>
      </w:r>
      <w:r w:rsidR="00492D84" w:rsidRPr="422F38A3">
        <w:t>analyse the potential cost savings using</w:t>
      </w:r>
      <w:r w:rsidRPr="422F38A3">
        <w:t xml:space="preserve"> Charlie</w:t>
      </w:r>
      <w:r w:rsidR="00492D84" w:rsidRPr="422F38A3">
        <w:t>’</w:t>
      </w:r>
      <w:r w:rsidRPr="422F38A3">
        <w:t>s Journey who is a palliative care patient</w:t>
      </w:r>
      <w:r w:rsidR="6302435C" w:rsidRPr="422F38A3">
        <w:t xml:space="preserve">.  </w:t>
      </w:r>
      <w:r w:rsidR="4D08E792" w:rsidRPr="422F38A3">
        <w:rPr>
          <w:rFonts w:eastAsiaTheme="minorEastAsia"/>
        </w:rPr>
        <w:t>There were 94,800 palliative care-related hospitalisations in public and private hospitals in 2021–22.</w:t>
      </w:r>
      <w:r w:rsidRPr="422F38A3">
        <w:rPr>
          <w:rFonts w:eastAsiaTheme="minorEastAsia"/>
        </w:rPr>
        <w:t xml:space="preserve"> </w:t>
      </w:r>
      <w:r w:rsidR="31351E49" w:rsidRPr="422F38A3">
        <w:rPr>
          <w:rFonts w:eastAsiaTheme="minorEastAsia"/>
        </w:rPr>
        <w:t xml:space="preserve">We were unable to </w:t>
      </w:r>
      <w:r w:rsidR="00310071" w:rsidRPr="422F38A3">
        <w:rPr>
          <w:rFonts w:eastAsiaTheme="minorEastAsia"/>
        </w:rPr>
        <w:t>identify</w:t>
      </w:r>
      <w:r w:rsidR="31351E49" w:rsidRPr="422F38A3">
        <w:rPr>
          <w:rFonts w:eastAsiaTheme="minorEastAsia"/>
        </w:rPr>
        <w:t xml:space="preserve"> </w:t>
      </w:r>
      <w:r w:rsidR="7F376FC2" w:rsidRPr="422F38A3">
        <w:rPr>
          <w:rFonts w:eastAsiaTheme="minorEastAsia"/>
        </w:rPr>
        <w:t xml:space="preserve">the length of </w:t>
      </w:r>
      <w:r w:rsidR="5EEEAF9F" w:rsidRPr="422F38A3">
        <w:rPr>
          <w:rFonts w:eastAsiaTheme="minorEastAsia"/>
        </w:rPr>
        <w:t>hospitalisation</w:t>
      </w:r>
      <w:r w:rsidR="7F376FC2" w:rsidRPr="422F38A3">
        <w:rPr>
          <w:rFonts w:eastAsiaTheme="minorEastAsia"/>
        </w:rPr>
        <w:t xml:space="preserve"> </w:t>
      </w:r>
      <w:r w:rsidR="5256888A" w:rsidRPr="422F38A3">
        <w:rPr>
          <w:rFonts w:eastAsiaTheme="minorEastAsia"/>
        </w:rPr>
        <w:t xml:space="preserve">of this number of patients or the number of patients who died within the ED. </w:t>
      </w:r>
      <w:r>
        <w:br/>
      </w:r>
    </w:p>
    <w:tbl>
      <w:tblPr>
        <w:tblStyle w:val="PMCTableStyle2"/>
        <w:tblW w:w="948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660" w:firstRow="1" w:lastRow="1" w:firstColumn="0" w:lastColumn="0" w:noHBand="1" w:noVBand="1"/>
      </w:tblPr>
      <w:tblGrid>
        <w:gridCol w:w="9488"/>
      </w:tblGrid>
      <w:tr w:rsidR="00A050D5" w:rsidRPr="00A93EBD" w14:paraId="2673189F" w14:textId="77777777" w:rsidTr="008E2DF2">
        <w:trPr>
          <w:cnfStyle w:val="100000000000" w:firstRow="1" w:lastRow="0" w:firstColumn="0" w:lastColumn="0" w:oddVBand="0" w:evenVBand="0" w:oddHBand="0" w:evenHBand="0" w:firstRowFirstColumn="0" w:firstRowLastColumn="0" w:lastRowFirstColumn="0" w:lastRowLastColumn="0"/>
          <w:trHeight w:val="350"/>
        </w:trPr>
        <w:tc>
          <w:tcPr>
            <w:tcW w:w="9488" w:type="dxa"/>
            <w:shd w:val="clear" w:color="auto" w:fill="00B0F0"/>
          </w:tcPr>
          <w:p w14:paraId="63838DED" w14:textId="0917CC1B" w:rsidR="73F26D37" w:rsidRPr="008E2DF2" w:rsidRDefault="73F26D37" w:rsidP="004447BB">
            <w:pPr>
              <w:pStyle w:val="AHPRABody1"/>
              <w:rPr>
                <w:rFonts w:ascii="Arial" w:eastAsiaTheme="minorEastAsia" w:hAnsi="Arial"/>
                <w:sz w:val="20"/>
              </w:rPr>
            </w:pPr>
            <w:r w:rsidRPr="008E2DF2">
              <w:rPr>
                <w:rFonts w:ascii="Arial" w:eastAsiaTheme="minorEastAsia" w:hAnsi="Arial"/>
                <w:sz w:val="20"/>
              </w:rPr>
              <w:t>Cost saving through potential a</w:t>
            </w:r>
            <w:r w:rsidR="21A7F60E" w:rsidRPr="008E2DF2">
              <w:rPr>
                <w:rFonts w:ascii="Arial" w:eastAsiaTheme="minorEastAsia" w:hAnsi="Arial"/>
                <w:sz w:val="20"/>
              </w:rPr>
              <w:t xml:space="preserve">voidance of Emergency </w:t>
            </w:r>
            <w:r w:rsidR="3915A8D2" w:rsidRPr="008E2DF2">
              <w:rPr>
                <w:rFonts w:ascii="Arial" w:eastAsiaTheme="minorEastAsia" w:hAnsi="Arial"/>
                <w:sz w:val="20"/>
              </w:rPr>
              <w:t xml:space="preserve">Admission </w:t>
            </w:r>
            <w:r w:rsidR="38FDE8CD" w:rsidRPr="008E2DF2">
              <w:rPr>
                <w:rFonts w:ascii="Arial" w:eastAsiaTheme="minorEastAsia" w:hAnsi="Arial"/>
                <w:sz w:val="20"/>
              </w:rPr>
              <w:t xml:space="preserve">per patient $789 </w:t>
            </w:r>
            <w:r w:rsidR="3915A8D2" w:rsidRPr="008E2DF2">
              <w:rPr>
                <w:rFonts w:ascii="Arial" w:eastAsiaTheme="minorEastAsia" w:hAnsi="Arial"/>
                <w:sz w:val="20"/>
              </w:rPr>
              <w:t xml:space="preserve"> </w:t>
            </w:r>
          </w:p>
        </w:tc>
      </w:tr>
      <w:tr w:rsidR="009A06A9" w:rsidRPr="00A93EBD" w14:paraId="46A196A3" w14:textId="77777777" w:rsidTr="008E2DF2">
        <w:trPr>
          <w:cnfStyle w:val="010000000000" w:firstRow="0" w:lastRow="1" w:firstColumn="0" w:lastColumn="0" w:oddVBand="0" w:evenVBand="0" w:oddHBand="0" w:evenHBand="0" w:firstRowFirstColumn="0" w:firstRowLastColumn="0" w:lastRowFirstColumn="0" w:lastRowLastColumn="0"/>
          <w:trHeight w:val="350"/>
        </w:trPr>
        <w:tc>
          <w:tcPr>
            <w:tcW w:w="9488" w:type="dxa"/>
          </w:tcPr>
          <w:p w14:paraId="2BED0A5E" w14:textId="12EC1678" w:rsidR="5344DFD0" w:rsidRPr="008E2DF2" w:rsidRDefault="5344DFD0" w:rsidP="00BC66C1">
            <w:pPr>
              <w:pStyle w:val="AHPRABody1"/>
              <w:rPr>
                <w:rFonts w:ascii="Arial" w:eastAsiaTheme="minorEastAsia" w:hAnsi="Arial"/>
                <w:color w:val="auto"/>
              </w:rPr>
            </w:pPr>
            <w:r w:rsidRPr="008E2DF2">
              <w:rPr>
                <w:rFonts w:ascii="Arial" w:eastAsiaTheme="minorEastAsia" w:hAnsi="Arial"/>
                <w:color w:val="auto"/>
              </w:rPr>
              <w:t>Cost saving through potential a</w:t>
            </w:r>
            <w:r w:rsidR="21A7F60E" w:rsidRPr="008E2DF2">
              <w:rPr>
                <w:rFonts w:ascii="Arial" w:eastAsiaTheme="minorEastAsia" w:hAnsi="Arial"/>
                <w:color w:val="auto"/>
              </w:rPr>
              <w:t xml:space="preserve">voidance </w:t>
            </w:r>
            <w:r w:rsidR="051AE75C" w:rsidRPr="008E2DF2">
              <w:rPr>
                <w:rFonts w:ascii="Arial" w:eastAsiaTheme="minorEastAsia" w:hAnsi="Arial"/>
                <w:color w:val="auto"/>
              </w:rPr>
              <w:t>of Palliative Care Hospitalisations</w:t>
            </w:r>
            <w:r w:rsidR="21A7F60E" w:rsidRPr="008E2DF2">
              <w:rPr>
                <w:rFonts w:ascii="Arial" w:eastAsiaTheme="minorEastAsia" w:hAnsi="Arial"/>
                <w:color w:val="auto"/>
              </w:rPr>
              <w:t xml:space="preserve"> </w:t>
            </w:r>
            <w:r w:rsidR="00029771" w:rsidRPr="008E2DF2">
              <w:rPr>
                <w:rFonts w:ascii="Arial" w:eastAsiaTheme="minorEastAsia" w:hAnsi="Arial"/>
                <w:color w:val="auto"/>
              </w:rPr>
              <w:t>saving</w:t>
            </w:r>
            <w:r w:rsidR="4D627B8E" w:rsidRPr="008E2DF2">
              <w:rPr>
                <w:rFonts w:ascii="Arial" w:eastAsiaTheme="minorEastAsia" w:hAnsi="Arial"/>
                <w:color w:val="auto"/>
              </w:rPr>
              <w:t xml:space="preserve"> $15 million </w:t>
            </w:r>
          </w:p>
        </w:tc>
      </w:tr>
    </w:tbl>
    <w:p w14:paraId="18431FF7" w14:textId="31E26BE0" w:rsidR="00A84D15" w:rsidRDefault="00A84D15" w:rsidP="00216AB8">
      <w:pPr>
        <w:pStyle w:val="AHPRASubheading"/>
        <w:spacing w:before="360"/>
        <w:outlineLvl w:val="0"/>
      </w:pPr>
      <w:bookmarkStart w:id="69" w:name="_Toc164692731"/>
      <w:r>
        <w:t xml:space="preserve">Further </w:t>
      </w:r>
      <w:r w:rsidR="002507C0">
        <w:t xml:space="preserve">examples </w:t>
      </w:r>
      <w:r>
        <w:t xml:space="preserve">of where designated </w:t>
      </w:r>
      <w:r w:rsidR="002507C0">
        <w:t xml:space="preserve">RN </w:t>
      </w:r>
      <w:r>
        <w:t>prescribing model may occur</w:t>
      </w:r>
      <w:bookmarkEnd w:id="69"/>
      <w:r>
        <w:t xml:space="preserve"> </w:t>
      </w:r>
      <w:bookmarkEnd w:id="68"/>
    </w:p>
    <w:p w14:paraId="622E04FE" w14:textId="51EBC338" w:rsidR="00A84D15" w:rsidRPr="00A76E4C" w:rsidRDefault="00A84D15" w:rsidP="00216AB8">
      <w:pPr>
        <w:pStyle w:val="AHPRAbody"/>
        <w:outlineLvl w:val="0"/>
        <w:rPr>
          <w:b/>
          <w:bCs/>
        </w:rPr>
      </w:pPr>
      <w:r w:rsidRPr="00A76E4C">
        <w:t>The following examples describe</w:t>
      </w:r>
      <w:r>
        <w:t xml:space="preserve"> further hypothetical </w:t>
      </w:r>
      <w:r w:rsidRPr="00A76E4C">
        <w:t xml:space="preserve">scenarios where a designated prescribing model may </w:t>
      </w:r>
      <w:r w:rsidR="00FF2099">
        <w:t>be beneficial</w:t>
      </w:r>
      <w:r w:rsidRPr="00A76E4C">
        <w:t xml:space="preserve">:  </w:t>
      </w:r>
    </w:p>
    <w:p w14:paraId="1A82824E" w14:textId="77777777" w:rsidR="00A84D15" w:rsidRPr="00F91D55" w:rsidRDefault="00A84D15" w:rsidP="00216AB8">
      <w:pPr>
        <w:pStyle w:val="AHPRASubheadinglevel3"/>
        <w:outlineLvl w:val="0"/>
      </w:pPr>
      <w:r w:rsidRPr="00F91D55">
        <w:t>Example 1</w:t>
      </w:r>
    </w:p>
    <w:p w14:paraId="3D28A3D6" w14:textId="034E6436" w:rsidR="00A84D15" w:rsidRDefault="00A84D15" w:rsidP="00216AB8">
      <w:pPr>
        <w:pStyle w:val="AHPRAbody"/>
        <w:outlineLvl w:val="0"/>
      </w:pPr>
      <w:r>
        <w:t xml:space="preserve">A designated RN prescriber works in a health service as a part of a multidisciplinary team providing care to </w:t>
      </w:r>
      <w:r w:rsidR="00804983">
        <w:t xml:space="preserve">individuals </w:t>
      </w:r>
      <w:r>
        <w:t xml:space="preserve">with a specified long-term health condition, such as diabetes. The RN monitors a patient in the outpatient clinic on a monthly basis and undertakes prescribing relating directly to their long-term health condition. On a routine patient visit, the RN conducts an assessment to determine whether the patient’s long-term health condition is stable, and adjusts the medications, in accordance with the health service’s governance framework to ensure the maximum benefits. The RN regularly discusses the patient’s health status with the authorised health practitioner and escalates care when any changes are identified in the patient’s health status. The authorised health practitioner now sees the patient in collaboration with the RN every two months, instead of monthly. This allows the authorised health practitioner to focus on more complex cases, as well as helping to increase clinic efficiency by decreasing patient waiting times to be seen and assessed. </w:t>
      </w:r>
    </w:p>
    <w:p w14:paraId="5B220C1A" w14:textId="77777777" w:rsidR="00A84D15" w:rsidRPr="001F0B27" w:rsidRDefault="00A84D15" w:rsidP="00216AB8">
      <w:pPr>
        <w:pStyle w:val="AHPRASubheadinglevel3"/>
        <w:outlineLvl w:val="0"/>
      </w:pPr>
      <w:r w:rsidRPr="001F0B27">
        <w:t>Example 2</w:t>
      </w:r>
    </w:p>
    <w:p w14:paraId="44372699" w14:textId="77777777" w:rsidR="00A84D15" w:rsidRDefault="00A84D15" w:rsidP="00216AB8">
      <w:pPr>
        <w:pStyle w:val="AHPRAbody"/>
        <w:outlineLvl w:val="0"/>
      </w:pPr>
      <w:r>
        <w:t>A designated RN prescriber working in an aged care facility notes that a long-term resident with severe osteoarthritis requires repeat prescriptions to treat their severe, chronic pain. Unfortunately, the resident’s GP cannot be contacted, and a long weekend is quickly approaching. After assessing the resident and ensuring the resident’s pain continues to be well-controlled, the RN writes the necessary ongoing prescriptions in accordance with the aged care facility’s governance framework. The resident is able to receive uninterrupted and appropriate pain control until the GP’s next scheduled visit, immediately after the long weekend. The RN notifies the GP of the repeat prescriptions and on the GPs next visit discusses the ongoing management of the resident’s pain.</w:t>
      </w:r>
    </w:p>
    <w:p w14:paraId="13C01AA6" w14:textId="77777777" w:rsidR="00A84D15" w:rsidRPr="001F0B27" w:rsidRDefault="00A84D15" w:rsidP="00216AB8">
      <w:pPr>
        <w:pStyle w:val="AHPRASubheadinglevel3"/>
        <w:outlineLvl w:val="0"/>
      </w:pPr>
      <w:r w:rsidRPr="001F0B27">
        <w:lastRenderedPageBreak/>
        <w:t>Example 3</w:t>
      </w:r>
    </w:p>
    <w:p w14:paraId="4BCAFD03" w14:textId="77777777" w:rsidR="00A84D15" w:rsidRPr="001F0B27" w:rsidRDefault="00A84D15" w:rsidP="00216AB8">
      <w:pPr>
        <w:pStyle w:val="AHPRAbody"/>
        <w:outlineLvl w:val="0"/>
      </w:pPr>
      <w:r>
        <w:t>A designated RN prescriber is working in a clinic for the homeless during the flu vaccination season. The RN visits the clinic once a week for a half-day session, and several regular clients have presented today requesting a flu shot. The RN (who is also authorised to immunise) prescribes and administers the flu vaccines. During one of the flu vaccinations, one of the longstanding clients mentions that he has had genitourinary symptoms consistent with a sexually transmitted infection (STI). The RN conducts a telehealth video consultation with the authorised health practitioner and the client. Following this consultation, the authorised health practitioner and the RN discuss the management and required medicines which the RN is then able to prescribe to enable the client to begin treatment immediately. The RN ensures the client’s health record is updated to reflect the agreed approach to care. Follow up with the client is arranged with the authorised health practitioner at their next clinic visit as per the clinical governance framework and policy of the health organisation so that the RN can provide feedback and effectiveness of treatment can be evaluated.</w:t>
      </w:r>
    </w:p>
    <w:p w14:paraId="0D8A59B3" w14:textId="77777777" w:rsidR="00A84D15" w:rsidRPr="00F91D55" w:rsidRDefault="00A84D15" w:rsidP="00216AB8">
      <w:pPr>
        <w:pStyle w:val="AHPRASubheadinglevel3"/>
        <w:outlineLvl w:val="0"/>
      </w:pPr>
      <w:r w:rsidRPr="00F91D55">
        <w:t>Example 4</w:t>
      </w:r>
    </w:p>
    <w:p w14:paraId="18B3E475" w14:textId="7B129E3F" w:rsidR="00524DCB" w:rsidRDefault="00A84D15" w:rsidP="00814752">
      <w:pPr>
        <w:pStyle w:val="AHPRAbody"/>
        <w:outlineLvl w:val="0"/>
        <w:rPr>
          <w:b/>
          <w:color w:val="007DC3"/>
        </w:rPr>
      </w:pPr>
      <w:r>
        <w:t>A designated RN prescriber working in a cardiology unit of a hospital admits a patient from the ED with hypertension. The RN is able to prescribe under the latest hospital guidelines, clinical governance framework and policy of the hospital for RN prescribers to treat hypertension.  In the guidelines there are set parameters that must be met including safety and screening so that the RN can prescribe certain anti-hypertensive medications to the patient on admission to the unit.  The designated RN prescriber discusses the treatment plan and management of the patient with the authorised health practitioner and patient.</w:t>
      </w:r>
      <w:bookmarkStart w:id="70" w:name="_Toc57506"/>
    </w:p>
    <w:p w14:paraId="05E510CF" w14:textId="55CC465B" w:rsidR="00A84D15" w:rsidRDefault="00A84D15" w:rsidP="00216AB8">
      <w:pPr>
        <w:pStyle w:val="AHPRASubheading"/>
        <w:outlineLvl w:val="0"/>
      </w:pPr>
      <w:bookmarkStart w:id="71" w:name="_Toc164692732"/>
      <w:r w:rsidRPr="00980B3E">
        <w:t xml:space="preserve">4.3 Option 2 (a): enable RNs to expand their scope of practice to prescribe Schedule 2, 3, and 4 </w:t>
      </w:r>
      <w:bookmarkEnd w:id="70"/>
      <w:r>
        <w:t>medicines under designation/supervision, in accordance with governance frameworks and prescribing agreements.</w:t>
      </w:r>
      <w:bookmarkEnd w:id="71"/>
      <w:r>
        <w:t xml:space="preserve"> </w:t>
      </w:r>
    </w:p>
    <w:p w14:paraId="3FC29B1C" w14:textId="580A8253" w:rsidR="00A84D15" w:rsidRDefault="00A84D15" w:rsidP="00216AB8">
      <w:pPr>
        <w:ind w:right="632"/>
        <w:outlineLvl w:val="0"/>
      </w:pPr>
      <w:r>
        <w:t xml:space="preserve">During the development of the proposed model of prescribing and earlier consultation with stakeholders, consideration was given to whether an endorsement should extend to Schedule 8 medicines. </w:t>
      </w:r>
    </w:p>
    <w:p w14:paraId="27C546B5" w14:textId="77777777" w:rsidR="00A84D15" w:rsidRDefault="00A84D15" w:rsidP="00216AB8">
      <w:pPr>
        <w:ind w:left="-5" w:right="632"/>
        <w:outlineLvl w:val="0"/>
      </w:pPr>
      <w:r>
        <w:t xml:space="preserve">Some stakeholders raised concerns about the inclusion of Schedule 8 medicines due to the higher risk profile of these medications.  </w:t>
      </w:r>
    </w:p>
    <w:p w14:paraId="563656CF" w14:textId="77777777" w:rsidR="00A84D15" w:rsidRDefault="00A84D15" w:rsidP="00216AB8">
      <w:pPr>
        <w:ind w:left="-5" w:right="632"/>
        <w:outlineLvl w:val="0"/>
      </w:pPr>
      <w:r>
        <w:t xml:space="preserve">There was also feedback from key stakeholders, health services and RNs that for the model to achieve its full potential of safe, timely and effective access to healthcare for consumers, Schedule 8 medicines needed to be included, especially in areas of practice such as palliative care, community, rural, remote and emergency areas.   </w:t>
      </w:r>
    </w:p>
    <w:p w14:paraId="7DAD20DB" w14:textId="77777777" w:rsidR="00A84D15" w:rsidRDefault="00A84D15" w:rsidP="00216AB8">
      <w:pPr>
        <w:ind w:left="-5" w:right="632"/>
        <w:outlineLvl w:val="0"/>
      </w:pPr>
      <w:r>
        <w:t xml:space="preserve">In response to these concerns Option 2a proposes that the new standard could be limited to prescribing only Schedule 2, 3 and 4 medicines. This option would otherwise include all the requirements described in Option 2. </w:t>
      </w:r>
    </w:p>
    <w:p w14:paraId="75D273B5" w14:textId="77777777" w:rsidR="00A84D15" w:rsidRPr="00991807" w:rsidRDefault="00A84D15" w:rsidP="00216AB8">
      <w:pPr>
        <w:pStyle w:val="AHPRASubheadinglevel3"/>
        <w:outlineLvl w:val="0"/>
      </w:pPr>
      <w:bookmarkStart w:id="72" w:name="_Toc57508"/>
      <w:r w:rsidRPr="00991807">
        <w:t xml:space="preserve">Impacts of Option 2(a) </w:t>
      </w:r>
      <w:bookmarkEnd w:id="72"/>
    </w:p>
    <w:p w14:paraId="25ADD43A" w14:textId="5EA3E954" w:rsidR="00A84D15" w:rsidRDefault="00A84D15" w:rsidP="00216AB8">
      <w:pPr>
        <w:ind w:right="632"/>
        <w:outlineLvl w:val="0"/>
      </w:pPr>
      <w:r>
        <w:t>According to the Therapeutic Goods Administration (TGA), since 2009 there has been a steady increase in the prescribing of opioids in Australia.</w:t>
      </w:r>
      <w:r w:rsidR="00761ADE">
        <w:t xml:space="preserve"> </w:t>
      </w:r>
      <w:r w:rsidR="00590F26">
        <w:t xml:space="preserve">This increase has been reported to be due to </w:t>
      </w:r>
      <w:r w:rsidR="00761ADE">
        <w:t>their use in a range of types of chronic non-cancer pain, despite limited evidence of efficacy or safety for opioids in many of those patients.</w:t>
      </w:r>
      <w:r>
        <w:t xml:space="preserve"> With levels of prescription opioid overdose at record levels in Australia and internationally, the TGA</w:t>
      </w:r>
      <w:r w:rsidR="007932ED">
        <w:t xml:space="preserve"> </w:t>
      </w:r>
      <w:r w:rsidR="0090315E">
        <w:t xml:space="preserve">conducted </w:t>
      </w:r>
      <w:r w:rsidR="007932ED">
        <w:t xml:space="preserve">a </w:t>
      </w:r>
      <w:r w:rsidR="0090315E">
        <w:t>consultation</w:t>
      </w:r>
      <w:r w:rsidR="007932ED">
        <w:t xml:space="preserve"> in 2018 aimed at</w:t>
      </w:r>
      <w:r w:rsidR="0090315E">
        <w:t xml:space="preserve"> </w:t>
      </w:r>
      <w:r w:rsidR="001A2224">
        <w:t>addressing prescription opioid use and misuse in Australia</w:t>
      </w:r>
      <w:r>
        <w:t>.</w:t>
      </w:r>
      <w:r w:rsidR="008A753A">
        <w:t xml:space="preserve"> </w:t>
      </w:r>
      <w:r w:rsidR="008A753A">
        <w:rPr>
          <w:vertAlign w:val="superscript"/>
        </w:rPr>
        <w:t>93</w:t>
      </w:r>
      <w:r w:rsidR="008A753A">
        <w:t xml:space="preserve"> </w:t>
      </w:r>
      <w:r>
        <w:t xml:space="preserve">In addition, to reduce the harms and deaths from prescription medicines, </w:t>
      </w:r>
      <w:r w:rsidR="00591247">
        <w:t>S</w:t>
      </w:r>
      <w:r>
        <w:t xml:space="preserve">tates and Territories have introduced real time script. These databases monitor the prescribing of Schedule 8 medicines and </w:t>
      </w:r>
      <w:r w:rsidR="003F382F">
        <w:t>medicines that are subject to abuse</w:t>
      </w:r>
      <w:r w:rsidR="00677722">
        <w:t xml:space="preserve"> </w:t>
      </w:r>
      <w:r>
        <w:t xml:space="preserve">in real time and enable health practitioners to make safer clinical decisions about prescribing. </w:t>
      </w:r>
      <w:r w:rsidR="00107EFE">
        <w:rPr>
          <w:vertAlign w:val="superscript"/>
        </w:rPr>
        <w:t>94</w:t>
      </w:r>
    </w:p>
    <w:p w14:paraId="79C25749" w14:textId="77777777" w:rsidR="00BE57DA" w:rsidRPr="009D73CA" w:rsidRDefault="00BE57DA" w:rsidP="00216AB8">
      <w:pPr>
        <w:ind w:left="-5" w:right="632"/>
        <w:outlineLvl w:val="0"/>
        <w:rPr>
          <w:b/>
          <w:bCs/>
        </w:rPr>
      </w:pPr>
      <w:r w:rsidRPr="009D73CA">
        <w:rPr>
          <w:b/>
          <w:bCs/>
        </w:rPr>
        <w:t xml:space="preserve">Impacts to Registered Nurses </w:t>
      </w:r>
    </w:p>
    <w:p w14:paraId="18B37716" w14:textId="062FFB24" w:rsidR="00A84D15" w:rsidRDefault="00A84D15" w:rsidP="00216AB8">
      <w:pPr>
        <w:ind w:left="-5" w:right="632"/>
        <w:outlineLvl w:val="0"/>
      </w:pPr>
      <w:r>
        <w:t xml:space="preserve">Limiting designated RN prescribing to Schedule 2, 3 and 4 medicines could reduce the risks associated with prescribing Schedule 8 and prescription opioid medicines. </w:t>
      </w:r>
    </w:p>
    <w:p w14:paraId="7B122712" w14:textId="77777777" w:rsidR="00C70883" w:rsidRPr="00C760D2" w:rsidRDefault="00C70883" w:rsidP="00216AB8">
      <w:pPr>
        <w:ind w:left="-6" w:right="629"/>
        <w:outlineLvl w:val="0"/>
        <w:rPr>
          <w:b/>
          <w:bCs/>
        </w:rPr>
      </w:pPr>
      <w:r w:rsidRPr="00C760D2">
        <w:rPr>
          <w:b/>
          <w:bCs/>
        </w:rPr>
        <w:t>Impacts to Consumers</w:t>
      </w:r>
    </w:p>
    <w:p w14:paraId="37EC3B71" w14:textId="1390C20B" w:rsidR="00A84D15" w:rsidRDefault="00A84D15" w:rsidP="00216AB8">
      <w:pPr>
        <w:ind w:left="-6" w:right="629"/>
        <w:outlineLvl w:val="0"/>
      </w:pPr>
      <w:r>
        <w:lastRenderedPageBreak/>
        <w:t>The impacts to consumers will be similar to Option 2, with the exception of people who require Schedule 8 medicines, such as those receiving palliative care. These consumers would</w:t>
      </w:r>
      <w:r w:rsidR="00C760D2">
        <w:t xml:space="preserve"> </w:t>
      </w:r>
      <w:r>
        <w:t xml:space="preserve">need to have their medicines always prescribed by a medical practitioner or nurse practitioner, which has the potential to result in fragmented care. In addition, the potential for improved access to care, particularly for people in rural and remote locations and disadvantaged groups could not be fully realised. Impacts to health services, governments and RNs would be the same as Option 2.  </w:t>
      </w:r>
    </w:p>
    <w:p w14:paraId="571FD4FF" w14:textId="2E8A8548" w:rsidR="00C70883" w:rsidRPr="00A06F3C" w:rsidRDefault="00C70883" w:rsidP="00216AB8">
      <w:pPr>
        <w:ind w:left="-5" w:right="632"/>
        <w:outlineLvl w:val="0"/>
        <w:rPr>
          <w:b/>
          <w:bCs/>
        </w:rPr>
      </w:pPr>
      <w:r w:rsidRPr="00A06F3C">
        <w:rPr>
          <w:b/>
          <w:bCs/>
        </w:rPr>
        <w:t>Impacts to Healthcare Organi</w:t>
      </w:r>
      <w:r w:rsidR="002E2512" w:rsidRPr="00A06F3C">
        <w:rPr>
          <w:b/>
          <w:bCs/>
        </w:rPr>
        <w:t>s</w:t>
      </w:r>
      <w:r w:rsidRPr="00A06F3C">
        <w:rPr>
          <w:b/>
          <w:bCs/>
        </w:rPr>
        <w:t>ations and Services</w:t>
      </w:r>
    </w:p>
    <w:p w14:paraId="7CB13D95" w14:textId="77DC3D12" w:rsidR="00A84D15" w:rsidRDefault="00A84D15" w:rsidP="00216AB8">
      <w:pPr>
        <w:ind w:left="-5" w:right="632"/>
        <w:outlineLvl w:val="0"/>
      </w:pPr>
      <w:r>
        <w:t xml:space="preserve">There may be additional costs to health services and career progression costs to RNs in areas such as palliative care that would acquire less benefit if designated RN prescribers are unable to prescribe Schedule 8 medicines. It may increase their costs because they will continue to require a medical practitioner or nurse practitioner to prescribe these, as well as the designated RN prescriber for other medicines. </w:t>
      </w:r>
    </w:p>
    <w:p w14:paraId="5D43129D" w14:textId="2DA7F5E1" w:rsidR="002E2512" w:rsidRDefault="002E2512" w:rsidP="002E2512">
      <w:pPr>
        <w:ind w:left="-5" w:right="632"/>
        <w:outlineLvl w:val="0"/>
        <w:rPr>
          <w:b/>
          <w:bCs/>
        </w:rPr>
      </w:pPr>
      <w:r w:rsidRPr="00FB477E">
        <w:rPr>
          <w:b/>
          <w:bCs/>
        </w:rPr>
        <w:t xml:space="preserve">Impacts to </w:t>
      </w:r>
      <w:r>
        <w:rPr>
          <w:b/>
          <w:bCs/>
        </w:rPr>
        <w:t xml:space="preserve">Medical Practitioners and Nurse </w:t>
      </w:r>
      <w:r w:rsidR="00F71209">
        <w:rPr>
          <w:b/>
          <w:bCs/>
        </w:rPr>
        <w:t>Practitioners</w:t>
      </w:r>
    </w:p>
    <w:p w14:paraId="23A1851C" w14:textId="026DF44E" w:rsidR="00F71209" w:rsidRPr="00A06F3C" w:rsidRDefault="00F71209" w:rsidP="002E2512">
      <w:pPr>
        <w:ind w:left="-5" w:right="632"/>
        <w:outlineLvl w:val="0"/>
      </w:pPr>
      <w:r w:rsidRPr="00F76B4F">
        <w:t>NPs and MPs would</w:t>
      </w:r>
      <w:r w:rsidR="009E241A" w:rsidRPr="00F76B4F">
        <w:t xml:space="preserve"> need to prescribe </w:t>
      </w:r>
      <w:r w:rsidR="001B143B" w:rsidRPr="00F76B4F">
        <w:t xml:space="preserve">in addition to designated RN prescribers </w:t>
      </w:r>
      <w:r w:rsidR="00A718B0" w:rsidRPr="00F76B4F">
        <w:t xml:space="preserve">and would </w:t>
      </w:r>
      <w:r w:rsidR="00E32FCD" w:rsidRPr="00F76B4F">
        <w:t>n</w:t>
      </w:r>
      <w:r w:rsidR="00A718B0" w:rsidRPr="00F76B4F">
        <w:t xml:space="preserve">eed to consult with </w:t>
      </w:r>
      <w:r w:rsidR="00E32FCD" w:rsidRPr="00F76B4F">
        <w:t xml:space="preserve">patients </w:t>
      </w:r>
      <w:r w:rsidR="00A718B0" w:rsidRPr="00F76B4F">
        <w:t>in order for this to occur. This causes inefficiencies</w:t>
      </w:r>
      <w:r w:rsidR="004E79E9">
        <w:t xml:space="preserve">, increased time imposts </w:t>
      </w:r>
      <w:r w:rsidR="00983016">
        <w:t>for</w:t>
      </w:r>
      <w:r w:rsidR="00F346B3">
        <w:t xml:space="preserve"> </w:t>
      </w:r>
      <w:r w:rsidR="00A718B0" w:rsidRPr="00A06F3C">
        <w:t xml:space="preserve">NPs and </w:t>
      </w:r>
      <w:r w:rsidR="00A06F3C">
        <w:t>M</w:t>
      </w:r>
      <w:r w:rsidR="00A718B0" w:rsidRPr="00A06F3C">
        <w:t xml:space="preserve">Ps </w:t>
      </w:r>
      <w:r w:rsidR="001C7ECF">
        <w:t>to</w:t>
      </w:r>
      <w:r w:rsidR="001C7ECF" w:rsidRPr="001C7ECF">
        <w:t xml:space="preserve"> additionally</w:t>
      </w:r>
      <w:r w:rsidR="00E32FCD" w:rsidRPr="00A06F3C">
        <w:t xml:space="preserve"> </w:t>
      </w:r>
      <w:r w:rsidR="007256DF" w:rsidRPr="00A06F3C">
        <w:t xml:space="preserve">consults </w:t>
      </w:r>
      <w:r w:rsidR="001C7ECF">
        <w:t xml:space="preserve">in order to prescribe </w:t>
      </w:r>
      <w:r w:rsidR="007256DF" w:rsidRPr="00A06F3C">
        <w:t>and</w:t>
      </w:r>
      <w:r w:rsidR="001C7ECF">
        <w:t xml:space="preserve"> will</w:t>
      </w:r>
      <w:r w:rsidR="007256DF" w:rsidRPr="00A06F3C">
        <w:t xml:space="preserve"> cause fragmented care that is not collaborative. </w:t>
      </w:r>
    </w:p>
    <w:p w14:paraId="36946DAC" w14:textId="08BF76A4" w:rsidR="00A84D15" w:rsidRPr="00E50AF6" w:rsidRDefault="00A84D15" w:rsidP="00216AB8">
      <w:pPr>
        <w:ind w:left="-5" w:right="632"/>
        <w:outlineLvl w:val="0"/>
      </w:pPr>
      <w:r w:rsidRPr="001C3B0D">
        <w:t>George</w:t>
      </w:r>
      <w:r w:rsidR="00672D2A">
        <w:t>’</w:t>
      </w:r>
      <w:r w:rsidRPr="001C3B0D">
        <w:t xml:space="preserve">s Journey demonstrates fragmented care when endorsed RNs are not able to prescribe </w:t>
      </w:r>
      <w:r w:rsidR="0091020C">
        <w:t>S</w:t>
      </w:r>
      <w:r w:rsidR="0091020C" w:rsidRPr="001C3B0D">
        <w:t xml:space="preserve">chedule </w:t>
      </w:r>
      <w:r w:rsidRPr="001C3B0D">
        <w:t>8 medicines:</w:t>
      </w:r>
    </w:p>
    <w:p w14:paraId="5B30820B" w14:textId="77777777" w:rsidR="001C3B0D" w:rsidRPr="00D81476" w:rsidRDefault="001C3B0D" w:rsidP="00216AB8">
      <w:pPr>
        <w:pStyle w:val="AHPRASubheadinglevel3"/>
        <w:outlineLvl w:val="0"/>
      </w:pPr>
      <w:r w:rsidRPr="00D81476">
        <w:t xml:space="preserve">Case </w:t>
      </w:r>
      <w:r>
        <w:t>s</w:t>
      </w:r>
      <w:r w:rsidRPr="00D81476">
        <w:t>tudy: George</w:t>
      </w:r>
      <w:r>
        <w:t>’</w:t>
      </w:r>
      <w:r w:rsidRPr="00D81476">
        <w:t xml:space="preserve">s </w:t>
      </w:r>
      <w:r>
        <w:t>j</w:t>
      </w:r>
      <w:r w:rsidRPr="00D81476">
        <w:t xml:space="preserve">ourney </w:t>
      </w:r>
    </w:p>
    <w:p w14:paraId="74E70234" w14:textId="20D11D4E" w:rsidR="00A84D15" w:rsidRPr="000E4EC0" w:rsidRDefault="00A84D15" w:rsidP="00216AB8">
      <w:pPr>
        <w:pStyle w:val="AHPRAbody"/>
        <w:outlineLvl w:val="0"/>
      </w:pPr>
      <w:r w:rsidRPr="000A70D9">
        <w:t xml:space="preserve">George was a 77-year-old with a history of anaemia and bowel malignancy being treated for symptom management only. George lived at home with his wife who was his primary carer and </w:t>
      </w:r>
      <w:r w:rsidR="00DD0723">
        <w:t>he</w:t>
      </w:r>
      <w:r w:rsidR="00DD0723" w:rsidRPr="000A70D9">
        <w:t xml:space="preserve"> </w:t>
      </w:r>
      <w:r w:rsidRPr="000A70D9">
        <w:t xml:space="preserve">deteriorated quickly at home. His wife called the GP </w:t>
      </w:r>
      <w:r>
        <w:t xml:space="preserve">on locum assignment </w:t>
      </w:r>
      <w:r w:rsidRPr="000A70D9">
        <w:t xml:space="preserve">who referred a palliative care nurse consultant attached to the clinic with an endorsement for scheduled medicines to review George in his home. The RN reviewed and assessed George and spoke extensively to his wife and his son who was the medical power of attorney. The RN spoke with the </w:t>
      </w:r>
      <w:r>
        <w:t xml:space="preserve">locum </w:t>
      </w:r>
      <w:r w:rsidRPr="000A70D9">
        <w:t>GP to discuss the consultation with George</w:t>
      </w:r>
      <w:r w:rsidR="00475A5F">
        <w:t>’</w:t>
      </w:r>
      <w:r w:rsidRPr="000A70D9">
        <w:t xml:space="preserve">s family and decided </w:t>
      </w:r>
      <w:r>
        <w:t xml:space="preserve">on a collaborative </w:t>
      </w:r>
      <w:r w:rsidRPr="000A70D9">
        <w:t xml:space="preserve">plan to commence a syringe driver of Glycopyrrolate, morphine and midazolam </w:t>
      </w:r>
      <w:r>
        <w:t xml:space="preserve">for </w:t>
      </w:r>
      <w:r w:rsidRPr="000A70D9">
        <w:t>pain and comfort in agreeance with the family and George</w:t>
      </w:r>
      <w:r w:rsidR="00475A5F">
        <w:t>’</w:t>
      </w:r>
      <w:r w:rsidRPr="000A70D9">
        <w:t>s wishes</w:t>
      </w:r>
      <w:r w:rsidRPr="004F7BBC">
        <w:rPr>
          <w:color w:val="404040" w:themeColor="text1" w:themeTint="BF"/>
        </w:rPr>
        <w:t xml:space="preserve">. </w:t>
      </w:r>
      <w:r>
        <w:t xml:space="preserve">The RN was not able to prescribe schedule </w:t>
      </w:r>
      <w:r w:rsidR="00277978">
        <w:t xml:space="preserve">8 </w:t>
      </w:r>
      <w:r>
        <w:t>medicines and the options were to drive to the GP for the order to be written by the locum or to advise George</w:t>
      </w:r>
      <w:r w:rsidR="004A58BE">
        <w:t>’</w:t>
      </w:r>
      <w:r>
        <w:t>s family to take him to present to the nearest hospital so that appropriate and timely care could be provided in order to keep George comfortable.</w:t>
      </w:r>
    </w:p>
    <w:p w14:paraId="586A6031" w14:textId="77777777" w:rsidR="00A84D15" w:rsidRPr="007A1D58" w:rsidRDefault="00A84D15" w:rsidP="00216AB8">
      <w:pPr>
        <w:pStyle w:val="AHPRASubheading"/>
        <w:outlineLvl w:val="0"/>
      </w:pPr>
      <w:bookmarkStart w:id="73" w:name="_Toc164692733"/>
      <w:bookmarkStart w:id="74" w:name="_Toc57509"/>
      <w:r>
        <w:t xml:space="preserve">4.4 </w:t>
      </w:r>
      <w:r w:rsidRPr="007A1D58">
        <w:t>Option 2 (b): enable RNs to expand their scope of practice to prescribe Schedule 2, 3, 4 and 8 medicines only under designation/supervision except for RNs working in private practice or as a sole practitioner</w:t>
      </w:r>
      <w:bookmarkEnd w:id="73"/>
      <w:r w:rsidRPr="007A1D58">
        <w:t xml:space="preserve">  </w:t>
      </w:r>
      <w:bookmarkEnd w:id="74"/>
    </w:p>
    <w:p w14:paraId="03F92BA5" w14:textId="77777777" w:rsidR="00A84D15" w:rsidRDefault="00A84D15" w:rsidP="00216AB8">
      <w:pPr>
        <w:pStyle w:val="AHPRAbody"/>
        <w:outlineLvl w:val="0"/>
      </w:pPr>
      <w:r>
        <w:t xml:space="preserve">The NMBA received feedback through earlier consultation that the proposed governance framework may not be sufficient to address the risk posed where designated RN prescribers may be working in isolation, and the impact this may have on public safety, especially where RNs are working privately and/or performing cosmetic procedures.  </w:t>
      </w:r>
    </w:p>
    <w:p w14:paraId="090C0561" w14:textId="77777777" w:rsidR="00A84D15" w:rsidRDefault="00A84D15" w:rsidP="00216AB8">
      <w:pPr>
        <w:pStyle w:val="AHPRAbody"/>
        <w:outlineLvl w:val="0"/>
      </w:pPr>
      <w:r>
        <w:t xml:space="preserve">In response to these concerns, the new standard could be limited to RNs working in public healthcare settings, primary care and general practice for the first three years following its approval, to enable the standard to be established, embedded and evaluated. </w:t>
      </w:r>
    </w:p>
    <w:p w14:paraId="2D3702B3" w14:textId="77777777" w:rsidR="00A84D15" w:rsidRPr="00B94557" w:rsidRDefault="00A84D15" w:rsidP="00216AB8">
      <w:pPr>
        <w:pStyle w:val="AHPRASubheadinglevel3"/>
        <w:outlineLvl w:val="0"/>
      </w:pPr>
      <w:bookmarkStart w:id="75" w:name="_Toc57510"/>
      <w:r w:rsidRPr="00B94557">
        <w:t xml:space="preserve">Impacts of Option 2(b) </w:t>
      </w:r>
      <w:bookmarkEnd w:id="75"/>
    </w:p>
    <w:p w14:paraId="326F6A2A" w14:textId="77777777" w:rsidR="00A84D15" w:rsidRDefault="00A84D15" w:rsidP="00216AB8">
      <w:pPr>
        <w:pStyle w:val="AHPRAbody"/>
        <w:outlineLvl w:val="0"/>
      </w:pPr>
      <w:r>
        <w:t xml:space="preserve">The impacts of Option 2(b) are the same to that of Option 2. Some additional anticipated costs of Option 2(b) are that for some people not being treated in a public facility or general practice: </w:t>
      </w:r>
    </w:p>
    <w:p w14:paraId="77489EA0" w14:textId="77777777" w:rsidR="00A84D15" w:rsidRDefault="00A84D15" w:rsidP="00216AB8">
      <w:pPr>
        <w:pStyle w:val="AHPRABulletlevel1"/>
        <w:outlineLvl w:val="0"/>
      </w:pPr>
      <w:r>
        <w:t xml:space="preserve">there may not be improved access to timely care </w:t>
      </w:r>
    </w:p>
    <w:p w14:paraId="37FA6A5E" w14:textId="77777777" w:rsidR="00A84D15" w:rsidRDefault="00A84D15" w:rsidP="00216AB8">
      <w:pPr>
        <w:pStyle w:val="AHPRABulletlevel1"/>
        <w:outlineLvl w:val="0"/>
      </w:pPr>
      <w:r>
        <w:t xml:space="preserve">there is a potential for fragmented care and  </w:t>
      </w:r>
    </w:p>
    <w:p w14:paraId="1CCF76EF" w14:textId="77777777" w:rsidR="00A84D15" w:rsidRDefault="00A84D15" w:rsidP="00216AB8">
      <w:pPr>
        <w:pStyle w:val="AHPRABulletlevel1last"/>
        <w:outlineLvl w:val="0"/>
      </w:pPr>
      <w:r>
        <w:t xml:space="preserve">impacted people will be required to have their medicines continued to be prescribed by a nurse practitioner or medical practitioner. </w:t>
      </w:r>
    </w:p>
    <w:p w14:paraId="5E12800C" w14:textId="77777777" w:rsidR="00A84D15" w:rsidRDefault="00A84D15" w:rsidP="00216AB8">
      <w:pPr>
        <w:pStyle w:val="AHPRAbody"/>
        <w:outlineLvl w:val="0"/>
      </w:pPr>
      <w:r>
        <w:lastRenderedPageBreak/>
        <w:t xml:space="preserve">The additional benefit of Option 2(b) is that RNs working in isolation or in areas that are considered higher risk, such as cosmetic injectables, would not be able to apply for the endorsement until it had been tested in public facilities or general practice, thus reducing the risk of adverse outcomes for consumers. </w:t>
      </w:r>
    </w:p>
    <w:p w14:paraId="06C7224E" w14:textId="77777777" w:rsidR="00A84D15" w:rsidRDefault="00A84D15" w:rsidP="00216AB8">
      <w:pPr>
        <w:pStyle w:val="AHPRASubheadinglevel3"/>
        <w:outlineLvl w:val="0"/>
      </w:pPr>
      <w:bookmarkStart w:id="76" w:name="_Toc57511"/>
      <w:r>
        <w:t xml:space="preserve">Impact to RNs </w:t>
      </w:r>
      <w:bookmarkEnd w:id="76"/>
    </w:p>
    <w:p w14:paraId="207BCAED" w14:textId="10A447F3" w:rsidR="00A84D15" w:rsidRDefault="00A84D15" w:rsidP="00216AB8">
      <w:pPr>
        <w:pStyle w:val="AHPRAbody"/>
        <w:outlineLvl w:val="0"/>
      </w:pPr>
      <w:r>
        <w:t xml:space="preserve">In addition to the costs associated with Option 2, under this model there is an opportunity cost to RNs who work in private practice or are self-employed, because they would not be able to apply for the endorsement, potentially limiting opportunities to develop their business. This could impact on </w:t>
      </w:r>
      <w:r w:rsidR="002B69FC">
        <w:t xml:space="preserve">RN </w:t>
      </w:r>
      <w:r>
        <w:t xml:space="preserve">credentialled diabetic educators (CDEs) working privately with GPs or </w:t>
      </w:r>
      <w:r w:rsidR="00DD5FA5">
        <w:t>s</w:t>
      </w:r>
      <w:r>
        <w:t>pecialists in the management and treatment of diabetes.</w:t>
      </w:r>
    </w:p>
    <w:p w14:paraId="4824AF9A" w14:textId="77777777" w:rsidR="00A84D15" w:rsidRDefault="00A84D15" w:rsidP="00216AB8">
      <w:pPr>
        <w:pStyle w:val="AHPRASubheadinglevel3"/>
        <w:outlineLvl w:val="0"/>
      </w:pPr>
      <w:bookmarkStart w:id="77" w:name="_Toc57512"/>
      <w:r>
        <w:t xml:space="preserve">Impact to health practitioners and health services </w:t>
      </w:r>
      <w:bookmarkEnd w:id="77"/>
    </w:p>
    <w:p w14:paraId="4271880D" w14:textId="77777777" w:rsidR="00A84D15" w:rsidRPr="001719C4" w:rsidRDefault="00A84D15" w:rsidP="00216AB8">
      <w:pPr>
        <w:pStyle w:val="AHPRAbody"/>
        <w:outlineLvl w:val="0"/>
      </w:pPr>
      <w:r w:rsidRPr="001719C4">
        <w:t xml:space="preserve">There would be an opportunity cost to health practitioners working in private practice because they would be unable to realise potential benefits of using designated RN prescribers within their business model. </w:t>
      </w:r>
    </w:p>
    <w:p w14:paraId="1456C6D3" w14:textId="3B33C3BE" w:rsidR="0066405D" w:rsidRDefault="00A84D15" w:rsidP="00216AB8">
      <w:pPr>
        <w:spacing w:after="0"/>
        <w:outlineLvl w:val="0"/>
        <w:rPr>
          <w:rFonts w:cs="Arial"/>
        </w:rPr>
      </w:pPr>
      <w:r w:rsidRPr="001719C4">
        <w:t xml:space="preserve">The potential benefit of this option for health practitioners in private practice is that there would be no competition for business from RN prescribers. </w:t>
      </w:r>
      <w:r w:rsidR="0066405D">
        <w:br w:type="page"/>
      </w:r>
    </w:p>
    <w:p w14:paraId="27BF48D2" w14:textId="77777777" w:rsidR="00D13010" w:rsidRPr="001A3764" w:rsidRDefault="00D13010" w:rsidP="00F842D7">
      <w:pPr>
        <w:pStyle w:val="AHPRADocumentsubheading"/>
        <w:numPr>
          <w:ilvl w:val="0"/>
          <w:numId w:val="21"/>
        </w:numPr>
      </w:pPr>
      <w:bookmarkStart w:id="78" w:name="_Toc164692734"/>
      <w:r>
        <w:lastRenderedPageBreak/>
        <w:t>Who did you consult and how did you incorporate their feedback?</w:t>
      </w:r>
      <w:bookmarkEnd w:id="78"/>
    </w:p>
    <w:p w14:paraId="30D4DAFE" w14:textId="3232435E" w:rsidR="00353496" w:rsidRPr="001A3764" w:rsidRDefault="004433A4" w:rsidP="00216AB8">
      <w:pPr>
        <w:pStyle w:val="AHPRASubheading"/>
        <w:outlineLvl w:val="0"/>
      </w:pPr>
      <w:bookmarkStart w:id="79" w:name="_Toc164692735"/>
      <w:r>
        <w:t>The consultation journey to date</w:t>
      </w:r>
      <w:bookmarkEnd w:id="79"/>
    </w:p>
    <w:p w14:paraId="70E1FDC4" w14:textId="520F942A" w:rsidR="00353496" w:rsidRDefault="00353496" w:rsidP="00415B8C">
      <w:r>
        <w:t xml:space="preserve">The National Law requires the NMBA to ensure there is wide-ranging consultation on the content of any proposed new standard, code or guideline. </w:t>
      </w:r>
      <w:r w:rsidR="00052AF5">
        <w:t xml:space="preserve">It is important to consult with </w:t>
      </w:r>
      <w:r w:rsidR="00C207FE">
        <w:t xml:space="preserve">all stakeholders in order to consider the impact of the </w:t>
      </w:r>
      <w:r w:rsidR="00577AA2">
        <w:t>propo</w:t>
      </w:r>
      <w:r w:rsidR="00342DD5">
        <w:t>sed options</w:t>
      </w:r>
      <w:r w:rsidR="00577AA2">
        <w:t xml:space="preserve"> and take into consideration the </w:t>
      </w:r>
      <w:r w:rsidR="00DC0538">
        <w:t>views that</w:t>
      </w:r>
      <w:r w:rsidR="00E23887">
        <w:t xml:space="preserve"> stakeholders hold about the </w:t>
      </w:r>
      <w:r w:rsidR="001B5B1E">
        <w:t>propos</w:t>
      </w:r>
      <w:r w:rsidR="00342DD5">
        <w:t>ed options</w:t>
      </w:r>
      <w:r w:rsidR="001B5B1E">
        <w:t xml:space="preserve"> and the </w:t>
      </w:r>
      <w:r w:rsidR="00E23887">
        <w:t xml:space="preserve">impact </w:t>
      </w:r>
      <w:r w:rsidR="001B5B1E">
        <w:t xml:space="preserve">that the proposal may have on them </w:t>
      </w:r>
      <w:r w:rsidR="008D3507">
        <w:t xml:space="preserve">as individuals </w:t>
      </w:r>
      <w:r w:rsidR="001B5B1E">
        <w:t xml:space="preserve">or their organisations. </w:t>
      </w:r>
      <w:r w:rsidR="00DC0538">
        <w:t>Stakeholders</w:t>
      </w:r>
      <w:r w:rsidR="006D7F10">
        <w:t xml:space="preserve"> can often add value to suggestion</w:t>
      </w:r>
      <w:r w:rsidR="00DC0538">
        <w:t xml:space="preserve">s </w:t>
      </w:r>
      <w:r w:rsidR="005C095E">
        <w:t xml:space="preserve">around options or provide alternative options through consultation that have not been considered. </w:t>
      </w:r>
      <w:r w:rsidR="00E73A93">
        <w:t>I</w:t>
      </w:r>
      <w:r w:rsidR="006D7F10">
        <w:t xml:space="preserve">t </w:t>
      </w:r>
      <w:r w:rsidR="00F91DDF">
        <w:t xml:space="preserve">is </w:t>
      </w:r>
      <w:r w:rsidR="006D7F10">
        <w:t xml:space="preserve">essential that </w:t>
      </w:r>
      <w:r w:rsidR="002215E9">
        <w:t>the</w:t>
      </w:r>
      <w:r w:rsidR="00E73A93">
        <w:t xml:space="preserve"> suggestion</w:t>
      </w:r>
      <w:r w:rsidR="007E112E">
        <w:t>s and feedback</w:t>
      </w:r>
      <w:r w:rsidR="006D7F10">
        <w:t xml:space="preserve"> </w:t>
      </w:r>
      <w:r w:rsidR="00A245CC">
        <w:t>are</w:t>
      </w:r>
      <w:r w:rsidR="006C1E1A">
        <w:t xml:space="preserve"> </w:t>
      </w:r>
      <w:r w:rsidR="002A5CC7">
        <w:t>captured</w:t>
      </w:r>
      <w:r w:rsidR="006D7F10">
        <w:t xml:space="preserve"> </w:t>
      </w:r>
      <w:r w:rsidR="002A5CC7">
        <w:t xml:space="preserve">as </w:t>
      </w:r>
      <w:r w:rsidR="00A245CC">
        <w:t>it</w:t>
      </w:r>
      <w:r w:rsidR="002A5CC7">
        <w:t xml:space="preserve"> is likely to lead to </w:t>
      </w:r>
      <w:r w:rsidR="006C1E1A">
        <w:t>better</w:t>
      </w:r>
      <w:r w:rsidR="002A5CC7">
        <w:t xml:space="preserve"> </w:t>
      </w:r>
      <w:r w:rsidR="00C5583D">
        <w:t>outcomes</w:t>
      </w:r>
      <w:r w:rsidR="002A5CC7">
        <w:t xml:space="preserve"> and </w:t>
      </w:r>
      <w:r w:rsidR="006C1E1A">
        <w:t>understanding</w:t>
      </w:r>
      <w:r w:rsidR="002A5CC7">
        <w:t xml:space="preserve"> of the options pro</w:t>
      </w:r>
      <w:r w:rsidR="006C1E1A">
        <w:t>posed</w:t>
      </w:r>
      <w:r w:rsidR="00C5583D">
        <w:t xml:space="preserve">. </w:t>
      </w:r>
      <w:r w:rsidR="006B3BB9">
        <w:rPr>
          <w:vertAlign w:val="superscript"/>
        </w:rPr>
        <w:t>95</w:t>
      </w:r>
    </w:p>
    <w:p w14:paraId="28D13616" w14:textId="77777777" w:rsidR="00353496" w:rsidRDefault="00353496" w:rsidP="002612BB">
      <w:pPr>
        <w:pStyle w:val="AHPRAbody"/>
        <w:spacing w:after="0"/>
        <w:outlineLvl w:val="0"/>
      </w:pPr>
      <w:r>
        <w:t xml:space="preserve">The NMBA usually undertakes a minimum of two rounds of consultation:  </w:t>
      </w:r>
    </w:p>
    <w:p w14:paraId="7D14BF2F" w14:textId="77777777" w:rsidR="00353496" w:rsidRDefault="00353496" w:rsidP="00F842D7">
      <w:pPr>
        <w:pStyle w:val="AHPRAbody"/>
        <w:numPr>
          <w:ilvl w:val="0"/>
          <w:numId w:val="41"/>
        </w:numPr>
        <w:outlineLvl w:val="0"/>
      </w:pPr>
      <w:r>
        <w:t xml:space="preserve">Preliminary consultation with key stakeholders − enables the NMBA to test its proposals and refine before proceeding to public consultation and seeking the views of all interested stakeholders.  </w:t>
      </w:r>
    </w:p>
    <w:p w14:paraId="1FF75C12" w14:textId="77777777" w:rsidR="00353496" w:rsidRDefault="00353496" w:rsidP="00F842D7">
      <w:pPr>
        <w:pStyle w:val="AHPRAbody"/>
        <w:numPr>
          <w:ilvl w:val="0"/>
          <w:numId w:val="41"/>
        </w:numPr>
        <w:outlineLvl w:val="0"/>
      </w:pPr>
      <w:r>
        <w:t xml:space="preserve">Public consultation − sent to stakeholders including government, professional associations, complaint entities, consumer groups and the other National Boards. Public consultation papers are also available on the NMBA’s public website for download by registrants, patients and any other interested members of the public. Anyone may make a submission and the NMBA reviews all feedback received. Documents are available for public consultation for a minimum of eight weeks.  </w:t>
      </w:r>
    </w:p>
    <w:p w14:paraId="18A70A31" w14:textId="59AC9F68" w:rsidR="00353496" w:rsidRPr="005B4F26" w:rsidRDefault="00353496" w:rsidP="00216AB8">
      <w:pPr>
        <w:pStyle w:val="AHPRAbody"/>
        <w:outlineLvl w:val="0"/>
        <w:rPr>
          <w:rFonts w:eastAsia="Times New Roman" w:cstheme="minorHAnsi"/>
          <w:sz w:val="18"/>
          <w:szCs w:val="18"/>
          <w:lang w:eastAsia="en-AU"/>
        </w:rPr>
      </w:pPr>
      <w:r w:rsidRPr="005B4F26">
        <w:rPr>
          <w:rFonts w:eastAsia="Times New Roman" w:cstheme="minorHAnsi"/>
          <w:lang w:val="en-US" w:eastAsia="en-AU"/>
        </w:rPr>
        <w:t>In March 2017, the Commonwealth Chief Nursing and Midwifery Officer</w:t>
      </w:r>
      <w:r w:rsidR="00DD5FA5">
        <w:rPr>
          <w:rFonts w:eastAsia="Times New Roman" w:cstheme="minorHAnsi"/>
          <w:lang w:val="en-US" w:eastAsia="en-AU"/>
        </w:rPr>
        <w:t xml:space="preserve">, </w:t>
      </w:r>
      <w:r w:rsidRPr="005B4F26">
        <w:rPr>
          <w:rFonts w:eastAsia="Times New Roman" w:cstheme="minorHAnsi"/>
          <w:lang w:val="en-US" w:eastAsia="en-AU"/>
        </w:rPr>
        <w:t xml:space="preserve">Australian Government, Department of Health held a national symposium to explore the potential for RN prescribing. An outcome of the symposium was the overarching support to adopt a health professional prescribing pathway that would see appropriately trained and educated RNs prescribe within their scope of practice, under designation or supervision of an authorised health practitioner. A subsequent NMBA discussion paper led to the development of the </w:t>
      </w:r>
      <w:r w:rsidRPr="005B4F26">
        <w:rPr>
          <w:rFonts w:eastAsia="Times New Roman" w:cstheme="minorHAnsi"/>
          <w:lang w:eastAsia="en-AU"/>
        </w:rPr>
        <w:t>the proposed registration standard.</w:t>
      </w:r>
    </w:p>
    <w:p w14:paraId="5B3EB9DD" w14:textId="472DF2E3" w:rsidR="00353496" w:rsidRPr="005B4F26" w:rsidRDefault="00353496" w:rsidP="00216AB8">
      <w:pPr>
        <w:pStyle w:val="AHPRAbody"/>
        <w:outlineLvl w:val="0"/>
        <w:rPr>
          <w:rFonts w:cstheme="minorHAnsi"/>
          <w:i/>
          <w:iCs/>
        </w:rPr>
      </w:pPr>
      <w:r w:rsidRPr="005B4F26">
        <w:rPr>
          <w:rFonts w:eastAsia="Times New Roman" w:cstheme="minorHAnsi"/>
          <w:lang w:eastAsia="en-AU"/>
        </w:rPr>
        <w:t>The proposed registration standard</w:t>
      </w:r>
      <w:r w:rsidRPr="005B4F26">
        <w:rPr>
          <w:rFonts w:eastAsia="Times New Roman" w:cstheme="minorHAnsi"/>
          <w:b/>
          <w:bCs/>
          <w:i/>
          <w:iCs/>
          <w:lang w:eastAsia="en-AU"/>
        </w:rPr>
        <w:t xml:space="preserve"> </w:t>
      </w:r>
      <w:r w:rsidRPr="005B4F26">
        <w:rPr>
          <w:rFonts w:eastAsia="Times New Roman" w:cstheme="minorHAnsi"/>
          <w:lang w:eastAsia="en-AU"/>
        </w:rPr>
        <w:t>has been widely consulted on with preliminary consultation occurring in April 2018, public consultation in July 2019 and finally profession-specific consultation in March 2019. The feedback from all rounds of consultation (</w:t>
      </w:r>
      <w:r w:rsidRPr="005B4F26">
        <w:rPr>
          <w:rFonts w:cstheme="minorHAnsi"/>
        </w:rPr>
        <w:t xml:space="preserve">summary provided at </w:t>
      </w:r>
      <w:hyperlink w:anchor="AppendixC" w:history="1">
        <w:r w:rsidRPr="0074207D">
          <w:rPr>
            <w:rStyle w:val="Hyperlink"/>
            <w:rFonts w:cstheme="minorHAnsi"/>
          </w:rPr>
          <w:t xml:space="preserve">Appendix </w:t>
        </w:r>
        <w:r w:rsidR="00391217" w:rsidRPr="0074207D">
          <w:rPr>
            <w:rStyle w:val="Hyperlink"/>
            <w:rFonts w:cstheme="minorHAnsi"/>
          </w:rPr>
          <w:t>C</w:t>
        </w:r>
      </w:hyperlink>
      <w:r w:rsidRPr="005B4F26">
        <w:rPr>
          <w:rFonts w:cstheme="minorHAnsi"/>
        </w:rPr>
        <w:t xml:space="preserve">) </w:t>
      </w:r>
      <w:r w:rsidRPr="005B4F26">
        <w:rPr>
          <w:rFonts w:eastAsia="Times New Roman" w:cstheme="minorHAnsi"/>
          <w:lang w:eastAsia="en-AU"/>
        </w:rPr>
        <w:t xml:space="preserve">informed the development of the proposed registration standard and associated guidelines </w:t>
      </w:r>
      <w:r w:rsidRPr="006B3BB9">
        <w:rPr>
          <w:rFonts w:cstheme="minorHAnsi"/>
        </w:rPr>
        <w:t>Registration standard: Endorsement for scheduled medicines − designated registered nurse prescriber</w:t>
      </w:r>
      <w:r w:rsidRPr="005B4F26">
        <w:rPr>
          <w:rFonts w:cstheme="minorHAnsi"/>
          <w:i/>
          <w:iCs/>
        </w:rPr>
        <w:t>.</w:t>
      </w:r>
    </w:p>
    <w:p w14:paraId="106D38BE" w14:textId="17C36632" w:rsidR="00353496" w:rsidRDefault="00353496" w:rsidP="00216AB8">
      <w:pPr>
        <w:pStyle w:val="AHPRAbody"/>
        <w:outlineLvl w:val="0"/>
        <w:rPr>
          <w:rFonts w:cstheme="minorBidi"/>
        </w:rPr>
      </w:pPr>
      <w:r w:rsidRPr="5AA7423A">
        <w:rPr>
          <w:rFonts w:cstheme="minorBidi"/>
        </w:rPr>
        <w:t>As a part of this</w:t>
      </w:r>
      <w:r w:rsidR="609676B9" w:rsidRPr="5AA7423A">
        <w:rPr>
          <w:rFonts w:cstheme="minorBidi"/>
        </w:rPr>
        <w:t xml:space="preserve"> consultation</w:t>
      </w:r>
      <w:r w:rsidRPr="5AA7423A">
        <w:rPr>
          <w:rFonts w:cstheme="minorBidi"/>
        </w:rPr>
        <w:t xml:space="preserve"> process the NMBA has further identified that challenges with access to healthcare services, the impact of an ageing population and the increasing level of chronic and complex diseases are placing greater demand on available health services. The proposal to extend the RN scope of practice to designate</w:t>
      </w:r>
      <w:r w:rsidR="004B4B15" w:rsidRPr="5AA7423A">
        <w:rPr>
          <w:rFonts w:cstheme="minorBidi"/>
        </w:rPr>
        <w:t>d</w:t>
      </w:r>
      <w:r w:rsidRPr="5AA7423A">
        <w:rPr>
          <w:rFonts w:cstheme="minorBidi"/>
        </w:rPr>
        <w:t xml:space="preserve"> RN prescribers can assist in addressing these issues and provide increased benefits to the professional role of the RN workforce</w:t>
      </w:r>
      <w:r w:rsidR="00374328">
        <w:rPr>
          <w:rFonts w:cstheme="minorBidi"/>
        </w:rPr>
        <w:t>.</w:t>
      </w:r>
      <w:r w:rsidRPr="5AA7423A">
        <w:rPr>
          <w:rFonts w:cstheme="minorBidi"/>
        </w:rPr>
        <w:t xml:space="preserve"> </w:t>
      </w:r>
      <w:r w:rsidR="005D1233">
        <w:rPr>
          <w:rFonts w:cstheme="minorBidi"/>
        </w:rPr>
        <w:t xml:space="preserve"> </w:t>
      </w:r>
      <w:r w:rsidR="00374328" w:rsidRPr="005D1233">
        <w:rPr>
          <w:rFonts w:eastAsia="Times New Roman" w:cstheme="minorBidi"/>
          <w:szCs w:val="20"/>
          <w:lang w:eastAsia="en-AU"/>
        </w:rPr>
        <w:t>A</w:t>
      </w:r>
      <w:r w:rsidRPr="005D1233">
        <w:rPr>
          <w:rFonts w:eastAsia="Times New Roman" w:cstheme="minorBidi"/>
          <w:szCs w:val="20"/>
          <w:lang w:eastAsia="en-AU"/>
        </w:rPr>
        <w:t xml:space="preserve">s </w:t>
      </w:r>
      <w:r w:rsidRPr="5AA7423A">
        <w:rPr>
          <w:rFonts w:cstheme="minorBidi"/>
        </w:rPr>
        <w:t>illustrated</w:t>
      </w:r>
      <w:r w:rsidR="005D1233">
        <w:rPr>
          <w:rFonts w:cstheme="minorBidi"/>
        </w:rPr>
        <w:t xml:space="preserve"> throughout the D-RIS</w:t>
      </w:r>
      <w:r w:rsidRPr="5AA7423A">
        <w:rPr>
          <w:rFonts w:cstheme="minorBidi"/>
        </w:rPr>
        <w:t xml:space="preserve">, there is increasing demand for acute and chronic care services across the spectrum in both hospital and community settings and it has been reported that even countries with the most comprehensive healthcare systems will experience service gaps which will cause disparities in healthcare outcomes. </w:t>
      </w:r>
    </w:p>
    <w:p w14:paraId="2424ACA8" w14:textId="0FB0B957" w:rsidR="00353496" w:rsidRPr="00703D26" w:rsidRDefault="00353496" w:rsidP="422F38A3">
      <w:pPr>
        <w:pStyle w:val="AHPRABody1"/>
      </w:pPr>
      <w:r w:rsidRPr="422F38A3">
        <w:t>Many countries have already embraced innovative prescribing models for RNs. Australian government, policy makers, health departments, organisations and</w:t>
      </w:r>
      <w:r w:rsidR="00C200B7" w:rsidRPr="422F38A3">
        <w:t xml:space="preserve"> the</w:t>
      </w:r>
      <w:r w:rsidRPr="422F38A3">
        <w:t xml:space="preserve"> health workforce should support extending scopes of practice such as RN designated prescribing in order to produce a more flexible, sustainable and responsive workforce that improves the quality and safety of care and effectively meets the current and ongoing issues and challenges across healthcare. Enhancing the role of the RN will also enable RNs to work to their full scope of practice</w:t>
      </w:r>
      <w:r w:rsidR="00C200B7" w:rsidRPr="422F38A3">
        <w:t xml:space="preserve">. </w:t>
      </w:r>
      <w:r>
        <w:br/>
      </w:r>
    </w:p>
    <w:p w14:paraId="2E006C05" w14:textId="7E52F794" w:rsidR="00353496" w:rsidRPr="002C571D" w:rsidRDefault="00353496" w:rsidP="00216AB8">
      <w:pPr>
        <w:pStyle w:val="AHPRAbody"/>
        <w:outlineLvl w:val="0"/>
        <w:rPr>
          <w:color w:val="000000"/>
          <w:sz w:val="22"/>
          <w:szCs w:val="22"/>
        </w:rPr>
      </w:pPr>
      <w:r w:rsidRPr="00BC2D7D">
        <w:rPr>
          <w:color w:val="000000" w:themeColor="text1"/>
        </w:rPr>
        <w:t xml:space="preserve">In Australia the </w:t>
      </w:r>
      <w:r w:rsidRPr="00BC2D7D">
        <w:t>Government mandates that policy proposals which recommend the introduction of regulation, must be accompanied by an Australian Government Regulation Impact Statement (RIS)</w:t>
      </w:r>
      <w:r w:rsidR="00184507" w:rsidRPr="00BC2D7D">
        <w:t>.</w:t>
      </w:r>
      <w:r w:rsidRPr="00BC2D7D">
        <w:t xml:space="preserve"> </w:t>
      </w:r>
      <w:r w:rsidRPr="00BC2D7D">
        <w:rPr>
          <w:vertAlign w:val="superscript"/>
        </w:rPr>
        <w:t>(6</w:t>
      </w:r>
      <w:r w:rsidR="00286F69">
        <w:rPr>
          <w:vertAlign w:val="superscript"/>
        </w:rPr>
        <w:t>9</w:t>
      </w:r>
      <w:r w:rsidRPr="00BC2D7D">
        <w:rPr>
          <w:vertAlign w:val="superscript"/>
        </w:rPr>
        <w:t>)</w:t>
      </w:r>
      <w:r>
        <w:t xml:space="preserve"> This an </w:t>
      </w:r>
      <w:r w:rsidRPr="00BC2D7D">
        <w:t>economic evaluation</w:t>
      </w:r>
      <w:r>
        <w:t xml:space="preserve"> where the costs and benefits of a proposed policy action are considered in monetary terms to inform decision-making in the health sector. </w:t>
      </w:r>
      <w:r w:rsidRPr="5AA7423A">
        <w:rPr>
          <w:color w:val="000000" w:themeColor="text1"/>
        </w:rPr>
        <w:t xml:space="preserve">The RIS assists with determining potential impacts of a new regulation in order to assess whether the regulation is likely to achieve the desired objectives. The process involves extensive analysis of the underlying policy problem, the presentation and impact analysis of at least three viable </w:t>
      </w:r>
      <w:r w:rsidR="00C873AC" w:rsidRPr="5AA7423A">
        <w:rPr>
          <w:color w:val="000000" w:themeColor="text1"/>
        </w:rPr>
        <w:t>options</w:t>
      </w:r>
      <w:r w:rsidRPr="5AA7423A">
        <w:rPr>
          <w:color w:val="000000" w:themeColor="text1"/>
        </w:rPr>
        <w:t>, and comprehensive stakeholder consultation. Policy proposals must also quantify the regulatory burden on individuals, businesses, and community organisations under the viable options.</w:t>
      </w:r>
    </w:p>
    <w:p w14:paraId="613CBE20" w14:textId="624F2B98" w:rsidR="00353496" w:rsidRPr="002C571D" w:rsidRDefault="00353496" w:rsidP="00216AB8">
      <w:pPr>
        <w:pStyle w:val="AHPRAbody"/>
        <w:outlineLvl w:val="0"/>
      </w:pPr>
      <w:r w:rsidRPr="002C571D">
        <w:lastRenderedPageBreak/>
        <w:t>As the proposed</w:t>
      </w:r>
      <w:r w:rsidR="00E123DB">
        <w:t xml:space="preserve"> </w:t>
      </w:r>
      <w:r w:rsidRPr="00A20EB3">
        <w:t>Registration standard: Endorsement for scheduled medicines − designated registered nurse prescriber</w:t>
      </w:r>
      <w:r w:rsidR="00711901">
        <w:rPr>
          <w:i/>
          <w:iCs/>
        </w:rPr>
        <w:t xml:space="preserve"> </w:t>
      </w:r>
      <w:r w:rsidRPr="002C571D">
        <w:t xml:space="preserve">(registration standard) and associated guidelines have a regulatory impact, the NMBA was required by the Office of Impact Analysis (OIA) within the Australian Government, Department of the Prime Minister and Cabinet to undertake further consultation in the form of a consultation regulation impact statement (C-RIS). </w:t>
      </w:r>
    </w:p>
    <w:p w14:paraId="064F741E" w14:textId="269E3D4A" w:rsidR="00353496" w:rsidRPr="002022C7" w:rsidRDefault="00353496" w:rsidP="00216AB8">
      <w:pPr>
        <w:pStyle w:val="AHPRAbody"/>
        <w:outlineLvl w:val="0"/>
      </w:pPr>
      <w:r w:rsidRPr="002022C7">
        <w:t xml:space="preserve">The </w:t>
      </w:r>
      <w:r w:rsidR="003734A7">
        <w:t xml:space="preserve">C-RIS incorporated </w:t>
      </w:r>
      <w:r w:rsidRPr="002022C7">
        <w:t xml:space="preserve">26 consultation questions </w:t>
      </w:r>
      <w:r w:rsidR="003734A7">
        <w:t>to enable</w:t>
      </w:r>
      <w:r w:rsidRPr="002022C7">
        <w:t xml:space="preserve"> the NMBA to purposively consult with stakeholders to seek further </w:t>
      </w:r>
      <w:r w:rsidR="00804EE7">
        <w:t>information relating to</w:t>
      </w:r>
      <w:r w:rsidRPr="002022C7">
        <w:t xml:space="preserve"> the costs, benefits and impacts of the options proposed and how the regulatory proposal </w:t>
      </w:r>
      <w:r w:rsidR="004D4180" w:rsidRPr="002022C7">
        <w:t>w</w:t>
      </w:r>
      <w:r w:rsidR="004D4180">
        <w:t>ould</w:t>
      </w:r>
      <w:r w:rsidR="004D4180" w:rsidRPr="002022C7">
        <w:t xml:space="preserve"> </w:t>
      </w:r>
      <w:r w:rsidRPr="002022C7">
        <w:t xml:space="preserve">work in practice. The </w:t>
      </w:r>
      <w:r>
        <w:t>OIA</w:t>
      </w:r>
      <w:r w:rsidR="004137C3">
        <w:t xml:space="preserve"> noted</w:t>
      </w:r>
      <w:r>
        <w:t xml:space="preserve"> </w:t>
      </w:r>
      <w:r w:rsidRPr="002022C7">
        <w:t xml:space="preserve">C-RIS was an evaluative process </w:t>
      </w:r>
      <w:r>
        <w:t xml:space="preserve">for the NMBA </w:t>
      </w:r>
      <w:r w:rsidRPr="002022C7">
        <w:t xml:space="preserve">designed to analyse the impact of the options put forward to guide informed decision-making and finalise its policy position incorporating this feedback and evidence to prepare the to prepare the Decision RIS (D-RIS) for the OIA and potentially recommend that the Ministerial Council for the National Scheme approve a registration standard. </w:t>
      </w:r>
    </w:p>
    <w:p w14:paraId="790D1223" w14:textId="312B03D8" w:rsidR="00800B96" w:rsidRPr="00FB69F2" w:rsidRDefault="00842DD9" w:rsidP="00216AB8">
      <w:pPr>
        <w:pStyle w:val="AHPRAbody"/>
        <w:outlineLvl w:val="0"/>
        <w:rPr>
          <w:b/>
          <w:bCs/>
        </w:rPr>
      </w:pPr>
      <w:r>
        <w:t xml:space="preserve">Public </w:t>
      </w:r>
      <w:r w:rsidR="00353496">
        <w:t xml:space="preserve">consultation </w:t>
      </w:r>
      <w:r>
        <w:t xml:space="preserve">on the C-RIS </w:t>
      </w:r>
      <w:r w:rsidR="00353496">
        <w:t xml:space="preserve">took place from 16 June 2023 to 11 August 2023. </w:t>
      </w:r>
      <w:r w:rsidR="00981A68">
        <w:t>The consultation paper</w:t>
      </w:r>
      <w:r w:rsidR="00353496">
        <w:t xml:space="preserve"> was </w:t>
      </w:r>
      <w:r w:rsidR="00981A68">
        <w:t xml:space="preserve">emailed </w:t>
      </w:r>
      <w:r w:rsidR="00353496">
        <w:t>to 41 key stakeholders</w:t>
      </w:r>
      <w:r w:rsidR="00981A68">
        <w:t xml:space="preserve"> and</w:t>
      </w:r>
      <w:r w:rsidR="00353496">
        <w:t xml:space="preserve"> published on the NMBA website</w:t>
      </w:r>
      <w:r w:rsidR="00007173">
        <w:t>.</w:t>
      </w:r>
      <w:r w:rsidR="00353496">
        <w:t xml:space="preserve"> </w:t>
      </w:r>
      <w:r w:rsidR="00007173">
        <w:t>Additionally</w:t>
      </w:r>
      <w:r w:rsidR="00A15B14">
        <w:t>,</w:t>
      </w:r>
      <w:r w:rsidR="00007173">
        <w:t xml:space="preserve"> a link to the consultation </w:t>
      </w:r>
      <w:r w:rsidR="00000D12">
        <w:t>was published in the</w:t>
      </w:r>
      <w:r w:rsidR="00A15B14">
        <w:t xml:space="preserve"> </w:t>
      </w:r>
      <w:r w:rsidR="00353496">
        <w:t>NMBA e-newsletter</w:t>
      </w:r>
      <w:r w:rsidR="00461858">
        <w:t>. Through these various formats, stakeholders</w:t>
      </w:r>
      <w:r w:rsidR="00791CD2">
        <w:t>, registrants and the public</w:t>
      </w:r>
      <w:r w:rsidR="00353496">
        <w:t xml:space="preserve"> were </w:t>
      </w:r>
      <w:r w:rsidR="00791CD2">
        <w:t xml:space="preserve">invited to </w:t>
      </w:r>
      <w:r w:rsidR="00643648">
        <w:t xml:space="preserve">provide feedback to </w:t>
      </w:r>
      <w:r w:rsidR="00791CD2">
        <w:t>the consultation</w:t>
      </w:r>
      <w:r w:rsidR="00643648">
        <w:t>.</w:t>
      </w:r>
    </w:p>
    <w:p w14:paraId="24B00ADD" w14:textId="09735997" w:rsidR="00353496" w:rsidRPr="00DA70A0" w:rsidRDefault="00353496" w:rsidP="00216AB8">
      <w:pPr>
        <w:pStyle w:val="AHPRASubheading"/>
        <w:outlineLvl w:val="0"/>
      </w:pPr>
      <w:bookmarkStart w:id="80" w:name="_Toc164692736"/>
      <w:r>
        <w:t xml:space="preserve">Qualitative </w:t>
      </w:r>
      <w:r w:rsidR="00632717">
        <w:t xml:space="preserve">analysis </w:t>
      </w:r>
      <w:r>
        <w:t xml:space="preserve">of </w:t>
      </w:r>
      <w:r w:rsidR="00632717">
        <w:t>feedback to the consultation regulation impact statement</w:t>
      </w:r>
      <w:bookmarkEnd w:id="80"/>
      <w:r w:rsidR="00632717">
        <w:t xml:space="preserve"> </w:t>
      </w:r>
      <w:r w:rsidRPr="00BC2D7D">
        <w:t xml:space="preserve"> </w:t>
      </w:r>
    </w:p>
    <w:p w14:paraId="471927AE" w14:textId="21EAFE9F" w:rsidR="00FB712B" w:rsidRDefault="00353496" w:rsidP="00216AB8">
      <w:pPr>
        <w:pStyle w:val="AHPRAbody"/>
        <w:outlineLvl w:val="0"/>
      </w:pPr>
      <w:r>
        <w:t xml:space="preserve">Analysis of the feedback received through the C-RIS public consultation process has guided the development on a preferred option for designated RN prescribing. The NMBA received 109 </w:t>
      </w:r>
      <w:r w:rsidR="00F4571B">
        <w:t xml:space="preserve">responses to the </w:t>
      </w:r>
      <w:r w:rsidR="00B17BAF">
        <w:t>consultation questions via the online</w:t>
      </w:r>
      <w:r>
        <w:t xml:space="preserve"> Qualtrics survey and 24 written</w:t>
      </w:r>
      <w:r w:rsidR="00A93C4F">
        <w:t xml:space="preserve"> submissions</w:t>
      </w:r>
      <w:r>
        <w:t xml:space="preserve"> </w:t>
      </w:r>
      <w:r w:rsidR="000C418C">
        <w:t>to the consultation paper</w:t>
      </w:r>
      <w:r>
        <w:t xml:space="preserve">. </w:t>
      </w:r>
      <w:r w:rsidR="000E2E53">
        <w:t>However, i</w:t>
      </w:r>
      <w:r w:rsidR="00FB712B">
        <w:t xml:space="preserve">t should be noted that not all respondents provided responses to all the consultation questions (both written submissions and Qualtrics survey responses). </w:t>
      </w:r>
    </w:p>
    <w:p w14:paraId="047D055C" w14:textId="2EA6F810" w:rsidR="00353496" w:rsidRDefault="00353496" w:rsidP="00216AB8">
      <w:pPr>
        <w:pStyle w:val="AHPRAbody"/>
        <w:outlineLvl w:val="0"/>
      </w:pPr>
      <w:r w:rsidRPr="5AA7423A">
        <w:t xml:space="preserve">It is also important to note that the </w:t>
      </w:r>
      <w:r w:rsidR="005F2B48" w:rsidRPr="5AA7423A">
        <w:t xml:space="preserve">feedback to the </w:t>
      </w:r>
      <w:r w:rsidRPr="5AA7423A">
        <w:t>C-RIS did not yield the quantitative results required to strengthen a cost benefit analysis</w:t>
      </w:r>
      <w:r w:rsidR="004137C3">
        <w:t>. A</w:t>
      </w:r>
      <w:r w:rsidRPr="5AA7423A">
        <w:t>s such</w:t>
      </w:r>
      <w:r w:rsidR="003C3D8D">
        <w:t>,</w:t>
      </w:r>
      <w:r w:rsidRPr="5AA7423A">
        <w:t xml:space="preserve"> further interviews and meetings</w:t>
      </w:r>
      <w:r w:rsidR="00EA63CE">
        <w:t xml:space="preserve"> with stakeholders who provided feedback</w:t>
      </w:r>
      <w:r w:rsidRPr="5AA7423A">
        <w:t xml:space="preserve"> were undertaken to frame scenarios and costing through the Independent Hospital Pricing Authority</w:t>
      </w:r>
      <w:r w:rsidR="00F73B06">
        <w:t>.</w:t>
      </w:r>
      <w:r w:rsidRPr="5AA7423A">
        <w:t xml:space="preserve"> </w:t>
      </w:r>
      <w:r w:rsidR="00DE5C80">
        <w:t>These interviews</w:t>
      </w:r>
      <w:r w:rsidRPr="5AA7423A">
        <w:t xml:space="preserve"> helped to strengthen the costs versus</w:t>
      </w:r>
      <w:r w:rsidR="00D172C3">
        <w:t xml:space="preserve"> benefits</w:t>
      </w:r>
      <w:r w:rsidRPr="5AA7423A">
        <w:t xml:space="preserve">. Further follow up meetings were held with the below organisations and individuals to gain </w:t>
      </w:r>
      <w:r w:rsidR="00B75437">
        <w:t>more</w:t>
      </w:r>
      <w:r w:rsidR="00B75437" w:rsidRPr="5AA7423A">
        <w:t xml:space="preserve"> </w:t>
      </w:r>
      <w:r w:rsidRPr="5AA7423A">
        <w:t>information on the impacts of designated RN prescribing:</w:t>
      </w:r>
    </w:p>
    <w:p w14:paraId="4B4349B4" w14:textId="14EE3904" w:rsidR="00353496" w:rsidRDefault="00353496" w:rsidP="00F842D7">
      <w:pPr>
        <w:pStyle w:val="AHPRABulletlevel1"/>
        <w:numPr>
          <w:ilvl w:val="0"/>
          <w:numId w:val="44"/>
        </w:numPr>
        <w:outlineLvl w:val="0"/>
      </w:pPr>
      <w:r>
        <w:t>Representatives of Palliative Care Services</w:t>
      </w:r>
      <w:r w:rsidR="00BC2D48">
        <w:t xml:space="preserve"> – Nurse Practitioner and Policy Manger</w:t>
      </w:r>
    </w:p>
    <w:p w14:paraId="6F6F4977" w14:textId="49A439A9" w:rsidR="00353496" w:rsidRDefault="00353496" w:rsidP="00F842D7">
      <w:pPr>
        <w:pStyle w:val="AHPRABulletlevel1"/>
        <w:numPr>
          <w:ilvl w:val="0"/>
          <w:numId w:val="44"/>
        </w:numPr>
        <w:outlineLvl w:val="0"/>
      </w:pPr>
      <w:r>
        <w:t xml:space="preserve">The Congress of Aboriginal and Torres Strait Islander Nurses and </w:t>
      </w:r>
      <w:r w:rsidR="0044478E">
        <w:t xml:space="preserve">Midwives </w:t>
      </w:r>
      <w:r>
        <w:t>(</w:t>
      </w:r>
      <w:r w:rsidR="0044478E">
        <w:t>CATSINaM</w:t>
      </w:r>
      <w:r>
        <w:t>) in response to feedback to include additional examples from rural context and those from aboriginal community-controlled contexts</w:t>
      </w:r>
    </w:p>
    <w:p w14:paraId="1B625A96" w14:textId="632F5C94" w:rsidR="00353496" w:rsidRDefault="00353496" w:rsidP="00F842D7">
      <w:pPr>
        <w:pStyle w:val="AHPRABulletlevel1"/>
        <w:numPr>
          <w:ilvl w:val="0"/>
          <w:numId w:val="44"/>
        </w:numPr>
        <w:outlineLvl w:val="0"/>
      </w:pPr>
      <w:r>
        <w:t xml:space="preserve">RN </w:t>
      </w:r>
      <w:r w:rsidR="0044478E">
        <w:t xml:space="preserve">credentialled diabetes educator </w:t>
      </w:r>
      <w:r>
        <w:t>representatives from Diabetes Australia</w:t>
      </w:r>
    </w:p>
    <w:p w14:paraId="2739E5D0" w14:textId="6A716E17" w:rsidR="00353496" w:rsidRDefault="00353496" w:rsidP="00F842D7">
      <w:pPr>
        <w:pStyle w:val="AHPRABulletlevel1"/>
        <w:numPr>
          <w:ilvl w:val="0"/>
          <w:numId w:val="44"/>
        </w:numPr>
        <w:outlineLvl w:val="0"/>
      </w:pPr>
      <w:r>
        <w:t xml:space="preserve">Australian Primary </w:t>
      </w:r>
      <w:r w:rsidR="0044478E">
        <w:t xml:space="preserve">Health </w:t>
      </w:r>
      <w:r w:rsidR="00421AD1">
        <w:t xml:space="preserve">Care </w:t>
      </w:r>
      <w:r>
        <w:t>Nurses Association</w:t>
      </w:r>
      <w:r w:rsidR="00421AD1">
        <w:t xml:space="preserve"> (APNA)</w:t>
      </w:r>
    </w:p>
    <w:p w14:paraId="733234AD" w14:textId="56D4B4FE" w:rsidR="00353496" w:rsidRDefault="00353496" w:rsidP="00F842D7">
      <w:pPr>
        <w:pStyle w:val="AHPRABulletlevel1"/>
        <w:numPr>
          <w:ilvl w:val="0"/>
          <w:numId w:val="44"/>
        </w:numPr>
        <w:outlineLvl w:val="0"/>
      </w:pPr>
      <w:r>
        <w:t>NPs working in acute tertiary centres, palliative care and primary care</w:t>
      </w:r>
    </w:p>
    <w:p w14:paraId="681BC210" w14:textId="49CD84A0" w:rsidR="00353496" w:rsidRDefault="00353496" w:rsidP="00F842D7">
      <w:pPr>
        <w:pStyle w:val="AHPRABulletlevel1"/>
        <w:numPr>
          <w:ilvl w:val="0"/>
          <w:numId w:val="44"/>
        </w:numPr>
        <w:outlineLvl w:val="0"/>
      </w:pPr>
      <w:r>
        <w:t>RNs working in rural and remote areas across aged care, palliative and community as well as those working in primary care centres and hospital organisations</w:t>
      </w:r>
    </w:p>
    <w:p w14:paraId="0BF0CB57" w14:textId="1C97938B" w:rsidR="00353496" w:rsidRDefault="00353496" w:rsidP="00F842D7">
      <w:pPr>
        <w:pStyle w:val="AHPRABulletlevel1"/>
        <w:numPr>
          <w:ilvl w:val="0"/>
          <w:numId w:val="44"/>
        </w:numPr>
        <w:outlineLvl w:val="0"/>
      </w:pPr>
      <w:r>
        <w:t xml:space="preserve">Representatives </w:t>
      </w:r>
      <w:r w:rsidR="00421AD1">
        <w:t xml:space="preserve">from </w:t>
      </w:r>
      <w:r>
        <w:t>the emergency care and assessment treatment – Emergency Care Institute project for the NSW Government and Agency for Clinical Innovation</w:t>
      </w:r>
      <w:r w:rsidR="00D1257C">
        <w:t>, Project Officer and Policy Staff</w:t>
      </w:r>
    </w:p>
    <w:p w14:paraId="2FB56ED2" w14:textId="773A1743" w:rsidR="00353496" w:rsidRDefault="00353496" w:rsidP="00F842D7">
      <w:pPr>
        <w:pStyle w:val="AHPRABulletlevel1"/>
        <w:numPr>
          <w:ilvl w:val="0"/>
          <w:numId w:val="44"/>
        </w:numPr>
        <w:outlineLvl w:val="0"/>
      </w:pPr>
      <w:r>
        <w:t xml:space="preserve">Katie Pennington who recently undertook </w:t>
      </w:r>
      <w:r w:rsidR="00421AD1">
        <w:t>doctoral s</w:t>
      </w:r>
      <w:r>
        <w:t xml:space="preserve">tudies into </w:t>
      </w:r>
      <w:r w:rsidR="00421AD1">
        <w:t xml:space="preserve">medicines </w:t>
      </w:r>
      <w:r>
        <w:t xml:space="preserve">legislation and its impact on the delivery of healthcare by </w:t>
      </w:r>
      <w:r w:rsidR="00421AD1">
        <w:t xml:space="preserve">registered nurses </w:t>
      </w:r>
      <w:r>
        <w:t>in very remote Australia</w:t>
      </w:r>
    </w:p>
    <w:p w14:paraId="5E693A31" w14:textId="77777777" w:rsidR="00353496" w:rsidRPr="00735A5F" w:rsidRDefault="00353496" w:rsidP="00F842D7">
      <w:pPr>
        <w:pStyle w:val="AHPRABulletlevel1"/>
        <w:numPr>
          <w:ilvl w:val="0"/>
          <w:numId w:val="44"/>
        </w:numPr>
        <w:outlineLvl w:val="0"/>
      </w:pPr>
      <w:r w:rsidRPr="21A7F60E">
        <w:rPr>
          <w:rFonts w:cstheme="minorBidi"/>
        </w:rPr>
        <w:t xml:space="preserve">Dr Gigi Lim from the University of Auckland </w:t>
      </w:r>
    </w:p>
    <w:p w14:paraId="05EA43B8" w14:textId="77777777" w:rsidR="00353496" w:rsidRPr="00964353" w:rsidRDefault="00353496" w:rsidP="00F842D7">
      <w:pPr>
        <w:pStyle w:val="AHPRABulletlevel1"/>
        <w:numPr>
          <w:ilvl w:val="0"/>
          <w:numId w:val="44"/>
        </w:numPr>
        <w:outlineLvl w:val="0"/>
        <w:rPr>
          <w:rFonts w:cstheme="minorHAnsi"/>
        </w:rPr>
      </w:pPr>
      <w:r w:rsidRPr="21A7F60E">
        <w:rPr>
          <w:rFonts w:cstheme="minorBidi"/>
        </w:rPr>
        <w:t>Registrar of the Te Kaunihera Tapuhi, Aotearoa, Nursing Council of New Zealand</w:t>
      </w:r>
    </w:p>
    <w:p w14:paraId="49C7A239" w14:textId="265BB0E1" w:rsidR="5779AAB8" w:rsidRDefault="5779AAB8" w:rsidP="00F842D7">
      <w:pPr>
        <w:pStyle w:val="AHPRABulletlevel1last"/>
        <w:numPr>
          <w:ilvl w:val="0"/>
          <w:numId w:val="44"/>
        </w:numPr>
        <w:outlineLvl w:val="0"/>
        <w:rPr>
          <w:lang w:val="en-NZ" w:eastAsia="en-NZ"/>
        </w:rPr>
      </w:pPr>
      <w:r w:rsidRPr="21A7F60E">
        <w:rPr>
          <w:lang w:val="en-NZ" w:eastAsia="en-NZ"/>
        </w:rPr>
        <w:t>Bush Clinic</w:t>
      </w:r>
      <w:r w:rsidR="00191591" w:rsidRPr="21A7F60E">
        <w:rPr>
          <w:lang w:val="en-NZ" w:eastAsia="en-NZ"/>
        </w:rPr>
        <w:t xml:space="preserve"> RNs</w:t>
      </w:r>
      <w:r w:rsidR="004137C3" w:rsidRPr="21A7F60E">
        <w:rPr>
          <w:lang w:val="en-NZ" w:eastAsia="en-NZ"/>
        </w:rPr>
        <w:t>.</w:t>
      </w:r>
    </w:p>
    <w:p w14:paraId="07349C20" w14:textId="571D850E" w:rsidR="00353496" w:rsidRPr="00EE2E99" w:rsidRDefault="00353496" w:rsidP="422F38A3">
      <w:pPr>
        <w:pStyle w:val="ahprasubheading0"/>
        <w:spacing w:before="200" w:beforeAutospacing="0" w:after="200" w:afterAutospacing="0"/>
        <w:outlineLvl w:val="0"/>
        <w:rPr>
          <w:rFonts w:ascii="Arial" w:hAnsi="Arial" w:cs="Arial"/>
          <w:sz w:val="20"/>
          <w:szCs w:val="20"/>
        </w:rPr>
      </w:pPr>
      <w:r w:rsidRPr="422F38A3">
        <w:rPr>
          <w:rFonts w:ascii="Arial" w:hAnsi="Arial" w:cs="Arial"/>
          <w:sz w:val="20"/>
          <w:szCs w:val="20"/>
        </w:rPr>
        <w:t xml:space="preserve">The below table </w:t>
      </w:r>
      <w:r w:rsidR="00993822" w:rsidRPr="422F38A3">
        <w:rPr>
          <w:rFonts w:ascii="Arial" w:hAnsi="Arial" w:cs="Arial"/>
          <w:sz w:val="20"/>
          <w:szCs w:val="20"/>
        </w:rPr>
        <w:t>outlines</w:t>
      </w:r>
      <w:r w:rsidR="00276A10" w:rsidRPr="422F38A3">
        <w:rPr>
          <w:rFonts w:ascii="Arial" w:hAnsi="Arial" w:cs="Arial"/>
          <w:sz w:val="20"/>
          <w:szCs w:val="20"/>
        </w:rPr>
        <w:t xml:space="preserve"> the </w:t>
      </w:r>
      <w:r w:rsidR="00315354" w:rsidRPr="422F38A3">
        <w:rPr>
          <w:rFonts w:ascii="Arial" w:hAnsi="Arial" w:cs="Arial"/>
          <w:sz w:val="20"/>
          <w:szCs w:val="20"/>
        </w:rPr>
        <w:t xml:space="preserve">preferred option </w:t>
      </w:r>
      <w:r w:rsidR="00993822" w:rsidRPr="422F38A3">
        <w:rPr>
          <w:rFonts w:ascii="Arial" w:hAnsi="Arial" w:cs="Arial"/>
          <w:sz w:val="20"/>
          <w:szCs w:val="20"/>
        </w:rPr>
        <w:t xml:space="preserve">selected by respondents who provided a written submission </w:t>
      </w:r>
      <w:r w:rsidR="007D474A" w:rsidRPr="422F38A3">
        <w:rPr>
          <w:rFonts w:ascii="Arial" w:hAnsi="Arial" w:cs="Arial"/>
          <w:sz w:val="20"/>
          <w:szCs w:val="20"/>
        </w:rPr>
        <w:t>to the C-RIS</w:t>
      </w:r>
      <w:r w:rsidR="00993822" w:rsidRPr="422F38A3">
        <w:rPr>
          <w:rFonts w:ascii="Arial" w:hAnsi="Arial" w:cs="Arial"/>
          <w:sz w:val="20"/>
          <w:szCs w:val="20"/>
        </w:rPr>
        <w:t>:</w:t>
      </w:r>
      <w:r w:rsidR="007D474A" w:rsidRPr="422F38A3">
        <w:rPr>
          <w:rFonts w:ascii="Arial" w:hAnsi="Arial" w:cs="Arial"/>
          <w:sz w:val="20"/>
          <w:szCs w:val="20"/>
        </w:rPr>
        <w:t xml:space="preserve"> </w:t>
      </w:r>
    </w:p>
    <w:tbl>
      <w:tblPr>
        <w:tblStyle w:val="TableGrid"/>
        <w:tblW w:w="0" w:type="auto"/>
        <w:tblLook w:val="04A0" w:firstRow="1" w:lastRow="0" w:firstColumn="1" w:lastColumn="0" w:noHBand="0" w:noVBand="1"/>
      </w:tblPr>
      <w:tblGrid>
        <w:gridCol w:w="2349"/>
        <w:gridCol w:w="2349"/>
        <w:gridCol w:w="2349"/>
        <w:gridCol w:w="2349"/>
      </w:tblGrid>
      <w:tr w:rsidR="00EE2E99" w:rsidRPr="00EE2E99" w14:paraId="65F1A36A" w14:textId="77777777" w:rsidTr="00EE2E99">
        <w:trPr>
          <w:trHeight w:val="398"/>
        </w:trPr>
        <w:tc>
          <w:tcPr>
            <w:tcW w:w="3611" w:type="dxa"/>
            <w:shd w:val="clear" w:color="auto" w:fill="00B0F0"/>
          </w:tcPr>
          <w:p w14:paraId="08562689" w14:textId="77777777" w:rsidR="00353496" w:rsidRPr="00EE2E99" w:rsidRDefault="00353496" w:rsidP="00216AB8">
            <w:pPr>
              <w:pStyle w:val="TableHeading"/>
              <w:spacing w:after="0"/>
              <w:outlineLvl w:val="0"/>
              <w:rPr>
                <w:rFonts w:ascii="Arial" w:hAnsi="Arial" w:cs="Arial"/>
                <w:b/>
                <w:bCs w:val="0"/>
                <w:sz w:val="20"/>
              </w:rPr>
            </w:pPr>
            <w:r w:rsidRPr="00EE2E99">
              <w:rPr>
                <w:rFonts w:ascii="Arial" w:hAnsi="Arial" w:cs="Arial"/>
                <w:b/>
                <w:bCs w:val="0"/>
                <w:sz w:val="20"/>
              </w:rPr>
              <w:t>Option 1</w:t>
            </w:r>
          </w:p>
        </w:tc>
        <w:tc>
          <w:tcPr>
            <w:tcW w:w="3611" w:type="dxa"/>
            <w:shd w:val="clear" w:color="auto" w:fill="00B0F0"/>
          </w:tcPr>
          <w:p w14:paraId="6C10FE01" w14:textId="77777777" w:rsidR="00353496" w:rsidRPr="00EE2E99" w:rsidRDefault="00353496" w:rsidP="00216AB8">
            <w:pPr>
              <w:pStyle w:val="TableHeading"/>
              <w:spacing w:after="0"/>
              <w:outlineLvl w:val="0"/>
              <w:rPr>
                <w:rFonts w:ascii="Arial" w:hAnsi="Arial" w:cs="Arial"/>
                <w:b/>
                <w:bCs w:val="0"/>
                <w:sz w:val="20"/>
              </w:rPr>
            </w:pPr>
            <w:r w:rsidRPr="00EE2E99">
              <w:rPr>
                <w:rFonts w:ascii="Arial" w:hAnsi="Arial" w:cs="Arial"/>
                <w:b/>
                <w:bCs w:val="0"/>
                <w:sz w:val="20"/>
              </w:rPr>
              <w:t>Option 2</w:t>
            </w:r>
          </w:p>
        </w:tc>
        <w:tc>
          <w:tcPr>
            <w:tcW w:w="3612" w:type="dxa"/>
            <w:shd w:val="clear" w:color="auto" w:fill="00B0F0"/>
          </w:tcPr>
          <w:p w14:paraId="62ED5AF5" w14:textId="77777777" w:rsidR="00353496" w:rsidRPr="00EE2E99" w:rsidRDefault="00353496" w:rsidP="00216AB8">
            <w:pPr>
              <w:pStyle w:val="TableHeading"/>
              <w:spacing w:after="0"/>
              <w:outlineLvl w:val="0"/>
              <w:rPr>
                <w:rFonts w:ascii="Arial" w:hAnsi="Arial" w:cs="Arial"/>
                <w:b/>
                <w:bCs w:val="0"/>
                <w:sz w:val="20"/>
              </w:rPr>
            </w:pPr>
            <w:r w:rsidRPr="00EE2E99">
              <w:rPr>
                <w:rFonts w:ascii="Arial" w:hAnsi="Arial" w:cs="Arial"/>
                <w:b/>
                <w:bCs w:val="0"/>
                <w:sz w:val="20"/>
              </w:rPr>
              <w:t>Option 2(a)</w:t>
            </w:r>
          </w:p>
        </w:tc>
        <w:tc>
          <w:tcPr>
            <w:tcW w:w="3612" w:type="dxa"/>
            <w:shd w:val="clear" w:color="auto" w:fill="00B0F0"/>
          </w:tcPr>
          <w:p w14:paraId="46C746BD" w14:textId="77777777" w:rsidR="00353496" w:rsidRPr="00EE2E99" w:rsidRDefault="00353496" w:rsidP="00216AB8">
            <w:pPr>
              <w:pStyle w:val="TableHeading"/>
              <w:spacing w:after="0"/>
              <w:outlineLvl w:val="0"/>
              <w:rPr>
                <w:rFonts w:ascii="Arial" w:hAnsi="Arial" w:cs="Arial"/>
                <w:b/>
                <w:bCs w:val="0"/>
                <w:sz w:val="20"/>
              </w:rPr>
            </w:pPr>
            <w:r w:rsidRPr="00EE2E99">
              <w:rPr>
                <w:rFonts w:ascii="Arial" w:hAnsi="Arial" w:cs="Arial"/>
                <w:b/>
                <w:bCs w:val="0"/>
                <w:sz w:val="20"/>
              </w:rPr>
              <w:t>Option 2(b)</w:t>
            </w:r>
          </w:p>
        </w:tc>
      </w:tr>
      <w:tr w:rsidR="00EE2E99" w:rsidRPr="00EE2E99" w14:paraId="62186566" w14:textId="77777777" w:rsidTr="009A4A96">
        <w:tc>
          <w:tcPr>
            <w:tcW w:w="3611" w:type="dxa"/>
          </w:tcPr>
          <w:p w14:paraId="3481251D" w14:textId="0DC11EE5" w:rsidR="00353496" w:rsidRPr="00EE2E99" w:rsidRDefault="002D2C54" w:rsidP="00F842D7">
            <w:pPr>
              <w:pStyle w:val="AHPRAbody"/>
              <w:numPr>
                <w:ilvl w:val="0"/>
                <w:numId w:val="20"/>
              </w:numPr>
              <w:spacing w:after="0"/>
              <w:outlineLvl w:val="0"/>
              <w:rPr>
                <w:szCs w:val="20"/>
              </w:rPr>
            </w:pPr>
            <w:r>
              <w:rPr>
                <w:szCs w:val="20"/>
              </w:rPr>
              <w:t>3 agree</w:t>
            </w:r>
          </w:p>
        </w:tc>
        <w:tc>
          <w:tcPr>
            <w:tcW w:w="3611" w:type="dxa"/>
          </w:tcPr>
          <w:p w14:paraId="42670EEC" w14:textId="2A09DC69" w:rsidR="00353496" w:rsidRPr="00EE2E99" w:rsidRDefault="002D2C54" w:rsidP="00F842D7">
            <w:pPr>
              <w:pStyle w:val="AHPRAbody"/>
              <w:numPr>
                <w:ilvl w:val="0"/>
                <w:numId w:val="19"/>
              </w:numPr>
              <w:spacing w:after="0"/>
              <w:outlineLvl w:val="0"/>
              <w:rPr>
                <w:szCs w:val="20"/>
              </w:rPr>
            </w:pPr>
            <w:r>
              <w:rPr>
                <w:szCs w:val="20"/>
              </w:rPr>
              <w:t>1</w:t>
            </w:r>
            <w:r w:rsidR="007E40CE">
              <w:rPr>
                <w:szCs w:val="20"/>
              </w:rPr>
              <w:t xml:space="preserve">6 </w:t>
            </w:r>
            <w:r>
              <w:rPr>
                <w:szCs w:val="20"/>
              </w:rPr>
              <w:t>agree</w:t>
            </w:r>
          </w:p>
        </w:tc>
        <w:tc>
          <w:tcPr>
            <w:tcW w:w="3612" w:type="dxa"/>
          </w:tcPr>
          <w:p w14:paraId="06B456F1" w14:textId="2D25CEBE" w:rsidR="00353496" w:rsidRPr="00EE2E99" w:rsidRDefault="002D2C54" w:rsidP="00F842D7">
            <w:pPr>
              <w:pStyle w:val="AHPRAbody"/>
              <w:numPr>
                <w:ilvl w:val="0"/>
                <w:numId w:val="19"/>
              </w:numPr>
              <w:spacing w:after="0"/>
              <w:outlineLvl w:val="0"/>
              <w:rPr>
                <w:szCs w:val="20"/>
              </w:rPr>
            </w:pPr>
            <w:r>
              <w:rPr>
                <w:szCs w:val="20"/>
              </w:rPr>
              <w:t>1 agree</w:t>
            </w:r>
          </w:p>
        </w:tc>
        <w:tc>
          <w:tcPr>
            <w:tcW w:w="3612" w:type="dxa"/>
          </w:tcPr>
          <w:p w14:paraId="2526F1D6" w14:textId="53F277D6" w:rsidR="00353496" w:rsidRPr="00EE2E99" w:rsidRDefault="002D2C54" w:rsidP="00F842D7">
            <w:pPr>
              <w:pStyle w:val="AHPRAbody"/>
              <w:numPr>
                <w:ilvl w:val="0"/>
                <w:numId w:val="19"/>
              </w:numPr>
              <w:spacing w:after="0"/>
              <w:outlineLvl w:val="0"/>
              <w:rPr>
                <w:szCs w:val="20"/>
              </w:rPr>
            </w:pPr>
            <w:r>
              <w:rPr>
                <w:szCs w:val="20"/>
              </w:rPr>
              <w:t>4 agree</w:t>
            </w:r>
          </w:p>
        </w:tc>
      </w:tr>
    </w:tbl>
    <w:p w14:paraId="7D75F436" w14:textId="4379C794" w:rsidR="004125B4" w:rsidRDefault="004125B4" w:rsidP="00216AB8">
      <w:pPr>
        <w:spacing w:after="0"/>
        <w:outlineLvl w:val="0"/>
        <w:rPr>
          <w:rFonts w:asciiTheme="majorHAnsi" w:hAnsiTheme="majorHAnsi"/>
          <w:b/>
          <w:color w:val="1F497D" w:themeColor="text2"/>
          <w:sz w:val="24"/>
        </w:rPr>
      </w:pPr>
    </w:p>
    <w:p w14:paraId="05D256DB" w14:textId="570E2ECA" w:rsidR="00353496" w:rsidRDefault="00353496" w:rsidP="00216AB8">
      <w:pPr>
        <w:pStyle w:val="AHPRASubheadinglevel2"/>
        <w:spacing w:before="360"/>
        <w:outlineLvl w:val="0"/>
        <w:rPr>
          <w:sz w:val="22"/>
          <w:szCs w:val="22"/>
        </w:rPr>
      </w:pPr>
      <w:bookmarkStart w:id="81" w:name="_Toc164692737"/>
      <w:r>
        <w:t xml:space="preserve">Qualitative </w:t>
      </w:r>
      <w:r w:rsidR="22678A90">
        <w:t>findings: Problems</w:t>
      </w:r>
      <w:r w:rsidR="00702C8C">
        <w:t xml:space="preserve"> identified </w:t>
      </w:r>
      <w:r>
        <w:t>in the C</w:t>
      </w:r>
      <w:r w:rsidR="00702C8C">
        <w:t>-</w:t>
      </w:r>
      <w:r>
        <w:t>RIS</w:t>
      </w:r>
      <w:bookmarkEnd w:id="81"/>
      <w:r>
        <w:t xml:space="preserve"> </w:t>
      </w:r>
    </w:p>
    <w:p w14:paraId="715ACA99" w14:textId="295FF905" w:rsidR="00353496" w:rsidRPr="00836EC3" w:rsidRDefault="00353496" w:rsidP="00216AB8">
      <w:pPr>
        <w:pStyle w:val="AHPRAbody"/>
        <w:outlineLvl w:val="0"/>
        <w:rPr>
          <w:shd w:val="clear" w:color="auto" w:fill="FFFFFF" w:themeFill="background1"/>
        </w:rPr>
      </w:pPr>
      <w:r w:rsidRPr="008B56C3">
        <w:lastRenderedPageBreak/>
        <w:t xml:space="preserve">The survey </w:t>
      </w:r>
      <w:r w:rsidR="4E5CDEB7" w:rsidRPr="008B56C3">
        <w:t xml:space="preserve">and written submission </w:t>
      </w:r>
      <w:r w:rsidRPr="008B56C3">
        <w:t xml:space="preserve">results indicated overwhelmingly that participants agreed with the problems that were identified </w:t>
      </w:r>
      <w:r w:rsidRPr="008B56C3">
        <w:rPr>
          <w:shd w:val="clear" w:color="auto" w:fill="FFFFFF" w:themeFill="background1"/>
        </w:rPr>
        <w:t>in the CRIS</w:t>
      </w:r>
      <w:r>
        <w:rPr>
          <w:shd w:val="clear" w:color="auto" w:fill="FFFFFF" w:themeFill="background1"/>
        </w:rPr>
        <w:t>:</w:t>
      </w:r>
    </w:p>
    <w:p w14:paraId="431B54E1" w14:textId="2B8B2EC4" w:rsidR="00353496" w:rsidRPr="00526CB2" w:rsidRDefault="00353496" w:rsidP="00216AB8">
      <w:pPr>
        <w:pStyle w:val="AHPRAbody"/>
        <w:outlineLvl w:val="0"/>
      </w:pPr>
      <w:r w:rsidRPr="00526CB2">
        <w:t>Excerpts from the responses</w:t>
      </w:r>
      <w:r w:rsidR="00264B1F">
        <w:t>:</w:t>
      </w:r>
      <w:r w:rsidRPr="00526CB2">
        <w:t xml:space="preserve"> </w:t>
      </w:r>
    </w:p>
    <w:p w14:paraId="71F0BA0B" w14:textId="6F329B13" w:rsidR="00353496" w:rsidRDefault="009C5519" w:rsidP="422F38A3">
      <w:pPr>
        <w:pStyle w:val="AHPRABody1"/>
        <w:spacing w:after="200"/>
        <w:rPr>
          <w:vertAlign w:val="superscript"/>
        </w:rPr>
      </w:pPr>
      <w:r>
        <w:rPr>
          <w:noProof/>
        </w:rPr>
        <mc:AlternateContent>
          <mc:Choice Requires="wps">
            <w:drawing>
              <wp:anchor distT="0" distB="0" distL="114300" distR="114300" simplePos="0" relativeHeight="251658241" behindDoc="0" locked="0" layoutInCell="1" allowOverlap="1" wp14:anchorId="65855F08" wp14:editId="7ECDE50C">
                <wp:simplePos x="0" y="0"/>
                <wp:positionH relativeFrom="column">
                  <wp:posOffset>0</wp:posOffset>
                </wp:positionH>
                <wp:positionV relativeFrom="paragraph">
                  <wp:posOffset>0</wp:posOffset>
                </wp:positionV>
                <wp:extent cx="1828800" cy="1828800"/>
                <wp:effectExtent l="0" t="0" r="21590" b="1016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7DFD449F" w14:textId="0B313F15" w:rsidR="00717F43" w:rsidRDefault="00717F43" w:rsidP="00717F43">
                            <w:pPr>
                              <w:pStyle w:val="AHPRABody1"/>
                            </w:pPr>
                            <w:r w:rsidRPr="000018AB">
                              <w:t>“Timely</w:t>
                            </w:r>
                            <w:r>
                              <w:t>,</w:t>
                            </w:r>
                            <w:r w:rsidRPr="000018AB">
                              <w:t xml:space="preserve"> equitable access to medical care is an increasing issue which could be significantly addressed by enabling suitably educated, qualified, and authorised registered nurses to work to the full extent of their scope in the management of setting specific common, less complex conditions and long-term chronic conditions with this management including clearly defined medication prescribing capability”.</w:t>
                            </w:r>
                          </w:p>
                          <w:p w14:paraId="783E89DF" w14:textId="60941BC2" w:rsidR="00717F43" w:rsidRPr="00C0379D" w:rsidRDefault="00717F43" w:rsidP="00717F43">
                            <w:pPr>
                              <w:pStyle w:val="AHPRABody1"/>
                            </w:pPr>
                            <w:r>
                              <w:br/>
                            </w:r>
                            <w:r w:rsidRPr="00C0379D">
                              <w:t xml:space="preserve">“The </w:t>
                            </w:r>
                            <w:r>
                              <w:t>Office for one of the state’s health complaints agency</w:t>
                            </w:r>
                            <w:r w:rsidRPr="00C0379D">
                              <w:t xml:space="preserve"> agrees that addressing inequities in access to timely, safe, and appropriate quality healthcare in Australia has been long standing and continues to create ongoing challenges. As noted, the impact of these inequities is particularly evident in rural and remote areas, aged care, and hospital settings and in settings with communities who do not always access mainstream services. The </w:t>
                            </w:r>
                            <w:r>
                              <w:t>agency</w:t>
                            </w:r>
                            <w:r w:rsidRPr="00C0379D">
                              <w:t xml:space="preserve"> also agrees that reduced access to quality healthcare contributes to individuals experiencing, in general, poorer health outcomes”.</w:t>
                            </w:r>
                          </w:p>
                          <w:p w14:paraId="123C2D38" w14:textId="77777777" w:rsidR="00717F43" w:rsidRPr="00836EC3" w:rsidRDefault="00717F43" w:rsidP="00717F43">
                            <w:pPr>
                              <w:pStyle w:val="AHPRABody1"/>
                              <w:rPr>
                                <w:rFonts w:cstheme="minorBidi"/>
                              </w:rPr>
                            </w:pPr>
                            <w:r>
                              <w:rPr>
                                <w:rFonts w:cstheme="minorBidi"/>
                              </w:rPr>
                              <w:br/>
                            </w:r>
                            <w:r w:rsidRPr="1527C85E">
                              <w:rPr>
                                <w:rFonts w:cstheme="minorBidi"/>
                              </w:rPr>
                              <w:t>“A prominent nursing college and its members agreed that the problem statement is identified in the CRIS. The problem statement highlights the disparities many people experience when trying to receive timely, safe, and high-quality healthcare. Strategic solutions are needed to address the problems of providing adequate care for many members of the community, particularly the ageing population with their worsening chronic health issues. Remote and rural areas also encounter more challenges and complex health requirements”.</w:t>
                            </w:r>
                            <w:r>
                              <w:rPr>
                                <w:rFonts w:cstheme="minorBidi"/>
                              </w:rPr>
                              <w:br/>
                            </w:r>
                          </w:p>
                          <w:p w14:paraId="299F84E7" w14:textId="759C49CB" w:rsidR="00717F43" w:rsidRPr="00367627" w:rsidRDefault="00717F43" w:rsidP="00216AB8">
                            <w:pPr>
                              <w:pStyle w:val="AHPRAbody"/>
                              <w:outlineLvl w:val="0"/>
                              <w:rPr>
                                <w:shd w:val="clear" w:color="auto" w:fill="FFFFFF" w:themeFill="background1"/>
                              </w:rPr>
                            </w:pPr>
                            <w:r>
                              <w:t>There were a small number of respondents that d</w:t>
                            </w:r>
                            <w:r w:rsidRPr="00367627">
                              <w:t xml:space="preserve">id not agree with the problems </w:t>
                            </w:r>
                            <w:r>
                              <w:t>stating</w:t>
                            </w:r>
                            <w:r w:rsidRPr="00367627">
                              <w:t xml:space="preserve"> that only medical practitioners should prescribe:</w:t>
                            </w:r>
                          </w:p>
                          <w:p w14:paraId="67BA574D" w14:textId="77777777" w:rsidR="00717F43" w:rsidRPr="0018326A" w:rsidRDefault="00717F43" w:rsidP="00717F43">
                            <w:pPr>
                              <w:pStyle w:val="AHPRABody1"/>
                            </w:pPr>
                            <w:r w:rsidRPr="5AA7423A">
                              <w:t>“Registered nurses are not doctors and do not have the education or knowledge to prescribe”.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855F08" id="_x0000_t202" coordsize="21600,21600" o:spt="202" path="m,l,21600r21600,l21600,xe">
                <v:stroke joinstyle="miter"/>
                <v:path gradientshapeok="t" o:connecttype="rect"/>
              </v:shapetype>
              <v:shape id="Text Box 17" o:spid="_x0000_s1026"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" fillcolor="#eeece1 [3214]" strokeweight=".5pt">
                <v:textbox style="mso-fit-shape-to-text:t">
                  <w:txbxContent>
                    <w:p w14:paraId="7DFD449F" w14:textId="0B313F15" w:rsidR="00717F43" w:rsidRDefault="00717F43" w:rsidP="00717F43">
                      <w:pPr>
                        <w:pStyle w:val="AHPRABody1"/>
                      </w:pPr>
                      <w:r w:rsidRPr="000018AB">
                        <w:t>“Timely</w:t>
                      </w:r>
                      <w:r>
                        <w:t>,</w:t>
                      </w:r>
                      <w:r w:rsidRPr="000018AB">
                        <w:t xml:space="preserve"> equitable access to medical care is an increasing issue which could be significantly addressed by enabling suitably educated, qualified, and authorised registered nurses to work to the full extent of their scope in the management of setting specific common, less complex conditions and long-term chronic conditions with this management including clearly defined medication prescribing capability”.</w:t>
                      </w:r>
                    </w:p>
                    <w:p w14:paraId="783E89DF" w14:textId="60941BC2" w:rsidR="00717F43" w:rsidRPr="00C0379D" w:rsidRDefault="00717F43" w:rsidP="00717F43">
                      <w:pPr>
                        <w:pStyle w:val="AHPRABody1"/>
                      </w:pPr>
                      <w:r>
                        <w:br/>
                      </w:r>
                      <w:r w:rsidRPr="00C0379D">
                        <w:t xml:space="preserve">“The </w:t>
                      </w:r>
                      <w:r>
                        <w:t xml:space="preserve">Office for one of the state’s health complaints </w:t>
                      </w:r>
                      <w:proofErr w:type="gramStart"/>
                      <w:r>
                        <w:t>agency</w:t>
                      </w:r>
                      <w:proofErr w:type="gramEnd"/>
                      <w:r w:rsidRPr="00C0379D">
                        <w:t xml:space="preserve"> agrees that addressing inequities in access to timely, safe, and appropriate quality healthcare in Australia has been long standing and continues to create ongoing challenges. As noted, the impact of these inequities is particularly evident in rural and remote areas, aged care, and hospital settings and in settings with communities who do not always access mainstream services. The </w:t>
                      </w:r>
                      <w:r>
                        <w:t>agency</w:t>
                      </w:r>
                      <w:r w:rsidRPr="00C0379D">
                        <w:t xml:space="preserve"> also agrees that reduced access to quality healthcare contributes to individuals experiencing, in general, poorer health outcomes”.</w:t>
                      </w:r>
                    </w:p>
                    <w:p w14:paraId="123C2D38" w14:textId="77777777" w:rsidR="00717F43" w:rsidRPr="00836EC3" w:rsidRDefault="00717F43" w:rsidP="00717F43">
                      <w:pPr>
                        <w:pStyle w:val="AHPRABody1"/>
                        <w:rPr>
                          <w:rFonts w:cstheme="minorBidi"/>
                        </w:rPr>
                      </w:pPr>
                      <w:r>
                        <w:rPr>
                          <w:rFonts w:cstheme="minorBidi"/>
                        </w:rPr>
                        <w:br/>
                      </w:r>
                      <w:r w:rsidRPr="1527C85E">
                        <w:rPr>
                          <w:rFonts w:cstheme="minorBidi"/>
                        </w:rPr>
                        <w:t>“A prominent nursing college and its members agreed that the problem statement is identified in the CRIS. The problem statement highlights the disparities many people experience when trying to receive timely, safe, and high-quality healthcare. Strategic solutions are needed to address the problems of providing adequate care for many members of the community, particularly the ageing population with their worsening chronic health issues. Remote and rural areas also encounter more challenges and complex health requirements”.</w:t>
                      </w:r>
                      <w:r>
                        <w:rPr>
                          <w:rFonts w:cstheme="minorBidi"/>
                        </w:rPr>
                        <w:br/>
                      </w:r>
                    </w:p>
                    <w:p w14:paraId="299F84E7" w14:textId="759C49CB" w:rsidR="00717F43" w:rsidRPr="00367627" w:rsidRDefault="00717F43" w:rsidP="00216AB8">
                      <w:pPr>
                        <w:pStyle w:val="AHPRAbody"/>
                        <w:outlineLvl w:val="0"/>
                        <w:rPr>
                          <w:shd w:val="clear" w:color="auto" w:fill="FFFFFF" w:themeFill="background1"/>
                        </w:rPr>
                      </w:pPr>
                      <w:r>
                        <w:t>There were a small number of respondents that d</w:t>
                      </w:r>
                      <w:r w:rsidRPr="00367627">
                        <w:t xml:space="preserve">id not agree with the problems </w:t>
                      </w:r>
                      <w:r>
                        <w:t>stating</w:t>
                      </w:r>
                      <w:r w:rsidRPr="00367627">
                        <w:t xml:space="preserve"> that only medical practitioners should prescribe:</w:t>
                      </w:r>
                    </w:p>
                    <w:p w14:paraId="67BA574D" w14:textId="77777777" w:rsidR="00717F43" w:rsidRPr="0018326A" w:rsidRDefault="00717F43" w:rsidP="00717F43">
                      <w:pPr>
                        <w:pStyle w:val="AHPRABody1"/>
                      </w:pPr>
                      <w:r w:rsidRPr="5AA7423A">
                        <w:t>“Registered nurses are not doctors and do not have the education or knowledge to prescribe”.</w:t>
                      </w:r>
                    </w:p>
                  </w:txbxContent>
                </v:textbox>
                <w10:wrap type="square"/>
              </v:shape>
            </w:pict>
          </mc:Fallback>
        </mc:AlternateContent>
      </w:r>
      <w:r>
        <w:br/>
      </w:r>
      <w:r w:rsidR="66E552D2" w:rsidRPr="422F38A3">
        <w:t xml:space="preserve">The NMBA </w:t>
      </w:r>
      <w:r w:rsidR="00353496" w:rsidRPr="422F38A3">
        <w:t xml:space="preserve">clearly articulated </w:t>
      </w:r>
      <w:r w:rsidR="6687535C" w:rsidRPr="422F38A3">
        <w:t xml:space="preserve">in the C-RIS </w:t>
      </w:r>
      <w:r w:rsidR="00353496" w:rsidRPr="422F38A3">
        <w:t xml:space="preserve">that RNs are not </w:t>
      </w:r>
      <w:r w:rsidR="21980036" w:rsidRPr="422F38A3">
        <w:t xml:space="preserve">in any way </w:t>
      </w:r>
      <w:r w:rsidR="3E5163C6" w:rsidRPr="422F38A3">
        <w:t>trying to</w:t>
      </w:r>
      <w:r w:rsidR="00353496" w:rsidRPr="422F38A3">
        <w:t xml:space="preserve"> be </w:t>
      </w:r>
      <w:r w:rsidR="00A46EB5" w:rsidRPr="422F38A3">
        <w:t>doctors</w:t>
      </w:r>
      <w:r w:rsidR="00353496" w:rsidRPr="422F38A3">
        <w:t xml:space="preserve">, and do not wish to detract from the role of the </w:t>
      </w:r>
      <w:r w:rsidR="00A46EB5" w:rsidRPr="422F38A3">
        <w:t>medical practitioner</w:t>
      </w:r>
      <w:r w:rsidR="60A4EF1A" w:rsidRPr="422F38A3">
        <w:t>.</w:t>
      </w:r>
      <w:r w:rsidR="00A46EB5" w:rsidRPr="422F38A3">
        <w:t xml:space="preserve"> </w:t>
      </w:r>
      <w:r w:rsidR="2333D097" w:rsidRPr="422F38A3">
        <w:t>H</w:t>
      </w:r>
      <w:r w:rsidR="00353496" w:rsidRPr="422F38A3">
        <w:t>owever</w:t>
      </w:r>
      <w:r w:rsidR="3FF761B3" w:rsidRPr="422F38A3">
        <w:t>,</w:t>
      </w:r>
      <w:r w:rsidR="00353496" w:rsidRPr="422F38A3">
        <w:t xml:space="preserve"> </w:t>
      </w:r>
      <w:r w:rsidR="3DCB713D" w:rsidRPr="422F38A3">
        <w:t xml:space="preserve">they do </w:t>
      </w:r>
      <w:r w:rsidR="00353496" w:rsidRPr="422F38A3">
        <w:t xml:space="preserve">wish to enter into a collaborative agreement for the benefit of the patient and health consumers. </w:t>
      </w:r>
      <w:r w:rsidR="006D1FA3" w:rsidRPr="422F38A3">
        <w:t xml:space="preserve">RN </w:t>
      </w:r>
      <w:r w:rsidR="00353496" w:rsidRPr="422F38A3">
        <w:t xml:space="preserve">prescribers choose to undertake postgraduate qualifications to prescribe under </w:t>
      </w:r>
      <w:r w:rsidR="004076BD" w:rsidRPr="422F38A3">
        <w:t xml:space="preserve">the </w:t>
      </w:r>
      <w:r w:rsidR="00353496" w:rsidRPr="422F38A3">
        <w:t xml:space="preserve">supervision of a medical or nurse practitioner </w:t>
      </w:r>
      <w:r w:rsidR="00353496" w:rsidRPr="422F38A3">
        <w:rPr>
          <w:rFonts w:cstheme="minorBidi"/>
          <w:color w:val="000000" w:themeColor="text1"/>
        </w:rPr>
        <w:t>judiciously, appropriately and safely</w:t>
      </w:r>
      <w:r w:rsidR="005962DA" w:rsidRPr="422F38A3">
        <w:rPr>
          <w:rFonts w:cstheme="minorBidi"/>
          <w:color w:val="000000" w:themeColor="text1"/>
        </w:rPr>
        <w:t>.</w:t>
      </w:r>
      <w:r w:rsidR="00353496" w:rsidRPr="422F38A3">
        <w:t xml:space="preserve"> </w:t>
      </w:r>
      <w:r w:rsidR="005962DA" w:rsidRPr="422F38A3">
        <w:t>They</w:t>
      </w:r>
      <w:r w:rsidR="00353496" w:rsidRPr="422F38A3">
        <w:t xml:space="preserve"> cite the reason to do so is for clinical effectiveness in clinical practice and the ability to provide a complete episode of holistic care allowing patient involvement in addition to providing job satisfaction.</w:t>
      </w:r>
      <w:r w:rsidR="00C47F09" w:rsidRPr="422F38A3" w:rsidDel="00C47F09">
        <w:rPr>
          <w:vertAlign w:val="superscript"/>
        </w:rPr>
        <w:t xml:space="preserve"> </w:t>
      </w:r>
      <w:r w:rsidR="00C47F09" w:rsidRPr="422F38A3">
        <w:rPr>
          <w:vertAlign w:val="superscript"/>
        </w:rPr>
        <w:t>20,88</w:t>
      </w:r>
      <w:r w:rsidR="00353496" w:rsidRPr="422F38A3">
        <w:rPr>
          <w:vertAlign w:val="superscript"/>
        </w:rPr>
        <w:t xml:space="preserve"> </w:t>
      </w:r>
      <w:r w:rsidR="00353496" w:rsidRPr="422F38A3">
        <w:t>It is also important to note that research has indicated that non-medical prescribing is equally appropriate to medical prescribing with RNs having no difference to doctors in regards to safe prescribing</w:t>
      </w:r>
      <w:r w:rsidR="00ED7A49" w:rsidRPr="422F38A3">
        <w:t>. T</w:t>
      </w:r>
      <w:r w:rsidR="00353496" w:rsidRPr="422F38A3">
        <w:t xml:space="preserve">hrough a trial of </w:t>
      </w:r>
      <w:r w:rsidR="007C0334" w:rsidRPr="422F38A3">
        <w:t>n</w:t>
      </w:r>
      <w:r w:rsidR="00353496" w:rsidRPr="422F38A3">
        <w:t>on-</w:t>
      </w:r>
      <w:r w:rsidR="007C0334" w:rsidRPr="422F38A3">
        <w:t>m</w:t>
      </w:r>
      <w:r w:rsidR="00353496" w:rsidRPr="422F38A3">
        <w:t xml:space="preserve">edical </w:t>
      </w:r>
      <w:r w:rsidR="007C0334" w:rsidRPr="422F38A3">
        <w:t>p</w:t>
      </w:r>
      <w:r w:rsidR="00353496" w:rsidRPr="422F38A3">
        <w:t xml:space="preserve">rescribing there were indications that non-medical prescribing may lead to significant reduction in omission and prescribing errors. </w:t>
      </w:r>
      <w:r w:rsidR="007C0334" w:rsidRPr="422F38A3">
        <w:rPr>
          <w:vertAlign w:val="superscript"/>
        </w:rPr>
        <w:t>29,71</w:t>
      </w:r>
    </w:p>
    <w:p w14:paraId="3B1E28EA" w14:textId="2026F53F" w:rsidR="00353496" w:rsidRPr="00BA0698" w:rsidRDefault="0072645E" w:rsidP="00216AB8">
      <w:pPr>
        <w:pStyle w:val="AHPRAbody"/>
        <w:outlineLvl w:val="0"/>
      </w:pPr>
      <w:r>
        <w:t xml:space="preserve">Other respondents </w:t>
      </w:r>
      <w:r w:rsidR="00353496">
        <w:t>who agreed with the problem statement did however raise concerns around training</w:t>
      </w:r>
      <w:r>
        <w:t xml:space="preserve"> requirements</w:t>
      </w:r>
      <w:r w:rsidR="00353496">
        <w:t>:</w:t>
      </w:r>
    </w:p>
    <w:p w14:paraId="1CFFD218" w14:textId="7508B92C" w:rsidR="00353496" w:rsidRPr="00BA0698" w:rsidRDefault="00581DAC" w:rsidP="00216AB8">
      <w:pPr>
        <w:pStyle w:val="AHPRAbody"/>
        <w:outlineLvl w:val="0"/>
      </w:pPr>
      <w:r>
        <w:rPr>
          <w:rFonts w:asciiTheme="minorHAnsi" w:hAnsiTheme="minorHAnsi" w:cstheme="minorBidi"/>
          <w:i/>
          <w:iCs/>
        </w:rPr>
        <w:br/>
      </w:r>
      <w:r w:rsidR="00ED7A49">
        <w:rPr>
          <w:rFonts w:eastAsia="Times New Roman"/>
          <w:noProof/>
          <w:szCs w:val="20"/>
          <w:lang w:eastAsia="en-AU"/>
        </w:rPr>
        <mc:AlternateContent>
          <mc:Choice Requires="wps">
            <w:drawing>
              <wp:anchor distT="0" distB="0" distL="114300" distR="114300" simplePos="0" relativeHeight="251658242" behindDoc="0" locked="0" layoutInCell="1" allowOverlap="1" wp14:anchorId="1FAB2026" wp14:editId="5B120398">
                <wp:simplePos x="0" y="0"/>
                <wp:positionH relativeFrom="column">
                  <wp:posOffset>0</wp:posOffset>
                </wp:positionH>
                <wp:positionV relativeFrom="paragraph">
                  <wp:posOffset>0</wp:posOffset>
                </wp:positionV>
                <wp:extent cx="1828800" cy="1828800"/>
                <wp:effectExtent l="0" t="0" r="21590" b="26035"/>
                <wp:wrapSquare wrapText="bothSides"/>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00036C8D" w14:textId="77777777" w:rsidR="00717F43" w:rsidRPr="00F842D7" w:rsidRDefault="00717F43" w:rsidP="005E6BA2">
                            <w:pPr>
                              <w:pStyle w:val="AHPRABody1"/>
                            </w:pPr>
                            <w:r w:rsidRPr="005E6BA2">
                              <w:t>“Completely agree with the problem statement. The inequality in regional and remote areas have progressively become apparent, especially during the recent years. The availability and accessibility to GPs has resulted in a decline in quality of life or the need to travel to urban areas to receive treatment.  It is essential that by identifying and responding to these problems we do not create more problems. Prescribing by RNs must only follow by successful completion of recognized training, not just left to the RN only to determine whether they practice within their scope. Unfortunately, not all RNs understand what that means”.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AB2026" id="Text Box 18" o:spid="_x0000_s1027"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" fillcolor="#eeece1 [3214]" strokeweight=".5pt">
                <v:textbox style="mso-fit-shape-to-text:t">
                  <w:txbxContent>
                    <w:p w14:paraId="00036C8D" w14:textId="77777777" w:rsidR="00717F43" w:rsidRPr="00F842D7" w:rsidRDefault="00717F43" w:rsidP="005E6BA2">
                      <w:pPr>
                        <w:pStyle w:val="AHPRABody1"/>
                      </w:pPr>
                      <w:r w:rsidRPr="005E6BA2">
                        <w:t>“Completely agree with the problem statement. The inequality in regional and remote areas have progressively become apparent, especially during the recent years. The availability and accessibility to GPs has resulted in a decline in quality of life or the need to travel to urban areas to receive treatment.  It is essential that by identifying and responding to these problems we do not create more problems. Prescribing by RNs must only follow by successful completion of recognized training, not just left to the RN only to determine whether they practice within their scope. Unfortunately, not all RNs understand what that means”.</w:t>
                      </w:r>
                    </w:p>
                  </w:txbxContent>
                </v:textbox>
                <w10:wrap type="square"/>
              </v:shape>
            </w:pict>
          </mc:Fallback>
        </mc:AlternateContent>
      </w:r>
      <w:r w:rsidR="00EF2073">
        <w:t>While</w:t>
      </w:r>
      <w:r w:rsidR="00353496">
        <w:t xml:space="preserve"> there are pathways already in place to allow prescribing arrangements for non-nurse practitioners the current pathways already authorised such as</w:t>
      </w:r>
      <w:r w:rsidR="000716F8">
        <w:t>,</w:t>
      </w:r>
      <w:r w:rsidR="00353496">
        <w:t xml:space="preserve"> dispensing and prescribing via structured arrangements or prescribing from protocol</w:t>
      </w:r>
      <w:r w:rsidR="000716F8">
        <w:t>,</w:t>
      </w:r>
      <w:r w:rsidR="00353496">
        <w:t xml:space="preserve"> lack nationally consistent regulated requirements where education and credentialing are jurisdictionally dependent and may cause inconsistencies in the medication management role of RNs.</w:t>
      </w:r>
      <w:r w:rsidR="005A39AD">
        <w:t xml:space="preserve"> </w:t>
      </w:r>
      <w:r w:rsidR="000C2241">
        <w:rPr>
          <w:vertAlign w:val="superscript"/>
        </w:rPr>
        <w:t>20,89,</w:t>
      </w:r>
      <w:r w:rsidR="000C2241" w:rsidDel="000C2241">
        <w:rPr>
          <w:vertAlign w:val="superscript"/>
        </w:rPr>
        <w:t xml:space="preserve"> </w:t>
      </w:r>
      <w:r w:rsidR="000C2241">
        <w:rPr>
          <w:vertAlign w:val="superscript"/>
        </w:rPr>
        <w:t>96</w:t>
      </w:r>
    </w:p>
    <w:p w14:paraId="68BE8473" w14:textId="77777777" w:rsidR="00B6508B" w:rsidRDefault="00353496" w:rsidP="00216AB8">
      <w:pPr>
        <w:pStyle w:val="AHPRAbody"/>
        <w:outlineLvl w:val="0"/>
      </w:pPr>
      <w:r>
        <w:t xml:space="preserve">In response to the question, </w:t>
      </w:r>
      <w:r w:rsidRPr="5AA7423A">
        <w:rPr>
          <w:i/>
          <w:iCs/>
        </w:rPr>
        <w:t>Are there any additional effects to people accessing healthcare that are caused by the problems or issues outlined in the C</w:t>
      </w:r>
      <w:r w:rsidR="00523206" w:rsidRPr="5AA7423A">
        <w:rPr>
          <w:i/>
          <w:iCs/>
        </w:rPr>
        <w:t>-</w:t>
      </w:r>
      <w:r w:rsidRPr="5AA7423A">
        <w:rPr>
          <w:i/>
          <w:iCs/>
        </w:rPr>
        <w:t>RIS?</w:t>
      </w:r>
      <w:r>
        <w:t xml:space="preserve"> The majority of respondents answered </w:t>
      </w:r>
      <w:r w:rsidR="00523206">
        <w:t>‘</w:t>
      </w:r>
      <w:r w:rsidR="7E76A970">
        <w:t>no</w:t>
      </w:r>
      <w:r w:rsidR="00555969">
        <w:t>’</w:t>
      </w:r>
      <w:r w:rsidR="7E76A970">
        <w:t xml:space="preserve"> </w:t>
      </w:r>
      <w:r>
        <w:t xml:space="preserve">and the respondents who answered </w:t>
      </w:r>
      <w:r w:rsidR="00523206">
        <w:t>‘</w:t>
      </w:r>
      <w:r w:rsidR="2A4E3A86">
        <w:t>yes</w:t>
      </w:r>
      <w:r w:rsidR="00523206">
        <w:t>’</w:t>
      </w:r>
      <w:r>
        <w:t xml:space="preserve"> importantly included that health consumers could not afford to visit their GPs which reinforced access and equity issues.</w:t>
      </w:r>
      <w:r w:rsidR="00B6508B">
        <w:t xml:space="preserve"> </w:t>
      </w:r>
    </w:p>
    <w:p w14:paraId="1D2BAD20" w14:textId="7A1A9477" w:rsidR="00353496" w:rsidRPr="00BA0698" w:rsidRDefault="00B6508B" w:rsidP="00216AB8">
      <w:pPr>
        <w:pStyle w:val="AHPRAbody"/>
        <w:outlineLvl w:val="0"/>
      </w:pPr>
      <w:r>
        <w:lastRenderedPageBreak/>
        <w:t>One respondent commented:</w:t>
      </w:r>
    </w:p>
    <w:p w14:paraId="4468F6AD" w14:textId="4660AC18" w:rsidR="00353496" w:rsidRPr="00EA4DAA" w:rsidRDefault="00535AFB" w:rsidP="00216AB8">
      <w:pPr>
        <w:pStyle w:val="AHPRAbody"/>
        <w:outlineLvl w:val="0"/>
        <w:rPr>
          <w:highlight w:val="yellow"/>
          <w:vertAlign w:val="superscript"/>
        </w:rPr>
      </w:pPr>
      <w:r>
        <w:rPr>
          <w:rFonts w:asciiTheme="minorHAnsi" w:hAnsiTheme="minorHAnsi" w:cstheme="minorHAnsi"/>
          <w:i/>
          <w:iCs/>
        </w:rPr>
        <w:br/>
      </w:r>
      <w:r w:rsidR="00B6508B">
        <w:rPr>
          <w:rFonts w:eastAsia="Times New Roman"/>
          <w:noProof/>
          <w:szCs w:val="20"/>
          <w:lang w:eastAsia="en-AU"/>
        </w:rPr>
        <mc:AlternateContent>
          <mc:Choice Requires="wps">
            <w:drawing>
              <wp:anchor distT="0" distB="0" distL="114300" distR="114300" simplePos="0" relativeHeight="251658243" behindDoc="0" locked="0" layoutInCell="1" allowOverlap="1" wp14:anchorId="269916B5" wp14:editId="0D74102E">
                <wp:simplePos x="0" y="0"/>
                <wp:positionH relativeFrom="column">
                  <wp:posOffset>0</wp:posOffset>
                </wp:positionH>
                <wp:positionV relativeFrom="paragraph">
                  <wp:posOffset>0</wp:posOffset>
                </wp:positionV>
                <wp:extent cx="1828800" cy="1828800"/>
                <wp:effectExtent l="0" t="0" r="21590" b="1778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10782E60" w14:textId="6AFFC9C2" w:rsidR="00717F43" w:rsidRPr="00F842D7" w:rsidRDefault="00717F43" w:rsidP="00651293">
                            <w:pPr>
                              <w:pStyle w:val="AHPRABody1"/>
                            </w:pPr>
                            <w:r w:rsidRPr="00651293">
                              <w:t xml:space="preserve">“The GP shortage has created a financial monopoly where bulk-billing rates have dropped significantly. People therefore cannot afford to go to a GP and present to ED, which creates an onward </w:t>
                            </w:r>
                            <w:r w:rsidRPr="00A162E6">
                              <w:t>spiral”.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9916B5" id="Text Box 27" o:spid="_x0000_s1028" type="#_x0000_t202" style="position:absolute;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" fillcolor="#eeece1 [3214]" strokeweight=".5pt">
                <v:textbox style="mso-fit-shape-to-text:t">
                  <w:txbxContent>
                    <w:p w14:paraId="10782E60" w14:textId="6AFFC9C2" w:rsidR="00717F43" w:rsidRPr="00F842D7" w:rsidRDefault="00717F43" w:rsidP="00651293">
                      <w:pPr>
                        <w:pStyle w:val="AHPRABody1"/>
                      </w:pPr>
                      <w:r w:rsidRPr="00651293">
                        <w:t xml:space="preserve">“The GP shortage has created a financial monopoly where bulk-billing rates have dropped significantly. People therefore cannot afford to go to a GP and present to ED, which creates an onward </w:t>
                      </w:r>
                      <w:r w:rsidRPr="00A162E6">
                        <w:t>spiral”.</w:t>
                      </w:r>
                    </w:p>
                  </w:txbxContent>
                </v:textbox>
                <w10:wrap type="square"/>
              </v:shape>
            </w:pict>
          </mc:Fallback>
        </mc:AlternateContent>
      </w:r>
      <w:r w:rsidR="00353496">
        <w:t xml:space="preserve">This </w:t>
      </w:r>
      <w:r w:rsidR="002A7035">
        <w:t xml:space="preserve">anecdote </w:t>
      </w:r>
      <w:r w:rsidR="00353496">
        <w:t xml:space="preserve">may support the 6.9% increase in presentations to emergency departments </w:t>
      </w:r>
      <w:r w:rsidR="00953696">
        <w:t xml:space="preserve">during </w:t>
      </w:r>
      <w:r w:rsidR="00353496">
        <w:t xml:space="preserve">2020-2021 despite restrictions to healthcare during </w:t>
      </w:r>
      <w:r w:rsidR="00953696">
        <w:t xml:space="preserve">the </w:t>
      </w:r>
      <w:r w:rsidR="00353496">
        <w:t>COVID</w:t>
      </w:r>
      <w:r w:rsidR="00953696">
        <w:t>-19</w:t>
      </w:r>
      <w:r w:rsidR="00353496">
        <w:t xml:space="preserve"> </w:t>
      </w:r>
      <w:r w:rsidR="00953696">
        <w:t>pandemic</w:t>
      </w:r>
      <w:r w:rsidR="00960C01">
        <w:t>.</w:t>
      </w:r>
      <w:r w:rsidR="350C2E7B">
        <w:t xml:space="preserve"> </w:t>
      </w:r>
      <w:r w:rsidR="00960C01">
        <w:rPr>
          <w:vertAlign w:val="superscript"/>
        </w:rPr>
        <w:t>97</w:t>
      </w:r>
      <w:r w:rsidR="00F77267">
        <w:t>.</w:t>
      </w:r>
      <w:r w:rsidR="00953696">
        <w:t xml:space="preserve"> </w:t>
      </w:r>
      <w:r w:rsidR="00F77267">
        <w:t>There were also</w:t>
      </w:r>
      <w:r w:rsidR="00353496">
        <w:t xml:space="preserve"> steady increases </w:t>
      </w:r>
      <w:r w:rsidR="00F77267">
        <w:t>dur</w:t>
      </w:r>
      <w:r w:rsidR="005512E1">
        <w:t>ing</w:t>
      </w:r>
      <w:r w:rsidR="00F77267">
        <w:t xml:space="preserve"> </w:t>
      </w:r>
      <w:r w:rsidR="00353496">
        <w:t>2021-2022 demonstrating increased rates of potentially preventable hospital presentations in disadvantaged populations such as people living in low socioeconomic areas, those living in areas outside major cities, and among Indigenous Australians</w:t>
      </w:r>
      <w:r w:rsidR="00694F62">
        <w:t>.</w:t>
      </w:r>
      <w:r w:rsidR="4A63BC08">
        <w:t xml:space="preserve"> </w:t>
      </w:r>
      <w:r w:rsidR="00056149">
        <w:rPr>
          <w:vertAlign w:val="superscript"/>
        </w:rPr>
        <w:t>98,99</w:t>
      </w:r>
      <w:r w:rsidR="00353496">
        <w:t xml:space="preserve"> This was also supported by </w:t>
      </w:r>
      <w:r w:rsidR="00FA1851">
        <w:t>patient data</w:t>
      </w:r>
      <w:r w:rsidR="00E04919">
        <w:t>,</w:t>
      </w:r>
      <w:r w:rsidR="00FA1851">
        <w:t xml:space="preserve"> </w:t>
      </w:r>
      <w:r w:rsidR="002B01AA">
        <w:t>with the</w:t>
      </w:r>
      <w:r w:rsidR="00353496">
        <w:t xml:space="preserve"> most commonly cited reasons for not seeing a GP when they felt they needed to, regardless of hospitalisation status, was due to not being able to get an appointment when needed</w:t>
      </w:r>
      <w:r w:rsidR="002B01AA">
        <w:t>,</w:t>
      </w:r>
      <w:r w:rsidR="00353496">
        <w:t xml:space="preserve"> and also cost. </w:t>
      </w:r>
      <w:r w:rsidR="00056149">
        <w:rPr>
          <w:vertAlign w:val="superscript"/>
        </w:rPr>
        <w:t>100</w:t>
      </w:r>
    </w:p>
    <w:p w14:paraId="09CC18A0" w14:textId="619D140A" w:rsidR="00353496" w:rsidRPr="00BA0698" w:rsidRDefault="00353496" w:rsidP="00216AB8">
      <w:pPr>
        <w:pStyle w:val="AHPRAbody"/>
        <w:outlineLvl w:val="0"/>
      </w:pPr>
      <w:r>
        <w:t>Fragmented care was also cited as a problem</w:t>
      </w:r>
      <w:r w:rsidR="00D16E18">
        <w:t xml:space="preserve"> by respondents</w:t>
      </w:r>
      <w:r>
        <w:t>:</w:t>
      </w:r>
    </w:p>
    <w:p w14:paraId="05999FFB" w14:textId="59FA1B8D" w:rsidR="00353496" w:rsidRPr="00B11CB2" w:rsidRDefault="00535AFB" w:rsidP="00216AB8">
      <w:pPr>
        <w:pStyle w:val="AHPRAbody"/>
        <w:outlineLvl w:val="0"/>
      </w:pPr>
      <w:r>
        <w:br/>
      </w:r>
      <w:r>
        <w:rPr>
          <w:rFonts w:eastAsia="Times New Roman"/>
          <w:noProof/>
          <w:szCs w:val="20"/>
          <w:lang w:eastAsia="en-AU"/>
        </w:rPr>
        <mc:AlternateContent>
          <mc:Choice Requires="wps">
            <w:drawing>
              <wp:anchor distT="0" distB="0" distL="114300" distR="114300" simplePos="0" relativeHeight="251658244" behindDoc="0" locked="0" layoutInCell="1" allowOverlap="1" wp14:anchorId="2A415626" wp14:editId="371838AF">
                <wp:simplePos x="0" y="0"/>
                <wp:positionH relativeFrom="column">
                  <wp:posOffset>0</wp:posOffset>
                </wp:positionH>
                <wp:positionV relativeFrom="paragraph">
                  <wp:posOffset>0</wp:posOffset>
                </wp:positionV>
                <wp:extent cx="1828800" cy="1828800"/>
                <wp:effectExtent l="0" t="0" r="21590" b="1651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6EC18E25" w14:textId="77777777" w:rsidR="00717F43" w:rsidRPr="00915159" w:rsidRDefault="00717F43" w:rsidP="00717F43">
                            <w:pPr>
                              <w:pStyle w:val="AHPRABody1"/>
                            </w:pPr>
                            <w:r w:rsidRPr="00915159">
                              <w:t>“In some case where people receive community care/visits from hospital staff (generally nurses or midwives) they are then required to go to the hospital to get a prescription or pick up medication. A prescription issued by the person visiting would enable them to use local services”.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415626" id="Text Box 28" o:spid="_x0000_s1029"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BV69WvMwIAAIIEAAAOAAAAAAAAAAAAAAAAAC4CAABk&#10;cnMvZTJvRG9jLnhtbFBLAQItABQABgAIAAAAIQA0H0KE2QAAAAUBAAAPAAAAAAAAAAAAAAAAAI0E&#10;AABkcnMvZG93bnJldi54bWxQSwUGAAAAAAQABADzAAAAkwUAAAAA&#10;" fillcolor="#eeece1 [3214]" strokeweight=".5pt">
                <v:textbox style="mso-fit-shape-to-text:t">
                  <w:txbxContent>
                    <w:p w14:paraId="6EC18E25" w14:textId="77777777" w:rsidR="00717F43" w:rsidRPr="00915159" w:rsidRDefault="00717F43" w:rsidP="00717F43">
                      <w:pPr>
                        <w:pStyle w:val="AHPRABody1"/>
                      </w:pPr>
                      <w:r w:rsidRPr="00915159">
                        <w:t>“In some case where people receive community care/visits from hospital staff (generally nurses or midwives) they are then required to go to the hospital to get a prescription or pick up medication. A prescription issued by the person visiting would enable them to use local services”.</w:t>
                      </w:r>
                    </w:p>
                  </w:txbxContent>
                </v:textbox>
                <w10:wrap type="square"/>
              </v:shape>
            </w:pict>
          </mc:Fallback>
        </mc:AlternateContent>
      </w:r>
      <w:r w:rsidR="2B5EF864" w:rsidRPr="00B11CB2">
        <w:t xml:space="preserve">Respondents identified mental health and diabetes as areas that could greatly benefit from the likely improved access to care with the introduction of designated RN prescribing </w:t>
      </w:r>
      <w:r w:rsidR="00353496" w:rsidRPr="00B11CB2">
        <w:t>as well as those patients seeking fertility treatment which was one group of patients and staff overlooked in the initial C</w:t>
      </w:r>
      <w:r w:rsidR="00B11CB2" w:rsidRPr="00B11CB2">
        <w:t>-</w:t>
      </w:r>
      <w:r w:rsidR="00353496" w:rsidRPr="00B11CB2">
        <w:t>RIS:</w:t>
      </w:r>
    </w:p>
    <w:p w14:paraId="50B7A897" w14:textId="7D956296" w:rsidR="00353496" w:rsidRPr="006F4838" w:rsidRDefault="00353496" w:rsidP="422F38A3">
      <w:pPr>
        <w:pStyle w:val="AHPRABody1"/>
        <w:spacing w:after="200"/>
        <w:outlineLvl w:val="0"/>
        <w:rPr>
          <w:rFonts w:eastAsia="Arial"/>
        </w:rPr>
      </w:pPr>
      <w:r w:rsidRPr="422F38A3">
        <w:rPr>
          <w:rFonts w:eastAsia="Arial"/>
        </w:rPr>
        <w:t xml:space="preserve">These </w:t>
      </w:r>
      <w:r w:rsidR="0099431A" w:rsidRPr="422F38A3">
        <w:rPr>
          <w:rFonts w:eastAsia="Arial"/>
        </w:rPr>
        <w:t>responses</w:t>
      </w:r>
      <w:r w:rsidR="00392CA3" w:rsidRPr="422F38A3">
        <w:rPr>
          <w:rFonts w:eastAsia="Arial"/>
        </w:rPr>
        <w:t xml:space="preserve"> to the consultation</w:t>
      </w:r>
      <w:r w:rsidRPr="422F38A3">
        <w:rPr>
          <w:rFonts w:eastAsia="Arial"/>
        </w:rPr>
        <w:t xml:space="preserve"> are not unlike the journeys of the patients described by RNs which included the patient’s inability to access care and the inability of RNs to work to top of scope and provide a complete episode of care when often they are often already working through the full medication management cycles in areas where they have long held prescribing responsibilities. </w:t>
      </w:r>
      <w:r w:rsidR="00383EE6" w:rsidRPr="422F38A3">
        <w:rPr>
          <w:rFonts w:eastAsia="Arial"/>
          <w:vertAlign w:val="superscript"/>
        </w:rPr>
        <w:t>96</w:t>
      </w:r>
      <w:r w:rsidRPr="422F38A3">
        <w:rPr>
          <w:rFonts w:eastAsia="Arial"/>
        </w:rPr>
        <w:t xml:space="preserve"> It is also important to note that chronic conditions are a significant health issue and a leading cause of death in Australia. The Australian Health system spent an estimated $3.1 billion in diabetes between 2019-2020 and between 2017-2019 diabetes complications were one of the leading causes of hospitalisations in Aboriginal People which could have been treated in a non-hospital setting through timely and effective care and </w:t>
      </w:r>
      <w:r w:rsidRPr="422F38A3">
        <w:rPr>
          <w:rFonts w:eastAsia="Arial"/>
        </w:rPr>
        <w:lastRenderedPageBreak/>
        <w:t xml:space="preserve">management </w:t>
      </w:r>
      <w:r w:rsidR="0075762B" w:rsidRPr="422F38A3">
        <w:rPr>
          <w:rFonts w:eastAsia="Arial"/>
          <w:vertAlign w:val="superscript"/>
        </w:rPr>
        <w:t>48,99,101</w:t>
      </w:r>
      <w:r w:rsidRPr="422F38A3">
        <w:rPr>
          <w:rFonts w:eastAsia="Arial"/>
        </w:rPr>
        <w:t xml:space="preserve"> with designated RN prescribers involved in collaborative health management and treatment plans.</w:t>
      </w:r>
      <w:r w:rsidR="006B5C84">
        <w:rPr>
          <w:noProof/>
        </w:rPr>
        <mc:AlternateContent>
          <mc:Choice Requires="wps">
            <w:drawing>
              <wp:anchor distT="0" distB="0" distL="114300" distR="114300" simplePos="0" relativeHeight="251658252" behindDoc="0" locked="0" layoutInCell="1" allowOverlap="1" wp14:anchorId="18B13B16" wp14:editId="256C3C67">
                <wp:simplePos x="0" y="0"/>
                <wp:positionH relativeFrom="column">
                  <wp:posOffset>0</wp:posOffset>
                </wp:positionH>
                <wp:positionV relativeFrom="paragraph">
                  <wp:posOffset>0</wp:posOffset>
                </wp:positionV>
                <wp:extent cx="1828800" cy="1828800"/>
                <wp:effectExtent l="0" t="0" r="21590" b="23495"/>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3C507B61" w14:textId="6D9B70B0" w:rsidR="00717F43" w:rsidRPr="009E4654" w:rsidRDefault="00717F43" w:rsidP="00717F43">
                            <w:pPr>
                              <w:pStyle w:val="AHPRABody1"/>
                            </w:pPr>
                            <w:r w:rsidRPr="009E4654">
                              <w:t>“From a diabetes educator perspective, people living in rural or remote communities often do not have MO access but frequently have RN access. The current diabetes framework is to teach people to self-manage their diabetes. There is no scope to commence a person on insulin or oral medications when indicated. Pathology results may indicate the need to cease a medication such as Metformin as the continuation could cause adverse outcomes/complications. The longer the person has BGL readings out of target range the increased risk of complications associated with diabetes. e.g. nephropathy, retinopathy, neuropathy. Quality of life is impacted, cost to health service increased resulting in the need for amputations, or dialysis. Diabetes is the leading cause of blindness in Australian adults. The leading disease resulting in dialysis is poorly controlled diabetes. This may not be provided in remote areas so people have to move to larger centres fragmenting families, increasing stress and isolation, different cultural expectations. These are all preventable with timely intervention. Credentialled Diabetic Educator (CDE) RNs have the authority to commence people on continuous glucose monitoring (CGM) but not medications”.</w:t>
                            </w:r>
                            <w:r>
                              <w:br/>
                            </w:r>
                          </w:p>
                          <w:p w14:paraId="769A002B" w14:textId="1FE7188D" w:rsidR="00717F43" w:rsidRPr="009E4654" w:rsidRDefault="00717F43" w:rsidP="00717F43">
                            <w:pPr>
                              <w:pStyle w:val="AHPRABody1"/>
                            </w:pPr>
                            <w:r w:rsidRPr="009E4654">
                              <w:t>“I respond to incident reports for rural/remote areas - once of the effects of reduced access impacts on mental health clients who require clozapine. This medication has to be carefully managed, and if it is stopped for more than 48 hours, it must be re-titrated, resuming it is at the previous dose may cause serious adverse events including cardiac arrest. I’ve had several reports of MH consumers being unable to access a GP for the required routine review for weeks. Additionally, a COVID diagnosis also limits their ability to access their GP”.</w:t>
                            </w:r>
                            <w:r>
                              <w:br/>
                            </w:r>
                          </w:p>
                          <w:p w14:paraId="0D0559DA" w14:textId="16755320" w:rsidR="00717F43" w:rsidRPr="009E4654" w:rsidRDefault="00717F43" w:rsidP="00717F43">
                            <w:pPr>
                              <w:pStyle w:val="AHPRABody1"/>
                            </w:pPr>
                            <w:r w:rsidRPr="009E4654">
                              <w:t>“I work in the fertility treatment and find that patients anxiety levels are regularly exacerbated by being unable to access their specialist to gain medications that require top ups for ongoing treatment. This creates further difficulties in an already stressful journey. To be able to utilise endorsed RNs in this setting would be a game changer for patient care”.</w:t>
                            </w:r>
                            <w:r>
                              <w:br/>
                            </w:r>
                          </w:p>
                          <w:p w14:paraId="2154A6C9" w14:textId="77777777" w:rsidR="00717F43" w:rsidRPr="009E4654" w:rsidRDefault="00717F43" w:rsidP="00717F43">
                            <w:pPr>
                              <w:pStyle w:val="AHPRABody1"/>
                            </w:pPr>
                            <w:r w:rsidRPr="009E4654">
                              <w:t>“In rural aged care facilities, the GP may only visit monthly. Any changes that need to be made to the prescription because for example the GP has made a prescribing error - or the electronic prescribing system limits the ability of nurses to amend prescription (perhaps because a transdermal patch prescribed every 7 days fell off at day 4) currently cause a delay in appropriate medication management”.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B13B16" id="Text Box 29" o:spid="_x0000_s1030" type="#_x0000_t202" style="position:absolute;margin-left:0;margin-top:0;width:2in;height:2in;z-index:2516582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BjnIHPMwIAAIIEAAAOAAAAAAAAAAAAAAAAAC4CAABk&#10;cnMvZTJvRG9jLnhtbFBLAQItABQABgAIAAAAIQA0H0KE2QAAAAUBAAAPAAAAAAAAAAAAAAAAAI0E&#10;AABkcnMvZG93bnJldi54bWxQSwUGAAAAAAQABADzAAAAkwUAAAAA&#10;" fillcolor="#eeece1 [3214]" strokeweight=".5pt">
                <v:textbox style="mso-fit-shape-to-text:t">
                  <w:txbxContent>
                    <w:p w14:paraId="3C507B61" w14:textId="6D9B70B0" w:rsidR="00717F43" w:rsidRPr="009E4654" w:rsidRDefault="00717F43" w:rsidP="00717F43">
                      <w:pPr>
                        <w:pStyle w:val="AHPRABody1"/>
                      </w:pPr>
                      <w:r w:rsidRPr="009E4654">
                        <w:t xml:space="preserve">“From a diabetes educator perspective, people living in rural or remote communities often do not have MO access but frequently have RN access. The current diabetes framework is to teach people to self-manage their diabetes. There is no scope to commence a person on insulin or oral medications when indicated. Pathology results may indicate the need to cease a medication such as Metformin as the continuation could cause adverse outcomes/complications. The longer the person has BGL readings out of target range the increased risk of complications associated with diabetes. e.g. nephropathy, retinopathy, neuropathy. Quality of life is impacted, cost to health service increased resulting in the need for amputations, or dialysis. Diabetes is the leading cause of blindness in Australian adults. The leading disease resulting in dialysis is poorly controlled diabetes. This may not be provided in remote </w:t>
                      </w:r>
                      <w:proofErr w:type="gramStart"/>
                      <w:r w:rsidRPr="009E4654">
                        <w:t>areas</w:t>
                      </w:r>
                      <w:proofErr w:type="gramEnd"/>
                      <w:r w:rsidRPr="009E4654">
                        <w:t xml:space="preserve"> so people </w:t>
                      </w:r>
                      <w:proofErr w:type="gramStart"/>
                      <w:r w:rsidRPr="009E4654">
                        <w:t>have to</w:t>
                      </w:r>
                      <w:proofErr w:type="gramEnd"/>
                      <w:r w:rsidRPr="009E4654">
                        <w:t xml:space="preserve"> move to larger centres fragmenting families, increasing stress and isolation, different cultural expectations. These are all preventable with timely intervention. Credentialled Diabetic Educator (CDE) RNs have the authority to commence people on continuous glucose monitoring (CGM) but not medications”.</w:t>
                      </w:r>
                      <w:r>
                        <w:br/>
                      </w:r>
                    </w:p>
                    <w:p w14:paraId="769A002B" w14:textId="1FE7188D" w:rsidR="00717F43" w:rsidRPr="009E4654" w:rsidRDefault="00717F43" w:rsidP="00717F43">
                      <w:pPr>
                        <w:pStyle w:val="AHPRABody1"/>
                      </w:pPr>
                      <w:r w:rsidRPr="009E4654">
                        <w:t xml:space="preserve">“I respond to incident reports for rural/remote areas - once of the effects of reduced access impacts on mental health clients who require clozapine. This medication </w:t>
                      </w:r>
                      <w:proofErr w:type="gramStart"/>
                      <w:r w:rsidRPr="009E4654">
                        <w:t>has to</w:t>
                      </w:r>
                      <w:proofErr w:type="gramEnd"/>
                      <w:r w:rsidRPr="009E4654">
                        <w:t xml:space="preserve"> be carefully managed, and if it is stopped for more than 48 hours, it must be re-titrated, resuming it is at the previous dose may cause serious adverse events including cardiac arrest. I’ve had several reports of MH consumers being unable to access a GP for the required routine review for weeks. Additionally, a COVID diagnosis also limits their ability to access their GP”.</w:t>
                      </w:r>
                      <w:r>
                        <w:br/>
                      </w:r>
                    </w:p>
                    <w:p w14:paraId="0D0559DA" w14:textId="16755320" w:rsidR="00717F43" w:rsidRPr="009E4654" w:rsidRDefault="00717F43" w:rsidP="00717F43">
                      <w:pPr>
                        <w:pStyle w:val="AHPRABody1"/>
                      </w:pPr>
                      <w:r w:rsidRPr="009E4654">
                        <w:t>“I work in the fertility treatment and find that patients anxiety levels are regularly exacerbated by being unable to access their specialist to gain medications that require top ups for ongoing treatment. This creates further difficulties in an already stressful journey. To be able to utilise endorsed RNs in this setting would be a game changer for patient care”.</w:t>
                      </w:r>
                      <w:r>
                        <w:br/>
                      </w:r>
                    </w:p>
                    <w:p w14:paraId="2154A6C9" w14:textId="77777777" w:rsidR="00717F43" w:rsidRPr="009E4654" w:rsidRDefault="00717F43" w:rsidP="00717F43">
                      <w:pPr>
                        <w:pStyle w:val="AHPRABody1"/>
                      </w:pPr>
                      <w:r w:rsidRPr="009E4654">
                        <w:t>“In rural aged care facilities, the GP may only visit monthly. Any changes that need to be made to the prescription because for example the GP has made a prescribing error - or the electronic prescribing system limits the ability of nurses to amend prescription (perhaps because a transdermal patch prescribed every 7 days fell off at day 4) currently cause a delay in appropriate medication management”.</w:t>
                      </w:r>
                    </w:p>
                  </w:txbxContent>
                </v:textbox>
                <w10:wrap type="square"/>
              </v:shape>
            </w:pict>
          </mc:Fallback>
        </mc:AlternateContent>
      </w:r>
    </w:p>
    <w:p w14:paraId="30CB9341" w14:textId="4CB1ACFC" w:rsidR="00353496" w:rsidRDefault="009D756E" w:rsidP="00216AB8">
      <w:pPr>
        <w:pStyle w:val="AHPRASubheadinglevel2"/>
        <w:outlineLvl w:val="0"/>
      </w:pPr>
      <w:bookmarkStart w:id="82" w:name="_Toc164692738"/>
      <w:r>
        <w:t xml:space="preserve">Qualitative findings: </w:t>
      </w:r>
      <w:r w:rsidR="00353496">
        <w:t>Additional problems that respondents identified were not in the C</w:t>
      </w:r>
      <w:r w:rsidR="00702C8C">
        <w:t>-</w:t>
      </w:r>
      <w:r w:rsidR="00353496">
        <w:t>RIS</w:t>
      </w:r>
      <w:bookmarkEnd w:id="82"/>
    </w:p>
    <w:p w14:paraId="018392CF" w14:textId="3451B1A8" w:rsidR="7F15C44A" w:rsidRDefault="009B5BAC" w:rsidP="422F38A3">
      <w:pPr>
        <w:pStyle w:val="AHPRABody1"/>
        <w:spacing w:after="200"/>
        <w:outlineLvl w:val="0"/>
        <w:rPr>
          <w:rFonts w:eastAsia="Arial"/>
        </w:rPr>
      </w:pPr>
      <w:r>
        <w:br/>
      </w:r>
      <w:r>
        <w:rPr>
          <w:noProof/>
        </w:rPr>
        <mc:AlternateContent>
          <mc:Choice Requires="wps">
            <w:drawing>
              <wp:anchor distT="0" distB="0" distL="114300" distR="114300" simplePos="0" relativeHeight="251658245" behindDoc="0" locked="0" layoutInCell="1" allowOverlap="1" wp14:anchorId="0321543E" wp14:editId="3D572B0B">
                <wp:simplePos x="0" y="0"/>
                <wp:positionH relativeFrom="column">
                  <wp:posOffset>0</wp:posOffset>
                </wp:positionH>
                <wp:positionV relativeFrom="paragraph">
                  <wp:posOffset>0</wp:posOffset>
                </wp:positionV>
                <wp:extent cx="1828800" cy="1828800"/>
                <wp:effectExtent l="0" t="0" r="21590" b="1016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4AAC67BC" w14:textId="77777777" w:rsidR="00717F43" w:rsidRPr="00BB08A0" w:rsidRDefault="00717F43" w:rsidP="00717F43">
                            <w:pPr>
                              <w:pStyle w:val="AHPRABody1"/>
                            </w:pPr>
                            <w:r w:rsidRPr="00BB08A0">
                              <w:t>“The requirement for nurses to have the equivalent of three years’ full-time post initial registration clinical experience (5,000 hours) within the past six years, from the date when the complete application seeking endorsement as a designated RN prescriber is received by the NMBA would exclude a lot of senior and capable nurses that have moved away from clinical work seeking new challenges.  This model would not encourage those senior nurses to return to the clinical workforce.  The APNA workforce survey found that most nurses in general practice have at least 20 years of experience as a registered nurse and 11 years of this completed in primary care however many may not be working full time and may have had time away from the workforce for pregnancy or other carer duties”.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21543E" id="Text Box 30" o:spid="_x0000_s1031" type="#_x0000_t202" style="position:absolute;margin-left:0;margin-top:0;width:2in;height:2in;z-index:2516582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BfOWZTMwIAAIIEAAAOAAAAAAAAAAAAAAAAAC4CAABk&#10;cnMvZTJvRG9jLnhtbFBLAQItABQABgAIAAAAIQA0H0KE2QAAAAUBAAAPAAAAAAAAAAAAAAAAAI0E&#10;AABkcnMvZG93bnJldi54bWxQSwUGAAAAAAQABADzAAAAkwUAAAAA&#10;" fillcolor="#eeece1 [3214]" strokeweight=".5pt">
                <v:textbox style="mso-fit-shape-to-text:t">
                  <w:txbxContent>
                    <w:p w14:paraId="4AAC67BC" w14:textId="77777777" w:rsidR="00717F43" w:rsidRPr="00BB08A0" w:rsidRDefault="00717F43" w:rsidP="00717F43">
                      <w:pPr>
                        <w:pStyle w:val="AHPRABody1"/>
                      </w:pPr>
                      <w:r w:rsidRPr="00BB08A0">
                        <w:t>“The requirement for nurses to have the equivalent of three years’ full-time post initial registration clinical experience (5,000 hours) within the past six years, from the date when the complete application seeking endorsement as a designated RN prescriber is received by the NMBA would exclude a lot of senior and capable nurses that have moved away from clinical work seeking new challenges.  This model would not encourage those senior nurses to return to the clinical workforce.  The APNA workforce survey found that most nurses in general practice have at least 20 years of experience as a registered nurse and 11 years of this completed in primary care however many may not be working full time and may have had time away from the workforce for pregnancy or other carer duties”.</w:t>
                      </w:r>
                    </w:p>
                  </w:txbxContent>
                </v:textbox>
                <w10:wrap type="square"/>
              </v:shape>
            </w:pict>
          </mc:Fallback>
        </mc:AlternateContent>
      </w:r>
      <w:r w:rsidR="7F15C44A" w:rsidRPr="422F38A3">
        <w:rPr>
          <w:rFonts w:eastAsia="Arial"/>
        </w:rPr>
        <w:t>The NMBA set the above requirement to ensure that RNs seeking this endorsement have recent cl</w:t>
      </w:r>
      <w:r w:rsidR="16A685B1" w:rsidRPr="422F38A3">
        <w:rPr>
          <w:rFonts w:eastAsia="Arial"/>
        </w:rPr>
        <w:t>inical experience</w:t>
      </w:r>
      <w:r w:rsidR="06172030" w:rsidRPr="422F38A3">
        <w:rPr>
          <w:rFonts w:eastAsia="Arial"/>
        </w:rPr>
        <w:t xml:space="preserve">. This requirement aligns with the both the NMBA </w:t>
      </w:r>
      <w:r w:rsidR="00776026" w:rsidRPr="422F38A3">
        <w:rPr>
          <w:rFonts w:eastAsia="Arial"/>
          <w:i/>
          <w:iCs/>
        </w:rPr>
        <w:t>R</w:t>
      </w:r>
      <w:r w:rsidR="533E33E0" w:rsidRPr="422F38A3">
        <w:rPr>
          <w:rFonts w:eastAsia="Arial"/>
          <w:i/>
          <w:iCs/>
        </w:rPr>
        <w:t>egistration</w:t>
      </w:r>
      <w:r w:rsidR="3C2B9150" w:rsidRPr="422F38A3">
        <w:rPr>
          <w:rFonts w:eastAsia="Arial"/>
          <w:i/>
          <w:iCs/>
        </w:rPr>
        <w:t xml:space="preserve"> </w:t>
      </w:r>
      <w:r w:rsidR="2790143E" w:rsidRPr="422F38A3">
        <w:rPr>
          <w:rFonts w:eastAsia="Arial"/>
          <w:i/>
          <w:iCs/>
        </w:rPr>
        <w:t>standard: Endorsement</w:t>
      </w:r>
      <w:r w:rsidR="06172030" w:rsidRPr="422F38A3">
        <w:rPr>
          <w:rFonts w:eastAsia="Arial"/>
          <w:i/>
          <w:iCs/>
        </w:rPr>
        <w:t xml:space="preserve"> for scheduled me</w:t>
      </w:r>
      <w:r w:rsidR="0D4CDBC5" w:rsidRPr="422F38A3">
        <w:rPr>
          <w:rFonts w:eastAsia="Arial"/>
          <w:i/>
          <w:iCs/>
        </w:rPr>
        <w:t>dicines for midwives</w:t>
      </w:r>
      <w:r w:rsidR="0D4CDBC5" w:rsidRPr="422F38A3">
        <w:rPr>
          <w:rFonts w:eastAsia="Arial"/>
        </w:rPr>
        <w:t xml:space="preserve"> and the </w:t>
      </w:r>
      <w:r w:rsidR="00776026" w:rsidRPr="422F38A3">
        <w:rPr>
          <w:rFonts w:eastAsia="Arial"/>
          <w:i/>
          <w:iCs/>
        </w:rPr>
        <w:t>Registration standard: Endorsement as a n</w:t>
      </w:r>
      <w:r w:rsidR="613856DF" w:rsidRPr="422F38A3">
        <w:rPr>
          <w:rFonts w:eastAsia="Arial"/>
          <w:i/>
          <w:iCs/>
        </w:rPr>
        <w:t xml:space="preserve">urse </w:t>
      </w:r>
      <w:r w:rsidR="29DFD12C" w:rsidRPr="422F38A3">
        <w:rPr>
          <w:rFonts w:eastAsia="Arial"/>
          <w:i/>
          <w:iCs/>
        </w:rPr>
        <w:t>practitioner</w:t>
      </w:r>
      <w:r w:rsidR="00776026" w:rsidRPr="422F38A3">
        <w:rPr>
          <w:rFonts w:eastAsia="Arial"/>
        </w:rPr>
        <w:t>,</w:t>
      </w:r>
      <w:r w:rsidR="29DFD12C" w:rsidRPr="422F38A3">
        <w:rPr>
          <w:rFonts w:eastAsia="Arial"/>
        </w:rPr>
        <w:t xml:space="preserve"> </w:t>
      </w:r>
      <w:r w:rsidR="00B8EE10" w:rsidRPr="422F38A3">
        <w:rPr>
          <w:rFonts w:eastAsia="Arial"/>
        </w:rPr>
        <w:t>and in the view of the NMBA contributes to ensuring RNs who are seeking to prescribe scheduled medicines are safe and competent to practice.</w:t>
      </w:r>
    </w:p>
    <w:p w14:paraId="22FF2FBD" w14:textId="77777777" w:rsidR="00DB170D" w:rsidRDefault="00DB170D" w:rsidP="00216AB8">
      <w:pPr>
        <w:pStyle w:val="AHPRASubheadinglevel2"/>
        <w:outlineLvl w:val="0"/>
      </w:pPr>
    </w:p>
    <w:p w14:paraId="027033EF" w14:textId="77777777" w:rsidR="00DB170D" w:rsidRDefault="00DB170D" w:rsidP="00216AB8">
      <w:pPr>
        <w:pStyle w:val="AHPRASubheadinglevel2"/>
        <w:outlineLvl w:val="0"/>
      </w:pPr>
    </w:p>
    <w:p w14:paraId="791B5CA8" w14:textId="77777777" w:rsidR="00DB170D" w:rsidRDefault="00DB170D" w:rsidP="00216AB8">
      <w:pPr>
        <w:pStyle w:val="AHPRASubheadinglevel2"/>
        <w:outlineLvl w:val="0"/>
      </w:pPr>
    </w:p>
    <w:p w14:paraId="0F1DAF27" w14:textId="77777777" w:rsidR="00DB170D" w:rsidRDefault="00DB170D" w:rsidP="00216AB8">
      <w:pPr>
        <w:pStyle w:val="AHPRASubheadinglevel2"/>
        <w:outlineLvl w:val="0"/>
      </w:pPr>
    </w:p>
    <w:p w14:paraId="0AE5D30A" w14:textId="77777777" w:rsidR="00DB170D" w:rsidRDefault="00DB170D" w:rsidP="00216AB8">
      <w:pPr>
        <w:pStyle w:val="AHPRASubheadinglevel2"/>
        <w:outlineLvl w:val="0"/>
      </w:pPr>
    </w:p>
    <w:p w14:paraId="14B2FE79" w14:textId="00D51DD3" w:rsidR="00353496" w:rsidRPr="00945394" w:rsidRDefault="00353496" w:rsidP="00216AB8">
      <w:pPr>
        <w:pStyle w:val="AHPRASubheadinglevel2"/>
        <w:outlineLvl w:val="0"/>
      </w:pPr>
      <w:bookmarkStart w:id="83" w:name="_Toc164692739"/>
      <w:r w:rsidRPr="00945394">
        <w:lastRenderedPageBreak/>
        <w:t xml:space="preserve">Qualitative Findings </w:t>
      </w:r>
      <w:r w:rsidR="00D114AC">
        <w:t>–</w:t>
      </w:r>
      <w:r w:rsidRPr="00945394">
        <w:t xml:space="preserve"> Costs of Option 1: maintaining the status quo</w:t>
      </w:r>
      <w:bookmarkEnd w:id="83"/>
      <w:r w:rsidRPr="00945394">
        <w:t xml:space="preserve"> </w:t>
      </w:r>
    </w:p>
    <w:p w14:paraId="16D5F9EF" w14:textId="7FEAE31C" w:rsidR="009D756E" w:rsidRDefault="00353496" w:rsidP="00216AB8">
      <w:pPr>
        <w:pStyle w:val="AHPRAbody"/>
        <w:outlineLvl w:val="0"/>
      </w:pPr>
      <w:r>
        <w:t>P</w:t>
      </w:r>
      <w:r w:rsidRPr="00D259EB">
        <w:t>articipants responded</w:t>
      </w:r>
      <w:r>
        <w:t xml:space="preserve"> overwhelmingly</w:t>
      </w:r>
      <w:r w:rsidRPr="00D259EB">
        <w:t xml:space="preserve"> that </w:t>
      </w:r>
      <w:r>
        <w:t xml:space="preserve">there </w:t>
      </w:r>
      <w:r w:rsidRPr="00D259EB">
        <w:t xml:space="preserve">would be no benefit </w:t>
      </w:r>
      <w:r>
        <w:t xml:space="preserve">in </w:t>
      </w:r>
      <w:r w:rsidRPr="00D259EB">
        <w:t>maintain</w:t>
      </w:r>
      <w:r>
        <w:t>ing</w:t>
      </w:r>
      <w:r w:rsidRPr="00D259EB">
        <w:t xml:space="preserve"> the status quo</w:t>
      </w:r>
      <w:r>
        <w:t xml:space="preserve">: </w:t>
      </w:r>
    </w:p>
    <w:p w14:paraId="31D915E4" w14:textId="72936035" w:rsidR="00353496" w:rsidRDefault="00353496" w:rsidP="00216AB8">
      <w:pPr>
        <w:pStyle w:val="AHPRAbody"/>
        <w:outlineLvl w:val="0"/>
      </w:pPr>
      <w:r>
        <w:t xml:space="preserve">Excerpts </w:t>
      </w:r>
      <w:r w:rsidR="009D756E">
        <w:t>from the responses:</w:t>
      </w:r>
    </w:p>
    <w:p w14:paraId="1448AADD" w14:textId="05B0842E" w:rsidR="00353496" w:rsidRPr="00570D97" w:rsidRDefault="00D114AC" w:rsidP="00216AB8">
      <w:pPr>
        <w:pStyle w:val="AHPRAbody"/>
        <w:outlineLvl w:val="0"/>
      </w:pPr>
      <w:r>
        <w:rPr>
          <w:rFonts w:eastAsia="Times New Roman"/>
          <w:noProof/>
          <w:szCs w:val="20"/>
          <w:lang w:eastAsia="en-AU"/>
        </w:rPr>
        <mc:AlternateContent>
          <mc:Choice Requires="wps">
            <w:drawing>
              <wp:anchor distT="0" distB="0" distL="114300" distR="114300" simplePos="0" relativeHeight="251658246" behindDoc="0" locked="0" layoutInCell="1" allowOverlap="1" wp14:anchorId="450602CE" wp14:editId="03B1DC1D">
                <wp:simplePos x="0" y="0"/>
                <wp:positionH relativeFrom="column">
                  <wp:posOffset>0</wp:posOffset>
                </wp:positionH>
                <wp:positionV relativeFrom="paragraph">
                  <wp:posOffset>0</wp:posOffset>
                </wp:positionV>
                <wp:extent cx="1828800" cy="1828800"/>
                <wp:effectExtent l="0" t="0" r="21590" b="1016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2C7F5EA0" w14:textId="5B8E7F77" w:rsidR="00717F43" w:rsidRPr="006A7FC9" w:rsidRDefault="00717F43" w:rsidP="00717F43">
                            <w:pPr>
                              <w:pStyle w:val="AHPRABody1"/>
                            </w:pPr>
                            <w:r w:rsidRPr="006A7FC9">
                              <w:t>“There are no benefits in maintaining the status quo. The costs will result in primary care failing to attract nurse graduates. Over a third of primary care nurses plan to leave primary care in the next 2-5 years.  Failing to replace this workforce will result in further reductions in access to care.  Increasing the scope of practice of nurses in primary care would improve nurses’ morale and is likely to result in staff retention and would provide an exciting career pathway for graduate nurses.  Additionally, the GP workforce is shrinking, and medical students are not choosing general practice as a career pathway. Most practice advertisements for new GPs promote nurses as a benefit of working at that practice. Attracting nurses to primary care could also help in the recruitment and retention of GPs”.</w:t>
                            </w:r>
                          </w:p>
                          <w:p w14:paraId="2D5DF851" w14:textId="77777777" w:rsidR="00717F43" w:rsidRPr="006A7FC9" w:rsidRDefault="00717F43" w:rsidP="00717F43">
                            <w:pPr>
                              <w:pStyle w:val="AHPRABody1"/>
                            </w:pPr>
                            <w:r>
                              <w:br/>
                            </w:r>
                            <w:r w:rsidRPr="006A7FC9">
                              <w:t>“The current status quo is not sustainable and will continue to deplete quality care”.</w:t>
                            </w:r>
                          </w:p>
                          <w:p w14:paraId="090C0D40" w14:textId="77777777" w:rsidR="00717F43" w:rsidRPr="006A7FC9" w:rsidRDefault="00717F43" w:rsidP="00717F43">
                            <w:pPr>
                              <w:pStyle w:val="AHPRABody1"/>
                            </w:pPr>
                            <w:r>
                              <w:br/>
                            </w:r>
                            <w:r w:rsidRPr="006A7FC9">
                              <w:t>“I don't think maintaining the status quo is in the best interest of the Australian population health. It would limit the achievement of key strategic health plans and persist the current inequity in access to simple health care”.</w:t>
                            </w:r>
                          </w:p>
                          <w:p w14:paraId="2E651137" w14:textId="77777777" w:rsidR="00717F43" w:rsidRPr="006A7FC9" w:rsidRDefault="00717F43" w:rsidP="00717F43">
                            <w:pPr>
                              <w:pStyle w:val="AHPRABody1"/>
                            </w:pPr>
                            <w:r>
                              <w:br/>
                            </w:r>
                            <w:r w:rsidRPr="006A7FC9">
                              <w:t>“I fully agree that maintaining the status quo will not address the problems of access to health care across a range of populations. This will also not improve career prospects /job satisfaction for RNs and will potentially exacerbate workforce issues.   This will continue to increase the pressure on the GP workforce and increasingly interfere with the provision of comprehensive care for people with complex and chronic conditions”.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0602CE" id="Text Box 31" o:spid="_x0000_s1032" type="#_x0000_t202" style="position:absolute;margin-left:0;margin-top:0;width:2in;height:2in;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" fillcolor="#eeece1 [3214]" strokeweight=".5pt">
                <v:textbox style="mso-fit-shape-to-text:t">
                  <w:txbxContent>
                    <w:p w14:paraId="2C7F5EA0" w14:textId="5B8E7F77" w:rsidR="00717F43" w:rsidRPr="006A7FC9" w:rsidRDefault="00717F43" w:rsidP="00717F43">
                      <w:pPr>
                        <w:pStyle w:val="AHPRABody1"/>
                      </w:pPr>
                      <w:r w:rsidRPr="006A7FC9">
                        <w:t>“There are no benefits in maintaining the status quo. The costs will result in primary care failing to attract nurse graduates. Over a third of primary care nurses plan to leave primary care in the next 2-5 years.  Failing to replace this workforce will result in further reductions in access to care.  Increasing the scope of practice of nurses in primary care would improve nurses’ morale and is likely to result in staff retention and would provide an exciting career pathway for graduate nurses.  Additionally, the GP workforce is shrinking, and medical students are not choosing general practice as a career pathway. Most practice advertisements for new GPs promote nurses as a benefit of working at that practice. Attracting nurses to primary care could also help in the recruitment and retention of GPs”.</w:t>
                      </w:r>
                    </w:p>
                    <w:p w14:paraId="2D5DF851" w14:textId="77777777" w:rsidR="00717F43" w:rsidRPr="006A7FC9" w:rsidRDefault="00717F43" w:rsidP="00717F43">
                      <w:pPr>
                        <w:pStyle w:val="AHPRABody1"/>
                      </w:pPr>
                      <w:r>
                        <w:br/>
                      </w:r>
                      <w:r w:rsidRPr="006A7FC9">
                        <w:t>“The current status quo is not sustainable and will continue to deplete quality care”.</w:t>
                      </w:r>
                    </w:p>
                    <w:p w14:paraId="090C0D40" w14:textId="77777777" w:rsidR="00717F43" w:rsidRPr="006A7FC9" w:rsidRDefault="00717F43" w:rsidP="00717F43">
                      <w:pPr>
                        <w:pStyle w:val="AHPRABody1"/>
                      </w:pPr>
                      <w:r>
                        <w:br/>
                      </w:r>
                      <w:r w:rsidRPr="006A7FC9">
                        <w:t>“I don't think maintaining the status quo is in the best interest of the Australian population health. It would limit the achievement of key strategic health plans and persist the current inequity in access to simple health care”.</w:t>
                      </w:r>
                    </w:p>
                    <w:p w14:paraId="2E651137" w14:textId="77777777" w:rsidR="00717F43" w:rsidRPr="006A7FC9" w:rsidRDefault="00717F43" w:rsidP="00717F43">
                      <w:pPr>
                        <w:pStyle w:val="AHPRABody1"/>
                      </w:pPr>
                      <w:r>
                        <w:br/>
                      </w:r>
                      <w:r w:rsidRPr="006A7FC9">
                        <w:t>“I fully agree that maintaining the status quo will not address the problems of access to health care across a range of populations. This will also not improve career prospects /job satisfaction for RNs and will potentially exacerbate workforce issues.   This will continue to increase the pressure on the GP workforce and increasingly interfere with the provision of comprehensive care for people with complex and chronic conditions”.</w:t>
                      </w:r>
                    </w:p>
                  </w:txbxContent>
                </v:textbox>
                <w10:wrap type="square"/>
              </v:shape>
            </w:pict>
          </mc:Fallback>
        </mc:AlternateContent>
      </w:r>
      <w:r>
        <w:br/>
      </w:r>
      <w:r w:rsidR="00353496" w:rsidRPr="00570D97">
        <w:t>Additionally,</w:t>
      </w:r>
      <w:r w:rsidR="00353496">
        <w:t xml:space="preserve"> respondents stated:</w:t>
      </w:r>
    </w:p>
    <w:p w14:paraId="2EDD831A" w14:textId="33F2AE56" w:rsidR="00353496" w:rsidRPr="00093B41" w:rsidRDefault="00317005" w:rsidP="00216AB8">
      <w:pPr>
        <w:pStyle w:val="AHPRAbody"/>
        <w:outlineLvl w:val="0"/>
      </w:pPr>
      <w:r>
        <w:br/>
      </w:r>
      <w:r>
        <w:rPr>
          <w:rFonts w:eastAsia="Times New Roman"/>
          <w:noProof/>
          <w:szCs w:val="20"/>
          <w:lang w:eastAsia="en-AU"/>
        </w:rPr>
        <mc:AlternateContent>
          <mc:Choice Requires="wps">
            <w:drawing>
              <wp:anchor distT="0" distB="0" distL="114300" distR="114300" simplePos="0" relativeHeight="251658247" behindDoc="0" locked="0" layoutInCell="1" allowOverlap="1" wp14:anchorId="33D9460B" wp14:editId="7FEB4710">
                <wp:simplePos x="0" y="0"/>
                <wp:positionH relativeFrom="column">
                  <wp:posOffset>0</wp:posOffset>
                </wp:positionH>
                <wp:positionV relativeFrom="paragraph">
                  <wp:posOffset>0</wp:posOffset>
                </wp:positionV>
                <wp:extent cx="1828800" cy="1828800"/>
                <wp:effectExtent l="0" t="0" r="21590" b="2286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7B799823" w14:textId="77777777" w:rsidR="00717F43" w:rsidRPr="004C43A8" w:rsidRDefault="00717F43" w:rsidP="00717F43">
                            <w:pPr>
                              <w:pStyle w:val="AHPRABody1"/>
                            </w:pPr>
                            <w:r w:rsidRPr="004C43A8">
                              <w:t>“Lack of equity and access for Australians will remain if we do not utilise the largest healthcare workforce to work to full extent. Endorse and extend scope of practice so we can meet the demand for services from an ageing and complex population. The post code lottery will remain with status quo which means poorer outcomes for those people that cannot access services. This is too larger a cost”.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D9460B" id="Text Box 32" o:spid="_x0000_s1033" type="#_x0000_t202" style="position:absolute;margin-left:0;margin-top:0;width:2in;height:2in;z-index:25165824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BmddixMwIAAIIEAAAOAAAAAAAAAAAAAAAAAC4CAABk&#10;cnMvZTJvRG9jLnhtbFBLAQItABQABgAIAAAAIQA0H0KE2QAAAAUBAAAPAAAAAAAAAAAAAAAAAI0E&#10;AABkcnMvZG93bnJldi54bWxQSwUGAAAAAAQABADzAAAAkwUAAAAA&#10;" fillcolor="#eeece1 [3214]" strokeweight=".5pt">
                <v:textbox style="mso-fit-shape-to-text:t">
                  <w:txbxContent>
                    <w:p w14:paraId="7B799823" w14:textId="77777777" w:rsidR="00717F43" w:rsidRPr="004C43A8" w:rsidRDefault="00717F43" w:rsidP="00717F43">
                      <w:pPr>
                        <w:pStyle w:val="AHPRABody1"/>
                      </w:pPr>
                      <w:r w:rsidRPr="004C43A8">
                        <w:t>“Lack of equity and access for Australians will remain if we do not utilise the largest healthcare workforce to work to full extent. Endorse and extend scope of practice so we can meet the demand for services from an ageing and complex population. The post code lottery will remain with status quo which means poorer outcomes for those people that cannot access services. This is too larger a cost”.</w:t>
                      </w:r>
                    </w:p>
                  </w:txbxContent>
                </v:textbox>
                <w10:wrap type="square"/>
              </v:shape>
            </w:pict>
          </mc:Fallback>
        </mc:AlternateContent>
      </w:r>
      <w:r w:rsidR="00353496" w:rsidRPr="00093B41">
        <w:t>and there would be:</w:t>
      </w:r>
    </w:p>
    <w:p w14:paraId="02FB46DA" w14:textId="7B16FA81" w:rsidR="00353496" w:rsidRPr="00776026" w:rsidRDefault="00F47B7B" w:rsidP="00776026">
      <w:pPr>
        <w:pStyle w:val="AHPRAbody"/>
      </w:pPr>
      <w:r>
        <w:br/>
      </w:r>
      <w:r>
        <w:rPr>
          <w:rFonts w:eastAsia="Times New Roman"/>
          <w:noProof/>
          <w:szCs w:val="20"/>
          <w:lang w:eastAsia="en-AU"/>
        </w:rPr>
        <mc:AlternateContent>
          <mc:Choice Requires="wps">
            <w:drawing>
              <wp:anchor distT="0" distB="0" distL="114300" distR="114300" simplePos="0" relativeHeight="251658248" behindDoc="0" locked="0" layoutInCell="1" allowOverlap="1" wp14:anchorId="66D22C99" wp14:editId="34D2F578">
                <wp:simplePos x="0" y="0"/>
                <wp:positionH relativeFrom="column">
                  <wp:posOffset>0</wp:posOffset>
                </wp:positionH>
                <wp:positionV relativeFrom="paragraph">
                  <wp:posOffset>0</wp:posOffset>
                </wp:positionV>
                <wp:extent cx="1828800" cy="1828800"/>
                <wp:effectExtent l="0" t="0" r="21590" b="1651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31EEEE0E" w14:textId="77777777" w:rsidR="00717F43" w:rsidRPr="007F71ED" w:rsidRDefault="00717F43" w:rsidP="00717F43">
                            <w:pPr>
                              <w:pStyle w:val="AHPRABody1"/>
                            </w:pPr>
                            <w:r w:rsidRPr="00472393">
                              <w:t xml:space="preserve">“RN dissatisfaction RE: expanded scope of practice.  RNs should be able to prescribe Over the counter OTC (schedule 2&amp;3) medicines without restriction now.  This already forms part of undergrad nurse training, and most RNs will deal with these daily and will be comfortable and familiar with those drugs”.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D22C99" id="Text Box 33" o:spid="_x0000_s1034" type="#_x0000_t202" style="position:absolute;margin-left:0;margin-top:0;width:2in;height:2in;z-index:251658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A2PpftMwIAAIIEAAAOAAAAAAAAAAAAAAAAAC4CAABk&#10;cnMvZTJvRG9jLnhtbFBLAQItABQABgAIAAAAIQA0H0KE2QAAAAUBAAAPAAAAAAAAAAAAAAAAAI0E&#10;AABkcnMvZG93bnJldi54bWxQSwUGAAAAAAQABADzAAAAkwUAAAAA&#10;" fillcolor="#eeece1 [3214]" strokeweight=".5pt">
                <v:textbox style="mso-fit-shape-to-text:t">
                  <w:txbxContent>
                    <w:p w14:paraId="31EEEE0E" w14:textId="77777777" w:rsidR="00717F43" w:rsidRPr="007F71ED" w:rsidRDefault="00717F43" w:rsidP="00717F43">
                      <w:pPr>
                        <w:pStyle w:val="AHPRABody1"/>
                      </w:pPr>
                      <w:r w:rsidRPr="00472393">
                        <w:t xml:space="preserve">“RN dissatisfaction RE: expanded scope of practice.  RNs should be able to prescribe Over the counter OTC (schedule 2&amp;3) medicines without restriction now.  This already forms part of undergrad nurse training, and most RNs will deal with these daily and will be comfortable and familiar with those drugs”. </w:t>
                      </w:r>
                    </w:p>
                  </w:txbxContent>
                </v:textbox>
                <w10:wrap type="square"/>
              </v:shape>
            </w:pict>
          </mc:Fallback>
        </mc:AlternateContent>
      </w:r>
      <w:r w:rsidR="00353496" w:rsidRPr="00C17755">
        <w:t xml:space="preserve">It is important to note that undergraduate Bachelor of Nursing (BON) education accreditation standards that lead to graduates being able to apply for registration as RNs have curricula content that includes the Quality Use of Medicines Framework and students must meet the learning outcomes and demonstrate skills and knowledge in pharmacotherapeutics and </w:t>
      </w:r>
      <w:r w:rsidR="00DA2C82">
        <w:t>Q</w:t>
      </w:r>
      <w:r w:rsidR="00353496" w:rsidRPr="00C17755">
        <w:t xml:space="preserve">uality use of </w:t>
      </w:r>
      <w:r w:rsidR="00DA2C82">
        <w:t>M</w:t>
      </w:r>
      <w:r w:rsidR="00353496" w:rsidRPr="00C17755">
        <w:t>edicines</w:t>
      </w:r>
      <w:r w:rsidR="00DA2C82">
        <w:t xml:space="preserve"> Framework</w:t>
      </w:r>
      <w:r w:rsidR="00353496" w:rsidRPr="00C17755">
        <w:t xml:space="preserve">. Additionally, to undertake the postgraduate qualification that leads to an RN being able to apply for the Endorsement, RNs would need to undertake an Australian Nursing and Midwifery Accreditation Council (ANMAC) accredited postgraduate qualification for RN designated prescribing and on application for the </w:t>
      </w:r>
      <w:r w:rsidR="00353496" w:rsidRPr="00776026">
        <w:t>endorsement must be able to demonstrate current registration and three years post initial registration clinical experience within the past six years. It is also likely that these RN’s already have advanced clinical experience, expertise, knowledge, skills and attributes in their specific areas of practice</w:t>
      </w:r>
      <w:r w:rsidR="00FF5A5F">
        <w:t xml:space="preserve"> </w:t>
      </w:r>
      <w:r w:rsidR="00353496" w:rsidRPr="00776026">
        <w:t>– which may include formal postgraduate qualifications relevant to the area in which the RN already practises.</w:t>
      </w:r>
    </w:p>
    <w:p w14:paraId="7CD9DAD4" w14:textId="4D23C5F8" w:rsidR="00353496" w:rsidRPr="00093B41" w:rsidRDefault="00353496" w:rsidP="007A62C6">
      <w:pPr>
        <w:pStyle w:val="AHPRAbody"/>
      </w:pPr>
      <w:r w:rsidRPr="00093B41">
        <w:t>Some of the respondents noted that:</w:t>
      </w:r>
    </w:p>
    <w:p w14:paraId="4CACFBB7" w14:textId="201843E1" w:rsidR="00353496" w:rsidRPr="00093B41" w:rsidRDefault="00FF5A5F" w:rsidP="00216AB8">
      <w:pPr>
        <w:spacing w:after="220"/>
        <w:ind w:left="-5" w:right="632"/>
        <w:outlineLvl w:val="0"/>
        <w:rPr>
          <w:rFonts w:asciiTheme="minorHAnsi" w:eastAsia="Times New Roman" w:hAnsiTheme="minorHAnsi" w:cstheme="minorBidi"/>
          <w:i/>
          <w:lang w:eastAsia="en-AU"/>
        </w:rPr>
      </w:pPr>
      <w:r>
        <w:rPr>
          <w:rFonts w:asciiTheme="minorHAnsi" w:eastAsia="Times New Roman" w:hAnsiTheme="minorHAnsi" w:cstheme="minorBidi"/>
          <w:i/>
          <w:lang w:eastAsia="en-AU"/>
        </w:rPr>
        <w:br/>
      </w:r>
      <w:r>
        <w:rPr>
          <w:noProof/>
          <w:lang w:eastAsia="en-AU"/>
        </w:rPr>
        <mc:AlternateContent>
          <mc:Choice Requires="wps">
            <w:drawing>
              <wp:anchor distT="0" distB="0" distL="114300" distR="114300" simplePos="0" relativeHeight="251658249" behindDoc="0" locked="0" layoutInCell="1" allowOverlap="1" wp14:anchorId="54CCF5E7" wp14:editId="7FCCC4DA">
                <wp:simplePos x="0" y="0"/>
                <wp:positionH relativeFrom="column">
                  <wp:posOffset>0</wp:posOffset>
                </wp:positionH>
                <wp:positionV relativeFrom="paragraph">
                  <wp:posOffset>0</wp:posOffset>
                </wp:positionV>
                <wp:extent cx="1828800" cy="1828800"/>
                <wp:effectExtent l="0" t="0" r="21590" b="1016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55551006" w14:textId="77777777" w:rsidR="00717F43" w:rsidRPr="00C95390" w:rsidRDefault="00717F43" w:rsidP="00F7356E">
                            <w:pPr>
                              <w:pStyle w:val="AHPRABody1"/>
                            </w:pPr>
                            <w:r w:rsidRPr="78D3F9AE">
                              <w:t xml:space="preserve">“There would confusion for patients, clarity on role delineation, not dumping another complex role on to nurses who are already overworked and burnt out!”.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CCF5E7" id="Text Box 34" o:spid="_x0000_s1035" type="#_x0000_t202" style="position:absolute;left:0;text-align:left;margin-left:0;margin-top:0;width:2in;height:2in;z-index:2516582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AKm3BxMwIAAIIEAAAOAAAAAAAAAAAAAAAAAC4CAABk&#10;cnMvZTJvRG9jLnhtbFBLAQItABQABgAIAAAAIQA0H0KE2QAAAAUBAAAPAAAAAAAAAAAAAAAAAI0E&#10;AABkcnMvZG93bnJldi54bWxQSwUGAAAAAAQABADzAAAAkwUAAAAA&#10;" fillcolor="#eeece1 [3214]" strokeweight=".5pt">
                <v:textbox style="mso-fit-shape-to-text:t">
                  <w:txbxContent>
                    <w:p w14:paraId="55551006" w14:textId="77777777" w:rsidR="00717F43" w:rsidRPr="00C95390" w:rsidRDefault="00717F43" w:rsidP="00F7356E">
                      <w:pPr>
                        <w:pStyle w:val="AHPRABody1"/>
                      </w:pPr>
                      <w:r w:rsidRPr="78D3F9AE">
                        <w:t xml:space="preserve">“There would confusion for patients, clarity on role delineation, not dumping another complex role on to nurses who are already overworked and burnt out!”. </w:t>
                      </w:r>
                    </w:p>
                  </w:txbxContent>
                </v:textbox>
                <w10:wrap type="square"/>
              </v:shape>
            </w:pict>
          </mc:Fallback>
        </mc:AlternateContent>
      </w:r>
      <w:r w:rsidR="00353496" w:rsidRPr="78D3F9AE">
        <w:rPr>
          <w:rFonts w:eastAsia="Arial" w:cs="Arial"/>
          <w:lang w:eastAsia="en-AU"/>
        </w:rPr>
        <w:t xml:space="preserve">It is important to acknowledge that </w:t>
      </w:r>
      <w:r w:rsidR="003C3D8D">
        <w:rPr>
          <w:rFonts w:eastAsia="Arial" w:cs="Arial"/>
          <w:lang w:eastAsia="en-AU"/>
        </w:rPr>
        <w:t>m</w:t>
      </w:r>
      <w:r w:rsidR="003C3D8D" w:rsidRPr="78D3F9AE">
        <w:rPr>
          <w:rFonts w:eastAsia="Arial" w:cs="Arial"/>
          <w:lang w:eastAsia="en-AU"/>
        </w:rPr>
        <w:t xml:space="preserve">idwives </w:t>
      </w:r>
      <w:r w:rsidR="00353496" w:rsidRPr="78D3F9AE">
        <w:rPr>
          <w:rFonts w:eastAsia="Arial" w:cs="Arial"/>
          <w:lang w:eastAsia="en-AU"/>
        </w:rPr>
        <w:t xml:space="preserve">with </w:t>
      </w:r>
      <w:r w:rsidR="003C3D8D">
        <w:rPr>
          <w:rFonts w:eastAsia="Arial" w:cs="Arial"/>
          <w:lang w:eastAsia="en-AU"/>
        </w:rPr>
        <w:t>an endorsement</w:t>
      </w:r>
      <w:r w:rsidR="00353496" w:rsidRPr="78D3F9AE">
        <w:rPr>
          <w:rFonts w:eastAsia="Arial" w:cs="Arial"/>
          <w:lang w:eastAsia="en-AU"/>
        </w:rPr>
        <w:t xml:space="preserve"> for scheduled </w:t>
      </w:r>
      <w:r w:rsidR="003C3D8D">
        <w:rPr>
          <w:rFonts w:eastAsia="Arial" w:cs="Arial"/>
          <w:lang w:eastAsia="en-AU"/>
        </w:rPr>
        <w:t>m</w:t>
      </w:r>
      <w:r w:rsidR="003C3D8D" w:rsidRPr="78D3F9AE">
        <w:rPr>
          <w:rFonts w:eastAsia="Arial" w:cs="Arial"/>
          <w:lang w:eastAsia="en-AU"/>
        </w:rPr>
        <w:t>edicines</w:t>
      </w:r>
      <w:r w:rsidR="003C3D8D">
        <w:rPr>
          <w:rFonts w:eastAsia="Arial" w:cs="Arial"/>
          <w:lang w:eastAsia="en-AU"/>
        </w:rPr>
        <w:t xml:space="preserve">, </w:t>
      </w:r>
      <w:r w:rsidR="00353496" w:rsidRPr="78D3F9AE">
        <w:rPr>
          <w:rFonts w:eastAsia="Arial" w:cs="Arial"/>
          <w:lang w:eastAsia="en-AU"/>
        </w:rPr>
        <w:t xml:space="preserve">whilst contributing a significant change to the regulation of midwifery, reported that lack of public </w:t>
      </w:r>
      <w:r w:rsidR="00353496" w:rsidRPr="78D3F9AE">
        <w:rPr>
          <w:rFonts w:eastAsia="Arial" w:cs="Arial"/>
          <w:lang w:eastAsia="en-AU"/>
        </w:rPr>
        <w:lastRenderedPageBreak/>
        <w:t xml:space="preserve">awareness of their role was a barrier </w:t>
      </w:r>
      <w:r w:rsidR="003D15B5">
        <w:rPr>
          <w:rFonts w:eastAsia="Arial" w:cs="Arial"/>
          <w:lang w:eastAsia="en-AU"/>
        </w:rPr>
        <w:t>that</w:t>
      </w:r>
      <w:r w:rsidR="00353496" w:rsidRPr="78D3F9AE">
        <w:rPr>
          <w:rFonts w:eastAsia="Arial" w:cs="Arial"/>
          <w:lang w:eastAsia="en-AU"/>
        </w:rPr>
        <w:t xml:space="preserve"> could be enhanced through increased community awareness about their scope of practice to prevent role confusion</w:t>
      </w:r>
      <w:r w:rsidR="00413139">
        <w:rPr>
          <w:rFonts w:eastAsia="Arial" w:cs="Arial"/>
          <w:lang w:eastAsia="en-AU"/>
        </w:rPr>
        <w:t>. They</w:t>
      </w:r>
      <w:r w:rsidR="00353496" w:rsidRPr="78D3F9AE">
        <w:rPr>
          <w:rFonts w:eastAsia="Arial" w:cs="Arial"/>
          <w:lang w:eastAsia="en-AU"/>
        </w:rPr>
        <w:t xml:space="preserve"> recommended raising awareness of the endorsed midwife role across health consumers and health care providers. </w:t>
      </w:r>
      <w:r w:rsidR="00CC6F50">
        <w:rPr>
          <w:rFonts w:eastAsia="Arial" w:cs="Arial"/>
          <w:vertAlign w:val="superscript"/>
          <w:lang w:eastAsia="en-AU"/>
        </w:rPr>
        <w:t>102</w:t>
      </w:r>
      <w:r w:rsidR="00353496" w:rsidRPr="78D3F9AE">
        <w:rPr>
          <w:rFonts w:eastAsia="Arial" w:cs="Arial"/>
          <w:lang w:eastAsia="en-AU"/>
        </w:rPr>
        <w:t xml:space="preserve"> The NMBA intends to include this feedback in their implementation plan if designated prescribing is </w:t>
      </w:r>
      <w:r w:rsidR="00B108CB">
        <w:rPr>
          <w:rFonts w:eastAsia="Arial" w:cs="Arial"/>
          <w:lang w:eastAsia="en-AU"/>
        </w:rPr>
        <w:t>agreed</w:t>
      </w:r>
      <w:r w:rsidR="00353496" w:rsidRPr="78D3F9AE">
        <w:rPr>
          <w:rFonts w:eastAsia="Arial" w:cs="Arial"/>
          <w:lang w:eastAsia="en-AU"/>
        </w:rPr>
        <w:t xml:space="preserve">. </w:t>
      </w:r>
    </w:p>
    <w:p w14:paraId="2A5AC337" w14:textId="0E74312C" w:rsidR="00353496" w:rsidRPr="00093B41" w:rsidRDefault="00353496" w:rsidP="422F38A3">
      <w:pPr>
        <w:pStyle w:val="AHPRABody1"/>
        <w:rPr>
          <w:rFonts w:eastAsia="Arial"/>
          <w:vertAlign w:val="superscript"/>
        </w:rPr>
      </w:pPr>
      <w:r w:rsidRPr="422F38A3">
        <w:t xml:space="preserve">“High quality safe prescribing”, was one of the benefits reported in the survey and this supports findings in the literature that RNs prescribe in comparable ways to medical practitioners and the effects of nurse prescribing are similar if not better in comparison.  </w:t>
      </w:r>
      <w:r>
        <w:br/>
      </w:r>
    </w:p>
    <w:p w14:paraId="23418043" w14:textId="174D24F2" w:rsidR="00353496" w:rsidRPr="00093B41" w:rsidRDefault="00353496" w:rsidP="00216AB8">
      <w:pPr>
        <w:spacing w:after="220"/>
        <w:ind w:left="-5" w:right="632"/>
        <w:outlineLvl w:val="0"/>
        <w:rPr>
          <w:rFonts w:eastAsia="Arial" w:cs="Arial"/>
          <w:vertAlign w:val="superscript"/>
          <w:lang w:eastAsia="en-AU"/>
        </w:rPr>
      </w:pPr>
      <w:r w:rsidRPr="78D3F9AE">
        <w:rPr>
          <w:rFonts w:eastAsia="Arial" w:cs="Arial"/>
          <w:lang w:eastAsia="en-AU"/>
        </w:rPr>
        <w:t>It is important to point out that whilst designated prescribing can potentially improve access and equity to medicines and improve healthcare efficiency, RNs would be more than just RN prescribers. They maintain role preservation as an RN and designated prescribing would be an included element in their nursing practice if</w:t>
      </w:r>
      <w:r w:rsidRPr="78D3F9AE">
        <w:rPr>
          <w:rFonts w:eastAsia="Arial" w:cs="Arial"/>
          <w:sz w:val="22"/>
          <w:szCs w:val="22"/>
        </w:rPr>
        <w:t xml:space="preserve"> </w:t>
      </w:r>
      <w:r w:rsidRPr="78D3F9AE">
        <w:rPr>
          <w:rFonts w:eastAsia="Arial" w:cs="Arial"/>
          <w:lang w:eastAsia="en-AU"/>
        </w:rPr>
        <w:t>it was required in the overall plan of care for their patients</w:t>
      </w:r>
      <w:r w:rsidR="00C179DA">
        <w:rPr>
          <w:rFonts w:eastAsia="Arial" w:cs="Arial"/>
          <w:vertAlign w:val="superscript"/>
          <w:lang w:eastAsia="en-AU"/>
        </w:rPr>
        <w:t xml:space="preserve">. </w:t>
      </w:r>
      <w:r w:rsidR="00E85FEE">
        <w:rPr>
          <w:rFonts w:eastAsia="Arial" w:cs="Arial"/>
          <w:vertAlign w:val="superscript"/>
          <w:lang w:eastAsia="en-AU"/>
        </w:rPr>
        <w:t>27,86</w:t>
      </w:r>
    </w:p>
    <w:p w14:paraId="22E24995" w14:textId="56BF80A1" w:rsidR="00353496" w:rsidRPr="00BD285E" w:rsidRDefault="006A4846" w:rsidP="422F38A3">
      <w:pPr>
        <w:pStyle w:val="AHPRABody1"/>
        <w:rPr>
          <w:vertAlign w:val="superscript"/>
        </w:rPr>
      </w:pPr>
      <w:r w:rsidRPr="422F38A3">
        <w:t xml:space="preserve">A </w:t>
      </w:r>
      <w:r w:rsidR="00EB7238" w:rsidRPr="422F38A3">
        <w:t xml:space="preserve">prominent </w:t>
      </w:r>
      <w:r w:rsidRPr="422F38A3">
        <w:t>Physicians</w:t>
      </w:r>
      <w:r w:rsidR="00353496" w:rsidRPr="422F38A3">
        <w:t xml:space="preserve"> College </w:t>
      </w:r>
      <w:r w:rsidRPr="422F38A3">
        <w:t>responded that they</w:t>
      </w:r>
      <w:r w:rsidR="00353496" w:rsidRPr="422F38A3">
        <w:t xml:space="preserve"> preferred that the status quo be maintained and cited “that a visit to the GP was not just a about a prescription”. As discussed, this is also not the intention of the designated RN prescribing role, as above this would be an element of the RN role in an episode of collaborative and integrated care that further improves access and equity. A report undertaken by Price Waterhouse Cooper Consulting</w:t>
      </w:r>
      <w:r w:rsidR="004F7E88" w:rsidRPr="422F38A3">
        <w:t xml:space="preserve"> in</w:t>
      </w:r>
      <w:r w:rsidR="00353496" w:rsidRPr="422F38A3">
        <w:t xml:space="preserve"> July 2020 on behalf of the </w:t>
      </w:r>
      <w:r w:rsidR="00A0341C" w:rsidRPr="422F38A3">
        <w:t>college</w:t>
      </w:r>
      <w:r w:rsidR="00353496" w:rsidRPr="422F38A3">
        <w:t xml:space="preserve"> noted the </w:t>
      </w:r>
      <w:r w:rsidR="00DF4E4E" w:rsidRPr="422F38A3">
        <w:t>v</w:t>
      </w:r>
      <w:r w:rsidR="00353496" w:rsidRPr="422F38A3">
        <w:t xml:space="preserve">ision for general practice was a sustainable healthcare system, economically this included a proposed $773 million dollar savings on preventable hospitalisations, hospital readmissions and emergency department presentations. Designated RN prescribing could contribute to this </w:t>
      </w:r>
      <w:r w:rsidR="00213BD1" w:rsidRPr="422F38A3">
        <w:t>and</w:t>
      </w:r>
      <w:r w:rsidR="00353496" w:rsidRPr="422F38A3">
        <w:t xml:space="preserve"> in addition </w:t>
      </w:r>
      <w:r w:rsidR="00213BD1" w:rsidRPr="422F38A3">
        <w:t>contribute</w:t>
      </w:r>
      <w:r w:rsidR="00353496" w:rsidRPr="422F38A3">
        <w:t xml:space="preserve"> collaboratively to the </w:t>
      </w:r>
      <w:r w:rsidR="00761F0F" w:rsidRPr="422F38A3">
        <w:t>college’s</w:t>
      </w:r>
      <w:r w:rsidR="00353496" w:rsidRPr="422F38A3">
        <w:t xml:space="preserve"> vision “</w:t>
      </w:r>
      <w:r w:rsidR="00353496" w:rsidRPr="422F38A3">
        <w:rPr>
          <w:rFonts w:eastAsiaTheme="minorEastAsia"/>
        </w:rPr>
        <w:t>to improve</w:t>
      </w:r>
      <w:r w:rsidR="00353496" w:rsidRPr="422F38A3">
        <w:t xml:space="preserve"> the health of the population, improve the patient experience of care, reduce healthcare costs and improve the work life of health providers</w:t>
      </w:r>
      <w:r w:rsidR="00136338" w:rsidRPr="422F38A3">
        <w:t>.</w:t>
      </w:r>
      <w:r w:rsidR="00136338" w:rsidRPr="422F38A3">
        <w:rPr>
          <w:vertAlign w:val="superscript"/>
        </w:rPr>
        <w:t xml:space="preserve"> </w:t>
      </w:r>
      <w:r w:rsidR="00C179DA" w:rsidRPr="422F38A3">
        <w:rPr>
          <w:vertAlign w:val="superscript"/>
        </w:rPr>
        <w:t>103</w:t>
      </w:r>
      <w:r>
        <w:br/>
      </w:r>
    </w:p>
    <w:p w14:paraId="62E69B55" w14:textId="77777777" w:rsidR="00B93113" w:rsidRDefault="00353496" w:rsidP="00C179DA">
      <w:pPr>
        <w:pStyle w:val="AHPRABody1"/>
      </w:pPr>
      <w:r w:rsidRPr="422F38A3">
        <w:t xml:space="preserve">The </w:t>
      </w:r>
      <w:r w:rsidR="00326879" w:rsidRPr="422F38A3">
        <w:t>college</w:t>
      </w:r>
      <w:r w:rsidRPr="422F38A3">
        <w:t xml:space="preserve"> support that the nurse practitioner role should be maximised, and NP and GP distribution</w:t>
      </w:r>
      <w:r w:rsidR="1AD5D585" w:rsidRPr="422F38A3">
        <w:t xml:space="preserve"> </w:t>
      </w:r>
      <w:r w:rsidR="14F37143" w:rsidRPr="422F38A3">
        <w:t>across</w:t>
      </w:r>
      <w:r w:rsidRPr="422F38A3">
        <w:t xml:space="preserve"> </w:t>
      </w:r>
      <w:r w:rsidR="00945394" w:rsidRPr="422F38A3">
        <w:t>Australia</w:t>
      </w:r>
      <w:r w:rsidR="14F37143" w:rsidRPr="422F38A3">
        <w:t xml:space="preserve"> </w:t>
      </w:r>
      <w:r w:rsidRPr="422F38A3">
        <w:t>could be improved</w:t>
      </w:r>
      <w:r w:rsidR="00EC4064" w:rsidRPr="422F38A3">
        <w:t>.</w:t>
      </w:r>
      <w:r w:rsidRPr="422F38A3">
        <w:t xml:space="preserve"> </w:t>
      </w:r>
      <w:r w:rsidR="00EC4064" w:rsidRPr="422F38A3">
        <w:t>H</w:t>
      </w:r>
      <w:r w:rsidRPr="422F38A3">
        <w:t>owever</w:t>
      </w:r>
      <w:r w:rsidR="00EC4064" w:rsidRPr="422F38A3">
        <w:t>,</w:t>
      </w:r>
      <w:r w:rsidRPr="422F38A3">
        <w:t xml:space="preserve"> NPs have note</w:t>
      </w:r>
      <w:r w:rsidR="5DBAE2EF" w:rsidRPr="422F38A3">
        <w:t>d</w:t>
      </w:r>
      <w:r w:rsidRPr="422F38A3">
        <w:t xml:space="preserve"> that the role of the designated RN prescriber “would provide an opportunity for NPs to support professional development pathways and succession planning</w:t>
      </w:r>
      <w:r w:rsidRPr="422F38A3">
        <w:rPr>
          <w:rFonts w:cstheme="minorBidi"/>
        </w:rPr>
        <w:t>”</w:t>
      </w:r>
      <w:r w:rsidR="00495B30" w:rsidRPr="422F38A3">
        <w:rPr>
          <w:rFonts w:cstheme="minorBidi"/>
          <w:vertAlign w:val="superscript"/>
        </w:rPr>
        <w:t xml:space="preserve"> 89</w:t>
      </w:r>
      <w:r w:rsidR="2B1FBBAC" w:rsidRPr="422F38A3">
        <w:t xml:space="preserve"> which </w:t>
      </w:r>
      <w:r w:rsidR="2F0F592B" w:rsidRPr="422F38A3">
        <w:t xml:space="preserve">could </w:t>
      </w:r>
      <w:r w:rsidR="2B1FBBAC" w:rsidRPr="422F38A3">
        <w:t xml:space="preserve">further </w:t>
      </w:r>
      <w:r w:rsidR="5AFF3FF9" w:rsidRPr="422F38A3">
        <w:t xml:space="preserve">assist in the </w:t>
      </w:r>
      <w:r w:rsidR="2B1FBBAC" w:rsidRPr="422F38A3">
        <w:t>distribution</w:t>
      </w:r>
      <w:r w:rsidR="65C3B55C" w:rsidRPr="422F38A3">
        <w:t xml:space="preserve"> of NPs</w:t>
      </w:r>
      <w:r w:rsidR="2B1FBBAC" w:rsidRPr="422F38A3">
        <w:t xml:space="preserve"> if designated RN prescribing was a pathway</w:t>
      </w:r>
      <w:r w:rsidR="00631967" w:rsidRPr="422F38A3">
        <w:t>.</w:t>
      </w:r>
      <w:r w:rsidRPr="422F38A3">
        <w:t xml:space="preserve"> </w:t>
      </w:r>
    </w:p>
    <w:p w14:paraId="6F084765" w14:textId="77777777" w:rsidR="00B93113" w:rsidRDefault="00B93113" w:rsidP="00C179DA">
      <w:pPr>
        <w:pStyle w:val="AHPRABody1"/>
      </w:pPr>
    </w:p>
    <w:p w14:paraId="1113B057" w14:textId="6AEBDA21" w:rsidR="00F73591" w:rsidRDefault="00B93113" w:rsidP="422F38A3">
      <w:pPr>
        <w:pStyle w:val="AHPRABody1"/>
      </w:pPr>
      <w:r w:rsidRPr="422F38A3">
        <w:t>The NMBA notes the concerns of the medical profession and the risks they perceive to be associated with non-medical prescribing such as antimicrobial resistance in prescribing, prescribing that needs to be carefully targeted and calibrated, monitoring of ongoing use of medications, fragmented care and increases in the volume of prescribing. There is however sufficient evidence internationally to support the introduction of designated RN prescribing in Australia. International studies demonstrate it has been embedded successfully in multiple countries with comparative and non-comparative health care systems. The evidence also supports that prescribing by RNs can be as appropriate and safe compared to medical prescribers. The potential benefits of designated RN prescribing far outweigh the anecdotal concerns and can lead to improved patient access, equity to healthcare and improved management and treatment through collaborative interprofessional healthcare models. These models allow for those RN’s who choose to work to the top of their scope in providing complete episodes of care.</w:t>
      </w:r>
      <w:r>
        <w:br/>
      </w:r>
      <w:r>
        <w:br/>
      </w:r>
      <w:r w:rsidR="51EADB32" w:rsidRPr="422F38A3">
        <w:t xml:space="preserve">Additionally, </w:t>
      </w:r>
      <w:r w:rsidR="00DB04F5" w:rsidRPr="422F38A3">
        <w:t xml:space="preserve">a </w:t>
      </w:r>
      <w:r w:rsidR="00353496" w:rsidRPr="422F38A3">
        <w:t xml:space="preserve">Primary </w:t>
      </w:r>
      <w:r w:rsidR="006527E8" w:rsidRPr="422F38A3">
        <w:t xml:space="preserve">Care </w:t>
      </w:r>
      <w:r w:rsidR="00F73591" w:rsidRPr="422F38A3">
        <w:t>Nursing</w:t>
      </w:r>
      <w:r w:rsidR="00353496" w:rsidRPr="422F38A3">
        <w:t xml:space="preserve"> </w:t>
      </w:r>
      <w:r w:rsidR="006527E8" w:rsidRPr="422F38A3">
        <w:t xml:space="preserve">Association </w:t>
      </w:r>
      <w:r w:rsidR="00E5210B" w:rsidRPr="422F38A3">
        <w:t xml:space="preserve">in </w:t>
      </w:r>
      <w:r w:rsidR="00353496" w:rsidRPr="422F38A3">
        <w:t>its response to the consultation</w:t>
      </w:r>
      <w:r w:rsidR="00F73591" w:rsidRPr="422F38A3">
        <w:t>:</w:t>
      </w:r>
      <w:r>
        <w:br/>
      </w:r>
    </w:p>
    <w:p w14:paraId="5E2D984B" w14:textId="2C71951C" w:rsidR="00353496" w:rsidRPr="00E05E40" w:rsidRDefault="005A325B" w:rsidP="00216AB8">
      <w:pPr>
        <w:pStyle w:val="AHPRAbody"/>
        <w:outlineLvl w:val="0"/>
      </w:pPr>
      <w:r>
        <w:rPr>
          <w:rFonts w:cstheme="minorBidi"/>
          <w:i/>
          <w:iCs/>
        </w:rPr>
        <w:br/>
      </w:r>
      <w:r>
        <w:rPr>
          <w:rFonts w:eastAsia="Times New Roman"/>
          <w:noProof/>
          <w:szCs w:val="20"/>
          <w:lang w:eastAsia="en-AU"/>
        </w:rPr>
        <mc:AlternateContent>
          <mc:Choice Requires="wps">
            <w:drawing>
              <wp:anchor distT="0" distB="0" distL="114300" distR="114300" simplePos="0" relativeHeight="251658250" behindDoc="0" locked="0" layoutInCell="1" allowOverlap="1" wp14:anchorId="78961500" wp14:editId="535F9117">
                <wp:simplePos x="0" y="0"/>
                <wp:positionH relativeFrom="column">
                  <wp:posOffset>0</wp:posOffset>
                </wp:positionH>
                <wp:positionV relativeFrom="paragraph">
                  <wp:posOffset>0</wp:posOffset>
                </wp:positionV>
                <wp:extent cx="1828800" cy="1828800"/>
                <wp:effectExtent l="0" t="0" r="21590" b="10160"/>
                <wp:wrapSquare wrapText="bothSides"/>
                <wp:docPr id="36" name="Text Box 3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79FD668C" w14:textId="77777777" w:rsidR="00717F43" w:rsidRPr="008A4543" w:rsidRDefault="00717F43" w:rsidP="00717F43">
                            <w:pPr>
                              <w:pStyle w:val="AHPRABody1"/>
                              <w:rPr>
                                <w:i/>
                                <w:iCs/>
                              </w:rPr>
                            </w:pPr>
                            <w:r w:rsidRPr="5AA7423A">
                              <w:rPr>
                                <w:rFonts w:cstheme="minorBidi"/>
                                <w:i/>
                                <w:iCs/>
                              </w:rPr>
                              <w:t>“</w:t>
                            </w:r>
                            <w:r w:rsidRPr="5AA7423A">
                              <w:t>Supports the expansion of the model of prescribing for experienced registered nurses to prescribe scheduled medicines in partnership with a registered prescriber. Allowing appropriately trained and supported nurses to prescribe within their scope of practice in primary health care settings is likely to reduce the pressure on Australia’s health care system and increase timely access to care and medications”</w:t>
                            </w:r>
                            <w:r>
                              <w:t>.</w:t>
                            </w:r>
                            <w:r w:rsidRPr="5AA7423A">
                              <w:rPr>
                                <w:rStyle w:val="normaltextrun"/>
                                <w:rFonts w:cstheme="minorBidi"/>
                                <w:i/>
                                <w:iCs/>
                                <w:color w:val="000000" w:themeColor="text1"/>
                                <w:sz w:val="22"/>
                                <w:szCs w:val="22"/>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961500" id="Text Box 36" o:spid="_x0000_s1036" type="#_x0000_t202" style="position:absolute;margin-left:0;margin-top:0;width:2in;height:2in;z-index:25165825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" fillcolor="#eeece1 [3214]" strokeweight=".5pt">
                <v:textbox style="mso-fit-shape-to-text:t">
                  <w:txbxContent>
                    <w:p w14:paraId="79FD668C" w14:textId="77777777" w:rsidR="00717F43" w:rsidRPr="008A4543" w:rsidRDefault="00717F43" w:rsidP="00717F43">
                      <w:pPr>
                        <w:pStyle w:val="AHPRABody1"/>
                        <w:rPr>
                          <w:i/>
                          <w:iCs/>
                        </w:rPr>
                      </w:pPr>
                      <w:r w:rsidRPr="5AA7423A">
                        <w:rPr>
                          <w:rFonts w:cstheme="minorBidi"/>
                          <w:i/>
                          <w:iCs/>
                        </w:rPr>
                        <w:t>“</w:t>
                      </w:r>
                      <w:r w:rsidRPr="5AA7423A">
                        <w:t>Supports the expansion of the model of prescribing for experienced registered nurses to prescribe scheduled medicines in partnership with a registered prescriber. Allowing appropriately trained and supported nurses to prescribe within their scope of practice in primary health care settings is likely to reduce the pressure on Australia’s health care system and increase timely access to care and medications”</w:t>
                      </w:r>
                      <w:r>
                        <w:t>.</w:t>
                      </w:r>
                      <w:r w:rsidRPr="5AA7423A">
                        <w:rPr>
                          <w:rStyle w:val="normaltextrun"/>
                          <w:rFonts w:cstheme="minorBidi"/>
                          <w:i/>
                          <w:iCs/>
                          <w:color w:val="000000" w:themeColor="text1"/>
                          <w:sz w:val="22"/>
                          <w:szCs w:val="22"/>
                        </w:rPr>
                        <w:t xml:space="preserve"> </w:t>
                      </w:r>
                    </w:p>
                  </w:txbxContent>
                </v:textbox>
                <w10:wrap type="square"/>
              </v:shape>
            </w:pict>
          </mc:Fallback>
        </mc:AlternateContent>
      </w:r>
      <w:r w:rsidR="167224A6" w:rsidRPr="00E05E40">
        <w:t xml:space="preserve">This </w:t>
      </w:r>
      <w:r w:rsidR="00F85C38">
        <w:t>could</w:t>
      </w:r>
      <w:r w:rsidR="167224A6" w:rsidRPr="00E05E40">
        <w:t xml:space="preserve"> further </w:t>
      </w:r>
      <w:r w:rsidR="1337BCE7" w:rsidRPr="00E05E40">
        <w:t xml:space="preserve">support </w:t>
      </w:r>
      <w:r w:rsidR="00564157">
        <w:t xml:space="preserve">areas </w:t>
      </w:r>
      <w:r w:rsidR="003C3218">
        <w:t>where there is</w:t>
      </w:r>
      <w:r w:rsidR="00FC7EE1">
        <w:t xml:space="preserve"> inadequate</w:t>
      </w:r>
      <w:r w:rsidR="167224A6" w:rsidRPr="00E05E40">
        <w:t xml:space="preserve"> distribution</w:t>
      </w:r>
      <w:r w:rsidR="199E534B" w:rsidRPr="00E05E40">
        <w:t xml:space="preserve"> of GPs and NPs </w:t>
      </w:r>
      <w:r w:rsidR="004C34BE" w:rsidRPr="00E05E40">
        <w:t>enhanc</w:t>
      </w:r>
      <w:r w:rsidR="004C34BE">
        <w:t>ing</w:t>
      </w:r>
      <w:r w:rsidR="55F27B99" w:rsidRPr="00E05E40">
        <w:t xml:space="preserve"> innovative care models across primary care.</w:t>
      </w:r>
    </w:p>
    <w:p w14:paraId="163853CF" w14:textId="65AEEACC" w:rsidR="00353496" w:rsidRPr="00DB4785" w:rsidRDefault="00353496" w:rsidP="00216AB8">
      <w:pPr>
        <w:pStyle w:val="AHPRAbody"/>
        <w:outlineLvl w:val="0"/>
      </w:pPr>
      <w:r>
        <w:t xml:space="preserve">Further </w:t>
      </w:r>
      <w:r w:rsidR="00DB4785">
        <w:t>respondents’</w:t>
      </w:r>
      <w:r>
        <w:t xml:space="preserve"> feedback:</w:t>
      </w:r>
    </w:p>
    <w:p w14:paraId="49F9B3CE" w14:textId="531DC116" w:rsidR="00353496" w:rsidRPr="00197761" w:rsidRDefault="003F0DBB" w:rsidP="00216AB8">
      <w:pPr>
        <w:spacing w:after="220"/>
        <w:ind w:left="-5" w:right="632"/>
        <w:outlineLvl w:val="0"/>
        <w:rPr>
          <w:rFonts w:cs="Arial"/>
        </w:rPr>
      </w:pPr>
      <w:r>
        <w:lastRenderedPageBreak/>
        <w:br/>
      </w:r>
      <w:r>
        <w:rPr>
          <w:rFonts w:eastAsia="Times New Roman" w:cs="Arial"/>
          <w:noProof/>
          <w:szCs w:val="20"/>
          <w:lang w:eastAsia="en-AU"/>
        </w:rPr>
        <mc:AlternateContent>
          <mc:Choice Requires="wps">
            <w:drawing>
              <wp:anchor distT="0" distB="0" distL="114300" distR="114300" simplePos="0" relativeHeight="251658251" behindDoc="0" locked="0" layoutInCell="1" allowOverlap="1" wp14:anchorId="62521417" wp14:editId="6064AF4C">
                <wp:simplePos x="0" y="0"/>
                <wp:positionH relativeFrom="column">
                  <wp:posOffset>0</wp:posOffset>
                </wp:positionH>
                <wp:positionV relativeFrom="paragraph">
                  <wp:posOffset>0</wp:posOffset>
                </wp:positionV>
                <wp:extent cx="1828800" cy="1828800"/>
                <wp:effectExtent l="0" t="0" r="21590" b="16510"/>
                <wp:wrapSquare wrapText="bothSides"/>
                <wp:docPr id="37" name="Text Box 3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1B558A88" w14:textId="77777777" w:rsidR="00717F43" w:rsidRPr="00DB4785" w:rsidRDefault="00717F43" w:rsidP="00717F43">
                            <w:pPr>
                              <w:pStyle w:val="AHPRABody1"/>
                            </w:pPr>
                            <w:r w:rsidRPr="00DB4785">
                              <w:t>“May reduce GP burnout and help retain practitioners”.</w:t>
                            </w:r>
                          </w:p>
                          <w:p w14:paraId="3BB0463F" w14:textId="301D85FB" w:rsidR="00717F43" w:rsidRPr="00724E80" w:rsidRDefault="00717F43" w:rsidP="00717F43">
                            <w:pPr>
                              <w:pStyle w:val="AHPRABody1"/>
                            </w:pPr>
                            <w:r>
                              <w:br/>
                            </w:r>
                            <w:r w:rsidRPr="00DB4785">
                              <w:t>“Would promote peer networking and provide sole GPs with a second person with whom to discuss medication issues”.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521417" id="Text Box 37" o:spid="_x0000_s1037" type="#_x0000_t202" style="position:absolute;left:0;text-align:left;margin-left:0;margin-top:0;width:2in;height:2in;z-index:25165825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" fillcolor="#eeece1 [3214]" strokeweight=".5pt">
                <v:textbox style="mso-fit-shape-to-text:t">
                  <w:txbxContent>
                    <w:p w14:paraId="1B558A88" w14:textId="77777777" w:rsidR="00717F43" w:rsidRPr="00DB4785" w:rsidRDefault="00717F43" w:rsidP="00717F43">
                      <w:pPr>
                        <w:pStyle w:val="AHPRABody1"/>
                      </w:pPr>
                      <w:r w:rsidRPr="00DB4785">
                        <w:t>“May reduce GP burnout and help retain practitioners”.</w:t>
                      </w:r>
                    </w:p>
                    <w:p w14:paraId="3BB0463F" w14:textId="301D85FB" w:rsidR="00717F43" w:rsidRPr="00724E80" w:rsidRDefault="00717F43" w:rsidP="00717F43">
                      <w:pPr>
                        <w:pStyle w:val="AHPRABody1"/>
                      </w:pPr>
                      <w:r>
                        <w:br/>
                      </w:r>
                      <w:r w:rsidRPr="00DB4785">
                        <w:t>“Would promote peer networking and provide sole GPs with a second person with whom to discuss medication issues”.</w:t>
                      </w:r>
                    </w:p>
                  </w:txbxContent>
                </v:textbox>
                <w10:wrap type="square"/>
              </v:shape>
            </w:pict>
          </mc:Fallback>
        </mc:AlternateContent>
      </w:r>
      <w:r w:rsidR="00353496" w:rsidRPr="00EE2E99">
        <w:rPr>
          <w:rFonts w:cs="Arial"/>
        </w:rPr>
        <w:t xml:space="preserve">There was also opposition from </w:t>
      </w:r>
      <w:r w:rsidR="00C764EE">
        <w:rPr>
          <w:rFonts w:cs="Arial"/>
        </w:rPr>
        <w:t>a</w:t>
      </w:r>
      <w:r w:rsidR="00353496" w:rsidRPr="00EE2E99">
        <w:rPr>
          <w:rFonts w:cs="Arial"/>
        </w:rPr>
        <w:t xml:space="preserve"> Doctors Association who would prefer to maint</w:t>
      </w:r>
      <w:r w:rsidR="00DB4785" w:rsidRPr="00EE2E99">
        <w:rPr>
          <w:rFonts w:cs="Arial"/>
        </w:rPr>
        <w:t>a</w:t>
      </w:r>
      <w:r w:rsidR="00353496" w:rsidRPr="00EE2E99">
        <w:rPr>
          <w:rFonts w:cs="Arial"/>
        </w:rPr>
        <w:t xml:space="preserve">in </w:t>
      </w:r>
      <w:r w:rsidR="00997E6B">
        <w:rPr>
          <w:rFonts w:cs="Arial"/>
        </w:rPr>
        <w:t xml:space="preserve">the status quo </w:t>
      </w:r>
      <w:r w:rsidR="001079F4">
        <w:rPr>
          <w:rFonts w:cs="Arial"/>
        </w:rPr>
        <w:t>that cited</w:t>
      </w:r>
      <w:r w:rsidR="00353496" w:rsidRPr="00EE2E99">
        <w:rPr>
          <w:rFonts w:cs="Arial"/>
        </w:rPr>
        <w:t xml:space="preserve"> </w:t>
      </w:r>
      <w:r w:rsidR="006C74C1">
        <w:rPr>
          <w:rFonts w:cs="Arial"/>
        </w:rPr>
        <w:t xml:space="preserve">the lack of </w:t>
      </w:r>
      <w:r w:rsidR="00353496" w:rsidRPr="00EE2E99">
        <w:rPr>
          <w:rFonts w:cs="Arial"/>
        </w:rPr>
        <w:t>a rigorous cost-benefit analysis. Th</w:t>
      </w:r>
      <w:r w:rsidR="006C74C1">
        <w:rPr>
          <w:rFonts w:cs="Arial"/>
        </w:rPr>
        <w:t>is</w:t>
      </w:r>
      <w:r w:rsidR="00353496" w:rsidRPr="00EE2E99">
        <w:rPr>
          <w:rFonts w:cs="Arial"/>
        </w:rPr>
        <w:t xml:space="preserve"> </w:t>
      </w:r>
      <w:r w:rsidR="006C74C1">
        <w:rPr>
          <w:rFonts w:cs="Arial"/>
        </w:rPr>
        <w:t>association</w:t>
      </w:r>
      <w:r w:rsidR="00353496" w:rsidRPr="00EE2E99">
        <w:rPr>
          <w:rFonts w:cs="Arial"/>
        </w:rPr>
        <w:t xml:space="preserve"> is correct in that only a hypothetical cost benefit analysis has been undertaken with the C</w:t>
      </w:r>
      <w:r w:rsidR="008D3450" w:rsidRPr="00EE2E99">
        <w:rPr>
          <w:rFonts w:cs="Arial"/>
        </w:rPr>
        <w:t>-</w:t>
      </w:r>
      <w:r w:rsidR="00353496" w:rsidRPr="00197761">
        <w:rPr>
          <w:rFonts w:cs="Arial"/>
        </w:rPr>
        <w:t xml:space="preserve">RIS failing to gather any sufficient data to add value to a cost benefit analysis. </w:t>
      </w:r>
      <w:r w:rsidR="001079F4">
        <w:rPr>
          <w:rFonts w:cs="Arial"/>
        </w:rPr>
        <w:t>However,</w:t>
      </w:r>
      <w:r w:rsidR="00353496" w:rsidRPr="00197761">
        <w:rPr>
          <w:rFonts w:cs="Arial"/>
        </w:rPr>
        <w:t xml:space="preserve"> as stated throughout </w:t>
      </w:r>
      <w:r w:rsidR="001079F4">
        <w:rPr>
          <w:rFonts w:cs="Arial"/>
        </w:rPr>
        <w:t>the</w:t>
      </w:r>
      <w:r w:rsidR="001079F4" w:rsidRPr="00197761">
        <w:rPr>
          <w:rFonts w:cs="Arial"/>
        </w:rPr>
        <w:t xml:space="preserve"> </w:t>
      </w:r>
      <w:r w:rsidR="00353496" w:rsidRPr="00197761">
        <w:rPr>
          <w:rFonts w:cs="Arial"/>
        </w:rPr>
        <w:t xml:space="preserve">document </w:t>
      </w:r>
      <w:r w:rsidR="001079F4">
        <w:rPr>
          <w:rFonts w:cs="Arial"/>
        </w:rPr>
        <w:t xml:space="preserve">this issue </w:t>
      </w:r>
      <w:r w:rsidR="00353496" w:rsidRPr="00197761">
        <w:rPr>
          <w:rFonts w:cs="Arial"/>
        </w:rPr>
        <w:t xml:space="preserve">is not specific to this initiative and there is worldwide limited evidence on the costs and cost effectiveness on non-medical prescribing </w:t>
      </w:r>
      <w:r w:rsidR="00251F10">
        <w:rPr>
          <w:rFonts w:cs="Arial"/>
          <w:vertAlign w:val="superscript"/>
        </w:rPr>
        <w:t>71,72</w:t>
      </w:r>
      <w:r w:rsidR="00353496" w:rsidRPr="00197761">
        <w:rPr>
          <w:rFonts w:cs="Arial"/>
        </w:rPr>
        <w:t xml:space="preserve"> in favour of studies that increase equity and access to healthcare. Costs related to an increased number of prescriptions cannot be denoted as implementation has not occurred</w:t>
      </w:r>
      <w:r w:rsidR="001079F4">
        <w:rPr>
          <w:rFonts w:cs="Arial"/>
        </w:rPr>
        <w:t>,</w:t>
      </w:r>
      <w:r w:rsidR="00353496" w:rsidRPr="00197761">
        <w:rPr>
          <w:rFonts w:cs="Arial"/>
        </w:rPr>
        <w:t xml:space="preserve"> however </w:t>
      </w:r>
      <w:r w:rsidR="00272793">
        <w:rPr>
          <w:rFonts w:cs="Arial"/>
        </w:rPr>
        <w:t xml:space="preserve">there could be </w:t>
      </w:r>
      <w:r w:rsidR="00613822">
        <w:rPr>
          <w:rFonts w:cs="Arial"/>
        </w:rPr>
        <w:t xml:space="preserve">potential for </w:t>
      </w:r>
      <w:r w:rsidR="00353496" w:rsidRPr="00197761">
        <w:rPr>
          <w:rFonts w:cs="Arial"/>
        </w:rPr>
        <w:t xml:space="preserve">this </w:t>
      </w:r>
      <w:r w:rsidR="00613822">
        <w:rPr>
          <w:rFonts w:cs="Arial"/>
        </w:rPr>
        <w:t>to</w:t>
      </w:r>
      <w:r w:rsidR="00353496" w:rsidRPr="00197761">
        <w:rPr>
          <w:rFonts w:cs="Arial"/>
        </w:rPr>
        <w:t xml:space="preserve"> be evaluated and assessed in the future. </w:t>
      </w:r>
    </w:p>
    <w:p w14:paraId="71B2AB58" w14:textId="5AF6F374" w:rsidR="00353496" w:rsidRPr="00197761" w:rsidRDefault="003B164A" w:rsidP="00216AB8">
      <w:pPr>
        <w:spacing w:after="220"/>
        <w:ind w:left="-5" w:right="632"/>
        <w:outlineLvl w:val="0"/>
        <w:rPr>
          <w:rFonts w:cs="Arial"/>
        </w:rPr>
      </w:pPr>
      <w:r w:rsidRPr="21A7F60E">
        <w:rPr>
          <w:rFonts w:cs="Arial"/>
        </w:rPr>
        <w:t xml:space="preserve">A </w:t>
      </w:r>
      <w:r w:rsidR="00231390" w:rsidRPr="21A7F60E">
        <w:rPr>
          <w:rFonts w:cs="Arial"/>
        </w:rPr>
        <w:t xml:space="preserve">Post Graduate </w:t>
      </w:r>
      <w:r w:rsidR="00A507A4" w:rsidRPr="21A7F60E">
        <w:rPr>
          <w:rFonts w:cs="Arial"/>
        </w:rPr>
        <w:t xml:space="preserve">Diploma </w:t>
      </w:r>
      <w:r w:rsidRPr="21A7F60E">
        <w:rPr>
          <w:rFonts w:cs="Arial"/>
        </w:rPr>
        <w:t>that</w:t>
      </w:r>
      <w:r w:rsidR="006D3540" w:rsidRPr="21A7F60E">
        <w:rPr>
          <w:rFonts w:cs="Arial"/>
        </w:rPr>
        <w:t xml:space="preserve"> offer</w:t>
      </w:r>
      <w:r w:rsidR="00131D41" w:rsidRPr="21A7F60E">
        <w:rPr>
          <w:rFonts w:cs="Arial"/>
        </w:rPr>
        <w:t>s</w:t>
      </w:r>
      <w:r w:rsidRPr="21A7F60E">
        <w:rPr>
          <w:rFonts w:cs="Arial"/>
        </w:rPr>
        <w:t xml:space="preserve"> </w:t>
      </w:r>
      <w:r w:rsidR="75C888EA" w:rsidRPr="21A7F60E">
        <w:rPr>
          <w:rFonts w:cs="Arial"/>
        </w:rPr>
        <w:t>the Designated</w:t>
      </w:r>
      <w:r w:rsidR="006D3540" w:rsidRPr="21A7F60E">
        <w:rPr>
          <w:rFonts w:cs="Arial"/>
        </w:rPr>
        <w:t xml:space="preserve"> </w:t>
      </w:r>
      <w:r w:rsidRPr="21A7F60E">
        <w:rPr>
          <w:rFonts w:cs="Arial"/>
        </w:rPr>
        <w:t xml:space="preserve">RN Prescribing course </w:t>
      </w:r>
      <w:r w:rsidR="00131D41" w:rsidRPr="21A7F60E">
        <w:rPr>
          <w:rFonts w:cs="Arial"/>
        </w:rPr>
        <w:t xml:space="preserve">will need to be approved by the </w:t>
      </w:r>
      <w:r w:rsidR="00353496" w:rsidRPr="21A7F60E">
        <w:rPr>
          <w:rFonts w:cs="Arial"/>
        </w:rPr>
        <w:t xml:space="preserve">Australian Nursing and Midwifery Council (ANMAC) </w:t>
      </w:r>
      <w:r w:rsidR="003D5101" w:rsidRPr="21A7F60E">
        <w:rPr>
          <w:rFonts w:cs="Arial"/>
        </w:rPr>
        <w:t xml:space="preserve">and approved by the NMBA. </w:t>
      </w:r>
      <w:r w:rsidR="008A6D05">
        <w:rPr>
          <w:rFonts w:cs="Arial"/>
        </w:rPr>
        <w:t>Currently,</w:t>
      </w:r>
      <w:r w:rsidR="00353496" w:rsidRPr="21A7F60E">
        <w:rPr>
          <w:rFonts w:cs="Arial"/>
        </w:rPr>
        <w:t xml:space="preserve"> in rural and remote areas it is up to individual healthcare organisations and the RNs themselves to ensure that they have the knowledge and skills to </w:t>
      </w:r>
      <w:r w:rsidR="00761F0F" w:rsidRPr="21A7F60E">
        <w:rPr>
          <w:rFonts w:cs="Arial"/>
        </w:rPr>
        <w:t>fulfil</w:t>
      </w:r>
      <w:r w:rsidR="00353496" w:rsidRPr="21A7F60E">
        <w:rPr>
          <w:rFonts w:cs="Arial"/>
        </w:rPr>
        <w:t xml:space="preserve"> medication management responsibilities in relation to the in the Quality Use of Medicines </w:t>
      </w:r>
      <w:r w:rsidR="00A033A0" w:rsidRPr="21A7F60E">
        <w:rPr>
          <w:rFonts w:cs="Arial"/>
        </w:rPr>
        <w:t>Framework</w:t>
      </w:r>
      <w:r w:rsidR="008A6D05">
        <w:rPr>
          <w:rFonts w:cs="Arial"/>
        </w:rPr>
        <w:t>.</w:t>
      </w:r>
      <w:r w:rsidR="00353496" w:rsidRPr="21A7F60E">
        <w:rPr>
          <w:rFonts w:cs="Arial"/>
        </w:rPr>
        <w:t xml:space="preserve"> </w:t>
      </w:r>
      <w:r w:rsidR="008A6D05">
        <w:rPr>
          <w:rFonts w:cs="Arial"/>
        </w:rPr>
        <w:t>T</w:t>
      </w:r>
      <w:r w:rsidR="00353496" w:rsidRPr="21A7F60E">
        <w:rPr>
          <w:rFonts w:cs="Arial"/>
        </w:rPr>
        <w:t xml:space="preserve">his opportunity offers a standardised approach to education and training. </w:t>
      </w:r>
      <w:r w:rsidR="00AB2C98">
        <w:rPr>
          <w:rFonts w:cs="Arial"/>
          <w:vertAlign w:val="superscript"/>
        </w:rPr>
        <w:t>96</w:t>
      </w:r>
      <w:r w:rsidR="00353496" w:rsidRPr="21A7F60E">
        <w:rPr>
          <w:rFonts w:cs="Arial"/>
        </w:rPr>
        <w:t xml:space="preserve"> Furthermore, contrary to </w:t>
      </w:r>
      <w:r w:rsidR="00191688" w:rsidRPr="21A7F60E">
        <w:rPr>
          <w:rFonts w:cs="Arial"/>
        </w:rPr>
        <w:t>the</w:t>
      </w:r>
      <w:r w:rsidR="00353496" w:rsidRPr="21A7F60E">
        <w:rPr>
          <w:rFonts w:cs="Arial"/>
        </w:rPr>
        <w:t xml:space="preserve"> feedback regarding an increased risk of incorrect prescribing</w:t>
      </w:r>
      <w:r w:rsidR="008A6D05">
        <w:rPr>
          <w:rFonts w:cs="Arial"/>
        </w:rPr>
        <w:t>,</w:t>
      </w:r>
      <w:r w:rsidR="00353496" w:rsidRPr="21A7F60E">
        <w:rPr>
          <w:rFonts w:cs="Arial"/>
        </w:rPr>
        <w:t xml:space="preserve"> studies report that non-medical prescribing may in fact lead to less prescribing errors and a reduction in omissions</w:t>
      </w:r>
      <w:r w:rsidR="007352E8">
        <w:rPr>
          <w:rFonts w:cs="Arial"/>
        </w:rPr>
        <w:t>,</w:t>
      </w:r>
      <w:r w:rsidR="00353496" w:rsidRPr="21A7F60E">
        <w:rPr>
          <w:rFonts w:cs="Arial"/>
        </w:rPr>
        <w:t xml:space="preserve"> with non-medical and medical prescribers being equally appropriate and comparable. </w:t>
      </w:r>
      <w:r w:rsidR="005B2218">
        <w:rPr>
          <w:rFonts w:cs="Arial"/>
          <w:vertAlign w:val="superscript"/>
        </w:rPr>
        <w:t>30,</w:t>
      </w:r>
      <w:r w:rsidR="00D023FB" w:rsidRPr="21A7F60E">
        <w:rPr>
          <w:rFonts w:cs="Arial"/>
          <w:vertAlign w:val="superscript"/>
        </w:rPr>
        <w:t>48,</w:t>
      </w:r>
      <w:r w:rsidR="00191688" w:rsidRPr="21A7F60E">
        <w:rPr>
          <w:rFonts w:cs="Arial"/>
          <w:vertAlign w:val="superscript"/>
        </w:rPr>
        <w:t>64,</w:t>
      </w:r>
      <w:r w:rsidR="005B2218">
        <w:rPr>
          <w:rFonts w:cs="Arial"/>
          <w:vertAlign w:val="superscript"/>
        </w:rPr>
        <w:t>65</w:t>
      </w:r>
      <w:r w:rsidR="005B2218" w:rsidRPr="21A7F60E" w:rsidDel="005B2218">
        <w:rPr>
          <w:rFonts w:cs="Arial"/>
          <w:vertAlign w:val="superscript"/>
        </w:rPr>
        <w:t xml:space="preserve"> </w:t>
      </w:r>
    </w:p>
    <w:p w14:paraId="1A1E52A5" w14:textId="346340D6" w:rsidR="00353496" w:rsidRPr="00E53932" w:rsidRDefault="00814752" w:rsidP="006C5F2E">
      <w:pPr>
        <w:spacing w:after="220"/>
        <w:ind w:left="-5" w:right="632"/>
        <w:outlineLvl w:val="0"/>
      </w:pPr>
      <w:r>
        <w:t xml:space="preserve">Another </w:t>
      </w:r>
      <w:r w:rsidR="0000747D">
        <w:t xml:space="preserve">medical </w:t>
      </w:r>
      <w:r w:rsidR="0098390F">
        <w:t>stakeholder</w:t>
      </w:r>
      <w:r w:rsidR="0000747D">
        <w:t xml:space="preserve"> </w:t>
      </w:r>
      <w:r w:rsidR="00353496">
        <w:t xml:space="preserve">was also not supportive of RN prescribing however would be prepared to consider specific models of RN prescribing of </w:t>
      </w:r>
      <w:r w:rsidR="00C210CA">
        <w:t xml:space="preserve">Schedule </w:t>
      </w:r>
      <w:r w:rsidR="00353496">
        <w:t>2,3</w:t>
      </w:r>
      <w:r w:rsidR="00C210CA">
        <w:t xml:space="preserve"> and </w:t>
      </w:r>
      <w:r w:rsidR="00353496">
        <w:t>4</w:t>
      </w:r>
      <w:r w:rsidR="006B3891">
        <w:t xml:space="preserve"> medicines</w:t>
      </w:r>
      <w:r w:rsidR="00353496">
        <w:t xml:space="preserve"> </w:t>
      </w:r>
      <w:r w:rsidR="007352E8">
        <w:t>(</w:t>
      </w:r>
      <w:r w:rsidR="00353496">
        <w:t>option 2a</w:t>
      </w:r>
      <w:r w:rsidR="007352E8">
        <w:t>)</w:t>
      </w:r>
      <w:r w:rsidR="00353496">
        <w:t xml:space="preserve"> pending that this was within a medically led and delegated team environment with agreements in place</w:t>
      </w:r>
      <w:r w:rsidR="006B3891">
        <w:t>.</w:t>
      </w:r>
      <w:r w:rsidR="00353496">
        <w:t xml:space="preserve"> </w:t>
      </w:r>
      <w:r w:rsidR="006B3891">
        <w:t xml:space="preserve">The </w:t>
      </w:r>
      <w:r w:rsidR="001C55D6">
        <w:t>association</w:t>
      </w:r>
      <w:r w:rsidR="006B3891">
        <w:t xml:space="preserve"> also</w:t>
      </w:r>
      <w:r w:rsidR="00353496">
        <w:t xml:space="preserve"> provided feedback that pilot studies would be beneficial to ensure that</w:t>
      </w:r>
      <w:r w:rsidR="201028E8">
        <w:t xml:space="preserve"> the</w:t>
      </w:r>
      <w:r w:rsidR="00353496">
        <w:t xml:space="preserve"> </w:t>
      </w:r>
      <w:r w:rsidR="004F37D6">
        <w:t xml:space="preserve">model is safe and effective </w:t>
      </w:r>
      <w:r w:rsidR="00353496">
        <w:t>within the Australian context</w:t>
      </w:r>
      <w:r w:rsidR="004F37D6">
        <w:t>.</w:t>
      </w:r>
    </w:p>
    <w:p w14:paraId="185555D7" w14:textId="08E1CFA1" w:rsidR="00353496" w:rsidRPr="004F37D6" w:rsidRDefault="006B31DD" w:rsidP="00216AB8">
      <w:pPr>
        <w:pStyle w:val="AHPRASubheadinglevel2"/>
        <w:outlineLvl w:val="0"/>
      </w:pPr>
      <w:bookmarkStart w:id="84" w:name="_Toc164692740"/>
      <w:r>
        <w:t xml:space="preserve">Qualitative findings: </w:t>
      </w:r>
      <w:r w:rsidR="00353496">
        <w:t>Additional costs and benefits not included in the status quo</w:t>
      </w:r>
      <w:bookmarkEnd w:id="84"/>
    </w:p>
    <w:p w14:paraId="594A9AF5" w14:textId="77777777" w:rsidR="00197761" w:rsidRDefault="00353496" w:rsidP="422F38A3">
      <w:pPr>
        <w:pStyle w:val="AHPRABody1"/>
        <w:spacing w:after="200"/>
        <w:outlineLvl w:val="0"/>
        <w:rPr>
          <w:rFonts w:cstheme="minorBidi"/>
        </w:rPr>
      </w:pPr>
      <w:r w:rsidRPr="422F38A3">
        <w:rPr>
          <w:rFonts w:cstheme="minorBidi"/>
        </w:rPr>
        <w:t>There were no additional explicit costs and benefits communicated however it was reported that:</w:t>
      </w:r>
    </w:p>
    <w:p w14:paraId="2E27FE7F" w14:textId="4D67829C" w:rsidR="00353496" w:rsidRDefault="00E13C51" w:rsidP="00216AB8">
      <w:pPr>
        <w:pStyle w:val="AHPRAbody"/>
        <w:outlineLvl w:val="0"/>
      </w:pPr>
      <w:r>
        <w:rPr>
          <w:rFonts w:asciiTheme="minorHAnsi" w:hAnsiTheme="minorHAnsi" w:cstheme="minorBidi"/>
          <w:i/>
          <w:iCs/>
        </w:rPr>
        <w:br/>
      </w:r>
      <w:r w:rsidR="007352E8">
        <w:rPr>
          <w:rFonts w:eastAsia="Times New Roman"/>
          <w:noProof/>
          <w:szCs w:val="20"/>
          <w:lang w:eastAsia="en-AU"/>
        </w:rPr>
        <mc:AlternateContent>
          <mc:Choice Requires="wps">
            <w:drawing>
              <wp:anchor distT="0" distB="0" distL="114300" distR="114300" simplePos="0" relativeHeight="251658271" behindDoc="0" locked="0" layoutInCell="1" allowOverlap="1" wp14:anchorId="2BC6C5D3" wp14:editId="6E054DBF">
                <wp:simplePos x="0" y="0"/>
                <wp:positionH relativeFrom="column">
                  <wp:posOffset>0</wp:posOffset>
                </wp:positionH>
                <wp:positionV relativeFrom="paragraph">
                  <wp:posOffset>0</wp:posOffset>
                </wp:positionV>
                <wp:extent cx="1828800" cy="1828800"/>
                <wp:effectExtent l="0" t="0" r="21590" b="12065"/>
                <wp:wrapSquare wrapText="bothSides"/>
                <wp:docPr id="38" name="Text Box 3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0BB89505" w14:textId="77777777" w:rsidR="00717F43" w:rsidRPr="00A23B06" w:rsidRDefault="00717F43" w:rsidP="00F7356E">
                            <w:pPr>
                              <w:pStyle w:val="AHPRAbody"/>
                            </w:pPr>
                            <w:r w:rsidRPr="1527C85E">
                              <w:t xml:space="preserve">“Individual costs to consumers not able to access timely health care. Costs for consumers needing to take time off work to travel to urban areas to access healthcare. Physical costs for consumers that delay traveling to access health care in urban areas can lead to poor health outcomes and greater dependence on health care and aged care”.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C6C5D3" id="Text Box 38" o:spid="_x0000_s1038" type="#_x0000_t202" style="position:absolute;margin-left:0;margin-top:0;width:2in;height:2in;z-index:25165827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" fillcolor="#eeece1 [3214]" strokeweight=".5pt">
                <v:textbox style="mso-fit-shape-to-text:t">
                  <w:txbxContent>
                    <w:p w14:paraId="0BB89505" w14:textId="77777777" w:rsidR="00717F43" w:rsidRPr="00A23B06" w:rsidRDefault="00717F43" w:rsidP="00F7356E">
                      <w:pPr>
                        <w:pStyle w:val="AHPRAbody"/>
                      </w:pPr>
                      <w:r w:rsidRPr="1527C85E">
                        <w:t xml:space="preserve">“Individual costs to consumers not able to access timely health care. Costs for consumers needing to take time off work to travel to urban areas to access healthcare. Physical costs for consumers that delay traveling to access health care in urban areas can lead to poor health outcomes and greater dependence on health care and aged care”. </w:t>
                      </w:r>
                    </w:p>
                  </w:txbxContent>
                </v:textbox>
                <w10:wrap type="square"/>
              </v:shape>
            </w:pict>
          </mc:Fallback>
        </mc:AlternateContent>
      </w:r>
      <w:r w:rsidR="00353496">
        <w:t xml:space="preserve">The NMBA acknowledge this is difficult to </w:t>
      </w:r>
      <w:r w:rsidR="00583A9F">
        <w:t xml:space="preserve">quantify benefits </w:t>
      </w:r>
      <w:r w:rsidR="00353496">
        <w:t xml:space="preserve">individually overall </w:t>
      </w:r>
      <w:r w:rsidR="00C468AA">
        <w:t xml:space="preserve">however it is anticipated that </w:t>
      </w:r>
      <w:r w:rsidR="00353496">
        <w:t xml:space="preserve">the implementation of designated RN prescribing </w:t>
      </w:r>
      <w:r w:rsidR="00C468AA">
        <w:t>will improve</w:t>
      </w:r>
      <w:r w:rsidR="00353496">
        <w:t xml:space="preserve"> access</w:t>
      </w:r>
      <w:r w:rsidR="00C468AA">
        <w:t xml:space="preserve"> to healthcare</w:t>
      </w:r>
      <w:r w:rsidR="00353496">
        <w:t xml:space="preserve">, </w:t>
      </w:r>
      <w:r w:rsidR="00C468AA">
        <w:t xml:space="preserve">reduce </w:t>
      </w:r>
      <w:r w:rsidR="00095E49">
        <w:t xml:space="preserve">time </w:t>
      </w:r>
      <w:r w:rsidR="007C734D">
        <w:t xml:space="preserve">and costs associated with </w:t>
      </w:r>
      <w:r w:rsidR="00095E49">
        <w:t xml:space="preserve">travel to </w:t>
      </w:r>
      <w:r w:rsidR="004931A7">
        <w:t xml:space="preserve">access </w:t>
      </w:r>
      <w:r w:rsidR="2CC7EC38">
        <w:t xml:space="preserve">healthcare. </w:t>
      </w:r>
    </w:p>
    <w:p w14:paraId="4F5B1B03" w14:textId="3BC7AA9D" w:rsidR="00353496" w:rsidRPr="00FC1F5E" w:rsidRDefault="00353496" w:rsidP="00216AB8">
      <w:pPr>
        <w:pStyle w:val="AHPRASubheadinglevel2"/>
        <w:outlineLvl w:val="0"/>
      </w:pPr>
      <w:bookmarkStart w:id="85" w:name="_Toc164692741"/>
      <w:r>
        <w:t xml:space="preserve">Qualitative </w:t>
      </w:r>
      <w:r w:rsidR="007E484A">
        <w:t>findings</w:t>
      </w:r>
      <w:r w:rsidR="009A08AF">
        <w:t>:</w:t>
      </w:r>
      <w:r w:rsidR="007E484A">
        <w:t xml:space="preserve"> </w:t>
      </w:r>
      <w:r>
        <w:t>Option 2 – RNs expand their scope of practice to prescribe Schedule 2, 3, 4 and 8 medicines under supervision, in accordance with governance frameworks and prescribing agreements.</w:t>
      </w:r>
      <w:bookmarkEnd w:id="85"/>
    </w:p>
    <w:p w14:paraId="752829DD" w14:textId="6033562D" w:rsidR="00353496" w:rsidRPr="00AF5B46" w:rsidRDefault="00085C14" w:rsidP="00216AB8">
      <w:pPr>
        <w:pStyle w:val="AHPRAbody"/>
        <w:outlineLvl w:val="0"/>
      </w:pPr>
      <w:r w:rsidRPr="00AF5B46">
        <w:t>The C-RIS feedbac</w:t>
      </w:r>
      <w:r w:rsidR="007E484A" w:rsidRPr="00AF5B46">
        <w:t>k provided</w:t>
      </w:r>
      <w:r w:rsidR="00353496" w:rsidRPr="00AF5B46">
        <w:t xml:space="preserve"> further qualitative value in terms of barriers and enablers</w:t>
      </w:r>
      <w:r w:rsidR="00280633">
        <w:t>. Feedback</w:t>
      </w:r>
      <w:r w:rsidR="5032DF9A" w:rsidRPr="00AF5B46">
        <w:t xml:space="preserve"> </w:t>
      </w:r>
      <w:r w:rsidR="00CC5D75" w:rsidRPr="00AF5B46">
        <w:t xml:space="preserve">did not </w:t>
      </w:r>
      <w:r w:rsidR="2570A184" w:rsidRPr="00AF5B46">
        <w:t>add value</w:t>
      </w:r>
      <w:r w:rsidR="0B29AA81" w:rsidRPr="00AF5B46">
        <w:t xml:space="preserve"> or provide the level of </w:t>
      </w:r>
      <w:r w:rsidR="08A0DB50" w:rsidRPr="00AF5B46">
        <w:t>detailed</w:t>
      </w:r>
      <w:r w:rsidR="0B29AA81" w:rsidRPr="00AF5B46">
        <w:t xml:space="preserve"> </w:t>
      </w:r>
      <w:r w:rsidR="21FC07E5" w:rsidRPr="00AF5B46">
        <w:t xml:space="preserve">required </w:t>
      </w:r>
      <w:r w:rsidR="2570A184" w:rsidRPr="00AF5B46">
        <w:t xml:space="preserve">on </w:t>
      </w:r>
      <w:r w:rsidR="28629E49" w:rsidRPr="00AF5B46">
        <w:t xml:space="preserve">actual </w:t>
      </w:r>
      <w:r w:rsidR="2570A184" w:rsidRPr="00AF5B46">
        <w:t>quantitative costs and benefits</w:t>
      </w:r>
      <w:r w:rsidR="00280633">
        <w:t>,</w:t>
      </w:r>
      <w:r w:rsidR="00DF12CA">
        <w:t xml:space="preserve"> </w:t>
      </w:r>
      <w:r w:rsidR="3FF35FAF" w:rsidRPr="00AF5B46">
        <w:t xml:space="preserve">or the </w:t>
      </w:r>
      <w:r w:rsidR="00CC5D75" w:rsidRPr="00AF5B46">
        <w:t>potential costs</w:t>
      </w:r>
      <w:r w:rsidR="274C3C88" w:rsidRPr="00AF5B46">
        <w:t xml:space="preserve"> and</w:t>
      </w:r>
      <w:r w:rsidR="00CC5D75" w:rsidRPr="00AF5B46">
        <w:t xml:space="preserve"> benefits</w:t>
      </w:r>
      <w:r w:rsidR="00280633">
        <w:t>,</w:t>
      </w:r>
      <w:r w:rsidR="00CC5D75" w:rsidRPr="00AF5B46">
        <w:t xml:space="preserve"> </w:t>
      </w:r>
      <w:r w:rsidR="13D7260C" w:rsidRPr="00AF5B46">
        <w:t>outlined by the Office of Impact Assessment (OIA)</w:t>
      </w:r>
      <w:r w:rsidR="00CC5D75" w:rsidRPr="00AF5B46">
        <w:t xml:space="preserve"> to inform the development of the </w:t>
      </w:r>
      <w:r w:rsidR="00DF12CA">
        <w:t>d</w:t>
      </w:r>
      <w:r w:rsidR="00DF12CA" w:rsidRPr="00AF5B46">
        <w:t>ecision</w:t>
      </w:r>
      <w:r w:rsidR="00CC5D75" w:rsidRPr="00AF5B46">
        <w:t>: regulation impact statement (D-RIS)</w:t>
      </w:r>
      <w:r w:rsidR="00DF12CA">
        <w:t xml:space="preserve">. </w:t>
      </w:r>
      <w:r w:rsidR="00CC5D75" w:rsidRPr="00AF5B46">
        <w:t>Instead</w:t>
      </w:r>
      <w:r w:rsidR="00B341F7">
        <w:t>,</w:t>
      </w:r>
      <w:r w:rsidR="00CC5D75" w:rsidRPr="00AF5B46">
        <w:t xml:space="preserve"> these </w:t>
      </w:r>
      <w:r w:rsidR="00353496" w:rsidRPr="00AF5B46">
        <w:t>have been described through various patient journey</w:t>
      </w:r>
      <w:r w:rsidR="00701F23" w:rsidRPr="00AF5B46">
        <w:t xml:space="preserve"> scenarios presented above</w:t>
      </w:r>
      <w:r w:rsidR="774A6021" w:rsidRPr="00AF5B46">
        <w:t xml:space="preserve"> that </w:t>
      </w:r>
      <w:r w:rsidR="00280633">
        <w:t>outline</w:t>
      </w:r>
      <w:r w:rsidR="00280633" w:rsidRPr="00AF5B46">
        <w:t xml:space="preserve"> </w:t>
      </w:r>
      <w:r w:rsidR="774A6021" w:rsidRPr="00AF5B46">
        <w:t>hypothetical cost</w:t>
      </w:r>
      <w:r w:rsidR="39CD4119" w:rsidRPr="00AF5B46">
        <w:t>s</w:t>
      </w:r>
      <w:r w:rsidR="774A6021" w:rsidRPr="00AF5B46">
        <w:t xml:space="preserve"> related to the journey.</w:t>
      </w:r>
    </w:p>
    <w:p w14:paraId="0F78AD98" w14:textId="3C7BD426" w:rsidR="00A90898" w:rsidRDefault="00353496" w:rsidP="00216AB8">
      <w:pPr>
        <w:pStyle w:val="AHPRAbody"/>
        <w:outlineLvl w:val="0"/>
      </w:pPr>
      <w:r w:rsidRPr="008B56C3">
        <w:t>There was overwhelming support for option 2, that RNs expand the scope of practice to prescribe 2, 3, 4 and 8 medicines under supervision as this would improve access to healthcare for consumers</w:t>
      </w:r>
      <w:r>
        <w:t xml:space="preserve">. </w:t>
      </w:r>
    </w:p>
    <w:p w14:paraId="3636EFE3" w14:textId="77777777" w:rsidR="008E2DF2" w:rsidRDefault="008E2DF2" w:rsidP="00216AB8">
      <w:pPr>
        <w:pStyle w:val="AHPRAbody"/>
        <w:outlineLvl w:val="0"/>
      </w:pPr>
    </w:p>
    <w:p w14:paraId="33FF5618" w14:textId="77777777" w:rsidR="00DB170D" w:rsidRDefault="00DB170D" w:rsidP="00216AB8">
      <w:pPr>
        <w:pStyle w:val="AHPRAbody"/>
        <w:outlineLvl w:val="0"/>
      </w:pPr>
    </w:p>
    <w:p w14:paraId="20DAF315" w14:textId="2DDDE0A1" w:rsidR="00353496" w:rsidRDefault="00353496" w:rsidP="00216AB8">
      <w:pPr>
        <w:pStyle w:val="AHPRAbody"/>
        <w:outlineLvl w:val="0"/>
      </w:pPr>
      <w:r>
        <w:lastRenderedPageBreak/>
        <w:t>Respondents in support reported that:</w:t>
      </w:r>
    </w:p>
    <w:p w14:paraId="6FAA2577" w14:textId="7D5F45DE" w:rsidR="00353496" w:rsidRPr="00EB2CC1" w:rsidRDefault="00280633" w:rsidP="00FC23EF">
      <w:pPr>
        <w:pStyle w:val="AHPRABody1"/>
        <w:rPr>
          <w:sz w:val="22"/>
          <w:szCs w:val="22"/>
        </w:rPr>
      </w:pPr>
      <w:r>
        <w:rPr>
          <w:noProof/>
        </w:rPr>
        <mc:AlternateContent>
          <mc:Choice Requires="wps">
            <w:drawing>
              <wp:anchor distT="0" distB="0" distL="114300" distR="114300" simplePos="0" relativeHeight="251658272" behindDoc="0" locked="0" layoutInCell="1" allowOverlap="1" wp14:anchorId="14758601" wp14:editId="0B109705">
                <wp:simplePos x="0" y="0"/>
                <wp:positionH relativeFrom="column">
                  <wp:posOffset>0</wp:posOffset>
                </wp:positionH>
                <wp:positionV relativeFrom="paragraph">
                  <wp:posOffset>0</wp:posOffset>
                </wp:positionV>
                <wp:extent cx="1828800" cy="1828800"/>
                <wp:effectExtent l="0" t="0" r="21590" b="17145"/>
                <wp:wrapSquare wrapText="bothSides"/>
                <wp:docPr id="39" name="Text Box 39"/>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3756BF75" w14:textId="0D3FA17B" w:rsidR="00717F43" w:rsidRPr="00A90898" w:rsidRDefault="00717F43" w:rsidP="00717F43">
                            <w:pPr>
                              <w:pStyle w:val="AHPRABody1"/>
                            </w:pPr>
                            <w:r w:rsidRPr="00A90898">
                              <w:t>“Consumers will be able to access a wider range of people when they require prescriptions. If they already see a nurse on a regular basis, they will benefit from fewer medical appointments just to renew prescriptions.  Many members of marginalised communities already have a relationship/ receive care from nurses - this will allow them to access more of their care from a trusted individual”.</w:t>
                            </w:r>
                            <w:r>
                              <w:br/>
                            </w:r>
                          </w:p>
                          <w:p w14:paraId="15FBBFBA" w14:textId="64868DF9" w:rsidR="00717F43" w:rsidRPr="00A90898" w:rsidRDefault="00717F43" w:rsidP="00717F43">
                            <w:pPr>
                              <w:pStyle w:val="AHPRABody1"/>
                            </w:pPr>
                            <w:r w:rsidRPr="00A90898">
                              <w:t>“Increased Access to Healthcare, Nurse prescribing can help address shortages of primary care providers, especially in rural and underserved areas. It expands the workforce capable of providing essential healthcare services, making it easier for patients to receive timely treatment”</w:t>
                            </w:r>
                            <w:r>
                              <w:t>.</w:t>
                            </w:r>
                            <w:r>
                              <w:br/>
                            </w:r>
                          </w:p>
                          <w:p w14:paraId="75F6FC56" w14:textId="338BBBB9" w:rsidR="00717F43" w:rsidRPr="00A90898" w:rsidRDefault="00717F43" w:rsidP="00717F43">
                            <w:pPr>
                              <w:pStyle w:val="AHPRABody1"/>
                            </w:pPr>
                            <w:r w:rsidRPr="00A90898">
                              <w:t>“Streamlined Patient Care, Nurse prescribing can lead to more efficient and timely patient care. Instead of waiting for a physician's approval, nurses can prescribe medications promptly, reducing delays in treatment and improving patient satisfaction”.</w:t>
                            </w:r>
                            <w:r>
                              <w:br/>
                            </w:r>
                          </w:p>
                          <w:p w14:paraId="1F3B712C" w14:textId="3E3C6F0C" w:rsidR="00717F43" w:rsidRPr="00A90898" w:rsidRDefault="00717F43" w:rsidP="00717F43">
                            <w:pPr>
                              <w:pStyle w:val="AHPRABody1"/>
                            </w:pPr>
                            <w:r w:rsidRPr="00A90898">
                              <w:t>“Improved Chronic Disease Management, Nurse prescribers can play a crucial role in managing chronic conditions, such as diabetes or hypertension. They can adjust medications as needed, monitor patients closely, and provide education on medication adherence and lifestyle changes”.</w:t>
                            </w:r>
                            <w:r>
                              <w:br/>
                            </w:r>
                          </w:p>
                          <w:p w14:paraId="46715743" w14:textId="2A3E5767" w:rsidR="00717F43" w:rsidRPr="00A90898" w:rsidRDefault="00717F43" w:rsidP="00717F43">
                            <w:pPr>
                              <w:pStyle w:val="AHPRABody1"/>
                            </w:pPr>
                            <w:r w:rsidRPr="00A90898">
                              <w:t xml:space="preserve">“Collaborative Practice, Nurse prescribing operates within a framework of collaborative practice with physicians and other healthcare professionals. This ensures that prescribing decisions are made in consultation with the patient's primary care provider, promoting safety and accountability”.  </w:t>
                            </w:r>
                            <w:r>
                              <w:br/>
                            </w:r>
                          </w:p>
                          <w:p w14:paraId="052D7A9D" w14:textId="2F0C9C34" w:rsidR="00717F43" w:rsidRPr="00A90898" w:rsidRDefault="00717F43" w:rsidP="00717F43">
                            <w:pPr>
                              <w:pStyle w:val="AHPRABody1"/>
                            </w:pPr>
                            <w:r w:rsidRPr="00A90898">
                              <w:t>“Cost-Effective Care, Nurse prescribing can potentially lead to cost savings in healthcare systems. Nurses may prescribe generic medications and focus on preventive care, leading to reduced healthcare expenditures over time”.</w:t>
                            </w:r>
                            <w:r>
                              <w:br/>
                            </w:r>
                          </w:p>
                          <w:p w14:paraId="3CC58146" w14:textId="42ED8E01" w:rsidR="00717F43" w:rsidRPr="00A90898" w:rsidRDefault="00717F43" w:rsidP="00717F43">
                            <w:pPr>
                              <w:pStyle w:val="AHPRABody1"/>
                            </w:pPr>
                            <w:r w:rsidRPr="00A90898">
                              <w:t>“Improved Patient Education, Nurses are skilled educators who can provide patients with essential information about their medications, potential side effects, and how to take them properly. This can enhance patient compliance and safety”.</w:t>
                            </w:r>
                            <w:r>
                              <w:br/>
                            </w:r>
                          </w:p>
                          <w:p w14:paraId="7FFD22A8" w14:textId="6BBE2E9C" w:rsidR="00717F43" w:rsidRPr="00A90898" w:rsidRDefault="00717F43" w:rsidP="00717F43">
                            <w:pPr>
                              <w:pStyle w:val="AHPRABody1"/>
                            </w:pPr>
                            <w:r w:rsidRPr="00A90898">
                              <w:t>“Patients will have timely access to titration of medications and reduce emergency admissions”</w:t>
                            </w:r>
                            <w:r>
                              <w:br/>
                            </w:r>
                          </w:p>
                          <w:p w14:paraId="2D278B22" w14:textId="029FED8E" w:rsidR="00717F43" w:rsidRPr="00A90898" w:rsidRDefault="00717F43" w:rsidP="00717F43">
                            <w:pPr>
                              <w:pStyle w:val="AHPRABody1"/>
                            </w:pPr>
                            <w:r w:rsidRPr="00A90898">
                              <w:t>“More healthcare providers can reduce wait times and decreased delays in waiting times for GP’s”</w:t>
                            </w:r>
                            <w:r>
                              <w:br/>
                            </w:r>
                          </w:p>
                          <w:p w14:paraId="611153D1" w14:textId="7A3C4B94" w:rsidR="00717F43" w:rsidRPr="00A90898" w:rsidRDefault="00717F43" w:rsidP="00717F43">
                            <w:pPr>
                              <w:pStyle w:val="AHPRABody1"/>
                            </w:pPr>
                            <w:r w:rsidRPr="00A90898">
                              <w:t>“Consumers will be able to access a wider range of people when they require prescriptions. If they already see a nurse on a regular basis they will benefit from fewer medical appointments just to renew prescriptions. Many members of marginalised communities already have a relationship / receive care from nurses - this will allow them to access more of their care from a trusted individual”.</w:t>
                            </w:r>
                            <w:r>
                              <w:br/>
                            </w:r>
                          </w:p>
                          <w:p w14:paraId="70C9692A" w14:textId="77777777" w:rsidR="00717F43" w:rsidRPr="00BD32A2" w:rsidRDefault="00717F43" w:rsidP="00717F43">
                            <w:pPr>
                              <w:pStyle w:val="AHPRABody1"/>
                            </w:pPr>
                            <w:r w:rsidRPr="00A90898">
                              <w:t>“Benefit of option 2 would outweigh costs as it would provide minimal disruptions to patient care if patients were only awaiting a script for specific medication. Also beneficial for both inpatients and patients in the community awaiting</w:t>
                            </w:r>
                            <w:r w:rsidRPr="00EB2CC1">
                              <w:rPr>
                                <w:sz w:val="22"/>
                                <w:szCs w:val="22"/>
                              </w:rPr>
                              <w:t xml:space="preserve"> </w:t>
                            </w:r>
                            <w:r w:rsidRPr="00A90898">
                              <w:t>to see GP just for scripts. Strict governance however would be required”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758601" id="Text Box 39" o:spid="_x0000_s1039" type="#_x0000_t202" style="position:absolute;margin-left:0;margin-top:0;width:2in;height:2in;z-index:251658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CQpm8nMwIAAIMEAAAOAAAAAAAAAAAAAAAAAC4CAABk&#10;cnMvZTJvRG9jLnhtbFBLAQItABQABgAIAAAAIQA0H0KE2QAAAAUBAAAPAAAAAAAAAAAAAAAAAI0E&#10;AABkcnMvZG93bnJldi54bWxQSwUGAAAAAAQABADzAAAAkwUAAAAA&#10;" fillcolor="#eeece1 [3214]" strokeweight=".5pt">
                <v:textbox style="mso-fit-shape-to-text:t">
                  <w:txbxContent>
                    <w:p w14:paraId="3756BF75" w14:textId="0D3FA17B" w:rsidR="00717F43" w:rsidRPr="00A90898" w:rsidRDefault="00717F43" w:rsidP="00717F43">
                      <w:pPr>
                        <w:pStyle w:val="AHPRABody1"/>
                      </w:pPr>
                      <w:r w:rsidRPr="00A90898">
                        <w:t>“Consumers will be able to access a wider range of people when they require prescriptions. If they already see a nurse on a regular basis, they will benefit from fewer medical appointments just to renew prescriptions.  Many members of marginalised communities already have a relationship/ receive care from nurses - this will allow them to access more of their care from a trusted individual”.</w:t>
                      </w:r>
                      <w:r>
                        <w:br/>
                      </w:r>
                    </w:p>
                    <w:p w14:paraId="15FBBFBA" w14:textId="64868DF9" w:rsidR="00717F43" w:rsidRPr="00A90898" w:rsidRDefault="00717F43" w:rsidP="00717F43">
                      <w:pPr>
                        <w:pStyle w:val="AHPRABody1"/>
                      </w:pPr>
                      <w:r w:rsidRPr="00A90898">
                        <w:t>“Increased Access to Healthcare, Nurse prescribing can help address shortages of primary care providers, especially in rural and underserved areas. It expands the workforce capable of providing essential healthcare services, making it easier for patients to receive timely treatment”</w:t>
                      </w:r>
                      <w:r>
                        <w:t>.</w:t>
                      </w:r>
                      <w:r>
                        <w:br/>
                      </w:r>
                    </w:p>
                    <w:p w14:paraId="75F6FC56" w14:textId="338BBBB9" w:rsidR="00717F43" w:rsidRPr="00A90898" w:rsidRDefault="00717F43" w:rsidP="00717F43">
                      <w:pPr>
                        <w:pStyle w:val="AHPRABody1"/>
                      </w:pPr>
                      <w:r w:rsidRPr="00A90898">
                        <w:t>“Streamlined Patient Care, Nurse prescribing can lead to more efficient and timely patient care. Instead of waiting for a physician's approval, nurses can prescribe medications promptly, reducing delays in treatment and improving patient satisfaction”.</w:t>
                      </w:r>
                      <w:r>
                        <w:br/>
                      </w:r>
                    </w:p>
                    <w:p w14:paraId="1F3B712C" w14:textId="3E3C6F0C" w:rsidR="00717F43" w:rsidRPr="00A90898" w:rsidRDefault="00717F43" w:rsidP="00717F43">
                      <w:pPr>
                        <w:pStyle w:val="AHPRABody1"/>
                      </w:pPr>
                      <w:r w:rsidRPr="00A90898">
                        <w:t>“Improved Chronic Disease Management, Nurse prescribers can play a crucial role in managing chronic conditions, such as diabetes or hypertension. They can adjust medications as needed, monitor patients closely, and provide education on medication adherence and lifestyle changes”.</w:t>
                      </w:r>
                      <w:r>
                        <w:br/>
                      </w:r>
                    </w:p>
                    <w:p w14:paraId="46715743" w14:textId="2A3E5767" w:rsidR="00717F43" w:rsidRPr="00A90898" w:rsidRDefault="00717F43" w:rsidP="00717F43">
                      <w:pPr>
                        <w:pStyle w:val="AHPRABody1"/>
                      </w:pPr>
                      <w:r w:rsidRPr="00A90898">
                        <w:t xml:space="preserve">“Collaborative Practice, Nurse prescribing operates within a framework of collaborative practice with physicians and other healthcare professionals. This ensures that prescribing decisions are made in consultation with the patient's primary care provider, promoting safety and accountability”.  </w:t>
                      </w:r>
                      <w:r>
                        <w:br/>
                      </w:r>
                    </w:p>
                    <w:p w14:paraId="052D7A9D" w14:textId="2F0C9C34" w:rsidR="00717F43" w:rsidRPr="00A90898" w:rsidRDefault="00717F43" w:rsidP="00717F43">
                      <w:pPr>
                        <w:pStyle w:val="AHPRABody1"/>
                      </w:pPr>
                      <w:r w:rsidRPr="00A90898">
                        <w:t>“Cost-Effective Care, Nurse prescribing can potentially lead to cost savings in healthcare systems. Nurses may prescribe generic medications and focus on preventive care, leading to reduced healthcare expenditures over time”.</w:t>
                      </w:r>
                      <w:r>
                        <w:br/>
                      </w:r>
                    </w:p>
                    <w:p w14:paraId="3CC58146" w14:textId="42ED8E01" w:rsidR="00717F43" w:rsidRPr="00A90898" w:rsidRDefault="00717F43" w:rsidP="00717F43">
                      <w:pPr>
                        <w:pStyle w:val="AHPRABody1"/>
                      </w:pPr>
                      <w:r w:rsidRPr="00A90898">
                        <w:t>“Improved Patient Education, Nurses are skilled educators who can provide patients with essential information about their medications, potential side effects, and how to take them properly. This can enhance patient compliance and safety”.</w:t>
                      </w:r>
                      <w:r>
                        <w:br/>
                      </w:r>
                    </w:p>
                    <w:p w14:paraId="7FFD22A8" w14:textId="6BBE2E9C" w:rsidR="00717F43" w:rsidRPr="00A90898" w:rsidRDefault="00717F43" w:rsidP="00717F43">
                      <w:pPr>
                        <w:pStyle w:val="AHPRABody1"/>
                      </w:pPr>
                      <w:r w:rsidRPr="00A90898">
                        <w:t>“Patients will have timely access to titration of medications and reduce emergency admissions”</w:t>
                      </w:r>
                      <w:r>
                        <w:br/>
                      </w:r>
                    </w:p>
                    <w:p w14:paraId="2D278B22" w14:textId="029FED8E" w:rsidR="00717F43" w:rsidRPr="00A90898" w:rsidRDefault="00717F43" w:rsidP="00717F43">
                      <w:pPr>
                        <w:pStyle w:val="AHPRABody1"/>
                      </w:pPr>
                      <w:r w:rsidRPr="00A90898">
                        <w:t>“More healthcare providers can reduce wait times and decreased delays in waiting times for GP’s”</w:t>
                      </w:r>
                      <w:r>
                        <w:br/>
                      </w:r>
                    </w:p>
                    <w:p w14:paraId="611153D1" w14:textId="7A3C4B94" w:rsidR="00717F43" w:rsidRPr="00A90898" w:rsidRDefault="00717F43" w:rsidP="00717F43">
                      <w:pPr>
                        <w:pStyle w:val="AHPRABody1"/>
                      </w:pPr>
                      <w:r w:rsidRPr="00A90898">
                        <w:t>“Consumers will be able to access a wider range of people when they require prescriptions. If they already see a nurse on a regular basis they will benefit from fewer medical appointments just to renew prescriptions. Many members of marginalised communities already have a relationship / receive care from nurses - this will allow them to access more of their care from a trusted individual”.</w:t>
                      </w:r>
                      <w:r>
                        <w:br/>
                      </w:r>
                    </w:p>
                    <w:p w14:paraId="70C9692A" w14:textId="77777777" w:rsidR="00717F43" w:rsidRPr="00BD32A2" w:rsidRDefault="00717F43" w:rsidP="00717F43">
                      <w:pPr>
                        <w:pStyle w:val="AHPRABody1"/>
                      </w:pPr>
                      <w:r w:rsidRPr="00A90898">
                        <w:t>“Benefit of option 2 would outweigh costs as it would provide minimal disruptions to patient care if patients were only awaiting a script for specific medication. Also beneficial for both inpatients and patients in the community awaiting</w:t>
                      </w:r>
                      <w:r w:rsidRPr="00EB2CC1">
                        <w:rPr>
                          <w:sz w:val="22"/>
                          <w:szCs w:val="22"/>
                        </w:rPr>
                        <w:t xml:space="preserve"> </w:t>
                      </w:r>
                      <w:r w:rsidRPr="00A90898">
                        <w:t>to see GP just for scripts. Strict governance however would be required”</w:t>
                      </w:r>
                    </w:p>
                  </w:txbxContent>
                </v:textbox>
                <w10:wrap type="square"/>
              </v:shape>
            </w:pict>
          </mc:Fallback>
        </mc:AlternateContent>
      </w:r>
    </w:p>
    <w:p w14:paraId="30D21C11" w14:textId="77777777" w:rsidR="008E2DF2" w:rsidRDefault="008E2DF2" w:rsidP="00216AB8">
      <w:pPr>
        <w:pStyle w:val="AHPRAbody"/>
        <w:outlineLvl w:val="0"/>
      </w:pPr>
    </w:p>
    <w:p w14:paraId="10F76EEC" w14:textId="77777777" w:rsidR="008E2DF2" w:rsidRDefault="008E2DF2" w:rsidP="00216AB8">
      <w:pPr>
        <w:pStyle w:val="AHPRAbody"/>
        <w:outlineLvl w:val="0"/>
      </w:pPr>
    </w:p>
    <w:p w14:paraId="2D953F6A" w14:textId="77777777" w:rsidR="008E2DF2" w:rsidRDefault="008E2DF2" w:rsidP="00216AB8">
      <w:pPr>
        <w:pStyle w:val="AHPRAbody"/>
        <w:outlineLvl w:val="0"/>
      </w:pPr>
    </w:p>
    <w:p w14:paraId="2EB19E38" w14:textId="77777777" w:rsidR="008E2DF2" w:rsidRDefault="008E2DF2" w:rsidP="00216AB8">
      <w:pPr>
        <w:pStyle w:val="AHPRAbody"/>
        <w:outlineLvl w:val="0"/>
      </w:pPr>
    </w:p>
    <w:p w14:paraId="4362D00B" w14:textId="77777777" w:rsidR="008E2DF2" w:rsidRDefault="008E2DF2" w:rsidP="00216AB8">
      <w:pPr>
        <w:pStyle w:val="AHPRAbody"/>
        <w:outlineLvl w:val="0"/>
      </w:pPr>
    </w:p>
    <w:p w14:paraId="22595773" w14:textId="77777777" w:rsidR="008E2DF2" w:rsidRDefault="008E2DF2" w:rsidP="00216AB8">
      <w:pPr>
        <w:pStyle w:val="AHPRAbody"/>
        <w:outlineLvl w:val="0"/>
      </w:pPr>
    </w:p>
    <w:p w14:paraId="61241E01" w14:textId="77777777" w:rsidR="00DB170D" w:rsidRDefault="00DB170D" w:rsidP="00216AB8">
      <w:pPr>
        <w:pStyle w:val="AHPRAbody"/>
        <w:outlineLvl w:val="0"/>
      </w:pPr>
    </w:p>
    <w:p w14:paraId="41B03928" w14:textId="77777777" w:rsidR="008E2DF2" w:rsidRDefault="008E2DF2" w:rsidP="00216AB8">
      <w:pPr>
        <w:pStyle w:val="AHPRAbody"/>
        <w:outlineLvl w:val="0"/>
      </w:pPr>
    </w:p>
    <w:p w14:paraId="40D0EC1D" w14:textId="77777777" w:rsidR="008E2DF2" w:rsidRDefault="008E2DF2" w:rsidP="00216AB8">
      <w:pPr>
        <w:pStyle w:val="AHPRAbody"/>
        <w:outlineLvl w:val="0"/>
      </w:pPr>
    </w:p>
    <w:p w14:paraId="6D6C2B4E" w14:textId="696773C3" w:rsidR="00353496" w:rsidRDefault="00D9680C" w:rsidP="00216AB8">
      <w:pPr>
        <w:pStyle w:val="AHPRAbody"/>
        <w:outlineLvl w:val="0"/>
      </w:pPr>
      <w:r>
        <w:lastRenderedPageBreak/>
        <w:t>Respondents also raised concerns around</w:t>
      </w:r>
      <w:r w:rsidR="00353496">
        <w:t>:</w:t>
      </w:r>
    </w:p>
    <w:p w14:paraId="45721D53" w14:textId="677C6E9D" w:rsidR="003825C7" w:rsidRDefault="00D9680C" w:rsidP="00216AB8">
      <w:pPr>
        <w:pStyle w:val="AHPRAbody"/>
        <w:outlineLvl w:val="0"/>
      </w:pPr>
      <w:r>
        <w:rPr>
          <w:rFonts w:asciiTheme="minorHAnsi" w:eastAsia="Times New Roman" w:hAnsiTheme="minorHAnsi" w:cstheme="minorHAnsi"/>
          <w:i/>
          <w:iCs/>
          <w:szCs w:val="20"/>
          <w:lang w:eastAsia="en-AU"/>
        </w:rPr>
        <w:br/>
      </w:r>
      <w:r>
        <w:rPr>
          <w:noProof/>
          <w:lang w:eastAsia="en-AU"/>
        </w:rPr>
        <mc:AlternateContent>
          <mc:Choice Requires="wps">
            <w:drawing>
              <wp:anchor distT="0" distB="0" distL="114300" distR="114300" simplePos="0" relativeHeight="251658273" behindDoc="0" locked="0" layoutInCell="1" allowOverlap="1" wp14:anchorId="498902D9" wp14:editId="4CF218DB">
                <wp:simplePos x="0" y="0"/>
                <wp:positionH relativeFrom="column">
                  <wp:posOffset>0</wp:posOffset>
                </wp:positionH>
                <wp:positionV relativeFrom="paragraph">
                  <wp:posOffset>0</wp:posOffset>
                </wp:positionV>
                <wp:extent cx="1828800" cy="1828800"/>
                <wp:effectExtent l="0" t="0" r="21590" b="10160"/>
                <wp:wrapSquare wrapText="bothSides"/>
                <wp:docPr id="40" name="Text Box 4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35901F00" w14:textId="4E3B7F96" w:rsidR="00717F43" w:rsidRPr="00A90898" w:rsidRDefault="00717F43" w:rsidP="00F7356E">
                            <w:pPr>
                              <w:pStyle w:val="AHPRABody1"/>
                            </w:pPr>
                            <w:r w:rsidRPr="00A90898">
                              <w:t>“No specific education about pharmacokinetics”.</w:t>
                            </w:r>
                            <w:r>
                              <w:br/>
                            </w:r>
                          </w:p>
                          <w:p w14:paraId="75020310" w14:textId="77777777" w:rsidR="00717F43" w:rsidRPr="00A90898" w:rsidRDefault="00717F43" w:rsidP="00F7356E">
                            <w:pPr>
                              <w:pStyle w:val="AHPRABody1"/>
                            </w:pPr>
                            <w:r w:rsidRPr="00A90898">
                              <w:t>“Over-prescribing”.</w:t>
                            </w:r>
                          </w:p>
                          <w:p w14:paraId="693C6243" w14:textId="5C6FE9BF" w:rsidR="00717F43" w:rsidRPr="00A90898" w:rsidRDefault="00717F43" w:rsidP="00F7356E">
                            <w:pPr>
                              <w:pStyle w:val="AHPRABody1"/>
                            </w:pPr>
                            <w:r>
                              <w:br/>
                            </w:r>
                            <w:r w:rsidRPr="00A90898">
                              <w:t>“Concerns regarding opioid prescriptions outside palliative care settings. Potential for misuse / overdose”.</w:t>
                            </w:r>
                          </w:p>
                          <w:p w14:paraId="4C92A272" w14:textId="5173B64F" w:rsidR="00717F43" w:rsidRPr="00A90898" w:rsidRDefault="00717F43" w:rsidP="00F7356E">
                            <w:pPr>
                              <w:pStyle w:val="AHPRABody1"/>
                            </w:pPr>
                            <w:r>
                              <w:br/>
                            </w:r>
                            <w:r w:rsidRPr="00A90898">
                              <w:t>"Just keep prescribing" is a dangerous and costly approach to care. Medications need to be under constant review for appropriateness - the proposed model seems to promote "just keep prescribing".</w:t>
                            </w:r>
                          </w:p>
                          <w:p w14:paraId="306EBDCA" w14:textId="0847872E" w:rsidR="00717F43" w:rsidRPr="00D63883" w:rsidRDefault="00717F43" w:rsidP="00F7356E">
                            <w:pPr>
                              <w:pStyle w:val="AHPRABody1"/>
                            </w:pPr>
                            <w:r>
                              <w:br/>
                            </w:r>
                            <w:r w:rsidRPr="00A90898">
                              <w:t>“Less qualified practitioners prescribing without complex patient assessment”.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8902D9" id="Text Box 40" o:spid="_x0000_s1040" type="#_x0000_t202" style="position:absolute;margin-left:0;margin-top:0;width:2in;height:2in;z-index:25165827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Cm0TtHMwIAAIMEAAAOAAAAAAAAAAAAAAAAAC4CAABk&#10;cnMvZTJvRG9jLnhtbFBLAQItABQABgAIAAAAIQA0H0KE2QAAAAUBAAAPAAAAAAAAAAAAAAAAAI0E&#10;AABkcnMvZG93bnJldi54bWxQSwUGAAAAAAQABADzAAAAkwUAAAAA&#10;" fillcolor="#eeece1 [3214]" strokeweight=".5pt">
                <v:textbox style="mso-fit-shape-to-text:t">
                  <w:txbxContent>
                    <w:p w14:paraId="35901F00" w14:textId="4E3B7F96" w:rsidR="00717F43" w:rsidRPr="00A90898" w:rsidRDefault="00717F43" w:rsidP="00F7356E">
                      <w:pPr>
                        <w:pStyle w:val="AHPRABody1"/>
                      </w:pPr>
                      <w:r w:rsidRPr="00A90898">
                        <w:t>“No specific education about pharmacokinetics”.</w:t>
                      </w:r>
                      <w:r>
                        <w:br/>
                      </w:r>
                    </w:p>
                    <w:p w14:paraId="75020310" w14:textId="77777777" w:rsidR="00717F43" w:rsidRPr="00A90898" w:rsidRDefault="00717F43" w:rsidP="00F7356E">
                      <w:pPr>
                        <w:pStyle w:val="AHPRABody1"/>
                      </w:pPr>
                      <w:r w:rsidRPr="00A90898">
                        <w:t>“Over-prescribing”.</w:t>
                      </w:r>
                    </w:p>
                    <w:p w14:paraId="693C6243" w14:textId="5C6FE9BF" w:rsidR="00717F43" w:rsidRPr="00A90898" w:rsidRDefault="00717F43" w:rsidP="00F7356E">
                      <w:pPr>
                        <w:pStyle w:val="AHPRABody1"/>
                      </w:pPr>
                      <w:r>
                        <w:br/>
                      </w:r>
                      <w:r w:rsidRPr="00A90898">
                        <w:t>“Concerns regarding opioid prescriptions outside palliative care settings. Potential for misuse / overdose”.</w:t>
                      </w:r>
                    </w:p>
                    <w:p w14:paraId="4C92A272" w14:textId="5173B64F" w:rsidR="00717F43" w:rsidRPr="00A90898" w:rsidRDefault="00717F43" w:rsidP="00F7356E">
                      <w:pPr>
                        <w:pStyle w:val="AHPRABody1"/>
                      </w:pPr>
                      <w:r>
                        <w:br/>
                      </w:r>
                      <w:r w:rsidRPr="00A90898">
                        <w:t>"Just keep prescribing" is a dangerous and costly approach to care. Medications need to be under constant review for appropriateness - the proposed model seems to promote "just keep prescribing".</w:t>
                      </w:r>
                    </w:p>
                    <w:p w14:paraId="306EBDCA" w14:textId="0847872E" w:rsidR="00717F43" w:rsidRPr="00D63883" w:rsidRDefault="00717F43" w:rsidP="00F7356E">
                      <w:pPr>
                        <w:pStyle w:val="AHPRABody1"/>
                      </w:pPr>
                      <w:r>
                        <w:br/>
                      </w:r>
                      <w:r w:rsidRPr="00A90898">
                        <w:t>“Less qualified practitioners prescribing without complex patient assessment”.</w:t>
                      </w:r>
                    </w:p>
                  </w:txbxContent>
                </v:textbox>
                <w10:wrap type="square"/>
              </v:shape>
            </w:pict>
          </mc:Fallback>
        </mc:AlternateContent>
      </w:r>
      <w:r w:rsidR="00353496">
        <w:t xml:space="preserve">Postgraduate qualification </w:t>
      </w:r>
      <w:r w:rsidR="00346ABC">
        <w:t xml:space="preserve">in RN </w:t>
      </w:r>
      <w:r w:rsidR="007C2275">
        <w:t>Prescribing</w:t>
      </w:r>
      <w:r w:rsidR="00346ABC">
        <w:t xml:space="preserve"> </w:t>
      </w:r>
      <w:r w:rsidR="003825C7">
        <w:t>education will</w:t>
      </w:r>
      <w:r w:rsidR="00353496">
        <w:t xml:space="preserve"> include pharmacokinetics and pharmacotherapeutics and </w:t>
      </w:r>
      <w:r w:rsidR="00242C82">
        <w:t xml:space="preserve">build on the </w:t>
      </w:r>
      <w:r w:rsidR="005A13D0">
        <w:t xml:space="preserve">foundations </w:t>
      </w:r>
      <w:r w:rsidR="00430475">
        <w:t>of accredited Bachelor of Nursing Programs</w:t>
      </w:r>
      <w:r w:rsidR="00537599">
        <w:t xml:space="preserve"> and</w:t>
      </w:r>
      <w:r w:rsidR="00430475">
        <w:t xml:space="preserve"> </w:t>
      </w:r>
      <w:r w:rsidR="00861CD0">
        <w:t>Quality</w:t>
      </w:r>
      <w:r w:rsidR="00242C82">
        <w:t xml:space="preserve"> use o</w:t>
      </w:r>
      <w:r w:rsidR="00692B97">
        <w:t>f</w:t>
      </w:r>
      <w:r w:rsidR="00242C82">
        <w:t xml:space="preserve"> </w:t>
      </w:r>
      <w:r w:rsidR="008145EE">
        <w:t>medicine</w:t>
      </w:r>
      <w:r w:rsidR="00242C82">
        <w:t xml:space="preserve"> </w:t>
      </w:r>
      <w:r w:rsidR="005A13D0">
        <w:t>frameworks</w:t>
      </w:r>
      <w:r w:rsidR="00537599">
        <w:t>.</w:t>
      </w:r>
      <w:r w:rsidR="005A13D0">
        <w:t xml:space="preserve"> </w:t>
      </w:r>
      <w:r w:rsidR="00537599">
        <w:t>A</w:t>
      </w:r>
      <w:r w:rsidR="00BA658D">
        <w:t xml:space="preserve">ssessment and </w:t>
      </w:r>
      <w:r w:rsidR="005A13D0">
        <w:t xml:space="preserve">competence in </w:t>
      </w:r>
      <w:r w:rsidR="001F2D06">
        <w:t xml:space="preserve">pharmacotherapeutics </w:t>
      </w:r>
      <w:r w:rsidR="00692B97">
        <w:t>wi</w:t>
      </w:r>
      <w:r w:rsidR="00330D3A">
        <w:t xml:space="preserve">ll </w:t>
      </w:r>
      <w:r w:rsidR="00692B97">
        <w:t xml:space="preserve">include the </w:t>
      </w:r>
      <w:r w:rsidR="00C726E9">
        <w:t xml:space="preserve">assessment and </w:t>
      </w:r>
      <w:r w:rsidR="00692B97">
        <w:t>appraisal of competence in pharmacotherapeutics</w:t>
      </w:r>
      <w:r w:rsidR="00430475">
        <w:t>.</w:t>
      </w:r>
      <w:r w:rsidR="00692B97">
        <w:t xml:space="preserve"> </w:t>
      </w:r>
      <w:r w:rsidR="003F1D98">
        <w:t>I</w:t>
      </w:r>
      <w:r w:rsidR="00353496">
        <w:t xml:space="preserve">t is anticipated that select units currently offered in the Masters of Nurse Practitioner will be modified for use in postgraduate </w:t>
      </w:r>
      <w:r w:rsidR="00EC09D9">
        <w:t>studies</w:t>
      </w:r>
      <w:r w:rsidR="001E267B">
        <w:t xml:space="preserve">. </w:t>
      </w:r>
      <w:r w:rsidR="002F6C37">
        <w:t>A</w:t>
      </w:r>
      <w:r w:rsidR="002F6C37" w:rsidRPr="00197761">
        <w:t xml:space="preserve">ccredited NP courses already have established </w:t>
      </w:r>
      <w:r w:rsidR="002F6C37">
        <w:t xml:space="preserve">and embedded </w:t>
      </w:r>
      <w:r w:rsidR="002F6C37" w:rsidRPr="00197761">
        <w:t>educational principles and pedagogical approaches to achieve the learning outcomes required for designated RN prescribing</w:t>
      </w:r>
      <w:r w:rsidR="00353496">
        <w:t xml:space="preserve"> </w:t>
      </w:r>
      <w:r w:rsidR="00916A2A">
        <w:t xml:space="preserve">and </w:t>
      </w:r>
      <w:r w:rsidR="008C6D1B">
        <w:t xml:space="preserve">will </w:t>
      </w:r>
      <w:r w:rsidR="00353496">
        <w:t xml:space="preserve">allow </w:t>
      </w:r>
      <w:r w:rsidR="006E207B">
        <w:t xml:space="preserve">for </w:t>
      </w:r>
      <w:r w:rsidR="00353496">
        <w:t>potential articulation pathways</w:t>
      </w:r>
      <w:r w:rsidR="006E207B">
        <w:t xml:space="preserve"> to the NP course</w:t>
      </w:r>
      <w:r w:rsidR="00C63DC1">
        <w:t>.</w:t>
      </w:r>
      <w:r w:rsidR="006E207B">
        <w:t xml:space="preserve"> </w:t>
      </w:r>
      <w:r w:rsidR="00D36DD6">
        <w:t>The program of study is delivered at an Australian Qualifications Framework Level 8</w:t>
      </w:r>
      <w:r w:rsidR="003825C7">
        <w:t>.</w:t>
      </w:r>
    </w:p>
    <w:p w14:paraId="23FA7B73" w14:textId="526611E9" w:rsidR="00353496" w:rsidRDefault="00353496" w:rsidP="00216AB8">
      <w:pPr>
        <w:pStyle w:val="AHPRAbody"/>
        <w:outlineLvl w:val="0"/>
      </w:pPr>
      <w:r>
        <w:t xml:space="preserve">The NMBA is working with closely with ANMAC </w:t>
      </w:r>
      <w:r w:rsidR="007C2275">
        <w:t xml:space="preserve">and is part of the ANMAC </w:t>
      </w:r>
      <w:r w:rsidR="00F93248">
        <w:t>RN Prescribing Accreditation Standards Project Working Group</w:t>
      </w:r>
      <w:r w:rsidR="000F0130">
        <w:t xml:space="preserve"> </w:t>
      </w:r>
      <w:r>
        <w:t xml:space="preserve">who </w:t>
      </w:r>
      <w:r w:rsidR="00A90898">
        <w:t xml:space="preserve">have </w:t>
      </w:r>
      <w:r>
        <w:t xml:space="preserve">undertaken an extensive gap analysis between the </w:t>
      </w:r>
      <w:r w:rsidRPr="00DA5C46">
        <w:rPr>
          <w:i/>
          <w:iCs/>
        </w:rPr>
        <w:t>NPS: Prescribing Competency Framework</w:t>
      </w:r>
      <w:r>
        <w:t xml:space="preserve">, </w:t>
      </w:r>
      <w:r w:rsidRPr="00DA5C46">
        <w:rPr>
          <w:i/>
          <w:iCs/>
        </w:rPr>
        <w:t>Registered Nurse Accreditation Standards 2019</w:t>
      </w:r>
      <w:r>
        <w:t xml:space="preserve">, NMBA’s </w:t>
      </w:r>
      <w:r w:rsidRPr="00DA5C46">
        <w:rPr>
          <w:i/>
          <w:iCs/>
        </w:rPr>
        <w:t>Registered nurse standards for practice</w:t>
      </w:r>
      <w:r>
        <w:t xml:space="preserve"> 2016 and the </w:t>
      </w:r>
      <w:r w:rsidRPr="00DA5C46">
        <w:rPr>
          <w:i/>
          <w:iCs/>
        </w:rPr>
        <w:t>National Safety &amp; Quality Health Service Standards</w:t>
      </w:r>
      <w:r>
        <w:t xml:space="preserve"> (NSQHC). There has been a comparative analysis with </w:t>
      </w:r>
      <w:r w:rsidR="00A90898">
        <w:t xml:space="preserve">national </w:t>
      </w:r>
      <w:r>
        <w:t xml:space="preserve">and </w:t>
      </w:r>
      <w:r w:rsidR="00A90898">
        <w:t xml:space="preserve">international </w:t>
      </w:r>
      <w:r>
        <w:t xml:space="preserve">pedagogical frameworks and standards for non-medical prescribing to assist in the delivery of ANMAC </w:t>
      </w:r>
      <w:r w:rsidR="2A04B8A1" w:rsidRPr="00F842D7">
        <w:t xml:space="preserve">Designated RN Prescribing </w:t>
      </w:r>
      <w:r w:rsidRPr="00F842D7">
        <w:t xml:space="preserve">Accreditation Standards for Programs Leading to Endorsement for Scheduled Medicines for </w:t>
      </w:r>
      <w:r w:rsidR="00DA5C46" w:rsidRPr="00F842D7">
        <w:t>Registered</w:t>
      </w:r>
      <w:r w:rsidR="00DA5C46">
        <w:rPr>
          <w:i/>
          <w:iCs/>
        </w:rPr>
        <w:t xml:space="preserve"> Nurse</w:t>
      </w:r>
      <w:r w:rsidR="00DA5C46" w:rsidRPr="00DA5C46">
        <w:rPr>
          <w:i/>
          <w:iCs/>
        </w:rPr>
        <w:t>s</w:t>
      </w:r>
      <w:r>
        <w:t xml:space="preserve">. Public consultation </w:t>
      </w:r>
      <w:r w:rsidR="000F0130">
        <w:t xml:space="preserve">has occurred </w:t>
      </w:r>
      <w:r>
        <w:t xml:space="preserve">on these standards </w:t>
      </w:r>
      <w:r w:rsidR="00EC7990">
        <w:t>and they are near finalisation</w:t>
      </w:r>
      <w:r w:rsidR="00AA79CC">
        <w:t>.</w:t>
      </w:r>
    </w:p>
    <w:p w14:paraId="5B5EB268" w14:textId="20106355" w:rsidR="00353496" w:rsidRPr="0041087F" w:rsidRDefault="00737A4A" w:rsidP="00216AB8">
      <w:pPr>
        <w:pStyle w:val="BodyText"/>
        <w:spacing w:beforeLines="60" w:before="144" w:afterLines="60" w:after="144" w:line="280" w:lineRule="atLeast"/>
        <w:outlineLvl w:val="0"/>
      </w:pPr>
      <w:r>
        <w:t>Additional risks</w:t>
      </w:r>
      <w:r w:rsidR="00353496">
        <w:t xml:space="preserve"> were </w:t>
      </w:r>
      <w:r>
        <w:t xml:space="preserve">highlighted </w:t>
      </w:r>
      <w:r w:rsidR="00353496">
        <w:t>by respondents regarding:</w:t>
      </w:r>
    </w:p>
    <w:p w14:paraId="00F7C72C" w14:textId="7697E349" w:rsidR="00527B8E" w:rsidRDefault="00737A4A" w:rsidP="422F38A3">
      <w:pPr>
        <w:pStyle w:val="AHPRABody1"/>
        <w:spacing w:after="200"/>
      </w:pPr>
      <w:r>
        <w:rPr>
          <w:noProof/>
        </w:rPr>
        <mc:AlternateContent>
          <mc:Choice Requires="wps">
            <w:drawing>
              <wp:anchor distT="0" distB="0" distL="114300" distR="114300" simplePos="0" relativeHeight="251658274" behindDoc="0" locked="0" layoutInCell="1" allowOverlap="1" wp14:anchorId="3B48CC63" wp14:editId="1A894CAE">
                <wp:simplePos x="0" y="0"/>
                <wp:positionH relativeFrom="column">
                  <wp:posOffset>0</wp:posOffset>
                </wp:positionH>
                <wp:positionV relativeFrom="paragraph">
                  <wp:posOffset>0</wp:posOffset>
                </wp:positionV>
                <wp:extent cx="1828800" cy="1828800"/>
                <wp:effectExtent l="0" t="0" r="21590" b="16510"/>
                <wp:wrapSquare wrapText="bothSides"/>
                <wp:docPr id="41" name="Text Box 4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25378499" w14:textId="77777777" w:rsidR="00717F43" w:rsidRPr="00EC652A" w:rsidRDefault="00717F43" w:rsidP="00717F43">
                            <w:pPr>
                              <w:pStyle w:val="AHPRABody1"/>
                            </w:pPr>
                            <w:r w:rsidRPr="00EC652A">
                              <w:t>“Risk of medication error but this exists with all prescribers currently”.</w:t>
                            </w:r>
                          </w:p>
                          <w:p w14:paraId="5DE69595" w14:textId="77777777" w:rsidR="00717F43" w:rsidRPr="00EC652A" w:rsidRDefault="00717F43" w:rsidP="00717F43">
                            <w:pPr>
                              <w:pStyle w:val="AHPRABody1"/>
                            </w:pPr>
                            <w:r>
                              <w:br/>
                            </w:r>
                            <w:r w:rsidRPr="00EC652A">
                              <w:t>“Inappropriate prescribing without full consideration of all relevant factors”.</w:t>
                            </w:r>
                          </w:p>
                          <w:p w14:paraId="72055137" w14:textId="77777777" w:rsidR="00717F43" w:rsidRPr="00EC652A" w:rsidRDefault="00717F43" w:rsidP="00717F43">
                            <w:pPr>
                              <w:pStyle w:val="AHPRABody1"/>
                            </w:pPr>
                            <w:r>
                              <w:br/>
                            </w:r>
                            <w:r w:rsidRPr="00EC652A">
                              <w:t>“Risk of medication error but this exists with all prescribers currently”.</w:t>
                            </w:r>
                          </w:p>
                          <w:p w14:paraId="51098DE3" w14:textId="77777777" w:rsidR="00717F43" w:rsidRPr="00640064" w:rsidRDefault="00717F43" w:rsidP="00717F43">
                            <w:pPr>
                              <w:pStyle w:val="AHPRABody1"/>
                            </w:pPr>
                            <w:r>
                              <w:br/>
                            </w:r>
                            <w:r w:rsidRPr="00EC652A">
                              <w:t>“Harm to consumers is not adequately covered. Indirect costs of attempting to take over medical practitioner’s role in the health sector through mission and scope creep of nursing only creates further divide amongst the professions”.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48CC63" id="Text Box 41" o:spid="_x0000_s1041" type="#_x0000_t202" style="position:absolute;margin-left:0;margin-top:0;width:2in;height:2in;z-index:25165827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CadNzbMwIAAIMEAAAOAAAAAAAAAAAAAAAAAC4CAABk&#10;cnMvZTJvRG9jLnhtbFBLAQItABQABgAIAAAAIQA0H0KE2QAAAAUBAAAPAAAAAAAAAAAAAAAAAI0E&#10;AABkcnMvZG93bnJldi54bWxQSwUGAAAAAAQABADzAAAAkwUAAAAA&#10;" fillcolor="#eeece1 [3214]" strokeweight=".5pt">
                <v:textbox style="mso-fit-shape-to-text:t">
                  <w:txbxContent>
                    <w:p w14:paraId="25378499" w14:textId="77777777" w:rsidR="00717F43" w:rsidRPr="00EC652A" w:rsidRDefault="00717F43" w:rsidP="00717F43">
                      <w:pPr>
                        <w:pStyle w:val="AHPRABody1"/>
                      </w:pPr>
                      <w:r w:rsidRPr="00EC652A">
                        <w:t>“Risk of medication error but this exists with all prescribers currently”.</w:t>
                      </w:r>
                    </w:p>
                    <w:p w14:paraId="5DE69595" w14:textId="77777777" w:rsidR="00717F43" w:rsidRPr="00EC652A" w:rsidRDefault="00717F43" w:rsidP="00717F43">
                      <w:pPr>
                        <w:pStyle w:val="AHPRABody1"/>
                      </w:pPr>
                      <w:r>
                        <w:br/>
                      </w:r>
                      <w:r w:rsidRPr="00EC652A">
                        <w:t>“Inappropriate prescribing without full consideration of all relevant factors”.</w:t>
                      </w:r>
                    </w:p>
                    <w:p w14:paraId="72055137" w14:textId="77777777" w:rsidR="00717F43" w:rsidRPr="00EC652A" w:rsidRDefault="00717F43" w:rsidP="00717F43">
                      <w:pPr>
                        <w:pStyle w:val="AHPRABody1"/>
                      </w:pPr>
                      <w:r>
                        <w:br/>
                      </w:r>
                      <w:r w:rsidRPr="00EC652A">
                        <w:t>“Risk of medication error but this exists with all prescribers currently”.</w:t>
                      </w:r>
                    </w:p>
                    <w:p w14:paraId="51098DE3" w14:textId="77777777" w:rsidR="00717F43" w:rsidRPr="00640064" w:rsidRDefault="00717F43" w:rsidP="00717F43">
                      <w:pPr>
                        <w:pStyle w:val="AHPRABody1"/>
                      </w:pPr>
                      <w:r>
                        <w:br/>
                      </w:r>
                      <w:r w:rsidRPr="00EC652A">
                        <w:t>“Harm to consumers is not adequately covered. Indirect costs of attempting to take over medical practitioner’s role in the health sector through mission and scope creep of nursing only creates further divide amongst the professions”.</w:t>
                      </w:r>
                    </w:p>
                  </w:txbxContent>
                </v:textbox>
                <w10:wrap type="square"/>
              </v:shape>
            </w:pict>
          </mc:Fallback>
        </mc:AlternateContent>
      </w:r>
      <w:r>
        <w:br/>
      </w:r>
      <w:r w:rsidR="00353496" w:rsidRPr="422F38A3">
        <w:t>There is evidence to suggest that whilst medication administration by RNs is not error free</w:t>
      </w:r>
      <w:r w:rsidR="003A676E" w:rsidRPr="422F38A3">
        <w:t>,</w:t>
      </w:r>
      <w:r w:rsidR="00353496" w:rsidRPr="422F38A3">
        <w:t xml:space="preserve"> RNs contribute significantly to the safe use of medicines which is underpinned by clinical reasoning, contextual practice, and situational practices. </w:t>
      </w:r>
      <w:r w:rsidR="00FC7807" w:rsidRPr="422F38A3">
        <w:rPr>
          <w:vertAlign w:val="superscript"/>
        </w:rPr>
        <w:t>96</w:t>
      </w:r>
      <w:r w:rsidR="00353496" w:rsidRPr="422F38A3">
        <w:t xml:space="preserve"> Australia has a well-developed medication error reporting culture in nursing and openly encourages incident reporting which includes near misses </w:t>
      </w:r>
      <w:r w:rsidR="5A276F53" w:rsidRPr="422F38A3">
        <w:t xml:space="preserve">of medicines </w:t>
      </w:r>
      <w:r w:rsidR="00353496" w:rsidRPr="422F38A3">
        <w:t xml:space="preserve">and potential </w:t>
      </w:r>
      <w:r w:rsidR="04C87695" w:rsidRPr="422F38A3">
        <w:t xml:space="preserve">medicine </w:t>
      </w:r>
      <w:r w:rsidR="00353496" w:rsidRPr="422F38A3">
        <w:t xml:space="preserve">hazards. Encouraging </w:t>
      </w:r>
      <w:r w:rsidR="2D30E746" w:rsidRPr="422F38A3">
        <w:t xml:space="preserve">medicine related risk </w:t>
      </w:r>
      <w:r w:rsidR="00353496" w:rsidRPr="422F38A3">
        <w:t>reporting is key in establishing a culture of safety</w:t>
      </w:r>
      <w:r w:rsidR="002243A7" w:rsidRPr="422F38A3">
        <w:t>.</w:t>
      </w:r>
      <w:r w:rsidR="00353496" w:rsidRPr="422F38A3">
        <w:t xml:space="preserve"> </w:t>
      </w:r>
      <w:r w:rsidR="002243A7" w:rsidRPr="422F38A3">
        <w:t>The</w:t>
      </w:r>
      <w:r w:rsidR="00353496" w:rsidRPr="422F38A3">
        <w:t xml:space="preserve"> practice of bedside handover with the patient present </w:t>
      </w:r>
      <w:r w:rsidR="4BE378DC" w:rsidRPr="422F38A3">
        <w:t xml:space="preserve">to </w:t>
      </w:r>
      <w:r w:rsidR="00353496" w:rsidRPr="422F38A3">
        <w:t xml:space="preserve">include medication discussion and </w:t>
      </w:r>
      <w:r w:rsidR="73779115" w:rsidRPr="422F38A3">
        <w:t xml:space="preserve">medication </w:t>
      </w:r>
      <w:r w:rsidR="00353496" w:rsidRPr="422F38A3">
        <w:t>reconciliation</w:t>
      </w:r>
      <w:r w:rsidR="70C2197A" w:rsidRPr="422F38A3">
        <w:t xml:space="preserve"> </w:t>
      </w:r>
      <w:r w:rsidR="5F12FE54" w:rsidRPr="422F38A3">
        <w:t>to ensure that what the patient is prescribed matches the medicines that are prescribed</w:t>
      </w:r>
      <w:r w:rsidR="00353496" w:rsidRPr="422F38A3">
        <w:t xml:space="preserve">, rights of medication, double checking </w:t>
      </w:r>
      <w:r w:rsidR="3E6570ED" w:rsidRPr="422F38A3">
        <w:t xml:space="preserve">medicine </w:t>
      </w:r>
      <w:r w:rsidR="00353496" w:rsidRPr="422F38A3">
        <w:t xml:space="preserve">charts and electronic medical </w:t>
      </w:r>
      <w:r w:rsidR="116EE8E0" w:rsidRPr="422F38A3">
        <w:t xml:space="preserve">record </w:t>
      </w:r>
      <w:r w:rsidR="00353496" w:rsidRPr="422F38A3">
        <w:t>charts for omissions and shared interprofessional decision-making behaviours with the patient at the centre of care</w:t>
      </w:r>
      <w:r w:rsidR="623F2CF9" w:rsidRPr="422F38A3">
        <w:t xml:space="preserve"> ensure safety in medicine management</w:t>
      </w:r>
      <w:r w:rsidR="0015396D" w:rsidRPr="422F38A3">
        <w:t>.</w:t>
      </w:r>
      <w:r w:rsidR="00135212" w:rsidRPr="422F38A3">
        <w:t xml:space="preserve"> </w:t>
      </w:r>
      <w:r w:rsidR="00353496" w:rsidRPr="422F38A3">
        <w:t>This concurs with studies that find appropriately trained RNs fare no different</w:t>
      </w:r>
      <w:r w:rsidR="5F88F75C" w:rsidRPr="422F38A3">
        <w:t>ly</w:t>
      </w:r>
      <w:r w:rsidR="00353496" w:rsidRPr="422F38A3">
        <w:t xml:space="preserve"> where safety related to nurse prescribing is concerned</w:t>
      </w:r>
      <w:r w:rsidR="00BC7BC3" w:rsidRPr="422F38A3">
        <w:t>.</w:t>
      </w:r>
      <w:r w:rsidR="00353496" w:rsidRPr="422F38A3">
        <w:t xml:space="preserve"> </w:t>
      </w:r>
      <w:r w:rsidR="00BC7BC3" w:rsidRPr="422F38A3">
        <w:rPr>
          <w:vertAlign w:val="superscript"/>
        </w:rPr>
        <w:t>30,</w:t>
      </w:r>
      <w:r w:rsidR="13CFE87A" w:rsidRPr="422F38A3">
        <w:rPr>
          <w:vertAlign w:val="superscript"/>
        </w:rPr>
        <w:t>70,71,</w:t>
      </w:r>
      <w:r w:rsidR="00BC7BC3" w:rsidRPr="422F38A3">
        <w:rPr>
          <w:vertAlign w:val="superscript"/>
        </w:rPr>
        <w:t>87,</w:t>
      </w:r>
      <w:r w:rsidR="5085EC1A" w:rsidRPr="422F38A3">
        <w:rPr>
          <w:vertAlign w:val="superscript"/>
        </w:rPr>
        <w:t>88,89,</w:t>
      </w:r>
      <w:r w:rsidR="00BC7BC3" w:rsidRPr="422F38A3">
        <w:rPr>
          <w:vertAlign w:val="superscript"/>
        </w:rPr>
        <w:t xml:space="preserve"> </w:t>
      </w:r>
      <w:r w:rsidR="00527B8E" w:rsidRPr="422F38A3">
        <w:t>T</w:t>
      </w:r>
      <w:r w:rsidR="00353496" w:rsidRPr="422F38A3">
        <w:t>here was no difference in the number or types of medications prescribed per patient</w:t>
      </w:r>
      <w:r w:rsidR="1B01ADE9" w:rsidRPr="422F38A3">
        <w:t xml:space="preserve"> between </w:t>
      </w:r>
      <w:r w:rsidR="131B25C2" w:rsidRPr="422F38A3">
        <w:t>non-medical</w:t>
      </w:r>
      <w:r w:rsidR="1B01ADE9" w:rsidRPr="422F38A3">
        <w:t xml:space="preserve"> and medical prescribers</w:t>
      </w:r>
      <w:r w:rsidR="00310525" w:rsidRPr="422F38A3">
        <w:t>.</w:t>
      </w:r>
      <w:r w:rsidR="00353496" w:rsidRPr="422F38A3">
        <w:t xml:space="preserve"> </w:t>
      </w:r>
      <w:r w:rsidR="00914F2F" w:rsidRPr="422F38A3">
        <w:rPr>
          <w:vertAlign w:val="superscript"/>
        </w:rPr>
        <w:t>87</w:t>
      </w:r>
      <w:r w:rsidR="00353496" w:rsidRPr="422F38A3">
        <w:t xml:space="preserve"> </w:t>
      </w:r>
      <w:r w:rsidR="00527B8E">
        <w:br/>
      </w:r>
    </w:p>
    <w:p w14:paraId="63E34101" w14:textId="49522429" w:rsidR="00135212" w:rsidRDefault="00353496" w:rsidP="00135212">
      <w:pPr>
        <w:pStyle w:val="AHPRABody1"/>
      </w:pPr>
      <w:r w:rsidRPr="422F38A3">
        <w:lastRenderedPageBreak/>
        <w:t xml:space="preserve">In </w:t>
      </w:r>
      <w:r w:rsidR="00EB2368" w:rsidRPr="422F38A3">
        <w:t>a collaborative</w:t>
      </w:r>
      <w:r w:rsidRPr="422F38A3">
        <w:t xml:space="preserve"> study </w:t>
      </w:r>
      <w:r w:rsidR="00F61EC0" w:rsidRPr="422F38A3">
        <w:t xml:space="preserve">regarding </w:t>
      </w:r>
      <w:r w:rsidRPr="422F38A3">
        <w:t xml:space="preserve">prescribing </w:t>
      </w:r>
      <w:r w:rsidR="00923646" w:rsidRPr="422F38A3">
        <w:t xml:space="preserve">of </w:t>
      </w:r>
      <w:r w:rsidRPr="422F38A3">
        <w:t>scheduled medicines</w:t>
      </w:r>
      <w:r w:rsidR="00F61EC0" w:rsidRPr="422F38A3">
        <w:t xml:space="preserve">, </w:t>
      </w:r>
      <w:r w:rsidRPr="422F38A3">
        <w:t xml:space="preserve">it was found that RNs and </w:t>
      </w:r>
      <w:r w:rsidR="00923646" w:rsidRPr="422F38A3">
        <w:t xml:space="preserve">midwives </w:t>
      </w:r>
      <w:r w:rsidRPr="422F38A3">
        <w:t xml:space="preserve">prescribed mostly </w:t>
      </w:r>
      <w:r w:rsidR="00923646" w:rsidRPr="422F38A3">
        <w:t xml:space="preserve">Schedule </w:t>
      </w:r>
      <w:r w:rsidRPr="422F38A3">
        <w:t>4 medications, anti-infectives followed by analgesics</w:t>
      </w:r>
      <w:r w:rsidR="00D863ED" w:rsidRPr="422F38A3">
        <w:t>,</w:t>
      </w:r>
      <w:r w:rsidRPr="422F38A3">
        <w:t xml:space="preserve"> however this study did not </w:t>
      </w:r>
      <w:r w:rsidR="00E004E7" w:rsidRPr="422F38A3">
        <w:t>detail</w:t>
      </w:r>
      <w:r w:rsidRPr="422F38A3">
        <w:t xml:space="preserve"> </w:t>
      </w:r>
      <w:r w:rsidR="00EFC6DA" w:rsidRPr="422F38A3">
        <w:t xml:space="preserve">the class schedules of </w:t>
      </w:r>
      <w:r w:rsidR="7D7D8B61" w:rsidRPr="422F38A3">
        <w:t xml:space="preserve">the </w:t>
      </w:r>
      <w:r w:rsidRPr="422F38A3">
        <w:t>analgesics.</w:t>
      </w:r>
      <w:r w:rsidRPr="422F38A3">
        <w:rPr>
          <w:vertAlign w:val="superscript"/>
        </w:rPr>
        <w:t xml:space="preserve"> </w:t>
      </w:r>
      <w:r w:rsidR="00986C18" w:rsidRPr="422F38A3">
        <w:rPr>
          <w:vertAlign w:val="superscript"/>
        </w:rPr>
        <w:t>88</w:t>
      </w:r>
      <w:r w:rsidR="0055236F" w:rsidRPr="422F38A3">
        <w:t xml:space="preserve"> </w:t>
      </w:r>
      <w:r w:rsidRPr="422F38A3">
        <w:t xml:space="preserve"> </w:t>
      </w:r>
    </w:p>
    <w:p w14:paraId="6AEB7083" w14:textId="77777777" w:rsidR="00135212" w:rsidRDefault="00135212" w:rsidP="00135212">
      <w:pPr>
        <w:pStyle w:val="AHPRABody1"/>
      </w:pPr>
    </w:p>
    <w:p w14:paraId="14CE8104" w14:textId="1FC59CED" w:rsidR="00353496" w:rsidRPr="000F6C76" w:rsidRDefault="00ED26BC" w:rsidP="422F38A3">
      <w:pPr>
        <w:pStyle w:val="AHPRABody1"/>
        <w:rPr>
          <w:rStyle w:val="ui-provider"/>
          <w:vertAlign w:val="superscript"/>
        </w:rPr>
      </w:pPr>
      <w:r w:rsidRPr="422F38A3">
        <w:t>T</w:t>
      </w:r>
      <w:r w:rsidR="00353496" w:rsidRPr="422F38A3">
        <w:t>here are currently 1</w:t>
      </w:r>
      <w:r w:rsidRPr="422F38A3">
        <w:t>,</w:t>
      </w:r>
      <w:r w:rsidR="00353496" w:rsidRPr="422F38A3">
        <w:t xml:space="preserve">098 </w:t>
      </w:r>
      <w:r w:rsidRPr="422F38A3">
        <w:t>midwives with an endorsement for scheduled medicines</w:t>
      </w:r>
      <w:r w:rsidR="00853D06" w:rsidRPr="422F38A3">
        <w:t xml:space="preserve"> </w:t>
      </w:r>
      <w:r w:rsidR="00353496" w:rsidRPr="422F38A3">
        <w:t>practising in Australia</w:t>
      </w:r>
      <w:r w:rsidR="00853D06" w:rsidRPr="422F38A3">
        <w:t>. These endorsed midwives</w:t>
      </w:r>
      <w:r w:rsidR="00353496" w:rsidRPr="422F38A3">
        <w:rPr>
          <w:rStyle w:val="ui-provider"/>
        </w:rPr>
        <w:t xml:space="preserve"> are able to prescribe Schedule 2, 3, 4 and 8 medications and to date there have been no notifications regarding misuse, overprescribing, inappropriate prescribing, risk or harm. Antimicrobial selection by RNs has also been found to be more appropriate than medical practitioners in a QLD single study that used an audit tool to examine safety </w:t>
      </w:r>
      <w:r w:rsidR="002E3E72" w:rsidRPr="422F38A3">
        <w:rPr>
          <w:rStyle w:val="ui-provider"/>
        </w:rPr>
        <w:t>and</w:t>
      </w:r>
      <w:r w:rsidR="00353496" w:rsidRPr="422F38A3">
        <w:rPr>
          <w:rStyle w:val="ui-provider"/>
        </w:rPr>
        <w:t xml:space="preserve"> efficacy in subscribing for supply.</w:t>
      </w:r>
      <w:r w:rsidR="00E004E7" w:rsidRPr="422F38A3">
        <w:rPr>
          <w:rStyle w:val="ui-provider"/>
        </w:rPr>
        <w:t xml:space="preserve"> </w:t>
      </w:r>
      <w:r w:rsidR="006F7E8F" w:rsidRPr="422F38A3">
        <w:rPr>
          <w:rStyle w:val="ui-provider"/>
          <w:vertAlign w:val="superscript"/>
        </w:rPr>
        <w:t>104,105</w:t>
      </w:r>
    </w:p>
    <w:p w14:paraId="51383624" w14:textId="4EC2353E" w:rsidR="00353496" w:rsidRPr="000F6C76" w:rsidRDefault="00043089" w:rsidP="00216AB8">
      <w:pPr>
        <w:pStyle w:val="AHPRAbody"/>
        <w:outlineLvl w:val="0"/>
        <w:rPr>
          <w:rStyle w:val="ui-provider"/>
        </w:rPr>
      </w:pPr>
      <w:r>
        <w:rPr>
          <w:rStyle w:val="ui-provider"/>
        </w:rPr>
        <w:br/>
      </w:r>
      <w:r w:rsidR="00353496" w:rsidRPr="000F6C76">
        <w:rPr>
          <w:rStyle w:val="ui-provider"/>
        </w:rPr>
        <w:t xml:space="preserve">There were some challenges identified </w:t>
      </w:r>
      <w:r>
        <w:rPr>
          <w:rStyle w:val="ui-provider"/>
        </w:rPr>
        <w:t xml:space="preserve">by respondents </w:t>
      </w:r>
      <w:r w:rsidR="00353496" w:rsidRPr="000F6C76">
        <w:rPr>
          <w:rStyle w:val="ui-provider"/>
        </w:rPr>
        <w:t>that the C</w:t>
      </w:r>
      <w:r w:rsidR="00EC652A" w:rsidRPr="000F6C76">
        <w:rPr>
          <w:rStyle w:val="ui-provider"/>
        </w:rPr>
        <w:t>-</w:t>
      </w:r>
      <w:r w:rsidR="00353496" w:rsidRPr="000F6C76">
        <w:rPr>
          <w:rStyle w:val="ui-provider"/>
        </w:rPr>
        <w:t>RIS did not include such as:</w:t>
      </w:r>
    </w:p>
    <w:p w14:paraId="37499AEC" w14:textId="53E1BC12" w:rsidR="00353496" w:rsidRDefault="00043089" w:rsidP="00216AB8">
      <w:pPr>
        <w:pStyle w:val="AHPRAbody"/>
        <w:outlineLvl w:val="0"/>
      </w:pPr>
      <w:r>
        <w:br/>
      </w:r>
      <w:r>
        <w:rPr>
          <w:rFonts w:eastAsia="Times New Roman"/>
          <w:noProof/>
          <w:szCs w:val="20"/>
          <w:lang w:eastAsia="en-AU"/>
        </w:rPr>
        <mc:AlternateContent>
          <mc:Choice Requires="wps">
            <w:drawing>
              <wp:anchor distT="0" distB="0" distL="114300" distR="114300" simplePos="0" relativeHeight="251658275" behindDoc="0" locked="0" layoutInCell="1" allowOverlap="1" wp14:anchorId="7588C93A" wp14:editId="3A744C25">
                <wp:simplePos x="0" y="0"/>
                <wp:positionH relativeFrom="column">
                  <wp:posOffset>0</wp:posOffset>
                </wp:positionH>
                <wp:positionV relativeFrom="paragraph">
                  <wp:posOffset>0</wp:posOffset>
                </wp:positionV>
                <wp:extent cx="1828800" cy="1828800"/>
                <wp:effectExtent l="0" t="0" r="21590" b="10160"/>
                <wp:wrapSquare wrapText="bothSides"/>
                <wp:docPr id="42" name="Text Box 4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5EF9158F" w14:textId="77777777" w:rsidR="00717F43" w:rsidRPr="00FB71DC" w:rsidRDefault="00717F43" w:rsidP="00717F43">
                            <w:pPr>
                              <w:pStyle w:val="AHPRABody1"/>
                            </w:pPr>
                            <w:r w:rsidRPr="000F6C76">
                              <w:t>“Other costs to the practice include backfill for nurses undertaking prescriber studies and cover with an additional nurse while the prospective nurse prescriber completes the three-month mentoring program.  It is likely that the costs for the study course, travel time, and time to attend the course will be borne by the practice nurse. It is likely that the costs for the study course, travel time, and time to attend the course will be borne by the practice nurse”.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88C93A" id="Text Box 42" o:spid="_x0000_s1042" type="#_x0000_t202" style="position:absolute;margin-left:0;margin-top:0;width:2in;height:2in;z-index:25165827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CfnYWlMwIAAIMEAAAOAAAAAAAAAAAAAAAAAC4CAABk&#10;cnMvZTJvRG9jLnhtbFBLAQItABQABgAIAAAAIQA0H0KE2QAAAAUBAAAPAAAAAAAAAAAAAAAAAI0E&#10;AABkcnMvZG93bnJldi54bWxQSwUGAAAAAAQABADzAAAAkwUAAAAA&#10;" fillcolor="#eeece1 [3214]" strokeweight=".5pt">
                <v:textbox style="mso-fit-shape-to-text:t">
                  <w:txbxContent>
                    <w:p w14:paraId="5EF9158F" w14:textId="77777777" w:rsidR="00717F43" w:rsidRPr="00FB71DC" w:rsidRDefault="00717F43" w:rsidP="00717F43">
                      <w:pPr>
                        <w:pStyle w:val="AHPRABody1"/>
                      </w:pPr>
                      <w:r w:rsidRPr="000F6C76">
                        <w:t>“Other costs to the practice include backfill for nurses undertaking prescriber studies and cover with an additional nurse while the prospective nurse prescriber completes the three-month mentoring program.  It is likely that the costs for the study course, travel time, and time to attend the course will be borne by the practice nurse. It is likely that the costs for the study course, travel time, and time to attend the course will be borne by the practice nurse”.</w:t>
                      </w:r>
                    </w:p>
                  </w:txbxContent>
                </v:textbox>
                <w10:wrap type="square"/>
              </v:shape>
            </w:pict>
          </mc:Fallback>
        </mc:AlternateContent>
      </w:r>
      <w:r w:rsidR="00353496">
        <w:t>The NMBA acknowledge that some backfill may</w:t>
      </w:r>
      <w:r>
        <w:t xml:space="preserve"> </w:t>
      </w:r>
      <w:r w:rsidR="00353496">
        <w:t xml:space="preserve">be required if the RN undertaking postgraduate qualifications </w:t>
      </w:r>
      <w:r w:rsidR="00833554">
        <w:t xml:space="preserve">decides </w:t>
      </w:r>
      <w:r w:rsidR="00353496">
        <w:t>to take study leave, however courses are designed in a hybrid model so that postgraduate students are able to study and work</w:t>
      </w:r>
      <w:r w:rsidR="004C3DFA">
        <w:t xml:space="preserve"> </w:t>
      </w:r>
      <w:r w:rsidR="48A33EF2">
        <w:t>simultaneously.</w:t>
      </w:r>
      <w:r w:rsidR="00353496">
        <w:t xml:space="preserve"> Designated RN prescribers would not be required to undertake leave to be mentored as this would be undertaken through work integrated learning (WIL).</w:t>
      </w:r>
    </w:p>
    <w:p w14:paraId="4FDDE520" w14:textId="39599809" w:rsidR="00353496" w:rsidRDefault="009F58FA" w:rsidP="00216AB8">
      <w:pPr>
        <w:pStyle w:val="AHPRAbody"/>
        <w:outlineLvl w:val="0"/>
      </w:pPr>
      <w:r>
        <w:t>A 2016</w:t>
      </w:r>
      <w:r w:rsidR="00353496">
        <w:t xml:space="preserve"> Australian study noted that there were no </w:t>
      </w:r>
      <w:r w:rsidR="007E702C">
        <w:t xml:space="preserve">Commonwealth </w:t>
      </w:r>
      <w:r w:rsidR="00353496">
        <w:t>supported placements for nurses undertaking postgraduate study in primary care which would assist with the financial burden of study</w:t>
      </w:r>
      <w:r w:rsidR="007C0FA7">
        <w:t>.</w:t>
      </w:r>
      <w:r w:rsidR="00353496">
        <w:t xml:space="preserve"> </w:t>
      </w:r>
      <w:r w:rsidR="007C0FA7">
        <w:t>It</w:t>
      </w:r>
      <w:r w:rsidR="00353496">
        <w:t xml:space="preserve"> also noted that more flexible modes of course delivery should be made available to nurses who work and reside rurally or remote</w:t>
      </w:r>
      <w:r w:rsidR="004F4E1A">
        <w:t>ly</w:t>
      </w:r>
      <w:r w:rsidR="00353496">
        <w:t xml:space="preserve"> as these factors could influence nurses to undertake study and build capacity in these areas of need in primary health care and general practice.</w:t>
      </w:r>
      <w:r w:rsidR="00E204A8" w:rsidRPr="0143EE86" w:rsidDel="00E204A8">
        <w:rPr>
          <w:vertAlign w:val="superscript"/>
        </w:rPr>
        <w:t xml:space="preserve"> </w:t>
      </w:r>
      <w:r w:rsidR="00E204A8">
        <w:rPr>
          <w:vertAlign w:val="superscript"/>
        </w:rPr>
        <w:t>105</w:t>
      </w:r>
    </w:p>
    <w:p w14:paraId="1DC90E4D" w14:textId="7F418717" w:rsidR="00353496" w:rsidRPr="00C46EE5" w:rsidRDefault="5A279BCF" w:rsidP="00216AB8">
      <w:pPr>
        <w:pStyle w:val="AHPRAbody"/>
        <w:outlineLvl w:val="0"/>
      </w:pPr>
      <w:r w:rsidRPr="00C46EE5">
        <w:t xml:space="preserve">An increase in </w:t>
      </w:r>
      <w:r w:rsidR="00A963C0" w:rsidRPr="00C46EE5">
        <w:t>C</w:t>
      </w:r>
      <w:r w:rsidRPr="00C46EE5">
        <w:t>o</w:t>
      </w:r>
      <w:r w:rsidR="5AE4FEAB" w:rsidRPr="00C46EE5">
        <w:t>mmonwealth</w:t>
      </w:r>
      <w:r w:rsidR="00353496" w:rsidRPr="00C46EE5">
        <w:t xml:space="preserve"> supported place</w:t>
      </w:r>
      <w:r w:rsidR="00A963C0" w:rsidRPr="00C46EE5">
        <w:t>ments</w:t>
      </w:r>
      <w:r w:rsidR="00353496" w:rsidRPr="00C46EE5">
        <w:t xml:space="preserve"> </w:t>
      </w:r>
      <w:r w:rsidR="7264F8D0" w:rsidRPr="00C46EE5">
        <w:t>offered in</w:t>
      </w:r>
      <w:r w:rsidR="1BACB6E5" w:rsidRPr="00C46EE5">
        <w:t xml:space="preserve"> </w:t>
      </w:r>
      <w:r w:rsidR="1C00C458" w:rsidRPr="00C46EE5">
        <w:t>university</w:t>
      </w:r>
      <w:r w:rsidR="1BACB6E5" w:rsidRPr="00C46EE5">
        <w:t xml:space="preserve"> courses that</w:t>
      </w:r>
      <w:r w:rsidR="4D2114B6" w:rsidRPr="00C46EE5">
        <w:t xml:space="preserve"> offer postgraduate studies in designated RN prescribing </w:t>
      </w:r>
      <w:r w:rsidR="00353496" w:rsidRPr="00C46EE5">
        <w:t xml:space="preserve">may increase uptake </w:t>
      </w:r>
      <w:r w:rsidR="7E48C1AF" w:rsidRPr="00C46EE5">
        <w:t>in</w:t>
      </w:r>
      <w:r w:rsidR="06A85D85" w:rsidRPr="00C46EE5">
        <w:t xml:space="preserve"> </w:t>
      </w:r>
      <w:r w:rsidR="3D9DB251" w:rsidRPr="00C46EE5">
        <w:t>course</w:t>
      </w:r>
      <w:r w:rsidR="00C54EE5" w:rsidRPr="00C46EE5">
        <w:t>s</w:t>
      </w:r>
      <w:r w:rsidR="3D9DB251" w:rsidRPr="00C46EE5">
        <w:t xml:space="preserve"> that lead RN</w:t>
      </w:r>
      <w:r w:rsidR="7EBEBAB7" w:rsidRPr="00C46EE5">
        <w:t>s</w:t>
      </w:r>
      <w:r w:rsidR="3D9DB251" w:rsidRPr="00C46EE5">
        <w:t xml:space="preserve"> to apply for the endorsement</w:t>
      </w:r>
      <w:r w:rsidR="2944CC7D" w:rsidRPr="00C46EE5">
        <w:t>.</w:t>
      </w:r>
      <w:r w:rsidR="3D9DB251" w:rsidRPr="00C46EE5">
        <w:t xml:space="preserve"> </w:t>
      </w:r>
      <w:r w:rsidR="6A68DFA1" w:rsidRPr="00C46EE5">
        <w:t>This</w:t>
      </w:r>
      <w:r w:rsidR="7D433337" w:rsidRPr="00C46EE5">
        <w:t xml:space="preserve"> may</w:t>
      </w:r>
      <w:r w:rsidR="16FB0269" w:rsidRPr="00C46EE5">
        <w:t xml:space="preserve"> </w:t>
      </w:r>
      <w:r w:rsidR="116E4BC2" w:rsidRPr="00C46EE5">
        <w:t xml:space="preserve">incentivise RNs to </w:t>
      </w:r>
      <w:r w:rsidR="6ADE5A18" w:rsidRPr="00C46EE5">
        <w:t xml:space="preserve">articulate </w:t>
      </w:r>
      <w:r w:rsidR="165D6A79" w:rsidRPr="00C46EE5">
        <w:t xml:space="preserve">to the NP role </w:t>
      </w:r>
      <w:r w:rsidR="2B23C256" w:rsidRPr="00C46EE5">
        <w:t>through established</w:t>
      </w:r>
      <w:r w:rsidR="00353496" w:rsidRPr="00C46EE5">
        <w:t xml:space="preserve"> pathways</w:t>
      </w:r>
      <w:r w:rsidR="231CA8E6" w:rsidRPr="00C46EE5">
        <w:t xml:space="preserve"> and through </w:t>
      </w:r>
      <w:r w:rsidR="43BF2B7A" w:rsidRPr="00C46EE5">
        <w:t>experience</w:t>
      </w:r>
      <w:r w:rsidR="231CA8E6" w:rsidRPr="00C46EE5">
        <w:t xml:space="preserve"> gained from the designated RN </w:t>
      </w:r>
      <w:r w:rsidR="2D711F9B" w:rsidRPr="00C46EE5">
        <w:t>prescrib</w:t>
      </w:r>
      <w:r w:rsidR="006248E8" w:rsidRPr="00C46EE5">
        <w:t>er</w:t>
      </w:r>
      <w:r w:rsidR="2D711F9B" w:rsidRPr="00C46EE5">
        <w:t xml:space="preserve"> role</w:t>
      </w:r>
      <w:r w:rsidR="0E9F5A44" w:rsidRPr="00C46EE5">
        <w:t>.</w:t>
      </w:r>
    </w:p>
    <w:p w14:paraId="45366D26" w14:textId="714C90C2" w:rsidR="00353496" w:rsidRDefault="00353496" w:rsidP="00216AB8">
      <w:pPr>
        <w:pStyle w:val="AHPRAbody"/>
        <w:outlineLvl w:val="0"/>
        <w:rPr>
          <w:rFonts w:cstheme="minorHAnsi"/>
        </w:rPr>
      </w:pPr>
      <w:r w:rsidRPr="000A5511">
        <w:t xml:space="preserve">Time costs to implement a governance framework were a concern for some of the respondents and the requirements to organise prescribing agreements with </w:t>
      </w:r>
      <w:r w:rsidRPr="000A5511">
        <w:rPr>
          <w:rFonts w:cstheme="minorHAnsi"/>
        </w:rPr>
        <w:t xml:space="preserve">each health service as well as ongoing costs for review, audit, and evaluation. </w:t>
      </w:r>
      <w:r>
        <w:rPr>
          <w:rFonts w:cstheme="minorHAnsi"/>
        </w:rPr>
        <w:t xml:space="preserve"> Respondents noted that:</w:t>
      </w:r>
    </w:p>
    <w:p w14:paraId="4EA24426" w14:textId="0ED04B1C" w:rsidR="00353496" w:rsidRPr="00231DD8" w:rsidRDefault="004F4E1A" w:rsidP="00216AB8">
      <w:pPr>
        <w:pStyle w:val="AHPRAbody"/>
        <w:outlineLvl w:val="0"/>
        <w:rPr>
          <w:b/>
          <w:bCs/>
        </w:rPr>
      </w:pPr>
      <w:r>
        <w:rPr>
          <w:rFonts w:asciiTheme="minorHAnsi" w:eastAsia="Times New Roman" w:hAnsiTheme="minorHAnsi" w:cstheme="minorHAnsi"/>
          <w:i/>
          <w:iCs/>
          <w:szCs w:val="20"/>
          <w:lang w:eastAsia="en-AU"/>
        </w:rPr>
        <w:br/>
      </w:r>
      <w:r>
        <w:rPr>
          <w:noProof/>
          <w:lang w:eastAsia="en-AU"/>
        </w:rPr>
        <mc:AlternateContent>
          <mc:Choice Requires="wps">
            <w:drawing>
              <wp:anchor distT="0" distB="0" distL="114300" distR="114300" simplePos="0" relativeHeight="251658276" behindDoc="0" locked="0" layoutInCell="1" allowOverlap="1" wp14:anchorId="0412A1CD" wp14:editId="2C808469">
                <wp:simplePos x="0" y="0"/>
                <wp:positionH relativeFrom="column">
                  <wp:posOffset>0</wp:posOffset>
                </wp:positionH>
                <wp:positionV relativeFrom="paragraph">
                  <wp:posOffset>0</wp:posOffset>
                </wp:positionV>
                <wp:extent cx="1828800" cy="1828800"/>
                <wp:effectExtent l="0" t="0" r="21590" b="10160"/>
                <wp:wrapSquare wrapText="bothSides"/>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714C6056" w14:textId="77777777" w:rsidR="00717F43" w:rsidRPr="00501EE2" w:rsidRDefault="00717F43" w:rsidP="00F7356E">
                            <w:pPr>
                              <w:pStyle w:val="AHPRABody1"/>
                            </w:pPr>
                            <w:r w:rsidRPr="00B56367">
                              <w:t>“If these costs are prohibitive, this will negatively impact small practices in the rural and remote areas that most need increased access to care”.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12A1CD" id="Text Box 43" o:spid="_x0000_s1043" type="#_x0000_t202" style="position:absolute;margin-left:0;margin-top:0;width:2in;height:2in;z-index:2516582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CjOGI5MwIAAIMEAAAOAAAAAAAAAAAAAAAAAC4CAABk&#10;cnMvZTJvRG9jLnhtbFBLAQItABQABgAIAAAAIQA0H0KE2QAAAAUBAAAPAAAAAAAAAAAAAAAAAI0E&#10;AABkcnMvZG93bnJldi54bWxQSwUGAAAAAAQABADzAAAAkwUAAAAA&#10;" fillcolor="#eeece1 [3214]" strokeweight=".5pt">
                <v:textbox style="mso-fit-shape-to-text:t">
                  <w:txbxContent>
                    <w:p w14:paraId="714C6056" w14:textId="77777777" w:rsidR="00717F43" w:rsidRPr="00501EE2" w:rsidRDefault="00717F43" w:rsidP="00F7356E">
                      <w:pPr>
                        <w:pStyle w:val="AHPRABody1"/>
                      </w:pPr>
                      <w:r w:rsidRPr="00B56367">
                        <w:t>“If these costs are prohibitive, this will negatively impact small practices in the rural and remote areas that most need increased access to care”.</w:t>
                      </w:r>
                    </w:p>
                  </w:txbxContent>
                </v:textbox>
                <w10:wrap type="square"/>
              </v:shape>
            </w:pict>
          </mc:Fallback>
        </mc:AlternateContent>
      </w:r>
      <w:r w:rsidR="00353496">
        <w:t>There will be time costs to implement the structure</w:t>
      </w:r>
      <w:r w:rsidR="7B57DC81">
        <w:t xml:space="preserve"> as per respondents</w:t>
      </w:r>
      <w:r w:rsidR="00A54790">
        <w:t>’ feedback</w:t>
      </w:r>
      <w:r w:rsidR="00353496">
        <w:t xml:space="preserve"> however the benefits outweigh the costs and innovative frameworks developed across healthcare facilities could assist with timing and direction</w:t>
      </w:r>
      <w:r>
        <w:t>.</w:t>
      </w:r>
      <w:r w:rsidR="00353496">
        <w:t xml:space="preserve"> </w:t>
      </w:r>
      <w:r>
        <w:t>A</w:t>
      </w:r>
      <w:r w:rsidR="00353496">
        <w:t xml:space="preserve"> collaborative model-based approach using specific outcome measures that also assist in understanding how best to implement designated RN prescribing across various </w:t>
      </w:r>
      <w:r w:rsidR="00C32EC4">
        <w:t>healthcare organisations</w:t>
      </w:r>
      <w:r w:rsidR="00353496">
        <w:t xml:space="preserve"> and allow for </w:t>
      </w:r>
      <w:r w:rsidR="00D44E77">
        <w:t xml:space="preserve">collaborative </w:t>
      </w:r>
      <w:r w:rsidR="00353496">
        <w:t>comparison</w:t>
      </w:r>
      <w:r w:rsidR="00A23D0C">
        <w:t>s</w:t>
      </w:r>
      <w:r w:rsidR="00353496">
        <w:t xml:space="preserve"> for those who choose to embed the designated RN prescriber </w:t>
      </w:r>
      <w:r w:rsidR="0081625B">
        <w:t>role</w:t>
      </w:r>
      <w:r w:rsidR="00320D60">
        <w:t xml:space="preserve"> will also be beneficial</w:t>
      </w:r>
      <w:r w:rsidR="00353496">
        <w:t>.</w:t>
      </w:r>
    </w:p>
    <w:p w14:paraId="421D4F61" w14:textId="4800B3C0" w:rsidR="00353496" w:rsidRPr="00A54790" w:rsidRDefault="00353496" w:rsidP="00216AB8">
      <w:pPr>
        <w:pStyle w:val="AHPRAbody"/>
        <w:outlineLvl w:val="0"/>
      </w:pPr>
      <w:r w:rsidRPr="00A54790">
        <w:t xml:space="preserve">As </w:t>
      </w:r>
      <w:r w:rsidR="00A95152" w:rsidRPr="00A54790">
        <w:t>outlined previously</w:t>
      </w:r>
      <w:r w:rsidR="00C0061C" w:rsidRPr="00A54790">
        <w:t>, there is a lack of data</w:t>
      </w:r>
      <w:r w:rsidRPr="00A54790">
        <w:t xml:space="preserve"> related to costs in the implementation of non-medical prescribing in favour of stud</w:t>
      </w:r>
      <w:r w:rsidR="6110E57E" w:rsidRPr="00A54790">
        <w:t xml:space="preserve">ies </w:t>
      </w:r>
      <w:r w:rsidR="00D55433" w:rsidRPr="00A54790">
        <w:t>compari</w:t>
      </w:r>
      <w:r w:rsidR="00D55433">
        <w:t>ng the effectiveness and safety</w:t>
      </w:r>
      <w:r w:rsidR="00D55433" w:rsidRPr="00A54790">
        <w:t xml:space="preserve"> </w:t>
      </w:r>
      <w:r w:rsidR="33BB3560" w:rsidRPr="00A54790">
        <w:t xml:space="preserve">between non-medical and medical </w:t>
      </w:r>
      <w:r w:rsidRPr="00A54790">
        <w:t>prescribing</w:t>
      </w:r>
      <w:r w:rsidR="00D55433">
        <w:t>. This</w:t>
      </w:r>
      <w:r w:rsidRPr="00A54790">
        <w:t xml:space="preserve"> was also evident in the 2018 KPMG report on </w:t>
      </w:r>
      <w:r w:rsidRPr="00D55433">
        <w:rPr>
          <w:i/>
          <w:iCs/>
        </w:rPr>
        <w:t>Cost Benefit Analysis of Nurse Practitioner Models of Care</w:t>
      </w:r>
      <w:r w:rsidRPr="00A54790">
        <w:t xml:space="preserve"> </w:t>
      </w:r>
      <w:r w:rsidR="004E28EB">
        <w:rPr>
          <w:vertAlign w:val="superscript"/>
        </w:rPr>
        <w:t>86</w:t>
      </w:r>
      <w:r w:rsidR="2BFEC556" w:rsidRPr="00A54790">
        <w:t xml:space="preserve"> which used case scenarios to examine relative costs.</w:t>
      </w:r>
    </w:p>
    <w:p w14:paraId="01A63378" w14:textId="5BCF43EE" w:rsidR="00353496" w:rsidRDefault="00353496" w:rsidP="00216AB8">
      <w:pPr>
        <w:pStyle w:val="AHPRAbody"/>
        <w:outlineLvl w:val="0"/>
      </w:pPr>
      <w:r>
        <w:t xml:space="preserve">A recent </w:t>
      </w:r>
      <w:r w:rsidR="00D63F5A">
        <w:t xml:space="preserve">systematic review </w:t>
      </w:r>
      <w:r w:rsidR="00685612">
        <w:t>found</w:t>
      </w:r>
      <w:r>
        <w:t xml:space="preserve"> factors influencing the successful implementation of non-medical prescribing </w:t>
      </w:r>
      <w:r w:rsidR="00A16DFB">
        <w:t>were</w:t>
      </w:r>
      <w:r>
        <w:t xml:space="preserve"> fund provision, organisational plans and strategic government inclusion w</w:t>
      </w:r>
      <w:r w:rsidR="00A16DFB">
        <w:t>hich acted as</w:t>
      </w:r>
      <w:r>
        <w:t xml:space="preserve"> core motivators for successful implementation</w:t>
      </w:r>
      <w:r w:rsidR="0088504A">
        <w:t>.</w:t>
      </w:r>
      <w:r w:rsidR="00675ACB">
        <w:t xml:space="preserve"> </w:t>
      </w:r>
      <w:r w:rsidR="004E28EB">
        <w:rPr>
          <w:vertAlign w:val="superscript"/>
        </w:rPr>
        <w:t>106</w:t>
      </w:r>
      <w:r w:rsidR="005866E2" w:rsidRPr="005866E2">
        <w:t xml:space="preserve"> State</w:t>
      </w:r>
      <w:r w:rsidRPr="005866E2">
        <w:t xml:space="preserve"> and </w:t>
      </w:r>
      <w:r w:rsidR="00CA261B" w:rsidRPr="005866E2">
        <w:t xml:space="preserve">territory pilot studies </w:t>
      </w:r>
      <w:r w:rsidRPr="005866E2">
        <w:t>have been previously undertaken for the NP role with the expanded role for community pharmacists</w:t>
      </w:r>
      <w:r w:rsidR="009B539E" w:rsidRPr="005866E2">
        <w:t>.</w:t>
      </w:r>
      <w:r w:rsidRPr="005866E2">
        <w:t xml:space="preserve"> </w:t>
      </w:r>
      <w:r w:rsidR="00710A0D">
        <w:rPr>
          <w:vertAlign w:val="superscript"/>
        </w:rPr>
        <w:t xml:space="preserve">103 </w:t>
      </w:r>
      <w:r w:rsidR="00896C89" w:rsidRPr="005866E2">
        <w:t>Similar</w:t>
      </w:r>
      <w:r w:rsidR="009A350A" w:rsidRPr="00896C89">
        <w:t xml:space="preserve"> </w:t>
      </w:r>
      <w:r w:rsidR="009A350A">
        <w:t>studies</w:t>
      </w:r>
      <w:r w:rsidR="009B539E">
        <w:t xml:space="preserve"> </w:t>
      </w:r>
      <w:r>
        <w:t xml:space="preserve">would be beneficial </w:t>
      </w:r>
      <w:r w:rsidR="009A350A">
        <w:t>for</w:t>
      </w:r>
      <w:r>
        <w:t xml:space="preserve"> the implementation of the designated RN prescriber.</w:t>
      </w:r>
    </w:p>
    <w:p w14:paraId="0DE432C5" w14:textId="5E837737" w:rsidR="00353496" w:rsidRPr="00FD7E83" w:rsidRDefault="00353496" w:rsidP="00216AB8">
      <w:pPr>
        <w:pStyle w:val="AHPRAbody"/>
        <w:outlineLvl w:val="0"/>
      </w:pPr>
      <w:r w:rsidRPr="00FD7E83">
        <w:lastRenderedPageBreak/>
        <w:t xml:space="preserve">Some of the </w:t>
      </w:r>
      <w:r>
        <w:t xml:space="preserve">further </w:t>
      </w:r>
      <w:r w:rsidRPr="00FD7E83">
        <w:t>barriers</w:t>
      </w:r>
      <w:r>
        <w:t xml:space="preserve"> identified to implementing designated </w:t>
      </w:r>
      <w:r w:rsidR="009A350A">
        <w:t xml:space="preserve">RN </w:t>
      </w:r>
      <w:r>
        <w:t xml:space="preserve">prescribing </w:t>
      </w:r>
      <w:r w:rsidRPr="00FD7E83">
        <w:t>reported by respondents were:</w:t>
      </w:r>
    </w:p>
    <w:p w14:paraId="3350B169" w14:textId="5D2383EA" w:rsidR="00353496" w:rsidRPr="002220FE" w:rsidRDefault="009C00B8" w:rsidP="00216AB8">
      <w:pPr>
        <w:pStyle w:val="AHPRAbody"/>
        <w:outlineLvl w:val="0"/>
      </w:pPr>
      <w:r>
        <w:br/>
      </w:r>
      <w:r>
        <w:rPr>
          <w:rFonts w:eastAsia="Times New Roman"/>
          <w:noProof/>
          <w:szCs w:val="20"/>
          <w:lang w:eastAsia="en-AU"/>
        </w:rPr>
        <mc:AlternateContent>
          <mc:Choice Requires="wps">
            <w:drawing>
              <wp:anchor distT="0" distB="0" distL="114300" distR="114300" simplePos="0" relativeHeight="251658277" behindDoc="0" locked="0" layoutInCell="1" allowOverlap="1" wp14:anchorId="6DED66CD" wp14:editId="0B0B6019">
                <wp:simplePos x="0" y="0"/>
                <wp:positionH relativeFrom="column">
                  <wp:posOffset>0</wp:posOffset>
                </wp:positionH>
                <wp:positionV relativeFrom="paragraph">
                  <wp:posOffset>0</wp:posOffset>
                </wp:positionV>
                <wp:extent cx="1828800" cy="1828800"/>
                <wp:effectExtent l="0" t="0" r="21590" b="10160"/>
                <wp:wrapSquare wrapText="bothSides"/>
                <wp:docPr id="44" name="Text Box 4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20F60093" w14:textId="77777777" w:rsidR="00717F43" w:rsidRPr="00B56367" w:rsidRDefault="00717F43" w:rsidP="00717F43">
                            <w:pPr>
                              <w:pStyle w:val="AHPRABody1"/>
                            </w:pPr>
                            <w:r w:rsidRPr="00B56367">
                              <w:t>“Barrier to nurse prescribing linked to being able to access medical practitioners - this will likely mean ongoing barriers/delays”.</w:t>
                            </w:r>
                          </w:p>
                          <w:p w14:paraId="1880D34F" w14:textId="0FCB4AD9" w:rsidR="00717F43" w:rsidRPr="00B56367" w:rsidRDefault="00717F43" w:rsidP="00717F43">
                            <w:pPr>
                              <w:pStyle w:val="AHPRABody1"/>
                            </w:pPr>
                            <w:r>
                              <w:br/>
                            </w:r>
                            <w:r w:rsidRPr="00B56367">
                              <w:t>“The supervision agreement must allow for indirect supervision.  If the responsible prescriber needs to be on the same premises as the designated nurse prescriber new models of care such as outreach or in-home care will not be developed”.</w:t>
                            </w:r>
                          </w:p>
                          <w:p w14:paraId="21373141" w14:textId="06B56AFD" w:rsidR="00717F43" w:rsidRPr="00B56367" w:rsidRDefault="00717F43" w:rsidP="00717F43">
                            <w:pPr>
                              <w:pStyle w:val="AHPRABody1"/>
                            </w:pPr>
                            <w:r>
                              <w:br/>
                            </w:r>
                            <w:r w:rsidRPr="00B56367">
                              <w:t>“In order for RN prescribing to be financially viable, RN prescribers will need to have access to MBS and PBS – cost to implement and administer this process”.</w:t>
                            </w:r>
                          </w:p>
                          <w:p w14:paraId="5D693CE4" w14:textId="495EAAF2" w:rsidR="00717F43" w:rsidRPr="00400EF3" w:rsidRDefault="00717F43" w:rsidP="00717F43">
                            <w:pPr>
                              <w:pStyle w:val="AHPRABody1"/>
                            </w:pPr>
                            <w:r>
                              <w:br/>
                            </w:r>
                            <w:r w:rsidRPr="00B56367">
                              <w:t>“As noted, if RN prescribing is not subsidised via the PBS, there may be significant costs to the consumer. As many of the patient populations expected to benefit from RN prescribing are disadvantaged, this is a considerable concern. Efforts to ensure PBS subsidies for RN prescribing should be included in this 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ED66CD" id="Text Box 44" o:spid="_x0000_s1044" type="#_x0000_t202" style="position:absolute;margin-left:0;margin-top:0;width:2in;height:2in;z-index:25165827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" fillcolor="#eeece1 [3214]" strokeweight=".5pt">
                <v:textbox style="mso-fit-shape-to-text:t">
                  <w:txbxContent>
                    <w:p w14:paraId="20F60093" w14:textId="77777777" w:rsidR="00717F43" w:rsidRPr="00B56367" w:rsidRDefault="00717F43" w:rsidP="00717F43">
                      <w:pPr>
                        <w:pStyle w:val="AHPRABody1"/>
                      </w:pPr>
                      <w:r w:rsidRPr="00B56367">
                        <w:t>“Barrier to nurse prescribing linked to being able to access medical practitioners - this will likely mean ongoing barriers/delays”.</w:t>
                      </w:r>
                    </w:p>
                    <w:p w14:paraId="1880D34F" w14:textId="0FCB4AD9" w:rsidR="00717F43" w:rsidRPr="00B56367" w:rsidRDefault="00717F43" w:rsidP="00717F43">
                      <w:pPr>
                        <w:pStyle w:val="AHPRABody1"/>
                      </w:pPr>
                      <w:r>
                        <w:br/>
                      </w:r>
                      <w:r w:rsidRPr="00B56367">
                        <w:t>“The supervision agreement must allow for indirect supervision.  If the responsible prescriber needs to be on the same premises as the designated nurse prescriber new models of care such as outreach or in-home care will not be developed”.</w:t>
                      </w:r>
                    </w:p>
                    <w:p w14:paraId="21373141" w14:textId="06B56AFD" w:rsidR="00717F43" w:rsidRPr="00B56367" w:rsidRDefault="00717F43" w:rsidP="00717F43">
                      <w:pPr>
                        <w:pStyle w:val="AHPRABody1"/>
                      </w:pPr>
                      <w:r>
                        <w:br/>
                      </w:r>
                      <w:r w:rsidRPr="00B56367">
                        <w:t>“In order for RN prescribing to be financially viable, RN prescribers will need to have access to MBS and PBS – cost to implement and administer this process”.</w:t>
                      </w:r>
                    </w:p>
                    <w:p w14:paraId="5D693CE4" w14:textId="495EAAF2" w:rsidR="00717F43" w:rsidRPr="00400EF3" w:rsidRDefault="00717F43" w:rsidP="00717F43">
                      <w:pPr>
                        <w:pStyle w:val="AHPRABody1"/>
                      </w:pPr>
                      <w:r>
                        <w:br/>
                      </w:r>
                      <w:r w:rsidRPr="00B56367">
                        <w:t>“As noted, if RN prescribing is not subsidised via the PBS, there may be significant costs to the consumer. As many of the patient populations expected to benefit from RN prescribing are disadvantaged, this is a considerable concern. Efforts to ensure PBS subsidies for RN prescribing should be included in this plan’.</w:t>
                      </w:r>
                    </w:p>
                  </w:txbxContent>
                </v:textbox>
                <w10:wrap type="square"/>
              </v:shape>
            </w:pict>
          </mc:Fallback>
        </mc:AlternateContent>
      </w:r>
      <w:r w:rsidR="00353496" w:rsidRPr="00BB33D3">
        <w:t>Endorse</w:t>
      </w:r>
      <w:r w:rsidR="001E4525">
        <w:t>d</w:t>
      </w:r>
      <w:r w:rsidR="00353496" w:rsidRPr="00BB33D3">
        <w:t xml:space="preserve"> midwives also reported that there were PBS limitations and some medicines prescribed from a limited list </w:t>
      </w:r>
      <w:r w:rsidR="005222EA">
        <w:t>were</w:t>
      </w:r>
      <w:r w:rsidR="005222EA" w:rsidRPr="00BB33D3">
        <w:t xml:space="preserve"> </w:t>
      </w:r>
      <w:r w:rsidR="00353496" w:rsidRPr="00BB33D3">
        <w:t>not an approved item on the PBS</w:t>
      </w:r>
      <w:r w:rsidR="005222EA">
        <w:t>.</w:t>
      </w:r>
      <w:r w:rsidR="00353496" w:rsidRPr="00BB33D3">
        <w:t xml:space="preserve"> </w:t>
      </w:r>
      <w:r w:rsidR="005222EA">
        <w:t>These medicines were</w:t>
      </w:r>
      <w:r w:rsidR="00353496" w:rsidRPr="00BB33D3">
        <w:t xml:space="preserve"> at full cost to the patient who </w:t>
      </w:r>
      <w:r w:rsidR="00543713">
        <w:t>felt</w:t>
      </w:r>
      <w:r w:rsidR="00543713" w:rsidRPr="00BB33D3">
        <w:t xml:space="preserve"> </w:t>
      </w:r>
      <w:r w:rsidR="00353496" w:rsidRPr="00BB33D3">
        <w:t xml:space="preserve">financially penalised. </w:t>
      </w:r>
      <w:r w:rsidR="002D4321">
        <w:rPr>
          <w:vertAlign w:val="superscript"/>
        </w:rPr>
        <w:t>102</w:t>
      </w:r>
      <w:r w:rsidR="00353496" w:rsidRPr="00BB33D3">
        <w:t xml:space="preserve"> This defeats the </w:t>
      </w:r>
      <w:r w:rsidR="005222EA">
        <w:t>purpose</w:t>
      </w:r>
      <w:r w:rsidR="005222EA" w:rsidRPr="00BB33D3">
        <w:t xml:space="preserve"> </w:t>
      </w:r>
      <w:r w:rsidR="00353496" w:rsidRPr="00BB33D3">
        <w:t xml:space="preserve">of endorsed midwives being able to provide a complete episode of care and if women cannot afford the cost, it may also lead to fragmented care. </w:t>
      </w:r>
      <w:r w:rsidR="00B341F7">
        <w:t>T</w:t>
      </w:r>
      <w:r w:rsidR="00353496" w:rsidRPr="00BB33D3">
        <w:t xml:space="preserve">hroughout </w:t>
      </w:r>
      <w:r w:rsidR="00B341F7">
        <w:t>our</w:t>
      </w:r>
      <w:r w:rsidR="00353496" w:rsidRPr="00BB33D3">
        <w:t xml:space="preserve"> consultation</w:t>
      </w:r>
      <w:r w:rsidR="00B341F7">
        <w:t>, we</w:t>
      </w:r>
      <w:r w:rsidR="00353496" w:rsidRPr="00BB33D3">
        <w:t xml:space="preserve"> have spoken about the PBS requirements for designated RN prescribers to the Commonwealth Chief Nurs</w:t>
      </w:r>
      <w:r w:rsidR="003C3D8D">
        <w:t>ing and Midwifery Officer and the Chief Nursing and Midwifery Officers for each state and territory</w:t>
      </w:r>
      <w:r w:rsidR="00353496" w:rsidRPr="00BB33D3">
        <w:t xml:space="preserve">. </w:t>
      </w:r>
      <w:r w:rsidR="00B341F7">
        <w:t>Discussions</w:t>
      </w:r>
      <w:r w:rsidR="00353496" w:rsidRPr="00BB33D3">
        <w:t xml:space="preserve"> were also had with representatives from the </w:t>
      </w:r>
      <w:r w:rsidR="00353496" w:rsidRPr="002220FE">
        <w:t xml:space="preserve">Australian Government Department of Health and Aged Care around economic modelling. PBS for designated RN prescribers allows for tracking of medications which can assist in evaluation in </w:t>
      </w:r>
      <w:r w:rsidR="0005600E">
        <w:t>Q</w:t>
      </w:r>
      <w:r w:rsidR="00353496" w:rsidRPr="002220FE">
        <w:t xml:space="preserve">uality use of </w:t>
      </w:r>
      <w:r w:rsidR="0005600E">
        <w:t>M</w:t>
      </w:r>
      <w:r w:rsidR="00353496" w:rsidRPr="002220FE">
        <w:t>edicines. PBS for designated prescribers will be required for RN designated prescribers outside of public hospitals for the model to be effective.</w:t>
      </w:r>
    </w:p>
    <w:p w14:paraId="39B2E741" w14:textId="175CCC03" w:rsidR="00353496" w:rsidRPr="00405B39" w:rsidRDefault="00353496" w:rsidP="00216AB8">
      <w:pPr>
        <w:pStyle w:val="AHPRASubheadinglevel2"/>
        <w:outlineLvl w:val="0"/>
      </w:pPr>
      <w:bookmarkStart w:id="86" w:name="_Toc164692742"/>
      <w:r w:rsidRPr="00405B39">
        <w:t>Qualitative findings</w:t>
      </w:r>
      <w:r w:rsidR="009A08AF">
        <w:t>:</w:t>
      </w:r>
      <w:r w:rsidRPr="00405B39">
        <w:t xml:space="preserve"> </w:t>
      </w:r>
      <w:r w:rsidR="009A08AF">
        <w:t>Additional o</w:t>
      </w:r>
      <w:r w:rsidRPr="00405B39">
        <w:t>ption</w:t>
      </w:r>
      <w:r w:rsidR="00405B39">
        <w:t xml:space="preserve">s </w:t>
      </w:r>
      <w:r w:rsidRPr="00405B39">
        <w:t>not included in the C-RIS</w:t>
      </w:r>
      <w:bookmarkEnd w:id="86"/>
    </w:p>
    <w:p w14:paraId="1F5E87D9" w14:textId="7C1035EB" w:rsidR="00353496" w:rsidRPr="00D36210" w:rsidRDefault="00353496" w:rsidP="00216AB8">
      <w:pPr>
        <w:pStyle w:val="AHPRAbody"/>
        <w:outlineLvl w:val="0"/>
      </w:pPr>
      <w:r w:rsidRPr="00D36210">
        <w:t>The following respon</w:t>
      </w:r>
      <w:r w:rsidR="00751447">
        <w:t>ses</w:t>
      </w:r>
      <w:r w:rsidRPr="00D36210">
        <w:t xml:space="preserve"> provided alternative options to those not included in the CRIS:</w:t>
      </w:r>
    </w:p>
    <w:p w14:paraId="088E6481" w14:textId="68F88E6C" w:rsidR="00353496" w:rsidRPr="002220FE" w:rsidRDefault="009A50BD" w:rsidP="00F842D7">
      <w:pPr>
        <w:pStyle w:val="AHPRABody1"/>
      </w:pPr>
      <w:r>
        <w:rPr>
          <w:noProof/>
        </w:rPr>
        <mc:AlternateContent>
          <mc:Choice Requires="wps">
            <w:drawing>
              <wp:anchor distT="0" distB="0" distL="114300" distR="114300" simplePos="0" relativeHeight="251658278" behindDoc="0" locked="0" layoutInCell="1" allowOverlap="1" wp14:anchorId="323CA26A" wp14:editId="46044D81">
                <wp:simplePos x="0" y="0"/>
                <wp:positionH relativeFrom="column">
                  <wp:posOffset>0</wp:posOffset>
                </wp:positionH>
                <wp:positionV relativeFrom="paragraph">
                  <wp:posOffset>0</wp:posOffset>
                </wp:positionV>
                <wp:extent cx="1828800" cy="1828800"/>
                <wp:effectExtent l="0" t="0" r="21590" b="16510"/>
                <wp:wrapSquare wrapText="bothSides"/>
                <wp:docPr id="45" name="Text Box 4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339F2028" w14:textId="664E612E" w:rsidR="00717F43" w:rsidRPr="008C3433" w:rsidRDefault="00717F43" w:rsidP="00717F43">
                            <w:pPr>
                              <w:pStyle w:val="AHPRABody1"/>
                            </w:pPr>
                            <w:r w:rsidRPr="002220FE">
                              <w:t>“Establishing more Nurse Practitioner led models of care that incorporate screening and diagnostic skills in addition to prescribing may be beneficial. A focus on increasing the total nursing workforce and expanding Nurse Practitioner models of care while maintaining the status quo of the nursing role may lead to similar health care improvements to those proposed in the paper.     Another option might be to expand the proposed prescribing role in collaboration with other health practitioner boards to promote access to healthcare delivered by clinicians of many disciplines, particularly in primary health care settings. National Boards could work together to introduce a core Registration Standards Endorsement for Scheduled Medicines that could flexibly relate to any health discipline including nurses and midwives. This would share the prescribing workload across health professions and to specific professions educationally prepared to prescribe medication. This may support ongoing access to care by minimising potential workforce impacts, regardless of which discipline is a person’s primary care provider”.</w:t>
                            </w:r>
                            <w: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3CA26A" id="Text Box 45" o:spid="_x0000_s1045" type="#_x0000_t202" style="position:absolute;margin-left:0;margin-top:0;width:2in;height:2in;z-index:25165827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DP1sr5MwIAAIMEAAAOAAAAAAAAAAAAAAAAAC4CAABk&#10;cnMvZTJvRG9jLnhtbFBLAQItABQABgAIAAAAIQA0H0KE2QAAAAUBAAAPAAAAAAAAAAAAAAAAAI0E&#10;AABkcnMvZG93bnJldi54bWxQSwUGAAAAAAQABADzAAAAkwUAAAAA&#10;" fillcolor="#eeece1 [3214]" strokeweight=".5pt">
                <v:textbox style="mso-fit-shape-to-text:t">
                  <w:txbxContent>
                    <w:p w14:paraId="339F2028" w14:textId="664E612E" w:rsidR="00717F43" w:rsidRPr="008C3433" w:rsidRDefault="00717F43" w:rsidP="00717F43">
                      <w:pPr>
                        <w:pStyle w:val="AHPRABody1"/>
                      </w:pPr>
                      <w:r w:rsidRPr="002220FE">
                        <w:t>“Establishing more Nurse Practitioner led models of care that incorporate screening and diagnostic skills in addition to prescribing may be beneficial. A focus on increasing the total nursing workforce and expanding Nurse Practitioner models of care while maintaining the status quo of the nursing role may lead to similar health care improvements to those proposed in the paper.     Another option might be to expand the proposed prescribing role in collaboration with other health practitioner boards to promote access to healthcare delivered by clinicians of many disciplines, particularly in primary health care settings. National Boards could work together to introduce a core Registration Standards Endorsement for Scheduled Medicines that could flexibly relate to any health discipline including nurses and midwives. This would share the prescribing workload across health professions and to specific professions educationally prepared to prescribe medication. This may support ongoing access to care by minimising potential workforce impacts, regardless of which discipline is a person’s primary care provider”.</w:t>
                      </w:r>
                      <w:r>
                        <w:t xml:space="preserve"> </w:t>
                      </w:r>
                    </w:p>
                  </w:txbxContent>
                </v:textbox>
                <w10:wrap type="square"/>
              </v:shape>
            </w:pict>
          </mc:Fallback>
        </mc:AlternateContent>
      </w:r>
    </w:p>
    <w:p w14:paraId="59B26614" w14:textId="5F6E3FB7" w:rsidR="00353496" w:rsidRDefault="00353496" w:rsidP="00216AB8">
      <w:pPr>
        <w:pStyle w:val="AHPRAbody"/>
        <w:outlineLvl w:val="0"/>
      </w:pPr>
      <w:r w:rsidRPr="00405B39">
        <w:t xml:space="preserve">The </w:t>
      </w:r>
      <w:r w:rsidR="00B341F7">
        <w:t>NMBA</w:t>
      </w:r>
      <w:r w:rsidRPr="00405B39">
        <w:t xml:space="preserve"> acknowledge this feedback</w:t>
      </w:r>
      <w:r w:rsidR="00D37135">
        <w:t xml:space="preserve">. </w:t>
      </w:r>
      <w:r w:rsidR="00B341F7">
        <w:t>P</w:t>
      </w:r>
      <w:r w:rsidRPr="00405B39">
        <w:t xml:space="preserve">rescribing by other health professionals is outside of the </w:t>
      </w:r>
      <w:r w:rsidR="003C3D8D">
        <w:t>regulatory remit</w:t>
      </w:r>
      <w:r w:rsidR="003C3D8D" w:rsidRPr="00405B39">
        <w:t xml:space="preserve"> </w:t>
      </w:r>
      <w:r w:rsidRPr="00405B39">
        <w:t xml:space="preserve">of the </w:t>
      </w:r>
      <w:r w:rsidR="00B341F7">
        <w:t>NMBA</w:t>
      </w:r>
      <w:r w:rsidRPr="00405B39">
        <w:t xml:space="preserve">. </w:t>
      </w:r>
      <w:r w:rsidR="00D37135">
        <w:t xml:space="preserve">The NP role was promoted as a health reform strategy to reduce pressure on the health care system, address workforce shortages and improve rural and remote populations' access to health care services, however in 2021 the government acknowledged the lack of a national strategic plan to set a clear direction for the optimal use of the NP workforce. There has been a failing to realise their full value to the Australian community. Additionally, the evolution of the NP roles has been across specialised areas of practice, with the majority of NPs working in acute sectors of hospitals located in urban areas rather than in the underserviced, rural and remote primary health care sector. </w:t>
      </w:r>
      <w:r w:rsidR="00165073">
        <w:rPr>
          <w:vertAlign w:val="superscript"/>
        </w:rPr>
        <w:t>107</w:t>
      </w:r>
      <w:r w:rsidRPr="00405B39">
        <w:t>As of 2022</w:t>
      </w:r>
      <w:r w:rsidR="00667092">
        <w:t>,</w:t>
      </w:r>
      <w:r w:rsidRPr="00405B39">
        <w:t xml:space="preserve"> there were 2,397 NPs registered in Australia. 1,633 of these NPs were predominantly situated in Metropolitan areas. </w:t>
      </w:r>
      <w:r w:rsidR="00667092">
        <w:t>Of the 2,397 NPs</w:t>
      </w:r>
      <w:r w:rsidR="00166CAE">
        <w:t xml:space="preserve"> registered in Australia</w:t>
      </w:r>
      <w:r w:rsidR="00667092">
        <w:t>, 253 were located regionally,</w:t>
      </w:r>
      <w:r w:rsidRPr="00405B39">
        <w:t xml:space="preserve"> </w:t>
      </w:r>
      <w:r w:rsidR="00667092">
        <w:t>93 in small rural towns and 46 in very remote communities.</w:t>
      </w:r>
      <w:r w:rsidRPr="00405B39">
        <w:t xml:space="preserve"> In comparison there are 263,931 RNs in metropolitan areas, 37,042</w:t>
      </w:r>
      <w:r w:rsidR="00166CAE">
        <w:t xml:space="preserve"> located regionally</w:t>
      </w:r>
      <w:r w:rsidRPr="00405B39">
        <w:t>, 3,870</w:t>
      </w:r>
      <w:r w:rsidR="00166CAE">
        <w:t xml:space="preserve"> in small rural towns</w:t>
      </w:r>
      <w:r w:rsidRPr="00405B39">
        <w:t xml:space="preserve"> and</w:t>
      </w:r>
      <w:r w:rsidR="00166CAE">
        <w:t xml:space="preserve"> 2,496</w:t>
      </w:r>
      <w:r w:rsidRPr="00405B39">
        <w:t xml:space="preserve"> in very remote communities. are also 1,299 endorsed rural and isolated practice nurses across Australia who have expertise in their specific </w:t>
      </w:r>
      <w:r w:rsidRPr="00405B39">
        <w:lastRenderedPageBreak/>
        <w:t>contexts of practice.</w:t>
      </w:r>
      <w:r w:rsidR="00675ACB">
        <w:t xml:space="preserve"> </w:t>
      </w:r>
      <w:r w:rsidR="00CD5EE1">
        <w:rPr>
          <w:vertAlign w:val="superscript"/>
        </w:rPr>
        <w:t>10</w:t>
      </w:r>
      <w:r w:rsidR="00165073">
        <w:rPr>
          <w:vertAlign w:val="superscript"/>
        </w:rPr>
        <w:t>8</w:t>
      </w:r>
      <w:r w:rsidR="00CD5EE1">
        <w:rPr>
          <w:vertAlign w:val="superscript"/>
        </w:rPr>
        <w:t xml:space="preserve"> </w:t>
      </w:r>
      <w:r w:rsidR="00D37135">
        <w:t>Expanding the</w:t>
      </w:r>
      <w:r w:rsidR="00D37135" w:rsidRPr="00405B39">
        <w:t xml:space="preserve"> </w:t>
      </w:r>
      <w:r w:rsidR="00D37135">
        <w:t xml:space="preserve">NP </w:t>
      </w:r>
      <w:r w:rsidR="00D37135" w:rsidRPr="00405B39">
        <w:t xml:space="preserve">role can be achieved through designated RN </w:t>
      </w:r>
      <w:r w:rsidR="00165073" w:rsidRPr="00405B39">
        <w:t>prescribing. If</w:t>
      </w:r>
      <w:r w:rsidRPr="00405B39">
        <w:t xml:space="preserve"> these RNs cho</w:t>
      </w:r>
      <w:r w:rsidR="00572DBF">
        <w:t>o</w:t>
      </w:r>
      <w:r w:rsidRPr="00405B39">
        <w:t>se to undertake postgraduate qualifications for endorsement to become designated nurse prescribers across these areas, the potential for access and equity in healthcare increases</w:t>
      </w:r>
      <w:r w:rsidR="00572DBF">
        <w:t>,</w:t>
      </w:r>
      <w:r w:rsidRPr="00405B39">
        <w:t xml:space="preserve"> as does the</w:t>
      </w:r>
      <w:r w:rsidR="00572DBF">
        <w:t>ir</w:t>
      </w:r>
      <w:r w:rsidRPr="00405B39">
        <w:t xml:space="preserve"> </w:t>
      </w:r>
      <w:r w:rsidR="00B264A5">
        <w:t xml:space="preserve">ability to </w:t>
      </w:r>
      <w:r w:rsidRPr="00405B39">
        <w:t xml:space="preserve">transition to the NP workforce. </w:t>
      </w:r>
      <w:r w:rsidR="00457ACF">
        <w:t>A</w:t>
      </w:r>
      <w:r w:rsidRPr="00405B39">
        <w:t xml:space="preserve"> RN clinician</w:t>
      </w:r>
      <w:r w:rsidR="006C1C64">
        <w:t xml:space="preserve"> that worked in rural aged care</w:t>
      </w:r>
      <w:r w:rsidRPr="00405B39">
        <w:t xml:space="preserve"> who </w:t>
      </w:r>
      <w:r w:rsidR="00457ACF">
        <w:t>consulted on</w:t>
      </w:r>
      <w:r w:rsidRPr="00405B39">
        <w:t xml:space="preserve"> the feedback on the CRIS </w:t>
      </w:r>
      <w:r w:rsidR="006C1C64">
        <w:t>stated</w:t>
      </w:r>
      <w:r w:rsidRPr="00405B39">
        <w:t xml:space="preserve"> </w:t>
      </w:r>
      <w:r w:rsidR="00F044BF">
        <w:t xml:space="preserve">the designated RN prescriber </w:t>
      </w:r>
      <w:r w:rsidRPr="00405B39">
        <w:t xml:space="preserve">would be a great opportunity to </w:t>
      </w:r>
      <w:r w:rsidR="00F044BF">
        <w:t xml:space="preserve">gain experience </w:t>
      </w:r>
      <w:r w:rsidRPr="00405B39">
        <w:t xml:space="preserve">and </w:t>
      </w:r>
      <w:r w:rsidR="00F044BF">
        <w:t>then</w:t>
      </w:r>
      <w:r w:rsidRPr="00405B39">
        <w:t xml:space="preserve"> articulate to further NP studies. The role of the designated RN prescriber in low NP populated areas could incentivise RNs to </w:t>
      </w:r>
      <w:r w:rsidR="00457ACF">
        <w:t>follow</w:t>
      </w:r>
      <w:r w:rsidR="00457ACF" w:rsidRPr="00405B39">
        <w:t xml:space="preserve"> </w:t>
      </w:r>
      <w:r w:rsidRPr="00405B39">
        <w:t xml:space="preserve">pathways that build the nurse practitioner workforce and better integrate the role across areas of need. </w:t>
      </w:r>
    </w:p>
    <w:p w14:paraId="745BE75E" w14:textId="19BCABBD" w:rsidR="005866E2" w:rsidRPr="005866E2" w:rsidRDefault="00814752" w:rsidP="00216AB8">
      <w:pPr>
        <w:pStyle w:val="AHPRAbody"/>
        <w:outlineLvl w:val="0"/>
        <w:rPr>
          <w:b/>
          <w:bCs/>
        </w:rPr>
      </w:pPr>
      <w:r>
        <w:rPr>
          <w:b/>
          <w:bCs/>
        </w:rPr>
        <w:t xml:space="preserve">Summary of </w:t>
      </w:r>
      <w:r w:rsidR="005866E2" w:rsidRPr="005866E2">
        <w:rPr>
          <w:b/>
          <w:bCs/>
        </w:rPr>
        <w:t>option 2 after consultation and further follow up with participants to clarify feedback</w:t>
      </w:r>
      <w:r w:rsidR="00A40E77">
        <w:rPr>
          <w:b/>
          <w:bCs/>
        </w:rPr>
        <w:t>:</w:t>
      </w:r>
    </w:p>
    <w:tbl>
      <w:tblPr>
        <w:tblStyle w:val="PMCTableStyle2"/>
        <w:tblW w:w="9346"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9346"/>
      </w:tblGrid>
      <w:tr w:rsidR="0022063F" w:rsidRPr="0022063F" w14:paraId="16A82B62" w14:textId="77777777" w:rsidTr="00BA3111">
        <w:trPr>
          <w:cnfStyle w:val="100000000000" w:firstRow="1" w:lastRow="0" w:firstColumn="0" w:lastColumn="0" w:oddVBand="0" w:evenVBand="0" w:oddHBand="0" w:evenHBand="0" w:firstRowFirstColumn="0" w:firstRowLastColumn="0" w:lastRowFirstColumn="0" w:lastRowLastColumn="0"/>
          <w:trHeight w:val="350"/>
        </w:trPr>
        <w:tc>
          <w:tcPr>
            <w:tcW w:w="9346" w:type="dxa"/>
            <w:shd w:val="clear" w:color="auto" w:fill="00B0F0"/>
          </w:tcPr>
          <w:p w14:paraId="5F8F471E" w14:textId="0036B960" w:rsidR="0022063F" w:rsidRPr="0022063F" w:rsidRDefault="0022063F" w:rsidP="00216AB8">
            <w:pPr>
              <w:pStyle w:val="TableHeading"/>
              <w:spacing w:after="0"/>
              <w:outlineLvl w:val="0"/>
              <w:rPr>
                <w:rFonts w:ascii="Arial" w:eastAsia="Cambria" w:hAnsi="Arial" w:cs="Arial"/>
                <w:sz w:val="20"/>
              </w:rPr>
            </w:pPr>
            <w:r w:rsidRPr="0022063F">
              <w:rPr>
                <w:rFonts w:ascii="Arial" w:hAnsi="Arial" w:cs="Arial"/>
                <w:sz w:val="20"/>
              </w:rPr>
              <w:t>Benefits</w:t>
            </w:r>
          </w:p>
        </w:tc>
      </w:tr>
      <w:tr w:rsidR="0022063F" w:rsidRPr="0022063F" w14:paraId="0D4C561F" w14:textId="77777777" w:rsidTr="00BA3111">
        <w:trPr>
          <w:trHeight w:val="350"/>
        </w:trPr>
        <w:tc>
          <w:tcPr>
            <w:tcW w:w="9346" w:type="dxa"/>
          </w:tcPr>
          <w:p w14:paraId="4C950E24" w14:textId="58721807" w:rsidR="0022063F" w:rsidRPr="00B86A9A" w:rsidRDefault="0022063F" w:rsidP="00216AB8">
            <w:pPr>
              <w:pStyle w:val="AHPRABulletlevel1"/>
              <w:numPr>
                <w:ilvl w:val="0"/>
                <w:numId w:val="0"/>
              </w:numPr>
              <w:ind w:left="369" w:hanging="369"/>
              <w:outlineLvl w:val="0"/>
              <w:rPr>
                <w:rFonts w:ascii="Arial" w:hAnsi="Arial" w:cs="Arial"/>
                <w:szCs w:val="20"/>
              </w:rPr>
            </w:pPr>
            <w:r w:rsidRPr="00B86A9A">
              <w:rPr>
                <w:rFonts w:ascii="Arial" w:hAnsi="Arial" w:cs="Arial"/>
                <w:szCs w:val="20"/>
              </w:rPr>
              <w:t>Better coordination of care, especially for populations with chronic disease management.</w:t>
            </w:r>
          </w:p>
        </w:tc>
      </w:tr>
      <w:tr w:rsidR="0022063F" w:rsidRPr="0022063F" w14:paraId="783056A2" w14:textId="77777777" w:rsidTr="00BA3111">
        <w:trPr>
          <w:trHeight w:val="350"/>
        </w:trPr>
        <w:tc>
          <w:tcPr>
            <w:tcW w:w="9346" w:type="dxa"/>
          </w:tcPr>
          <w:p w14:paraId="44908AF9" w14:textId="61547864" w:rsidR="0022063F" w:rsidRPr="0022063F" w:rsidRDefault="0022063F" w:rsidP="00216AB8">
            <w:pPr>
              <w:pStyle w:val="AHPRABulletlevel1"/>
              <w:numPr>
                <w:ilvl w:val="0"/>
                <w:numId w:val="0"/>
              </w:numPr>
              <w:ind w:left="369" w:hanging="369"/>
              <w:outlineLvl w:val="0"/>
              <w:rPr>
                <w:rFonts w:ascii="Arial" w:hAnsi="Arial" w:cs="Arial"/>
                <w:szCs w:val="20"/>
              </w:rPr>
            </w:pPr>
            <w:r w:rsidRPr="00B86A9A">
              <w:rPr>
                <w:rFonts w:ascii="Arial" w:hAnsi="Arial" w:cs="Arial"/>
                <w:szCs w:val="20"/>
              </w:rPr>
              <w:t>Increased patient/consumer satisfaction with timely access</w:t>
            </w:r>
          </w:p>
        </w:tc>
      </w:tr>
      <w:tr w:rsidR="0022063F" w:rsidRPr="0022063F" w14:paraId="36BDA575" w14:textId="77777777" w:rsidTr="00BA3111">
        <w:trPr>
          <w:trHeight w:val="350"/>
        </w:trPr>
        <w:tc>
          <w:tcPr>
            <w:tcW w:w="9346" w:type="dxa"/>
          </w:tcPr>
          <w:p w14:paraId="71787F6E" w14:textId="65718AA0" w:rsidR="0022063F" w:rsidRPr="0022063F" w:rsidRDefault="0022063F" w:rsidP="00216AB8">
            <w:pPr>
              <w:pStyle w:val="AHPRABulletlevel1"/>
              <w:numPr>
                <w:ilvl w:val="0"/>
                <w:numId w:val="0"/>
              </w:numPr>
              <w:outlineLvl w:val="0"/>
              <w:rPr>
                <w:rFonts w:ascii="Arial" w:hAnsi="Arial" w:cs="Arial"/>
                <w:szCs w:val="20"/>
              </w:rPr>
            </w:pPr>
            <w:r w:rsidRPr="00B86A9A">
              <w:rPr>
                <w:rFonts w:ascii="Arial" w:hAnsi="Arial" w:cs="Arial"/>
                <w:szCs w:val="20"/>
              </w:rPr>
              <w:t>Reduced emergency department presentations and improve flow with RNs (education and training prepared) within the partnership agreement being able to prescribe and administer medications within their scope</w:t>
            </w:r>
          </w:p>
        </w:tc>
      </w:tr>
      <w:tr w:rsidR="0022063F" w:rsidRPr="0022063F" w14:paraId="10AC258A" w14:textId="77777777" w:rsidTr="00BA3111">
        <w:trPr>
          <w:cnfStyle w:val="010000000000" w:firstRow="0" w:lastRow="1" w:firstColumn="0" w:lastColumn="0" w:oddVBand="0" w:evenVBand="0" w:oddHBand="0" w:evenHBand="0" w:firstRowFirstColumn="0" w:firstRowLastColumn="0" w:lastRowFirstColumn="0" w:lastRowLastColumn="0"/>
          <w:trHeight w:val="350"/>
        </w:trPr>
        <w:tc>
          <w:tcPr>
            <w:tcW w:w="9346" w:type="dxa"/>
            <w:shd w:val="clear" w:color="auto" w:fill="auto"/>
          </w:tcPr>
          <w:p w14:paraId="24815525" w14:textId="2A327AFB" w:rsidR="0022063F" w:rsidRPr="0022063F" w:rsidRDefault="0022063F" w:rsidP="00216AB8">
            <w:pPr>
              <w:pStyle w:val="AHPRABulletlevel1"/>
              <w:numPr>
                <w:ilvl w:val="0"/>
                <w:numId w:val="0"/>
              </w:numPr>
              <w:spacing w:after="200"/>
              <w:ind w:left="369" w:hanging="369"/>
              <w:outlineLvl w:val="0"/>
              <w:rPr>
                <w:rFonts w:ascii="Arial" w:hAnsi="Arial" w:cs="Arial"/>
                <w:szCs w:val="20"/>
              </w:rPr>
            </w:pPr>
            <w:r w:rsidRPr="00B86A9A">
              <w:rPr>
                <w:rFonts w:ascii="Arial" w:hAnsi="Arial" w:cs="Arial"/>
                <w:szCs w:val="20"/>
              </w:rPr>
              <w:t xml:space="preserve">Pathway for RNs to progress to NP qualification facilitating career progression </w:t>
            </w:r>
          </w:p>
        </w:tc>
      </w:tr>
    </w:tbl>
    <w:p w14:paraId="7845C8D6" w14:textId="48501659" w:rsidR="00B86A9A" w:rsidRPr="00B66759" w:rsidDel="0022063F" w:rsidRDefault="00B86A9A" w:rsidP="00524DCB">
      <w:pPr>
        <w:pStyle w:val="AHPRAbody"/>
        <w:spacing w:after="0"/>
        <w:outlineLvl w:val="0"/>
      </w:pPr>
    </w:p>
    <w:tbl>
      <w:tblPr>
        <w:tblStyle w:val="PMCTableStyle2"/>
        <w:tblW w:w="9346"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9346"/>
      </w:tblGrid>
      <w:tr w:rsidR="00B86A9A" w:rsidRPr="0022063F" w14:paraId="575D0117" w14:textId="77777777" w:rsidTr="00BA3111">
        <w:trPr>
          <w:cnfStyle w:val="100000000000" w:firstRow="1" w:lastRow="0" w:firstColumn="0" w:lastColumn="0" w:oddVBand="0" w:evenVBand="0" w:oddHBand="0" w:evenHBand="0" w:firstRowFirstColumn="0" w:firstRowLastColumn="0" w:lastRowFirstColumn="0" w:lastRowLastColumn="0"/>
          <w:trHeight w:val="350"/>
        </w:trPr>
        <w:tc>
          <w:tcPr>
            <w:tcW w:w="9346" w:type="dxa"/>
            <w:shd w:val="clear" w:color="auto" w:fill="00B0F0"/>
          </w:tcPr>
          <w:p w14:paraId="2836BF7E" w14:textId="24A0058B" w:rsidR="00B86A9A" w:rsidRPr="0022063F" w:rsidRDefault="00B86A9A" w:rsidP="00216AB8">
            <w:pPr>
              <w:pStyle w:val="TableHeading"/>
              <w:spacing w:after="0"/>
              <w:outlineLvl w:val="0"/>
              <w:rPr>
                <w:rFonts w:ascii="Arial" w:eastAsia="Cambria" w:hAnsi="Arial" w:cs="Arial"/>
                <w:sz w:val="20"/>
              </w:rPr>
            </w:pPr>
            <w:r>
              <w:rPr>
                <w:rFonts w:ascii="Arial" w:hAnsi="Arial" w:cs="Arial"/>
                <w:sz w:val="20"/>
              </w:rPr>
              <w:t>Costs</w:t>
            </w:r>
          </w:p>
        </w:tc>
      </w:tr>
      <w:tr w:rsidR="00B86A9A" w:rsidRPr="0022063F" w14:paraId="5D4F8638" w14:textId="77777777" w:rsidTr="00BA3111">
        <w:trPr>
          <w:trHeight w:val="350"/>
        </w:trPr>
        <w:tc>
          <w:tcPr>
            <w:tcW w:w="9346" w:type="dxa"/>
          </w:tcPr>
          <w:p w14:paraId="25FFB1AA" w14:textId="5F0F4FBA" w:rsidR="00B86A9A" w:rsidRPr="002D1999" w:rsidRDefault="00B86A9A" w:rsidP="00216AB8">
            <w:pPr>
              <w:pStyle w:val="AHPRABulletlevel1"/>
              <w:numPr>
                <w:ilvl w:val="0"/>
                <w:numId w:val="0"/>
              </w:numPr>
              <w:outlineLvl w:val="0"/>
              <w:rPr>
                <w:rFonts w:ascii="Arial" w:hAnsi="Arial" w:cs="Arial"/>
                <w:szCs w:val="20"/>
              </w:rPr>
            </w:pPr>
            <w:r w:rsidRPr="00B86A9A">
              <w:rPr>
                <w:rFonts w:ascii="Arial" w:hAnsi="Arial" w:cs="Arial"/>
                <w:szCs w:val="20"/>
              </w:rPr>
              <w:t>Time costs to implement the governance framework and to organise prescribing agreements for each health service with RN prescribers as well as ongoing costs for review, audit and evaluation.  If these costs are prohibitive, this will negatively impact small practices in the rural and remote areas that most need increased access to care.</w:t>
            </w:r>
          </w:p>
        </w:tc>
      </w:tr>
      <w:tr w:rsidR="00B86A9A" w:rsidRPr="0022063F" w14:paraId="1140007E" w14:textId="77777777" w:rsidTr="00BA3111">
        <w:trPr>
          <w:trHeight w:val="350"/>
        </w:trPr>
        <w:tc>
          <w:tcPr>
            <w:tcW w:w="9346" w:type="dxa"/>
          </w:tcPr>
          <w:p w14:paraId="4EDD0CC7" w14:textId="76ABB6FD" w:rsidR="00B86A9A" w:rsidRPr="0022063F" w:rsidRDefault="00B86A9A" w:rsidP="00216AB8">
            <w:pPr>
              <w:pStyle w:val="AHPRABulletlevel1"/>
              <w:numPr>
                <w:ilvl w:val="0"/>
                <w:numId w:val="0"/>
              </w:numPr>
              <w:outlineLvl w:val="0"/>
              <w:rPr>
                <w:rFonts w:ascii="Arial" w:hAnsi="Arial" w:cs="Arial"/>
                <w:szCs w:val="20"/>
              </w:rPr>
            </w:pPr>
            <w:r w:rsidRPr="00B86A9A">
              <w:rPr>
                <w:rFonts w:ascii="Arial" w:hAnsi="Arial" w:cs="Arial"/>
                <w:szCs w:val="20"/>
              </w:rPr>
              <w:t>Potential increase for professional indemnity insurance</w:t>
            </w:r>
          </w:p>
        </w:tc>
      </w:tr>
      <w:tr w:rsidR="00B86A9A" w:rsidRPr="0022063F" w14:paraId="726BD8B8" w14:textId="77777777" w:rsidTr="00BA3111">
        <w:trPr>
          <w:trHeight w:val="350"/>
        </w:trPr>
        <w:tc>
          <w:tcPr>
            <w:tcW w:w="9346" w:type="dxa"/>
          </w:tcPr>
          <w:p w14:paraId="5F5F9F37" w14:textId="159E877F" w:rsidR="00B86A9A" w:rsidRPr="0022063F" w:rsidRDefault="00B86A9A" w:rsidP="00216AB8">
            <w:pPr>
              <w:pStyle w:val="AHPRABulletlevel1"/>
              <w:numPr>
                <w:ilvl w:val="0"/>
                <w:numId w:val="0"/>
              </w:numPr>
              <w:outlineLvl w:val="0"/>
              <w:rPr>
                <w:rFonts w:ascii="Arial" w:hAnsi="Arial" w:cs="Arial"/>
                <w:szCs w:val="20"/>
              </w:rPr>
            </w:pPr>
            <w:r w:rsidRPr="00B86A9A">
              <w:rPr>
                <w:rFonts w:ascii="Arial" w:hAnsi="Arial" w:cs="Arial"/>
                <w:szCs w:val="20"/>
              </w:rPr>
              <w:t>Increased salary for RN prescriber</w:t>
            </w:r>
          </w:p>
        </w:tc>
      </w:tr>
      <w:tr w:rsidR="00B86A9A" w:rsidRPr="0022063F" w14:paraId="4AA00161" w14:textId="77777777" w:rsidTr="00BA3111">
        <w:trPr>
          <w:trHeight w:val="350"/>
        </w:trPr>
        <w:tc>
          <w:tcPr>
            <w:tcW w:w="9346" w:type="dxa"/>
            <w:shd w:val="clear" w:color="auto" w:fill="auto"/>
          </w:tcPr>
          <w:p w14:paraId="2E65FF95" w14:textId="3816A141" w:rsidR="00B86A9A" w:rsidRPr="0022063F" w:rsidRDefault="00B86A9A" w:rsidP="00216AB8">
            <w:pPr>
              <w:pStyle w:val="AHPRABulletlevel1"/>
              <w:numPr>
                <w:ilvl w:val="0"/>
                <w:numId w:val="0"/>
              </w:numPr>
              <w:outlineLvl w:val="0"/>
              <w:rPr>
                <w:rFonts w:ascii="Arial" w:hAnsi="Arial" w:cs="Arial"/>
                <w:szCs w:val="20"/>
              </w:rPr>
            </w:pPr>
            <w:r w:rsidRPr="00B86A9A">
              <w:rPr>
                <w:rFonts w:ascii="Arial" w:hAnsi="Arial" w:cs="Arial"/>
                <w:szCs w:val="20"/>
              </w:rPr>
              <w:t>Cost to change to drugs and poisons legislation in relevant states and territories</w:t>
            </w:r>
          </w:p>
        </w:tc>
      </w:tr>
      <w:tr w:rsidR="00B86A9A" w:rsidRPr="0022063F" w14:paraId="4DE2B525" w14:textId="77777777" w:rsidTr="00BA3111">
        <w:trPr>
          <w:cnfStyle w:val="010000000000" w:firstRow="0" w:lastRow="1" w:firstColumn="0" w:lastColumn="0" w:oddVBand="0" w:evenVBand="0" w:oddHBand="0" w:evenHBand="0" w:firstRowFirstColumn="0" w:firstRowLastColumn="0" w:lastRowFirstColumn="0" w:lastRowLastColumn="0"/>
          <w:trHeight w:val="350"/>
        </w:trPr>
        <w:tc>
          <w:tcPr>
            <w:tcW w:w="9346" w:type="dxa"/>
            <w:shd w:val="clear" w:color="auto" w:fill="auto"/>
          </w:tcPr>
          <w:p w14:paraId="11CBAE19" w14:textId="29C7177B" w:rsidR="00B86A9A" w:rsidRPr="00B86A9A" w:rsidRDefault="00B86A9A" w:rsidP="00216AB8">
            <w:pPr>
              <w:pStyle w:val="AHPRABulletlevel1"/>
              <w:numPr>
                <w:ilvl w:val="0"/>
                <w:numId w:val="0"/>
              </w:numPr>
              <w:outlineLvl w:val="0"/>
              <w:rPr>
                <w:rFonts w:ascii="Arial" w:hAnsi="Arial" w:cs="Arial"/>
                <w:szCs w:val="20"/>
              </w:rPr>
            </w:pPr>
            <w:r w:rsidRPr="00B86A9A">
              <w:rPr>
                <w:rFonts w:ascii="Arial" w:hAnsi="Arial" w:cs="Arial"/>
                <w:szCs w:val="20"/>
              </w:rPr>
              <w:t>In order for RN prescribing to be financially viable, RN prescribers will need to have access to MBS and PBS – cost to implement and administer this process.</w:t>
            </w:r>
          </w:p>
        </w:tc>
      </w:tr>
    </w:tbl>
    <w:p w14:paraId="741B2C56" w14:textId="7E033BD6" w:rsidR="00353496" w:rsidRPr="008E2DF2" w:rsidRDefault="008E2DF2" w:rsidP="008E2DF2">
      <w:pPr>
        <w:spacing w:after="0"/>
        <w:rPr>
          <w:b/>
          <w:bCs/>
        </w:rPr>
      </w:pPr>
      <w:r w:rsidRPr="008E2DF2">
        <w:rPr>
          <w:b/>
          <w:bCs/>
        </w:rPr>
        <w:br/>
      </w:r>
      <w:r w:rsidR="00353496" w:rsidRPr="008E2DF2">
        <w:rPr>
          <w:b/>
          <w:bCs/>
        </w:rPr>
        <w:t>Qualitative findings</w:t>
      </w:r>
      <w:r w:rsidR="00AD0DB8" w:rsidRPr="008E2DF2">
        <w:rPr>
          <w:b/>
          <w:bCs/>
        </w:rPr>
        <w:t>:</w:t>
      </w:r>
      <w:r w:rsidR="00353496" w:rsidRPr="008E2DF2">
        <w:rPr>
          <w:b/>
          <w:bCs/>
        </w:rPr>
        <w:t xml:space="preserve"> Impacts to current prescribers </w:t>
      </w:r>
    </w:p>
    <w:p w14:paraId="04C6C34D" w14:textId="77777777" w:rsidR="008E2DF2" w:rsidRPr="008E2DF2" w:rsidRDefault="008E2DF2" w:rsidP="008E2DF2">
      <w:pPr>
        <w:spacing w:after="0"/>
        <w:rPr>
          <w:b/>
        </w:rPr>
      </w:pPr>
    </w:p>
    <w:p w14:paraId="5517CC0B" w14:textId="77777777" w:rsidR="00353496" w:rsidRPr="00F81CD9" w:rsidRDefault="00353496" w:rsidP="00216AB8">
      <w:pPr>
        <w:pStyle w:val="AHPRAbody"/>
        <w:outlineLvl w:val="0"/>
      </w:pPr>
      <w:r w:rsidRPr="00F81CD9">
        <w:t>On the impacts to current prescriber’s respondents provided the b</w:t>
      </w:r>
      <w:r>
        <w:t>e</w:t>
      </w:r>
      <w:r w:rsidRPr="00F81CD9">
        <w:t>low feedback:</w:t>
      </w:r>
    </w:p>
    <w:p w14:paraId="0CFBA7E7" w14:textId="0492C6EA" w:rsidR="00353496" w:rsidRPr="00AD0DB8" w:rsidRDefault="00353496" w:rsidP="00216AB8">
      <w:pPr>
        <w:pStyle w:val="AHPRAbody"/>
        <w:outlineLvl w:val="0"/>
      </w:pPr>
      <w:r w:rsidRPr="00AD0DB8">
        <w:t>Decreased demand and pressure on GP services</w:t>
      </w:r>
      <w:r w:rsidR="009543B3">
        <w:t>:</w:t>
      </w:r>
    </w:p>
    <w:p w14:paraId="3536E76D" w14:textId="23110288" w:rsidR="00353496" w:rsidRPr="00AD0DB8" w:rsidRDefault="009543B3" w:rsidP="00216AB8">
      <w:pPr>
        <w:pStyle w:val="AHPRAbody"/>
        <w:outlineLvl w:val="0"/>
      </w:pPr>
      <w:r>
        <w:rPr>
          <w:noProof/>
          <w:lang w:eastAsia="en-AU"/>
        </w:rPr>
        <mc:AlternateContent>
          <mc:Choice Requires="wps">
            <w:drawing>
              <wp:anchor distT="0" distB="0" distL="114300" distR="114300" simplePos="0" relativeHeight="251658280" behindDoc="0" locked="0" layoutInCell="1" allowOverlap="1" wp14:anchorId="33DB0E9E" wp14:editId="7410165A">
                <wp:simplePos x="0" y="0"/>
                <wp:positionH relativeFrom="margin">
                  <wp:posOffset>-1270</wp:posOffset>
                </wp:positionH>
                <wp:positionV relativeFrom="paragraph">
                  <wp:posOffset>827405</wp:posOffset>
                </wp:positionV>
                <wp:extent cx="5953125" cy="276225"/>
                <wp:effectExtent l="0" t="0" r="28575" b="28575"/>
                <wp:wrapSquare wrapText="bothSides"/>
                <wp:docPr id="48" name="Text Box 48"/>
                <wp:cNvGraphicFramePr/>
                <a:graphic xmlns:a="http://schemas.openxmlformats.org/drawingml/2006/main">
                  <a:graphicData uri="http://schemas.microsoft.com/office/word/2010/wordprocessingShape">
                    <wps:wsp>
                      <wps:cNvSpPr txBox="1"/>
                      <wps:spPr>
                        <a:xfrm>
                          <a:off x="0" y="0"/>
                          <a:ext cx="5953125" cy="276225"/>
                        </a:xfrm>
                        <a:prstGeom prst="rect">
                          <a:avLst/>
                        </a:prstGeom>
                        <a:solidFill>
                          <a:schemeClr val="bg2"/>
                        </a:solidFill>
                        <a:ln w="6350">
                          <a:solidFill>
                            <a:prstClr val="black"/>
                          </a:solidFill>
                        </a:ln>
                      </wps:spPr>
                      <wps:txbx>
                        <w:txbxContent>
                          <w:p w14:paraId="2C24DEC2" w14:textId="77777777" w:rsidR="00717F43" w:rsidRPr="00D955E5" w:rsidRDefault="00717F43" w:rsidP="00F7356E">
                            <w:pPr>
                              <w:pStyle w:val="AHPRABody1"/>
                            </w:pPr>
                            <w:r w:rsidRPr="00AD0DB8">
                              <w:t>“Significant increase in workload by having to have oversight of someone else's prescribing”.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DB0E9E" id="Text Box 48" o:spid="_x0000_s1046" type="#_x0000_t202" style="position:absolute;margin-left:-.1pt;margin-top:65.15pt;width:468.75pt;height:21.7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" fillcolor="#eeece1 [3214]" strokeweight=".5pt">
                <v:textbox>
                  <w:txbxContent>
                    <w:p w14:paraId="2C24DEC2" w14:textId="77777777" w:rsidR="00717F43" w:rsidRPr="00D955E5" w:rsidRDefault="00717F43" w:rsidP="00F7356E">
                      <w:pPr>
                        <w:pStyle w:val="AHPRABody1"/>
                      </w:pPr>
                      <w:r w:rsidRPr="00AD0DB8">
                        <w:t>“Significant increase in workload by having to have oversight of someone else's prescribing”.</w:t>
                      </w:r>
                    </w:p>
                  </w:txbxContent>
                </v:textbox>
                <w10:wrap type="square" anchorx="margin"/>
              </v:shape>
            </w:pict>
          </mc:Fallback>
        </mc:AlternateContent>
      </w:r>
      <w:r>
        <w:rPr>
          <w:rFonts w:asciiTheme="minorHAnsi" w:eastAsia="Times New Roman" w:hAnsiTheme="minorHAnsi" w:cstheme="minorHAnsi"/>
          <w:i/>
          <w:iCs/>
          <w:szCs w:val="20"/>
          <w:lang w:eastAsia="en-AU"/>
        </w:rPr>
        <w:br/>
      </w:r>
      <w:r>
        <w:rPr>
          <w:noProof/>
          <w:lang w:eastAsia="en-AU"/>
        </w:rPr>
        <mc:AlternateContent>
          <mc:Choice Requires="wps">
            <w:drawing>
              <wp:anchor distT="0" distB="0" distL="114300" distR="114300" simplePos="0" relativeHeight="251658279" behindDoc="0" locked="0" layoutInCell="1" allowOverlap="1" wp14:anchorId="6CAD4010" wp14:editId="5FC72159">
                <wp:simplePos x="0" y="0"/>
                <wp:positionH relativeFrom="column">
                  <wp:posOffset>0</wp:posOffset>
                </wp:positionH>
                <wp:positionV relativeFrom="paragraph">
                  <wp:posOffset>0</wp:posOffset>
                </wp:positionV>
                <wp:extent cx="1828800" cy="1828800"/>
                <wp:effectExtent l="0" t="0" r="21590" b="10160"/>
                <wp:wrapSquare wrapText="bothSides"/>
                <wp:docPr id="46" name="Text Box 4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39BED311" w14:textId="77777777" w:rsidR="00717F43" w:rsidRPr="004B367B" w:rsidRDefault="00717F43" w:rsidP="000C4FBA">
                            <w:pPr>
                              <w:pStyle w:val="AHPRABody1"/>
                            </w:pPr>
                            <w:r w:rsidRPr="00AD0DB8">
                              <w:t>“On GPs - reduce the need for people with stable conditions who simply require repeat prescriptions - for thyroxine for 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D4010" id="Text Box 46" o:spid="_x0000_s1047" type="#_x0000_t202" style="position:absolute;margin-left:0;margin-top:0;width:2in;height:2in;z-index:25165827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" fillcolor="#eeece1 [3214]" strokeweight=".5pt">
                <v:textbox style="mso-fit-shape-to-text:t">
                  <w:txbxContent>
                    <w:p w14:paraId="39BED311" w14:textId="77777777" w:rsidR="00717F43" w:rsidRPr="004B367B" w:rsidRDefault="00717F43" w:rsidP="000C4FBA">
                      <w:pPr>
                        <w:pStyle w:val="AHPRABody1"/>
                      </w:pPr>
                      <w:r w:rsidRPr="00AD0DB8">
                        <w:t>“On GPs - reduce the need for people with stable conditions who simply require repeat prescriptions - for thyroxine for example”.</w:t>
                      </w:r>
                    </w:p>
                  </w:txbxContent>
                </v:textbox>
                <w10:wrap type="square"/>
              </v:shape>
            </w:pict>
          </mc:Fallback>
        </mc:AlternateContent>
      </w:r>
      <w:r w:rsidR="00353496" w:rsidRPr="00AD0DB8">
        <w:t>Time cost to establish mentoring and prescribing partnerships</w:t>
      </w:r>
      <w:r>
        <w:t>:</w:t>
      </w:r>
    </w:p>
    <w:p w14:paraId="2CA0EF23" w14:textId="77777777" w:rsidR="008E2DF2" w:rsidRDefault="009543B3" w:rsidP="004D0785">
      <w:pPr>
        <w:pStyle w:val="AHPRAbody"/>
        <w:outlineLvl w:val="0"/>
      </w:pPr>
      <w:r>
        <w:rPr>
          <w:rFonts w:asciiTheme="minorHAnsi" w:eastAsia="Times New Roman" w:hAnsiTheme="minorHAnsi" w:cstheme="minorHAnsi"/>
          <w:i/>
          <w:iCs/>
          <w:szCs w:val="20"/>
          <w:lang w:eastAsia="en-AU"/>
        </w:rPr>
        <w:br/>
      </w:r>
    </w:p>
    <w:p w14:paraId="4A9DC912" w14:textId="77777777" w:rsidR="008E2DF2" w:rsidRDefault="008E2DF2" w:rsidP="004D0785">
      <w:pPr>
        <w:pStyle w:val="AHPRAbody"/>
        <w:outlineLvl w:val="0"/>
      </w:pPr>
    </w:p>
    <w:p w14:paraId="488C0B04" w14:textId="77777777" w:rsidR="008E2DF2" w:rsidRDefault="008E2DF2" w:rsidP="004D0785">
      <w:pPr>
        <w:pStyle w:val="AHPRAbody"/>
        <w:outlineLvl w:val="0"/>
      </w:pPr>
    </w:p>
    <w:p w14:paraId="7AA255A0" w14:textId="77777777" w:rsidR="008E2DF2" w:rsidRDefault="008E2DF2" w:rsidP="004D0785">
      <w:pPr>
        <w:pStyle w:val="AHPRAbody"/>
        <w:outlineLvl w:val="0"/>
      </w:pPr>
    </w:p>
    <w:p w14:paraId="6E402106" w14:textId="77777777" w:rsidR="008E2DF2" w:rsidRDefault="008E2DF2" w:rsidP="004D0785">
      <w:pPr>
        <w:pStyle w:val="AHPRAbody"/>
        <w:outlineLvl w:val="0"/>
      </w:pPr>
    </w:p>
    <w:p w14:paraId="07731362" w14:textId="77777777" w:rsidR="008E2DF2" w:rsidRDefault="008E2DF2" w:rsidP="004D0785">
      <w:pPr>
        <w:pStyle w:val="AHPRAbody"/>
        <w:outlineLvl w:val="0"/>
      </w:pPr>
    </w:p>
    <w:p w14:paraId="453DF903" w14:textId="2D3FE64E" w:rsidR="00353496" w:rsidRPr="00AD0DB8" w:rsidRDefault="004D0785" w:rsidP="004D0785">
      <w:pPr>
        <w:pStyle w:val="AHPRAbody"/>
        <w:outlineLvl w:val="0"/>
      </w:pPr>
      <w:r>
        <w:t xml:space="preserve">Reduced </w:t>
      </w:r>
      <w:r w:rsidR="00353496" w:rsidRPr="00AD0DB8">
        <w:t xml:space="preserve">GP burnout </w:t>
      </w:r>
      <w:r>
        <w:t>and practitioner retention:</w:t>
      </w:r>
    </w:p>
    <w:p w14:paraId="08A83EFA" w14:textId="2EE80C09" w:rsidR="00353496" w:rsidRPr="00AD0DB8" w:rsidRDefault="004D0785" w:rsidP="00216AB8">
      <w:pPr>
        <w:pStyle w:val="AHPRAbody"/>
        <w:outlineLvl w:val="0"/>
      </w:pPr>
      <w:r>
        <w:rPr>
          <w:noProof/>
          <w:lang w:eastAsia="en-AU"/>
        </w:rPr>
        <mc:AlternateContent>
          <mc:Choice Requires="wps">
            <w:drawing>
              <wp:anchor distT="0" distB="0" distL="114300" distR="114300" simplePos="0" relativeHeight="251658281" behindDoc="0" locked="0" layoutInCell="1" allowOverlap="1" wp14:anchorId="61D5A95F" wp14:editId="2DF87E2B">
                <wp:simplePos x="0" y="0"/>
                <wp:positionH relativeFrom="margin">
                  <wp:align>left</wp:align>
                </wp:positionH>
                <wp:positionV relativeFrom="paragraph">
                  <wp:posOffset>1715135</wp:posOffset>
                </wp:positionV>
                <wp:extent cx="5943600" cy="722630"/>
                <wp:effectExtent l="0" t="0" r="19050" b="20320"/>
                <wp:wrapSquare wrapText="bothSides"/>
                <wp:docPr id="51" name="Text Box 51"/>
                <wp:cNvGraphicFramePr/>
                <a:graphic xmlns:a="http://schemas.openxmlformats.org/drawingml/2006/main">
                  <a:graphicData uri="http://schemas.microsoft.com/office/word/2010/wordprocessingShape">
                    <wps:wsp>
                      <wps:cNvSpPr txBox="1"/>
                      <wps:spPr>
                        <a:xfrm>
                          <a:off x="0" y="0"/>
                          <a:ext cx="5943600" cy="723014"/>
                        </a:xfrm>
                        <a:prstGeom prst="rect">
                          <a:avLst/>
                        </a:prstGeom>
                        <a:solidFill>
                          <a:schemeClr val="bg2"/>
                        </a:solidFill>
                        <a:ln w="6350">
                          <a:solidFill>
                            <a:prstClr val="black"/>
                          </a:solidFill>
                        </a:ln>
                      </wps:spPr>
                      <wps:txbx>
                        <w:txbxContent>
                          <w:p w14:paraId="2B9BC64E" w14:textId="77777777" w:rsidR="00717F43" w:rsidRDefault="00717F43" w:rsidP="00CD5EE1">
                            <w:pPr>
                              <w:pStyle w:val="AHPRABody1"/>
                            </w:pPr>
                            <w:r w:rsidRPr="00AD0DB8">
                              <w:t>“Ability for practitioners to work in partnership”.</w:t>
                            </w:r>
                          </w:p>
                          <w:p w14:paraId="106573A8" w14:textId="65B14C45" w:rsidR="00717F43" w:rsidRPr="00494D87" w:rsidRDefault="00717F43" w:rsidP="00CD5EE1">
                            <w:pPr>
                              <w:pStyle w:val="AHPRABody1"/>
                            </w:pPr>
                            <w:r>
                              <w:br/>
                              <w:t>“</w:t>
                            </w:r>
                            <w:r w:rsidRPr="00AD0DB8">
                              <w:t>Once partnerships are established potential time savings through the shared care of the patient/client.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D5A95F" id="Text Box 51" o:spid="_x0000_s1048" type="#_x0000_t202" style="position:absolute;margin-left:0;margin-top:135.05pt;width:468pt;height:56.9pt;z-index:25165828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" fillcolor="#eeece1 [3214]" strokeweight=".5pt">
                <v:textbox>
                  <w:txbxContent>
                    <w:p w14:paraId="2B9BC64E" w14:textId="77777777" w:rsidR="00717F43" w:rsidRDefault="00717F43" w:rsidP="00CD5EE1">
                      <w:pPr>
                        <w:pStyle w:val="AHPRABody1"/>
                      </w:pPr>
                      <w:r w:rsidRPr="00AD0DB8">
                        <w:t>“Ability for practitioners to work in partnership”.</w:t>
                      </w:r>
                    </w:p>
                    <w:p w14:paraId="106573A8" w14:textId="65B14C45" w:rsidR="00717F43" w:rsidRPr="00494D87" w:rsidRDefault="00717F43" w:rsidP="00CD5EE1">
                      <w:pPr>
                        <w:pStyle w:val="AHPRABody1"/>
                      </w:pPr>
                      <w:r>
                        <w:br/>
                        <w:t>“</w:t>
                      </w:r>
                      <w:r w:rsidRPr="00AD0DB8">
                        <w:t>Once partnerships are established potential time savings through the shared care of the patient/client.</w:t>
                      </w:r>
                      <w:r>
                        <w:t>”</w:t>
                      </w:r>
                    </w:p>
                  </w:txbxContent>
                </v:textbox>
                <w10:wrap type="square" anchorx="margin"/>
              </v:shape>
            </w:pict>
          </mc:Fallback>
        </mc:AlternateContent>
      </w:r>
      <w:r w:rsidR="009543B3">
        <w:rPr>
          <w:noProof/>
          <w:lang w:eastAsia="en-AU"/>
        </w:rPr>
        <mc:AlternateContent>
          <mc:Choice Requires="wps">
            <w:drawing>
              <wp:inline distT="0" distB="0" distL="0" distR="0" wp14:anchorId="1E4AC099" wp14:editId="7FFEE0C9">
                <wp:extent cx="5962650" cy="1276985"/>
                <wp:effectExtent l="0" t="0" r="19050" b="22860"/>
                <wp:docPr id="50" name="Text Box 50"/>
                <wp:cNvGraphicFramePr/>
                <a:graphic xmlns:a="http://schemas.openxmlformats.org/drawingml/2006/main">
                  <a:graphicData uri="http://schemas.microsoft.com/office/word/2010/wordprocessingShape">
                    <wps:wsp>
                      <wps:cNvSpPr txBox="1"/>
                      <wps:spPr>
                        <a:xfrm>
                          <a:off x="0" y="0"/>
                          <a:ext cx="5962650" cy="1276985"/>
                        </a:xfrm>
                        <a:prstGeom prst="rect">
                          <a:avLst/>
                        </a:prstGeom>
                        <a:solidFill>
                          <a:schemeClr val="bg2"/>
                        </a:solidFill>
                        <a:ln w="6350">
                          <a:solidFill>
                            <a:prstClr val="black"/>
                          </a:solidFill>
                        </a:ln>
                      </wps:spPr>
                      <wps:txbx>
                        <w:txbxContent>
                          <w:p w14:paraId="6CFAF72D" w14:textId="77777777" w:rsidR="00717F43" w:rsidRPr="00AD0DB8" w:rsidRDefault="00717F43" w:rsidP="00F7356E">
                            <w:pPr>
                              <w:pStyle w:val="AHPRABody1"/>
                            </w:pPr>
                            <w:r w:rsidRPr="00AD0DB8">
                              <w:t>“Positive impact of first line medication management before a GP”</w:t>
                            </w:r>
                          </w:p>
                          <w:p w14:paraId="72E97B45" w14:textId="38CDA88A" w:rsidR="00717F43" w:rsidRPr="00AD0DB8" w:rsidRDefault="00717F43" w:rsidP="00F7356E">
                            <w:pPr>
                              <w:pStyle w:val="AHPRABody1"/>
                            </w:pPr>
                            <w:r>
                              <w:br/>
                            </w:r>
                            <w:r w:rsidRPr="00AD0DB8">
                              <w:t>“Positively affect Increased Access to Healthcare”.</w:t>
                            </w:r>
                          </w:p>
                          <w:p w14:paraId="022B0513" w14:textId="25BA8731" w:rsidR="00717F43" w:rsidRPr="00AD0DB8" w:rsidRDefault="00717F43" w:rsidP="00F7356E">
                            <w:pPr>
                              <w:pStyle w:val="AHPRABody1"/>
                            </w:pPr>
                            <w:r>
                              <w:br/>
                            </w:r>
                            <w:r w:rsidRPr="00AD0DB8">
                              <w:t>“Decrease burden of practicing outside of hours”.</w:t>
                            </w:r>
                          </w:p>
                          <w:p w14:paraId="476E58E2" w14:textId="6ED98131" w:rsidR="00717F43" w:rsidRPr="00986BD1" w:rsidRDefault="00717F43" w:rsidP="00F7356E">
                            <w:pPr>
                              <w:pStyle w:val="AHPRABody1"/>
                            </w:pPr>
                            <w:r>
                              <w:br/>
                            </w:r>
                            <w:r w:rsidRPr="00AD0DB8">
                              <w:t>“Less repeat GP visits for scrips alone”.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4AC099" id="Text Box 50" o:spid="_x0000_s1049" type="#_x0000_t202" style="width:469.5pt;height:10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" fillcolor="#eeece1 [3214]" strokeweight=".5pt">
                <v:textbox style="mso-fit-shape-to-text:t">
                  <w:txbxContent>
                    <w:p w14:paraId="6CFAF72D" w14:textId="77777777" w:rsidR="00717F43" w:rsidRPr="00AD0DB8" w:rsidRDefault="00717F43" w:rsidP="00F7356E">
                      <w:pPr>
                        <w:pStyle w:val="AHPRABody1"/>
                      </w:pPr>
                      <w:r w:rsidRPr="00AD0DB8">
                        <w:t>“Positive impact of first line medication management before a GP”</w:t>
                      </w:r>
                    </w:p>
                    <w:p w14:paraId="72E97B45" w14:textId="38CDA88A" w:rsidR="00717F43" w:rsidRPr="00AD0DB8" w:rsidRDefault="00717F43" w:rsidP="00F7356E">
                      <w:pPr>
                        <w:pStyle w:val="AHPRABody1"/>
                      </w:pPr>
                      <w:r>
                        <w:br/>
                      </w:r>
                      <w:r w:rsidRPr="00AD0DB8">
                        <w:t>“Positively affect Increased Access to Healthcare”.</w:t>
                      </w:r>
                    </w:p>
                    <w:p w14:paraId="022B0513" w14:textId="25BA8731" w:rsidR="00717F43" w:rsidRPr="00AD0DB8" w:rsidRDefault="00717F43" w:rsidP="00F7356E">
                      <w:pPr>
                        <w:pStyle w:val="AHPRABody1"/>
                      </w:pPr>
                      <w:r>
                        <w:br/>
                      </w:r>
                      <w:r w:rsidRPr="00AD0DB8">
                        <w:t>“Decrease burden of practicing outside of hours”.</w:t>
                      </w:r>
                    </w:p>
                    <w:p w14:paraId="476E58E2" w14:textId="6ED98131" w:rsidR="00717F43" w:rsidRPr="00986BD1" w:rsidRDefault="00717F43" w:rsidP="00F7356E">
                      <w:pPr>
                        <w:pStyle w:val="AHPRABody1"/>
                      </w:pPr>
                      <w:r>
                        <w:br/>
                      </w:r>
                      <w:r w:rsidRPr="00AD0DB8">
                        <w:t>“Less repeat GP visits for scrips alone”.</w:t>
                      </w:r>
                    </w:p>
                  </w:txbxContent>
                </v:textbox>
                <w10:anchorlock/>
              </v:shape>
            </w:pict>
          </mc:Fallback>
        </mc:AlternateContent>
      </w:r>
      <w:r w:rsidR="009543B3">
        <w:rPr>
          <w:rFonts w:asciiTheme="minorHAnsi" w:eastAsia="Times New Roman" w:hAnsiTheme="minorHAnsi" w:cstheme="minorHAnsi"/>
          <w:i/>
          <w:iCs/>
          <w:szCs w:val="20"/>
          <w:lang w:eastAsia="en-AU"/>
        </w:rPr>
        <w:br/>
      </w:r>
      <w:r w:rsidR="009543B3">
        <w:rPr>
          <w:rFonts w:asciiTheme="minorHAnsi" w:eastAsia="Times New Roman" w:hAnsiTheme="minorHAnsi" w:cstheme="minorHAnsi"/>
          <w:i/>
          <w:iCs/>
          <w:szCs w:val="20"/>
          <w:lang w:eastAsia="en-AU"/>
        </w:rPr>
        <w:br/>
      </w:r>
      <w:r>
        <w:t>Promote p</w:t>
      </w:r>
      <w:r w:rsidR="00353496" w:rsidRPr="00AD0DB8">
        <w:t>eer networking and provide sole GPs with a second person with whom to discuss medication issues.</w:t>
      </w:r>
      <w:r>
        <w:rPr>
          <w:rFonts w:asciiTheme="minorHAnsi" w:eastAsia="Times New Roman" w:hAnsiTheme="minorHAnsi" w:cstheme="minorHAnsi"/>
          <w:i/>
          <w:iCs/>
          <w:szCs w:val="20"/>
          <w:lang w:eastAsia="en-AU"/>
        </w:rPr>
        <w:br/>
      </w:r>
      <w:r>
        <w:rPr>
          <w:rFonts w:asciiTheme="minorHAnsi" w:eastAsia="Times New Roman" w:hAnsiTheme="minorHAnsi" w:cstheme="minorHAnsi"/>
          <w:i/>
          <w:iCs/>
          <w:szCs w:val="20"/>
          <w:lang w:eastAsia="en-AU"/>
        </w:rPr>
        <w:br/>
      </w:r>
      <w:r w:rsidR="00353496" w:rsidRPr="00AD0DB8">
        <w:t>Once partnerships are established potential time savings through the shared care of the patient/client.</w:t>
      </w:r>
    </w:p>
    <w:p w14:paraId="322CE821" w14:textId="4E4CE1A5" w:rsidR="00353496" w:rsidRPr="00AD0DB8" w:rsidRDefault="00353496" w:rsidP="00216AB8">
      <w:pPr>
        <w:pStyle w:val="AHPRAbody"/>
        <w:outlineLvl w:val="0"/>
      </w:pPr>
      <w:r w:rsidRPr="00AD0DB8">
        <w:t>There are currently no studies that explore the impacts of non-medical prescribing on current medical prescribers or NP’s</w:t>
      </w:r>
      <w:r w:rsidR="00B341F7">
        <w:t xml:space="preserve">.  </w:t>
      </w:r>
      <w:r w:rsidR="00DF3582">
        <w:t>S</w:t>
      </w:r>
      <w:r w:rsidRPr="00AD0DB8">
        <w:t xml:space="preserve">tudies have </w:t>
      </w:r>
      <w:r w:rsidR="00DF3582">
        <w:t xml:space="preserve">instead </w:t>
      </w:r>
      <w:r w:rsidRPr="00AD0DB8">
        <w:t xml:space="preserve">focused on the effectiveness across prescribing, differences and similarities in prescribing and enablers and barriers for non-medical prescribers to prescribe. This could be included in </w:t>
      </w:r>
      <w:r w:rsidR="002062ED">
        <w:t xml:space="preserve">future </w:t>
      </w:r>
      <w:r w:rsidRPr="00AD0DB8">
        <w:t>evaluation studies.</w:t>
      </w:r>
    </w:p>
    <w:p w14:paraId="7FD1FAF3" w14:textId="4262D182" w:rsidR="00353496" w:rsidRPr="00891A26" w:rsidRDefault="00353496" w:rsidP="00216AB8">
      <w:pPr>
        <w:pStyle w:val="AHPRASubheadinglevel2"/>
        <w:outlineLvl w:val="0"/>
      </w:pPr>
      <w:bookmarkStart w:id="87" w:name="_Toc164692743"/>
      <w:r w:rsidRPr="00891A26">
        <w:t xml:space="preserve">Qualitative </w:t>
      </w:r>
      <w:r w:rsidR="00B66759">
        <w:t>f</w:t>
      </w:r>
      <w:r w:rsidR="00B66759" w:rsidRPr="00891A26">
        <w:t>indings</w:t>
      </w:r>
      <w:r w:rsidR="00B66759">
        <w:t xml:space="preserve">: </w:t>
      </w:r>
      <w:r w:rsidRPr="00891A26">
        <w:t>Option 2a – RNs expand their scope of practice to prescribe Schedule 2, 3 and 4 medicines only under supervision, in accordance with governance frameworks and prescribing agreements</w:t>
      </w:r>
      <w:bookmarkEnd w:id="87"/>
    </w:p>
    <w:p w14:paraId="359528A0" w14:textId="4918A184" w:rsidR="00353496" w:rsidRPr="005D7DE4" w:rsidRDefault="00353496" w:rsidP="00216AB8">
      <w:pPr>
        <w:pStyle w:val="AHPRAbody"/>
        <w:outlineLvl w:val="0"/>
      </w:pPr>
      <w:r w:rsidRPr="005D7DE4">
        <w:t xml:space="preserve">There was little overall additional evidence in response to option 2 for option 2a. The majority of respondents did not agree with option 2a citing that this would create fragmented care for health consumers. </w:t>
      </w:r>
      <w:r w:rsidR="00DF3582">
        <w:t>The</w:t>
      </w:r>
      <w:r w:rsidRPr="005D7DE4">
        <w:t xml:space="preserve"> following respondent’s feedback</w:t>
      </w:r>
      <w:r w:rsidR="00DF3582">
        <w:t xml:space="preserve"> summarised this </w:t>
      </w:r>
      <w:r w:rsidR="00C96191">
        <w:t>sentiment</w:t>
      </w:r>
      <w:r w:rsidRPr="005D7DE4">
        <w:t>:</w:t>
      </w:r>
    </w:p>
    <w:p w14:paraId="758EFB29" w14:textId="774009B8" w:rsidR="00353496" w:rsidRDefault="00C96191" w:rsidP="00216AB8">
      <w:pPr>
        <w:pStyle w:val="AHPRAbody"/>
        <w:outlineLvl w:val="0"/>
      </w:pPr>
      <w:r>
        <w:rPr>
          <w:rFonts w:asciiTheme="minorHAnsi" w:eastAsia="Times New Roman" w:hAnsiTheme="minorHAnsi" w:cstheme="minorHAnsi"/>
          <w:i/>
          <w:iCs/>
          <w:szCs w:val="20"/>
          <w:lang w:eastAsia="en-AU"/>
        </w:rPr>
        <w:br/>
      </w:r>
      <w:r>
        <w:rPr>
          <w:noProof/>
          <w:lang w:eastAsia="en-AU"/>
        </w:rPr>
        <mc:AlternateContent>
          <mc:Choice Requires="wps">
            <w:drawing>
              <wp:anchor distT="0" distB="0" distL="114300" distR="114300" simplePos="0" relativeHeight="251658282" behindDoc="0" locked="0" layoutInCell="1" allowOverlap="1" wp14:anchorId="7E35D383" wp14:editId="58FA7B76">
                <wp:simplePos x="0" y="0"/>
                <wp:positionH relativeFrom="column">
                  <wp:posOffset>0</wp:posOffset>
                </wp:positionH>
                <wp:positionV relativeFrom="paragraph">
                  <wp:posOffset>0</wp:posOffset>
                </wp:positionV>
                <wp:extent cx="1828800" cy="1828800"/>
                <wp:effectExtent l="0" t="0" r="21590" b="10160"/>
                <wp:wrapSquare wrapText="bothSides"/>
                <wp:docPr id="52" name="Text Box 5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4F049B29" w14:textId="2D9BC955" w:rsidR="00717F43" w:rsidRPr="0043157C" w:rsidRDefault="00717F43" w:rsidP="00BA12BB">
                            <w:pPr>
                              <w:pStyle w:val="AHPRABody1"/>
                            </w:pPr>
                            <w:r w:rsidRPr="00891A26">
                              <w:t>“Another invisible and neglected group are those requiring palliative care. When discharged from the hospital to home at the weekend, it can be impossible to organise services to provide adequate pain relief. This results in multiple traumas for the family and a painful death for the person. (1) High-quality community-based palliative care can be delivered well by primary care nurses in regional and remote locations. (2) High-quality palliative care necessitates access to medication to relieve distressing symptoms at the end of life. Some of these medications are S8.  It is strongly recommended that consideration be given to aligning RN prescribing to nurse-led models of care that aim to provide palliative care in people’s homes (including residential care environments) and avoid the need to unnecessarily transfer people who are dying to hospital/ emergency departments.  The pandemic saw us unprepared; the skills of nurses could have been better utilised if they were already prescribers and practising at the top of their scope</w:t>
                            </w:r>
                            <w:r>
                              <w:t>”</w:t>
                            </w:r>
                            <w:r w:rsidRPr="00891A26">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35D383" id="Text Box 52" o:spid="_x0000_s1050" type="#_x0000_t202" style="position:absolute;margin-left:0;margin-top:0;width:2in;height:2in;z-index:25165828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" fillcolor="#eeece1 [3214]" strokeweight=".5pt">
                <v:textbox style="mso-fit-shape-to-text:t">
                  <w:txbxContent>
                    <w:p w14:paraId="4F049B29" w14:textId="2D9BC955" w:rsidR="00717F43" w:rsidRPr="0043157C" w:rsidRDefault="00717F43" w:rsidP="00BA12BB">
                      <w:pPr>
                        <w:pStyle w:val="AHPRABody1"/>
                      </w:pPr>
                      <w:r w:rsidRPr="00891A26">
                        <w:t>“Another invisible and neglected group are those requiring palliative care. When discharged from the hospital to home at the weekend, it can be impossible to organise services to provide adequate pain relief. This results in multiple traumas for the family and a painful death for the person. (1) High-quality community-based palliative care can be delivered well by primary care nurses in regional and remote locations. (2) High-quality palliative care necessitates access to medication to relieve distressing symptoms at the end of life. Some of these medications are S8.  It is strongly recommended that consideration be given to aligning RN prescribing to nurse-led models of care that aim to provide palliative care in people’s homes (including residential care environments) and avoid the need to unnecessarily transfer people who are dying to hospital/ emergency departments.  The pandemic saw us unprepared; the skills of nurses could have been better utilised if they were already prescribers and practising at the top of their scope</w:t>
                      </w:r>
                      <w:r>
                        <w:t>”</w:t>
                      </w:r>
                      <w:r w:rsidRPr="00891A26">
                        <w:t>.</w:t>
                      </w:r>
                    </w:p>
                  </w:txbxContent>
                </v:textbox>
                <w10:wrap type="square"/>
              </v:shape>
            </w:pict>
          </mc:Fallback>
        </mc:AlternateContent>
      </w:r>
      <w:r w:rsidR="00353496" w:rsidRPr="5AA7423A">
        <w:t>The respondent did provide a refe</w:t>
      </w:r>
      <w:r w:rsidR="228B8CCD" w:rsidRPr="5AA7423A">
        <w:t>re</w:t>
      </w:r>
      <w:r w:rsidR="00353496" w:rsidRPr="5AA7423A">
        <w:t xml:space="preserve">nce for </w:t>
      </w:r>
      <w:r w:rsidR="00D52743">
        <w:t>the</w:t>
      </w:r>
      <w:r w:rsidR="00353496" w:rsidRPr="5AA7423A">
        <w:t xml:space="preserve"> feedback.</w:t>
      </w:r>
    </w:p>
    <w:p w14:paraId="0946500E" w14:textId="12170937" w:rsidR="00353496" w:rsidRPr="002C180B" w:rsidRDefault="00891A26" w:rsidP="00216AB8">
      <w:pPr>
        <w:spacing w:after="220"/>
        <w:ind w:left="-5" w:right="632"/>
        <w:outlineLvl w:val="0"/>
        <w:rPr>
          <w:rFonts w:eastAsia="Times New Roman" w:cs="Arial"/>
          <w:i/>
          <w:iCs/>
          <w:szCs w:val="20"/>
          <w:lang w:eastAsia="en-AU"/>
        </w:rPr>
      </w:pPr>
      <w:r w:rsidRPr="002C180B">
        <w:rPr>
          <w:rFonts w:eastAsia="Times New Roman" w:cs="Arial"/>
          <w:i/>
          <w:iCs/>
          <w:szCs w:val="20"/>
          <w:lang w:eastAsia="en-AU"/>
        </w:rPr>
        <w:t xml:space="preserve">1. </w:t>
      </w:r>
      <w:r w:rsidR="00353496" w:rsidRPr="002C180B">
        <w:rPr>
          <w:rFonts w:eastAsia="Times New Roman" w:cs="Arial"/>
          <w:i/>
          <w:iCs/>
          <w:szCs w:val="20"/>
          <w:lang w:eastAsia="en-AU"/>
        </w:rPr>
        <w:t xml:space="preserve">Reed., K. (2020) Sustainable access to appropriate opioids for palliative care patients in Australia-preventing the need for crisis management. Journal of Pain &amp; Palliative Care Pharmacotherapy, 34(1), 13-21. https://discovery.ebsco.com/linkprocessor/plink?id=59e782de-e3c8-35f1-9b7c-1000baec6ce4 </w:t>
      </w:r>
    </w:p>
    <w:p w14:paraId="6979DBCF" w14:textId="77777777" w:rsidR="00353496" w:rsidRPr="002C180B" w:rsidRDefault="00353496" w:rsidP="00216AB8">
      <w:pPr>
        <w:spacing w:after="220"/>
        <w:ind w:left="-5" w:right="632"/>
        <w:outlineLvl w:val="0"/>
        <w:rPr>
          <w:rFonts w:eastAsia="Times New Roman" w:cs="Arial"/>
          <w:i/>
          <w:iCs/>
          <w:szCs w:val="20"/>
          <w:lang w:eastAsia="en-AU"/>
        </w:rPr>
      </w:pPr>
      <w:r w:rsidRPr="002C180B">
        <w:rPr>
          <w:rFonts w:eastAsia="Times New Roman" w:cs="Arial"/>
          <w:i/>
          <w:iCs/>
          <w:szCs w:val="20"/>
          <w:lang w:eastAsia="en-AU"/>
        </w:rPr>
        <w:t xml:space="preserve">2. Bakitas M, Allen, Watts, K.A., Malone, E., Dionne-Odom, J.N., McCammon, S., Taylor, R., Tucker, R., Elk, R. (2020). Forging a New Frontier: Providing Palliative Care to People with Cancer in Rural and Remote Areas. Journal of Clinical Oncology, 38(9), 963–73. </w:t>
      </w:r>
      <w:hyperlink r:id="rId30" w:history="1">
        <w:r w:rsidRPr="002C180B">
          <w:rPr>
            <w:rFonts w:eastAsia="Times New Roman" w:cs="Arial"/>
            <w:i/>
            <w:iCs/>
            <w:szCs w:val="20"/>
            <w:lang w:eastAsia="en-AU"/>
          </w:rPr>
          <w:t>https://discovery.ebsco.com/linkprocessor/plink?id=1819f6dc-68f0-37b4-8ede-786382c68b48</w:t>
        </w:r>
      </w:hyperlink>
    </w:p>
    <w:p w14:paraId="02F29348" w14:textId="38E76572" w:rsidR="00353496" w:rsidRPr="00891A26" w:rsidRDefault="003A41FF" w:rsidP="00216AB8">
      <w:pPr>
        <w:pStyle w:val="AHPRAbody"/>
        <w:outlineLvl w:val="0"/>
      </w:pPr>
      <w:r>
        <w:rPr>
          <w:noProof/>
          <w:lang w:eastAsia="en-AU"/>
        </w:rPr>
        <w:lastRenderedPageBreak/>
        <mc:AlternateContent>
          <mc:Choice Requires="wps">
            <w:drawing>
              <wp:anchor distT="0" distB="0" distL="114300" distR="114300" simplePos="0" relativeHeight="251658283" behindDoc="0" locked="0" layoutInCell="1" allowOverlap="1" wp14:anchorId="3C3F7898" wp14:editId="793F6C54">
                <wp:simplePos x="0" y="0"/>
                <wp:positionH relativeFrom="margin">
                  <wp:align>left</wp:align>
                </wp:positionH>
                <wp:positionV relativeFrom="paragraph">
                  <wp:posOffset>414655</wp:posOffset>
                </wp:positionV>
                <wp:extent cx="1828800" cy="414020"/>
                <wp:effectExtent l="0" t="0" r="21590" b="24130"/>
                <wp:wrapSquare wrapText="bothSides"/>
                <wp:docPr id="53" name="Text Box 53"/>
                <wp:cNvGraphicFramePr/>
                <a:graphic xmlns:a="http://schemas.openxmlformats.org/drawingml/2006/main">
                  <a:graphicData uri="http://schemas.microsoft.com/office/word/2010/wordprocessingShape">
                    <wps:wsp>
                      <wps:cNvSpPr txBox="1"/>
                      <wps:spPr>
                        <a:xfrm>
                          <a:off x="0" y="0"/>
                          <a:ext cx="1828800" cy="414020"/>
                        </a:xfrm>
                        <a:prstGeom prst="rect">
                          <a:avLst/>
                        </a:prstGeom>
                        <a:solidFill>
                          <a:schemeClr val="bg2"/>
                        </a:solidFill>
                        <a:ln w="6350">
                          <a:solidFill>
                            <a:prstClr val="black"/>
                          </a:solidFill>
                        </a:ln>
                      </wps:spPr>
                      <wps:txbx>
                        <w:txbxContent>
                          <w:p w14:paraId="3348622C" w14:textId="77777777" w:rsidR="00717F43" w:rsidRPr="007B5CE4" w:rsidRDefault="00717F43" w:rsidP="00F7356E">
                            <w:pPr>
                              <w:pStyle w:val="AHPRABody1"/>
                            </w:pPr>
                            <w:r w:rsidRPr="00891A26">
                              <w:t>“Beneficial for patients living with diabetes- continuous care, well-educated CDE's having an intimate understanding of insulin dosing”.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3F7898" id="Text Box 53" o:spid="_x0000_s1051" type="#_x0000_t202" style="position:absolute;margin-left:0;margin-top:32.65pt;width:2in;height:32.6pt;z-index:251658283;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" fillcolor="#eeece1 [3214]" strokeweight=".5pt">
                <v:textbox>
                  <w:txbxContent>
                    <w:p w14:paraId="3348622C" w14:textId="77777777" w:rsidR="00717F43" w:rsidRPr="007B5CE4" w:rsidRDefault="00717F43" w:rsidP="00F7356E">
                      <w:pPr>
                        <w:pStyle w:val="AHPRABody1"/>
                      </w:pPr>
                      <w:r w:rsidRPr="00891A26">
                        <w:t>“Beneficial for patients living with diabetes- continuous care, well-educated CDE's having an intimate understanding of insulin dosing”.</w:t>
                      </w:r>
                    </w:p>
                  </w:txbxContent>
                </v:textbox>
                <w10:wrap type="square" anchorx="margin"/>
              </v:shape>
            </w:pict>
          </mc:Fallback>
        </mc:AlternateContent>
      </w:r>
      <w:r w:rsidR="00353496" w:rsidRPr="00891A26">
        <w:t>There was respondent feedback that if option 2a was chosen this would be beneficial for RN’s who are credentialled diabetic educators:</w:t>
      </w:r>
    </w:p>
    <w:p w14:paraId="0393E864" w14:textId="255FB69B" w:rsidR="00353496" w:rsidRPr="00891A26" w:rsidRDefault="003A41FF" w:rsidP="00216AB8">
      <w:pPr>
        <w:pStyle w:val="AHPRAbody"/>
        <w:outlineLvl w:val="0"/>
      </w:pPr>
      <w:r>
        <w:rPr>
          <w:rFonts w:asciiTheme="minorHAnsi" w:eastAsia="Times New Roman" w:hAnsiTheme="minorHAnsi" w:cstheme="minorHAnsi"/>
          <w:i/>
          <w:iCs/>
          <w:szCs w:val="20"/>
          <w:lang w:eastAsia="en-AU"/>
        </w:rPr>
        <w:br/>
      </w:r>
      <w:r w:rsidR="00353496" w:rsidRPr="00891A26">
        <w:t xml:space="preserve">Overall, the option for 2a summary was that this option would further disadvantage consumers who would still have to seek out a medical professional to prescribe schedule </w:t>
      </w:r>
      <w:r w:rsidR="00DE4914">
        <w:t xml:space="preserve">8 </w:t>
      </w:r>
      <w:r w:rsidR="00353496" w:rsidRPr="00891A26">
        <w:t>medications</w:t>
      </w:r>
      <w:r w:rsidR="00DE4914">
        <w:t>. This</w:t>
      </w:r>
      <w:r w:rsidR="00353496" w:rsidRPr="00891A26">
        <w:t xml:space="preserve"> could also create risk if there were multiple prescribers for the one patient further increasing cost, timeliness, and complexity in accessing care. It is also important to note here that pain is the most common symptom that patients present with to the emergency department worldwide </w:t>
      </w:r>
      <w:r w:rsidR="00E23D0E">
        <w:rPr>
          <w:vertAlign w:val="superscript"/>
        </w:rPr>
        <w:t>10</w:t>
      </w:r>
      <w:r w:rsidR="008C1350">
        <w:rPr>
          <w:vertAlign w:val="superscript"/>
        </w:rPr>
        <w:t>9</w:t>
      </w:r>
      <w:r w:rsidR="00353496" w:rsidRPr="00891A26">
        <w:t xml:space="preserve"> and palliative care patients and those patients residing in residential aged care should have the option to receive analgesia in a timely manner.</w:t>
      </w:r>
    </w:p>
    <w:p w14:paraId="5C46FD92" w14:textId="35E85AED" w:rsidR="00353496" w:rsidRPr="00891A26" w:rsidRDefault="00891A26" w:rsidP="00216AB8">
      <w:pPr>
        <w:pStyle w:val="AHPRASubheadinglevel2"/>
        <w:outlineLvl w:val="0"/>
      </w:pPr>
      <w:bookmarkStart w:id="88" w:name="_Toc137726095"/>
      <w:bookmarkStart w:id="89" w:name="_Toc164692744"/>
      <w:r>
        <w:t xml:space="preserve">Qualitative findings: </w:t>
      </w:r>
      <w:r w:rsidR="00353496" w:rsidRPr="00891A26">
        <w:t>Option 2 (b): enable RNs to expand their scope of practice to prescribe Schedule 2, 3, 4 and 8 medicines only under designation/supervision except for RNs working in private practice or as a sole practitioner</w:t>
      </w:r>
      <w:bookmarkEnd w:id="88"/>
      <w:bookmarkEnd w:id="89"/>
      <w:r w:rsidR="00353496" w:rsidRPr="00891A26">
        <w:t xml:space="preserve"> </w:t>
      </w:r>
    </w:p>
    <w:p w14:paraId="65651625" w14:textId="0093C58A" w:rsidR="000717E8" w:rsidRDefault="00353496" w:rsidP="00216AB8">
      <w:pPr>
        <w:pStyle w:val="AHPRAbody"/>
        <w:outlineLvl w:val="0"/>
      </w:pPr>
      <w:r w:rsidRPr="007503B0">
        <w:t xml:space="preserve">There was </w:t>
      </w:r>
      <w:r>
        <w:t xml:space="preserve">some </w:t>
      </w:r>
      <w:r w:rsidRPr="007503B0">
        <w:t>support for option 2</w:t>
      </w:r>
      <w:r w:rsidR="00B341F7">
        <w:t>b</w:t>
      </w:r>
      <w:r>
        <w:t xml:space="preserve"> however whilst this option aimed to address the risk posed where designated providers are working in isolation</w:t>
      </w:r>
      <w:r w:rsidR="009B4E0E">
        <w:t>, f</w:t>
      </w:r>
      <w:r w:rsidR="00891A26">
        <w:t>eedback from respondents</w:t>
      </w:r>
      <w:r>
        <w:t xml:space="preserve"> was that this option would disincentivise </w:t>
      </w:r>
      <w:r w:rsidR="00690D31">
        <w:t xml:space="preserve">RNs </w:t>
      </w:r>
      <w:r>
        <w:t>in private practice from working in these areas</w:t>
      </w:r>
      <w:r w:rsidR="009B4E0E">
        <w:t>.</w:t>
      </w:r>
      <w:r>
        <w:t xml:space="preserve"> </w:t>
      </w:r>
      <w:r w:rsidR="009B4E0E">
        <w:t>T</w:t>
      </w:r>
      <w:r>
        <w:t xml:space="preserve">hose </w:t>
      </w:r>
      <w:r w:rsidR="00690D31">
        <w:t xml:space="preserve">RN s </w:t>
      </w:r>
      <w:r>
        <w:t>who did engage in private practice would be prevented from growing their business and additionally this would not improve access to timely care.</w:t>
      </w:r>
      <w:r>
        <w:br w:type="page"/>
      </w:r>
    </w:p>
    <w:p w14:paraId="5309710A" w14:textId="75712D5C" w:rsidR="00316E3C" w:rsidRPr="000717E8" w:rsidRDefault="00316E3C" w:rsidP="00F842D7">
      <w:pPr>
        <w:pStyle w:val="AHPRADocumentsubheading"/>
        <w:numPr>
          <w:ilvl w:val="0"/>
          <w:numId w:val="22"/>
        </w:numPr>
      </w:pPr>
      <w:bookmarkStart w:id="90" w:name="_Toc164692745"/>
      <w:r>
        <w:lastRenderedPageBreak/>
        <w:t>What is the best option from those you have considered</w:t>
      </w:r>
      <w:r w:rsidR="00C32EC4">
        <w:t xml:space="preserve"> and how will it be implemented?</w:t>
      </w:r>
      <w:bookmarkEnd w:id="90"/>
      <w:r w:rsidRPr="5AA7423A">
        <w:rPr>
          <w:rFonts w:asciiTheme="majorHAnsi" w:hAnsiTheme="majorHAnsi"/>
          <w:color w:val="1F497D" w:themeColor="text2"/>
          <w:sz w:val="24"/>
          <w:szCs w:val="24"/>
        </w:rPr>
        <w:t xml:space="preserve"> </w:t>
      </w:r>
      <w:r w:rsidR="007E00F1">
        <w:rPr>
          <w:rStyle w:val="Strong"/>
          <w:rFonts w:ascii="Montserrat" w:hAnsi="Montserrat"/>
          <w:color w:val="343A40"/>
          <w:sz w:val="20"/>
          <w:szCs w:val="20"/>
          <w:shd w:val="clear" w:color="auto" w:fill="FFFFFF"/>
        </w:rPr>
        <w:t xml:space="preserve"> </w:t>
      </w:r>
    </w:p>
    <w:p w14:paraId="2F70AEF8" w14:textId="15DD4DEA" w:rsidR="00353496" w:rsidRDefault="007E00F1" w:rsidP="00216AB8">
      <w:pPr>
        <w:pStyle w:val="AHPRAbody"/>
        <w:outlineLvl w:val="0"/>
        <w:rPr>
          <w:lang w:val="en-US" w:eastAsia="en-NZ"/>
        </w:rPr>
      </w:pPr>
      <w:r>
        <w:rPr>
          <w:lang w:val="en-US" w:eastAsia="en-NZ"/>
        </w:rPr>
        <w:t xml:space="preserve">The preferred option, </w:t>
      </w:r>
      <w:r w:rsidR="00905658" w:rsidRPr="5AA7423A">
        <w:rPr>
          <w:lang w:val="en-US" w:eastAsia="en-NZ"/>
        </w:rPr>
        <w:t>Option 2</w:t>
      </w:r>
      <w:r w:rsidR="00371C0A" w:rsidRPr="5AA7423A">
        <w:rPr>
          <w:lang w:val="en-US" w:eastAsia="en-NZ"/>
        </w:rPr>
        <w:t xml:space="preserve"> − </w:t>
      </w:r>
      <w:r w:rsidR="00371C0A">
        <w:t>RNs expand their scope of practice to prescribe Schedule 2, 3, 4 and 8 medicines under supervision</w:t>
      </w:r>
      <w:r w:rsidR="00905658" w:rsidRPr="5AA7423A">
        <w:rPr>
          <w:lang w:val="en-US" w:eastAsia="en-NZ"/>
        </w:rPr>
        <w:t xml:space="preserve"> is the</w:t>
      </w:r>
      <w:r w:rsidR="00270D5C" w:rsidRPr="5AA7423A">
        <w:rPr>
          <w:lang w:val="en-US" w:eastAsia="en-NZ"/>
        </w:rPr>
        <w:t xml:space="preserve"> NMBA’s preferred option</w:t>
      </w:r>
      <w:r w:rsidR="00076340" w:rsidRPr="5AA7423A">
        <w:rPr>
          <w:lang w:val="en-US" w:eastAsia="en-NZ"/>
        </w:rPr>
        <w:t xml:space="preserve"> and is supported by t</w:t>
      </w:r>
      <w:r w:rsidR="00770E7E" w:rsidRPr="5AA7423A">
        <w:rPr>
          <w:lang w:val="en-US" w:eastAsia="en-NZ"/>
        </w:rPr>
        <w:t>he majority of respondents to the C-RIS</w:t>
      </w:r>
      <w:r w:rsidR="00076340" w:rsidRPr="5AA7423A">
        <w:rPr>
          <w:lang w:val="en-US" w:eastAsia="en-NZ"/>
        </w:rPr>
        <w:t xml:space="preserve">. This option was also widely supported </w:t>
      </w:r>
      <w:r w:rsidR="00DB4785" w:rsidRPr="5AA7423A">
        <w:rPr>
          <w:lang w:val="en-US" w:eastAsia="en-NZ"/>
        </w:rPr>
        <w:t xml:space="preserve">in the response to the previous public consultation on the proposed registration standard in 2018. </w:t>
      </w:r>
      <w:r w:rsidR="00770E7E" w:rsidRPr="5AA7423A">
        <w:rPr>
          <w:lang w:val="en-US" w:eastAsia="en-NZ"/>
        </w:rPr>
        <w:t xml:space="preserve"> </w:t>
      </w:r>
    </w:p>
    <w:p w14:paraId="59010DEA" w14:textId="06C951D3" w:rsidR="00BC1AEB" w:rsidRDefault="007E00F1" w:rsidP="00BC1AEB">
      <w:pPr>
        <w:pStyle w:val="pf0"/>
        <w:rPr>
          <w:rFonts w:ascii="Arial" w:hAnsi="Arial" w:cs="Arial"/>
          <w:sz w:val="20"/>
          <w:szCs w:val="20"/>
          <w:lang w:val="en-US" w:eastAsia="en-NZ"/>
        </w:rPr>
      </w:pPr>
      <w:r w:rsidRPr="007E00F1">
        <w:rPr>
          <w:rFonts w:ascii="Arial" w:hAnsi="Arial" w:cs="Arial"/>
          <w:sz w:val="20"/>
          <w:szCs w:val="20"/>
          <w:lang w:val="en-US" w:eastAsia="en-NZ"/>
        </w:rPr>
        <w:t xml:space="preserve">The preferred option would meet the Government </w:t>
      </w:r>
      <w:r w:rsidR="00BC1AEB">
        <w:rPr>
          <w:rFonts w:ascii="Arial" w:hAnsi="Arial" w:cs="Arial"/>
          <w:sz w:val="20"/>
          <w:szCs w:val="20"/>
          <w:lang w:val="en-US" w:eastAsia="en-NZ"/>
        </w:rPr>
        <w:t>objectives under the following initiatives that have been outlined through the DRIS to improve timely and quality access to medicines for all Australians.</w:t>
      </w:r>
    </w:p>
    <w:p w14:paraId="5F83B1FA" w14:textId="77777777" w:rsidR="00BC1AEB" w:rsidRPr="00B93113" w:rsidRDefault="00BC1AEB" w:rsidP="00BC1AEB">
      <w:pPr>
        <w:pStyle w:val="pf0"/>
        <w:numPr>
          <w:ilvl w:val="0"/>
          <w:numId w:val="20"/>
        </w:numPr>
        <w:rPr>
          <w:rFonts w:ascii="Arial" w:hAnsi="Arial" w:cs="Arial"/>
          <w:sz w:val="20"/>
          <w:szCs w:val="20"/>
          <w:lang w:val="en-US" w:eastAsia="en-NZ"/>
        </w:rPr>
      </w:pPr>
      <w:r w:rsidRPr="00B93113">
        <w:rPr>
          <w:rFonts w:ascii="Arial" w:hAnsi="Arial" w:cs="Arial"/>
          <w:sz w:val="20"/>
          <w:szCs w:val="20"/>
        </w:rPr>
        <w:t xml:space="preserve">National Health Care Agreement 2022, </w:t>
      </w:r>
    </w:p>
    <w:p w14:paraId="1BFFF6B8" w14:textId="77777777" w:rsidR="00BC1AEB" w:rsidRPr="00B93113" w:rsidRDefault="00BC1AEB" w:rsidP="00BC1AEB">
      <w:pPr>
        <w:pStyle w:val="pf0"/>
        <w:numPr>
          <w:ilvl w:val="0"/>
          <w:numId w:val="20"/>
        </w:numPr>
        <w:rPr>
          <w:rFonts w:ascii="Arial" w:hAnsi="Arial" w:cs="Arial"/>
          <w:sz w:val="20"/>
          <w:szCs w:val="20"/>
          <w:lang w:val="en-US" w:eastAsia="en-NZ"/>
        </w:rPr>
      </w:pPr>
      <w:r w:rsidRPr="00B93113">
        <w:rPr>
          <w:rFonts w:ascii="Arial" w:hAnsi="Arial" w:cs="Arial"/>
          <w:sz w:val="20"/>
          <w:szCs w:val="20"/>
        </w:rPr>
        <w:t xml:space="preserve">The Stronger Rural Health Strategy, </w:t>
      </w:r>
    </w:p>
    <w:p w14:paraId="1C2BB9FE" w14:textId="77777777" w:rsidR="00BC1AEB" w:rsidRPr="00B93113" w:rsidRDefault="00BC1AEB" w:rsidP="00BC1AEB">
      <w:pPr>
        <w:pStyle w:val="pf0"/>
        <w:numPr>
          <w:ilvl w:val="0"/>
          <w:numId w:val="20"/>
        </w:numPr>
        <w:rPr>
          <w:rFonts w:ascii="Arial" w:hAnsi="Arial" w:cs="Arial"/>
          <w:sz w:val="20"/>
          <w:szCs w:val="20"/>
          <w:lang w:val="en-US" w:eastAsia="en-NZ"/>
        </w:rPr>
      </w:pPr>
      <w:r w:rsidRPr="00B93113">
        <w:rPr>
          <w:rFonts w:ascii="Arial" w:hAnsi="Arial" w:cs="Arial"/>
          <w:sz w:val="20"/>
          <w:szCs w:val="20"/>
        </w:rPr>
        <w:t xml:space="preserve">The Future Focused Health Care Plan </w:t>
      </w:r>
    </w:p>
    <w:p w14:paraId="3F60B744" w14:textId="30B76D2F" w:rsidR="00BC1AEB" w:rsidRPr="00B93113" w:rsidRDefault="00BC1AEB" w:rsidP="00BC1AEB">
      <w:pPr>
        <w:pStyle w:val="pf0"/>
        <w:numPr>
          <w:ilvl w:val="0"/>
          <w:numId w:val="20"/>
        </w:numPr>
        <w:rPr>
          <w:rFonts w:ascii="Arial" w:hAnsi="Arial" w:cs="Arial"/>
          <w:sz w:val="20"/>
          <w:szCs w:val="20"/>
          <w:lang w:val="en-US" w:eastAsia="en-NZ"/>
        </w:rPr>
      </w:pPr>
      <w:r w:rsidRPr="00B93113">
        <w:rPr>
          <w:rFonts w:ascii="Arial" w:hAnsi="Arial" w:cs="Arial"/>
          <w:sz w:val="20"/>
          <w:szCs w:val="20"/>
        </w:rPr>
        <w:t>Australia’s National Medicines Policy would not be met</w:t>
      </w:r>
    </w:p>
    <w:p w14:paraId="4BB4EE3F" w14:textId="37FB564A" w:rsidR="00BC1AEB" w:rsidRDefault="00BC1AEB" w:rsidP="00BC1AEB">
      <w:pPr>
        <w:pStyle w:val="pf0"/>
        <w:numPr>
          <w:ilvl w:val="0"/>
          <w:numId w:val="20"/>
        </w:numPr>
        <w:rPr>
          <w:rFonts w:ascii="Arial" w:hAnsi="Arial" w:cs="Arial"/>
          <w:sz w:val="20"/>
          <w:szCs w:val="20"/>
          <w:lang w:val="en-US" w:eastAsia="en-NZ"/>
        </w:rPr>
      </w:pPr>
      <w:r w:rsidRPr="00BC1AEB">
        <w:rPr>
          <w:rFonts w:ascii="Arial" w:hAnsi="Arial" w:cs="Arial"/>
          <w:sz w:val="20"/>
          <w:szCs w:val="20"/>
          <w:lang w:val="en-US" w:eastAsia="en-NZ"/>
        </w:rPr>
        <w:t>Royal Commission into the Aged Care Quality and Safety</w:t>
      </w:r>
      <w:r>
        <w:rPr>
          <w:rFonts w:ascii="Arial" w:hAnsi="Arial" w:cs="Arial"/>
          <w:sz w:val="20"/>
          <w:szCs w:val="20"/>
          <w:lang w:val="en-US" w:eastAsia="en-NZ"/>
        </w:rPr>
        <w:t xml:space="preserve"> recommendations</w:t>
      </w:r>
    </w:p>
    <w:p w14:paraId="310E35EE" w14:textId="0D2A8983" w:rsidR="00BC1AEB" w:rsidRDefault="00BC1AEB" w:rsidP="00BC1AEB">
      <w:pPr>
        <w:pStyle w:val="pf0"/>
        <w:numPr>
          <w:ilvl w:val="0"/>
          <w:numId w:val="20"/>
        </w:numPr>
        <w:rPr>
          <w:rFonts w:ascii="Arial" w:hAnsi="Arial" w:cs="Arial"/>
          <w:sz w:val="20"/>
          <w:szCs w:val="20"/>
          <w:lang w:val="en-US" w:eastAsia="en-NZ"/>
        </w:rPr>
      </w:pPr>
      <w:r>
        <w:rPr>
          <w:rFonts w:ascii="Arial" w:hAnsi="Arial" w:cs="Arial"/>
          <w:sz w:val="20"/>
          <w:szCs w:val="20"/>
          <w:lang w:val="en-US" w:eastAsia="en-NZ"/>
        </w:rPr>
        <w:t>National Agreement of Closing the Gap</w:t>
      </w:r>
    </w:p>
    <w:p w14:paraId="09B9885D" w14:textId="04518B25" w:rsidR="00BC1AEB" w:rsidRDefault="00BC1AEB" w:rsidP="00BC1AEB">
      <w:pPr>
        <w:pStyle w:val="pf0"/>
        <w:numPr>
          <w:ilvl w:val="0"/>
          <w:numId w:val="20"/>
        </w:numPr>
        <w:rPr>
          <w:rFonts w:ascii="Arial" w:hAnsi="Arial" w:cs="Arial"/>
          <w:sz w:val="20"/>
          <w:szCs w:val="20"/>
          <w:lang w:val="en-US" w:eastAsia="en-NZ"/>
        </w:rPr>
      </w:pPr>
      <w:r>
        <w:rPr>
          <w:rFonts w:ascii="Arial" w:hAnsi="Arial" w:cs="Arial"/>
          <w:sz w:val="20"/>
          <w:szCs w:val="20"/>
          <w:lang w:val="en-US" w:eastAsia="en-NZ"/>
        </w:rPr>
        <w:t>National Health Act</w:t>
      </w:r>
    </w:p>
    <w:p w14:paraId="75D41779" w14:textId="15548966" w:rsidR="00BC1AEB" w:rsidRDefault="00BC1AEB" w:rsidP="00BC1AEB">
      <w:pPr>
        <w:pStyle w:val="pf0"/>
        <w:numPr>
          <w:ilvl w:val="0"/>
          <w:numId w:val="20"/>
        </w:numPr>
        <w:rPr>
          <w:rFonts w:ascii="Arial" w:hAnsi="Arial" w:cs="Arial"/>
          <w:sz w:val="20"/>
          <w:szCs w:val="20"/>
          <w:lang w:val="en-US" w:eastAsia="en-NZ"/>
        </w:rPr>
      </w:pPr>
      <w:r>
        <w:rPr>
          <w:rFonts w:ascii="Arial" w:hAnsi="Arial" w:cs="Arial"/>
          <w:sz w:val="20"/>
          <w:szCs w:val="20"/>
          <w:lang w:val="en-US" w:eastAsia="en-NZ"/>
        </w:rPr>
        <w:t>Declaration of Alma Ata</w:t>
      </w:r>
    </w:p>
    <w:p w14:paraId="5EB199C6" w14:textId="1B767D16" w:rsidR="00BC1AEB" w:rsidRPr="001820BA" w:rsidRDefault="00BC1AEB" w:rsidP="001820BA">
      <w:pPr>
        <w:pStyle w:val="pf0"/>
        <w:numPr>
          <w:ilvl w:val="0"/>
          <w:numId w:val="20"/>
        </w:numPr>
        <w:rPr>
          <w:rFonts w:ascii="Arial" w:hAnsi="Arial" w:cs="Arial"/>
          <w:sz w:val="20"/>
          <w:szCs w:val="20"/>
          <w:lang w:val="en-US" w:eastAsia="en-NZ"/>
        </w:rPr>
      </w:pPr>
      <w:r>
        <w:rPr>
          <w:rFonts w:ascii="Arial" w:hAnsi="Arial" w:cs="Arial"/>
          <w:sz w:val="20"/>
          <w:szCs w:val="20"/>
          <w:lang w:val="en-US" w:eastAsia="en-NZ"/>
        </w:rPr>
        <w:t>Sustainable Development Goals</w:t>
      </w:r>
    </w:p>
    <w:p w14:paraId="3D15002E" w14:textId="28D55B58" w:rsidR="00356C28" w:rsidRDefault="00356C28" w:rsidP="422F38A3">
      <w:pPr>
        <w:pStyle w:val="pf0"/>
        <w:rPr>
          <w:rFonts w:ascii="Arial" w:hAnsi="Arial" w:cs="Arial"/>
          <w:color w:val="212121"/>
          <w:sz w:val="20"/>
          <w:szCs w:val="20"/>
          <w:shd w:val="clear" w:color="auto" w:fill="FFFFFF"/>
        </w:rPr>
      </w:pPr>
      <w:r w:rsidRPr="422F38A3">
        <w:rPr>
          <w:rFonts w:ascii="Arial" w:hAnsi="Arial" w:cs="Arial"/>
          <w:sz w:val="20"/>
          <w:szCs w:val="20"/>
          <w:lang w:eastAsia="en-NZ"/>
        </w:rPr>
        <w:t>Additionally,</w:t>
      </w:r>
      <w:r w:rsidR="00BC1AEB" w:rsidRPr="422F38A3">
        <w:rPr>
          <w:rFonts w:ascii="Arial" w:hAnsi="Arial" w:cs="Arial"/>
          <w:sz w:val="20"/>
          <w:szCs w:val="20"/>
          <w:lang w:eastAsia="en-NZ"/>
        </w:rPr>
        <w:t xml:space="preserve"> this option would align with recommendations f</w:t>
      </w:r>
      <w:r w:rsidR="001820BA" w:rsidRPr="422F38A3">
        <w:rPr>
          <w:rFonts w:ascii="Arial" w:hAnsi="Arial" w:cs="Arial"/>
          <w:sz w:val="20"/>
          <w:szCs w:val="20"/>
          <w:lang w:eastAsia="en-NZ"/>
        </w:rPr>
        <w:t>rom</w:t>
      </w:r>
      <w:r w:rsidR="00BC1AEB" w:rsidRPr="422F38A3">
        <w:rPr>
          <w:rFonts w:ascii="Arial" w:hAnsi="Arial" w:cs="Arial"/>
          <w:sz w:val="20"/>
          <w:szCs w:val="20"/>
          <w:lang w:eastAsia="en-NZ"/>
        </w:rPr>
        <w:t xml:space="preserve"> the independent Kruk review and the Unleashing the Potential of our Health Workforce Issues paper one and two. </w:t>
      </w:r>
      <w:r w:rsidRPr="422F38A3">
        <w:rPr>
          <w:rFonts w:ascii="Arial" w:hAnsi="Arial" w:cs="Arial"/>
          <w:sz w:val="20"/>
          <w:szCs w:val="20"/>
          <w:lang w:eastAsia="en-NZ"/>
        </w:rPr>
        <w:t>Overall,</w:t>
      </w:r>
      <w:r w:rsidR="00BC1AEB" w:rsidRPr="422F38A3">
        <w:rPr>
          <w:rFonts w:ascii="Arial" w:hAnsi="Arial" w:cs="Arial"/>
          <w:sz w:val="20"/>
          <w:szCs w:val="20"/>
          <w:lang w:eastAsia="en-NZ"/>
        </w:rPr>
        <w:t xml:space="preserve"> </w:t>
      </w:r>
      <w:r w:rsidRPr="422F38A3">
        <w:rPr>
          <w:rFonts w:ascii="Arial" w:hAnsi="Arial" w:cs="Arial"/>
          <w:sz w:val="20"/>
          <w:szCs w:val="20"/>
          <w:lang w:eastAsia="en-NZ"/>
        </w:rPr>
        <w:t xml:space="preserve">it was concluded through local and international literature reviews, surveys and analysis with health </w:t>
      </w:r>
      <w:r w:rsidR="001820BA" w:rsidRPr="422F38A3">
        <w:rPr>
          <w:rFonts w:ascii="Arial" w:hAnsi="Arial" w:cs="Arial"/>
          <w:sz w:val="20"/>
          <w:szCs w:val="20"/>
          <w:lang w:eastAsia="en-NZ"/>
        </w:rPr>
        <w:t>practitioners</w:t>
      </w:r>
      <w:r w:rsidRPr="422F38A3">
        <w:rPr>
          <w:rFonts w:ascii="Arial" w:hAnsi="Arial" w:cs="Arial"/>
          <w:sz w:val="20"/>
          <w:szCs w:val="20"/>
          <w:lang w:eastAsia="en-NZ"/>
        </w:rPr>
        <w:t xml:space="preserve"> that Designated RN </w:t>
      </w:r>
      <w:r w:rsidRPr="422F38A3">
        <w:rPr>
          <w:rFonts w:ascii="Arial" w:hAnsi="Arial" w:cs="Arial"/>
          <w:color w:val="212121"/>
          <w:sz w:val="20"/>
          <w:szCs w:val="20"/>
        </w:rPr>
        <w:t xml:space="preserve">Nurse Prescribers are timely, safe and effective and ultimately improve the quality of patient care working collaboratively with Medical and Nurse Practitioners. </w:t>
      </w:r>
    </w:p>
    <w:p w14:paraId="723D98B9" w14:textId="4581B0C0" w:rsidR="007E00F1" w:rsidRDefault="00356C28" w:rsidP="422F38A3">
      <w:pPr>
        <w:pStyle w:val="pf0"/>
        <w:rPr>
          <w:rFonts w:ascii="Arial" w:hAnsi="Arial" w:cs="Arial"/>
          <w:color w:val="212121"/>
          <w:sz w:val="20"/>
          <w:szCs w:val="20"/>
          <w:shd w:val="clear" w:color="auto" w:fill="FFFFFF"/>
        </w:rPr>
      </w:pPr>
      <w:r w:rsidRPr="422F38A3">
        <w:rPr>
          <w:rFonts w:ascii="Arial" w:hAnsi="Arial" w:cs="Arial"/>
          <w:color w:val="212121"/>
          <w:sz w:val="20"/>
          <w:szCs w:val="20"/>
        </w:rPr>
        <w:t xml:space="preserve">It was also demonstrated through scenarios and costing that models of care using a designated RN prescriber could decrease pressure points in hospitals, assist with ageing population and chronic disease treatment and management and have far reaching advantages for those patients in rural and remote areas who are disadvantaged through </w:t>
      </w:r>
      <w:r w:rsidR="001820BA" w:rsidRPr="422F38A3">
        <w:rPr>
          <w:rFonts w:ascii="Arial" w:hAnsi="Arial" w:cs="Arial"/>
          <w:color w:val="212121"/>
          <w:sz w:val="20"/>
          <w:szCs w:val="20"/>
        </w:rPr>
        <w:t xml:space="preserve">health </w:t>
      </w:r>
      <w:r w:rsidRPr="422F38A3">
        <w:rPr>
          <w:rFonts w:ascii="Arial" w:hAnsi="Arial" w:cs="Arial"/>
          <w:color w:val="212121"/>
          <w:sz w:val="20"/>
          <w:szCs w:val="20"/>
        </w:rPr>
        <w:t>underservice</w:t>
      </w:r>
      <w:r w:rsidR="001820BA" w:rsidRPr="422F38A3">
        <w:rPr>
          <w:rFonts w:ascii="Arial" w:hAnsi="Arial" w:cs="Arial"/>
          <w:color w:val="212121"/>
          <w:sz w:val="20"/>
          <w:szCs w:val="20"/>
        </w:rPr>
        <w:t>.</w:t>
      </w:r>
    </w:p>
    <w:p w14:paraId="6BB554D1" w14:textId="204B4850" w:rsidR="00B93113" w:rsidRPr="001820BA" w:rsidRDefault="00B93113" w:rsidP="00C32EC4">
      <w:pPr>
        <w:pStyle w:val="AHPRABody1"/>
        <w:rPr>
          <w:b/>
          <w:bCs/>
        </w:rPr>
      </w:pPr>
      <w:r w:rsidRPr="005E0347">
        <w:rPr>
          <w:lang w:val="en-US" w:eastAsia="en-NZ"/>
        </w:rPr>
        <w:t xml:space="preserve">The other options, Option 1, Maintaining the status quo, option 2a, </w:t>
      </w:r>
      <w:r w:rsidRPr="005E0347">
        <w:t>Enabling RNs to expand their scope of practice to prescribe Schedule 2, 3, and 4 medicines and option 2b Enabling RNs to expand their scope of practice to prescribe Schedule 2, 3, 4 and 8 medicines only under designation/supervision except for RNs working in private practice or as a sole practitioner</w:t>
      </w:r>
      <w:r>
        <w:t xml:space="preserve"> </w:t>
      </w:r>
      <w:r w:rsidRPr="008A3C66">
        <w:rPr>
          <w:bCs/>
          <w:lang w:val="en-US" w:eastAsia="en-NZ"/>
        </w:rPr>
        <w:t xml:space="preserve">have been </w:t>
      </w:r>
      <w:r w:rsidR="001820BA">
        <w:rPr>
          <w:bCs/>
          <w:lang w:val="en-US" w:eastAsia="en-NZ"/>
        </w:rPr>
        <w:t xml:space="preserve">put forward however </w:t>
      </w:r>
      <w:r w:rsidRPr="008A3C66">
        <w:rPr>
          <w:bCs/>
          <w:lang w:val="en-US" w:eastAsia="en-NZ"/>
        </w:rPr>
        <w:t xml:space="preserve">both </w:t>
      </w:r>
      <w:r w:rsidR="001820BA">
        <w:rPr>
          <w:bCs/>
          <w:lang w:val="en-US" w:eastAsia="en-NZ"/>
        </w:rPr>
        <w:t xml:space="preserve">of </w:t>
      </w:r>
      <w:r w:rsidRPr="008A3C66">
        <w:rPr>
          <w:bCs/>
          <w:lang w:val="en-US" w:eastAsia="en-NZ"/>
        </w:rPr>
        <w:t xml:space="preserve">these </w:t>
      </w:r>
      <w:r>
        <w:rPr>
          <w:bCs/>
          <w:lang w:val="en-US" w:eastAsia="en-NZ"/>
        </w:rPr>
        <w:t>have been examined in 3.1, 3.2 and 3.4 of the DRIS and analysis supports</w:t>
      </w:r>
      <w:r w:rsidR="001820BA">
        <w:rPr>
          <w:bCs/>
          <w:lang w:val="en-US" w:eastAsia="en-NZ"/>
        </w:rPr>
        <w:t xml:space="preserve"> that these options</w:t>
      </w:r>
      <w:r>
        <w:rPr>
          <w:bCs/>
          <w:lang w:val="en-US" w:eastAsia="en-NZ"/>
        </w:rPr>
        <w:t xml:space="preserve"> would not lead to safe, quality, or timely care that would benefit health consumers or the healthcare system.</w:t>
      </w:r>
    </w:p>
    <w:p w14:paraId="5212C025" w14:textId="0730739C" w:rsidR="00FA18D9" w:rsidRPr="001820BA" w:rsidRDefault="00FA18D9" w:rsidP="00356C28">
      <w:pPr>
        <w:pStyle w:val="pf0"/>
        <w:rPr>
          <w:rFonts w:ascii="Arial" w:hAnsi="Arial" w:cs="Arial"/>
          <w:b/>
          <w:bCs/>
          <w:color w:val="212121"/>
          <w:sz w:val="20"/>
          <w:szCs w:val="20"/>
          <w:shd w:val="clear" w:color="auto" w:fill="FFFFFF"/>
        </w:rPr>
      </w:pPr>
      <w:r w:rsidRPr="001820BA">
        <w:rPr>
          <w:rFonts w:ascii="Arial" w:hAnsi="Arial" w:cs="Arial"/>
          <w:b/>
          <w:bCs/>
          <w:color w:val="212121"/>
          <w:sz w:val="20"/>
          <w:szCs w:val="20"/>
          <w:shd w:val="clear" w:color="auto" w:fill="FFFFFF"/>
        </w:rPr>
        <w:t>Implementation</w:t>
      </w:r>
    </w:p>
    <w:p w14:paraId="59CDED75" w14:textId="487A7A8A" w:rsidR="00FA18D9" w:rsidRPr="00162E27" w:rsidRDefault="00FA18D9" w:rsidP="00FA18D9">
      <w:pPr>
        <w:pStyle w:val="NormalWeb"/>
        <w:shd w:val="clear" w:color="auto" w:fill="FFFFFF" w:themeFill="background1"/>
        <w:rPr>
          <w:rFonts w:ascii="Arial" w:hAnsi="Arial" w:cs="Arial"/>
          <w:sz w:val="20"/>
          <w:szCs w:val="20"/>
        </w:rPr>
      </w:pPr>
      <w:r w:rsidRPr="00E23D0E">
        <w:rPr>
          <w:rFonts w:ascii="Arial" w:hAnsi="Arial" w:cs="Arial"/>
          <w:sz w:val="20"/>
          <w:szCs w:val="20"/>
        </w:rPr>
        <w:t>The NMBA Designated Prescribing D-RIS is subject to review by the Ahpra Scheduled Medicines Expert Committee. The Expert Committee</w:t>
      </w:r>
      <w:r w:rsidRPr="1527C85E">
        <w:rPr>
          <w:rFonts w:ascii="Arial" w:hAnsi="Arial" w:cs="Arial"/>
          <w:sz w:val="20"/>
          <w:szCs w:val="20"/>
        </w:rPr>
        <w:t>s</w:t>
      </w:r>
      <w:r w:rsidRPr="00F7356E">
        <w:rPr>
          <w:rFonts w:ascii="Arial" w:hAnsi="Arial" w:cs="Arial"/>
          <w:sz w:val="20"/>
          <w:szCs w:val="20"/>
        </w:rPr>
        <w:t xml:space="preserve"> role is to advise on the use of schedule</w:t>
      </w:r>
      <w:r w:rsidR="00C32EC4">
        <w:rPr>
          <w:rFonts w:ascii="Arial" w:hAnsi="Arial" w:cs="Arial"/>
          <w:sz w:val="20"/>
          <w:szCs w:val="20"/>
        </w:rPr>
        <w:t>d</w:t>
      </w:r>
      <w:r w:rsidRPr="00F7356E">
        <w:rPr>
          <w:rFonts w:ascii="Arial" w:hAnsi="Arial" w:cs="Arial"/>
          <w:sz w:val="20"/>
          <w:szCs w:val="20"/>
        </w:rPr>
        <w:t xml:space="preserve"> </w:t>
      </w:r>
      <w:r w:rsidRPr="1527C85E">
        <w:rPr>
          <w:rFonts w:ascii="Arial" w:hAnsi="Arial" w:cs="Arial"/>
          <w:sz w:val="20"/>
          <w:szCs w:val="20"/>
        </w:rPr>
        <w:t>medicines</w:t>
      </w:r>
      <w:r w:rsidRPr="00F7356E">
        <w:rPr>
          <w:rFonts w:ascii="Arial" w:hAnsi="Arial" w:cs="Arial"/>
          <w:sz w:val="20"/>
          <w:szCs w:val="20"/>
        </w:rPr>
        <w:t xml:space="preserve"> and </w:t>
      </w:r>
      <w:r w:rsidRPr="1527C85E">
        <w:rPr>
          <w:rFonts w:ascii="Arial" w:hAnsi="Arial" w:cs="Arial"/>
          <w:sz w:val="20"/>
          <w:szCs w:val="20"/>
        </w:rPr>
        <w:t xml:space="preserve">the </w:t>
      </w:r>
      <w:r w:rsidRPr="00F7356E">
        <w:rPr>
          <w:rFonts w:ascii="Arial" w:hAnsi="Arial" w:cs="Arial"/>
          <w:sz w:val="20"/>
          <w:szCs w:val="20"/>
        </w:rPr>
        <w:t xml:space="preserve">Boards </w:t>
      </w:r>
      <w:r w:rsidRPr="1527C85E">
        <w:rPr>
          <w:rFonts w:ascii="Arial" w:hAnsi="Arial" w:cs="Arial"/>
          <w:sz w:val="20"/>
          <w:szCs w:val="20"/>
        </w:rPr>
        <w:t>proposal</w:t>
      </w:r>
      <w:r w:rsidRPr="00F7356E">
        <w:rPr>
          <w:rFonts w:ascii="Arial" w:hAnsi="Arial" w:cs="Arial"/>
          <w:sz w:val="20"/>
          <w:szCs w:val="20"/>
        </w:rPr>
        <w:t xml:space="preserve"> for a new </w:t>
      </w:r>
      <w:r w:rsidRPr="1527C85E">
        <w:rPr>
          <w:rFonts w:ascii="Arial" w:hAnsi="Arial" w:cs="Arial"/>
          <w:sz w:val="20"/>
          <w:szCs w:val="20"/>
        </w:rPr>
        <w:t>scheduled</w:t>
      </w:r>
      <w:r w:rsidRPr="00F7356E">
        <w:rPr>
          <w:rFonts w:ascii="Arial" w:hAnsi="Arial" w:cs="Arial"/>
          <w:sz w:val="20"/>
          <w:szCs w:val="20"/>
        </w:rPr>
        <w:t xml:space="preserve"> medicines endorsement. This is </w:t>
      </w:r>
      <w:r w:rsidRPr="1527C85E">
        <w:rPr>
          <w:rFonts w:ascii="Arial" w:hAnsi="Arial" w:cs="Arial"/>
          <w:sz w:val="20"/>
          <w:szCs w:val="20"/>
        </w:rPr>
        <w:t>consistent</w:t>
      </w:r>
      <w:r w:rsidRPr="00F7356E">
        <w:rPr>
          <w:rFonts w:ascii="Arial" w:hAnsi="Arial" w:cs="Arial"/>
          <w:sz w:val="20"/>
          <w:szCs w:val="20"/>
        </w:rPr>
        <w:t xml:space="preserve"> with the </w:t>
      </w:r>
      <w:r w:rsidRPr="00F7356E">
        <w:rPr>
          <w:rFonts w:ascii="Arial" w:hAnsi="Arial" w:cs="Arial"/>
          <w:color w:val="222222"/>
          <w:sz w:val="20"/>
          <w:szCs w:val="20"/>
        </w:rPr>
        <w:t>Australian Health Ministers’ Advisory Council (AHMAC) </w:t>
      </w:r>
      <w:r w:rsidRPr="00F7356E">
        <w:rPr>
          <w:rStyle w:val="Emphasis"/>
          <w:rFonts w:ascii="Arial" w:hAnsi="Arial" w:cs="Arial"/>
          <w:i w:val="0"/>
          <w:iCs w:val="0"/>
          <w:color w:val="222222"/>
          <w:sz w:val="20"/>
          <w:szCs w:val="20"/>
        </w:rPr>
        <w:t>Guidance for National Boards: Applications to the Ministerial Council for approval of endorsements in relation to scheduled medicines under section 14 of the National Law.</w:t>
      </w:r>
      <w:r w:rsidRPr="00F7356E">
        <w:rPr>
          <w:rFonts w:ascii="Arial" w:hAnsi="Arial" w:cs="Arial"/>
          <w:color w:val="222222"/>
          <w:sz w:val="20"/>
          <w:szCs w:val="20"/>
        </w:rPr>
        <w:t> </w:t>
      </w:r>
    </w:p>
    <w:p w14:paraId="4C1B9053" w14:textId="77777777" w:rsidR="00FA18D9" w:rsidRPr="00272257" w:rsidRDefault="00FA18D9" w:rsidP="00FA18D9">
      <w:pPr>
        <w:pStyle w:val="AHPRAbody"/>
        <w:outlineLvl w:val="0"/>
      </w:pPr>
      <w:r>
        <w:t xml:space="preserve">Once the review is complete, the NMBA will bring this important matter to Health Minister’s attention and advise on the preferred option (option 2). This option allows RN’s who are appropriately trained and educated to expand their scope of practice under the supervision of an authorised prescriber with a prescriber agreement in place to judiciously and safely prescribe Schedule 2, 3, 4 and 8 medicines. </w:t>
      </w:r>
    </w:p>
    <w:p w14:paraId="587C8C6E" w14:textId="77777777" w:rsidR="00FA18D9" w:rsidRDefault="00FA18D9" w:rsidP="00FA18D9">
      <w:pPr>
        <w:pStyle w:val="AHPRAbody"/>
        <w:outlineLvl w:val="0"/>
      </w:pPr>
      <w:r>
        <w:t xml:space="preserve">As this will be a new policy there will be no transitional arrangements needed to support implementation unless the states and territories decide to abolish structured prescribing agreements for remote areas and replace them with RN designated prescribing. This change would require some transition and education to prevent an access risk, However, if supported, the NMBA will engage in public awareness about the role of the designated RN prescriber in collaboration with commonwealth, state and territory governments, health services and other healthcare organisations. The NMBA look forward to continuing to progress this work with its key stakeholders </w:t>
      </w:r>
    </w:p>
    <w:p w14:paraId="65920072" w14:textId="77777777" w:rsidR="003D69FD" w:rsidRDefault="003D69FD" w:rsidP="003D69FD">
      <w:pPr>
        <w:pStyle w:val="AHPRAbody"/>
        <w:outlineLvl w:val="0"/>
      </w:pPr>
      <w:r>
        <w:rPr>
          <w:noProof/>
          <w:lang w:eastAsia="en-AU"/>
        </w:rPr>
        <w:lastRenderedPageBreak/>
        <w:drawing>
          <wp:inline distT="0" distB="0" distL="0" distR="0" wp14:anchorId="15503C3B" wp14:editId="19E4E311">
            <wp:extent cx="5972810" cy="2878455"/>
            <wp:effectExtent l="0" t="0" r="889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2878455"/>
                    </a:xfrm>
                    <a:prstGeom prst="rect">
                      <a:avLst/>
                    </a:prstGeom>
                    <a:noFill/>
                    <a:ln>
                      <a:noFill/>
                    </a:ln>
                  </pic:spPr>
                </pic:pic>
              </a:graphicData>
            </a:graphic>
          </wp:inline>
        </w:drawing>
      </w:r>
    </w:p>
    <w:p w14:paraId="05CBCF1D" w14:textId="77777777" w:rsidR="003D69FD" w:rsidRPr="00FA18D9" w:rsidRDefault="003D69FD" w:rsidP="003D69FD">
      <w:pPr>
        <w:pStyle w:val="BodyText"/>
        <w:kinsoku w:val="0"/>
        <w:overflowPunct w:val="0"/>
        <w:ind w:left="227"/>
        <w:rPr>
          <w:spacing w:val="-2"/>
          <w:position w:val="6"/>
          <w:sz w:val="13"/>
          <w:szCs w:val="13"/>
        </w:rPr>
      </w:pPr>
      <w:r w:rsidRPr="00FA18D9">
        <w:t>Figure</w:t>
      </w:r>
      <w:r w:rsidRPr="00FA18D9">
        <w:rPr>
          <w:spacing w:val="-3"/>
        </w:rPr>
        <w:t xml:space="preserve"> </w:t>
      </w:r>
      <w:r w:rsidRPr="00FA18D9">
        <w:t>1:</w:t>
      </w:r>
      <w:r w:rsidRPr="00FA18D9">
        <w:rPr>
          <w:spacing w:val="-2"/>
        </w:rPr>
        <w:t xml:space="preserve"> </w:t>
      </w:r>
      <w:r w:rsidRPr="00FA18D9">
        <w:t>Summary</w:t>
      </w:r>
      <w:r w:rsidRPr="00FA18D9">
        <w:rPr>
          <w:spacing w:val="-10"/>
        </w:rPr>
        <w:t xml:space="preserve"> </w:t>
      </w:r>
      <w:r w:rsidRPr="00FA18D9">
        <w:t>of</w:t>
      </w:r>
      <w:r w:rsidRPr="00FA18D9">
        <w:rPr>
          <w:spacing w:val="-2"/>
        </w:rPr>
        <w:t xml:space="preserve"> </w:t>
      </w:r>
      <w:r w:rsidRPr="00FA18D9">
        <w:t>key</w:t>
      </w:r>
      <w:r w:rsidRPr="00FA18D9">
        <w:rPr>
          <w:spacing w:val="-10"/>
        </w:rPr>
        <w:t xml:space="preserve"> </w:t>
      </w:r>
      <w:r w:rsidRPr="00FA18D9">
        <w:rPr>
          <w:spacing w:val="-2"/>
        </w:rPr>
        <w:t>stages</w:t>
      </w:r>
    </w:p>
    <w:p w14:paraId="76D53E8F" w14:textId="77777777" w:rsidR="003D69FD" w:rsidRPr="00FA18D9" w:rsidRDefault="003D69FD" w:rsidP="003D69FD">
      <w:pPr>
        <w:pStyle w:val="BodyText"/>
        <w:kinsoku w:val="0"/>
        <w:overflowPunct w:val="0"/>
        <w:spacing w:before="196"/>
        <w:ind w:left="228" w:right="968"/>
      </w:pPr>
      <w:r w:rsidRPr="00FA18D9">
        <w:t>The</w:t>
      </w:r>
      <w:r w:rsidRPr="00FA18D9">
        <w:rPr>
          <w:spacing w:val="-3"/>
        </w:rPr>
        <w:t xml:space="preserve"> </w:t>
      </w:r>
      <w:r w:rsidRPr="00FA18D9">
        <w:t>summary</w:t>
      </w:r>
      <w:r w:rsidRPr="00FA18D9">
        <w:rPr>
          <w:spacing w:val="-6"/>
        </w:rPr>
        <w:t xml:space="preserve"> </w:t>
      </w:r>
      <w:r w:rsidRPr="00FA18D9">
        <w:t>of</w:t>
      </w:r>
      <w:r w:rsidRPr="00FA18D9">
        <w:rPr>
          <w:spacing w:val="-1"/>
        </w:rPr>
        <w:t xml:space="preserve"> </w:t>
      </w:r>
      <w:r w:rsidRPr="00FA18D9">
        <w:t>key</w:t>
      </w:r>
      <w:r w:rsidRPr="00FA18D9">
        <w:rPr>
          <w:spacing w:val="-9"/>
        </w:rPr>
        <w:t xml:space="preserve"> </w:t>
      </w:r>
      <w:r w:rsidRPr="00FA18D9">
        <w:t>stages</w:t>
      </w:r>
      <w:r w:rsidRPr="00FA18D9">
        <w:rPr>
          <w:spacing w:val="-2"/>
        </w:rPr>
        <w:t xml:space="preserve"> </w:t>
      </w:r>
      <w:r w:rsidRPr="00FA18D9">
        <w:t>in</w:t>
      </w:r>
      <w:r w:rsidRPr="00FA18D9">
        <w:rPr>
          <w:spacing w:val="-3"/>
        </w:rPr>
        <w:t xml:space="preserve"> </w:t>
      </w:r>
      <w:r w:rsidRPr="00FA18D9">
        <w:t>Figure</w:t>
      </w:r>
      <w:r w:rsidRPr="00FA18D9">
        <w:rPr>
          <w:spacing w:val="-1"/>
        </w:rPr>
        <w:t xml:space="preserve"> </w:t>
      </w:r>
      <w:r w:rsidRPr="00FA18D9">
        <w:t>1,</w:t>
      </w:r>
      <w:r w:rsidRPr="00FA18D9">
        <w:rPr>
          <w:spacing w:val="-3"/>
        </w:rPr>
        <w:t xml:space="preserve"> </w:t>
      </w:r>
      <w:r w:rsidRPr="00FA18D9">
        <w:t>clearly</w:t>
      </w:r>
      <w:r w:rsidRPr="00FA18D9">
        <w:rPr>
          <w:spacing w:val="-6"/>
        </w:rPr>
        <w:t xml:space="preserve"> </w:t>
      </w:r>
      <w:r w:rsidRPr="00FA18D9">
        <w:t>outlines</w:t>
      </w:r>
      <w:r w:rsidRPr="00FA18D9">
        <w:rPr>
          <w:spacing w:val="-2"/>
        </w:rPr>
        <w:t xml:space="preserve"> </w:t>
      </w:r>
      <w:r w:rsidRPr="00FA18D9">
        <w:t>the</w:t>
      </w:r>
      <w:r w:rsidRPr="00FA18D9">
        <w:rPr>
          <w:spacing w:val="-3"/>
        </w:rPr>
        <w:t xml:space="preserve"> </w:t>
      </w:r>
      <w:r w:rsidRPr="00FA18D9">
        <w:t>outcomes</w:t>
      </w:r>
      <w:r w:rsidRPr="00FA18D9">
        <w:rPr>
          <w:spacing w:val="-2"/>
        </w:rPr>
        <w:t xml:space="preserve"> </w:t>
      </w:r>
      <w:r w:rsidRPr="00FA18D9">
        <w:t>of</w:t>
      </w:r>
      <w:r w:rsidRPr="00FA18D9">
        <w:rPr>
          <w:spacing w:val="-1"/>
        </w:rPr>
        <w:t xml:space="preserve"> </w:t>
      </w:r>
      <w:r w:rsidRPr="00FA18D9">
        <w:t>each</w:t>
      </w:r>
      <w:r w:rsidRPr="00FA18D9">
        <w:rPr>
          <w:spacing w:val="-3"/>
        </w:rPr>
        <w:t xml:space="preserve"> </w:t>
      </w:r>
      <w:r w:rsidRPr="00FA18D9">
        <w:t>stage</w:t>
      </w:r>
      <w:r w:rsidRPr="00FA18D9">
        <w:rPr>
          <w:spacing w:val="-3"/>
        </w:rPr>
        <w:t xml:space="preserve"> </w:t>
      </w:r>
      <w:r w:rsidRPr="00FA18D9">
        <w:t>and</w:t>
      </w:r>
      <w:r w:rsidRPr="00FA18D9">
        <w:rPr>
          <w:spacing w:val="-3"/>
        </w:rPr>
        <w:t xml:space="preserve"> </w:t>
      </w:r>
      <w:r w:rsidRPr="00FA18D9">
        <w:t>the</w:t>
      </w:r>
      <w:r w:rsidRPr="00FA18D9">
        <w:rPr>
          <w:spacing w:val="-3"/>
        </w:rPr>
        <w:t xml:space="preserve"> </w:t>
      </w:r>
      <w:r w:rsidRPr="00FA18D9">
        <w:t>roles</w:t>
      </w:r>
      <w:r w:rsidRPr="00FA18D9">
        <w:rPr>
          <w:spacing w:val="-2"/>
        </w:rPr>
        <w:t xml:space="preserve"> </w:t>
      </w:r>
      <w:r w:rsidRPr="00FA18D9">
        <w:t>of stakeholders in doing the preparatory work to achieve those outcomes.</w:t>
      </w:r>
    </w:p>
    <w:p w14:paraId="6DCDE889" w14:textId="77777777" w:rsidR="003D69FD" w:rsidRPr="00FA18D9" w:rsidRDefault="003D69FD" w:rsidP="003D69FD">
      <w:pPr>
        <w:pStyle w:val="BodyText"/>
        <w:kinsoku w:val="0"/>
        <w:overflowPunct w:val="0"/>
        <w:ind w:left="228" w:right="968"/>
      </w:pPr>
      <w:r>
        <w:t xml:space="preserve">The </w:t>
      </w:r>
      <w:r w:rsidRPr="00FA18D9">
        <w:t>Board and AHPRA w</w:t>
      </w:r>
      <w:r>
        <w:t xml:space="preserve">ill </w:t>
      </w:r>
      <w:r w:rsidRPr="00FA18D9">
        <w:t>take the necessary administrative</w:t>
      </w:r>
      <w:r w:rsidRPr="00FA18D9">
        <w:rPr>
          <w:spacing w:val="-3"/>
        </w:rPr>
        <w:t xml:space="preserve"> </w:t>
      </w:r>
      <w:r w:rsidRPr="00FA18D9">
        <w:t>actions</w:t>
      </w:r>
      <w:r w:rsidRPr="00FA18D9">
        <w:rPr>
          <w:spacing w:val="-4"/>
        </w:rPr>
        <w:t xml:space="preserve"> </w:t>
      </w:r>
      <w:r w:rsidRPr="00FA18D9">
        <w:t>to</w:t>
      </w:r>
      <w:r w:rsidRPr="00FA18D9">
        <w:rPr>
          <w:spacing w:val="-5"/>
        </w:rPr>
        <w:t xml:space="preserve"> </w:t>
      </w:r>
      <w:r w:rsidRPr="00FA18D9">
        <w:t>give</w:t>
      </w:r>
      <w:r w:rsidRPr="00FA18D9">
        <w:rPr>
          <w:spacing w:val="-3"/>
        </w:rPr>
        <w:t xml:space="preserve"> </w:t>
      </w:r>
      <w:r w:rsidRPr="00FA18D9">
        <w:t>effect</w:t>
      </w:r>
      <w:r w:rsidRPr="00FA18D9">
        <w:rPr>
          <w:spacing w:val="-5"/>
        </w:rPr>
        <w:t xml:space="preserve"> </w:t>
      </w:r>
      <w:r w:rsidRPr="00FA18D9">
        <w:t>to</w:t>
      </w:r>
      <w:r w:rsidRPr="00FA18D9">
        <w:rPr>
          <w:spacing w:val="-5"/>
        </w:rPr>
        <w:t xml:space="preserve"> </w:t>
      </w:r>
      <w:r w:rsidRPr="00FA18D9">
        <w:t>the</w:t>
      </w:r>
      <w:r w:rsidRPr="00FA18D9">
        <w:rPr>
          <w:spacing w:val="-5"/>
        </w:rPr>
        <w:t xml:space="preserve"> </w:t>
      </w:r>
      <w:r w:rsidRPr="00FA18D9">
        <w:t>Ministerial</w:t>
      </w:r>
      <w:r w:rsidRPr="00FA18D9">
        <w:rPr>
          <w:spacing w:val="-3"/>
        </w:rPr>
        <w:t xml:space="preserve"> </w:t>
      </w:r>
      <w:r w:rsidRPr="00FA18D9">
        <w:t>Council</w:t>
      </w:r>
      <w:r w:rsidRPr="00FA18D9">
        <w:rPr>
          <w:spacing w:val="-5"/>
        </w:rPr>
        <w:t xml:space="preserve"> </w:t>
      </w:r>
      <w:r w:rsidRPr="00FA18D9">
        <w:t>approval.</w:t>
      </w:r>
      <w:r w:rsidRPr="00FA18D9">
        <w:rPr>
          <w:spacing w:val="-4"/>
        </w:rPr>
        <w:t xml:space="preserve"> </w:t>
      </w:r>
      <w:r w:rsidRPr="00FA18D9">
        <w:t>These</w:t>
      </w:r>
      <w:r w:rsidRPr="00FA18D9">
        <w:rPr>
          <w:spacing w:val="-5"/>
        </w:rPr>
        <w:t xml:space="preserve"> </w:t>
      </w:r>
      <w:r w:rsidRPr="00FA18D9">
        <w:t>actions</w:t>
      </w:r>
      <w:r w:rsidRPr="00FA18D9">
        <w:rPr>
          <w:spacing w:val="-1"/>
        </w:rPr>
        <w:t xml:space="preserve"> </w:t>
      </w:r>
      <w:r w:rsidRPr="00FA18D9">
        <w:t>would</w:t>
      </w:r>
      <w:r w:rsidRPr="00FA18D9">
        <w:rPr>
          <w:spacing w:val="-3"/>
        </w:rPr>
        <w:t xml:space="preserve"> </w:t>
      </w:r>
      <w:r w:rsidRPr="00FA18D9">
        <w:t>include:</w:t>
      </w:r>
    </w:p>
    <w:p w14:paraId="0F5EC1E3" w14:textId="77777777" w:rsidR="003D69FD" w:rsidRPr="001820BA" w:rsidRDefault="003D69FD" w:rsidP="003D69FD">
      <w:pPr>
        <w:pStyle w:val="ListParagraph"/>
        <w:widowControl w:val="0"/>
        <w:numPr>
          <w:ilvl w:val="0"/>
          <w:numId w:val="54"/>
        </w:numPr>
        <w:tabs>
          <w:tab w:val="left" w:pos="597"/>
        </w:tabs>
        <w:kinsoku w:val="0"/>
        <w:overflowPunct w:val="0"/>
        <w:autoSpaceDE w:val="0"/>
        <w:autoSpaceDN w:val="0"/>
        <w:adjustRightInd w:val="0"/>
        <w:spacing w:before="201" w:after="0" w:line="244" w:lineRule="exact"/>
        <w:ind w:left="597" w:hanging="369"/>
        <w:contextualSpacing w:val="0"/>
        <w:rPr>
          <w:rFonts w:ascii="Arial" w:hAnsi="Arial" w:cs="Arial"/>
          <w:spacing w:val="-2"/>
        </w:rPr>
      </w:pPr>
      <w:r w:rsidRPr="001820BA">
        <w:rPr>
          <w:rFonts w:ascii="Arial" w:hAnsi="Arial" w:cs="Arial"/>
        </w:rPr>
        <w:t>approving</w:t>
      </w:r>
      <w:r w:rsidRPr="001820BA">
        <w:rPr>
          <w:rFonts w:ascii="Arial" w:hAnsi="Arial" w:cs="Arial"/>
          <w:spacing w:val="-9"/>
        </w:rPr>
        <w:t xml:space="preserve"> </w:t>
      </w:r>
      <w:r w:rsidRPr="001820BA">
        <w:rPr>
          <w:rFonts w:ascii="Arial" w:hAnsi="Arial" w:cs="Arial"/>
        </w:rPr>
        <w:t>new</w:t>
      </w:r>
      <w:r w:rsidRPr="001820BA">
        <w:rPr>
          <w:rFonts w:ascii="Arial" w:hAnsi="Arial" w:cs="Arial"/>
          <w:spacing w:val="-10"/>
        </w:rPr>
        <w:t xml:space="preserve"> </w:t>
      </w:r>
      <w:r w:rsidRPr="001820BA">
        <w:rPr>
          <w:rFonts w:ascii="Arial" w:hAnsi="Arial" w:cs="Arial"/>
        </w:rPr>
        <w:t>or</w:t>
      </w:r>
      <w:r w:rsidRPr="001820BA">
        <w:rPr>
          <w:rFonts w:ascii="Arial" w:hAnsi="Arial" w:cs="Arial"/>
          <w:spacing w:val="-9"/>
        </w:rPr>
        <w:t xml:space="preserve"> </w:t>
      </w:r>
      <w:r w:rsidRPr="001820BA">
        <w:rPr>
          <w:rFonts w:ascii="Arial" w:hAnsi="Arial" w:cs="Arial"/>
        </w:rPr>
        <w:t>amended</w:t>
      </w:r>
      <w:r w:rsidRPr="001820BA">
        <w:rPr>
          <w:rFonts w:ascii="Arial" w:hAnsi="Arial" w:cs="Arial"/>
          <w:spacing w:val="-8"/>
        </w:rPr>
        <w:t xml:space="preserve"> </w:t>
      </w:r>
      <w:r w:rsidRPr="001820BA">
        <w:rPr>
          <w:rFonts w:ascii="Arial" w:hAnsi="Arial" w:cs="Arial"/>
        </w:rPr>
        <w:t>program</w:t>
      </w:r>
      <w:r w:rsidRPr="001820BA">
        <w:rPr>
          <w:rFonts w:ascii="Arial" w:hAnsi="Arial" w:cs="Arial"/>
          <w:spacing w:val="-6"/>
        </w:rPr>
        <w:t xml:space="preserve"> </w:t>
      </w:r>
      <w:r w:rsidRPr="001820BA">
        <w:rPr>
          <w:rFonts w:ascii="Arial" w:hAnsi="Arial" w:cs="Arial"/>
        </w:rPr>
        <w:t>accreditation</w:t>
      </w:r>
      <w:r w:rsidRPr="001820BA">
        <w:rPr>
          <w:rFonts w:ascii="Arial" w:hAnsi="Arial" w:cs="Arial"/>
          <w:spacing w:val="-10"/>
        </w:rPr>
        <w:t xml:space="preserve"> </w:t>
      </w:r>
      <w:r w:rsidRPr="001820BA">
        <w:rPr>
          <w:rFonts w:ascii="Arial" w:hAnsi="Arial" w:cs="Arial"/>
          <w:spacing w:val="-2"/>
        </w:rPr>
        <w:t>standards</w:t>
      </w:r>
    </w:p>
    <w:p w14:paraId="4140ED84" w14:textId="77777777" w:rsidR="003D69FD" w:rsidRPr="001820BA" w:rsidRDefault="003D69FD" w:rsidP="003D69FD">
      <w:pPr>
        <w:pStyle w:val="ListParagraph"/>
        <w:widowControl w:val="0"/>
        <w:numPr>
          <w:ilvl w:val="0"/>
          <w:numId w:val="54"/>
        </w:numPr>
        <w:tabs>
          <w:tab w:val="left" w:pos="597"/>
        </w:tabs>
        <w:kinsoku w:val="0"/>
        <w:overflowPunct w:val="0"/>
        <w:autoSpaceDE w:val="0"/>
        <w:autoSpaceDN w:val="0"/>
        <w:adjustRightInd w:val="0"/>
        <w:spacing w:after="0" w:line="244" w:lineRule="exact"/>
        <w:ind w:left="597" w:hanging="369"/>
        <w:contextualSpacing w:val="0"/>
        <w:rPr>
          <w:rFonts w:ascii="Arial" w:hAnsi="Arial" w:cs="Arial"/>
          <w:spacing w:val="-2"/>
        </w:rPr>
      </w:pPr>
      <w:r w:rsidRPr="001820BA">
        <w:rPr>
          <w:rFonts w:ascii="Arial" w:hAnsi="Arial" w:cs="Arial"/>
        </w:rPr>
        <w:t>approving</w:t>
      </w:r>
      <w:r w:rsidRPr="001820BA">
        <w:rPr>
          <w:rFonts w:ascii="Arial" w:hAnsi="Arial" w:cs="Arial"/>
          <w:spacing w:val="-9"/>
        </w:rPr>
        <w:t xml:space="preserve"> </w:t>
      </w:r>
      <w:r w:rsidRPr="001820BA">
        <w:rPr>
          <w:rFonts w:ascii="Arial" w:hAnsi="Arial" w:cs="Arial"/>
        </w:rPr>
        <w:t>changes</w:t>
      </w:r>
      <w:r w:rsidRPr="001820BA">
        <w:rPr>
          <w:rFonts w:ascii="Arial" w:hAnsi="Arial" w:cs="Arial"/>
          <w:spacing w:val="-8"/>
        </w:rPr>
        <w:t xml:space="preserve"> </w:t>
      </w:r>
      <w:r w:rsidRPr="001820BA">
        <w:rPr>
          <w:rFonts w:ascii="Arial" w:hAnsi="Arial" w:cs="Arial"/>
        </w:rPr>
        <w:t>to</w:t>
      </w:r>
      <w:r w:rsidRPr="001820BA">
        <w:rPr>
          <w:rFonts w:ascii="Arial" w:hAnsi="Arial" w:cs="Arial"/>
          <w:spacing w:val="-8"/>
        </w:rPr>
        <w:t xml:space="preserve"> </w:t>
      </w:r>
      <w:r w:rsidRPr="001820BA">
        <w:rPr>
          <w:rFonts w:ascii="Arial" w:hAnsi="Arial" w:cs="Arial"/>
        </w:rPr>
        <w:t>qualifications</w:t>
      </w:r>
      <w:r w:rsidRPr="001820BA">
        <w:rPr>
          <w:rFonts w:ascii="Arial" w:hAnsi="Arial" w:cs="Arial"/>
          <w:spacing w:val="-8"/>
        </w:rPr>
        <w:t xml:space="preserve"> </w:t>
      </w:r>
      <w:r w:rsidRPr="001820BA">
        <w:rPr>
          <w:rFonts w:ascii="Arial" w:hAnsi="Arial" w:cs="Arial"/>
        </w:rPr>
        <w:t>required</w:t>
      </w:r>
      <w:r w:rsidRPr="001820BA">
        <w:rPr>
          <w:rFonts w:ascii="Arial" w:hAnsi="Arial" w:cs="Arial"/>
          <w:spacing w:val="-7"/>
        </w:rPr>
        <w:t xml:space="preserve"> </w:t>
      </w:r>
      <w:r w:rsidRPr="001820BA">
        <w:rPr>
          <w:rFonts w:ascii="Arial" w:hAnsi="Arial" w:cs="Arial"/>
        </w:rPr>
        <w:t>for</w:t>
      </w:r>
      <w:r w:rsidRPr="001820BA">
        <w:rPr>
          <w:rFonts w:ascii="Arial" w:hAnsi="Arial" w:cs="Arial"/>
          <w:spacing w:val="-8"/>
        </w:rPr>
        <w:t xml:space="preserve"> </w:t>
      </w:r>
      <w:r w:rsidRPr="001820BA">
        <w:rPr>
          <w:rFonts w:ascii="Arial" w:hAnsi="Arial" w:cs="Arial"/>
          <w:spacing w:val="-2"/>
        </w:rPr>
        <w:t>endorsement</w:t>
      </w:r>
    </w:p>
    <w:p w14:paraId="72E4C8CD" w14:textId="77777777" w:rsidR="003D69FD" w:rsidRPr="001820BA" w:rsidRDefault="003D69FD" w:rsidP="003D69FD">
      <w:pPr>
        <w:pStyle w:val="ListParagraph"/>
        <w:widowControl w:val="0"/>
        <w:numPr>
          <w:ilvl w:val="0"/>
          <w:numId w:val="54"/>
        </w:numPr>
        <w:tabs>
          <w:tab w:val="left" w:pos="597"/>
        </w:tabs>
        <w:kinsoku w:val="0"/>
        <w:overflowPunct w:val="0"/>
        <w:autoSpaceDE w:val="0"/>
        <w:autoSpaceDN w:val="0"/>
        <w:adjustRightInd w:val="0"/>
        <w:spacing w:before="2" w:after="0" w:line="237" w:lineRule="auto"/>
        <w:ind w:left="597" w:right="1541" w:hanging="370"/>
        <w:contextualSpacing w:val="0"/>
        <w:rPr>
          <w:rFonts w:ascii="Arial" w:hAnsi="Arial" w:cs="Arial"/>
          <w:spacing w:val="-2"/>
        </w:rPr>
      </w:pPr>
      <w:r w:rsidRPr="001820BA">
        <w:rPr>
          <w:rFonts w:ascii="Arial" w:hAnsi="Arial" w:cs="Arial"/>
        </w:rPr>
        <w:t>establishing</w:t>
      </w:r>
      <w:r w:rsidRPr="001820BA">
        <w:rPr>
          <w:rFonts w:ascii="Arial" w:hAnsi="Arial" w:cs="Arial"/>
          <w:spacing w:val="-3"/>
        </w:rPr>
        <w:t xml:space="preserve"> </w:t>
      </w:r>
      <w:r w:rsidRPr="001820BA">
        <w:rPr>
          <w:rFonts w:ascii="Arial" w:hAnsi="Arial" w:cs="Arial"/>
        </w:rPr>
        <w:t>administrative arrangements,</w:t>
      </w:r>
      <w:r w:rsidRPr="001820BA">
        <w:rPr>
          <w:rFonts w:ascii="Arial" w:hAnsi="Arial" w:cs="Arial"/>
          <w:spacing w:val="-5"/>
        </w:rPr>
        <w:t xml:space="preserve"> </w:t>
      </w:r>
      <w:r w:rsidRPr="001820BA">
        <w:rPr>
          <w:rFonts w:ascii="Arial" w:hAnsi="Arial" w:cs="Arial"/>
        </w:rPr>
        <w:t>such</w:t>
      </w:r>
      <w:r w:rsidRPr="001820BA">
        <w:rPr>
          <w:rFonts w:ascii="Arial" w:hAnsi="Arial" w:cs="Arial"/>
          <w:spacing w:val="-5"/>
        </w:rPr>
        <w:t xml:space="preserve"> </w:t>
      </w:r>
      <w:r w:rsidRPr="001820BA">
        <w:rPr>
          <w:rFonts w:ascii="Arial" w:hAnsi="Arial" w:cs="Arial"/>
        </w:rPr>
        <w:t>as</w:t>
      </w:r>
      <w:r w:rsidRPr="001820BA">
        <w:rPr>
          <w:rFonts w:ascii="Arial" w:hAnsi="Arial" w:cs="Arial"/>
          <w:spacing w:val="-4"/>
        </w:rPr>
        <w:t xml:space="preserve"> </w:t>
      </w:r>
      <w:r w:rsidRPr="001820BA">
        <w:rPr>
          <w:rFonts w:ascii="Arial" w:hAnsi="Arial" w:cs="Arial"/>
        </w:rPr>
        <w:t>forms</w:t>
      </w:r>
      <w:r w:rsidRPr="001820BA">
        <w:rPr>
          <w:rFonts w:ascii="Arial" w:hAnsi="Arial" w:cs="Arial"/>
          <w:spacing w:val="-4"/>
        </w:rPr>
        <w:t xml:space="preserve"> </w:t>
      </w:r>
      <w:r w:rsidRPr="001820BA">
        <w:rPr>
          <w:rFonts w:ascii="Arial" w:hAnsi="Arial" w:cs="Arial"/>
        </w:rPr>
        <w:t>to</w:t>
      </w:r>
      <w:r w:rsidRPr="001820BA">
        <w:rPr>
          <w:rFonts w:ascii="Arial" w:hAnsi="Arial" w:cs="Arial"/>
          <w:spacing w:val="-5"/>
        </w:rPr>
        <w:t xml:space="preserve"> </w:t>
      </w:r>
      <w:r w:rsidRPr="001820BA">
        <w:rPr>
          <w:rFonts w:ascii="Arial" w:hAnsi="Arial" w:cs="Arial"/>
        </w:rPr>
        <w:t>receive</w:t>
      </w:r>
      <w:r w:rsidRPr="001820BA">
        <w:rPr>
          <w:rFonts w:ascii="Arial" w:hAnsi="Arial" w:cs="Arial"/>
          <w:spacing w:val="-5"/>
        </w:rPr>
        <w:t xml:space="preserve"> </w:t>
      </w:r>
      <w:r w:rsidRPr="001820BA">
        <w:rPr>
          <w:rFonts w:ascii="Arial" w:hAnsi="Arial" w:cs="Arial"/>
        </w:rPr>
        <w:t>and</w:t>
      </w:r>
      <w:r w:rsidRPr="001820BA">
        <w:rPr>
          <w:rFonts w:ascii="Arial" w:hAnsi="Arial" w:cs="Arial"/>
          <w:spacing w:val="-5"/>
        </w:rPr>
        <w:t xml:space="preserve"> </w:t>
      </w:r>
      <w:r w:rsidRPr="001820BA">
        <w:rPr>
          <w:rFonts w:ascii="Arial" w:hAnsi="Arial" w:cs="Arial"/>
        </w:rPr>
        <w:t>process</w:t>
      </w:r>
      <w:r w:rsidRPr="001820BA">
        <w:rPr>
          <w:rFonts w:ascii="Arial" w:hAnsi="Arial" w:cs="Arial"/>
          <w:spacing w:val="-1"/>
        </w:rPr>
        <w:t xml:space="preserve"> </w:t>
      </w:r>
      <w:r w:rsidRPr="001820BA">
        <w:rPr>
          <w:rFonts w:ascii="Arial" w:hAnsi="Arial" w:cs="Arial"/>
        </w:rPr>
        <w:t>applications</w:t>
      </w:r>
      <w:r w:rsidRPr="001820BA">
        <w:rPr>
          <w:rFonts w:ascii="Arial" w:hAnsi="Arial" w:cs="Arial"/>
          <w:spacing w:val="-4"/>
        </w:rPr>
        <w:t xml:space="preserve"> </w:t>
      </w:r>
      <w:r w:rsidRPr="001820BA">
        <w:rPr>
          <w:rFonts w:ascii="Arial" w:hAnsi="Arial" w:cs="Arial"/>
        </w:rPr>
        <w:t xml:space="preserve">for </w:t>
      </w:r>
      <w:r w:rsidRPr="001820BA">
        <w:rPr>
          <w:rFonts w:ascii="Arial" w:hAnsi="Arial" w:cs="Arial"/>
          <w:spacing w:val="-2"/>
        </w:rPr>
        <w:t>endorsement</w:t>
      </w:r>
    </w:p>
    <w:p w14:paraId="4DF8573C" w14:textId="77777777" w:rsidR="003D69FD" w:rsidRPr="001820BA" w:rsidRDefault="003D69FD" w:rsidP="003D69FD">
      <w:pPr>
        <w:pStyle w:val="ListParagraph"/>
        <w:widowControl w:val="0"/>
        <w:numPr>
          <w:ilvl w:val="0"/>
          <w:numId w:val="54"/>
        </w:numPr>
        <w:tabs>
          <w:tab w:val="left" w:pos="597"/>
        </w:tabs>
        <w:kinsoku w:val="0"/>
        <w:overflowPunct w:val="0"/>
        <w:autoSpaceDE w:val="0"/>
        <w:autoSpaceDN w:val="0"/>
        <w:adjustRightInd w:val="0"/>
        <w:spacing w:after="0" w:line="245" w:lineRule="exact"/>
        <w:ind w:left="597" w:hanging="369"/>
        <w:contextualSpacing w:val="0"/>
        <w:rPr>
          <w:rFonts w:ascii="Arial" w:hAnsi="Arial" w:cs="Arial"/>
          <w:spacing w:val="-5"/>
        </w:rPr>
      </w:pPr>
      <w:r w:rsidRPr="001820BA">
        <w:rPr>
          <w:rFonts w:ascii="Arial" w:hAnsi="Arial" w:cs="Arial"/>
        </w:rPr>
        <w:t>approving</w:t>
      </w:r>
      <w:r w:rsidRPr="001820BA">
        <w:rPr>
          <w:rFonts w:ascii="Arial" w:hAnsi="Arial" w:cs="Arial"/>
          <w:spacing w:val="-8"/>
        </w:rPr>
        <w:t xml:space="preserve"> </w:t>
      </w:r>
      <w:r w:rsidRPr="001820BA">
        <w:rPr>
          <w:rFonts w:ascii="Arial" w:hAnsi="Arial" w:cs="Arial"/>
        </w:rPr>
        <w:t>changes</w:t>
      </w:r>
      <w:r w:rsidRPr="001820BA">
        <w:rPr>
          <w:rFonts w:ascii="Arial" w:hAnsi="Arial" w:cs="Arial"/>
          <w:spacing w:val="-7"/>
        </w:rPr>
        <w:t xml:space="preserve"> </w:t>
      </w:r>
      <w:r w:rsidRPr="001820BA">
        <w:rPr>
          <w:rFonts w:ascii="Arial" w:hAnsi="Arial" w:cs="Arial"/>
        </w:rPr>
        <w:t>to</w:t>
      </w:r>
      <w:r w:rsidRPr="001820BA">
        <w:rPr>
          <w:rFonts w:ascii="Arial" w:hAnsi="Arial" w:cs="Arial"/>
          <w:spacing w:val="-8"/>
        </w:rPr>
        <w:t xml:space="preserve"> </w:t>
      </w:r>
      <w:r w:rsidRPr="001820BA">
        <w:rPr>
          <w:rFonts w:ascii="Arial" w:hAnsi="Arial" w:cs="Arial"/>
        </w:rPr>
        <w:t>guidelines</w:t>
      </w:r>
      <w:r w:rsidRPr="001820BA">
        <w:rPr>
          <w:rFonts w:ascii="Arial" w:hAnsi="Arial" w:cs="Arial"/>
          <w:spacing w:val="-7"/>
        </w:rPr>
        <w:t xml:space="preserve"> </w:t>
      </w:r>
      <w:r>
        <w:rPr>
          <w:rFonts w:ascii="Arial" w:hAnsi="Arial" w:cs="Arial"/>
        </w:rPr>
        <w:t xml:space="preserve">and or </w:t>
      </w:r>
      <w:r w:rsidRPr="001820BA">
        <w:rPr>
          <w:rFonts w:ascii="Arial" w:hAnsi="Arial" w:cs="Arial"/>
        </w:rPr>
        <w:t>clinical</w:t>
      </w:r>
      <w:r w:rsidRPr="001820BA">
        <w:rPr>
          <w:rFonts w:ascii="Arial" w:hAnsi="Arial" w:cs="Arial"/>
          <w:spacing w:val="-7"/>
        </w:rPr>
        <w:t xml:space="preserve"> </w:t>
      </w:r>
      <w:r w:rsidRPr="001820BA">
        <w:rPr>
          <w:rFonts w:ascii="Arial" w:hAnsi="Arial" w:cs="Arial"/>
        </w:rPr>
        <w:t>protocols,</w:t>
      </w:r>
      <w:r w:rsidRPr="001820BA">
        <w:rPr>
          <w:rFonts w:ascii="Arial" w:hAnsi="Arial" w:cs="Arial"/>
          <w:spacing w:val="-6"/>
        </w:rPr>
        <w:t xml:space="preserve"> </w:t>
      </w:r>
      <w:r w:rsidRPr="001820BA">
        <w:rPr>
          <w:rFonts w:ascii="Arial" w:hAnsi="Arial" w:cs="Arial"/>
          <w:spacing w:val="-5"/>
        </w:rPr>
        <w:t>and</w:t>
      </w:r>
    </w:p>
    <w:p w14:paraId="4B376EE4" w14:textId="77777777" w:rsidR="003D69FD" w:rsidRPr="001820BA" w:rsidRDefault="003D69FD" w:rsidP="003D69FD">
      <w:pPr>
        <w:pStyle w:val="ListParagraph"/>
        <w:widowControl w:val="0"/>
        <w:numPr>
          <w:ilvl w:val="0"/>
          <w:numId w:val="54"/>
        </w:numPr>
        <w:tabs>
          <w:tab w:val="left" w:pos="598"/>
        </w:tabs>
        <w:kinsoku w:val="0"/>
        <w:overflowPunct w:val="0"/>
        <w:autoSpaceDE w:val="0"/>
        <w:autoSpaceDN w:val="0"/>
        <w:adjustRightInd w:val="0"/>
        <w:spacing w:after="0" w:line="240" w:lineRule="auto"/>
        <w:ind w:left="598" w:hanging="370"/>
        <w:contextualSpacing w:val="0"/>
        <w:rPr>
          <w:rFonts w:ascii="Arial" w:hAnsi="Arial" w:cs="Arial"/>
          <w:spacing w:val="-2"/>
        </w:rPr>
      </w:pPr>
      <w:r w:rsidRPr="001820BA">
        <w:rPr>
          <w:rFonts w:ascii="Arial" w:hAnsi="Arial" w:cs="Arial"/>
        </w:rPr>
        <w:t>establishing</w:t>
      </w:r>
      <w:r w:rsidRPr="001820BA">
        <w:rPr>
          <w:rFonts w:ascii="Arial" w:hAnsi="Arial" w:cs="Arial"/>
          <w:spacing w:val="-7"/>
        </w:rPr>
        <w:t xml:space="preserve"> </w:t>
      </w:r>
      <w:r w:rsidRPr="001820BA">
        <w:rPr>
          <w:rFonts w:ascii="Arial" w:hAnsi="Arial" w:cs="Arial"/>
        </w:rPr>
        <w:t>mechanisms</w:t>
      </w:r>
      <w:r w:rsidRPr="001820BA">
        <w:rPr>
          <w:rFonts w:ascii="Arial" w:hAnsi="Arial" w:cs="Arial"/>
          <w:spacing w:val="-6"/>
        </w:rPr>
        <w:t xml:space="preserve"> </w:t>
      </w:r>
      <w:r w:rsidRPr="001820BA">
        <w:rPr>
          <w:rFonts w:ascii="Arial" w:hAnsi="Arial" w:cs="Arial"/>
        </w:rPr>
        <w:t>to</w:t>
      </w:r>
      <w:r w:rsidRPr="001820BA">
        <w:rPr>
          <w:rFonts w:ascii="Arial" w:hAnsi="Arial" w:cs="Arial"/>
          <w:spacing w:val="-7"/>
        </w:rPr>
        <w:t xml:space="preserve"> </w:t>
      </w:r>
      <w:r w:rsidRPr="001820BA">
        <w:rPr>
          <w:rFonts w:ascii="Arial" w:hAnsi="Arial" w:cs="Arial"/>
        </w:rPr>
        <w:t>evaluate</w:t>
      </w:r>
      <w:r w:rsidRPr="001820BA">
        <w:rPr>
          <w:rFonts w:ascii="Arial" w:hAnsi="Arial" w:cs="Arial"/>
          <w:spacing w:val="-7"/>
        </w:rPr>
        <w:t xml:space="preserve"> </w:t>
      </w:r>
      <w:r w:rsidRPr="001820BA">
        <w:rPr>
          <w:rFonts w:ascii="Arial" w:hAnsi="Arial" w:cs="Arial"/>
        </w:rPr>
        <w:t>the</w:t>
      </w:r>
      <w:r w:rsidRPr="001820BA">
        <w:rPr>
          <w:rFonts w:ascii="Arial" w:hAnsi="Arial" w:cs="Arial"/>
          <w:spacing w:val="-7"/>
        </w:rPr>
        <w:t xml:space="preserve"> </w:t>
      </w:r>
      <w:r w:rsidRPr="001820BA">
        <w:rPr>
          <w:rFonts w:ascii="Arial" w:hAnsi="Arial" w:cs="Arial"/>
        </w:rPr>
        <w:t>impact</w:t>
      </w:r>
      <w:r w:rsidRPr="001820BA">
        <w:rPr>
          <w:rFonts w:ascii="Arial" w:hAnsi="Arial" w:cs="Arial"/>
          <w:spacing w:val="-7"/>
        </w:rPr>
        <w:t xml:space="preserve"> </w:t>
      </w:r>
      <w:r w:rsidRPr="001820BA">
        <w:rPr>
          <w:rFonts w:ascii="Arial" w:hAnsi="Arial" w:cs="Arial"/>
        </w:rPr>
        <w:t>of</w:t>
      </w:r>
      <w:r w:rsidRPr="001820BA">
        <w:rPr>
          <w:rFonts w:ascii="Arial" w:hAnsi="Arial" w:cs="Arial"/>
          <w:spacing w:val="-5"/>
        </w:rPr>
        <w:t xml:space="preserve"> </w:t>
      </w:r>
      <w:r w:rsidRPr="001820BA">
        <w:rPr>
          <w:rFonts w:ascii="Arial" w:hAnsi="Arial" w:cs="Arial"/>
        </w:rPr>
        <w:t>the</w:t>
      </w:r>
      <w:r w:rsidRPr="001820BA">
        <w:rPr>
          <w:rFonts w:ascii="Arial" w:hAnsi="Arial" w:cs="Arial"/>
          <w:spacing w:val="-7"/>
        </w:rPr>
        <w:t xml:space="preserve"> </w:t>
      </w:r>
      <w:r w:rsidRPr="001820BA">
        <w:rPr>
          <w:rFonts w:ascii="Arial" w:hAnsi="Arial" w:cs="Arial"/>
        </w:rPr>
        <w:t>changed</w:t>
      </w:r>
      <w:r w:rsidRPr="001820BA">
        <w:rPr>
          <w:rFonts w:ascii="Arial" w:hAnsi="Arial" w:cs="Arial"/>
          <w:spacing w:val="-5"/>
        </w:rPr>
        <w:t xml:space="preserve"> </w:t>
      </w:r>
      <w:r w:rsidRPr="001820BA">
        <w:rPr>
          <w:rFonts w:ascii="Arial" w:hAnsi="Arial" w:cs="Arial"/>
          <w:spacing w:val="-2"/>
        </w:rPr>
        <w:t>arrangements.</w:t>
      </w:r>
    </w:p>
    <w:p w14:paraId="28A5EF5B" w14:textId="77777777" w:rsidR="003D69FD" w:rsidRPr="001820BA" w:rsidRDefault="003D69FD" w:rsidP="003D69FD">
      <w:pPr>
        <w:pStyle w:val="BodyText"/>
        <w:kinsoku w:val="0"/>
        <w:overflowPunct w:val="0"/>
        <w:spacing w:before="227"/>
        <w:ind w:left="228"/>
        <w:rPr>
          <w:spacing w:val="-4"/>
        </w:rPr>
      </w:pPr>
      <w:r w:rsidRPr="00FA18D9">
        <w:t>The</w:t>
      </w:r>
      <w:r w:rsidRPr="00FA18D9">
        <w:rPr>
          <w:spacing w:val="-6"/>
        </w:rPr>
        <w:t xml:space="preserve"> </w:t>
      </w:r>
      <w:r w:rsidRPr="00FA18D9">
        <w:t>Board</w:t>
      </w:r>
      <w:r w:rsidRPr="00FA18D9">
        <w:rPr>
          <w:spacing w:val="-5"/>
        </w:rPr>
        <w:t xml:space="preserve"> </w:t>
      </w:r>
      <w:r w:rsidRPr="00FA18D9">
        <w:t>and</w:t>
      </w:r>
      <w:r w:rsidRPr="00FA18D9">
        <w:rPr>
          <w:spacing w:val="-4"/>
        </w:rPr>
        <w:t xml:space="preserve"> </w:t>
      </w:r>
      <w:r w:rsidRPr="00FA18D9">
        <w:t>AHPRA</w:t>
      </w:r>
      <w:r w:rsidRPr="00FA18D9">
        <w:rPr>
          <w:spacing w:val="-6"/>
        </w:rPr>
        <w:t xml:space="preserve"> </w:t>
      </w:r>
      <w:r w:rsidRPr="00FA18D9">
        <w:t>do</w:t>
      </w:r>
      <w:r w:rsidRPr="00FA18D9">
        <w:rPr>
          <w:spacing w:val="-2"/>
        </w:rPr>
        <w:t xml:space="preserve"> </w:t>
      </w:r>
      <w:r w:rsidRPr="00FA18D9">
        <w:t>not</w:t>
      </w:r>
      <w:r w:rsidRPr="00FA18D9">
        <w:rPr>
          <w:spacing w:val="-6"/>
        </w:rPr>
        <w:t xml:space="preserve"> </w:t>
      </w:r>
      <w:r w:rsidRPr="00FA18D9">
        <w:t>have</w:t>
      </w:r>
      <w:r w:rsidRPr="00FA18D9">
        <w:rPr>
          <w:spacing w:val="-6"/>
        </w:rPr>
        <w:t xml:space="preserve"> </w:t>
      </w:r>
      <w:r w:rsidRPr="00FA18D9">
        <w:t>responsibility</w:t>
      </w:r>
      <w:r w:rsidRPr="00FA18D9">
        <w:rPr>
          <w:spacing w:val="-8"/>
        </w:rPr>
        <w:t xml:space="preserve"> </w:t>
      </w:r>
      <w:r w:rsidRPr="00FA18D9">
        <w:rPr>
          <w:spacing w:val="-4"/>
        </w:rPr>
        <w:t>for:</w:t>
      </w:r>
    </w:p>
    <w:p w14:paraId="00DC3753" w14:textId="77777777" w:rsidR="003D69FD" w:rsidRPr="001820BA" w:rsidRDefault="003D69FD" w:rsidP="003D69FD">
      <w:pPr>
        <w:pStyle w:val="ListParagraph"/>
        <w:widowControl w:val="0"/>
        <w:numPr>
          <w:ilvl w:val="0"/>
          <w:numId w:val="54"/>
        </w:numPr>
        <w:tabs>
          <w:tab w:val="left" w:pos="598"/>
        </w:tabs>
        <w:kinsoku w:val="0"/>
        <w:overflowPunct w:val="0"/>
        <w:autoSpaceDE w:val="0"/>
        <w:autoSpaceDN w:val="0"/>
        <w:adjustRightInd w:val="0"/>
        <w:spacing w:after="0" w:line="245" w:lineRule="exact"/>
        <w:ind w:left="598" w:hanging="370"/>
        <w:contextualSpacing w:val="0"/>
        <w:rPr>
          <w:rFonts w:ascii="Arial" w:hAnsi="Arial" w:cs="Arial"/>
          <w:spacing w:val="-2"/>
        </w:rPr>
      </w:pPr>
      <w:r w:rsidRPr="001820BA">
        <w:rPr>
          <w:rFonts w:ascii="Arial" w:hAnsi="Arial" w:cs="Arial"/>
        </w:rPr>
        <w:t>giving</w:t>
      </w:r>
      <w:r w:rsidRPr="001820BA">
        <w:rPr>
          <w:rFonts w:ascii="Arial" w:hAnsi="Arial" w:cs="Arial"/>
          <w:spacing w:val="-8"/>
        </w:rPr>
        <w:t xml:space="preserve"> </w:t>
      </w:r>
      <w:r w:rsidRPr="001820BA">
        <w:rPr>
          <w:rFonts w:ascii="Arial" w:hAnsi="Arial" w:cs="Arial"/>
        </w:rPr>
        <w:t>effect</w:t>
      </w:r>
      <w:r w:rsidRPr="001820BA">
        <w:rPr>
          <w:rFonts w:ascii="Arial" w:hAnsi="Arial" w:cs="Arial"/>
          <w:spacing w:val="-7"/>
        </w:rPr>
        <w:t xml:space="preserve"> </w:t>
      </w:r>
      <w:r w:rsidRPr="001820BA">
        <w:rPr>
          <w:rFonts w:ascii="Arial" w:hAnsi="Arial" w:cs="Arial"/>
        </w:rPr>
        <w:t>to</w:t>
      </w:r>
      <w:r w:rsidRPr="001820BA">
        <w:rPr>
          <w:rFonts w:ascii="Arial" w:hAnsi="Arial" w:cs="Arial"/>
          <w:spacing w:val="-7"/>
        </w:rPr>
        <w:t xml:space="preserve"> </w:t>
      </w:r>
      <w:r w:rsidRPr="001820BA">
        <w:rPr>
          <w:rFonts w:ascii="Arial" w:hAnsi="Arial" w:cs="Arial"/>
        </w:rPr>
        <w:t>the</w:t>
      </w:r>
      <w:r w:rsidRPr="001820BA">
        <w:rPr>
          <w:rFonts w:ascii="Arial" w:hAnsi="Arial" w:cs="Arial"/>
          <w:spacing w:val="-5"/>
        </w:rPr>
        <w:t xml:space="preserve"> </w:t>
      </w:r>
      <w:r w:rsidRPr="001820BA">
        <w:rPr>
          <w:rFonts w:ascii="Arial" w:hAnsi="Arial" w:cs="Arial"/>
        </w:rPr>
        <w:t>approved</w:t>
      </w:r>
      <w:r w:rsidRPr="001820BA">
        <w:rPr>
          <w:rFonts w:ascii="Arial" w:hAnsi="Arial" w:cs="Arial"/>
          <w:spacing w:val="-8"/>
        </w:rPr>
        <w:t xml:space="preserve"> </w:t>
      </w:r>
      <w:r w:rsidRPr="001820BA">
        <w:rPr>
          <w:rFonts w:ascii="Arial" w:hAnsi="Arial" w:cs="Arial"/>
        </w:rPr>
        <w:t>endorsement</w:t>
      </w:r>
      <w:r w:rsidRPr="001820BA">
        <w:rPr>
          <w:rFonts w:ascii="Arial" w:hAnsi="Arial" w:cs="Arial"/>
          <w:spacing w:val="-7"/>
        </w:rPr>
        <w:t xml:space="preserve"> </w:t>
      </w:r>
      <w:r w:rsidRPr="001820BA">
        <w:rPr>
          <w:rFonts w:ascii="Arial" w:hAnsi="Arial" w:cs="Arial"/>
        </w:rPr>
        <w:t>by</w:t>
      </w:r>
      <w:r w:rsidRPr="001820BA">
        <w:rPr>
          <w:rFonts w:ascii="Arial" w:hAnsi="Arial" w:cs="Arial"/>
          <w:spacing w:val="-10"/>
        </w:rPr>
        <w:t xml:space="preserve"> </w:t>
      </w:r>
      <w:r w:rsidRPr="001820BA">
        <w:rPr>
          <w:rFonts w:ascii="Arial" w:hAnsi="Arial" w:cs="Arial"/>
        </w:rPr>
        <w:t>conferring</w:t>
      </w:r>
      <w:r w:rsidRPr="001820BA">
        <w:rPr>
          <w:rFonts w:ascii="Arial" w:hAnsi="Arial" w:cs="Arial"/>
          <w:spacing w:val="-7"/>
        </w:rPr>
        <w:t xml:space="preserve"> </w:t>
      </w:r>
      <w:r w:rsidRPr="001820BA">
        <w:rPr>
          <w:rFonts w:ascii="Arial" w:hAnsi="Arial" w:cs="Arial"/>
        </w:rPr>
        <w:t>the</w:t>
      </w:r>
      <w:r w:rsidRPr="001820BA">
        <w:rPr>
          <w:rFonts w:ascii="Arial" w:hAnsi="Arial" w:cs="Arial"/>
          <w:spacing w:val="-5"/>
        </w:rPr>
        <w:t xml:space="preserve"> </w:t>
      </w:r>
      <w:r w:rsidRPr="001820BA">
        <w:rPr>
          <w:rFonts w:ascii="Arial" w:hAnsi="Arial" w:cs="Arial"/>
        </w:rPr>
        <w:t>necessary</w:t>
      </w:r>
      <w:r w:rsidRPr="001820BA">
        <w:rPr>
          <w:rFonts w:ascii="Arial" w:hAnsi="Arial" w:cs="Arial"/>
          <w:spacing w:val="-8"/>
        </w:rPr>
        <w:t xml:space="preserve"> </w:t>
      </w:r>
      <w:r w:rsidRPr="001820BA">
        <w:rPr>
          <w:rFonts w:ascii="Arial" w:hAnsi="Arial" w:cs="Arial"/>
        </w:rPr>
        <w:t>authorities</w:t>
      </w:r>
      <w:r w:rsidRPr="001820BA">
        <w:rPr>
          <w:rFonts w:ascii="Arial" w:hAnsi="Arial" w:cs="Arial"/>
          <w:spacing w:val="-4"/>
        </w:rPr>
        <w:t xml:space="preserve"> </w:t>
      </w:r>
      <w:r w:rsidRPr="001820BA">
        <w:rPr>
          <w:rFonts w:ascii="Arial" w:hAnsi="Arial" w:cs="Arial"/>
        </w:rPr>
        <w:t>under</w:t>
      </w:r>
      <w:r w:rsidRPr="001820BA">
        <w:rPr>
          <w:rFonts w:ascii="Arial" w:hAnsi="Arial" w:cs="Arial"/>
          <w:spacing w:val="-4"/>
        </w:rPr>
        <w:t xml:space="preserve"> </w:t>
      </w:r>
      <w:r w:rsidRPr="001820BA">
        <w:rPr>
          <w:rFonts w:ascii="Arial" w:hAnsi="Arial" w:cs="Arial"/>
          <w:spacing w:val="-2"/>
        </w:rPr>
        <w:t>legislation</w:t>
      </w:r>
    </w:p>
    <w:p w14:paraId="1B4326A6" w14:textId="77777777" w:rsidR="003D69FD" w:rsidRPr="001820BA" w:rsidRDefault="003D69FD" w:rsidP="003D69FD">
      <w:pPr>
        <w:pStyle w:val="ListParagraph"/>
        <w:widowControl w:val="0"/>
        <w:numPr>
          <w:ilvl w:val="0"/>
          <w:numId w:val="54"/>
        </w:numPr>
        <w:tabs>
          <w:tab w:val="left" w:pos="598"/>
        </w:tabs>
        <w:kinsoku w:val="0"/>
        <w:overflowPunct w:val="0"/>
        <w:autoSpaceDE w:val="0"/>
        <w:autoSpaceDN w:val="0"/>
        <w:adjustRightInd w:val="0"/>
        <w:spacing w:after="0" w:line="244" w:lineRule="exact"/>
        <w:ind w:left="598" w:hanging="370"/>
        <w:contextualSpacing w:val="0"/>
        <w:rPr>
          <w:rFonts w:ascii="Arial" w:hAnsi="Arial" w:cs="Arial"/>
          <w:spacing w:val="-5"/>
        </w:rPr>
      </w:pPr>
      <w:r w:rsidRPr="001820BA">
        <w:rPr>
          <w:rFonts w:ascii="Arial" w:hAnsi="Arial" w:cs="Arial"/>
        </w:rPr>
        <w:t>developing</w:t>
      </w:r>
      <w:r w:rsidRPr="001820BA">
        <w:rPr>
          <w:rFonts w:ascii="Arial" w:hAnsi="Arial" w:cs="Arial"/>
          <w:spacing w:val="-8"/>
        </w:rPr>
        <w:t xml:space="preserve"> </w:t>
      </w:r>
      <w:r w:rsidRPr="001820BA">
        <w:rPr>
          <w:rFonts w:ascii="Arial" w:hAnsi="Arial" w:cs="Arial"/>
        </w:rPr>
        <w:t>heath</w:t>
      </w:r>
      <w:r w:rsidRPr="001820BA">
        <w:rPr>
          <w:rFonts w:ascii="Arial" w:hAnsi="Arial" w:cs="Arial"/>
          <w:spacing w:val="-10"/>
        </w:rPr>
        <w:t xml:space="preserve"> </w:t>
      </w:r>
      <w:r w:rsidRPr="001820BA">
        <w:rPr>
          <w:rFonts w:ascii="Arial" w:hAnsi="Arial" w:cs="Arial"/>
        </w:rPr>
        <w:t>system</w:t>
      </w:r>
      <w:r w:rsidRPr="001820BA">
        <w:rPr>
          <w:rFonts w:ascii="Arial" w:hAnsi="Arial" w:cs="Arial"/>
          <w:spacing w:val="-5"/>
        </w:rPr>
        <w:t xml:space="preserve"> </w:t>
      </w:r>
      <w:r w:rsidRPr="001820BA">
        <w:rPr>
          <w:rFonts w:ascii="Arial" w:hAnsi="Arial" w:cs="Arial"/>
        </w:rPr>
        <w:t>requirements</w:t>
      </w:r>
      <w:r w:rsidRPr="001820BA">
        <w:rPr>
          <w:rFonts w:ascii="Arial" w:hAnsi="Arial" w:cs="Arial"/>
          <w:spacing w:val="-8"/>
        </w:rPr>
        <w:t xml:space="preserve"> </w:t>
      </w:r>
      <w:r w:rsidRPr="001820BA">
        <w:rPr>
          <w:rFonts w:ascii="Arial" w:hAnsi="Arial" w:cs="Arial"/>
        </w:rPr>
        <w:t>such</w:t>
      </w:r>
      <w:r w:rsidRPr="001820BA">
        <w:rPr>
          <w:rFonts w:ascii="Arial" w:hAnsi="Arial" w:cs="Arial"/>
          <w:spacing w:val="-10"/>
        </w:rPr>
        <w:t xml:space="preserve"> </w:t>
      </w:r>
      <w:r w:rsidRPr="001820BA">
        <w:rPr>
          <w:rFonts w:ascii="Arial" w:hAnsi="Arial" w:cs="Arial"/>
        </w:rPr>
        <w:t>as</w:t>
      </w:r>
      <w:r w:rsidRPr="001820BA">
        <w:rPr>
          <w:rFonts w:ascii="Arial" w:hAnsi="Arial" w:cs="Arial"/>
          <w:spacing w:val="-8"/>
        </w:rPr>
        <w:t xml:space="preserve"> </w:t>
      </w:r>
      <w:r w:rsidRPr="001820BA">
        <w:rPr>
          <w:rFonts w:ascii="Arial" w:hAnsi="Arial" w:cs="Arial"/>
        </w:rPr>
        <w:t>clinical</w:t>
      </w:r>
      <w:r w:rsidRPr="001820BA">
        <w:rPr>
          <w:rFonts w:ascii="Arial" w:hAnsi="Arial" w:cs="Arial"/>
          <w:spacing w:val="-9"/>
        </w:rPr>
        <w:t xml:space="preserve"> </w:t>
      </w:r>
      <w:r w:rsidRPr="001820BA">
        <w:rPr>
          <w:rFonts w:ascii="Arial" w:hAnsi="Arial" w:cs="Arial"/>
        </w:rPr>
        <w:t>governance</w:t>
      </w:r>
      <w:r w:rsidRPr="001820BA">
        <w:rPr>
          <w:rFonts w:ascii="Arial" w:hAnsi="Arial" w:cs="Arial"/>
          <w:spacing w:val="-9"/>
        </w:rPr>
        <w:t xml:space="preserve"> </w:t>
      </w:r>
      <w:r w:rsidRPr="001820BA">
        <w:rPr>
          <w:rFonts w:ascii="Arial" w:hAnsi="Arial" w:cs="Arial"/>
        </w:rPr>
        <w:t>structures,</w:t>
      </w:r>
      <w:r w:rsidRPr="001820BA">
        <w:rPr>
          <w:rFonts w:ascii="Arial" w:hAnsi="Arial" w:cs="Arial"/>
          <w:spacing w:val="-9"/>
        </w:rPr>
        <w:t xml:space="preserve"> </w:t>
      </w:r>
      <w:r w:rsidRPr="001820BA">
        <w:rPr>
          <w:rFonts w:ascii="Arial" w:hAnsi="Arial" w:cs="Arial"/>
          <w:spacing w:val="-5"/>
        </w:rPr>
        <w:t>and</w:t>
      </w:r>
    </w:p>
    <w:p w14:paraId="7A2E6A52" w14:textId="45F712A0" w:rsidR="003D69FD" w:rsidRPr="001820BA" w:rsidRDefault="003D69FD" w:rsidP="003D69FD">
      <w:pPr>
        <w:pStyle w:val="ListParagraph"/>
        <w:widowControl w:val="0"/>
        <w:numPr>
          <w:ilvl w:val="0"/>
          <w:numId w:val="54"/>
        </w:numPr>
        <w:tabs>
          <w:tab w:val="left" w:pos="598"/>
        </w:tabs>
        <w:kinsoku w:val="0"/>
        <w:overflowPunct w:val="0"/>
        <w:autoSpaceDE w:val="0"/>
        <w:autoSpaceDN w:val="0"/>
        <w:adjustRightInd w:val="0"/>
        <w:spacing w:after="0" w:line="240" w:lineRule="auto"/>
        <w:ind w:left="598" w:right="1274" w:hanging="370"/>
        <w:contextualSpacing w:val="0"/>
        <w:rPr>
          <w:rFonts w:ascii="Arial" w:hAnsi="Arial" w:cs="Arial"/>
        </w:rPr>
      </w:pPr>
      <w:r w:rsidRPr="001820BA">
        <w:rPr>
          <w:rFonts w:ascii="Arial" w:hAnsi="Arial" w:cs="Arial"/>
        </w:rPr>
        <w:t>Pharmaceutical</w:t>
      </w:r>
      <w:r w:rsidRPr="001820BA">
        <w:rPr>
          <w:rFonts w:ascii="Arial" w:hAnsi="Arial" w:cs="Arial"/>
          <w:spacing w:val="-4"/>
        </w:rPr>
        <w:t xml:space="preserve"> </w:t>
      </w:r>
      <w:r w:rsidRPr="001820BA">
        <w:rPr>
          <w:rFonts w:ascii="Arial" w:hAnsi="Arial" w:cs="Arial"/>
        </w:rPr>
        <w:t>Benefits Scheme (PBS) and Medicare Benefits Schedules (MBS)</w:t>
      </w:r>
    </w:p>
    <w:p w14:paraId="61B1C416" w14:textId="77777777" w:rsidR="003D69FD" w:rsidRPr="00FA18D9" w:rsidRDefault="003D69FD" w:rsidP="003D69FD">
      <w:pPr>
        <w:pStyle w:val="AHPRAbody"/>
        <w:outlineLvl w:val="0"/>
      </w:pPr>
    </w:p>
    <w:p w14:paraId="048709C7" w14:textId="4D3A86E5" w:rsidR="003D69FD" w:rsidRDefault="003D69FD" w:rsidP="003D69FD">
      <w:pPr>
        <w:pStyle w:val="AHPRAbody"/>
        <w:outlineLvl w:val="0"/>
      </w:pPr>
      <w:r w:rsidRPr="00FA18D9">
        <w:t>Following Ministerial Council approval, each minister would endeavour to give effect to the Ministerial Council-approved</w:t>
      </w:r>
      <w:r w:rsidRPr="00FA18D9">
        <w:rPr>
          <w:spacing w:val="-2"/>
        </w:rPr>
        <w:t xml:space="preserve"> </w:t>
      </w:r>
      <w:r w:rsidRPr="00FA18D9">
        <w:t>endorsement</w:t>
      </w:r>
      <w:r w:rsidRPr="00FA18D9">
        <w:rPr>
          <w:spacing w:val="-4"/>
        </w:rPr>
        <w:t xml:space="preserve"> </w:t>
      </w:r>
      <w:r w:rsidRPr="00FA18D9">
        <w:t>and</w:t>
      </w:r>
      <w:r w:rsidRPr="00FA18D9">
        <w:rPr>
          <w:spacing w:val="-4"/>
        </w:rPr>
        <w:t xml:space="preserve"> </w:t>
      </w:r>
      <w:r w:rsidRPr="00FA18D9">
        <w:t>to</w:t>
      </w:r>
      <w:r w:rsidRPr="00FA18D9">
        <w:rPr>
          <w:spacing w:val="-4"/>
        </w:rPr>
        <w:t xml:space="preserve"> </w:t>
      </w:r>
      <w:r w:rsidRPr="00FA18D9">
        <w:t>confer</w:t>
      </w:r>
      <w:r w:rsidRPr="00FA18D9">
        <w:rPr>
          <w:spacing w:val="-3"/>
        </w:rPr>
        <w:t xml:space="preserve"> </w:t>
      </w:r>
      <w:r w:rsidRPr="00FA18D9">
        <w:t>the</w:t>
      </w:r>
      <w:r w:rsidRPr="00FA18D9">
        <w:rPr>
          <w:spacing w:val="-4"/>
        </w:rPr>
        <w:t xml:space="preserve"> </w:t>
      </w:r>
      <w:r w:rsidRPr="00FA18D9">
        <w:t>necessary</w:t>
      </w:r>
      <w:r w:rsidRPr="00FA18D9">
        <w:rPr>
          <w:spacing w:val="-7"/>
        </w:rPr>
        <w:t xml:space="preserve"> </w:t>
      </w:r>
      <w:r w:rsidRPr="00FA18D9">
        <w:t>authorities under</w:t>
      </w:r>
      <w:r w:rsidRPr="00FA18D9">
        <w:rPr>
          <w:spacing w:val="-3"/>
        </w:rPr>
        <w:t xml:space="preserve"> </w:t>
      </w:r>
      <w:r w:rsidRPr="00FA18D9">
        <w:t>state</w:t>
      </w:r>
      <w:r w:rsidRPr="00FA18D9">
        <w:rPr>
          <w:spacing w:val="-4"/>
        </w:rPr>
        <w:t xml:space="preserve"> </w:t>
      </w:r>
      <w:r w:rsidRPr="00FA18D9">
        <w:t>or</w:t>
      </w:r>
      <w:r w:rsidRPr="00FA18D9">
        <w:rPr>
          <w:spacing w:val="-3"/>
        </w:rPr>
        <w:t xml:space="preserve"> </w:t>
      </w:r>
      <w:r w:rsidRPr="00FA18D9">
        <w:t>territory</w:t>
      </w:r>
      <w:r w:rsidRPr="00FA18D9">
        <w:rPr>
          <w:spacing w:val="-7"/>
        </w:rPr>
        <w:t xml:space="preserve"> </w:t>
      </w:r>
      <w:r w:rsidRPr="00FA18D9">
        <w:t>laws.</w:t>
      </w:r>
      <w:r w:rsidRPr="00FA18D9">
        <w:rPr>
          <w:spacing w:val="-4"/>
        </w:rPr>
        <w:t xml:space="preserve"> </w:t>
      </w:r>
      <w:r w:rsidRPr="00FA18D9">
        <w:t>This may require changes to relevant legislation.</w:t>
      </w:r>
    </w:p>
    <w:p w14:paraId="4B8ECF44" w14:textId="77777777" w:rsidR="003D69FD" w:rsidRDefault="003D69FD" w:rsidP="003D69FD">
      <w:pPr>
        <w:pStyle w:val="AHPRAbody"/>
        <w:outlineLvl w:val="0"/>
      </w:pPr>
      <w:r>
        <w:t xml:space="preserve">The Australian Health Practitioner Regulation Agency (Ahpra), the NMBA and ANMAC are responsible for ensuring registered health practitioners are suitably trained, qualified and safe to practise. </w:t>
      </w:r>
    </w:p>
    <w:p w14:paraId="40B2317B" w14:textId="77777777" w:rsidR="003D69FD" w:rsidRPr="00DF6955" w:rsidRDefault="003D69FD" w:rsidP="003D69FD">
      <w:pPr>
        <w:pStyle w:val="AHPRAbody"/>
        <w:outlineLvl w:val="0"/>
      </w:pPr>
      <w:r>
        <w:t xml:space="preserve">To be endorsed to prescribe, the NMBA will require that designated RN prescribers have: </w:t>
      </w:r>
    </w:p>
    <w:p w14:paraId="0F2103FE" w14:textId="77777777" w:rsidR="003D69FD" w:rsidRPr="00905DEF" w:rsidRDefault="003D69FD" w:rsidP="003D69FD">
      <w:pPr>
        <w:pStyle w:val="AHPRABulletlevel1"/>
        <w:numPr>
          <w:ilvl w:val="0"/>
          <w:numId w:val="20"/>
        </w:numPr>
        <w:outlineLvl w:val="0"/>
      </w:pPr>
      <w:r>
        <w:t xml:space="preserve">Current general registration as an RN in Australia with no conditions or undertakings on registration relevant to the endorsement </w:t>
      </w:r>
    </w:p>
    <w:p w14:paraId="00A2E59E" w14:textId="77777777" w:rsidR="003D69FD" w:rsidRPr="00905DEF" w:rsidRDefault="003D69FD" w:rsidP="003D69FD">
      <w:pPr>
        <w:pStyle w:val="AHPRABulletlevel1"/>
        <w:numPr>
          <w:ilvl w:val="0"/>
          <w:numId w:val="20"/>
        </w:numPr>
        <w:outlineLvl w:val="0"/>
      </w:pPr>
      <w:r>
        <w:t>The equivalent of three years’ (5,000 hours) full-time post initial registration clinical experience within the past six years, from the date when the complete application seeking endorsement for scheduled medicines as a designated RN prescriber is received by the NMBA</w:t>
      </w:r>
    </w:p>
    <w:p w14:paraId="044F96AC" w14:textId="77777777" w:rsidR="003D69FD" w:rsidRPr="00905DEF" w:rsidRDefault="003D69FD" w:rsidP="003D69FD">
      <w:pPr>
        <w:pStyle w:val="AHPRABulletlevel1"/>
        <w:numPr>
          <w:ilvl w:val="0"/>
          <w:numId w:val="20"/>
        </w:numPr>
        <w:outlineLvl w:val="0"/>
      </w:pPr>
      <w:r>
        <w:t>Successful completion of NMBA-approved units of study leading to endorsement for scheduled medicines as a designated RN prescriber</w:t>
      </w:r>
    </w:p>
    <w:p w14:paraId="7C5407C5" w14:textId="77777777" w:rsidR="003D69FD" w:rsidRPr="00905DEF" w:rsidRDefault="003D69FD" w:rsidP="003D69FD">
      <w:pPr>
        <w:pStyle w:val="AHPRABulletlevel1"/>
        <w:numPr>
          <w:ilvl w:val="0"/>
          <w:numId w:val="20"/>
        </w:numPr>
        <w:outlineLvl w:val="0"/>
      </w:pPr>
      <w:r>
        <w:t>units of study that are equivalent to the NMBA-approved units of study leading to endorsement for scheduled medicines as a designated RN prescriber</w:t>
      </w:r>
    </w:p>
    <w:p w14:paraId="3EBAFA40" w14:textId="77777777" w:rsidR="003D69FD" w:rsidRPr="00211D43" w:rsidRDefault="003D69FD" w:rsidP="003D69FD">
      <w:pPr>
        <w:pStyle w:val="AHPRABulletlevel1"/>
        <w:numPr>
          <w:ilvl w:val="0"/>
          <w:numId w:val="20"/>
        </w:numPr>
        <w:outlineLvl w:val="0"/>
      </w:pPr>
      <w:r>
        <w:t>a period of six months clinical mentorship</w:t>
      </w:r>
    </w:p>
    <w:p w14:paraId="261F3036" w14:textId="77777777" w:rsidR="003D69FD" w:rsidRDefault="003D69FD" w:rsidP="003D69FD">
      <w:pPr>
        <w:pStyle w:val="AHPRABulletlevel1last"/>
        <w:numPr>
          <w:ilvl w:val="0"/>
          <w:numId w:val="20"/>
        </w:numPr>
        <w:outlineLvl w:val="0"/>
      </w:pPr>
      <w:r>
        <w:lastRenderedPageBreak/>
        <w:t>ongoing competence requirements for prescribing.</w:t>
      </w:r>
    </w:p>
    <w:p w14:paraId="27E68274" w14:textId="3DDC82A5" w:rsidR="0059557A" w:rsidRDefault="003D69FD" w:rsidP="006573F3">
      <w:pPr>
        <w:rPr>
          <w:rFonts w:cs="Arial"/>
          <w:szCs w:val="20"/>
          <w:lang w:val="en-US" w:eastAsia="en-NZ"/>
        </w:rPr>
      </w:pPr>
      <w:r w:rsidRPr="00A7473A">
        <w:rPr>
          <w:rFonts w:cs="Arial"/>
          <w:szCs w:val="20"/>
          <w:lang w:val="en-US" w:eastAsia="en-NZ"/>
        </w:rPr>
        <w:t xml:space="preserve">Ahpra and the NMBA will work with the Chief Commonwealth Nurse and the Chief Nurses of States and Territories in the implementation phase. There will be widespread communication and </w:t>
      </w:r>
      <w:r w:rsidR="00C757C5">
        <w:rPr>
          <w:rFonts w:cs="Arial"/>
          <w:szCs w:val="20"/>
          <w:lang w:val="en-US" w:eastAsia="en-NZ"/>
        </w:rPr>
        <w:t xml:space="preserve">strategic </w:t>
      </w:r>
      <w:r w:rsidRPr="00A7473A">
        <w:rPr>
          <w:rFonts w:cs="Arial"/>
          <w:szCs w:val="20"/>
          <w:lang w:val="en-US" w:eastAsia="en-NZ"/>
        </w:rPr>
        <w:t>communications plans with</w:t>
      </w:r>
      <w:r w:rsidR="00A65F3D">
        <w:rPr>
          <w:rFonts w:cs="Arial"/>
          <w:szCs w:val="20"/>
          <w:lang w:val="en-US" w:eastAsia="en-NZ"/>
        </w:rPr>
        <w:t xml:space="preserve"> the Commonwealth Health </w:t>
      </w:r>
      <w:r w:rsidR="00777920">
        <w:rPr>
          <w:rFonts w:cs="Arial"/>
          <w:szCs w:val="20"/>
          <w:lang w:val="en-US" w:eastAsia="en-NZ"/>
        </w:rPr>
        <w:t xml:space="preserve">Department, </w:t>
      </w:r>
      <w:r w:rsidR="00777920" w:rsidRPr="00A7473A">
        <w:rPr>
          <w:rFonts w:cs="Arial"/>
          <w:szCs w:val="20"/>
          <w:lang w:val="en-US" w:eastAsia="en-NZ"/>
        </w:rPr>
        <w:t>States</w:t>
      </w:r>
      <w:r w:rsidRPr="00A7473A">
        <w:rPr>
          <w:rFonts w:cs="Arial"/>
          <w:szCs w:val="20"/>
          <w:lang w:val="en-US" w:eastAsia="en-NZ"/>
        </w:rPr>
        <w:t xml:space="preserve"> and Territories Departments of Health </w:t>
      </w:r>
      <w:r w:rsidR="006746AE" w:rsidRPr="00A7473A">
        <w:rPr>
          <w:rFonts w:cs="Arial"/>
          <w:szCs w:val="20"/>
          <w:lang w:val="en-US" w:eastAsia="en-NZ"/>
        </w:rPr>
        <w:t xml:space="preserve">prior to </w:t>
      </w:r>
      <w:r w:rsidR="006A7553">
        <w:rPr>
          <w:rFonts w:cs="Arial"/>
          <w:szCs w:val="20"/>
          <w:lang w:val="en-US" w:eastAsia="en-NZ"/>
        </w:rPr>
        <w:t xml:space="preserve">and in </w:t>
      </w:r>
      <w:r w:rsidR="006746AE" w:rsidRPr="00A7473A">
        <w:rPr>
          <w:rFonts w:cs="Arial"/>
          <w:szCs w:val="20"/>
          <w:lang w:val="en-US" w:eastAsia="en-NZ"/>
        </w:rPr>
        <w:t xml:space="preserve">the </w:t>
      </w:r>
      <w:r w:rsidRPr="00A7473A">
        <w:rPr>
          <w:rFonts w:cs="Arial"/>
          <w:szCs w:val="20"/>
          <w:lang w:val="en-US" w:eastAsia="en-NZ"/>
        </w:rPr>
        <w:t>implementation phase.</w:t>
      </w:r>
      <w:r w:rsidR="0011732F" w:rsidRPr="00A7473A">
        <w:rPr>
          <w:rFonts w:cs="Arial"/>
          <w:szCs w:val="20"/>
          <w:lang w:val="en-US" w:eastAsia="en-NZ"/>
        </w:rPr>
        <w:t xml:space="preserve"> </w:t>
      </w:r>
      <w:r w:rsidR="006A7553">
        <w:rPr>
          <w:rFonts w:cs="Arial"/>
          <w:szCs w:val="20"/>
          <w:lang w:val="en-US" w:eastAsia="en-NZ"/>
        </w:rPr>
        <w:t xml:space="preserve">The </w:t>
      </w:r>
      <w:r w:rsidR="0059557A">
        <w:rPr>
          <w:rFonts w:cs="Arial"/>
          <w:szCs w:val="20"/>
          <w:lang w:val="en-US" w:eastAsia="en-NZ"/>
        </w:rPr>
        <w:t xml:space="preserve">RN </w:t>
      </w:r>
      <w:r w:rsidR="00142017">
        <w:rPr>
          <w:rFonts w:cs="Arial"/>
          <w:szCs w:val="20"/>
          <w:lang w:val="en-US" w:eastAsia="en-NZ"/>
        </w:rPr>
        <w:t xml:space="preserve">prescribing working group will continue to work to ensure that communications </w:t>
      </w:r>
      <w:r w:rsidR="009F3ED1">
        <w:rPr>
          <w:rFonts w:cs="Arial"/>
          <w:szCs w:val="20"/>
          <w:lang w:val="en-US" w:eastAsia="en-NZ"/>
        </w:rPr>
        <w:t xml:space="preserve">from Ahpra and the NMBA are received by </w:t>
      </w:r>
      <w:r w:rsidR="0059557A">
        <w:rPr>
          <w:rFonts w:cs="Arial"/>
          <w:szCs w:val="20"/>
          <w:lang w:val="en-US" w:eastAsia="en-NZ"/>
        </w:rPr>
        <w:t xml:space="preserve">all </w:t>
      </w:r>
      <w:r w:rsidR="00DB170D">
        <w:rPr>
          <w:rFonts w:cs="Arial"/>
          <w:szCs w:val="20"/>
          <w:lang w:val="en-US" w:eastAsia="en-NZ"/>
        </w:rPr>
        <w:t>h</w:t>
      </w:r>
      <w:r w:rsidR="009F3ED1">
        <w:rPr>
          <w:rFonts w:cs="Arial"/>
          <w:szCs w:val="20"/>
          <w:lang w:val="en-US" w:eastAsia="en-NZ"/>
        </w:rPr>
        <w:t xml:space="preserve">ealthcare </w:t>
      </w:r>
      <w:r w:rsidR="00DB170D">
        <w:rPr>
          <w:rFonts w:cs="Arial"/>
          <w:szCs w:val="20"/>
          <w:lang w:val="en-US" w:eastAsia="en-NZ"/>
        </w:rPr>
        <w:t>p</w:t>
      </w:r>
      <w:r w:rsidR="009F3ED1">
        <w:rPr>
          <w:rFonts w:cs="Arial"/>
          <w:szCs w:val="20"/>
          <w:lang w:val="en-US" w:eastAsia="en-NZ"/>
        </w:rPr>
        <w:t xml:space="preserve">rofessionals, </w:t>
      </w:r>
      <w:r w:rsidR="00DB170D">
        <w:rPr>
          <w:rFonts w:cs="Arial"/>
          <w:szCs w:val="20"/>
          <w:lang w:val="en-US" w:eastAsia="en-NZ"/>
        </w:rPr>
        <w:t>h</w:t>
      </w:r>
      <w:r w:rsidR="009F3ED1">
        <w:rPr>
          <w:rFonts w:cs="Arial"/>
          <w:szCs w:val="20"/>
          <w:lang w:val="en-US" w:eastAsia="en-NZ"/>
        </w:rPr>
        <w:t xml:space="preserve">ealthcare </w:t>
      </w:r>
      <w:r w:rsidR="00DB170D">
        <w:rPr>
          <w:rFonts w:cs="Arial"/>
          <w:szCs w:val="20"/>
          <w:lang w:val="en-US" w:eastAsia="en-NZ"/>
        </w:rPr>
        <w:t>o</w:t>
      </w:r>
      <w:r w:rsidR="0059557A">
        <w:rPr>
          <w:rFonts w:cs="Arial"/>
          <w:szCs w:val="20"/>
          <w:lang w:val="en-US" w:eastAsia="en-NZ"/>
        </w:rPr>
        <w:t>rganisation</w:t>
      </w:r>
      <w:r w:rsidR="00DB170D">
        <w:rPr>
          <w:rFonts w:cs="Arial"/>
          <w:szCs w:val="20"/>
          <w:lang w:val="en-US" w:eastAsia="en-NZ"/>
        </w:rPr>
        <w:t>s</w:t>
      </w:r>
      <w:r w:rsidR="009F3ED1">
        <w:rPr>
          <w:rFonts w:cs="Arial"/>
          <w:szCs w:val="20"/>
          <w:lang w:val="en-US" w:eastAsia="en-NZ"/>
        </w:rPr>
        <w:t xml:space="preserve"> </w:t>
      </w:r>
      <w:r w:rsidR="00C757C5">
        <w:rPr>
          <w:rFonts w:cs="Arial"/>
          <w:szCs w:val="20"/>
          <w:lang w:val="en-US" w:eastAsia="en-NZ"/>
        </w:rPr>
        <w:t xml:space="preserve">and the </w:t>
      </w:r>
      <w:r w:rsidR="0059557A">
        <w:rPr>
          <w:rFonts w:cs="Arial"/>
          <w:szCs w:val="20"/>
          <w:lang w:val="en-US" w:eastAsia="en-NZ"/>
        </w:rPr>
        <w:t>Australian</w:t>
      </w:r>
      <w:r w:rsidR="00C757C5">
        <w:rPr>
          <w:rFonts w:cs="Arial"/>
          <w:szCs w:val="20"/>
          <w:lang w:val="en-US" w:eastAsia="en-NZ"/>
        </w:rPr>
        <w:t xml:space="preserve"> </w:t>
      </w:r>
      <w:r w:rsidR="00DB170D">
        <w:rPr>
          <w:rFonts w:cs="Arial"/>
          <w:szCs w:val="20"/>
          <w:lang w:val="en-US" w:eastAsia="en-NZ"/>
        </w:rPr>
        <w:t>p</w:t>
      </w:r>
      <w:r w:rsidR="00C757C5">
        <w:rPr>
          <w:rFonts w:cs="Arial"/>
          <w:szCs w:val="20"/>
          <w:lang w:val="en-US" w:eastAsia="en-NZ"/>
        </w:rPr>
        <w:t>ublic.</w:t>
      </w:r>
      <w:r w:rsidR="009F3ED1">
        <w:rPr>
          <w:rFonts w:cs="Arial"/>
          <w:szCs w:val="20"/>
          <w:lang w:val="en-US" w:eastAsia="en-NZ"/>
        </w:rPr>
        <w:t xml:space="preserve"> </w:t>
      </w:r>
    </w:p>
    <w:p w14:paraId="2B6DAAD9" w14:textId="4C60B875" w:rsidR="006573F3" w:rsidRDefault="003C6406" w:rsidP="006573F3">
      <w:pPr>
        <w:rPr>
          <w:rFonts w:cs="Arial"/>
          <w:color w:val="2A2A2A"/>
          <w:szCs w:val="20"/>
          <w:shd w:val="clear" w:color="auto" w:fill="FFFFFF"/>
        </w:rPr>
      </w:pPr>
      <w:r>
        <w:rPr>
          <w:rFonts w:cs="Arial"/>
          <w:szCs w:val="20"/>
          <w:lang w:val="en-US" w:eastAsia="en-NZ"/>
        </w:rPr>
        <w:t>Ahpra and the NMBA have leveraged a k</w:t>
      </w:r>
      <w:r w:rsidR="00255D9D" w:rsidRPr="00A7473A">
        <w:rPr>
          <w:rFonts w:cs="Arial"/>
          <w:szCs w:val="20"/>
          <w:lang w:val="en-US" w:eastAsia="en-NZ"/>
        </w:rPr>
        <w:t>ey recommendation f</w:t>
      </w:r>
      <w:r w:rsidR="00610BA3">
        <w:rPr>
          <w:rFonts w:cs="Arial"/>
          <w:szCs w:val="20"/>
          <w:lang w:val="en-US" w:eastAsia="en-NZ"/>
        </w:rPr>
        <w:t>rom</w:t>
      </w:r>
      <w:r w:rsidR="000A13B0">
        <w:rPr>
          <w:rFonts w:cs="Arial"/>
          <w:szCs w:val="20"/>
          <w:lang w:val="en-US" w:eastAsia="en-NZ"/>
        </w:rPr>
        <w:t xml:space="preserve"> a </w:t>
      </w:r>
      <w:r w:rsidR="00F30DF7">
        <w:rPr>
          <w:rFonts w:cs="Arial"/>
          <w:szCs w:val="20"/>
          <w:lang w:val="en-US" w:eastAsia="en-NZ"/>
        </w:rPr>
        <w:t>study</w:t>
      </w:r>
      <w:r w:rsidR="000A13B0">
        <w:rPr>
          <w:rFonts w:cs="Arial"/>
          <w:szCs w:val="20"/>
          <w:lang w:val="en-US" w:eastAsia="en-NZ"/>
        </w:rPr>
        <w:t xml:space="preserve"> in 201</w:t>
      </w:r>
      <w:r w:rsidR="00F30DF7">
        <w:rPr>
          <w:rFonts w:cs="Arial"/>
          <w:szCs w:val="20"/>
          <w:lang w:val="en-US" w:eastAsia="en-NZ"/>
        </w:rPr>
        <w:t>0</w:t>
      </w:r>
      <w:r w:rsidR="000A13B0">
        <w:rPr>
          <w:rFonts w:cs="Arial"/>
          <w:szCs w:val="20"/>
          <w:lang w:val="en-US" w:eastAsia="en-NZ"/>
        </w:rPr>
        <w:t xml:space="preserve"> by the </w:t>
      </w:r>
      <w:r w:rsidR="000A13B0" w:rsidRPr="00A7473A">
        <w:rPr>
          <w:rFonts w:cs="Arial"/>
          <w:szCs w:val="20"/>
          <w:lang w:val="en-US" w:eastAsia="en-NZ"/>
        </w:rPr>
        <w:t>National Health Service Trusts (NHS) in the United Kingdom</w:t>
      </w:r>
      <w:r w:rsidR="00F27AFA">
        <w:rPr>
          <w:rFonts w:cs="Arial"/>
          <w:szCs w:val="20"/>
          <w:lang w:val="en-US" w:eastAsia="en-NZ"/>
        </w:rPr>
        <w:t>.</w:t>
      </w:r>
      <w:r w:rsidR="00F27AFA">
        <w:rPr>
          <w:vertAlign w:val="superscript"/>
        </w:rPr>
        <w:t xml:space="preserve">110 </w:t>
      </w:r>
      <w:r w:rsidR="00F27AFA">
        <w:rPr>
          <w:rFonts w:cs="Arial"/>
          <w:szCs w:val="20"/>
          <w:lang w:val="en-US" w:eastAsia="en-NZ"/>
        </w:rPr>
        <w:t xml:space="preserve"> </w:t>
      </w:r>
      <w:r w:rsidR="00605AD4">
        <w:rPr>
          <w:rFonts w:cs="Arial"/>
          <w:szCs w:val="20"/>
          <w:lang w:val="en-US" w:eastAsia="en-NZ"/>
        </w:rPr>
        <w:t>Th</w:t>
      </w:r>
      <w:r w:rsidR="00DB170D">
        <w:rPr>
          <w:rFonts w:cs="Arial"/>
          <w:szCs w:val="20"/>
          <w:lang w:val="en-US" w:eastAsia="en-NZ"/>
        </w:rPr>
        <w:t>e</w:t>
      </w:r>
      <w:r w:rsidR="00605AD4">
        <w:rPr>
          <w:rFonts w:cs="Arial"/>
          <w:szCs w:val="20"/>
          <w:lang w:val="en-US" w:eastAsia="en-NZ"/>
        </w:rPr>
        <w:t xml:space="preserve"> </w:t>
      </w:r>
      <w:r w:rsidR="006573F3" w:rsidRPr="00A7473A">
        <w:rPr>
          <w:rFonts w:cs="Arial"/>
          <w:szCs w:val="20"/>
          <w:lang w:val="en-US" w:eastAsia="en-NZ"/>
        </w:rPr>
        <w:t>recommendation</w:t>
      </w:r>
      <w:r w:rsidR="00DB170D">
        <w:rPr>
          <w:rFonts w:cs="Arial"/>
          <w:szCs w:val="20"/>
          <w:lang w:val="en-US" w:eastAsia="en-NZ"/>
        </w:rPr>
        <w:t>s</w:t>
      </w:r>
      <w:r w:rsidR="007F64C3">
        <w:rPr>
          <w:rFonts w:cs="Arial"/>
          <w:szCs w:val="20"/>
          <w:lang w:val="en-US" w:eastAsia="en-NZ"/>
        </w:rPr>
        <w:t xml:space="preserve"> and outcome</w:t>
      </w:r>
      <w:r w:rsidR="00DB170D">
        <w:rPr>
          <w:rFonts w:cs="Arial"/>
          <w:szCs w:val="20"/>
          <w:lang w:val="en-US" w:eastAsia="en-NZ"/>
        </w:rPr>
        <w:t>s</w:t>
      </w:r>
      <w:r w:rsidR="007F64C3">
        <w:rPr>
          <w:rFonts w:cs="Arial"/>
          <w:szCs w:val="20"/>
          <w:lang w:val="en-US" w:eastAsia="en-NZ"/>
        </w:rPr>
        <w:t xml:space="preserve"> </w:t>
      </w:r>
      <w:r w:rsidR="005D53A3">
        <w:rPr>
          <w:rFonts w:cs="Arial"/>
          <w:szCs w:val="20"/>
          <w:lang w:val="en-US" w:eastAsia="en-NZ"/>
        </w:rPr>
        <w:t>were</w:t>
      </w:r>
      <w:r w:rsidR="006573F3" w:rsidRPr="00A7473A">
        <w:rPr>
          <w:rFonts w:cs="Arial"/>
          <w:szCs w:val="20"/>
          <w:lang w:val="en-US" w:eastAsia="en-NZ"/>
        </w:rPr>
        <w:t xml:space="preserve"> </w:t>
      </w:r>
      <w:r w:rsidR="00A609A1" w:rsidRPr="00DB170D">
        <w:rPr>
          <w:rFonts w:cs="Arial"/>
          <w:color w:val="2A2A2A"/>
          <w:szCs w:val="20"/>
          <w:shd w:val="clear" w:color="auto" w:fill="FFFFFF"/>
        </w:rPr>
        <w:t xml:space="preserve">to </w:t>
      </w:r>
      <w:r w:rsidR="006573F3" w:rsidRPr="00DB170D">
        <w:rPr>
          <w:rFonts w:cs="Arial"/>
          <w:color w:val="2A2A2A"/>
          <w:szCs w:val="20"/>
          <w:shd w:val="clear" w:color="auto" w:fill="FFFFFF"/>
        </w:rPr>
        <w:t xml:space="preserve">prioritise future action on </w:t>
      </w:r>
      <w:r w:rsidR="00A609A1" w:rsidRPr="00DB170D">
        <w:rPr>
          <w:rFonts w:cs="Arial"/>
          <w:color w:val="2A2A2A"/>
          <w:szCs w:val="20"/>
          <w:shd w:val="clear" w:color="auto" w:fill="FFFFFF"/>
        </w:rPr>
        <w:t xml:space="preserve">the </w:t>
      </w:r>
      <w:r w:rsidR="00D171E0" w:rsidRPr="00DB170D">
        <w:rPr>
          <w:rFonts w:cs="Arial"/>
          <w:color w:val="2A2A2A"/>
          <w:szCs w:val="20"/>
          <w:shd w:val="clear" w:color="auto" w:fill="FFFFFF"/>
        </w:rPr>
        <w:t>importance</w:t>
      </w:r>
      <w:r w:rsidR="00A609A1" w:rsidRPr="00DB170D">
        <w:rPr>
          <w:rFonts w:cs="Arial"/>
          <w:color w:val="2A2A2A"/>
          <w:szCs w:val="20"/>
          <w:shd w:val="clear" w:color="auto" w:fill="FFFFFF"/>
        </w:rPr>
        <w:t xml:space="preserve"> of non-</w:t>
      </w:r>
      <w:r w:rsidR="00D171E0" w:rsidRPr="00DB170D">
        <w:rPr>
          <w:rFonts w:cs="Arial"/>
          <w:color w:val="2A2A2A"/>
          <w:szCs w:val="20"/>
          <w:shd w:val="clear" w:color="auto" w:fill="FFFFFF"/>
        </w:rPr>
        <w:t>medical</w:t>
      </w:r>
      <w:r w:rsidR="00A609A1" w:rsidRPr="00DB170D">
        <w:rPr>
          <w:rFonts w:cs="Arial"/>
          <w:color w:val="2A2A2A"/>
          <w:szCs w:val="20"/>
          <w:shd w:val="clear" w:color="auto" w:fill="FFFFFF"/>
        </w:rPr>
        <w:t xml:space="preserve"> prescribing </w:t>
      </w:r>
      <w:r w:rsidR="00A7473A" w:rsidRPr="00DB170D">
        <w:rPr>
          <w:rFonts w:cs="Arial"/>
          <w:color w:val="2A2A2A"/>
          <w:szCs w:val="20"/>
          <w:shd w:val="clear" w:color="auto" w:fill="FFFFFF"/>
        </w:rPr>
        <w:t xml:space="preserve">and </w:t>
      </w:r>
      <w:r w:rsidR="006573F3" w:rsidRPr="00DB170D">
        <w:rPr>
          <w:rFonts w:cs="Arial"/>
          <w:color w:val="2A2A2A"/>
          <w:szCs w:val="20"/>
          <w:shd w:val="clear" w:color="auto" w:fill="FFFFFF"/>
        </w:rPr>
        <w:t xml:space="preserve">include </w:t>
      </w:r>
      <w:r w:rsidR="00DB170D">
        <w:rPr>
          <w:rFonts w:cs="Arial"/>
          <w:color w:val="2A2A2A"/>
          <w:szCs w:val="20"/>
          <w:shd w:val="clear" w:color="auto" w:fill="FFFFFF"/>
        </w:rPr>
        <w:t>a</w:t>
      </w:r>
      <w:r w:rsidR="006573F3" w:rsidRPr="00DB170D">
        <w:rPr>
          <w:rFonts w:cs="Arial"/>
          <w:color w:val="2A2A2A"/>
          <w:szCs w:val="20"/>
          <w:shd w:val="clear" w:color="auto" w:fill="FFFFFF"/>
        </w:rPr>
        <w:t xml:space="preserve"> focus on organisational strategy for non-medical prescribing</w:t>
      </w:r>
      <w:r w:rsidR="007F64C3">
        <w:rPr>
          <w:rFonts w:cs="Arial"/>
          <w:color w:val="2A2A2A"/>
          <w:szCs w:val="20"/>
          <w:shd w:val="clear" w:color="auto" w:fill="FFFFFF"/>
        </w:rPr>
        <w:t>.</w:t>
      </w:r>
      <w:r w:rsidR="001629C0">
        <w:rPr>
          <w:rFonts w:cs="Arial"/>
          <w:color w:val="2A2A2A"/>
          <w:szCs w:val="20"/>
          <w:shd w:val="clear" w:color="auto" w:fill="FFFFFF"/>
        </w:rPr>
        <w:t xml:space="preserve"> </w:t>
      </w:r>
      <w:r w:rsidR="008B6F8A">
        <w:rPr>
          <w:rFonts w:cs="Arial"/>
          <w:color w:val="2A2A2A"/>
          <w:szCs w:val="20"/>
          <w:shd w:val="clear" w:color="auto" w:fill="FFFFFF"/>
        </w:rPr>
        <w:t xml:space="preserve">Ahpra and the NMBA have kept both the public and all healthcare professions </w:t>
      </w:r>
      <w:r w:rsidR="001435C1">
        <w:rPr>
          <w:rFonts w:cs="Arial"/>
          <w:color w:val="2A2A2A"/>
          <w:szCs w:val="20"/>
          <w:shd w:val="clear" w:color="auto" w:fill="FFFFFF"/>
        </w:rPr>
        <w:t xml:space="preserve">and organisations </w:t>
      </w:r>
      <w:r w:rsidR="008B6F8A">
        <w:rPr>
          <w:rFonts w:cs="Arial"/>
          <w:color w:val="2A2A2A"/>
          <w:szCs w:val="20"/>
          <w:shd w:val="clear" w:color="auto" w:fill="FFFFFF"/>
        </w:rPr>
        <w:t>informed about the</w:t>
      </w:r>
      <w:r w:rsidR="00BE35B9">
        <w:rPr>
          <w:rFonts w:cs="Arial"/>
          <w:color w:val="2A2A2A"/>
          <w:szCs w:val="20"/>
          <w:shd w:val="clear" w:color="auto" w:fill="FFFFFF"/>
        </w:rPr>
        <w:t xml:space="preserve"> progress of designated RN prescribing through</w:t>
      </w:r>
      <w:r w:rsidR="00FB5AF0">
        <w:rPr>
          <w:rFonts w:cs="Arial"/>
          <w:color w:val="2A2A2A"/>
          <w:szCs w:val="20"/>
          <w:shd w:val="clear" w:color="auto" w:fill="FFFFFF"/>
        </w:rPr>
        <w:t xml:space="preserve"> their newsletter,</w:t>
      </w:r>
      <w:r w:rsidR="00BE35B9">
        <w:rPr>
          <w:rFonts w:cs="Arial"/>
          <w:color w:val="2A2A2A"/>
          <w:szCs w:val="20"/>
          <w:shd w:val="clear" w:color="auto" w:fill="FFFFFF"/>
        </w:rPr>
        <w:t xml:space="preserve"> forums, social media </w:t>
      </w:r>
      <w:r w:rsidR="005D53A3">
        <w:rPr>
          <w:rFonts w:cs="Arial"/>
          <w:color w:val="2A2A2A"/>
          <w:szCs w:val="20"/>
          <w:shd w:val="clear" w:color="auto" w:fill="FFFFFF"/>
        </w:rPr>
        <w:t xml:space="preserve">and </w:t>
      </w:r>
      <w:r w:rsidR="00EC4AC9">
        <w:rPr>
          <w:rFonts w:cs="Arial"/>
          <w:color w:val="2A2A2A"/>
          <w:szCs w:val="20"/>
          <w:shd w:val="clear" w:color="auto" w:fill="FFFFFF"/>
        </w:rPr>
        <w:t xml:space="preserve">website </w:t>
      </w:r>
      <w:r w:rsidR="001435C1">
        <w:rPr>
          <w:rFonts w:cs="Arial"/>
          <w:color w:val="2A2A2A"/>
          <w:szCs w:val="20"/>
          <w:shd w:val="clear" w:color="auto" w:fill="FFFFFF"/>
        </w:rPr>
        <w:t xml:space="preserve">and through widespread </w:t>
      </w:r>
      <w:r w:rsidR="00D50B22">
        <w:rPr>
          <w:rFonts w:cs="Arial"/>
          <w:color w:val="2A2A2A"/>
          <w:szCs w:val="20"/>
          <w:shd w:val="clear" w:color="auto" w:fill="FFFFFF"/>
        </w:rPr>
        <w:t>consultation in</w:t>
      </w:r>
      <w:r w:rsidR="005D53A3">
        <w:rPr>
          <w:rFonts w:cs="Arial"/>
          <w:color w:val="2A2A2A"/>
          <w:szCs w:val="20"/>
          <w:shd w:val="clear" w:color="auto" w:fill="FFFFFF"/>
        </w:rPr>
        <w:t xml:space="preserve"> anticipation of this </w:t>
      </w:r>
      <w:r w:rsidR="00075D33">
        <w:rPr>
          <w:rFonts w:cs="Arial"/>
          <w:color w:val="2A2A2A"/>
          <w:szCs w:val="20"/>
          <w:shd w:val="clear" w:color="auto" w:fill="FFFFFF"/>
        </w:rPr>
        <w:t>important</w:t>
      </w:r>
      <w:r w:rsidR="005D53A3">
        <w:rPr>
          <w:rFonts w:cs="Arial"/>
          <w:color w:val="2A2A2A"/>
          <w:szCs w:val="20"/>
          <w:shd w:val="clear" w:color="auto" w:fill="FFFFFF"/>
        </w:rPr>
        <w:t xml:space="preserve"> </w:t>
      </w:r>
      <w:r w:rsidR="00AF0E9C">
        <w:rPr>
          <w:rFonts w:cs="Arial"/>
          <w:color w:val="2A2A2A"/>
          <w:szCs w:val="20"/>
          <w:shd w:val="clear" w:color="auto" w:fill="FFFFFF"/>
        </w:rPr>
        <w:t>change</w:t>
      </w:r>
      <w:r w:rsidR="00FF41E9">
        <w:rPr>
          <w:rFonts w:cs="Arial"/>
          <w:color w:val="2A2A2A"/>
          <w:szCs w:val="20"/>
          <w:shd w:val="clear" w:color="auto" w:fill="FFFFFF"/>
        </w:rPr>
        <w:t>.</w:t>
      </w:r>
    </w:p>
    <w:p w14:paraId="7F37984A" w14:textId="77777777" w:rsidR="00AF0E9C" w:rsidRDefault="00AF0E9C" w:rsidP="006573F3">
      <w:pPr>
        <w:rPr>
          <w:rFonts w:cs="Arial"/>
          <w:color w:val="2A2A2A"/>
          <w:szCs w:val="20"/>
          <w:shd w:val="clear" w:color="auto" w:fill="FFFFFF"/>
        </w:rPr>
      </w:pPr>
    </w:p>
    <w:p w14:paraId="318F8E4E" w14:textId="3830F08A" w:rsidR="00AF0E9C" w:rsidRPr="00A7473A" w:rsidRDefault="00AF0E9C" w:rsidP="006573F3">
      <w:pPr>
        <w:rPr>
          <w:rFonts w:cs="Arial"/>
          <w:szCs w:val="20"/>
          <w:lang w:val="en-US" w:eastAsia="en-NZ"/>
        </w:rPr>
      </w:pPr>
    </w:p>
    <w:p w14:paraId="29401F53" w14:textId="77777777" w:rsidR="006573F3" w:rsidRDefault="006573F3" w:rsidP="006573F3">
      <w:pPr>
        <w:pStyle w:val="AHPRAbody"/>
        <w:outlineLvl w:val="0"/>
      </w:pPr>
    </w:p>
    <w:p w14:paraId="15893B9F" w14:textId="1BFE7A7D" w:rsidR="003D69FD" w:rsidRDefault="003D69FD" w:rsidP="003D69FD">
      <w:pPr>
        <w:rPr>
          <w:lang w:val="en-US" w:eastAsia="en-NZ"/>
        </w:rPr>
      </w:pPr>
    </w:p>
    <w:p w14:paraId="1D329C4D" w14:textId="77777777" w:rsidR="0011732F" w:rsidRDefault="0011732F" w:rsidP="003D69FD">
      <w:pPr>
        <w:rPr>
          <w:lang w:val="en-US" w:eastAsia="en-NZ"/>
        </w:rPr>
      </w:pPr>
    </w:p>
    <w:p w14:paraId="4CC0F87C" w14:textId="77777777" w:rsidR="003D69FD" w:rsidRDefault="003D69FD" w:rsidP="003D69FD">
      <w:pPr>
        <w:pStyle w:val="AHPRAbody"/>
        <w:outlineLvl w:val="0"/>
      </w:pPr>
    </w:p>
    <w:p w14:paraId="3F9A57CB" w14:textId="7DD4BE35" w:rsidR="003D69FD" w:rsidRPr="00DB170D" w:rsidRDefault="003D69FD" w:rsidP="00DB170D">
      <w:pPr>
        <w:pStyle w:val="AHPRAbody"/>
        <w:outlineLvl w:val="0"/>
      </w:pPr>
      <w:r>
        <w:br w:type="page"/>
      </w:r>
    </w:p>
    <w:p w14:paraId="24E2DC04" w14:textId="77777777" w:rsidR="00925A7A" w:rsidRDefault="00925A7A" w:rsidP="00FA18D9">
      <w:pPr>
        <w:pStyle w:val="AHPRAbody"/>
        <w:outlineLvl w:val="0"/>
      </w:pPr>
    </w:p>
    <w:p w14:paraId="561835CC" w14:textId="77777777" w:rsidR="00925A7A" w:rsidRPr="002612BB" w:rsidRDefault="00925A7A" w:rsidP="00925A7A">
      <w:pPr>
        <w:pStyle w:val="AHPRAbodybold"/>
      </w:pPr>
      <w:r w:rsidRPr="002612BB">
        <w:t>How Designated RN Prescribing will work in Practice in Australia</w:t>
      </w:r>
    </w:p>
    <w:p w14:paraId="79D4AEBE" w14:textId="77777777" w:rsidR="00925A7A" w:rsidRDefault="00925A7A" w:rsidP="00925A7A">
      <w:pPr>
        <w:pStyle w:val="AHPRAbody"/>
        <w:outlineLvl w:val="0"/>
      </w:pPr>
      <w:r w:rsidRPr="002612BB">
        <w:t xml:space="preserve">This option proposes that suitably educated, qualified and </w:t>
      </w:r>
      <w:r>
        <w:t xml:space="preserve">authorised RNs could expand their scope of practice to prescribe scheduled medicines 2, 3, 4 and 8. To give effect to this option in accordance with the National Law, the NMBA would bring forward the proposed </w:t>
      </w:r>
      <w:r w:rsidRPr="00832FC4">
        <w:rPr>
          <w:iCs/>
        </w:rPr>
        <w:t>Registration standard: Endorsement for scheduled medicines − designated registered nurse prescriber</w:t>
      </w:r>
      <w:r>
        <w:t xml:space="preserve"> (proposed registration standard) to Health Ministers for approval. RNs with this endorsement would be called designated RN prescribers.  </w:t>
      </w:r>
    </w:p>
    <w:p w14:paraId="6F40B4D8" w14:textId="77777777" w:rsidR="00925A7A" w:rsidRDefault="00925A7A" w:rsidP="00925A7A">
      <w:pPr>
        <w:pStyle w:val="AHPRAbody"/>
        <w:outlineLvl w:val="0"/>
      </w:pPr>
      <w:r>
        <w:t xml:space="preserve">This would enable RNs who are appropriately educated and qualified to prescribe with limited authorisation that is determined by legislation, requirements of the National Board, policies of the jurisdiction, employer or health service and is within their scope of practice under the designation/supervision of an authorised nurse practitioner or medical practitioner. </w:t>
      </w:r>
    </w:p>
    <w:p w14:paraId="2066AC32" w14:textId="77777777" w:rsidR="00925A7A" w:rsidRPr="00513641" w:rsidRDefault="00925A7A" w:rsidP="00925A7A">
      <w:pPr>
        <w:pStyle w:val="AHPRAbody"/>
        <w:outlineLvl w:val="0"/>
        <w:rPr>
          <w:vertAlign w:val="superscript"/>
        </w:rPr>
      </w:pPr>
      <w:r w:rsidRPr="5AA7423A">
        <w:rPr>
          <w:rFonts w:cstheme="minorBidi"/>
        </w:rPr>
        <w:t>Nurse practitioners in Australia prescribe autonomously under HPPP Model 1. There are also RNs who initiate listed medications according to standing orders or initiate medications according to specific protocols under HPPP Model 3</w:t>
      </w:r>
      <w:r>
        <w:t xml:space="preserve"> − </w:t>
      </w:r>
      <w:r w:rsidRPr="5AA7423A">
        <w:rPr>
          <w:rFonts w:cstheme="minorBidi"/>
        </w:rPr>
        <w:t>Prescribing via a structured prescribing arrangement. This commonly occurs in emergency departments, areas of practice where there is the absence of a nurse practitioner or medical practitioner and in rural and remote locations. There is no standardisation or nationally consistent regulated requirements for this education, and training</w:t>
      </w:r>
      <w:r>
        <w:t xml:space="preserve"> and certification varies across jurisdictions as well as between health organisations. </w:t>
      </w:r>
      <w:r w:rsidRPr="00513641">
        <w:rPr>
          <w:vertAlign w:val="superscript"/>
        </w:rPr>
        <w:t>(16)</w:t>
      </w:r>
    </w:p>
    <w:p w14:paraId="1DE8B908" w14:textId="77777777" w:rsidR="00925A7A" w:rsidRDefault="00925A7A" w:rsidP="00925A7A">
      <w:pPr>
        <w:pStyle w:val="AHPRAbody"/>
        <w:outlineLvl w:val="0"/>
      </w:pPr>
      <w:r>
        <w:t xml:space="preserve">The key focus of the proposed </w:t>
      </w:r>
      <w:r w:rsidRPr="00A20EB3">
        <w:t>Registration standard:</w:t>
      </w:r>
      <w:r w:rsidRPr="0099433A">
        <w:t xml:space="preserve"> </w:t>
      </w:r>
      <w:r w:rsidRPr="00A20EB3">
        <w:t>Endorsement for scheduled medicines − designated registered nurse prescriber</w:t>
      </w:r>
      <w:r w:rsidRPr="0099433A">
        <w:t xml:space="preserve"> </w:t>
      </w:r>
      <w:r>
        <w:t xml:space="preserve">is that it promotes safe, timely and improved access to medicines for communities, and promotes workforce flexibility to meet consumer needs.  </w:t>
      </w:r>
    </w:p>
    <w:p w14:paraId="040F2A99" w14:textId="77777777" w:rsidR="00925A7A" w:rsidRDefault="00925A7A" w:rsidP="00925A7A">
      <w:pPr>
        <w:spacing w:after="36" w:line="247" w:lineRule="auto"/>
        <w:ind w:left="-13" w:right="50"/>
        <w:outlineLvl w:val="0"/>
      </w:pPr>
      <w:r>
        <w:t xml:space="preserve">In addition to the registration standard, proposed </w:t>
      </w:r>
      <w:r w:rsidRPr="00A20EB3">
        <w:rPr>
          <w:iCs/>
        </w:rPr>
        <w:t>Guidelines: For registered nurses applying for and with the endorsement for scheduled medicines − designated registered nurse prescriber</w:t>
      </w:r>
      <w:r>
        <w:t xml:space="preserve"> (proposed guidelines) set clear requirements for the establishment of this proposed model of prescribing. The proposed guidelines set out elements that support safe and effective prescribing practices, including the requirement for a prescribing agreement between the designated RN prescriber and authorised health practitioner, that details the scope of prescribing practice and clearly establishes the responsibility and accountability of the designated RN prescriber and the authorised health practitioner.  </w:t>
      </w:r>
    </w:p>
    <w:p w14:paraId="54E1D605" w14:textId="77777777" w:rsidR="00925A7A" w:rsidRPr="0075223F" w:rsidRDefault="00925A7A" w:rsidP="00925A7A">
      <w:pPr>
        <w:pStyle w:val="AHPRASubheadinglevel2"/>
        <w:outlineLvl w:val="0"/>
      </w:pPr>
      <w:bookmarkStart w:id="91" w:name="_Toc164692746"/>
      <w:r w:rsidRPr="0075223F">
        <w:t>Key elements of proposed guidelines are:</w:t>
      </w:r>
      <w:bookmarkEnd w:id="91"/>
      <w:r w:rsidRPr="0075223F">
        <w:t xml:space="preserve"> </w:t>
      </w:r>
    </w:p>
    <w:p w14:paraId="76DC5E9F" w14:textId="77777777" w:rsidR="00925A7A" w:rsidRDefault="00925A7A" w:rsidP="00925A7A">
      <w:pPr>
        <w:pStyle w:val="AHPRABulletlevel1"/>
        <w:outlineLvl w:val="0"/>
      </w:pPr>
      <w:r>
        <w:t xml:space="preserve">the designated RN prescriber and authorised health practitioner work together in partnership in the provision of healthcare under the designated RN prescriber partnership agreement and clinical governance frameworks established by the organisation or employer. </w:t>
      </w:r>
    </w:p>
    <w:p w14:paraId="7F26EDAC" w14:textId="77777777" w:rsidR="00925A7A" w:rsidRDefault="00925A7A" w:rsidP="00925A7A">
      <w:pPr>
        <w:pStyle w:val="AHPRABulletlevel1"/>
        <w:outlineLvl w:val="0"/>
      </w:pPr>
      <w:r>
        <w:t xml:space="preserve">the designated RN prescriber is educated to make diagnostic and treatment decisions within their level of competence and scope of practice according to the proposed registration standards – endorsement for schedule medicines – designated registered nurse prescriber and the agreed clinical governance framework in place to support the model of prescribing. </w:t>
      </w:r>
    </w:p>
    <w:p w14:paraId="1378DFB1" w14:textId="77777777" w:rsidR="00925A7A" w:rsidRDefault="00925A7A" w:rsidP="00925A7A">
      <w:pPr>
        <w:pStyle w:val="AHPRABulletlevel1"/>
        <w:outlineLvl w:val="0"/>
      </w:pPr>
      <w:r>
        <w:t xml:space="preserve">the designated RN prescriber will be responsible for seeking guidance and/or referring people when their care is outside their agreed governance framework or scope of practice.  </w:t>
      </w:r>
    </w:p>
    <w:p w14:paraId="1F2A34B0" w14:textId="77777777" w:rsidR="00925A7A" w:rsidRDefault="00925A7A" w:rsidP="00925A7A">
      <w:pPr>
        <w:pStyle w:val="AHPRABulletlevel1"/>
        <w:outlineLvl w:val="0"/>
      </w:pPr>
      <w:r>
        <w:t xml:space="preserve">the designated RN prescriber is responsible and accountable for the prescribing decisions they make and are expected to understand, apply, and comply with these guidelines and the requirements of the registration standard, prescribing agreement and clinical governance framework and policies and procedures of the organisation or employer. </w:t>
      </w:r>
    </w:p>
    <w:p w14:paraId="3133FDEF" w14:textId="77777777" w:rsidR="00925A7A" w:rsidRDefault="00925A7A" w:rsidP="00925A7A">
      <w:pPr>
        <w:pStyle w:val="AHPRABulletlevel1"/>
        <w:outlineLvl w:val="0"/>
      </w:pPr>
      <w:r>
        <w:t xml:space="preserve">the authorised health practitioner is responsible for working with the designated RN prescriber in accordance with the clinical governance framework and must be aware of the designated RN prescriber’s scope of practice with regards to prescribing under supervision. Organisations and employers may be guided by the NMBA’s </w:t>
      </w:r>
      <w:r w:rsidRPr="25E6885C">
        <w:rPr>
          <w:i/>
          <w:iCs/>
        </w:rPr>
        <w:t>Supervised practice framework</w:t>
      </w:r>
      <w:r>
        <w:t xml:space="preserve"> when determining supervision in prescribing agreements. The framework set out the principles that are central to safe and effective supervision.  </w:t>
      </w:r>
    </w:p>
    <w:p w14:paraId="32A183EE" w14:textId="77777777" w:rsidR="00925A7A" w:rsidRDefault="00925A7A" w:rsidP="00925A7A">
      <w:pPr>
        <w:pStyle w:val="AHPRABulletlevel1last"/>
        <w:outlineLvl w:val="0"/>
      </w:pPr>
      <w:r>
        <w:t xml:space="preserve">the authorised health practitioner is expected to collaborate with the designated RN prescriber when the people in their care are outside the designated RN prescriber’s scope of practice.  </w:t>
      </w:r>
    </w:p>
    <w:p w14:paraId="794F0D96" w14:textId="77777777" w:rsidR="00925A7A" w:rsidRPr="00822365" w:rsidRDefault="00925A7A" w:rsidP="00925A7A">
      <w:pPr>
        <w:pStyle w:val="AHPRASubheadinglevel2"/>
        <w:outlineLvl w:val="0"/>
        <w:rPr>
          <w:bCs/>
        </w:rPr>
      </w:pPr>
      <w:bookmarkStart w:id="92" w:name="_Toc164692747"/>
      <w:r w:rsidRPr="00822365">
        <w:t>What is designated nurse prescribing?</w:t>
      </w:r>
      <w:bookmarkEnd w:id="92"/>
      <w:r w:rsidRPr="00822365">
        <w:t xml:space="preserve">  </w:t>
      </w:r>
    </w:p>
    <w:p w14:paraId="68C9224F" w14:textId="77777777" w:rsidR="00925A7A" w:rsidRDefault="00925A7A" w:rsidP="00925A7A">
      <w:pPr>
        <w:pStyle w:val="AHPRAbody"/>
        <w:outlineLvl w:val="0"/>
      </w:pPr>
      <w:r>
        <w:lastRenderedPageBreak/>
        <w:t xml:space="preserve">Designated nurse prescribing would occur when an RN with an endorsement for scheduled medicines undertakes prescribing within their scope of practice and their clinical context in which they are working under the designation/supervision of another authorised health practitioner and within the context of a </w:t>
      </w:r>
      <w:r w:rsidRPr="00A20EB3">
        <w:rPr>
          <w:bCs/>
        </w:rPr>
        <w:t>governance framework</w:t>
      </w:r>
      <w:r>
        <w:t xml:space="preserve">. Designated RN prescribers must have additional formal education and a period of supervision to develop clinical decision making and critical thinking skills when making prescribing decisions.  </w:t>
      </w:r>
    </w:p>
    <w:p w14:paraId="0736236B" w14:textId="77777777" w:rsidR="00925A7A" w:rsidRDefault="00925A7A" w:rsidP="00925A7A">
      <w:pPr>
        <w:pStyle w:val="AHPRAbody"/>
        <w:outlineLvl w:val="0"/>
      </w:pPr>
      <w:r>
        <w:t xml:space="preserve">Under this option, all RNs can seek to become endorsed as a designated RN prescriber. Whilst the NMBA expects that not all RNs will undertake the necessary education to enable them to apply for the endorsement as a designated RN prescriber, research recently undertaken in 2022 in Australia reported that most Australian nurses demonstrated the preparedness to embrace the role of prescribing under supervision. </w:t>
      </w:r>
      <w:r>
        <w:rPr>
          <w:vertAlign w:val="superscript"/>
        </w:rPr>
        <w:t>(33)</w:t>
      </w:r>
      <w:r>
        <w:t xml:space="preserve"> </w:t>
      </w:r>
    </w:p>
    <w:p w14:paraId="42F976DE" w14:textId="77777777" w:rsidR="00925A7A" w:rsidRDefault="00925A7A" w:rsidP="00925A7A">
      <w:pPr>
        <w:pStyle w:val="AHPRAbody"/>
        <w:outlineLvl w:val="0"/>
      </w:pPr>
      <w:r>
        <w:t xml:space="preserve">The designated RN prescriber would:  </w:t>
      </w:r>
    </w:p>
    <w:p w14:paraId="775208EC" w14:textId="77777777" w:rsidR="00925A7A" w:rsidRDefault="00925A7A" w:rsidP="00925A7A">
      <w:pPr>
        <w:pStyle w:val="AHPRABulletlevel1"/>
        <w:outlineLvl w:val="0"/>
      </w:pPr>
      <w:r>
        <w:t xml:space="preserve">have the authorisation to prescribe scheduled medicines under the designation/supervision of an authorised registered health practitioner (a medical practitioner or nurse practitioner) in accordance with relevant state and territory drugs and poisons legislation  </w:t>
      </w:r>
    </w:p>
    <w:p w14:paraId="212D439E" w14:textId="77777777" w:rsidR="00925A7A" w:rsidRDefault="00925A7A" w:rsidP="00925A7A">
      <w:pPr>
        <w:pStyle w:val="AHPRABulletlevel1"/>
        <w:outlineLvl w:val="0"/>
      </w:pPr>
      <w:r>
        <w:t xml:space="preserve">be required to meet the requirements of the designated registered nurse prescriber endorsement, as set out by the NMBA’s proposed registration standard (at </w:t>
      </w:r>
      <w:hyperlink w:anchor="AppendixA" w:history="1">
        <w:r w:rsidRPr="0074207D">
          <w:rPr>
            <w:rStyle w:val="Hyperlink"/>
          </w:rPr>
          <w:t>Appendix A</w:t>
        </w:r>
      </w:hyperlink>
      <w:r>
        <w:t xml:space="preserve">) with supporting guidance outlined in the proposed guidelines (at </w:t>
      </w:r>
      <w:hyperlink w:anchor="AppendixB" w:history="1">
        <w:r w:rsidRPr="0074207D">
          <w:rPr>
            <w:rStyle w:val="Hyperlink"/>
          </w:rPr>
          <w:t>Appendix B</w:t>
        </w:r>
      </w:hyperlink>
      <w:r>
        <w:t xml:space="preserve">). </w:t>
      </w:r>
    </w:p>
    <w:p w14:paraId="6087BDDE" w14:textId="77777777" w:rsidR="00925A7A" w:rsidRDefault="00925A7A" w:rsidP="00925A7A">
      <w:pPr>
        <w:pStyle w:val="AHPRABulletlevel1"/>
        <w:outlineLvl w:val="0"/>
      </w:pPr>
      <w:r>
        <w:t xml:space="preserve">be responsible and accountable for prescribing within their scope of practice within the clinical governance framework and prescribing agreement set out by the organisation or employer </w:t>
      </w:r>
    </w:p>
    <w:p w14:paraId="528BD3B3" w14:textId="77777777" w:rsidR="00925A7A" w:rsidRDefault="00925A7A" w:rsidP="00925A7A">
      <w:pPr>
        <w:pStyle w:val="AHPRABulletlevel1last"/>
        <w:outlineLvl w:val="0"/>
      </w:pPr>
      <w:r>
        <w:t xml:space="preserve">be required to meet any relevant prescribing policies of the jurisdiction, employer and/or health service </w:t>
      </w:r>
    </w:p>
    <w:p w14:paraId="59456300" w14:textId="77777777" w:rsidR="00925A7A" w:rsidRDefault="00925A7A" w:rsidP="00925A7A">
      <w:pPr>
        <w:pStyle w:val="AHPRASubheadinglevel2"/>
        <w:outlineLvl w:val="0"/>
        <w:rPr>
          <w:bCs/>
        </w:rPr>
      </w:pPr>
      <w:bookmarkStart w:id="93" w:name="_Toc164692748"/>
      <w:r w:rsidRPr="00822365">
        <w:t>How would the model work?</w:t>
      </w:r>
      <w:bookmarkEnd w:id="93"/>
      <w:r w:rsidRPr="00822365">
        <w:t xml:space="preserve"> </w:t>
      </w:r>
    </w:p>
    <w:p w14:paraId="55F3E332" w14:textId="77777777" w:rsidR="00925A7A" w:rsidRPr="00D93F71" w:rsidRDefault="00925A7A" w:rsidP="00925A7A">
      <w:pPr>
        <w:pStyle w:val="AHPRAbody"/>
        <w:outlineLvl w:val="0"/>
        <w:rPr>
          <w:bCs/>
        </w:rPr>
      </w:pPr>
      <w:r>
        <w:t xml:space="preserve">The designated RN prescriber would be required to work in accordance with a </w:t>
      </w:r>
      <w:r w:rsidRPr="00A20EB3">
        <w:rPr>
          <w:bCs/>
        </w:rPr>
        <w:t>governance framework</w:t>
      </w:r>
      <w:r w:rsidRPr="00D93F71">
        <w:rPr>
          <w:bCs/>
        </w:rPr>
        <w:t xml:space="preserve">, which includes the requirement for a </w:t>
      </w:r>
      <w:r w:rsidRPr="00A20EB3">
        <w:rPr>
          <w:bCs/>
        </w:rPr>
        <w:t>prescribing agreement</w:t>
      </w:r>
      <w:r w:rsidRPr="00D93F71">
        <w:rPr>
          <w:bCs/>
        </w:rPr>
        <w:t xml:space="preserve"> with an authorised health practitioner.</w:t>
      </w:r>
    </w:p>
    <w:p w14:paraId="085FDA19" w14:textId="77777777" w:rsidR="00925A7A" w:rsidRDefault="00925A7A" w:rsidP="00925A7A">
      <w:pPr>
        <w:pStyle w:val="AHPRASubheadinglevel3"/>
        <w:outlineLvl w:val="0"/>
        <w:rPr>
          <w:bCs/>
        </w:rPr>
      </w:pPr>
      <w:r w:rsidRPr="00822365">
        <w:t xml:space="preserve">Governance framework </w:t>
      </w:r>
    </w:p>
    <w:p w14:paraId="603E97E5" w14:textId="77777777" w:rsidR="00925A7A" w:rsidRDefault="00925A7A" w:rsidP="00925A7A">
      <w:pPr>
        <w:pStyle w:val="AHPRAbody"/>
        <w:outlineLvl w:val="0"/>
      </w:pPr>
      <w:r>
        <w:t xml:space="preserve">The governance framework establishes the requirements of the designated RN prescriber, the authorised health practitioner and the employer to enable safe and effective RN prescribing across organisations. The elements of the governance framework to be developed by organisations and employers and tailored to the context of care would include: </w:t>
      </w:r>
    </w:p>
    <w:p w14:paraId="5C56097A" w14:textId="77777777" w:rsidR="00925A7A" w:rsidRDefault="00925A7A" w:rsidP="00925A7A">
      <w:pPr>
        <w:pStyle w:val="AHPRABulletlevel1"/>
        <w:outlineLvl w:val="0"/>
      </w:pPr>
      <w:r>
        <w:t xml:space="preserve">a multidisciplinary medicines advisory committee to provide expert advice and guidance on designated prescribing policies, guidelines, and procedures </w:t>
      </w:r>
    </w:p>
    <w:p w14:paraId="6BB66CA0" w14:textId="77777777" w:rsidR="00925A7A" w:rsidRDefault="00925A7A" w:rsidP="00925A7A">
      <w:pPr>
        <w:pStyle w:val="AHPRABulletlevel1"/>
        <w:outlineLvl w:val="0"/>
      </w:pPr>
      <w:r>
        <w:t xml:space="preserve">establishment, approval, and review of medications the endorsed RN is authorised to prescribe, including specific details of the inclusion of schedule 8 medicines.  </w:t>
      </w:r>
    </w:p>
    <w:p w14:paraId="50723820" w14:textId="77777777" w:rsidR="00925A7A" w:rsidRDefault="00925A7A" w:rsidP="00925A7A">
      <w:pPr>
        <w:pStyle w:val="AHPRABulletlevel1"/>
        <w:outlineLvl w:val="0"/>
      </w:pPr>
      <w:r>
        <w:t>development of the prescribing agreement, which must include details of the initial 6-month clinical supervision</w:t>
      </w:r>
    </w:p>
    <w:p w14:paraId="48E00329" w14:textId="77777777" w:rsidR="00925A7A" w:rsidRDefault="00925A7A" w:rsidP="00925A7A">
      <w:pPr>
        <w:pStyle w:val="AHPRABulletlevel1"/>
        <w:outlineLvl w:val="0"/>
      </w:pPr>
      <w:r>
        <w:t xml:space="preserve">organisational policies related to designated prescribing </w:t>
      </w:r>
    </w:p>
    <w:p w14:paraId="54E60613" w14:textId="77777777" w:rsidR="00925A7A" w:rsidRDefault="00925A7A" w:rsidP="00925A7A">
      <w:pPr>
        <w:pStyle w:val="AHPRABulletlevel1"/>
        <w:outlineLvl w:val="0"/>
      </w:pPr>
      <w:r>
        <w:t xml:space="preserve">risk management systems and processes for adverse event reporting, incident reporting, reporting of near misses and medication errors </w:t>
      </w:r>
    </w:p>
    <w:p w14:paraId="1783DA00" w14:textId="77777777" w:rsidR="00925A7A" w:rsidRDefault="00925A7A" w:rsidP="00925A7A">
      <w:pPr>
        <w:pStyle w:val="AHPRABulletlevel1"/>
        <w:outlineLvl w:val="0"/>
      </w:pPr>
      <w:r>
        <w:t xml:space="preserve">processes for monitoring, review, and audit of prescribing practices, and  </w:t>
      </w:r>
    </w:p>
    <w:p w14:paraId="384EF656" w14:textId="77777777" w:rsidR="00925A7A" w:rsidRDefault="00925A7A" w:rsidP="00925A7A">
      <w:pPr>
        <w:pStyle w:val="AHPRABulletlevel1last"/>
        <w:outlineLvl w:val="0"/>
      </w:pPr>
      <w:r>
        <w:t xml:space="preserve">processes for communicating the prescribing agreement with other health practitioners and consumers. </w:t>
      </w:r>
    </w:p>
    <w:p w14:paraId="484D0DE5" w14:textId="77777777" w:rsidR="00925A7A" w:rsidRDefault="00925A7A" w:rsidP="00925A7A">
      <w:pPr>
        <w:pStyle w:val="AHPRASubheadinglevel3"/>
        <w:outlineLvl w:val="0"/>
        <w:rPr>
          <w:bCs/>
        </w:rPr>
      </w:pPr>
      <w:r w:rsidRPr="003C577A">
        <w:t xml:space="preserve">Prescribing agreement </w:t>
      </w:r>
    </w:p>
    <w:p w14:paraId="4F1ADD10" w14:textId="77777777" w:rsidR="00925A7A" w:rsidRDefault="00925A7A" w:rsidP="00925A7A">
      <w:pPr>
        <w:pStyle w:val="AHPRAbody"/>
        <w:outlineLvl w:val="0"/>
      </w:pPr>
      <w:r>
        <w:t xml:space="preserve">The prescribing agreement is a key document for the designated prescribing model. It is a written agreement between the designated RN prescriber and the authorised health practitioner and approved by the health organisation/service or employer. This should be retained by the health organisation/service, reviewed regularly, and be subject to audit by the NMBA. Details of the prescribing arrangement must clearly document the role of both the designated RN prescriber and the authorised health practitioner. The prescribing authority may vary according to the health organisation/facility, prescribing agreement and the specific clinical context of its application and must include: </w:t>
      </w:r>
    </w:p>
    <w:p w14:paraId="549F849B" w14:textId="77777777" w:rsidR="00925A7A" w:rsidRDefault="00925A7A" w:rsidP="00925A7A">
      <w:pPr>
        <w:pStyle w:val="AHPRABulletlevel1"/>
        <w:outlineLvl w:val="0"/>
      </w:pPr>
      <w:r>
        <w:t xml:space="preserve">roles and responsibilities of both the designated RN prescriber and authorised health practitioner </w:t>
      </w:r>
    </w:p>
    <w:p w14:paraId="06AF0754" w14:textId="77777777" w:rsidR="00925A7A" w:rsidRDefault="00925A7A" w:rsidP="00925A7A">
      <w:pPr>
        <w:pStyle w:val="AHPRABulletlevel1"/>
        <w:outlineLvl w:val="0"/>
      </w:pPr>
      <w:r>
        <w:t xml:space="preserve">clients and/or conditions within the scope of prescribing practice of the designated RN prescriber </w:t>
      </w:r>
    </w:p>
    <w:p w14:paraId="03B8CCE7" w14:textId="77777777" w:rsidR="00925A7A" w:rsidRDefault="00925A7A" w:rsidP="00925A7A">
      <w:pPr>
        <w:pStyle w:val="AHPRABulletlevel1"/>
        <w:outlineLvl w:val="0"/>
      </w:pPr>
      <w:r>
        <w:lastRenderedPageBreak/>
        <w:t xml:space="preserve">medical conditions for which the designated RN prescriber has authority to prescribe </w:t>
      </w:r>
    </w:p>
    <w:p w14:paraId="639973E9" w14:textId="77777777" w:rsidR="00925A7A" w:rsidRDefault="00925A7A" w:rsidP="00925A7A">
      <w:pPr>
        <w:pStyle w:val="AHPRABulletlevel1"/>
        <w:outlineLvl w:val="0"/>
      </w:pPr>
      <w:r>
        <w:t xml:space="preserve">medicines that the designated RN prescriber is authorised to prescribe; where schedule 8 medicines are included specific details must be outlined including a risk analysis </w:t>
      </w:r>
    </w:p>
    <w:p w14:paraId="1100A21D" w14:textId="77777777" w:rsidR="00925A7A" w:rsidRDefault="00925A7A" w:rsidP="00925A7A">
      <w:pPr>
        <w:pStyle w:val="AHPRABulletlevel1"/>
        <w:outlineLvl w:val="0"/>
      </w:pPr>
      <w:r>
        <w:t xml:space="preserve">responsibility for aspects of care regarding diagnosis and associated prescribing  </w:t>
      </w:r>
    </w:p>
    <w:p w14:paraId="6057FEA9" w14:textId="77777777" w:rsidR="00925A7A" w:rsidRDefault="00925A7A" w:rsidP="00925A7A">
      <w:pPr>
        <w:pStyle w:val="AHPRABulletlevel1"/>
        <w:outlineLvl w:val="0"/>
      </w:pPr>
      <w:r>
        <w:t xml:space="preserve">clearly documented processes for consultation and referral including provisions where proximity and/or availability of the authorised health practitioner to the designated RN prescriber may need consideration </w:t>
      </w:r>
    </w:p>
    <w:p w14:paraId="2AD18837" w14:textId="77777777" w:rsidR="00925A7A" w:rsidRDefault="00925A7A" w:rsidP="00925A7A">
      <w:pPr>
        <w:pStyle w:val="AHPRABulletlevel1"/>
        <w:outlineLvl w:val="0"/>
      </w:pPr>
      <w:r>
        <w:t xml:space="preserve">arrangements where the agreement is with multiple authorised health practitioners </w:t>
      </w:r>
    </w:p>
    <w:p w14:paraId="43637242" w14:textId="77777777" w:rsidR="00925A7A" w:rsidRDefault="00925A7A" w:rsidP="00925A7A">
      <w:pPr>
        <w:pStyle w:val="AHPRABulletlevel1"/>
        <w:outlineLvl w:val="0"/>
      </w:pPr>
      <w:r>
        <w:t xml:space="preserve">a plan for regular review (at least annually)  </w:t>
      </w:r>
    </w:p>
    <w:p w14:paraId="5923245E" w14:textId="77777777" w:rsidR="00925A7A" w:rsidRDefault="00925A7A" w:rsidP="00925A7A">
      <w:pPr>
        <w:pStyle w:val="AHPRABulletlevel1"/>
        <w:outlineLvl w:val="0"/>
      </w:pPr>
      <w:r>
        <w:t xml:space="preserve">a process for monitoring and audit of designated RN prescribing </w:t>
      </w:r>
    </w:p>
    <w:p w14:paraId="3437148C" w14:textId="77777777" w:rsidR="00925A7A" w:rsidRDefault="00925A7A" w:rsidP="00925A7A">
      <w:pPr>
        <w:pStyle w:val="AHPRABulletlevel1last"/>
        <w:outlineLvl w:val="0"/>
      </w:pPr>
      <w:r>
        <w:t xml:space="preserve">processes for resolving or escalating of differences of opinions </w:t>
      </w:r>
    </w:p>
    <w:p w14:paraId="401C1600" w14:textId="77777777" w:rsidR="00925A7A" w:rsidRPr="003C577A" w:rsidRDefault="00925A7A" w:rsidP="00925A7A">
      <w:pPr>
        <w:pStyle w:val="AHPRASubheadinglevel2"/>
        <w:outlineLvl w:val="0"/>
        <w:rPr>
          <w:bCs/>
        </w:rPr>
      </w:pPr>
      <w:bookmarkStart w:id="94" w:name="_Toc164692749"/>
      <w:r w:rsidRPr="003C577A">
        <w:t>Requirements for registration standard for endorsement</w:t>
      </w:r>
      <w:bookmarkEnd w:id="94"/>
      <w:r w:rsidRPr="003C577A">
        <w:t xml:space="preserve"> </w:t>
      </w:r>
    </w:p>
    <w:p w14:paraId="1084E15C" w14:textId="77777777" w:rsidR="00925A7A" w:rsidRDefault="00925A7A" w:rsidP="00925A7A">
      <w:pPr>
        <w:pStyle w:val="AHPRAbody"/>
        <w:outlineLvl w:val="0"/>
      </w:pPr>
      <w:r>
        <w:t>RNs must be able to demonstrate that they meet the following requirements of the registration standard for application for endorsement:</w:t>
      </w:r>
    </w:p>
    <w:p w14:paraId="54C6345A" w14:textId="77777777" w:rsidR="00925A7A" w:rsidRDefault="00925A7A" w:rsidP="00925A7A">
      <w:pPr>
        <w:pStyle w:val="AHPRANumberedlistlevel1withspace"/>
        <w:numPr>
          <w:ilvl w:val="0"/>
          <w:numId w:val="45"/>
        </w:numPr>
        <w:spacing w:after="0"/>
        <w:outlineLvl w:val="0"/>
      </w:pPr>
      <w:r>
        <w:t xml:space="preserve">Current general registration as an RN in Australia with no conditions or undertakings relevant to this endorsement. </w:t>
      </w:r>
    </w:p>
    <w:p w14:paraId="52D347CC" w14:textId="77777777" w:rsidR="00925A7A" w:rsidRDefault="00925A7A" w:rsidP="00925A7A">
      <w:pPr>
        <w:pStyle w:val="AHPRANumberedlistlevel1withspace"/>
        <w:numPr>
          <w:ilvl w:val="0"/>
          <w:numId w:val="45"/>
        </w:numPr>
        <w:spacing w:after="0"/>
        <w:outlineLvl w:val="0"/>
      </w:pPr>
      <w:r>
        <w:t xml:space="preserve">The equivalent of three years’ full-time post initial registration clinical experience (5,000 hours) within the past six years, from the date when the complete application seeking endorsement as a designated RN prescriber is received by the NMBA. </w:t>
      </w:r>
    </w:p>
    <w:p w14:paraId="0E76348E" w14:textId="77777777" w:rsidR="00925A7A" w:rsidRDefault="00925A7A" w:rsidP="00925A7A">
      <w:pPr>
        <w:pStyle w:val="AHPRANumberedlistlevel1"/>
        <w:numPr>
          <w:ilvl w:val="0"/>
          <w:numId w:val="45"/>
        </w:numPr>
        <w:outlineLvl w:val="0"/>
      </w:pPr>
      <w:r>
        <w:t xml:space="preserve">Successful completion of: </w:t>
      </w:r>
    </w:p>
    <w:p w14:paraId="30AA5E9A" w14:textId="77777777" w:rsidR="00FC2ADA" w:rsidRDefault="00FC2ADA" w:rsidP="00FC2ADA">
      <w:pPr>
        <w:pStyle w:val="AHPRANumberedlistlevel1"/>
        <w:numPr>
          <w:ilvl w:val="0"/>
          <w:numId w:val="0"/>
        </w:numPr>
        <w:ind w:left="369"/>
        <w:outlineLvl w:val="0"/>
      </w:pPr>
    </w:p>
    <w:p w14:paraId="67CADE16" w14:textId="77777777" w:rsidR="00925A7A" w:rsidRDefault="00925A7A" w:rsidP="00925A7A">
      <w:pPr>
        <w:pStyle w:val="AHPRABody1"/>
        <w:numPr>
          <w:ilvl w:val="0"/>
          <w:numId w:val="46"/>
        </w:numPr>
      </w:pPr>
      <w:r w:rsidRPr="002612BB">
        <w:t xml:space="preserve">NMBA-approved units of study leading to endorsement for scheduled medicines as a designated RN prescriber, or </w:t>
      </w:r>
    </w:p>
    <w:p w14:paraId="4DEA66D0" w14:textId="77777777" w:rsidR="00FC2ADA" w:rsidRDefault="00FC2ADA" w:rsidP="00FC2ADA">
      <w:pPr>
        <w:pStyle w:val="AHPRABody1"/>
        <w:ind w:left="368"/>
      </w:pPr>
    </w:p>
    <w:p w14:paraId="58ACFBAE" w14:textId="5941327C" w:rsidR="00FA18D9" w:rsidRDefault="009E01A4" w:rsidP="00FC2ADA">
      <w:pPr>
        <w:pStyle w:val="AHPRAbody"/>
        <w:ind w:left="368"/>
        <w:outlineLvl w:val="0"/>
      </w:pPr>
      <w:r>
        <w:t xml:space="preserve">2.   </w:t>
      </w:r>
      <w:r w:rsidR="00A65F3D">
        <w:t>U</w:t>
      </w:r>
      <w:r w:rsidR="00925A7A" w:rsidRPr="002612BB">
        <w:t>nits of study that are equivalent to the NMBA-approved units of study leading to endorsement for scheduled medicines as a designated RN prescriber</w:t>
      </w:r>
    </w:p>
    <w:p w14:paraId="5246BD3D" w14:textId="4C7D74D5" w:rsidR="003835DA" w:rsidRDefault="00353496" w:rsidP="00216AB8">
      <w:pPr>
        <w:pStyle w:val="AHPRAbody"/>
        <w:outlineLvl w:val="0"/>
      </w:pPr>
      <w:r>
        <w:t>The Australian Health Practitioner</w:t>
      </w:r>
      <w:r w:rsidR="0045056C">
        <w:t xml:space="preserve"> Regulation</w:t>
      </w:r>
      <w:r>
        <w:t xml:space="preserve"> Agency </w:t>
      </w:r>
      <w:r w:rsidR="0045056C">
        <w:t>(Ahpra)</w:t>
      </w:r>
      <w:r w:rsidR="009776FA">
        <w:t>, the NMBA and ANMAC</w:t>
      </w:r>
      <w:r w:rsidR="004C0357">
        <w:t xml:space="preserve"> are</w:t>
      </w:r>
      <w:r>
        <w:t xml:space="preserve"> responsible for ensuring </w:t>
      </w:r>
      <w:r w:rsidR="00383602">
        <w:t>registered health practitioners are suitably trained, qualified and safe to practise.</w:t>
      </w:r>
      <w:r>
        <w:t xml:space="preserve"> </w:t>
      </w:r>
    </w:p>
    <w:p w14:paraId="29E4C132" w14:textId="7454A7BB" w:rsidR="00353496" w:rsidRPr="00DF6955" w:rsidRDefault="00905DEF" w:rsidP="00216AB8">
      <w:pPr>
        <w:pStyle w:val="AHPRAbody"/>
        <w:outlineLvl w:val="0"/>
      </w:pPr>
      <w:r>
        <w:t>To</w:t>
      </w:r>
      <w:r w:rsidR="00353496">
        <w:t xml:space="preserve"> be endorsed to prescribe, the NMBA will require that designated </w:t>
      </w:r>
      <w:r>
        <w:t>RN</w:t>
      </w:r>
      <w:r w:rsidR="00353496">
        <w:t xml:space="preserve"> prescribers have: </w:t>
      </w:r>
    </w:p>
    <w:p w14:paraId="47D476BA" w14:textId="77777777" w:rsidR="00353496" w:rsidRPr="00905DEF" w:rsidRDefault="00353496" w:rsidP="00F842D7">
      <w:pPr>
        <w:pStyle w:val="AHPRABulletlevel1"/>
        <w:numPr>
          <w:ilvl w:val="0"/>
          <w:numId w:val="20"/>
        </w:numPr>
        <w:outlineLvl w:val="0"/>
      </w:pPr>
      <w:r>
        <w:t xml:space="preserve">Current general registration as an RN in Australia with no conditions or undertakings on registration relevant to the endorsement </w:t>
      </w:r>
    </w:p>
    <w:p w14:paraId="3CDB9610" w14:textId="77777777" w:rsidR="00353496" w:rsidRPr="00905DEF" w:rsidRDefault="00353496" w:rsidP="00F842D7">
      <w:pPr>
        <w:pStyle w:val="AHPRABulletlevel1"/>
        <w:numPr>
          <w:ilvl w:val="0"/>
          <w:numId w:val="20"/>
        </w:numPr>
        <w:outlineLvl w:val="0"/>
      </w:pPr>
      <w:r>
        <w:t>The equivalent of three years’ (5,000 hours) full-time post initial registration clinical experience within the past six years, from the date when the complete application seeking endorsement for scheduled medicines as a designated RN prescriber is received by the NMBA</w:t>
      </w:r>
    </w:p>
    <w:p w14:paraId="4F18AB25" w14:textId="77777777" w:rsidR="00353496" w:rsidRPr="00905DEF" w:rsidRDefault="00353496" w:rsidP="00F842D7">
      <w:pPr>
        <w:pStyle w:val="AHPRABulletlevel1"/>
        <w:numPr>
          <w:ilvl w:val="0"/>
          <w:numId w:val="20"/>
        </w:numPr>
        <w:outlineLvl w:val="0"/>
      </w:pPr>
      <w:r>
        <w:t>Successful completion of NMBA-approved units of study leading to endorsement for scheduled medicines as a designated RN prescriber</w:t>
      </w:r>
    </w:p>
    <w:p w14:paraId="006A814A" w14:textId="77777777" w:rsidR="00353496" w:rsidRPr="00905DEF" w:rsidRDefault="00353496" w:rsidP="00F842D7">
      <w:pPr>
        <w:pStyle w:val="AHPRABulletlevel1"/>
        <w:numPr>
          <w:ilvl w:val="0"/>
          <w:numId w:val="20"/>
        </w:numPr>
        <w:outlineLvl w:val="0"/>
      </w:pPr>
      <w:r>
        <w:t>units of study that are equivalent to the NMBA-approved units of study leading to endorsement for scheduled medicines as a designated RN prescriber</w:t>
      </w:r>
    </w:p>
    <w:p w14:paraId="10EE9501" w14:textId="77777777" w:rsidR="00353496" w:rsidRPr="00211D43" w:rsidRDefault="00353496" w:rsidP="00F842D7">
      <w:pPr>
        <w:pStyle w:val="AHPRABulletlevel1"/>
        <w:numPr>
          <w:ilvl w:val="0"/>
          <w:numId w:val="20"/>
        </w:numPr>
        <w:outlineLvl w:val="0"/>
      </w:pPr>
      <w:r>
        <w:t>a period of six months clinical mentorship</w:t>
      </w:r>
    </w:p>
    <w:p w14:paraId="2BD705C8" w14:textId="0D31D91B" w:rsidR="002B407E" w:rsidRDefault="00353496" w:rsidP="00F842D7">
      <w:pPr>
        <w:pStyle w:val="AHPRABulletlevel1last"/>
        <w:numPr>
          <w:ilvl w:val="0"/>
          <w:numId w:val="20"/>
        </w:numPr>
        <w:outlineLvl w:val="0"/>
      </w:pPr>
      <w:r>
        <w:t>ongoing competence requirements for prescribing</w:t>
      </w:r>
      <w:r w:rsidR="00411A81">
        <w:t>.</w:t>
      </w:r>
    </w:p>
    <w:p w14:paraId="7DE260E3" w14:textId="391D8AC6" w:rsidR="007E00F1" w:rsidRDefault="002B407E" w:rsidP="007E00F1">
      <w:pPr>
        <w:pStyle w:val="AHPRAbody"/>
        <w:outlineLvl w:val="0"/>
        <w:rPr>
          <w:lang w:val="en-US" w:eastAsia="en-NZ"/>
        </w:rPr>
      </w:pPr>
      <w:r>
        <w:br w:type="page"/>
      </w:r>
      <w:r w:rsidR="007E00F1" w:rsidRPr="5AA7423A">
        <w:rPr>
          <w:lang w:val="en-US" w:eastAsia="en-NZ"/>
        </w:rPr>
        <w:lastRenderedPageBreak/>
        <w:t xml:space="preserve"> </w:t>
      </w:r>
    </w:p>
    <w:p w14:paraId="31BE07BF" w14:textId="70ABDF1F" w:rsidR="00353496" w:rsidRDefault="00353496" w:rsidP="00216AB8">
      <w:pPr>
        <w:spacing w:after="0"/>
        <w:outlineLvl w:val="0"/>
      </w:pPr>
    </w:p>
    <w:p w14:paraId="5B9278F9" w14:textId="65EE453D" w:rsidR="00EF2104" w:rsidRDefault="00EF2104" w:rsidP="00F842D7">
      <w:pPr>
        <w:pStyle w:val="AHPRADocumentsubheading"/>
        <w:numPr>
          <w:ilvl w:val="0"/>
          <w:numId w:val="22"/>
        </w:numPr>
      </w:pPr>
      <w:bookmarkStart w:id="95" w:name="_Toc164692750"/>
      <w:r>
        <w:t>How will you implement and evaluate your chosen option</w:t>
      </w:r>
      <w:r w:rsidR="00DB170D">
        <w:t xml:space="preserve"> </w:t>
      </w:r>
      <w:r w:rsidR="001820BA">
        <w:t>a</w:t>
      </w:r>
      <w:r w:rsidR="007E00F1">
        <w:t>gainst the success metrics?</w:t>
      </w:r>
      <w:bookmarkEnd w:id="95"/>
    </w:p>
    <w:p w14:paraId="0A2DB0E4" w14:textId="2230D0DF" w:rsidR="00353496" w:rsidRDefault="00353496" w:rsidP="00216AB8">
      <w:pPr>
        <w:pStyle w:val="AHPRAbody"/>
        <w:outlineLvl w:val="0"/>
      </w:pPr>
      <w:r>
        <w:t xml:space="preserve">There are some challenges that the NMBA may face </w:t>
      </w:r>
      <w:r w:rsidR="006C6A05">
        <w:t>during the</w:t>
      </w:r>
      <w:r>
        <w:t xml:space="preserve"> implementation of the </w:t>
      </w:r>
      <w:r w:rsidR="006C6A05">
        <w:t>p</w:t>
      </w:r>
      <w:r w:rsidR="00373C71">
        <w:t xml:space="preserve">roposed </w:t>
      </w:r>
      <w:r w:rsidR="00373C71" w:rsidRPr="00E23D0E">
        <w:t xml:space="preserve">Registration standard: Endorsement for scheduled medicines − </w:t>
      </w:r>
      <w:r w:rsidRPr="00E23D0E">
        <w:t xml:space="preserve">designated </w:t>
      </w:r>
      <w:r w:rsidR="00373C71" w:rsidRPr="00E23D0E">
        <w:t xml:space="preserve">registered nurse </w:t>
      </w:r>
      <w:r w:rsidRPr="00E23D0E">
        <w:t>prescriber</w:t>
      </w:r>
      <w:r w:rsidR="4A7E4A1A" w:rsidRPr="25E6885C">
        <w:rPr>
          <w:i/>
          <w:iCs/>
        </w:rPr>
        <w:t xml:space="preserve"> </w:t>
      </w:r>
      <w:r w:rsidR="4A7E4A1A" w:rsidRPr="00660BCF">
        <w:t>which have been outlined in this document.</w:t>
      </w:r>
      <w:r>
        <w:t xml:space="preserve"> Fortunately, the NMBA </w:t>
      </w:r>
      <w:r w:rsidR="00516425">
        <w:t xml:space="preserve">has </w:t>
      </w:r>
      <w:r w:rsidR="00627E77">
        <w:t xml:space="preserve">previously </w:t>
      </w:r>
      <w:r w:rsidR="00516425">
        <w:t xml:space="preserve">successfully </w:t>
      </w:r>
      <w:r w:rsidR="00303C6E">
        <w:t xml:space="preserve">introduced the </w:t>
      </w:r>
      <w:r w:rsidR="00303C6E" w:rsidRPr="25E6885C">
        <w:rPr>
          <w:i/>
          <w:iCs/>
        </w:rPr>
        <w:t>Registration standard: Endorsement for scheduled medicines</w:t>
      </w:r>
      <w:r w:rsidR="00627E77" w:rsidRPr="25E6885C">
        <w:rPr>
          <w:i/>
          <w:iCs/>
        </w:rPr>
        <w:t xml:space="preserve"> for midwives</w:t>
      </w:r>
      <w:r w:rsidR="31FA5F73" w:rsidRPr="25E6885C">
        <w:rPr>
          <w:i/>
          <w:iCs/>
        </w:rPr>
        <w:t xml:space="preserve"> </w:t>
      </w:r>
      <w:r w:rsidR="31FA5F73" w:rsidRPr="00660BCF">
        <w:t xml:space="preserve">and there are learnings from the implementation of this that the NMBA can </w:t>
      </w:r>
      <w:r w:rsidR="1D95CCB2" w:rsidRPr="00660BCF">
        <w:t xml:space="preserve">draw </w:t>
      </w:r>
      <w:r w:rsidR="14B46DB1" w:rsidRPr="00660BCF">
        <w:t>up</w:t>
      </w:r>
      <w:r w:rsidR="1D95CCB2" w:rsidRPr="00660BCF">
        <w:t xml:space="preserve">on to ensure the implementation </w:t>
      </w:r>
      <w:r w:rsidR="00AE42D8">
        <w:t xml:space="preserve">of designated RN prescribing </w:t>
      </w:r>
      <w:r w:rsidR="1D95CCB2" w:rsidRPr="00660BCF">
        <w:t>is successful and meets</w:t>
      </w:r>
      <w:r w:rsidR="44F1CDD4" w:rsidRPr="00660BCF">
        <w:t xml:space="preserve"> its </w:t>
      </w:r>
      <w:r w:rsidR="00AE42D8" w:rsidRPr="00AE42D8">
        <w:t>original</w:t>
      </w:r>
      <w:r w:rsidR="1D95CCB2" w:rsidRPr="00660BCF">
        <w:t xml:space="preserve"> </w:t>
      </w:r>
      <w:r w:rsidR="0035553B">
        <w:t xml:space="preserve">aims and </w:t>
      </w:r>
      <w:r w:rsidR="00AE42D8">
        <w:t xml:space="preserve">objectives. </w:t>
      </w:r>
      <w:r w:rsidR="3295DE4A" w:rsidRPr="00AB152C">
        <w:t xml:space="preserve">Enablers such as increasing </w:t>
      </w:r>
      <w:r w:rsidR="5CD630BA" w:rsidRPr="00AB152C">
        <w:t>p</w:t>
      </w:r>
      <w:r w:rsidRPr="00AB152C">
        <w:t>ublic awareness</w:t>
      </w:r>
      <w:r w:rsidR="771D27BD" w:rsidRPr="00AB152C">
        <w:t xml:space="preserve"> of the designated RN prescriber</w:t>
      </w:r>
      <w:r w:rsidR="7C828A3B" w:rsidRPr="00AB152C">
        <w:t xml:space="preserve"> role</w:t>
      </w:r>
      <w:r w:rsidR="00AE42D8">
        <w:t>,</w:t>
      </w:r>
      <w:r>
        <w:t xml:space="preserve"> </w:t>
      </w:r>
      <w:r w:rsidR="5DB24992">
        <w:t xml:space="preserve">increasing </w:t>
      </w:r>
      <w:r>
        <w:t xml:space="preserve">awareness of the role amongst the health profession and support </w:t>
      </w:r>
      <w:r w:rsidR="49C68DD9">
        <w:t>from health professionals across the health system is required</w:t>
      </w:r>
      <w:r w:rsidR="0067726F">
        <w:t>.</w:t>
      </w:r>
      <w:r w:rsidR="49C68DD9">
        <w:t xml:space="preserve"> </w:t>
      </w:r>
      <w:r w:rsidRPr="25E6885C">
        <w:rPr>
          <w:vertAlign w:val="superscript"/>
        </w:rPr>
        <w:t>(</w:t>
      </w:r>
      <w:r w:rsidRPr="07C39D30">
        <w:rPr>
          <w:vertAlign w:val="superscript"/>
        </w:rPr>
        <w:t>7</w:t>
      </w:r>
      <w:r w:rsidR="00D41026">
        <w:rPr>
          <w:vertAlign w:val="superscript"/>
        </w:rPr>
        <w:t>6</w:t>
      </w:r>
      <w:r w:rsidR="0067726F" w:rsidRPr="00660BCF">
        <w:rPr>
          <w:vertAlign w:val="superscript"/>
        </w:rPr>
        <w:t>)</w:t>
      </w:r>
      <w:r>
        <w:t xml:space="preserve"> </w:t>
      </w:r>
    </w:p>
    <w:p w14:paraId="18650184" w14:textId="2D741DF9" w:rsidR="00DF3C21" w:rsidRDefault="00353496" w:rsidP="00216AB8">
      <w:pPr>
        <w:pStyle w:val="AHPRAbody"/>
        <w:outlineLvl w:val="0"/>
      </w:pPr>
      <w:r>
        <w:t xml:space="preserve">These challenges will extend </w:t>
      </w:r>
      <w:r w:rsidR="00411A81">
        <w:t xml:space="preserve">to </w:t>
      </w:r>
      <w:r>
        <w:t>jurisdiction</w:t>
      </w:r>
      <w:r w:rsidR="00411A81">
        <w:t>s</w:t>
      </w:r>
      <w:r>
        <w:t xml:space="preserve"> and </w:t>
      </w:r>
      <w:r w:rsidR="00E86EC9">
        <w:t>their</w:t>
      </w:r>
      <w:r>
        <w:t xml:space="preserve"> drugs and poisons legislation that enable designated RN prescribers to be able to prescribe across the states and territories. This is something the NMBA has bought to the attention of Government and </w:t>
      </w:r>
      <w:r w:rsidR="002F7BD5">
        <w:t xml:space="preserve">the NMBA </w:t>
      </w:r>
      <w:r w:rsidR="003F107F">
        <w:t xml:space="preserve">have </w:t>
      </w:r>
      <w:r w:rsidR="002F7BD5">
        <w:t>recommend</w:t>
      </w:r>
      <w:r w:rsidR="003F107F">
        <w:t>ed</w:t>
      </w:r>
      <w:r w:rsidR="002F7BD5">
        <w:t xml:space="preserve"> this</w:t>
      </w:r>
      <w:r w:rsidR="007A62C6">
        <w:t xml:space="preserve"> </w:t>
      </w:r>
      <w:r w:rsidR="003F107F">
        <w:t xml:space="preserve">this to be </w:t>
      </w:r>
      <w:r>
        <w:t>included in the scope of practice review</w:t>
      </w:r>
      <w:r w:rsidR="004A4049">
        <w:t>. It has also been</w:t>
      </w:r>
      <w:r w:rsidR="00B244B1">
        <w:t xml:space="preserve"> identified</w:t>
      </w:r>
      <w:r w:rsidR="004A4049">
        <w:t xml:space="preserve"> </w:t>
      </w:r>
      <w:r w:rsidR="00064DE6">
        <w:t xml:space="preserve">as </w:t>
      </w:r>
      <w:r w:rsidR="00C81C47">
        <w:t>one of the five themes which emerged as barriers in the</w:t>
      </w:r>
      <w:r w:rsidR="00064DE6">
        <w:t xml:space="preserve"> </w:t>
      </w:r>
      <w:r w:rsidR="00064DE6" w:rsidRPr="00BE440A">
        <w:t>Unleashing the Potential of our Health Workforce – Scope of Practice Review – Issues Paper</w:t>
      </w:r>
      <w:r w:rsidR="000F0F27" w:rsidRPr="00BE440A">
        <w:t xml:space="preserve">. </w:t>
      </w:r>
      <w:r w:rsidR="00064DE6" w:rsidRPr="00BE440A">
        <w:t xml:space="preserve"> </w:t>
      </w:r>
      <w:r w:rsidR="00A56CCC" w:rsidRPr="00EC4AC9">
        <w:rPr>
          <w:rStyle w:val="normaltextrun"/>
          <w:sz w:val="16"/>
          <w:szCs w:val="16"/>
          <w:u w:val="single"/>
          <w:shd w:val="clear" w:color="auto" w:fill="FFFFFF"/>
          <w:vertAlign w:val="superscript"/>
        </w:rPr>
        <w:t>67</w:t>
      </w:r>
      <w:r w:rsidR="000F0F27" w:rsidRPr="00EC4AC9">
        <w:rPr>
          <w:rStyle w:val="normaltextrun"/>
          <w:sz w:val="16"/>
          <w:szCs w:val="16"/>
          <w:u w:val="single"/>
          <w:shd w:val="clear" w:color="auto" w:fill="FFFFFF"/>
          <w:vertAlign w:val="superscript"/>
        </w:rPr>
        <w:t xml:space="preserve"> </w:t>
      </w:r>
      <w:r w:rsidR="00A56CCC" w:rsidRPr="00EC4AC9">
        <w:rPr>
          <w:rStyle w:val="normaltextrun"/>
          <w:sz w:val="16"/>
          <w:szCs w:val="16"/>
          <w:u w:val="single"/>
          <w:shd w:val="clear" w:color="auto" w:fill="FFFFFF"/>
          <w:vertAlign w:val="superscript"/>
        </w:rPr>
        <w:t xml:space="preserve"> </w:t>
      </w:r>
      <w:r>
        <w:t xml:space="preserve">Enabling designated RN prescribers to access the PBS </w:t>
      </w:r>
      <w:r w:rsidR="00E33EB9">
        <w:t xml:space="preserve">is a challenge </w:t>
      </w:r>
      <w:r>
        <w:t>beyond the</w:t>
      </w:r>
      <w:r w:rsidR="007A62C6">
        <w:t xml:space="preserve"> regulatory</w:t>
      </w:r>
      <w:r>
        <w:t xml:space="preserve"> re</w:t>
      </w:r>
      <w:r w:rsidR="00411A81">
        <w:t>mit</w:t>
      </w:r>
      <w:r>
        <w:t xml:space="preserve"> of the NMBA however </w:t>
      </w:r>
      <w:r w:rsidR="005D0375">
        <w:t xml:space="preserve">this </w:t>
      </w:r>
      <w:r w:rsidR="0095108A">
        <w:t xml:space="preserve">is </w:t>
      </w:r>
      <w:r w:rsidR="005D0375">
        <w:t xml:space="preserve">a </w:t>
      </w:r>
      <w:r w:rsidR="0095108A">
        <w:t xml:space="preserve">required </w:t>
      </w:r>
      <w:r w:rsidR="005D0375">
        <w:t xml:space="preserve">change </w:t>
      </w:r>
      <w:r w:rsidR="0095108A">
        <w:t>by Government</w:t>
      </w:r>
      <w:r w:rsidR="005D0375">
        <w:t>s</w:t>
      </w:r>
      <w:r>
        <w:t xml:space="preserve"> for medicines to be prescribed outside of public hospital organisations.</w:t>
      </w:r>
      <w:r w:rsidR="002F7BD5">
        <w:t xml:space="preserve"> It is important to note that state and territory Health Ministers support an exploration of changes to local drugs and poisons legislation. Designated RN prescribing will not fully achieve the benefits of the recommended option without this support. </w:t>
      </w:r>
    </w:p>
    <w:p w14:paraId="0FB69821" w14:textId="78C930D6" w:rsidR="00353496" w:rsidRPr="00272257" w:rsidRDefault="00353496" w:rsidP="00216AB8">
      <w:pPr>
        <w:pStyle w:val="AHPRAbody"/>
        <w:outlineLvl w:val="0"/>
      </w:pPr>
      <w:r w:rsidRPr="00272257">
        <w:t>What the C</w:t>
      </w:r>
      <w:r w:rsidR="001E10B8">
        <w:t>-</w:t>
      </w:r>
      <w:r w:rsidRPr="00272257">
        <w:t>RIS has identified is that internationally and locally there is very little research on the quantifiable costs and cost effectiveness of designated RN prescribing</w:t>
      </w:r>
      <w:r w:rsidR="00411A81">
        <w:t>. F</w:t>
      </w:r>
      <w:r w:rsidRPr="00272257">
        <w:t>uture collaborative studies will be required with governments at all levels, health organisation and health consumers to enable quantifiable impacts to improve understanding.</w:t>
      </w:r>
    </w:p>
    <w:p w14:paraId="1AA0DB28" w14:textId="3BB1C922" w:rsidR="00353496" w:rsidRDefault="00353496" w:rsidP="00216AB8">
      <w:pPr>
        <w:pStyle w:val="AHPRAbody"/>
        <w:outlineLvl w:val="0"/>
        <w:rPr>
          <w:vertAlign w:val="superscript"/>
        </w:rPr>
      </w:pPr>
      <w:r>
        <w:t>In addition to cost effectiveness discussed in the D</w:t>
      </w:r>
      <w:r w:rsidR="00D77AFA">
        <w:t>-</w:t>
      </w:r>
      <w:r>
        <w:t>RIS</w:t>
      </w:r>
      <w:r w:rsidR="00880D9A">
        <w:t>,</w:t>
      </w:r>
      <w:r>
        <w:t xml:space="preserve"> there would be benefits in undertaking further economic modelling </w:t>
      </w:r>
      <w:r w:rsidR="009A06A9">
        <w:t xml:space="preserve">by </w:t>
      </w:r>
      <w:r>
        <w:t xml:space="preserve">working with government and organisations </w:t>
      </w:r>
      <w:r w:rsidR="00177F3B">
        <w:t xml:space="preserve">to determine </w:t>
      </w:r>
      <w:r>
        <w:t>the Quality-of-life years gained (QALYS)</w:t>
      </w:r>
      <w:r w:rsidR="00177F3B">
        <w:t>.</w:t>
      </w:r>
      <w:r>
        <w:t xml:space="preserve"> </w:t>
      </w:r>
      <w:r w:rsidR="00177F3B">
        <w:t>U</w:t>
      </w:r>
      <w:r>
        <w:t>ndertaking a cost benefit analysis using the Disability of adjusted life years (DALYS) to evaluate the impact of designated RN prescribing</w:t>
      </w:r>
      <w:r w:rsidR="00177F3B">
        <w:t xml:space="preserve"> would also be beneficial</w:t>
      </w:r>
      <w:r>
        <w:t>. Additionally, sensitivity analyses such as the value of statistical life years gained (VSLY) could also assist in to quantifying the effects of designated RN prescribing. There has also been research into the use of clinical effectiveness tools from the patient</w:t>
      </w:r>
      <w:r w:rsidR="00D77AFA">
        <w:t>’</w:t>
      </w:r>
      <w:r>
        <w:t xml:space="preserve">s perspectives such a chronic pain grade, the hospital anxiety and depression scale, satisfaction with and quality of care in the clinical and cost effectiveness of non-medical prescribing. </w:t>
      </w:r>
      <w:r w:rsidRPr="00936E1D">
        <w:rPr>
          <w:vertAlign w:val="superscript"/>
        </w:rPr>
        <w:t>(</w:t>
      </w:r>
      <w:r w:rsidR="00B36F38">
        <w:rPr>
          <w:vertAlign w:val="superscript"/>
        </w:rPr>
        <w:t>48,</w:t>
      </w:r>
      <w:r w:rsidRPr="00936E1D">
        <w:rPr>
          <w:vertAlign w:val="superscript"/>
        </w:rPr>
        <w:t>49)</w:t>
      </w:r>
    </w:p>
    <w:p w14:paraId="28044DE5" w14:textId="29AE7256" w:rsidR="00353496" w:rsidRPr="0033759D" w:rsidRDefault="00353496" w:rsidP="00216AB8">
      <w:pPr>
        <w:pStyle w:val="AHPRAbody"/>
        <w:outlineLvl w:val="0"/>
      </w:pPr>
      <w:r w:rsidRPr="0033759D">
        <w:t>The D-RIS is informed by extensive consultation undertaken with both health professions and the public</w:t>
      </w:r>
      <w:r w:rsidR="00411A81">
        <w:t>.</w:t>
      </w:r>
      <w:r w:rsidRPr="0033759D">
        <w:t xml:space="preserve"> It has been developed in consultation with the Office of Impact Analysis (OIA), the Australian Government and the Department of the Prime Minister and Cabinet.  It describes the objectives, preferred options and impact analysis (risks, costs and benefits) of the proposed standard, to better inform the regulatory, social and health impacts of changes to the supervised prescribing of medicines by RNs. </w:t>
      </w:r>
    </w:p>
    <w:p w14:paraId="482D2527" w14:textId="08C7829F" w:rsidR="00353496" w:rsidRPr="0033759D" w:rsidRDefault="00411A81" w:rsidP="00A512B6">
      <w:r>
        <w:t>T</w:t>
      </w:r>
      <w:r w:rsidR="00353496" w:rsidRPr="00936E1D">
        <w:t>he NMBA review</w:t>
      </w:r>
      <w:r>
        <w:t>s</w:t>
      </w:r>
      <w:r w:rsidR="00353496" w:rsidRPr="00936E1D">
        <w:t xml:space="preserve"> its standards, codes, and guidelines every five years to ensure that </w:t>
      </w:r>
      <w:r w:rsidR="00177F3B">
        <w:t>they</w:t>
      </w:r>
      <w:r w:rsidR="00177F3B" w:rsidRPr="00936E1D">
        <w:t xml:space="preserve"> </w:t>
      </w:r>
      <w:r w:rsidR="00353496" w:rsidRPr="00936E1D">
        <w:t xml:space="preserve">remain contemporary and are fit for purpose to protect the public and the guidelines. </w:t>
      </w:r>
      <w:r w:rsidR="003B35E4">
        <w:t xml:space="preserve">The NMBA can decide to review earlier if the need arises. </w:t>
      </w:r>
      <w:r w:rsidR="00353496" w:rsidRPr="00936E1D">
        <w:t>The registration standard that describes how an RN can qualify for the endorsement for scheduled medicines under section 94 of the National Law and what the NMBA expects of RNs to attain and retail this endorsement will be reviewed at 5 years. Additionally, the endorsement for scheduled medicines for RNs as a designated RN prescriber will be tracked by the NMBA and Ahpra through National Registration Data. Notifications in relation to this area will also be tracked.</w:t>
      </w:r>
      <w:r w:rsidR="00353496" w:rsidRPr="0033759D">
        <w:t xml:space="preserve"> </w:t>
      </w:r>
      <w:r w:rsidR="008C267F">
        <w:t>Part 8 of the National Law sets out the processes by which notifications may be made about a registered health practitioner</w:t>
      </w:r>
      <w:r w:rsidR="009869D8">
        <w:t xml:space="preserve"> and the NMBA will follow the Ahpra </w:t>
      </w:r>
      <w:r w:rsidR="00385434">
        <w:t>Regulatory</w:t>
      </w:r>
      <w:r w:rsidR="009869D8">
        <w:t xml:space="preserve"> </w:t>
      </w:r>
      <w:r w:rsidR="00385434">
        <w:t>Guide</w:t>
      </w:r>
      <w:r w:rsidR="009869D8">
        <w:t xml:space="preserve"> for mandatory notifications</w:t>
      </w:r>
      <w:r w:rsidR="002E0DF6">
        <w:t>.</w:t>
      </w:r>
      <w:r w:rsidR="009869D8">
        <w:t xml:space="preserve"> </w:t>
      </w:r>
      <w:r w:rsidR="00251CDE">
        <w:t xml:space="preserve"> </w:t>
      </w:r>
      <w:r w:rsidR="002C2A3F">
        <w:rPr>
          <w:rFonts w:cs="Arial"/>
          <w:szCs w:val="20"/>
        </w:rPr>
        <w:t>E</w:t>
      </w:r>
      <w:r w:rsidR="00251CDE">
        <w:rPr>
          <w:rFonts w:cs="Arial"/>
          <w:szCs w:val="20"/>
        </w:rPr>
        <w:t xml:space="preserve">ndorsed midwives </w:t>
      </w:r>
      <w:r w:rsidR="002E0DF6">
        <w:rPr>
          <w:rFonts w:cs="Arial"/>
          <w:szCs w:val="20"/>
        </w:rPr>
        <w:t xml:space="preserve">who </w:t>
      </w:r>
      <w:r w:rsidR="00251CDE">
        <w:rPr>
          <w:rFonts w:cs="Arial"/>
          <w:szCs w:val="20"/>
        </w:rPr>
        <w:t xml:space="preserve">are able to prescribe Schedule 2, 3, 4 and 8 medications </w:t>
      </w:r>
      <w:r w:rsidR="002E0DF6">
        <w:rPr>
          <w:rFonts w:cs="Arial"/>
          <w:szCs w:val="20"/>
        </w:rPr>
        <w:t>have had no</w:t>
      </w:r>
      <w:r w:rsidR="00251CDE">
        <w:rPr>
          <w:rFonts w:cs="Arial"/>
          <w:szCs w:val="20"/>
        </w:rPr>
        <w:t xml:space="preserve"> notifications </w:t>
      </w:r>
      <w:r w:rsidR="002E0DF6">
        <w:rPr>
          <w:rFonts w:cs="Arial"/>
          <w:szCs w:val="20"/>
        </w:rPr>
        <w:t xml:space="preserve">made against them </w:t>
      </w:r>
      <w:r w:rsidR="00251CDE">
        <w:rPr>
          <w:rFonts w:cs="Arial"/>
          <w:szCs w:val="20"/>
        </w:rPr>
        <w:t>regarding misuse, overprescribing, inappropriate prescribing, risk or harm</w:t>
      </w:r>
      <w:r w:rsidR="002E0DF6">
        <w:rPr>
          <w:rFonts w:cs="Arial"/>
          <w:szCs w:val="20"/>
        </w:rPr>
        <w:t xml:space="preserve"> to date</w:t>
      </w:r>
      <w:r w:rsidR="00251CDE">
        <w:rPr>
          <w:rFonts w:cs="Arial"/>
          <w:szCs w:val="20"/>
        </w:rPr>
        <w:t>.</w:t>
      </w:r>
    </w:p>
    <w:p w14:paraId="06F736A4" w14:textId="25544E4D" w:rsidR="00353496" w:rsidRPr="0033759D" w:rsidRDefault="00353496" w:rsidP="00216AB8">
      <w:pPr>
        <w:pStyle w:val="AHPRAbody"/>
        <w:outlineLvl w:val="0"/>
      </w:pPr>
      <w:r>
        <w:t>The NMBA intend to</w:t>
      </w:r>
      <w:r w:rsidR="00320D38">
        <w:t xml:space="preserve"> hold consultation and stakeholder open forums</w:t>
      </w:r>
      <w:r>
        <w:t xml:space="preserve"> as part of its post implementation review of designated RN prescribing </w:t>
      </w:r>
      <w:r w:rsidR="57690500">
        <w:t xml:space="preserve">and </w:t>
      </w:r>
      <w:r w:rsidR="00864879">
        <w:t xml:space="preserve">will </w:t>
      </w:r>
      <w:r w:rsidR="57690500">
        <w:t>conduct evaluation via survey</w:t>
      </w:r>
      <w:r w:rsidR="00495777">
        <w:t>.</w:t>
      </w:r>
      <w:r w:rsidR="57690500">
        <w:t xml:space="preserve"> </w:t>
      </w:r>
    </w:p>
    <w:p w14:paraId="235E0793" w14:textId="15DFCC9B" w:rsidR="007E00F1" w:rsidRPr="00320D38" w:rsidRDefault="00353496" w:rsidP="00F7356E">
      <w:pPr>
        <w:pStyle w:val="AHPRABody1"/>
      </w:pPr>
      <w:r w:rsidRPr="422F38A3">
        <w:lastRenderedPageBreak/>
        <w:t xml:space="preserve">Australia is lagging behind </w:t>
      </w:r>
      <w:r w:rsidR="00411A81" w:rsidRPr="422F38A3">
        <w:t>other countries</w:t>
      </w:r>
      <w:r w:rsidR="005A43BF" w:rsidRPr="422F38A3">
        <w:t xml:space="preserve"> </w:t>
      </w:r>
      <w:r w:rsidR="005A43BF" w:rsidRPr="422F38A3">
        <w:rPr>
          <w:sz w:val="21"/>
          <w:szCs w:val="21"/>
          <w:shd w:val="clear" w:color="auto" w:fill="FFFFFF"/>
        </w:rPr>
        <w:t>when it</w:t>
      </w:r>
      <w:r w:rsidR="00411A81" w:rsidRPr="422F38A3">
        <w:t xml:space="preserve"> </w:t>
      </w:r>
      <w:r w:rsidRPr="422F38A3">
        <w:t>in</w:t>
      </w:r>
      <w:r w:rsidR="008B28EE" w:rsidRPr="422F38A3">
        <w:t xml:space="preserve"> comes to safe and</w:t>
      </w:r>
      <w:r w:rsidRPr="422F38A3">
        <w:t xml:space="preserve"> innovative approaches to address healthcare inequities and access. Nurses form the largest component of the healthcare sector and now is the time to act on behalf of all health consumers and Australian </w:t>
      </w:r>
      <w:r w:rsidR="00C878C2" w:rsidRPr="422F38A3">
        <w:t xml:space="preserve">citizens </w:t>
      </w:r>
      <w:r w:rsidRPr="422F38A3">
        <w:t>and those RNs who wish to work to the top of their scope.</w:t>
      </w:r>
      <w:r w:rsidR="0067624C" w:rsidRPr="422F38A3">
        <w:t xml:space="preserve"> This is a timely </w:t>
      </w:r>
      <w:r w:rsidR="00B461E8" w:rsidRPr="422F38A3">
        <w:t>piece</w:t>
      </w:r>
      <w:r w:rsidR="0067624C" w:rsidRPr="422F38A3">
        <w:t xml:space="preserve"> considering </w:t>
      </w:r>
      <w:r w:rsidR="00686E86" w:rsidRPr="422F38A3">
        <w:t>the</w:t>
      </w:r>
      <w:r w:rsidR="00686E86" w:rsidRPr="422F38A3">
        <w:rPr>
          <w:shd w:val="clear" w:color="auto" w:fill="FFFFFF"/>
        </w:rPr>
        <w:t xml:space="preserve"> Independent</w:t>
      </w:r>
      <w:r w:rsidR="00B461E8" w:rsidRPr="422F38A3">
        <w:rPr>
          <w:shd w:val="clear" w:color="auto" w:fill="FFFFFF"/>
        </w:rPr>
        <w:t xml:space="preserve"> Scope of Practice Review </w:t>
      </w:r>
      <w:r w:rsidR="00A7079F" w:rsidRPr="422F38A3">
        <w:rPr>
          <w:shd w:val="clear" w:color="auto" w:fill="FFFFFF"/>
        </w:rPr>
        <w:t>and the themes emerging that support RN Designated Prescribing.</w:t>
      </w:r>
    </w:p>
    <w:p w14:paraId="122A1C8E" w14:textId="77777777" w:rsidR="00F842D7" w:rsidRPr="00091A46" w:rsidRDefault="00817083" w:rsidP="00091A46">
      <w:pPr>
        <w:pStyle w:val="AHPRADocumentsubheading"/>
      </w:pPr>
      <w:r>
        <w:br w:type="page"/>
      </w:r>
      <w:bookmarkStart w:id="96" w:name="_Toc164692751"/>
      <w:r w:rsidR="00F842D7" w:rsidRPr="00091A46">
        <w:lastRenderedPageBreak/>
        <w:t>References</w:t>
      </w:r>
      <w:bookmarkEnd w:id="96"/>
    </w:p>
    <w:p w14:paraId="74962629" w14:textId="77777777" w:rsidR="00F842D7" w:rsidRPr="00FE3360" w:rsidRDefault="00F842D7" w:rsidP="00F842D7">
      <w:pPr>
        <w:pStyle w:val="AHPRANumberedlistlevel1"/>
        <w:numPr>
          <w:ilvl w:val="0"/>
          <w:numId w:val="49"/>
        </w:numPr>
        <w:spacing w:after="120"/>
        <w:outlineLvl w:val="0"/>
      </w:pPr>
      <w:r w:rsidRPr="00FE3360">
        <w:t>Australian Government. Department of Health and Aged Care. (2022). National Healthcare Agreement. https://meteor.aihw.gov.au/content/740910  </w:t>
      </w:r>
    </w:p>
    <w:p w14:paraId="3F42E409" w14:textId="77777777" w:rsidR="00F842D7" w:rsidRPr="00FE3360" w:rsidRDefault="00F842D7" w:rsidP="00F842D7">
      <w:pPr>
        <w:pStyle w:val="AHPRANumberedlistlevel1"/>
        <w:numPr>
          <w:ilvl w:val="0"/>
          <w:numId w:val="49"/>
        </w:numPr>
        <w:spacing w:after="120"/>
        <w:outlineLvl w:val="0"/>
        <w:rPr>
          <w:rFonts w:cs="Arial"/>
          <w:szCs w:val="20"/>
        </w:rPr>
      </w:pPr>
      <w:r w:rsidRPr="00FE3360">
        <w:rPr>
          <w:rFonts w:cs="Arial"/>
          <w:szCs w:val="20"/>
          <w:shd w:val="clear" w:color="auto" w:fill="FFFFFF"/>
        </w:rPr>
        <w:t xml:space="preserve">Australian Government.  Department of Health and Aged Care. (2022) National Medicines Policy. </w:t>
      </w:r>
      <w:hyperlink r:id="rId32" w:tgtFrame="_blank" w:tooltip="https://www.health.gov.au/resources/publications/national-medicines-policy?language=en" w:history="1">
        <w:r w:rsidRPr="00FE3360">
          <w:rPr>
            <w:rFonts w:cs="Arial"/>
            <w:szCs w:val="20"/>
            <w:shd w:val="clear" w:color="auto" w:fill="FFFFFF"/>
          </w:rPr>
          <w:t>https://www.health.gov.au/resources/publications/national-medicines-policy?language=en</w:t>
        </w:r>
      </w:hyperlink>
    </w:p>
    <w:p w14:paraId="043311E7" w14:textId="77777777" w:rsidR="00F842D7" w:rsidRPr="00FE3360" w:rsidRDefault="00F842D7" w:rsidP="00F842D7">
      <w:pPr>
        <w:pStyle w:val="AHPRANumberedlistlevel1withspace"/>
        <w:numPr>
          <w:ilvl w:val="0"/>
          <w:numId w:val="50"/>
        </w:numPr>
        <w:outlineLvl w:val="0"/>
      </w:pPr>
      <w:r w:rsidRPr="00FE3360">
        <w:t>Australian Government. Department of Health and Aged Care. (2021). Stronger Rural Health Strategy. https://www.health.gov.au/topics/rural-health-workforce/stronger-rural-health-strategy  </w:t>
      </w:r>
    </w:p>
    <w:p w14:paraId="36427C39" w14:textId="77777777" w:rsidR="00F842D7" w:rsidRPr="00FE3360" w:rsidRDefault="00F842D7" w:rsidP="00F842D7">
      <w:pPr>
        <w:pStyle w:val="AHPRANumberedlistlevel1withspace"/>
        <w:numPr>
          <w:ilvl w:val="0"/>
          <w:numId w:val="50"/>
        </w:numPr>
        <w:outlineLvl w:val="0"/>
      </w:pPr>
      <w:r w:rsidRPr="00FE3360">
        <w:t>Australian Government. Department of Health and Aged Care. (2022). Strengthening Medicare Taskforce Report. https://www.health.gov.au/sites/default/files/2023-02/strengthening-medicaretaskforce-report_0.pdf  </w:t>
      </w:r>
    </w:p>
    <w:p w14:paraId="2FA45E1D" w14:textId="77777777" w:rsidR="00F842D7" w:rsidRPr="00FE3360" w:rsidRDefault="00F842D7" w:rsidP="00F842D7">
      <w:pPr>
        <w:pStyle w:val="AHPRANumberedlistlevel1withspace"/>
        <w:numPr>
          <w:ilvl w:val="0"/>
          <w:numId w:val="50"/>
        </w:numPr>
        <w:outlineLvl w:val="0"/>
      </w:pPr>
      <w:r w:rsidRPr="00FE3360">
        <w:t xml:space="preserve">Australian Government. Department of Health and Aged Care. (2022). Future focused primary healthcare: Australia’s Primary Healthcare 10 Year Plan 2022–2032. Australian Government </w:t>
      </w:r>
      <w:hyperlink r:id="rId33" w:history="1">
        <w:r w:rsidRPr="00FE3360">
          <w:rPr>
            <w:rStyle w:val="Hyperlink"/>
            <w:color w:val="auto"/>
            <w:u w:val="none"/>
          </w:rPr>
          <w:t>https://www.health.gov.au/resources/publications/australias-primary-health-care-10-year-plan-20222032</w:t>
        </w:r>
      </w:hyperlink>
      <w:r w:rsidRPr="00FE3360">
        <w:t> </w:t>
      </w:r>
    </w:p>
    <w:p w14:paraId="4FBB5C58" w14:textId="77777777" w:rsidR="00F842D7" w:rsidRPr="00FE3360" w:rsidRDefault="00F842D7" w:rsidP="00F842D7">
      <w:pPr>
        <w:pStyle w:val="AHPRANumberedlistlevel1withspace"/>
        <w:numPr>
          <w:ilvl w:val="0"/>
          <w:numId w:val="50"/>
        </w:numPr>
        <w:outlineLvl w:val="0"/>
        <w:rPr>
          <w:rFonts w:cs="Arial"/>
          <w:szCs w:val="20"/>
        </w:rPr>
      </w:pPr>
      <w:r w:rsidRPr="00FE3360">
        <w:rPr>
          <w:rFonts w:cs="Arial"/>
          <w:szCs w:val="20"/>
          <w:shd w:val="clear" w:color="auto" w:fill="FFFFFF"/>
        </w:rPr>
        <w:t xml:space="preserve">Australian Health Practitioners Regulation Agency (Ahpra). Ahpra and National Boards. The National Registration and Accreditation Scheme Strategy 2020-2025. An overview. </w:t>
      </w:r>
      <w:hyperlink r:id="rId34" w:tgtFrame="_blank" w:tooltip="https://www.ahpra.gov.au/About-Ahpra/National-Scheme-Strategy.aspx" w:history="1">
        <w:r w:rsidRPr="00FE3360">
          <w:rPr>
            <w:rStyle w:val="Hyperlink"/>
            <w:rFonts w:cs="Arial"/>
            <w:color w:val="auto"/>
            <w:szCs w:val="20"/>
            <w:u w:val="none"/>
            <w:shd w:val="clear" w:color="auto" w:fill="FFFFFF"/>
          </w:rPr>
          <w:t>https://www.ahpra.gov.au/About-Ahpra/National-Scheme-Strategy.aspx</w:t>
        </w:r>
      </w:hyperlink>
      <w:r w:rsidRPr="00FE3360">
        <w:rPr>
          <w:rFonts w:cs="Arial"/>
          <w:szCs w:val="20"/>
        </w:rPr>
        <w:t> </w:t>
      </w:r>
    </w:p>
    <w:p w14:paraId="61D285B1" w14:textId="77777777" w:rsidR="00F842D7" w:rsidRPr="00FE3360" w:rsidRDefault="00F842D7" w:rsidP="00F842D7">
      <w:pPr>
        <w:pStyle w:val="AHPRANumberedlistlevel1withspace"/>
        <w:numPr>
          <w:ilvl w:val="0"/>
          <w:numId w:val="50"/>
        </w:numPr>
        <w:outlineLvl w:val="0"/>
      </w:pPr>
      <w:r w:rsidRPr="00FE3360">
        <w:t>World Health Organisation. (2020). State of the Worlds Nursing 2020: investing in education, jobs and leadership. https://www.who.int/publications/i/item/9789240003279  </w:t>
      </w:r>
    </w:p>
    <w:p w14:paraId="645FBC74" w14:textId="77777777" w:rsidR="00F842D7" w:rsidRPr="00FE3360" w:rsidRDefault="00F842D7" w:rsidP="00F842D7">
      <w:pPr>
        <w:pStyle w:val="AHPRANumberedlistlevel1withspace"/>
        <w:numPr>
          <w:ilvl w:val="0"/>
          <w:numId w:val="50"/>
        </w:numPr>
        <w:outlineLvl w:val="0"/>
      </w:pPr>
      <w:r w:rsidRPr="00FE3360">
        <w:t xml:space="preserve">International Council of Nurses. (2023). Recover to Rebuild: Investing in the Nursing Workforce for Health System Effectiveness. </w:t>
      </w:r>
      <w:hyperlink r:id="rId35" w:history="1">
        <w:r w:rsidRPr="00FE3360">
          <w:rPr>
            <w:rStyle w:val="Hyperlink"/>
            <w:color w:val="auto"/>
            <w:u w:val="none"/>
          </w:rPr>
          <w:t>https://www.icn.ch/system/files/2023-03/ICN_Recover-oRebuild_report_EN.pdf</w:t>
        </w:r>
      </w:hyperlink>
    </w:p>
    <w:p w14:paraId="47CD9039" w14:textId="77777777" w:rsidR="00F842D7" w:rsidRPr="00FE3360" w:rsidRDefault="00F842D7" w:rsidP="00F842D7">
      <w:pPr>
        <w:pStyle w:val="AHPRANumberedlistlevel1withspace"/>
        <w:numPr>
          <w:ilvl w:val="0"/>
          <w:numId w:val="50"/>
        </w:numPr>
        <w:outlineLvl w:val="0"/>
        <w:rPr>
          <w:rFonts w:cs="Arial"/>
          <w:szCs w:val="20"/>
        </w:rPr>
      </w:pPr>
      <w:r w:rsidRPr="00FE3360">
        <w:rPr>
          <w:rFonts w:cs="Arial"/>
          <w:szCs w:val="20"/>
          <w:shd w:val="clear" w:color="auto" w:fill="FFFFFF"/>
        </w:rPr>
        <w:t>Australian Government. Department of Health and Aged Care. (2024). Unleashing the Potential of our Health Workforce. Scope of Practice Review. Issues Paper 1. 23 January 2024.</w:t>
      </w:r>
      <w:r w:rsidRPr="00FE3360">
        <w:rPr>
          <w:rFonts w:cs="Arial"/>
          <w:szCs w:val="20"/>
        </w:rPr>
        <w:t>  </w:t>
      </w:r>
    </w:p>
    <w:p w14:paraId="3422ABA1" w14:textId="77777777" w:rsidR="00F842D7" w:rsidRPr="00FE3360" w:rsidRDefault="00F842D7" w:rsidP="00F842D7">
      <w:pPr>
        <w:pStyle w:val="AHPRANumberedlistlevel1withspace"/>
        <w:numPr>
          <w:ilvl w:val="0"/>
          <w:numId w:val="50"/>
        </w:numPr>
        <w:outlineLvl w:val="0"/>
        <w:rPr>
          <w:szCs w:val="20"/>
        </w:rPr>
      </w:pPr>
      <w:r w:rsidRPr="00FE3360">
        <w:rPr>
          <w:rFonts w:cs="Arial"/>
          <w:szCs w:val="20"/>
          <w:shd w:val="clear" w:color="auto" w:fill="FFFFFF"/>
        </w:rPr>
        <w:t xml:space="preserve">Australian Government. </w:t>
      </w:r>
      <w:r w:rsidRPr="00FE3360">
        <w:rPr>
          <w:szCs w:val="20"/>
        </w:rPr>
        <w:t xml:space="preserve">Australian Institute of Health and Wellbeing. (2021).  General Practice, allied health and other primary care sources. </w:t>
      </w:r>
      <w:hyperlink r:id="rId36" w:history="1">
        <w:r w:rsidRPr="00FE3360">
          <w:rPr>
            <w:rStyle w:val="Hyperlink"/>
            <w:color w:val="auto"/>
            <w:szCs w:val="20"/>
            <w:u w:val="none"/>
          </w:rPr>
          <w:t>https://www.aihw.gov.au/reports/primary-health-care/general-practice-allied-health-and-other-primary-care</w:t>
        </w:r>
      </w:hyperlink>
      <w:r w:rsidRPr="00FE3360">
        <w:rPr>
          <w:szCs w:val="20"/>
        </w:rPr>
        <w:t xml:space="preserve"> services.</w:t>
      </w:r>
    </w:p>
    <w:p w14:paraId="311F1FEC" w14:textId="77777777" w:rsidR="00F842D7" w:rsidRPr="00FE3360" w:rsidRDefault="00F842D7" w:rsidP="00F842D7">
      <w:pPr>
        <w:pStyle w:val="AHPRANumberedlistlevel1withspace"/>
        <w:numPr>
          <w:ilvl w:val="0"/>
          <w:numId w:val="50"/>
        </w:numPr>
        <w:outlineLvl w:val="0"/>
      </w:pPr>
      <w:r w:rsidRPr="00FE3360">
        <w:t>Johnston, J., Longman, J., Ewald, D., King, J., Das, S., &amp; Passey, M. (2020). Study of potentially preventable hospitalisations (PPH) for chronic conditions: what proportion are preventable and what factors are associated with preventable PPH. BMJ open, 10(11), e038415. Retrieved 6/4/2023 http://dx.doi.org/10.1136/bmjopen-2020-038415  </w:t>
      </w:r>
    </w:p>
    <w:p w14:paraId="121871CF" w14:textId="77777777" w:rsidR="00F842D7" w:rsidRPr="00FE3360" w:rsidRDefault="00F842D7" w:rsidP="00F842D7">
      <w:pPr>
        <w:pStyle w:val="AHPRANumberedlistlevel1withspace"/>
        <w:numPr>
          <w:ilvl w:val="0"/>
          <w:numId w:val="50"/>
        </w:numPr>
        <w:outlineLvl w:val="0"/>
      </w:pPr>
      <w:r w:rsidRPr="00FE3360">
        <w:t xml:space="preserve">Australian Health Practitioner Regulation Agency. (2022). Annual Report 2021/2022. </w:t>
      </w:r>
      <w:hyperlink r:id="rId37" w:history="1">
        <w:r w:rsidRPr="00FE3360">
          <w:rPr>
            <w:rStyle w:val="Hyperlink"/>
            <w:color w:val="auto"/>
            <w:u w:val="none"/>
          </w:rPr>
          <w:t>https://www.ahpra.gov.au/Publications/Annual-reports/Annual-Report-2022.aspx</w:t>
        </w:r>
      </w:hyperlink>
    </w:p>
    <w:p w14:paraId="4ED2DA34" w14:textId="77777777" w:rsidR="00F842D7" w:rsidRPr="00FE3360" w:rsidRDefault="00F842D7" w:rsidP="00F842D7">
      <w:pPr>
        <w:pStyle w:val="AHPRANumberedlistlevel1withspace"/>
        <w:numPr>
          <w:ilvl w:val="0"/>
          <w:numId w:val="47"/>
        </w:numPr>
      </w:pPr>
      <w:r w:rsidRPr="00FE3360">
        <w:t xml:space="preserve">Australian Government. Professional Services Review. </w:t>
      </w:r>
      <w:hyperlink r:id="rId38" w:history="1">
        <w:r w:rsidRPr="00FE3360">
          <w:rPr>
            <w:rStyle w:val="Hyperlink"/>
            <w:color w:val="auto"/>
            <w:u w:val="none"/>
          </w:rPr>
          <w:t>https://www.psr.gov.au/about-psr-scheme</w:t>
        </w:r>
      </w:hyperlink>
    </w:p>
    <w:p w14:paraId="0A09EC16" w14:textId="77777777" w:rsidR="00F842D7" w:rsidRPr="00FE3360" w:rsidRDefault="00F842D7" w:rsidP="00F842D7">
      <w:pPr>
        <w:pStyle w:val="AHPRANumberedlistlevel1withspace"/>
        <w:numPr>
          <w:ilvl w:val="0"/>
          <w:numId w:val="50"/>
        </w:numPr>
        <w:outlineLvl w:val="0"/>
      </w:pPr>
      <w:r w:rsidRPr="00FE3360">
        <w:t>Department of Health and Aged Care. Therapeutic Goods Administration. Scheduling basics of medicines and chemicals in Australia. Australian Government. https://www.tga.gov.au/scheduling-basics-medicines-and-chemicals-australia  </w:t>
      </w:r>
    </w:p>
    <w:p w14:paraId="39B2D0C0" w14:textId="77777777" w:rsidR="00F842D7" w:rsidRPr="00FE3360" w:rsidRDefault="00F842D7" w:rsidP="00F842D7">
      <w:pPr>
        <w:pStyle w:val="AHPRANumberedlistlevel1withspace"/>
        <w:numPr>
          <w:ilvl w:val="0"/>
          <w:numId w:val="50"/>
        </w:numPr>
        <w:outlineLvl w:val="0"/>
      </w:pPr>
      <w:r w:rsidRPr="00FE3360">
        <w:t>Department of Health and Aged Care, Therapeutic Goods Administration. (2019) Scheduling handbook: Guidance for the Poisons Standard. Australian Government. https://www.tga.gov.au/resources/resource/guidance/scheduling-handbook-guidance-amendingpoisons-standard  </w:t>
      </w:r>
    </w:p>
    <w:p w14:paraId="1BFF178A" w14:textId="77777777" w:rsidR="00F842D7" w:rsidRPr="00FE3360" w:rsidRDefault="00F842D7" w:rsidP="00F842D7">
      <w:pPr>
        <w:pStyle w:val="AHPRANumberedlistlevel1withspace"/>
        <w:numPr>
          <w:ilvl w:val="0"/>
          <w:numId w:val="50"/>
        </w:numPr>
        <w:outlineLvl w:val="0"/>
      </w:pPr>
      <w:r w:rsidRPr="00FE3360">
        <w:t>Australian Institute of Health and Wellbeing. (2022). Healthcare quality and performance. Australian Government. https://www.aihw.gov.au/reports-data/health-welfareoverview/health-care-quality-performance/health-performance-overview  </w:t>
      </w:r>
    </w:p>
    <w:p w14:paraId="2436CF0B" w14:textId="77777777" w:rsidR="00F842D7" w:rsidRPr="00FE3360" w:rsidRDefault="00F842D7" w:rsidP="00F842D7">
      <w:pPr>
        <w:pStyle w:val="AHPRANumberedlistlevel1withspace"/>
        <w:numPr>
          <w:ilvl w:val="0"/>
          <w:numId w:val="50"/>
        </w:numPr>
        <w:outlineLvl w:val="0"/>
      </w:pPr>
      <w:r w:rsidRPr="00FE3360">
        <w:t xml:space="preserve">Australian Institute of Health and Wellbeing. (2022). Impacts of COVID – 19 on Medicare Benefits Scheme and Pharmaceutical Benefits Scheme, quarterly data. Australian Government. </w:t>
      </w:r>
      <w:r w:rsidRPr="00FE3360">
        <w:lastRenderedPageBreak/>
        <w:t>https://www.aihw.gov.au/reports/health-care-quality-performance/impacts-of-covid19-mbs-pbsquarterly-data/contents/impact-on-pbs-service-utilisation  </w:t>
      </w:r>
    </w:p>
    <w:p w14:paraId="65B19E87" w14:textId="77777777" w:rsidR="00F842D7" w:rsidRPr="00FE3360" w:rsidRDefault="00F842D7" w:rsidP="00F842D7">
      <w:pPr>
        <w:pStyle w:val="AHPRANumberedlistlevel1withspace"/>
        <w:numPr>
          <w:ilvl w:val="0"/>
          <w:numId w:val="50"/>
        </w:numPr>
        <w:outlineLvl w:val="0"/>
      </w:pPr>
      <w:r w:rsidRPr="00FE3360">
        <w:t>Royal Australian College of General Practitioners (RACGP). (2022). General Practice Health of the Nation - An annual insight into the state of Australian general practice. https://www.racgp.org.au/getmedia/80c8bdc9-8886-4055-8a8d-ea793b088e5a/Health-of-theNation.pdf.aspx  </w:t>
      </w:r>
    </w:p>
    <w:p w14:paraId="6A1B9076" w14:textId="77777777" w:rsidR="00F842D7" w:rsidRPr="00FE3360" w:rsidRDefault="00F842D7" w:rsidP="00F842D7">
      <w:pPr>
        <w:pStyle w:val="AHPRANumberedlistlevel1withspace"/>
        <w:numPr>
          <w:ilvl w:val="0"/>
          <w:numId w:val="50"/>
        </w:numPr>
        <w:outlineLvl w:val="0"/>
      </w:pPr>
      <w:r w:rsidRPr="00FE3360">
        <w:t>The Australian Commission on Safety and Quality in Health Care. (2017). National Safety and Quality Health Service Standards. https://www.safetyandquality.gov.au/sites/default/files/2019-05/national-safety-and-quality-health-service-standards-guide-for-hospitals.pdf </w:t>
      </w:r>
    </w:p>
    <w:p w14:paraId="3E81DC87" w14:textId="77777777" w:rsidR="00F842D7" w:rsidRPr="00FE3360" w:rsidRDefault="00F842D7" w:rsidP="00F842D7">
      <w:pPr>
        <w:pStyle w:val="AHPRANumberedlistlevel1withspace"/>
        <w:numPr>
          <w:ilvl w:val="0"/>
          <w:numId w:val="50"/>
        </w:numPr>
        <w:outlineLvl w:val="0"/>
      </w:pPr>
      <w:r w:rsidRPr="00FE3360">
        <w:t>Pennington, K.R., Clark, K.D., &amp; Knight, S. (2020). A bitter pill to swallow: registered nurses and medicines regulation in remote Australia. Rural Remote Health, 20(4), 6020. https://doi.org/10.22605/RRH6020 </w:t>
      </w:r>
    </w:p>
    <w:p w14:paraId="16F602D5" w14:textId="77777777" w:rsidR="00F842D7" w:rsidRPr="00FE3360" w:rsidRDefault="00F842D7" w:rsidP="00F842D7">
      <w:pPr>
        <w:pStyle w:val="AHPRANumberedlistlevel1withspace"/>
        <w:numPr>
          <w:ilvl w:val="0"/>
          <w:numId w:val="50"/>
        </w:numPr>
        <w:outlineLvl w:val="0"/>
      </w:pPr>
      <w:r w:rsidRPr="00FE3360">
        <w:t>Health Workforce Australia. (2013). Health professionals prescribing pathway (HPPP) project final report. https://www.aims.org.au/documents/item/400  </w:t>
      </w:r>
    </w:p>
    <w:p w14:paraId="76D76C68" w14:textId="77777777" w:rsidR="00F842D7" w:rsidRPr="00FE3360" w:rsidRDefault="00F842D7" w:rsidP="00F842D7">
      <w:pPr>
        <w:pStyle w:val="AHPRANumberedlistlevel1withspace"/>
        <w:numPr>
          <w:ilvl w:val="0"/>
          <w:numId w:val="50"/>
        </w:numPr>
        <w:outlineLvl w:val="0"/>
      </w:pPr>
      <w:r w:rsidRPr="00FE3360">
        <w:t>Nursing and Midwifery Board of Australia. Quarterly registrant data to 31 December 2022. Australian Health Practitioner Regulation Agency. https://www.nursingmidwiferyboard.gov.au/About/Statistics.aspx  </w:t>
      </w:r>
    </w:p>
    <w:p w14:paraId="4166D97A" w14:textId="77777777" w:rsidR="00F842D7" w:rsidRPr="00FE3360" w:rsidRDefault="00F842D7" w:rsidP="00F842D7">
      <w:pPr>
        <w:pStyle w:val="AHPRANumberedlistlevel1withspace"/>
        <w:numPr>
          <w:ilvl w:val="0"/>
          <w:numId w:val="50"/>
        </w:numPr>
        <w:outlineLvl w:val="0"/>
      </w:pPr>
      <w:r w:rsidRPr="00FE3360">
        <w:t>Wilhelmsson, S., &amp; Foldevi, M. (2003). Exploring views on Swedish district nurses’ prescribing: a focus group study in primary healthcare. Journal of Clinical Nursing, 12(5), 643–50. https://doi.org/10.1046/j.1365-2702.2003.00716.x  </w:t>
      </w:r>
    </w:p>
    <w:p w14:paraId="21B1F55D" w14:textId="77777777" w:rsidR="00F842D7" w:rsidRPr="00FE3360" w:rsidRDefault="00F842D7" w:rsidP="00F842D7">
      <w:pPr>
        <w:pStyle w:val="AHPRANumberedlistlevel1withspace"/>
        <w:numPr>
          <w:ilvl w:val="0"/>
          <w:numId w:val="50"/>
        </w:numPr>
        <w:outlineLvl w:val="0"/>
      </w:pPr>
      <w:r w:rsidRPr="00FE3360">
        <w:t>Avery, A.J., &amp; James, V. Developing nurse prescribing in the UK. (2007). BMJ, 18, 335. https://doi.org/10.1136/bmj.39285.788808.3B  </w:t>
      </w:r>
    </w:p>
    <w:p w14:paraId="431EB4AC" w14:textId="77777777" w:rsidR="00F842D7" w:rsidRPr="00FE3360" w:rsidRDefault="00F842D7" w:rsidP="00F842D7">
      <w:pPr>
        <w:pStyle w:val="AHPRANumberedlistlevel1withspace"/>
        <w:numPr>
          <w:ilvl w:val="0"/>
          <w:numId w:val="50"/>
        </w:numPr>
        <w:outlineLvl w:val="0"/>
      </w:pPr>
      <w:r w:rsidRPr="00FE3360">
        <w:t>Naughton, C., Drennan. J., Hyde, A., Allen, D., O’Boyle, K., Feele, P., &amp; Butler, M. (2013). An evaluation of the appropriateness and safety of nurse and midwife prescribing in Ireland. Journal of Advanced Nursing, 69(7), 1478-1488. https://doi.org/10.1111/jan.12004  </w:t>
      </w:r>
    </w:p>
    <w:p w14:paraId="0C05F3B1" w14:textId="77777777" w:rsidR="00F842D7" w:rsidRPr="00FE3360" w:rsidRDefault="00F842D7" w:rsidP="00F842D7">
      <w:pPr>
        <w:pStyle w:val="AHPRANumberedlistlevel1withspace"/>
        <w:numPr>
          <w:ilvl w:val="0"/>
          <w:numId w:val="50"/>
        </w:numPr>
        <w:outlineLvl w:val="0"/>
      </w:pPr>
      <w:r w:rsidRPr="00FE3360">
        <w:t>Nursing Council of New Zealand. (2022). Preparation and guidance for employers and registered nurses prescribing in primary health and specialty teams. https://www.nursingcouncil.org.nz/Public/Nursing/Nurse_prescribing/RN_prescribing_in_primary_health_and_specialty/NCNZ/nursingsection/Registered_nurse_prescribing_in_primary_health_and_speci alty_teams.aspx  </w:t>
      </w:r>
    </w:p>
    <w:p w14:paraId="5B629288" w14:textId="77777777" w:rsidR="00F842D7" w:rsidRPr="00FE3360" w:rsidRDefault="00F842D7" w:rsidP="00F842D7">
      <w:pPr>
        <w:pStyle w:val="AHPRANumberedlistlevel1withspace"/>
        <w:numPr>
          <w:ilvl w:val="0"/>
          <w:numId w:val="50"/>
        </w:numPr>
        <w:outlineLvl w:val="0"/>
      </w:pPr>
      <w:r w:rsidRPr="00FE3360">
        <w:t>Nuttall, D. (2018). Nurse prescribing in primary care: a metasynthesis of the literature. Primary Healthcare Research and Development, 19(1), 7-22. https://doi.org/10.1017/S1463423617000500  </w:t>
      </w:r>
    </w:p>
    <w:p w14:paraId="6F9C6550" w14:textId="77777777" w:rsidR="00F842D7" w:rsidRPr="00FE3360" w:rsidRDefault="00F842D7" w:rsidP="00F842D7">
      <w:pPr>
        <w:pStyle w:val="AHPRANumberedlistlevel1withspace"/>
        <w:numPr>
          <w:ilvl w:val="0"/>
          <w:numId w:val="50"/>
        </w:numPr>
        <w:outlineLvl w:val="0"/>
      </w:pPr>
      <w:r w:rsidRPr="00FE3360">
        <w:t>Lennon, R., Fallon A. (2018). The experiences of being a registered nurse prescriber within an acute service setting. Journal of Clinical Nursing, 27(3-4), 523-534. https://doi.org/10.1111/jocn.14087  </w:t>
      </w:r>
    </w:p>
    <w:p w14:paraId="5DE79C35" w14:textId="77777777" w:rsidR="00F842D7" w:rsidRPr="00FE3360" w:rsidRDefault="00F842D7" w:rsidP="00F842D7">
      <w:pPr>
        <w:pStyle w:val="AHPRANumberedlistlevel1withspace"/>
        <w:numPr>
          <w:ilvl w:val="0"/>
          <w:numId w:val="50"/>
        </w:numPr>
        <w:outlineLvl w:val="0"/>
      </w:pPr>
      <w:r w:rsidRPr="00FE3360">
        <w:t>Weeks, G., George, J., Maclure, K., &amp; Stewart, D. (2014). Non</w:t>
      </w:r>
      <w:r w:rsidRPr="00FE3360">
        <w:rPr>
          <w:rFonts w:ascii="Cambria Math" w:hAnsi="Cambria Math" w:cs="Cambria Math"/>
        </w:rPr>
        <w:t>‐</w:t>
      </w:r>
      <w:r w:rsidRPr="00FE3360">
        <w:t>medical prescribing versus medical prescribing for acute and chronic disease management in primary and secondary care. Cochrane Database of Systematic Reviews, (11). https://doi.org/10.1002/14651858.CD011227  </w:t>
      </w:r>
    </w:p>
    <w:p w14:paraId="196077B2" w14:textId="77777777" w:rsidR="00F842D7" w:rsidRPr="00FE3360" w:rsidRDefault="00F842D7" w:rsidP="00F842D7">
      <w:pPr>
        <w:pStyle w:val="AHPRANumberedlistlevel1withspace"/>
        <w:numPr>
          <w:ilvl w:val="0"/>
          <w:numId w:val="50"/>
        </w:numPr>
        <w:outlineLvl w:val="0"/>
      </w:pPr>
      <w:r w:rsidRPr="00FE3360">
        <w:t>Carey, N., &amp; Courtenay, M. (2007). Service delivery by nurse prescribers for diabetes care. Nurse Prescribing, 5(10), 443-9. https://doi.org/10.12968/npre.2007.5.10.27555  </w:t>
      </w:r>
    </w:p>
    <w:p w14:paraId="24DCA45C" w14:textId="77777777" w:rsidR="00F842D7" w:rsidRPr="00FE3360" w:rsidRDefault="00F842D7" w:rsidP="00F842D7">
      <w:pPr>
        <w:pStyle w:val="AHPRANumberedlistlevel1withspace"/>
        <w:numPr>
          <w:ilvl w:val="0"/>
          <w:numId w:val="50"/>
        </w:numPr>
        <w:outlineLvl w:val="0"/>
      </w:pPr>
      <w:r w:rsidRPr="00FE3360">
        <w:t>Carey, N., Courtenay, M., James, J., Hills, M., &amp; Roland, J. (2008) An evaluation of a Diabetes Specialist Nurse prescriber on the system of delivering medicines to patients with diabetes. Journal of Clinical Nursing, 17(12), 1635-44. https://doi.org/10.1111/j.1365-2702.2007.02197.x  </w:t>
      </w:r>
    </w:p>
    <w:p w14:paraId="3F9A15D8" w14:textId="77777777" w:rsidR="00F842D7" w:rsidRPr="00FE3360" w:rsidRDefault="00F842D7" w:rsidP="00F842D7">
      <w:pPr>
        <w:pStyle w:val="AHPRANumberedlistlevel1withspace"/>
        <w:numPr>
          <w:ilvl w:val="0"/>
          <w:numId w:val="50"/>
        </w:numPr>
        <w:outlineLvl w:val="0"/>
      </w:pPr>
      <w:r w:rsidRPr="00FE3360">
        <w:t>Dawson, S. Evaluation of nurse prescribing in a community palliative care team. (2013). Nurse Prescribing, 11(5), 246-249. https://doi.org/10.12968/npre.2013.11.5.246  </w:t>
      </w:r>
    </w:p>
    <w:p w14:paraId="1544D0B2" w14:textId="77777777" w:rsidR="00F842D7" w:rsidRPr="00FE3360" w:rsidRDefault="00F842D7" w:rsidP="00F842D7">
      <w:pPr>
        <w:pStyle w:val="AHPRANumberedlistlevel1withspace"/>
        <w:numPr>
          <w:ilvl w:val="0"/>
          <w:numId w:val="50"/>
        </w:numPr>
        <w:outlineLvl w:val="0"/>
      </w:pPr>
      <w:r w:rsidRPr="00FE3360">
        <w:t>Camping, N., Birtwistle, J., Richardson, A., Bennett, M.I., Meads, D., Santer, M., &amp; Latter S. (2022). Access to palliative care medicines in the community: An evaluation of practice and costs using case studies of service models in England. International Journal of Nursing Studies, 132, 104275. https://doi.org/10.1016/j.ijnurstu.2022.104275  </w:t>
      </w:r>
    </w:p>
    <w:p w14:paraId="0C06EC3F" w14:textId="77777777" w:rsidR="00F842D7" w:rsidRPr="00FE3360" w:rsidRDefault="00F842D7" w:rsidP="00F842D7">
      <w:pPr>
        <w:pStyle w:val="AHPRANumberedlistlevel1withspace"/>
        <w:numPr>
          <w:ilvl w:val="0"/>
          <w:numId w:val="50"/>
        </w:numPr>
        <w:outlineLvl w:val="0"/>
      </w:pPr>
      <w:r w:rsidRPr="00FE3360">
        <w:lastRenderedPageBreak/>
        <w:t>Courtenay, M., Carey, N., &amp; Burke, J. (2007). Independent extended and supplementary nurse prescribing practice in the UK: a national questionnaire survey. International Journal of Nursing Studies, 44(7), 1093-1101. https://doi.org/10.1016/j.ijnurstu.2006.04.005  </w:t>
      </w:r>
    </w:p>
    <w:p w14:paraId="00A1ED7B" w14:textId="77777777" w:rsidR="00F842D7" w:rsidRPr="00FE3360" w:rsidRDefault="00F842D7" w:rsidP="00F842D7">
      <w:pPr>
        <w:pStyle w:val="AHPRANumberedlistlevel1withspace"/>
        <w:numPr>
          <w:ilvl w:val="0"/>
          <w:numId w:val="50"/>
        </w:numPr>
        <w:outlineLvl w:val="0"/>
      </w:pPr>
      <w:r w:rsidRPr="00FE3360">
        <w:t>Edwards, J., Coward, M., &amp; Carey, N. (2022). Barriers and facilitators to implementation of non-medical independent prescribing in primary care in the UK: a qualitative systematic review. BMJ, 12, e052227. https://bmjopen.bmj.com/content/bmjopen/12/6/e052227.full.pdf  </w:t>
      </w:r>
    </w:p>
    <w:p w14:paraId="5F202AD3" w14:textId="77777777" w:rsidR="00F842D7" w:rsidRPr="00FE3360" w:rsidRDefault="00F842D7" w:rsidP="00F842D7">
      <w:pPr>
        <w:pStyle w:val="AHPRANumberedlistlevel1withspace"/>
        <w:numPr>
          <w:ilvl w:val="0"/>
          <w:numId w:val="50"/>
        </w:numPr>
        <w:outlineLvl w:val="0"/>
      </w:pPr>
      <w:r w:rsidRPr="00FE3360">
        <w:t>Courtenay, M. (2018). An overview of developments in nurse prescribing in the UK. Nursing Standard, 33(1):40-44. https://doi.org/10.7748/ns.2018.e11078   </w:t>
      </w:r>
    </w:p>
    <w:p w14:paraId="7017C1C2" w14:textId="77777777" w:rsidR="00F842D7" w:rsidRPr="00FE3360" w:rsidRDefault="00F842D7" w:rsidP="00F842D7">
      <w:pPr>
        <w:pStyle w:val="AHPRANumberedlistlevel1withspace"/>
        <w:numPr>
          <w:ilvl w:val="0"/>
          <w:numId w:val="50"/>
        </w:numPr>
        <w:outlineLvl w:val="0"/>
      </w:pPr>
      <w:r w:rsidRPr="00FE3360">
        <w:t xml:space="preserve">Fox, A., Joseph, R., Cardiff, L., Thomas, D., Yates, P., Nissen, L., &amp; Javan Chan, R. (2021). Evidence informed implementation of nurse prescriber under supervision: An integrative review. Journal of Advanced Nursing, 2, 301-313. </w:t>
      </w:r>
      <w:hyperlink r:id="rId39" w:history="1">
        <w:r w:rsidRPr="00FE3360">
          <w:rPr>
            <w:rStyle w:val="Hyperlink"/>
            <w:color w:val="auto"/>
            <w:u w:val="none"/>
          </w:rPr>
          <w:t>https://doi.org/10.1111/jan.14992</w:t>
        </w:r>
      </w:hyperlink>
    </w:p>
    <w:p w14:paraId="5A71245D" w14:textId="77777777" w:rsidR="00F842D7" w:rsidRPr="00FE3360" w:rsidRDefault="00F842D7" w:rsidP="00F842D7">
      <w:pPr>
        <w:pStyle w:val="AHPRANumberedlistlevel1withspace"/>
        <w:numPr>
          <w:ilvl w:val="0"/>
          <w:numId w:val="47"/>
        </w:numPr>
        <w:rPr>
          <w:rFonts w:cs="Arial"/>
          <w:szCs w:val="20"/>
          <w:shd w:val="clear" w:color="auto" w:fill="FFFFFF"/>
        </w:rPr>
      </w:pPr>
      <w:r w:rsidRPr="00FE3360">
        <w:rPr>
          <w:shd w:val="clear" w:color="auto" w:fill="FFFFFF"/>
        </w:rPr>
        <w:t>Australian Government. (2005). Australia's Health Workforce. Productivity Commission Research Report. Canberra: Australian Government Productivity Commission.</w:t>
      </w:r>
      <w:r w:rsidRPr="00FE3360">
        <w:t xml:space="preserve"> </w:t>
      </w:r>
      <w:hyperlink r:id="rId40" w:history="1">
        <w:r w:rsidRPr="00FE3360">
          <w:rPr>
            <w:rStyle w:val="Hyperlink"/>
            <w:rFonts w:cs="Arial"/>
            <w:color w:val="auto"/>
            <w:szCs w:val="20"/>
            <w:u w:val="none"/>
            <w:shd w:val="clear" w:color="auto" w:fill="FFFFFF"/>
          </w:rPr>
          <w:t>https://www.pc.gov.au/inquiries/completed/health-workforce/report/healthworkforce.pdf</w:t>
        </w:r>
      </w:hyperlink>
    </w:p>
    <w:p w14:paraId="418CEB69" w14:textId="77777777" w:rsidR="00F842D7" w:rsidRPr="00FE3360" w:rsidRDefault="00F842D7" w:rsidP="00F842D7">
      <w:pPr>
        <w:pStyle w:val="AHPRAbody"/>
        <w:ind w:left="369" w:hanging="369"/>
        <w:rPr>
          <w:rFonts w:ascii="Segoe UI" w:hAnsi="Segoe UI" w:cs="Segoe UI"/>
          <w:sz w:val="18"/>
          <w:szCs w:val="18"/>
          <w:shd w:val="clear" w:color="auto" w:fill="FFFFFF"/>
        </w:rPr>
      </w:pPr>
      <w:r w:rsidRPr="00FE3360">
        <w:t>39</w:t>
      </w:r>
      <w:r w:rsidRPr="00FE3360">
        <w:rPr>
          <w:szCs w:val="20"/>
        </w:rPr>
        <w:t xml:space="preserve">. </w:t>
      </w:r>
      <w:r w:rsidRPr="00FE3360">
        <w:rPr>
          <w:szCs w:val="20"/>
          <w:shd w:val="clear" w:color="auto" w:fill="FFFFFF"/>
        </w:rPr>
        <w:t xml:space="preserve">National Health Workforce Planning and Research Collaboration. (2010). </w:t>
      </w:r>
      <w:r w:rsidRPr="00FE3360">
        <w:rPr>
          <w:rStyle w:val="Emphasis"/>
          <w:szCs w:val="20"/>
          <w:shd w:val="clear" w:color="auto" w:fill="FFFFFF"/>
        </w:rPr>
        <w:t>Non-Medical prescribing. An exploration of likely nature of, and contingencies for, developing a nationally consistent approach to prescribing by non-medical health professionals</w:t>
      </w:r>
      <w:r w:rsidRPr="00FE3360">
        <w:rPr>
          <w:szCs w:val="20"/>
          <w:shd w:val="clear" w:color="auto" w:fill="FFFFFF"/>
        </w:rPr>
        <w:t>. Final Report</w:t>
      </w:r>
      <w:r w:rsidRPr="00FE3360">
        <w:rPr>
          <w:rFonts w:ascii="Segoe UI" w:hAnsi="Segoe UI" w:cs="Segoe UI"/>
          <w:sz w:val="18"/>
          <w:szCs w:val="18"/>
          <w:shd w:val="clear" w:color="auto" w:fill="FFFFFF"/>
        </w:rPr>
        <w:t>.</w:t>
      </w:r>
    </w:p>
    <w:p w14:paraId="562FFD00" w14:textId="77777777" w:rsidR="00F842D7" w:rsidRPr="00FE3360" w:rsidRDefault="00F842D7" w:rsidP="00F842D7">
      <w:pPr>
        <w:pStyle w:val="AHPRAbody"/>
        <w:ind w:left="369" w:hanging="369"/>
      </w:pPr>
      <w:r w:rsidRPr="00FE3360">
        <w:rPr>
          <w:szCs w:val="20"/>
          <w:shd w:val="clear" w:color="auto" w:fill="FFFFFF"/>
        </w:rPr>
        <w:t>40</w:t>
      </w:r>
      <w:r w:rsidRPr="00FE3360">
        <w:t xml:space="preserve">. Latter, S.,Campling, N.,Birtswistle, J., Richardson, A., Bennet, M., Ewings, D,. &amp; Santer, M. (2020). Supporting access to medicines in community palliative care: on-line survey of health professionals’ practice, perceived effectiveness and influencing factors. BMC Palliative Care, 12, 148, 2-9. </w:t>
      </w:r>
      <w:hyperlink r:id="rId41" w:history="1">
        <w:r w:rsidRPr="00FE3360">
          <w:rPr>
            <w:rStyle w:val="Hyperlink"/>
            <w:color w:val="auto"/>
            <w:u w:val="none"/>
            <w:shd w:val="clear" w:color="auto" w:fill="FFFFFF"/>
          </w:rPr>
          <w:t>https://doi.org/10.1186/s12904-020-00649-3</w:t>
        </w:r>
      </w:hyperlink>
    </w:p>
    <w:p w14:paraId="0A09CB62" w14:textId="77777777" w:rsidR="00F842D7" w:rsidRPr="00FE3360" w:rsidRDefault="00F842D7" w:rsidP="00F842D7">
      <w:pPr>
        <w:pStyle w:val="AHPRAbody"/>
        <w:ind w:left="369" w:hanging="369"/>
        <w:rPr>
          <w:szCs w:val="20"/>
        </w:rPr>
      </w:pPr>
      <w:r w:rsidRPr="00FE3360">
        <w:rPr>
          <w:szCs w:val="20"/>
          <w:shd w:val="clear" w:color="auto" w:fill="FFFFFF"/>
        </w:rPr>
        <w:t xml:space="preserve">41. Nous Group. (2023).  Evidence base for additional investment in rural health in Australia National Rural Health Alliance 23 June 2023 </w:t>
      </w:r>
      <w:hyperlink r:id="rId42" w:tgtFrame="_blank" w:tooltip="https://www.ruralhealth.org.au/sites/default/files/documents/nrha-policy-document/policy-development/evidence-base-additional-investment-rural-health-australia-june-2023.pdf" w:history="1">
        <w:r w:rsidRPr="00FE3360">
          <w:rPr>
            <w:rStyle w:val="Hyperlink"/>
            <w:color w:val="auto"/>
            <w:szCs w:val="20"/>
            <w:u w:val="none"/>
            <w:shd w:val="clear" w:color="auto" w:fill="FFFFFF"/>
          </w:rPr>
          <w:t>https://www.ruralhealth.org.au/sites/default/files/documents/nrha-policy-document/policy-development/evidence-base-additional-investment-rural-health-australia-june-2023.pdf</w:t>
        </w:r>
      </w:hyperlink>
    </w:p>
    <w:p w14:paraId="34CC3509" w14:textId="77777777" w:rsidR="00F842D7" w:rsidRPr="00FE3360" w:rsidRDefault="00F842D7" w:rsidP="422F38A3">
      <w:pPr>
        <w:pStyle w:val="NormalWeb"/>
        <w:shd w:val="clear" w:color="auto" w:fill="FFFFFF" w:themeFill="background1"/>
        <w:spacing w:before="0" w:beforeAutospacing="0" w:after="200" w:afterAutospacing="0"/>
        <w:ind w:left="369" w:hanging="369"/>
        <w:rPr>
          <w:rFonts w:ascii="Arial" w:hAnsi="Arial" w:cs="Arial"/>
          <w:sz w:val="20"/>
          <w:szCs w:val="20"/>
        </w:rPr>
      </w:pPr>
      <w:r w:rsidRPr="422F38A3">
        <w:rPr>
          <w:rFonts w:ascii="Arial" w:hAnsi="Arial" w:cs="Arial"/>
          <w:sz w:val="20"/>
          <w:szCs w:val="20"/>
        </w:rPr>
        <w:t xml:space="preserve">42. </w:t>
      </w:r>
      <w:hyperlink r:id="rId43" w:history="1">
        <w:r w:rsidRPr="422F38A3">
          <w:rPr>
            <w:rStyle w:val="Hyperlink"/>
            <w:rFonts w:ascii="Arial" w:hAnsi="Arial" w:cs="Arial"/>
            <w:color w:val="auto"/>
            <w:sz w:val="20"/>
            <w:szCs w:val="20"/>
            <w:u w:val="none"/>
            <w:shd w:val="clear" w:color="auto" w:fill="FFFFFF"/>
          </w:rPr>
          <w:t>Attwooll</w:t>
        </w:r>
      </w:hyperlink>
      <w:r w:rsidRPr="422F38A3">
        <w:rPr>
          <w:rFonts w:ascii="Arial" w:hAnsi="Arial" w:cs="Arial"/>
          <w:sz w:val="20"/>
          <w:szCs w:val="20"/>
        </w:rPr>
        <w:t xml:space="preserve">, J. (2023). News GP. </w:t>
      </w:r>
      <w:r w:rsidRPr="422F38A3">
        <w:rPr>
          <w:rFonts w:ascii="Arial" w:hAnsi="Arial" w:cs="Arial"/>
          <w:sz w:val="20"/>
          <w:szCs w:val="20"/>
          <w:shd w:val="clear" w:color="auto" w:fill="FFFFFF"/>
        </w:rPr>
        <w:t>Huge disadvantages for rural patients exposed.</w:t>
      </w:r>
      <w:r w:rsidRPr="422F38A3">
        <w:rPr>
          <w:rFonts w:ascii="Arial" w:hAnsi="Arial" w:cs="Arial"/>
          <w:sz w:val="20"/>
          <w:szCs w:val="20"/>
        </w:rPr>
        <w:t xml:space="preserve"> </w:t>
      </w:r>
      <w:r w:rsidRPr="422F38A3">
        <w:rPr>
          <w:rFonts w:ascii="Arial" w:hAnsi="Arial" w:cs="Arial"/>
          <w:sz w:val="20"/>
          <w:szCs w:val="20"/>
          <w:shd w:val="clear" w:color="auto" w:fill="FFFFFF"/>
        </w:rPr>
        <w:t>New details in an already concerning picture have emerged in research carried out on behalf of the National Rural Health Alliance.</w:t>
      </w:r>
      <w:hyperlink r:id="rId44" w:history="1">
        <w:r w:rsidRPr="422F38A3">
          <w:rPr>
            <w:rStyle w:val="Hyperlink"/>
            <w:rFonts w:ascii="Arial" w:hAnsi="Arial" w:cs="Arial"/>
            <w:color w:val="auto"/>
            <w:sz w:val="20"/>
            <w:szCs w:val="20"/>
            <w:u w:val="none"/>
          </w:rPr>
          <w:t>https://www1.racgp.org.au/newsgp/professional/huge-disadvantages-for-rural-patients-exposed</w:t>
        </w:r>
      </w:hyperlink>
    </w:p>
    <w:p w14:paraId="191B6A39" w14:textId="77777777" w:rsidR="00F842D7" w:rsidRPr="00FE3360" w:rsidRDefault="00F842D7" w:rsidP="00F842D7">
      <w:pPr>
        <w:pStyle w:val="NormalWeb"/>
        <w:shd w:val="clear" w:color="auto" w:fill="FFFFFF"/>
        <w:spacing w:before="0" w:beforeAutospacing="0" w:after="200" w:afterAutospacing="0"/>
        <w:ind w:left="369" w:hanging="369"/>
        <w:rPr>
          <w:rFonts w:ascii="Arial" w:hAnsi="Arial" w:cs="Arial"/>
          <w:sz w:val="20"/>
          <w:szCs w:val="20"/>
        </w:rPr>
      </w:pPr>
      <w:r w:rsidRPr="00FE3360">
        <w:rPr>
          <w:rFonts w:ascii="Arial" w:hAnsi="Arial" w:cs="Arial"/>
          <w:sz w:val="20"/>
          <w:szCs w:val="20"/>
        </w:rPr>
        <w:t xml:space="preserve">43. Australian Government. Australian Institute of Health and Welfare (AIHW). (2023) Rural and Remote Health. </w:t>
      </w:r>
      <w:hyperlink r:id="rId45" w:history="1">
        <w:r w:rsidRPr="00FE3360">
          <w:rPr>
            <w:rStyle w:val="Hyperlink"/>
            <w:rFonts w:ascii="Arial" w:hAnsi="Arial" w:cs="Arial"/>
            <w:color w:val="auto"/>
            <w:sz w:val="20"/>
            <w:szCs w:val="20"/>
            <w:u w:val="none"/>
          </w:rPr>
          <w:t>https://www.aihw.gov.au/reports/rural-remote-australians/rural-and-remote-health</w:t>
        </w:r>
      </w:hyperlink>
    </w:p>
    <w:p w14:paraId="4BC6B8EA" w14:textId="77777777" w:rsidR="00F842D7" w:rsidRPr="00B50B4D" w:rsidRDefault="00F842D7" w:rsidP="00F842D7">
      <w:pPr>
        <w:pStyle w:val="NormalWeb"/>
        <w:shd w:val="clear" w:color="auto" w:fill="FFFFFF"/>
        <w:spacing w:before="0" w:beforeAutospacing="0" w:after="200" w:afterAutospacing="0"/>
        <w:ind w:left="369" w:hanging="369"/>
        <w:rPr>
          <w:rFonts w:ascii="Arial" w:hAnsi="Arial" w:cs="Arial"/>
          <w:sz w:val="20"/>
          <w:szCs w:val="20"/>
          <w:shd w:val="clear" w:color="auto" w:fill="FFFFFF"/>
        </w:rPr>
      </w:pPr>
      <w:r w:rsidRPr="00FE3360">
        <w:rPr>
          <w:rFonts w:ascii="Arial" w:hAnsi="Arial" w:cs="Arial"/>
          <w:sz w:val="20"/>
          <w:szCs w:val="20"/>
        </w:rPr>
        <w:t xml:space="preserve">44. </w:t>
      </w:r>
      <w:r w:rsidRPr="00FE3360">
        <w:rPr>
          <w:rFonts w:ascii="Arial" w:hAnsi="Arial" w:cs="Arial"/>
          <w:sz w:val="20"/>
          <w:szCs w:val="20"/>
          <w:shd w:val="clear" w:color="auto" w:fill="FFFFFF"/>
        </w:rPr>
        <w:t>Australian Government. Australian Institute of Health and Welfare (AIHW). I</w:t>
      </w:r>
      <w:r w:rsidRPr="00FE3360">
        <w:rPr>
          <w:rStyle w:val="Emphasis"/>
          <w:rFonts w:ascii="Arial" w:hAnsi="Arial" w:cs="Arial"/>
          <w:sz w:val="20"/>
          <w:szCs w:val="20"/>
          <w:shd w:val="clear" w:color="auto" w:fill="FFFFFF"/>
        </w:rPr>
        <w:t>ndigenous Australians and the health system.</w:t>
      </w:r>
      <w:r w:rsidRPr="00FE3360">
        <w:rPr>
          <w:rStyle w:val="Emphasis"/>
          <w:rFonts w:ascii="Arial" w:hAnsi="Arial" w:cs="Arial"/>
          <w:b/>
          <w:bCs/>
          <w:sz w:val="20"/>
          <w:szCs w:val="20"/>
          <w:shd w:val="clear" w:color="auto" w:fill="FFFFFF"/>
        </w:rPr>
        <w:t xml:space="preserve"> </w:t>
      </w:r>
      <w:r w:rsidRPr="00FE3360">
        <w:rPr>
          <w:rFonts w:ascii="Arial" w:hAnsi="Arial" w:cs="Arial"/>
          <w:sz w:val="20"/>
          <w:szCs w:val="20"/>
          <w:shd w:val="clear" w:color="auto" w:fill="FFFFFF"/>
        </w:rPr>
        <w:t xml:space="preserve">Australian Government. </w:t>
      </w:r>
      <w:hyperlink r:id="rId46" w:tgtFrame="_blank" w:tooltip="https://www.aihw.gov.au/reports/australias-health/indigenous-australians-use-of-health-services" w:history="1">
        <w:r w:rsidRPr="00B50B4D">
          <w:rPr>
            <w:rStyle w:val="Hyperlink"/>
            <w:rFonts w:ascii="Arial" w:hAnsi="Arial" w:cs="Arial"/>
            <w:color w:val="auto"/>
            <w:sz w:val="20"/>
            <w:szCs w:val="20"/>
            <w:u w:val="none"/>
            <w:shd w:val="clear" w:color="auto" w:fill="FFFFFF"/>
          </w:rPr>
          <w:t>https://www.aihw.gov.au/reports/australias-health/indigenous-australians-use-of-health-services</w:t>
        </w:r>
      </w:hyperlink>
      <w:r w:rsidRPr="00B50B4D">
        <w:rPr>
          <w:rFonts w:ascii="Arial" w:hAnsi="Arial" w:cs="Arial"/>
          <w:sz w:val="20"/>
          <w:szCs w:val="20"/>
          <w:shd w:val="clear" w:color="auto" w:fill="FFFFFF"/>
        </w:rPr>
        <w:t> </w:t>
      </w:r>
    </w:p>
    <w:p w14:paraId="21B0C94B" w14:textId="77777777" w:rsidR="00F842D7" w:rsidRPr="00B50B4D" w:rsidRDefault="00F842D7" w:rsidP="00F842D7">
      <w:pPr>
        <w:pStyle w:val="NormalWeb"/>
        <w:shd w:val="clear" w:color="auto" w:fill="FFFFFF"/>
        <w:spacing w:before="0" w:beforeAutospacing="0" w:after="200" w:afterAutospacing="0"/>
        <w:ind w:left="369" w:hanging="369"/>
        <w:rPr>
          <w:rFonts w:ascii="Arial" w:hAnsi="Arial" w:cs="Arial"/>
          <w:sz w:val="20"/>
          <w:szCs w:val="20"/>
          <w:shd w:val="clear" w:color="auto" w:fill="FFFFFF"/>
        </w:rPr>
      </w:pPr>
      <w:r w:rsidRPr="00B50B4D">
        <w:rPr>
          <w:rFonts w:ascii="Arial" w:hAnsi="Arial" w:cs="Arial"/>
          <w:sz w:val="20"/>
          <w:szCs w:val="20"/>
          <w:shd w:val="clear" w:color="auto" w:fill="FFFFFF"/>
        </w:rPr>
        <w:t>45. Australian Government. Australian Institute of Health and Welfare. National Indigenous Australians Agency. (2023). Aboriginal and Torres Strait Islander Health Performance Framework: summary report.</w:t>
      </w:r>
      <w:r w:rsidRPr="00B50B4D">
        <w:t xml:space="preserve"> </w:t>
      </w:r>
      <w:hyperlink r:id="rId47" w:history="1">
        <w:r w:rsidRPr="00B50B4D">
          <w:rPr>
            <w:rStyle w:val="Hyperlink"/>
            <w:rFonts w:ascii="Arial" w:hAnsi="Arial" w:cs="Arial"/>
            <w:color w:val="auto"/>
            <w:sz w:val="20"/>
            <w:szCs w:val="20"/>
            <w:u w:val="none"/>
            <w:shd w:val="clear" w:color="auto" w:fill="FFFFFF"/>
          </w:rPr>
          <w:t>https://www.indigenoushpf.gov.au/report-overview/overview/summary-report</w:t>
        </w:r>
      </w:hyperlink>
    </w:p>
    <w:p w14:paraId="16270562" w14:textId="77777777" w:rsidR="00F842D7" w:rsidRPr="00B50B4D" w:rsidRDefault="00F842D7" w:rsidP="422F38A3">
      <w:pPr>
        <w:pStyle w:val="NormalWeb"/>
        <w:shd w:val="clear" w:color="auto" w:fill="FFFFFF" w:themeFill="background1"/>
        <w:spacing w:before="0" w:beforeAutospacing="0" w:after="200" w:afterAutospacing="0"/>
        <w:ind w:left="369" w:hanging="369"/>
        <w:rPr>
          <w:rFonts w:ascii="Arial" w:hAnsi="Arial" w:cs="Arial"/>
          <w:sz w:val="20"/>
          <w:szCs w:val="20"/>
        </w:rPr>
      </w:pPr>
      <w:r w:rsidRPr="422F38A3">
        <w:rPr>
          <w:rFonts w:ascii="Arial" w:hAnsi="Arial" w:cs="Arial"/>
          <w:sz w:val="20"/>
          <w:szCs w:val="20"/>
          <w:shd w:val="clear" w:color="auto" w:fill="FFFFFF"/>
        </w:rPr>
        <w:t>46. Australian Government. Commonwealth of Australia. (2023).  Commonwealth Closing the Gap Implementation Plan 2023.</w:t>
      </w:r>
      <w:hyperlink r:id="rId48" w:history="1">
        <w:r w:rsidRPr="422F38A3">
          <w:rPr>
            <w:rStyle w:val="Hyperlink"/>
            <w:rFonts w:ascii="Arial" w:hAnsi="Arial" w:cs="Arial"/>
            <w:color w:val="auto"/>
            <w:sz w:val="20"/>
            <w:szCs w:val="20"/>
            <w:u w:val="none"/>
            <w:shd w:val="clear" w:color="auto" w:fill="FFFFFF"/>
          </w:rPr>
          <w:t>https://www.niaa.gov.au/sites/default/files/publications/closing-the-gap-implementation-plan-2023.pdf</w:t>
        </w:r>
      </w:hyperlink>
      <w:r w:rsidRPr="422F38A3">
        <w:rPr>
          <w:rFonts w:ascii="Segoe UI" w:hAnsi="Segoe UI" w:cs="Segoe UI"/>
          <w:sz w:val="18"/>
          <w:szCs w:val="18"/>
          <w:shd w:val="clear" w:color="auto" w:fill="FFFFFF"/>
        </w:rPr>
        <w:t> </w:t>
      </w:r>
    </w:p>
    <w:p w14:paraId="720650D9" w14:textId="77777777" w:rsidR="00F842D7" w:rsidRPr="00B50B4D" w:rsidRDefault="00F842D7" w:rsidP="00F842D7">
      <w:pPr>
        <w:pStyle w:val="AHPRANumberedlistlevel1"/>
        <w:numPr>
          <w:ilvl w:val="0"/>
          <w:numId w:val="51"/>
        </w:numPr>
        <w:outlineLvl w:val="0"/>
      </w:pPr>
      <w:r w:rsidRPr="00B50B4D">
        <w:t xml:space="preserve">Australian Government. Australian Institute of Health and Wellbeing. (2022). Older Australians. Australian Government. </w:t>
      </w:r>
      <w:hyperlink r:id="rId49" w:history="1">
        <w:r w:rsidRPr="00B50B4D">
          <w:rPr>
            <w:rStyle w:val="Hyperlink"/>
            <w:color w:val="auto"/>
            <w:u w:val="none"/>
          </w:rPr>
          <w:t>https://www.aihw.gov.au/reports/older-people/older-australians/contents/demographic-profile</w:t>
        </w:r>
      </w:hyperlink>
    </w:p>
    <w:p w14:paraId="77588346" w14:textId="77777777" w:rsidR="00F842D7" w:rsidRPr="00B50B4D" w:rsidRDefault="00F842D7" w:rsidP="00F842D7">
      <w:pPr>
        <w:pStyle w:val="AHPRANumberedlistlevel1"/>
        <w:numPr>
          <w:ilvl w:val="0"/>
          <w:numId w:val="0"/>
        </w:numPr>
        <w:ind w:left="369"/>
        <w:outlineLvl w:val="0"/>
      </w:pPr>
      <w:r w:rsidRPr="00B50B4D">
        <w:t>  </w:t>
      </w:r>
    </w:p>
    <w:p w14:paraId="19B10ABE" w14:textId="77777777" w:rsidR="00F842D7" w:rsidRPr="00B50B4D" w:rsidRDefault="00F842D7" w:rsidP="00F842D7">
      <w:pPr>
        <w:pStyle w:val="AHPRANumberedlistlevel1withspace"/>
        <w:numPr>
          <w:ilvl w:val="0"/>
          <w:numId w:val="50"/>
        </w:numPr>
        <w:outlineLvl w:val="0"/>
      </w:pPr>
      <w:r w:rsidRPr="00B50B4D">
        <w:t>Australian Government. Australian Institute of Health and Wellbeing. (2023). Diabetes: Australian Facts. https://www.aihw.gov.au/reports/diabetes/diabetes/contents/about </w:t>
      </w:r>
    </w:p>
    <w:p w14:paraId="37F5EDAC" w14:textId="77777777" w:rsidR="00F842D7" w:rsidRPr="00B50B4D" w:rsidRDefault="00F842D7" w:rsidP="00F842D7">
      <w:pPr>
        <w:pStyle w:val="NormalWeb"/>
        <w:shd w:val="clear" w:color="auto" w:fill="FFFFFF"/>
        <w:spacing w:before="0" w:beforeAutospacing="0" w:after="200" w:afterAutospacing="0"/>
        <w:ind w:left="369" w:hanging="369"/>
        <w:rPr>
          <w:rFonts w:ascii="Arial" w:hAnsi="Arial" w:cs="Arial"/>
          <w:sz w:val="20"/>
          <w:szCs w:val="20"/>
        </w:rPr>
      </w:pPr>
      <w:r w:rsidRPr="00B50B4D">
        <w:rPr>
          <w:rFonts w:ascii="Arial" w:hAnsi="Arial" w:cs="Arial"/>
          <w:sz w:val="20"/>
          <w:szCs w:val="20"/>
        </w:rPr>
        <w:t xml:space="preserve">49. Australian Government. Australian Institute of Health and Welfare (AIHW). Gen Aged Care Data. </w:t>
      </w:r>
      <w:r w:rsidRPr="00B50B4D">
        <w:rPr>
          <w:rStyle w:val="Emphasis"/>
          <w:rFonts w:ascii="Arial" w:hAnsi="Arial" w:cs="Arial"/>
          <w:sz w:val="20"/>
          <w:szCs w:val="20"/>
          <w:shd w:val="clear" w:color="auto" w:fill="FFFFFF"/>
        </w:rPr>
        <w:t>People using aged care.</w:t>
      </w:r>
      <w:r w:rsidRPr="00B50B4D">
        <w:rPr>
          <w:rFonts w:ascii="Arial" w:hAnsi="Arial" w:cs="Arial"/>
          <w:sz w:val="20"/>
          <w:szCs w:val="20"/>
        </w:rPr>
        <w:t xml:space="preserve"> Australian Government. </w:t>
      </w:r>
      <w:hyperlink r:id="rId50" w:tgtFrame="_blank" w:tooltip="https://www.gen-agedcaredata.gov.au/topics/people-using-aged-care" w:history="1">
        <w:r w:rsidRPr="00B50B4D">
          <w:rPr>
            <w:rStyle w:val="Hyperlink"/>
            <w:rFonts w:ascii="Arial" w:hAnsi="Arial" w:cs="Arial"/>
            <w:color w:val="auto"/>
            <w:sz w:val="20"/>
            <w:szCs w:val="20"/>
            <w:u w:val="none"/>
          </w:rPr>
          <w:t>https://www.gen-agedcaredata.gov.au/topics/people-using-aged-care</w:t>
        </w:r>
      </w:hyperlink>
    </w:p>
    <w:p w14:paraId="70ABA05F" w14:textId="77777777" w:rsidR="00F842D7" w:rsidRPr="00B50B4D" w:rsidRDefault="00F842D7" w:rsidP="00F842D7">
      <w:pPr>
        <w:pStyle w:val="NormalWeb"/>
        <w:shd w:val="clear" w:color="auto" w:fill="FFFFFF"/>
        <w:spacing w:before="0" w:beforeAutospacing="0" w:after="200" w:afterAutospacing="0"/>
        <w:ind w:left="369" w:hanging="369"/>
        <w:rPr>
          <w:rFonts w:ascii="Arial" w:hAnsi="Arial" w:cs="Arial"/>
          <w:sz w:val="20"/>
          <w:szCs w:val="20"/>
        </w:rPr>
      </w:pPr>
      <w:r w:rsidRPr="00B50B4D">
        <w:rPr>
          <w:rFonts w:ascii="Arial" w:hAnsi="Arial" w:cs="Arial"/>
          <w:sz w:val="20"/>
          <w:szCs w:val="20"/>
        </w:rPr>
        <w:lastRenderedPageBreak/>
        <w:t xml:space="preserve">50. Royal Commission into Aged Care Quality and Safety. (2021). Final Report: Care Dignity and Respect. </w:t>
      </w:r>
      <w:hyperlink r:id="rId51" w:history="1">
        <w:r w:rsidRPr="00B50B4D">
          <w:rPr>
            <w:rStyle w:val="Hyperlink"/>
            <w:rFonts w:ascii="Arial" w:hAnsi="Arial" w:cs="Arial"/>
            <w:color w:val="auto"/>
            <w:sz w:val="20"/>
            <w:szCs w:val="20"/>
            <w:u w:val="none"/>
          </w:rPr>
          <w:t>https://www.royalcommission.gov.au/aged-care</w:t>
        </w:r>
      </w:hyperlink>
    </w:p>
    <w:p w14:paraId="033441E5" w14:textId="77777777" w:rsidR="00F842D7" w:rsidRPr="00B50B4D" w:rsidRDefault="00F842D7" w:rsidP="00F842D7">
      <w:pPr>
        <w:pStyle w:val="AHPRANumberedlistlevel1"/>
        <w:numPr>
          <w:ilvl w:val="0"/>
          <w:numId w:val="52"/>
        </w:numPr>
        <w:outlineLvl w:val="0"/>
      </w:pPr>
      <w:r w:rsidRPr="00B50B4D">
        <w:t xml:space="preserve">Department of Health and Aged Care (2023). </w:t>
      </w:r>
      <w:r w:rsidRPr="00B50B4D">
        <w:rPr>
          <w:i/>
          <w:iCs/>
        </w:rPr>
        <w:t>National Cabinet Statement on a better future for the federation</w:t>
      </w:r>
      <w:r w:rsidRPr="00B50B4D">
        <w:t>. Australian Government. https://www.health.gov.au/news/national-cabinet-statement-on-abetter-future-for-the-federation  </w:t>
      </w:r>
    </w:p>
    <w:p w14:paraId="06D09888" w14:textId="77777777" w:rsidR="00F842D7" w:rsidRPr="00B50B4D" w:rsidRDefault="00F842D7" w:rsidP="00F842D7">
      <w:pPr>
        <w:pStyle w:val="AHPRANumberedlistlevel1"/>
        <w:numPr>
          <w:ilvl w:val="0"/>
          <w:numId w:val="0"/>
        </w:numPr>
        <w:ind w:left="369"/>
        <w:outlineLvl w:val="0"/>
      </w:pPr>
    </w:p>
    <w:p w14:paraId="0B783E94" w14:textId="77777777" w:rsidR="00F842D7" w:rsidRPr="00B50B4D" w:rsidRDefault="00F842D7" w:rsidP="00F842D7">
      <w:pPr>
        <w:pStyle w:val="AHPRANumberedlistlevel1"/>
        <w:numPr>
          <w:ilvl w:val="0"/>
          <w:numId w:val="52"/>
        </w:numPr>
        <w:shd w:val="clear" w:color="auto" w:fill="FFFFFF"/>
        <w:rPr>
          <w:rFonts w:cs="Arial"/>
          <w:szCs w:val="20"/>
        </w:rPr>
      </w:pPr>
      <w:r w:rsidRPr="00B50B4D">
        <w:rPr>
          <w:rFonts w:cs="Arial"/>
          <w:szCs w:val="20"/>
        </w:rPr>
        <w:t>Australian Government. Australian Institute on Health and Welfare.</w:t>
      </w:r>
    </w:p>
    <w:p w14:paraId="1F055B78" w14:textId="77777777" w:rsidR="00F842D7" w:rsidRPr="00B50B4D" w:rsidRDefault="00F842D7" w:rsidP="00F842D7">
      <w:pPr>
        <w:pStyle w:val="AHPRANumberedlistlevel1"/>
        <w:numPr>
          <w:ilvl w:val="0"/>
          <w:numId w:val="0"/>
        </w:numPr>
        <w:shd w:val="clear" w:color="auto" w:fill="FFFFFF"/>
        <w:ind w:left="369"/>
        <w:rPr>
          <w:rFonts w:cs="Arial"/>
          <w:szCs w:val="20"/>
        </w:rPr>
      </w:pPr>
      <w:r w:rsidRPr="00B50B4D">
        <w:rPr>
          <w:rFonts w:cs="Arial"/>
          <w:szCs w:val="20"/>
        </w:rPr>
        <w:t>Impact of COVID–19 on hospital care.</w:t>
      </w:r>
      <w:hyperlink r:id="rId52" w:tgtFrame="_blank" w:tooltip="https://www.aihw.gov.au/reports/hospitals/australias-hospitals-at-a-glance/contents/impact-of-covid-19-on-hospital-care" w:history="1">
        <w:r w:rsidRPr="00B50B4D">
          <w:rPr>
            <w:rStyle w:val="Hyperlink"/>
            <w:rFonts w:cs="Arial"/>
            <w:color w:val="auto"/>
            <w:szCs w:val="20"/>
            <w:u w:val="none"/>
          </w:rPr>
          <w:t>https://www.aihw.gov.au/reports/hospitals/australias-hospitals-at-a-glance/contents/impact-of-covid-19-on-hospital-care</w:t>
        </w:r>
      </w:hyperlink>
    </w:p>
    <w:p w14:paraId="2B92DF84" w14:textId="77777777" w:rsidR="00F842D7" w:rsidRPr="00B50B4D" w:rsidRDefault="00F842D7" w:rsidP="00F842D7">
      <w:pPr>
        <w:pStyle w:val="AHPRANumberedlistlevel1"/>
        <w:numPr>
          <w:ilvl w:val="0"/>
          <w:numId w:val="0"/>
        </w:numPr>
        <w:ind w:left="369"/>
        <w:outlineLvl w:val="0"/>
      </w:pPr>
    </w:p>
    <w:p w14:paraId="3C95A47E" w14:textId="77777777" w:rsidR="00F842D7" w:rsidRPr="00B50B4D" w:rsidRDefault="00F842D7" w:rsidP="00F842D7">
      <w:pPr>
        <w:pStyle w:val="AHPRANumberedlistlevel1"/>
        <w:numPr>
          <w:ilvl w:val="0"/>
          <w:numId w:val="52"/>
        </w:numPr>
        <w:outlineLvl w:val="0"/>
      </w:pPr>
      <w:r w:rsidRPr="00B50B4D">
        <w:t xml:space="preserve"> Wall, C., Johnson, T., &amp; de Steiger, R. (2020). Symptom management for patients awaiting joint replacement surgery. Australian Journal of General Practitioners. AJGP, 49, (7).</w:t>
      </w:r>
    </w:p>
    <w:p w14:paraId="53D451EF" w14:textId="77777777" w:rsidR="00F842D7" w:rsidRPr="00B50B4D" w:rsidRDefault="00F842D7" w:rsidP="00F842D7">
      <w:pPr>
        <w:pStyle w:val="AHPRANumberedlistlevel1"/>
        <w:numPr>
          <w:ilvl w:val="0"/>
          <w:numId w:val="0"/>
        </w:numPr>
        <w:shd w:val="clear" w:color="auto" w:fill="FFFFFF"/>
        <w:ind w:left="369"/>
        <w:rPr>
          <w:rFonts w:ascii="Segoe UI" w:hAnsi="Segoe UI" w:cs="Segoe UI"/>
          <w:color w:val="333333"/>
          <w:sz w:val="18"/>
          <w:szCs w:val="18"/>
        </w:rPr>
      </w:pPr>
    </w:p>
    <w:p w14:paraId="135827B3" w14:textId="77777777" w:rsidR="00F842D7" w:rsidRPr="00B50B4D" w:rsidRDefault="00F842D7" w:rsidP="00F842D7">
      <w:pPr>
        <w:pStyle w:val="AHPRANumberedlistlevel1"/>
        <w:numPr>
          <w:ilvl w:val="0"/>
          <w:numId w:val="52"/>
        </w:numPr>
        <w:shd w:val="clear" w:color="auto" w:fill="FFFFFF"/>
        <w:rPr>
          <w:rFonts w:cs="Arial"/>
          <w:color w:val="333333"/>
          <w:szCs w:val="20"/>
        </w:rPr>
      </w:pPr>
      <w:r w:rsidRPr="00B50B4D">
        <w:rPr>
          <w:rFonts w:cs="Arial"/>
          <w:color w:val="222222"/>
          <w:szCs w:val="20"/>
          <w:shd w:val="clear" w:color="auto" w:fill="FFFFFF"/>
        </w:rPr>
        <w:t>Rucinska, M., &amp; Nawrocki., S. (2022). COVID-19 Pandemic: Impact on Cancer Patients. </w:t>
      </w:r>
      <w:r w:rsidRPr="00B50B4D">
        <w:rPr>
          <w:rStyle w:val="Emphasis"/>
          <w:rFonts w:cs="Arial"/>
          <w:color w:val="222222"/>
          <w:szCs w:val="20"/>
          <w:shd w:val="clear" w:color="auto" w:fill="FFFFFF"/>
        </w:rPr>
        <w:t>International Journal of Environmental Research and Public Health</w:t>
      </w:r>
      <w:r w:rsidRPr="00B50B4D">
        <w:rPr>
          <w:rFonts w:cs="Arial"/>
          <w:color w:val="222222"/>
          <w:szCs w:val="20"/>
          <w:shd w:val="clear" w:color="auto" w:fill="FFFFFF"/>
        </w:rPr>
        <w:t>. 19(19):12470. https://doi.org/10.3390/ijerph191912470</w:t>
      </w:r>
      <w:r w:rsidRPr="00B50B4D">
        <w:rPr>
          <w:rFonts w:cs="Arial"/>
          <w:color w:val="333333"/>
          <w:szCs w:val="20"/>
        </w:rPr>
        <w:t xml:space="preserve"> </w:t>
      </w:r>
    </w:p>
    <w:p w14:paraId="37F7CAC1" w14:textId="77777777" w:rsidR="00F842D7" w:rsidRPr="00B50B4D" w:rsidRDefault="00F842D7" w:rsidP="00F842D7">
      <w:pPr>
        <w:pStyle w:val="AHPRANumberedlistlevel1"/>
        <w:numPr>
          <w:ilvl w:val="0"/>
          <w:numId w:val="0"/>
        </w:numPr>
        <w:shd w:val="clear" w:color="auto" w:fill="FFFFFF"/>
        <w:ind w:left="369"/>
        <w:rPr>
          <w:rFonts w:cs="Arial"/>
          <w:color w:val="333333"/>
          <w:szCs w:val="20"/>
        </w:rPr>
      </w:pPr>
    </w:p>
    <w:p w14:paraId="382A27F4" w14:textId="77777777" w:rsidR="00F842D7" w:rsidRPr="00B50B4D" w:rsidRDefault="00F842D7" w:rsidP="00F842D7">
      <w:pPr>
        <w:pStyle w:val="AHPRANumberedlistlevel1"/>
        <w:numPr>
          <w:ilvl w:val="0"/>
          <w:numId w:val="52"/>
        </w:numPr>
        <w:outlineLvl w:val="0"/>
        <w:rPr>
          <w:rFonts w:cs="Arial"/>
          <w:szCs w:val="20"/>
        </w:rPr>
      </w:pPr>
      <w:r w:rsidRPr="00B50B4D">
        <w:rPr>
          <w:rFonts w:cs="Arial"/>
          <w:szCs w:val="20"/>
          <w:shd w:val="clear" w:color="auto" w:fill="FFFFFF"/>
        </w:rPr>
        <w:t xml:space="preserve">Australian Government. Australian Institute of Health and Welfare. (2022). Long COVID in Australia – a review of the literature, catalogue number PHE 318, AIHW, Australian Government. </w:t>
      </w:r>
      <w:hyperlink r:id="rId53" w:history="1">
        <w:r w:rsidRPr="00B50B4D">
          <w:rPr>
            <w:rStyle w:val="Hyperlink"/>
            <w:rFonts w:cs="Arial"/>
            <w:color w:val="auto"/>
            <w:szCs w:val="20"/>
            <w:u w:val="none"/>
            <w:shd w:val="clear" w:color="auto" w:fill="FFFFFF"/>
          </w:rPr>
          <w:t>https://www.aihw.gov.au/getmedia/9592f439-9b96-4589-a55d-6b04e262e5e1/aihw-phe-318.pdf?v=20230605184446&amp;inline=true</w:t>
        </w:r>
      </w:hyperlink>
    </w:p>
    <w:p w14:paraId="444B8D50" w14:textId="77777777" w:rsidR="00F842D7" w:rsidRPr="00E455E1" w:rsidRDefault="00F842D7" w:rsidP="00F842D7">
      <w:pPr>
        <w:pStyle w:val="AHPRANumberedlistlevel1"/>
        <w:numPr>
          <w:ilvl w:val="0"/>
          <w:numId w:val="0"/>
        </w:numPr>
        <w:ind w:left="369"/>
        <w:outlineLvl w:val="0"/>
        <w:rPr>
          <w:rFonts w:cs="Arial"/>
          <w:szCs w:val="20"/>
        </w:rPr>
      </w:pPr>
    </w:p>
    <w:p w14:paraId="21790F74" w14:textId="77777777" w:rsidR="00F842D7" w:rsidRPr="00B50B4D" w:rsidRDefault="00F842D7" w:rsidP="00F842D7">
      <w:pPr>
        <w:pStyle w:val="AHPRANumberedlistlevel1"/>
        <w:numPr>
          <w:ilvl w:val="0"/>
          <w:numId w:val="52"/>
        </w:numPr>
        <w:shd w:val="clear" w:color="auto" w:fill="FFFFFF"/>
        <w:rPr>
          <w:rFonts w:cs="Arial"/>
          <w:szCs w:val="20"/>
        </w:rPr>
      </w:pPr>
      <w:r w:rsidRPr="00B50B4D">
        <w:rPr>
          <w:rFonts w:cs="Arial"/>
          <w:szCs w:val="20"/>
        </w:rPr>
        <w:t xml:space="preserve">Australian Health Practitioners Regulation Agency </w:t>
      </w:r>
      <w:r w:rsidRPr="00B50B4D">
        <w:rPr>
          <w:rFonts w:cs="Arial"/>
          <w:szCs w:val="20"/>
          <w:shd w:val="clear" w:color="auto" w:fill="FFFFFF"/>
        </w:rPr>
        <w:t>(Ahpra). Ahpra and National Boards. Nursing and Midwifery Board of Australia (NMBA)</w:t>
      </w:r>
      <w:r w:rsidRPr="00B50B4D">
        <w:rPr>
          <w:rFonts w:cs="Arial"/>
          <w:szCs w:val="20"/>
        </w:rPr>
        <w:t>. Annual Report 2022/2023</w:t>
      </w:r>
    </w:p>
    <w:p w14:paraId="3C52A35E" w14:textId="77777777" w:rsidR="00F842D7" w:rsidRPr="00B50B4D" w:rsidRDefault="00AF325E" w:rsidP="00F842D7">
      <w:pPr>
        <w:pStyle w:val="AHPRANumberedlistlevel1"/>
        <w:numPr>
          <w:ilvl w:val="0"/>
          <w:numId w:val="0"/>
        </w:numPr>
        <w:shd w:val="clear" w:color="auto" w:fill="FFFFFF"/>
        <w:ind w:left="369"/>
        <w:rPr>
          <w:rFonts w:cs="Arial"/>
          <w:szCs w:val="20"/>
        </w:rPr>
      </w:pPr>
      <w:hyperlink r:id="rId54" w:history="1">
        <w:r w:rsidR="00F842D7" w:rsidRPr="00B50B4D">
          <w:rPr>
            <w:rStyle w:val="Hyperlink"/>
            <w:rFonts w:cs="Arial"/>
            <w:color w:val="auto"/>
            <w:szCs w:val="20"/>
            <w:u w:val="none"/>
          </w:rPr>
          <w:t>https://www.ahpra.gov.au/Publications/Annual-reports/Annual-report-2023.aspx</w:t>
        </w:r>
      </w:hyperlink>
    </w:p>
    <w:p w14:paraId="495218E7" w14:textId="77777777" w:rsidR="00F842D7" w:rsidRPr="005866E2" w:rsidRDefault="00F842D7" w:rsidP="00F842D7">
      <w:pPr>
        <w:pStyle w:val="AHPRANumberedlistlevel1"/>
        <w:numPr>
          <w:ilvl w:val="0"/>
          <w:numId w:val="0"/>
        </w:numPr>
        <w:outlineLvl w:val="0"/>
      </w:pPr>
    </w:p>
    <w:p w14:paraId="6D9221E5" w14:textId="77777777" w:rsidR="00F842D7" w:rsidRPr="005866E2" w:rsidRDefault="00F842D7" w:rsidP="00F842D7">
      <w:pPr>
        <w:pStyle w:val="AHPRANumberedlistlevel1withspace"/>
        <w:numPr>
          <w:ilvl w:val="0"/>
          <w:numId w:val="50"/>
        </w:numPr>
        <w:outlineLvl w:val="0"/>
      </w:pPr>
      <w:r w:rsidRPr="005866E2">
        <w:t xml:space="preserve">Falster, M., &amp; Jorm, L. (2017). </w:t>
      </w:r>
      <w:r w:rsidRPr="005866E2">
        <w:rPr>
          <w:i/>
          <w:iCs/>
        </w:rPr>
        <w:t>A guide to the potentially preventable hospitalisations indicator in Australia</w:t>
      </w:r>
      <w:r w:rsidRPr="005866E2">
        <w:t>. Centre for Big Data Research in Health, University of New South Wales in consultation with Australian Commission on Safety and Quality in Health Care and Australian Institute of Health and Welfare: Sydney. https://www.safetyandquality.gov.au/sites/default/files/migrated/A-guide-to-the-potentially-preventable-hospitalisations-indicator-in-Australia.pdf </w:t>
      </w:r>
    </w:p>
    <w:p w14:paraId="1A2B2F14" w14:textId="77777777" w:rsidR="00F842D7" w:rsidRPr="005866E2" w:rsidRDefault="00F842D7" w:rsidP="00F842D7">
      <w:pPr>
        <w:pStyle w:val="AHPRANumberedlistlevel1withspace"/>
        <w:numPr>
          <w:ilvl w:val="0"/>
          <w:numId w:val="50"/>
        </w:numPr>
        <w:outlineLvl w:val="0"/>
      </w:pPr>
      <w:r w:rsidRPr="005866E2">
        <w:t xml:space="preserve">Australian Institute of Health and Welfare. (2022). </w:t>
      </w:r>
      <w:r w:rsidRPr="005866E2">
        <w:rPr>
          <w:i/>
          <w:iCs/>
        </w:rPr>
        <w:t>Potentially Preventable Hospitalisations-Meteor Metadata Online Registry</w:t>
      </w:r>
      <w:r w:rsidRPr="005866E2">
        <w:t>. Australian Government. https://www.aihw.gov.au/reports/australias-health/australias-health-2018/contents/indicators-of-australias-health/preventable-hospitalisations </w:t>
      </w:r>
    </w:p>
    <w:p w14:paraId="05B9C080" w14:textId="77777777" w:rsidR="00F842D7" w:rsidRPr="005866E2" w:rsidRDefault="00F842D7" w:rsidP="00F842D7">
      <w:pPr>
        <w:pStyle w:val="AHPRANumberedlistlevel1withspace"/>
        <w:numPr>
          <w:ilvl w:val="0"/>
          <w:numId w:val="50"/>
        </w:numPr>
        <w:outlineLvl w:val="0"/>
      </w:pPr>
      <w:r w:rsidRPr="005866E2">
        <w:t xml:space="preserve">Carey, N., Stenner, K., &amp; Courtenay, M. (2014). </w:t>
      </w:r>
      <w:r w:rsidRPr="005866E2">
        <w:rPr>
          <w:i/>
          <w:iCs/>
        </w:rPr>
        <w:t>An exploration of how nurse prescribing is being used for patients with respiratory conditions across the east of England</w:t>
      </w:r>
      <w:r w:rsidRPr="005866E2">
        <w:t>. BMC Health Serv Res. 14(27). https://pubmed.ncbi.nlm.nih.gov/24443796/ </w:t>
      </w:r>
    </w:p>
    <w:p w14:paraId="421AA4C0" w14:textId="77777777" w:rsidR="00F842D7" w:rsidRPr="005866E2" w:rsidRDefault="00F842D7" w:rsidP="00F842D7">
      <w:pPr>
        <w:pStyle w:val="AHPRANumberedlistlevel1withspace"/>
        <w:numPr>
          <w:ilvl w:val="0"/>
          <w:numId w:val="50"/>
        </w:numPr>
        <w:outlineLvl w:val="0"/>
      </w:pPr>
      <w:r w:rsidRPr="005866E2">
        <w:t xml:space="preserve">Report of the Chief Health Officer Queensland. (2020-2021). </w:t>
      </w:r>
      <w:r w:rsidRPr="005866E2">
        <w:rPr>
          <w:i/>
          <w:iCs/>
        </w:rPr>
        <w:t>Potentially Preventable Hospitalisations</w:t>
      </w:r>
      <w:r w:rsidRPr="005866E2">
        <w:t>. Queensland Government. https://www.choreport.health.qld.gov.au/our-health/hospitalisations/potentially-preventable-hospitalisations#:~:text=In%202020%E2%80%9321%2C%20Queensland%20residents,of%20care%20in%20Queensland%20hospitals.&amp;text=These%20were%205.9%25%20of%20all,ranked%207th%20of%20the%20jurisdictions. </w:t>
      </w:r>
    </w:p>
    <w:p w14:paraId="132F20B6" w14:textId="77777777" w:rsidR="00F842D7" w:rsidRPr="005866E2" w:rsidRDefault="00F842D7" w:rsidP="00F842D7">
      <w:pPr>
        <w:pStyle w:val="AHPRANumberedlistlevel1withspace"/>
        <w:numPr>
          <w:ilvl w:val="0"/>
          <w:numId w:val="50"/>
        </w:numPr>
        <w:outlineLvl w:val="0"/>
      </w:pPr>
      <w:r w:rsidRPr="005866E2">
        <w:t xml:space="preserve">Australian Institute of Health and Welfare. (2022). Meteor Metadata Online Registry. </w:t>
      </w:r>
      <w:r w:rsidRPr="005866E2">
        <w:rPr>
          <w:i/>
          <w:iCs/>
        </w:rPr>
        <w:t>National Healthcare Agreement 2021</w:t>
      </w:r>
      <w:r w:rsidRPr="005866E2">
        <w:t>. Australian Government.  https://meteor.aihw.gov.au/content/725844 </w:t>
      </w:r>
    </w:p>
    <w:p w14:paraId="12069A1F" w14:textId="77777777" w:rsidR="00F842D7" w:rsidRPr="005866E2" w:rsidRDefault="00F842D7" w:rsidP="00F842D7">
      <w:pPr>
        <w:pStyle w:val="AHPRANumberedlistlevel1withspace"/>
        <w:numPr>
          <w:ilvl w:val="0"/>
          <w:numId w:val="50"/>
        </w:numPr>
        <w:outlineLvl w:val="0"/>
      </w:pPr>
      <w:r w:rsidRPr="005866E2">
        <w:t>Department of Health and Aged Care. National Cabinet Statement on a better future for the federation. Australian Government. https://www.health.gov.au/news/national-cabinet-statement-on-a-better-future-for-the-federation </w:t>
      </w:r>
    </w:p>
    <w:p w14:paraId="22534CFD" w14:textId="77777777" w:rsidR="00F842D7" w:rsidRPr="005866E2" w:rsidRDefault="00F842D7" w:rsidP="00F842D7">
      <w:pPr>
        <w:pStyle w:val="AHPRANumberedlistlevel1withspace"/>
        <w:numPr>
          <w:ilvl w:val="0"/>
          <w:numId w:val="50"/>
        </w:numPr>
        <w:outlineLvl w:val="0"/>
      </w:pPr>
      <w:r w:rsidRPr="005866E2">
        <w:rPr>
          <w:i/>
          <w:iCs/>
        </w:rPr>
        <w:t>Butler</w:t>
      </w:r>
      <w:r w:rsidRPr="005866E2">
        <w:t xml:space="preserve">, M. (28 April 2023). </w:t>
      </w:r>
      <w:r w:rsidRPr="005866E2">
        <w:rPr>
          <w:i/>
          <w:iCs/>
        </w:rPr>
        <w:t>Rebuilding Medicare for the 21st Century</w:t>
      </w:r>
      <w:r w:rsidRPr="005866E2">
        <w:t>. Minister for Health and Aged Care Speech. https://www.health.gov.au/ministers/the-hon-mark-butler-mp/media/rebuilding-medicare-for-the-21st-century?language=en </w:t>
      </w:r>
    </w:p>
    <w:p w14:paraId="70BD4273" w14:textId="77777777" w:rsidR="00F842D7" w:rsidRPr="005866E2" w:rsidRDefault="00F842D7" w:rsidP="00F842D7">
      <w:pPr>
        <w:pStyle w:val="AHPRANumberedlistlevel1withspace"/>
        <w:numPr>
          <w:ilvl w:val="0"/>
          <w:numId w:val="50"/>
        </w:numPr>
        <w:outlineLvl w:val="0"/>
      </w:pPr>
      <w:r w:rsidRPr="005866E2">
        <w:t xml:space="preserve">Kruk, Robyn. AO. (2023). </w:t>
      </w:r>
      <w:r w:rsidRPr="005866E2">
        <w:rPr>
          <w:i/>
          <w:iCs/>
        </w:rPr>
        <w:t>Independent review of overseas health practitioner regulatory settings − Interim report.</w:t>
      </w:r>
      <w:r w:rsidRPr="005866E2">
        <w:t xml:space="preserve"> </w:t>
      </w:r>
      <w:r w:rsidRPr="005866E2">
        <w:lastRenderedPageBreak/>
        <w:t>https://www.regulatoryreform.gov.au/sites/default/files/FINAL%20Independent%20Review%20of%20 Overseas%20Health%20Practitioner%20Regulatory%20Settings%20-%20Interim%20Report_1.pdf </w:t>
      </w:r>
    </w:p>
    <w:p w14:paraId="27AB2CFD" w14:textId="77777777" w:rsidR="00F842D7" w:rsidRPr="005866E2" w:rsidRDefault="00F842D7" w:rsidP="00F842D7">
      <w:pPr>
        <w:pStyle w:val="AHPRANumberedlistlevel1withspace"/>
        <w:numPr>
          <w:ilvl w:val="0"/>
          <w:numId w:val="50"/>
        </w:numPr>
        <w:outlineLvl w:val="0"/>
      </w:pPr>
      <w:r w:rsidRPr="005866E2">
        <w:t xml:space="preserve">Butler, M. (2 May 2023). </w:t>
      </w:r>
      <w:r w:rsidRPr="005866E2">
        <w:rPr>
          <w:i/>
          <w:iCs/>
        </w:rPr>
        <w:t>Minister for Health and Aged Care Speech – National Press Club</w:t>
      </w:r>
      <w:r w:rsidRPr="005866E2">
        <w:t>. Ministers Department of Health and Aged Care. https://www.health.gov.au/ministers/the-hon-mark-butler-mp/media/minister-for-health-and-aged-care-speech-national-press-club-2-may-2023  </w:t>
      </w:r>
    </w:p>
    <w:p w14:paraId="6CE9BF72" w14:textId="77777777" w:rsidR="00F842D7" w:rsidRPr="005866E2" w:rsidRDefault="00F842D7" w:rsidP="00F842D7">
      <w:pPr>
        <w:pStyle w:val="AHPRANumberedlistlevel1withspace"/>
        <w:numPr>
          <w:ilvl w:val="0"/>
          <w:numId w:val="50"/>
        </w:numPr>
        <w:outlineLvl w:val="0"/>
      </w:pPr>
      <w:r w:rsidRPr="005866E2">
        <w:t xml:space="preserve">Butler, M. (11 September 2023). </w:t>
      </w:r>
      <w:r w:rsidRPr="005866E2">
        <w:rPr>
          <w:i/>
          <w:iCs/>
        </w:rPr>
        <w:t xml:space="preserve">Unleashing the Potential of our Health Workforce Review </w:t>
      </w:r>
      <w:r w:rsidRPr="005866E2">
        <w:t>Ministers Department for Health and Aged Care. Media release. https://www.health.gov.au/ministers/the-hon-mark-butler-mp/media/have-your-say-on-how-to-unleash-the-potential-of-our-health-workforce </w:t>
      </w:r>
    </w:p>
    <w:p w14:paraId="5E627AF0" w14:textId="77777777" w:rsidR="00F842D7" w:rsidRPr="00334201" w:rsidRDefault="00F842D7" w:rsidP="00F842D7">
      <w:pPr>
        <w:pStyle w:val="AHPRANumberedlistlevel1withspace"/>
        <w:numPr>
          <w:ilvl w:val="0"/>
          <w:numId w:val="50"/>
        </w:numPr>
        <w:outlineLvl w:val="0"/>
        <w:rPr>
          <w:szCs w:val="20"/>
        </w:rPr>
      </w:pPr>
      <w:r w:rsidRPr="00334201">
        <w:rPr>
          <w:szCs w:val="20"/>
        </w:rPr>
        <w:t xml:space="preserve">Department of Health and Aged Care. </w:t>
      </w:r>
      <w:r w:rsidRPr="00334201">
        <w:rPr>
          <w:i/>
          <w:iCs/>
          <w:szCs w:val="20"/>
        </w:rPr>
        <w:t>Unleashing the Potential of our Health Workforce -Scope of practice review</w:t>
      </w:r>
      <w:r w:rsidRPr="00334201">
        <w:rPr>
          <w:szCs w:val="20"/>
        </w:rPr>
        <w:t>. Australian Government.  https://www.health.gov.au/ministers/the-hon-mark-butler-mp/media/unleashing-the-potential-for-our-health-workforce-review-appointment. </w:t>
      </w:r>
    </w:p>
    <w:p w14:paraId="03133337" w14:textId="77777777" w:rsidR="00F842D7" w:rsidRPr="00E343A7" w:rsidRDefault="00F842D7" w:rsidP="00F842D7">
      <w:pPr>
        <w:pStyle w:val="AHPRANumberedlistlevel1"/>
        <w:numPr>
          <w:ilvl w:val="0"/>
          <w:numId w:val="50"/>
        </w:numPr>
        <w:rPr>
          <w:szCs w:val="20"/>
        </w:rPr>
      </w:pPr>
      <w:r w:rsidRPr="00E343A7">
        <w:rPr>
          <w:szCs w:val="20"/>
        </w:rPr>
        <w:t xml:space="preserve">National Health and Hospitals Reform Commission. </w:t>
      </w:r>
      <w:r w:rsidRPr="00E343A7">
        <w:rPr>
          <w:i/>
          <w:iCs/>
          <w:szCs w:val="20"/>
        </w:rPr>
        <w:t>A healthier future for all Australians - final report 2009</w:t>
      </w:r>
      <w:r w:rsidRPr="00E343A7">
        <w:rPr>
          <w:szCs w:val="20"/>
        </w:rPr>
        <w:t xml:space="preserve">. Canberra, 2009. </w:t>
      </w:r>
    </w:p>
    <w:p w14:paraId="12A07949" w14:textId="77777777" w:rsidR="00F842D7" w:rsidRPr="00E343A7" w:rsidRDefault="00F842D7" w:rsidP="00F842D7">
      <w:pPr>
        <w:pStyle w:val="AHPRANumberedlistlevel1"/>
        <w:numPr>
          <w:ilvl w:val="0"/>
          <w:numId w:val="0"/>
        </w:numPr>
        <w:ind w:left="369"/>
        <w:rPr>
          <w:szCs w:val="20"/>
        </w:rPr>
      </w:pPr>
    </w:p>
    <w:p w14:paraId="315990C2" w14:textId="77777777" w:rsidR="00F842D7" w:rsidRPr="00E343A7" w:rsidRDefault="00F842D7" w:rsidP="00F842D7">
      <w:pPr>
        <w:pStyle w:val="AHPRANumberedlistlevel1"/>
        <w:numPr>
          <w:ilvl w:val="0"/>
          <w:numId w:val="50"/>
        </w:numPr>
        <w:rPr>
          <w:szCs w:val="20"/>
        </w:rPr>
      </w:pPr>
      <w:r w:rsidRPr="00E343A7">
        <w:rPr>
          <w:szCs w:val="20"/>
        </w:rPr>
        <w:t xml:space="preserve"> National Health Workforce Planning and Research Collaboration. </w:t>
      </w:r>
      <w:r w:rsidRPr="00E343A7">
        <w:rPr>
          <w:i/>
          <w:iCs/>
          <w:szCs w:val="20"/>
        </w:rPr>
        <w:t>Non-Medical prescribing. An exploration of likely nature of, and contingencies for, developing a nationally consistent approach to prescribing by non-medical health professionals</w:t>
      </w:r>
      <w:r w:rsidRPr="00E343A7">
        <w:rPr>
          <w:szCs w:val="20"/>
        </w:rPr>
        <w:t xml:space="preserve">. 2010, Final Report.  </w:t>
      </w:r>
    </w:p>
    <w:p w14:paraId="54132589" w14:textId="77777777" w:rsidR="00F842D7" w:rsidRPr="00E343A7" w:rsidRDefault="00F842D7" w:rsidP="00F842D7">
      <w:pPr>
        <w:pStyle w:val="AHPRANumberedlistlevel1"/>
        <w:numPr>
          <w:ilvl w:val="0"/>
          <w:numId w:val="0"/>
        </w:numPr>
        <w:ind w:left="369"/>
      </w:pPr>
    </w:p>
    <w:p w14:paraId="7D93E869" w14:textId="77777777" w:rsidR="00F842D7" w:rsidRDefault="00F842D7" w:rsidP="00F842D7">
      <w:pPr>
        <w:pStyle w:val="AHPRANumberedlistlevel1withspace"/>
        <w:numPr>
          <w:ilvl w:val="0"/>
          <w:numId w:val="50"/>
        </w:numPr>
        <w:outlineLvl w:val="0"/>
      </w:pPr>
      <w:r w:rsidRPr="00E343A7">
        <w:rPr>
          <w:shd w:val="clear" w:color="auto" w:fill="FFFFFF"/>
        </w:rPr>
        <w:t>Weeks, G., George, J., Maclure, K., &amp; Stewart, D. (2016) Non-medical prescribing versus medical prescribing for acute and chronic disease management in primary and secondary care. Cochrane Database Syst Rev. 22, 11(11) https://doi.org/10.1002/14651858.CD011227.pub2</w:t>
      </w:r>
    </w:p>
    <w:p w14:paraId="2E47F6B6" w14:textId="77777777" w:rsidR="00F842D7" w:rsidRPr="00B0064A" w:rsidRDefault="00F842D7" w:rsidP="00F842D7">
      <w:pPr>
        <w:pStyle w:val="AHPRANumberedlistlevel1"/>
        <w:numPr>
          <w:ilvl w:val="0"/>
          <w:numId w:val="0"/>
        </w:numPr>
        <w:ind w:left="369"/>
      </w:pPr>
    </w:p>
    <w:p w14:paraId="19D0739E" w14:textId="77777777" w:rsidR="00F842D7" w:rsidRPr="005866E2" w:rsidRDefault="00F842D7" w:rsidP="00F842D7">
      <w:pPr>
        <w:pStyle w:val="AHPRANumberedlistlevel1withspace"/>
        <w:numPr>
          <w:ilvl w:val="0"/>
          <w:numId w:val="50"/>
        </w:numPr>
        <w:outlineLvl w:val="0"/>
      </w:pPr>
      <w:r w:rsidRPr="005866E2">
        <w:t xml:space="preserve">Noblet, T., Marriot, J., Graham-Clarke, E., Shirley, D. &amp; Rushton, A. (2018). </w:t>
      </w:r>
      <w:r w:rsidRPr="005866E2">
        <w:rPr>
          <w:i/>
          <w:iCs/>
        </w:rPr>
        <w:t>Clinical and Cost-effectiveness of non-medical prescribing: A systematic review of randomised controlled trials</w:t>
      </w:r>
      <w:r w:rsidRPr="005866E2">
        <w:t>. PLos ONE, 13(3), e0193286. https://doi.org/10.1371/journal.pone.0193286 </w:t>
      </w:r>
    </w:p>
    <w:p w14:paraId="6CF04385" w14:textId="77777777" w:rsidR="00F842D7" w:rsidRPr="005866E2" w:rsidRDefault="00F842D7" w:rsidP="00F842D7">
      <w:pPr>
        <w:pStyle w:val="AHPRANumberedlistlevel1withspace"/>
        <w:numPr>
          <w:ilvl w:val="0"/>
          <w:numId w:val="50"/>
        </w:numPr>
        <w:outlineLvl w:val="0"/>
      </w:pPr>
      <w:r w:rsidRPr="005866E2">
        <w:t xml:space="preserve">Babashahi, S., Carey, N., Jani, Y., Hart, K., &amp; Hounsome, N. (2022). </w:t>
      </w:r>
      <w:r w:rsidRPr="005866E2">
        <w:rPr>
          <w:i/>
          <w:iCs/>
        </w:rPr>
        <w:t>Costs, consequences and value for money in non-medical prescribing: a scoping review</w:t>
      </w:r>
      <w:r w:rsidRPr="005866E2">
        <w:t>. BMJ Open. 13(5), e067907. https://bmjopen.bmj.com/content/13/5/e067907 </w:t>
      </w:r>
    </w:p>
    <w:p w14:paraId="585B3E53" w14:textId="77777777" w:rsidR="00F842D7" w:rsidRPr="005866E2" w:rsidRDefault="00F842D7" w:rsidP="00F842D7">
      <w:pPr>
        <w:pStyle w:val="AHPRANumberedlistlevel1withspace"/>
        <w:numPr>
          <w:ilvl w:val="0"/>
          <w:numId w:val="50"/>
        </w:numPr>
        <w:outlineLvl w:val="0"/>
      </w:pPr>
      <w:r w:rsidRPr="005866E2">
        <w:t xml:space="preserve">Independent Health and Aged Care Pricing Authority. (2020-2021). </w:t>
      </w:r>
      <w:r w:rsidRPr="005866E2">
        <w:rPr>
          <w:i/>
          <w:iCs/>
        </w:rPr>
        <w:t>National Benchmarking Portal. Periodic Insights</w:t>
      </w:r>
      <w:r w:rsidRPr="005866E2">
        <w:t>. https://benchmarking.ihacpa.gov.au/extensions/ihpanbp/index.html#/ </w:t>
      </w:r>
    </w:p>
    <w:p w14:paraId="3F72DD7B" w14:textId="77777777" w:rsidR="00F842D7" w:rsidRPr="005866E2" w:rsidRDefault="00F842D7" w:rsidP="00F842D7">
      <w:pPr>
        <w:pStyle w:val="AHPRANumberedlistlevel1withspace"/>
        <w:numPr>
          <w:ilvl w:val="0"/>
          <w:numId w:val="50"/>
        </w:numPr>
        <w:outlineLvl w:val="0"/>
      </w:pPr>
      <w:r w:rsidRPr="005866E2">
        <w:t xml:space="preserve">Australian Institute of Health and Welfare (AIHW). (2022). </w:t>
      </w:r>
      <w:r w:rsidRPr="005866E2">
        <w:rPr>
          <w:i/>
          <w:iCs/>
        </w:rPr>
        <w:t>Disparities in potentially preventable hospitalisations across Australia</w:t>
      </w:r>
      <w:r w:rsidRPr="005866E2">
        <w:t>. Australian Government https://www.aihw.gov.au/reports/primary-health-care/disparities-in-potentially-preventable-hospitalisa/contents/about </w:t>
      </w:r>
    </w:p>
    <w:p w14:paraId="34A77DAB" w14:textId="77777777" w:rsidR="00F842D7" w:rsidRPr="005866E2" w:rsidRDefault="00F842D7" w:rsidP="00F842D7">
      <w:pPr>
        <w:pStyle w:val="AHPRANumberedlistlevel1withspace"/>
        <w:numPr>
          <w:ilvl w:val="0"/>
          <w:numId w:val="50"/>
        </w:numPr>
        <w:outlineLvl w:val="0"/>
      </w:pPr>
      <w:r w:rsidRPr="005866E2">
        <w:t xml:space="preserve">Mao, W., Shalaby, R., &amp; Agyapong V.I.O. (2023). </w:t>
      </w:r>
      <w:r w:rsidRPr="005866E2">
        <w:rPr>
          <w:i/>
          <w:iCs/>
        </w:rPr>
        <w:t>Interventions to Reduce Repeat Presentations to Hospital Emergency Departments for Mental Health Concerns: A Scoping Review of the Literature. Healthcare</w:t>
      </w:r>
      <w:r w:rsidRPr="005866E2">
        <w:t xml:space="preserve"> </w:t>
      </w:r>
      <w:r w:rsidRPr="005866E2">
        <w:rPr>
          <w:i/>
          <w:iCs/>
        </w:rPr>
        <w:t>(Basel)</w:t>
      </w:r>
      <w:r w:rsidRPr="005866E2">
        <w:t>,11(8). https://www.ncbi.nlm.nih.gov/pmc/articles/PMC10138571/ </w:t>
      </w:r>
    </w:p>
    <w:p w14:paraId="188CD5A0" w14:textId="77777777" w:rsidR="00F842D7" w:rsidRPr="005866E2" w:rsidRDefault="00F842D7" w:rsidP="00F842D7">
      <w:pPr>
        <w:pStyle w:val="AHPRANumberedlistlevel1withspace"/>
        <w:numPr>
          <w:ilvl w:val="0"/>
          <w:numId w:val="50"/>
        </w:numPr>
        <w:outlineLvl w:val="0"/>
      </w:pPr>
      <w:r w:rsidRPr="005866E2">
        <w:t xml:space="preserve">Engel, L., Hwang, K., Panayiotou, A., Watts, J.J., Mihalopoulous, C., Temple, J., &amp; Batchelor, F. (2022). </w:t>
      </w:r>
      <w:r w:rsidRPr="005866E2">
        <w:rPr>
          <w:i/>
          <w:iCs/>
        </w:rPr>
        <w:t>Identifying patterns of potentially preventable hospitalisations in people living with dementia</w:t>
      </w:r>
      <w:r w:rsidRPr="005866E2">
        <w:t>. BMC Health Serv Res 22, 794. https://doi.org/10.1186/s12913-022-08195-9. </w:t>
      </w:r>
    </w:p>
    <w:p w14:paraId="6DEC200E" w14:textId="77777777" w:rsidR="00F842D7" w:rsidRPr="005866E2" w:rsidRDefault="00F842D7" w:rsidP="00F842D7">
      <w:pPr>
        <w:pStyle w:val="AHPRANumberedlistlevel1withspace"/>
        <w:numPr>
          <w:ilvl w:val="0"/>
          <w:numId w:val="50"/>
        </w:numPr>
        <w:outlineLvl w:val="0"/>
      </w:pPr>
      <w:r w:rsidRPr="005866E2">
        <w:t>Hutchinson, A., Rasekaba, T.M., Graco, M., Berlowitz, D.J., &amp; Lim, W.K.</w:t>
      </w:r>
      <w:r>
        <w:t xml:space="preserve"> </w:t>
      </w:r>
      <w:r w:rsidRPr="005866E2">
        <w:t xml:space="preserve">(2013). </w:t>
      </w:r>
      <w:r w:rsidRPr="005866E2">
        <w:rPr>
          <w:i/>
          <w:iCs/>
        </w:rPr>
        <w:t>Relationship between health-related quality of life, and acute care re-admissions and survival in older adults with chronic illness</w:t>
      </w:r>
      <w:r w:rsidRPr="005866E2">
        <w:t xml:space="preserve">. Health and Quality of Life Outcomes 11, 136. </w:t>
      </w:r>
      <w:r w:rsidRPr="00E04FAC">
        <w:t>https://doi.org/10.1186/1477-7525-11-136</w:t>
      </w:r>
      <w:r w:rsidRPr="005866E2">
        <w:t> </w:t>
      </w:r>
    </w:p>
    <w:p w14:paraId="1696BD7D" w14:textId="77777777" w:rsidR="00F842D7" w:rsidRPr="005866E2" w:rsidRDefault="00F842D7" w:rsidP="00F842D7">
      <w:pPr>
        <w:pStyle w:val="AHPRANumberedlistlevel1withspace"/>
        <w:numPr>
          <w:ilvl w:val="0"/>
          <w:numId w:val="50"/>
        </w:numPr>
        <w:outlineLvl w:val="0"/>
      </w:pPr>
      <w:r w:rsidRPr="005866E2">
        <w:t xml:space="preserve">Australian Institute of Health and Welfare [AIHW]. (2021-2022) </w:t>
      </w:r>
      <w:r w:rsidRPr="005866E2">
        <w:rPr>
          <w:i/>
          <w:iCs/>
        </w:rPr>
        <w:t>Mental health services provided in emergency departments</w:t>
      </w:r>
      <w:r w:rsidRPr="005866E2">
        <w:t>. Australian Government. https://www.aihw.gov.au/mental-health/topic-areas/emergency-departments#concept-ed-presentations.  </w:t>
      </w:r>
    </w:p>
    <w:p w14:paraId="2FF01663" w14:textId="77777777" w:rsidR="00F842D7" w:rsidRPr="005866E2" w:rsidRDefault="00F842D7" w:rsidP="00F842D7">
      <w:pPr>
        <w:pStyle w:val="AHPRANumberedlistlevel1withspace"/>
        <w:numPr>
          <w:ilvl w:val="0"/>
          <w:numId w:val="50"/>
        </w:numPr>
        <w:outlineLvl w:val="0"/>
      </w:pPr>
      <w:r w:rsidRPr="005866E2">
        <w:t xml:space="preserve">Pawaskar, R., Mahajan, N., Wangoo, E., Khan, W., Bailey, J., &amp; Vines, R. (2022). </w:t>
      </w:r>
      <w:r w:rsidRPr="005866E2">
        <w:rPr>
          <w:i/>
          <w:iCs/>
        </w:rPr>
        <w:t>Staff perceptions of the management of mental health presentations to the emergency department of a rural Australian hospital: qualitative study</w:t>
      </w:r>
      <w:r w:rsidRPr="005866E2">
        <w:t>. BMC Health Service 22(1), 87. https://bmchealthservres.biomedcentral.com/articles/10.1186/s12913-022-07476-7 </w:t>
      </w:r>
    </w:p>
    <w:p w14:paraId="2897B3BA" w14:textId="77777777" w:rsidR="00F842D7" w:rsidRPr="005866E2" w:rsidRDefault="00F842D7" w:rsidP="00F842D7">
      <w:pPr>
        <w:pStyle w:val="AHPRANumberedlistlevel1withspace"/>
        <w:numPr>
          <w:ilvl w:val="0"/>
          <w:numId w:val="50"/>
        </w:numPr>
        <w:outlineLvl w:val="0"/>
      </w:pPr>
      <w:r w:rsidRPr="005866E2">
        <w:lastRenderedPageBreak/>
        <w:t xml:space="preserve">Roennfeldt, H., Wyder, M., Byrne, L., Hill, N., Randall, R., &amp; Hamilton B. (2021). </w:t>
      </w:r>
      <w:r w:rsidRPr="005866E2">
        <w:rPr>
          <w:i/>
          <w:iCs/>
        </w:rPr>
        <w:t>Subjective Experiences of Mental Health Crisis Care in Emergency Departments: A Narrative Review of the Qualitative Literature</w:t>
      </w:r>
      <w:r w:rsidRPr="005866E2">
        <w:t>. International Journal of Environment Research Public Health, 18(18), 9650.  https://pubmed.ncbi.nlm.nih.gov/34574574/ </w:t>
      </w:r>
    </w:p>
    <w:p w14:paraId="5ED69F4A" w14:textId="77777777" w:rsidR="00F842D7" w:rsidRPr="005866E2" w:rsidRDefault="00F842D7" w:rsidP="00F842D7">
      <w:pPr>
        <w:pStyle w:val="AHPRANumberedlistlevel1withspace"/>
        <w:numPr>
          <w:ilvl w:val="0"/>
          <w:numId w:val="50"/>
        </w:numPr>
        <w:outlineLvl w:val="0"/>
      </w:pPr>
      <w:r w:rsidRPr="005866E2">
        <w:t>Swerissen, H and Duckett, S., 2014, Dying Well. Grattan Institute</w:t>
      </w:r>
    </w:p>
    <w:p w14:paraId="6AA9C6FA" w14:textId="77777777" w:rsidR="00F842D7" w:rsidRPr="005866E2" w:rsidRDefault="00F842D7" w:rsidP="00F842D7">
      <w:pPr>
        <w:pStyle w:val="AHPRANumberedlistlevel1withspace"/>
        <w:numPr>
          <w:ilvl w:val="0"/>
          <w:numId w:val="50"/>
        </w:numPr>
        <w:outlineLvl w:val="0"/>
      </w:pPr>
      <w:r w:rsidRPr="005866E2">
        <w:t xml:space="preserve">Alqahtani, A. J., &amp; Mitchell, G. (2019). </w:t>
      </w:r>
      <w:r w:rsidRPr="005866E2">
        <w:rPr>
          <w:i/>
          <w:iCs/>
        </w:rPr>
        <w:t>End-of-life care challenges from staff viewpoints in emergency departments: Systematic review</w:t>
      </w:r>
      <w:r w:rsidRPr="005866E2">
        <w:t xml:space="preserve">. Healthcare, 7(3), 83. </w:t>
      </w:r>
      <w:r w:rsidRPr="00E04FAC">
        <w:t>https://doi.org/10.3390/healthcare7030083</w:t>
      </w:r>
      <w:r w:rsidRPr="005866E2">
        <w:t> </w:t>
      </w:r>
    </w:p>
    <w:p w14:paraId="0E4350A5" w14:textId="77777777" w:rsidR="00F842D7" w:rsidRPr="005866E2" w:rsidRDefault="00F842D7" w:rsidP="00F842D7">
      <w:pPr>
        <w:pStyle w:val="AHPRANumberedlistlevel1withspace"/>
        <w:numPr>
          <w:ilvl w:val="0"/>
          <w:numId w:val="48"/>
        </w:numPr>
        <w:outlineLvl w:val="0"/>
      </w:pPr>
      <w:r w:rsidRPr="005866E2">
        <w:t xml:space="preserve">Martí-García, C., Fernández-Férez, A., Fernández-Sola, C., Pérez-Rodríguez, R., Esteban-Burgos, AA., Hernández-Padilla, JM., &amp; Granero-Molina, J. (2023). </w:t>
      </w:r>
      <w:r w:rsidRPr="005866E2">
        <w:rPr>
          <w:i/>
          <w:iCs/>
        </w:rPr>
        <w:t>Patients' experiences and perceptions of dignity in end-of-life care in emergency departments: A qualitative study</w:t>
      </w:r>
      <w:r w:rsidRPr="005866E2">
        <w:t xml:space="preserve">. Journal of Advanced Nursing, 79(1), 269-280. </w:t>
      </w:r>
      <w:r w:rsidRPr="00E04FAC">
        <w:t>https://pubmed.ncbi.nlm.nih.gov/36062865/</w:t>
      </w:r>
      <w:r w:rsidRPr="005866E2">
        <w:t> </w:t>
      </w:r>
    </w:p>
    <w:p w14:paraId="47798C07" w14:textId="77777777" w:rsidR="00F842D7" w:rsidRPr="005866E2" w:rsidRDefault="00F842D7" w:rsidP="00F842D7">
      <w:pPr>
        <w:pStyle w:val="AHPRANumberedlistlevel1withspace"/>
        <w:numPr>
          <w:ilvl w:val="0"/>
          <w:numId w:val="50"/>
        </w:numPr>
        <w:outlineLvl w:val="0"/>
      </w:pPr>
      <w:r w:rsidRPr="005866E2">
        <w:t xml:space="preserve">Sadler, K., Abudari, G., Aljawi, D., &amp; Snelling, D. (2020) </w:t>
      </w:r>
      <w:r w:rsidRPr="005866E2">
        <w:rPr>
          <w:i/>
          <w:iCs/>
        </w:rPr>
        <w:t>Deaths in the Emergency Department: An Assessment of Patient's End-of-Life Trajectory and Quality of Care</w:t>
      </w:r>
      <w:r w:rsidRPr="005866E2">
        <w:t>. Indian Journal of Palliative Care, 26(3),352-357.  </w:t>
      </w:r>
    </w:p>
    <w:p w14:paraId="1CFDCA54" w14:textId="77777777" w:rsidR="00F842D7" w:rsidRPr="005866E2" w:rsidRDefault="00F842D7" w:rsidP="00F842D7">
      <w:pPr>
        <w:pStyle w:val="AHPRANumberedlistlevel1withspace"/>
        <w:numPr>
          <w:ilvl w:val="0"/>
          <w:numId w:val="50"/>
        </w:numPr>
        <w:outlineLvl w:val="0"/>
      </w:pPr>
      <w:r w:rsidRPr="005866E2">
        <w:t xml:space="preserve">Department of Health and Aged Care. (2021). </w:t>
      </w:r>
      <w:r w:rsidRPr="005866E2">
        <w:rPr>
          <w:i/>
          <w:iCs/>
        </w:rPr>
        <w:t>Comprehensive Palliative Care in Aged Care Measure – Evaluation Framework</w:t>
      </w:r>
      <w:r w:rsidRPr="005866E2">
        <w:t>. Australian Government.  https://www.health.gov.au/resources/publications/comprehensive-palliative-care-in-aged-care-measure-evaluation-framework </w:t>
      </w:r>
    </w:p>
    <w:p w14:paraId="4F47AD90" w14:textId="77777777" w:rsidR="00F842D7" w:rsidRPr="005866E2" w:rsidRDefault="00F842D7" w:rsidP="00F842D7">
      <w:pPr>
        <w:pStyle w:val="AHPRANumberedlistlevel1withspace"/>
        <w:numPr>
          <w:ilvl w:val="0"/>
          <w:numId w:val="50"/>
        </w:numPr>
        <w:outlineLvl w:val="0"/>
        <w:rPr>
          <w:rFonts w:cs="Arial"/>
        </w:rPr>
      </w:pPr>
      <w:r w:rsidRPr="005866E2">
        <w:rPr>
          <w:rFonts w:cs="Arial"/>
        </w:rPr>
        <w:t xml:space="preserve">KPMG. (2018). </w:t>
      </w:r>
      <w:r w:rsidRPr="005866E2">
        <w:rPr>
          <w:rFonts w:cs="Arial"/>
          <w:i/>
          <w:iCs/>
        </w:rPr>
        <w:t>Cost Benefit Analysis of Nurse Practitioner Models of Care Department of Health 2018 Report</w:t>
      </w:r>
      <w:r w:rsidRPr="005866E2">
        <w:rPr>
          <w:rFonts w:cs="Arial"/>
        </w:rPr>
        <w:t xml:space="preserve">. </w:t>
      </w:r>
      <w:r w:rsidRPr="00E04FAC">
        <w:t>https://www.health.gov.au/sites/default/files/documents/2021/03/cost-benefit-analysis-of-nurse-practitioner-models-of-care.pdf</w:t>
      </w:r>
      <w:r w:rsidRPr="005866E2">
        <w:rPr>
          <w:rFonts w:cs="Arial"/>
        </w:rPr>
        <w:t> </w:t>
      </w:r>
    </w:p>
    <w:p w14:paraId="0BDA5E3C" w14:textId="77777777" w:rsidR="00F842D7" w:rsidRPr="005866E2" w:rsidRDefault="00F842D7" w:rsidP="00F842D7">
      <w:pPr>
        <w:pStyle w:val="AHPRANumberedlistlevel1withspace"/>
        <w:numPr>
          <w:ilvl w:val="0"/>
          <w:numId w:val="50"/>
        </w:numPr>
        <w:outlineLvl w:val="0"/>
      </w:pPr>
      <w:r w:rsidRPr="005866E2">
        <w:t xml:space="preserve">Gielen, SC., Dekker, J., Francke, AL., Mistiaen, P., &amp; Kroezen M. (2014) </w:t>
      </w:r>
      <w:r w:rsidRPr="005866E2">
        <w:rPr>
          <w:i/>
          <w:iCs/>
        </w:rPr>
        <w:t>The effects of nurse prescribing: a systematic review</w:t>
      </w:r>
      <w:r w:rsidRPr="005866E2">
        <w:t>. International Journal of Nursing Studies, 51(7), 1048-1061. https://doi.org/10.1016/j.ijnurstu.2013.12.003 </w:t>
      </w:r>
    </w:p>
    <w:p w14:paraId="535DCD02" w14:textId="77777777" w:rsidR="00F842D7" w:rsidRPr="005866E2" w:rsidRDefault="00F842D7" w:rsidP="00F842D7">
      <w:pPr>
        <w:pStyle w:val="AHPRANumberedlistlevel1withspace"/>
        <w:numPr>
          <w:ilvl w:val="0"/>
          <w:numId w:val="50"/>
        </w:numPr>
        <w:outlineLvl w:val="0"/>
      </w:pPr>
      <w:r w:rsidRPr="005866E2">
        <w:t xml:space="preserve">Casey, M., Rohde, D., Higgins, A., Buckley, T., Cashin, A,. Fong. J., Hughes, M., &amp; McHugh A. (2020). </w:t>
      </w:r>
      <w:r w:rsidRPr="005866E2">
        <w:rPr>
          <w:i/>
          <w:iCs/>
        </w:rPr>
        <w:t>"Providing a complete episode of care": A survey of registered nurse and registered midwife prescribing behaviours and practices</w:t>
      </w:r>
      <w:r w:rsidRPr="005866E2">
        <w:t>. Journal of Clinical Nursing, 78, 4082-4091. https://doi.org/10.1111/jocn.15073 </w:t>
      </w:r>
    </w:p>
    <w:p w14:paraId="508E9BD2" w14:textId="77777777" w:rsidR="00F842D7" w:rsidRPr="005866E2" w:rsidRDefault="00F842D7" w:rsidP="00F842D7">
      <w:pPr>
        <w:pStyle w:val="AHPRANumberedlistlevel1withspace"/>
        <w:numPr>
          <w:ilvl w:val="0"/>
          <w:numId w:val="50"/>
        </w:numPr>
        <w:outlineLvl w:val="0"/>
      </w:pPr>
      <w:r w:rsidRPr="005866E2">
        <w:t xml:space="preserve">Fox, A., Javan Chan, R., Crawford-Williams, F., Williams, S., Currie., J., &amp; Thamm, C. (2023) </w:t>
      </w:r>
      <w:r w:rsidRPr="005866E2">
        <w:rPr>
          <w:i/>
          <w:iCs/>
        </w:rPr>
        <w:t>A survey of nurse practitioner’s views on registered nurse prescribing in Australia — Conflicted perspectives</w:t>
      </w:r>
      <w:r w:rsidRPr="005866E2">
        <w:t xml:space="preserve">, Collegian, 30(4), 620-626. </w:t>
      </w:r>
      <w:r w:rsidRPr="00E04FAC">
        <w:t>https://doi.org/10.1016/j.colegn.2023.04.005</w:t>
      </w:r>
      <w:r w:rsidRPr="005866E2">
        <w:t>. </w:t>
      </w:r>
    </w:p>
    <w:p w14:paraId="09FC95D1" w14:textId="77777777" w:rsidR="00F842D7" w:rsidRPr="005866E2" w:rsidRDefault="00F842D7" w:rsidP="00F842D7">
      <w:pPr>
        <w:pStyle w:val="AHPRANumberedlistlevel1withspace"/>
        <w:numPr>
          <w:ilvl w:val="0"/>
          <w:numId w:val="50"/>
        </w:numPr>
        <w:outlineLvl w:val="0"/>
      </w:pPr>
      <w:r w:rsidRPr="005866E2">
        <w:t xml:space="preserve">Royal Australian College of General Practitioners (RACGP). (2013). </w:t>
      </w:r>
      <w:r w:rsidRPr="005866E2">
        <w:rPr>
          <w:i/>
          <w:iCs/>
        </w:rPr>
        <w:t>Position on independent non-medical practitioner prescribing</w:t>
      </w:r>
      <w:r w:rsidRPr="005866E2">
        <w:t>. https://</w:t>
      </w:r>
      <w:r w:rsidRPr="005866E2">
        <w:rPr>
          <w:u w:val="single"/>
        </w:rPr>
        <w:t>www</w:t>
      </w:r>
      <w:r w:rsidRPr="005866E2">
        <w:t>.racgp.org.au/FSDEDEV/media/documents/RACGP/Position%20statements/RACGP-position-on-independent-non-medical-practitioner.pdf </w:t>
      </w:r>
    </w:p>
    <w:p w14:paraId="3A0C3430" w14:textId="77777777" w:rsidR="00F842D7" w:rsidRDefault="00F842D7" w:rsidP="00F842D7">
      <w:pPr>
        <w:pStyle w:val="AHPRANumberedlistlevel1withspace"/>
        <w:numPr>
          <w:ilvl w:val="0"/>
          <w:numId w:val="50"/>
        </w:numPr>
        <w:outlineLvl w:val="0"/>
      </w:pPr>
      <w:r w:rsidRPr="005866E2">
        <w:t xml:space="preserve">Ananthapavan, J., Moodie, M., Milat, A., &amp; Carter Veerman, L., Whittaker, E., &amp; Carter, R. (2021). </w:t>
      </w:r>
      <w:r w:rsidRPr="005866E2">
        <w:rPr>
          <w:i/>
          <w:iCs/>
        </w:rPr>
        <w:t>Systematic Review to Update ‘Value of a Statistical Life’ Estimates for Australia</w:t>
      </w:r>
      <w:r w:rsidRPr="005866E2">
        <w:t>.  International Journal of Environmental Research and Public Health. 18(11):6168. https://doi.org/10.3390/ijerph18116168 </w:t>
      </w:r>
    </w:p>
    <w:p w14:paraId="013AF74C" w14:textId="77777777" w:rsidR="00F842D7" w:rsidRDefault="00F842D7" w:rsidP="00F842D7">
      <w:pPr>
        <w:pStyle w:val="AHPRAbody"/>
      </w:pPr>
    </w:p>
    <w:p w14:paraId="4E2DDAA0" w14:textId="77777777" w:rsidR="00F842D7" w:rsidRPr="002F6C5A" w:rsidRDefault="00F842D7" w:rsidP="00F842D7">
      <w:pPr>
        <w:pStyle w:val="AHPRAbody"/>
        <w:ind w:left="369" w:hanging="369"/>
      </w:pPr>
      <w:r>
        <w:t>92.</w:t>
      </w:r>
      <w:r w:rsidRPr="002F6C5A">
        <w:t xml:space="preserve">  Australian Government. Australian Institute of Health and Welfare. (2022). Palliative Care Service In Australia: Hospitalisations. </w:t>
      </w:r>
      <w:hyperlink r:id="rId55" w:anchor="Hospitalisation" w:history="1">
        <w:r w:rsidRPr="002F6C5A">
          <w:rPr>
            <w:rStyle w:val="Hyperlink"/>
            <w:color w:val="auto"/>
            <w:u w:val="none"/>
          </w:rPr>
          <w:t>https://www.aihw.gov.au/reports/palliative-care-services/palliative-care-services-in-australia/contents/summary#Hospitalisation</w:t>
        </w:r>
      </w:hyperlink>
    </w:p>
    <w:p w14:paraId="502918EC" w14:textId="77777777" w:rsidR="00F842D7" w:rsidRPr="002F6C5A" w:rsidRDefault="00F842D7" w:rsidP="00F842D7">
      <w:pPr>
        <w:pStyle w:val="AHPRAbody"/>
        <w:ind w:left="369" w:hanging="369"/>
        <w:rPr>
          <w:szCs w:val="20"/>
        </w:rPr>
      </w:pPr>
      <w:r w:rsidRPr="002F6C5A">
        <w:t xml:space="preserve">93. </w:t>
      </w:r>
      <w:r w:rsidRPr="002F6C5A">
        <w:rPr>
          <w:szCs w:val="20"/>
          <w:shd w:val="clear" w:color="auto" w:fill="FFFFFF"/>
        </w:rPr>
        <w:t xml:space="preserve">Australian Government. Department of Health. Therapeutic Goods Association. Addressing prescription opioid use and misuse in Australia Regulatory Impact Self-Assessment Report. </w:t>
      </w:r>
      <w:hyperlink r:id="rId56" w:tgtFrame="_blank" w:tooltip="https://www.tga.gov.au/sites/default/files/addressing-prescription-opioid-use-and-misuse-australia.pdf" w:history="1">
        <w:r w:rsidRPr="002F6C5A">
          <w:rPr>
            <w:rStyle w:val="Hyperlink"/>
            <w:color w:val="auto"/>
            <w:szCs w:val="20"/>
            <w:u w:val="none"/>
            <w:shd w:val="clear" w:color="auto" w:fill="FFFFFF"/>
          </w:rPr>
          <w:t>https://www.tga.gov.au/sites/default/files/addressing-prescription-opioid-use-and-misuse-australia.pdf</w:t>
        </w:r>
      </w:hyperlink>
    </w:p>
    <w:p w14:paraId="53ADF125" w14:textId="77777777" w:rsidR="00F842D7" w:rsidRDefault="00F842D7" w:rsidP="00F842D7">
      <w:pPr>
        <w:pStyle w:val="NormalWeb"/>
        <w:shd w:val="clear" w:color="auto" w:fill="FFFFFF"/>
        <w:spacing w:before="0" w:beforeAutospacing="0" w:after="200" w:afterAutospacing="0"/>
        <w:ind w:left="369" w:hanging="369"/>
        <w:rPr>
          <w:rFonts w:ascii="Arial" w:hAnsi="Arial" w:cs="Arial"/>
          <w:sz w:val="20"/>
          <w:szCs w:val="20"/>
        </w:rPr>
      </w:pPr>
      <w:r w:rsidRPr="002F6C5A">
        <w:rPr>
          <w:rFonts w:ascii="Arial" w:hAnsi="Arial" w:cs="Arial"/>
          <w:sz w:val="20"/>
          <w:szCs w:val="20"/>
        </w:rPr>
        <w:t>94</w:t>
      </w:r>
      <w:r w:rsidRPr="002F6C5A">
        <w:rPr>
          <w:szCs w:val="20"/>
        </w:rPr>
        <w:t xml:space="preserve">. </w:t>
      </w:r>
      <w:r w:rsidRPr="002F6C5A">
        <w:rPr>
          <w:rFonts w:ascii="Segoe UI" w:hAnsi="Segoe UI" w:cs="Segoe UI"/>
          <w:sz w:val="18"/>
          <w:szCs w:val="18"/>
        </w:rPr>
        <w:t> </w:t>
      </w:r>
      <w:r w:rsidRPr="002F6C5A">
        <w:rPr>
          <w:rFonts w:ascii="Arial" w:hAnsi="Arial" w:cs="Arial"/>
          <w:sz w:val="20"/>
          <w:szCs w:val="20"/>
        </w:rPr>
        <w:t>Australian Government. Department of Health. </w:t>
      </w:r>
      <w:r w:rsidRPr="002F6C5A">
        <w:rPr>
          <w:rFonts w:ascii="Arial" w:hAnsi="Arial" w:cs="Arial"/>
          <w:sz w:val="20"/>
          <w:szCs w:val="20"/>
          <w:shd w:val="clear" w:color="auto" w:fill="FFFFFF"/>
        </w:rPr>
        <w:t xml:space="preserve">National Real Time Prescription Monitoring (RTPM). </w:t>
      </w:r>
      <w:hyperlink r:id="rId57" w:history="1">
        <w:r w:rsidRPr="002F6C5A">
          <w:rPr>
            <w:rStyle w:val="Hyperlink"/>
            <w:rFonts w:ascii="Arial" w:hAnsi="Arial" w:cs="Arial"/>
            <w:color w:val="auto"/>
            <w:sz w:val="20"/>
            <w:szCs w:val="20"/>
            <w:u w:val="none"/>
          </w:rPr>
          <w:t>https://www.health.gov.au/our-work/national-real-time-prescription-monitoring-rtpm</w:t>
        </w:r>
      </w:hyperlink>
    </w:p>
    <w:p w14:paraId="5309095C" w14:textId="77777777" w:rsidR="00F842D7" w:rsidRPr="002F6C5A" w:rsidRDefault="00F842D7" w:rsidP="00F842D7">
      <w:pPr>
        <w:pStyle w:val="NormalWeb"/>
        <w:shd w:val="clear" w:color="auto" w:fill="FFFFFF"/>
        <w:spacing w:before="0" w:beforeAutospacing="0" w:after="200" w:afterAutospacing="0"/>
        <w:ind w:left="369" w:hanging="369"/>
        <w:rPr>
          <w:rFonts w:ascii="Arial" w:hAnsi="Arial" w:cs="Arial"/>
          <w:sz w:val="20"/>
          <w:szCs w:val="20"/>
        </w:rPr>
      </w:pPr>
      <w:r>
        <w:rPr>
          <w:rFonts w:ascii="Arial" w:hAnsi="Arial" w:cs="Arial"/>
          <w:sz w:val="20"/>
          <w:szCs w:val="20"/>
        </w:rPr>
        <w:lastRenderedPageBreak/>
        <w:t xml:space="preserve">95. </w:t>
      </w:r>
      <w:r w:rsidRPr="00146723">
        <w:rPr>
          <w:rFonts w:ascii="Arial" w:hAnsi="Arial" w:cs="Arial"/>
          <w:sz w:val="20"/>
          <w:szCs w:val="20"/>
          <w:shd w:val="clear" w:color="auto" w:fill="FFFFFF"/>
        </w:rPr>
        <w:t xml:space="preserve">Australian Government. The Office of Impact Analysis (OIA). Department of the Prime Minister and Cabinet. Best Practice Consultation. </w:t>
      </w:r>
      <w:hyperlink r:id="rId58" w:tgtFrame="_blank" w:tooltip="https://oia.pmc.gov.au/resources/guidance-oia-procedures/best-practice-consultation" w:history="1">
        <w:r w:rsidRPr="00146723">
          <w:rPr>
            <w:rStyle w:val="Hyperlink"/>
            <w:rFonts w:ascii="Arial" w:hAnsi="Arial" w:cs="Arial"/>
            <w:color w:val="auto"/>
            <w:sz w:val="20"/>
            <w:szCs w:val="20"/>
            <w:u w:val="none"/>
            <w:shd w:val="clear" w:color="auto" w:fill="FFFFFF"/>
          </w:rPr>
          <w:t>https://oia.pmc.gov.au/resources/guidance-oia-procedures/best-practice-consultation</w:t>
        </w:r>
      </w:hyperlink>
    </w:p>
    <w:p w14:paraId="1CB8DE00" w14:textId="77777777" w:rsidR="00F842D7" w:rsidRDefault="00F842D7" w:rsidP="00F842D7">
      <w:pPr>
        <w:pStyle w:val="AHPRANumberedlistlevel1"/>
        <w:numPr>
          <w:ilvl w:val="0"/>
          <w:numId w:val="53"/>
        </w:numPr>
        <w:outlineLvl w:val="0"/>
      </w:pPr>
      <w:r w:rsidRPr="005866E2">
        <w:t xml:space="preserve">Pennington, K.  (2022). </w:t>
      </w:r>
      <w:r w:rsidRPr="00146723">
        <w:rPr>
          <w:i/>
          <w:iCs/>
        </w:rPr>
        <w:t>An uncomfortable interface. Medicine Legislation and its impact on the delivery of healthcare by Registered Nurses in very remote Australia: a mixed methods study</w:t>
      </w:r>
      <w:r w:rsidRPr="005866E2">
        <w:t>. [Doctoral Dissertation Edith Cowan University, School of Medical and Health Sciences]. (Embargoed) </w:t>
      </w:r>
    </w:p>
    <w:p w14:paraId="7B2955BA" w14:textId="77777777" w:rsidR="00F842D7" w:rsidRPr="005866E2" w:rsidRDefault="00F842D7" w:rsidP="00F842D7">
      <w:pPr>
        <w:pStyle w:val="AHPRANumberedlistlevel1"/>
        <w:numPr>
          <w:ilvl w:val="0"/>
          <w:numId w:val="0"/>
        </w:numPr>
        <w:ind w:left="369"/>
        <w:outlineLvl w:val="0"/>
      </w:pPr>
    </w:p>
    <w:p w14:paraId="7BCAB575" w14:textId="77777777" w:rsidR="00F842D7" w:rsidRPr="005866E2" w:rsidRDefault="00F842D7" w:rsidP="00F842D7">
      <w:pPr>
        <w:pStyle w:val="AHPRANumberedlistlevel1withspace"/>
        <w:numPr>
          <w:ilvl w:val="0"/>
          <w:numId w:val="50"/>
        </w:numPr>
        <w:outlineLvl w:val="0"/>
      </w:pPr>
      <w:r w:rsidRPr="005866E2">
        <w:t xml:space="preserve">Australian Institute of Health and Welfare. (2021-2022). </w:t>
      </w:r>
      <w:r w:rsidRPr="005866E2">
        <w:rPr>
          <w:i/>
          <w:iCs/>
        </w:rPr>
        <w:t>Emergency department care activity</w:t>
      </w:r>
      <w:r w:rsidRPr="005866E2">
        <w:t>. Australian Government. https://www.aihw.gov.au/reportsdata/myhospitals/intersection/activity/ed#:~:text=Over%20time%2C%20the%20number%20of,339%20presentations%20in%202021%E2%80%9322. </w:t>
      </w:r>
    </w:p>
    <w:p w14:paraId="2AA03122" w14:textId="77777777" w:rsidR="00F842D7" w:rsidRPr="005866E2" w:rsidRDefault="00F842D7" w:rsidP="00F842D7">
      <w:pPr>
        <w:pStyle w:val="AHPRANumberedlistlevel1withspace"/>
        <w:numPr>
          <w:ilvl w:val="0"/>
          <w:numId w:val="50"/>
        </w:numPr>
        <w:outlineLvl w:val="0"/>
      </w:pPr>
      <w:r w:rsidRPr="005866E2">
        <w:t xml:space="preserve">Australian Institute of Health and Welfare. (2022) </w:t>
      </w:r>
      <w:r w:rsidRPr="005866E2">
        <w:rPr>
          <w:i/>
          <w:iCs/>
        </w:rPr>
        <w:t>Coordination of health care: patient and primary care factors associated with potentially preventable hospitalisations for chronic conditions</w:t>
      </w:r>
      <w:r w:rsidRPr="005866E2">
        <w:t xml:space="preserve">, catalogue number CHC 8. Australian Government. </w:t>
      </w:r>
      <w:r w:rsidRPr="00E04FAC">
        <w:t>https://www.aihw.gov.au/reports/health-care-quality-performance/factors-hospitalisations-chronic-conditions/summary</w:t>
      </w:r>
      <w:r w:rsidRPr="005866E2">
        <w:t> </w:t>
      </w:r>
    </w:p>
    <w:p w14:paraId="5E89A0EB" w14:textId="77777777" w:rsidR="00F842D7" w:rsidRPr="005866E2" w:rsidRDefault="00F842D7" w:rsidP="00F842D7">
      <w:pPr>
        <w:pStyle w:val="AHPRANumberedlistlevel1withspace"/>
        <w:numPr>
          <w:ilvl w:val="0"/>
          <w:numId w:val="50"/>
        </w:numPr>
        <w:outlineLvl w:val="0"/>
      </w:pPr>
      <w:r w:rsidRPr="005866E2">
        <w:t xml:space="preserve">Australian Institute of Health and Welfare (AIHW). </w:t>
      </w:r>
      <w:r w:rsidRPr="005866E2">
        <w:rPr>
          <w:i/>
          <w:iCs/>
        </w:rPr>
        <w:t>National Indigenous Australian Agency. 3.07 Selected potentially preventable hospital admissions</w:t>
      </w:r>
      <w:r w:rsidRPr="005866E2">
        <w:t xml:space="preserve">. Australian Government. </w:t>
      </w:r>
      <w:r w:rsidRPr="00E04FAC">
        <w:t>https://www.indigenoushpf.gov.au/measures/3-07-potentially-preventable-hospital-admissions</w:t>
      </w:r>
      <w:r w:rsidRPr="005866E2">
        <w:t> </w:t>
      </w:r>
    </w:p>
    <w:p w14:paraId="60EF40B8" w14:textId="77777777" w:rsidR="00F842D7" w:rsidRPr="005866E2" w:rsidRDefault="00F842D7" w:rsidP="00F842D7">
      <w:pPr>
        <w:pStyle w:val="AHPRANumberedlistlevel1withspace"/>
        <w:numPr>
          <w:ilvl w:val="0"/>
          <w:numId w:val="48"/>
        </w:numPr>
        <w:outlineLvl w:val="0"/>
      </w:pPr>
      <w:r w:rsidRPr="005866E2">
        <w:t>Australian Institute of Health and Welfare (AIHW). Coordination of healthcare: experiences of barriers to accessing health services among patients aged 45 and over.  Australian Government. https://www.aihw.gov.au/reports/primary-health-care/coordination-of-health-care-experiences-barriers/summary</w:t>
      </w:r>
    </w:p>
    <w:p w14:paraId="5592BB85" w14:textId="77777777" w:rsidR="00F842D7" w:rsidRPr="005866E2" w:rsidRDefault="00F842D7" w:rsidP="00F842D7">
      <w:pPr>
        <w:pStyle w:val="AHPRANumberedlistlevel1withspace"/>
        <w:numPr>
          <w:ilvl w:val="0"/>
          <w:numId w:val="50"/>
        </w:numPr>
        <w:outlineLvl w:val="0"/>
      </w:pPr>
      <w:r w:rsidRPr="005866E2">
        <w:t xml:space="preserve">Li, SQ., Gray, N., Guthridge, S., Pircher., S., Wang, Z., &amp; Zhao, Y. (2009). </w:t>
      </w:r>
      <w:r w:rsidRPr="005866E2">
        <w:rPr>
          <w:i/>
          <w:iCs/>
        </w:rPr>
        <w:t>Avoidable mortality trends in Aboriginal and non</w:t>
      </w:r>
      <w:r w:rsidRPr="005866E2">
        <w:rPr>
          <w:rFonts w:ascii="Cambria Math" w:hAnsi="Cambria Math" w:cs="Cambria Math"/>
          <w:i/>
          <w:iCs/>
        </w:rPr>
        <w:t>‐</w:t>
      </w:r>
      <w:r w:rsidRPr="005866E2">
        <w:rPr>
          <w:i/>
          <w:iCs/>
        </w:rPr>
        <w:t>Aboriginal populations in the Northern Territory</w:t>
      </w:r>
      <w:r w:rsidRPr="005866E2">
        <w:t>. Australian &amp; New Zealand Journal of Public Health 33,</w:t>
      </w:r>
      <w:r>
        <w:t xml:space="preserve"> </w:t>
      </w:r>
      <w:r w:rsidRPr="005866E2">
        <w:t xml:space="preserve">(6) 544-550.  </w:t>
      </w:r>
      <w:r w:rsidRPr="00E04FAC">
        <w:t>https://doi.org/10.1111/j.1753-6405.2009.00451.x</w:t>
      </w:r>
      <w:r w:rsidRPr="005866E2">
        <w:t> </w:t>
      </w:r>
    </w:p>
    <w:p w14:paraId="7930ADA3" w14:textId="77777777" w:rsidR="00F842D7" w:rsidRPr="005866E2" w:rsidRDefault="00F842D7" w:rsidP="00F842D7">
      <w:pPr>
        <w:pStyle w:val="AHPRANumberedlistlevel1withspace"/>
        <w:numPr>
          <w:ilvl w:val="0"/>
          <w:numId w:val="50"/>
        </w:numPr>
        <w:outlineLvl w:val="0"/>
      </w:pPr>
      <w:r w:rsidRPr="005866E2">
        <w:t xml:space="preserve">Medway, P., Sweet, L., Müller. A. (2020). </w:t>
      </w:r>
      <w:r w:rsidRPr="005866E2">
        <w:rPr>
          <w:i/>
          <w:iCs/>
        </w:rPr>
        <w:t>Barriers and enablers for midwives to use the Nursing and Midwifery Board of Australia's Endorsement for scheduled medicines for midwives</w:t>
      </w:r>
      <w:r w:rsidRPr="005866E2">
        <w:t xml:space="preserve">. Journal of Women Birth. 34(1), 57-66. </w:t>
      </w:r>
      <w:r w:rsidRPr="00E04FAC">
        <w:t>https://doi.org/10.1016/j.wombi.2020.06.001</w:t>
      </w:r>
      <w:r w:rsidRPr="005866E2">
        <w:t> </w:t>
      </w:r>
    </w:p>
    <w:p w14:paraId="5B823BA0" w14:textId="77777777" w:rsidR="00F842D7" w:rsidRPr="005866E2" w:rsidRDefault="00F842D7" w:rsidP="00F842D7">
      <w:pPr>
        <w:pStyle w:val="AHPRANumberedlistlevel1withspace"/>
        <w:numPr>
          <w:ilvl w:val="0"/>
          <w:numId w:val="50"/>
        </w:numPr>
        <w:outlineLvl w:val="0"/>
      </w:pPr>
      <w:r w:rsidRPr="005866E2">
        <w:t xml:space="preserve">PricewaterhouseCoopers Consulting (Australia). (2020). </w:t>
      </w:r>
      <w:r w:rsidRPr="005866E2">
        <w:rPr>
          <w:i/>
          <w:iCs/>
        </w:rPr>
        <w:t>Economic benefits of the RACGP’s Vision for general practice and a sustainable healthcare system</w:t>
      </w:r>
      <w:r w:rsidRPr="005866E2">
        <w:t xml:space="preserve">. Commissioned and supported by The Royal Australian College of General Practitioners. </w:t>
      </w:r>
      <w:r w:rsidRPr="00E04FAC">
        <w:t>https://www.racgp.org.au/FSDEDEV/media/documents/RACGP/Advocacy/Economic-evaluation-of-the-RACGP-vision.pdf</w:t>
      </w:r>
      <w:r w:rsidRPr="005866E2">
        <w:t> </w:t>
      </w:r>
    </w:p>
    <w:p w14:paraId="2E365B3E" w14:textId="77777777" w:rsidR="00F842D7" w:rsidRPr="005866E2" w:rsidRDefault="00F842D7" w:rsidP="00F842D7">
      <w:pPr>
        <w:pStyle w:val="AHPRANumberedlistlevel1withspace"/>
        <w:numPr>
          <w:ilvl w:val="0"/>
          <w:numId w:val="50"/>
        </w:numPr>
        <w:outlineLvl w:val="0"/>
      </w:pPr>
      <w:r w:rsidRPr="005866E2">
        <w:t xml:space="preserve">Cuningham, W., Anderson, L., Bowen, A.C., Buising, K., Connors, C., Daveson, K., Martin, J., McNamara, S., Patel, B., James, R., Shanks. J., Wright, K., Yarwood, T., Tong, S.Y., &amp; McVernon, J. (2020). </w:t>
      </w:r>
      <w:r w:rsidRPr="005866E2">
        <w:rPr>
          <w:i/>
          <w:iCs/>
        </w:rPr>
        <w:t>Antimicrobial stewardship in remote primary healthcare across northern Australia</w:t>
      </w:r>
      <w:r w:rsidRPr="005866E2">
        <w:t xml:space="preserve">. PeerJ, 8, e9409. </w:t>
      </w:r>
      <w:r w:rsidRPr="00E04FAC">
        <w:t>https://doi.org/10.7717/peerj.9409</w:t>
      </w:r>
      <w:r w:rsidRPr="005866E2">
        <w:t> </w:t>
      </w:r>
    </w:p>
    <w:p w14:paraId="7657257F" w14:textId="77777777" w:rsidR="00F842D7" w:rsidRPr="005866E2" w:rsidRDefault="00F842D7" w:rsidP="00F842D7">
      <w:pPr>
        <w:pStyle w:val="AHPRANumberedlistlevel1withspace"/>
        <w:numPr>
          <w:ilvl w:val="0"/>
          <w:numId w:val="50"/>
        </w:numPr>
        <w:outlineLvl w:val="0"/>
      </w:pPr>
      <w:r w:rsidRPr="005866E2">
        <w:t xml:space="preserve">Hallinan, C.M., &amp; Hegarty, K.L. (2016). </w:t>
      </w:r>
      <w:r w:rsidRPr="005866E2">
        <w:rPr>
          <w:i/>
          <w:iCs/>
        </w:rPr>
        <w:t>Advanced training for primary care and general practice nurses: enablers and outcomes of postgraduate education</w:t>
      </w:r>
      <w:r w:rsidRPr="005866E2">
        <w:t xml:space="preserve">. Australian Journal of Primary Health, 22(2), 113-122. </w:t>
      </w:r>
      <w:r w:rsidRPr="00E04FAC">
        <w:t>https://doi.org/10.1071/PY14072</w:t>
      </w:r>
      <w:r w:rsidRPr="005866E2">
        <w:t> </w:t>
      </w:r>
    </w:p>
    <w:p w14:paraId="08468063" w14:textId="77777777" w:rsidR="00F842D7" w:rsidRPr="005866E2" w:rsidRDefault="00F842D7" w:rsidP="00F842D7">
      <w:pPr>
        <w:pStyle w:val="AHPRANumberedlistlevel1withspace"/>
        <w:numPr>
          <w:ilvl w:val="0"/>
          <w:numId w:val="50"/>
        </w:numPr>
        <w:outlineLvl w:val="0"/>
      </w:pPr>
      <w:r w:rsidRPr="005866E2">
        <w:t xml:space="preserve">Ghabour, M., Wilby, K. J., Morris, C. J., &amp; Smith, A. J. (2023). </w:t>
      </w:r>
      <w:r w:rsidRPr="005866E2">
        <w:rPr>
          <w:i/>
          <w:iCs/>
        </w:rPr>
        <w:t>Overview of factors influencing successful implementation of non</w:t>
      </w:r>
      <w:r w:rsidRPr="005866E2">
        <w:rPr>
          <w:rFonts w:ascii="Cambria Math" w:hAnsi="Cambria Math" w:cs="Cambria Math"/>
          <w:i/>
          <w:iCs/>
        </w:rPr>
        <w:t>‐</w:t>
      </w:r>
      <w:r w:rsidRPr="005866E2">
        <w:rPr>
          <w:i/>
          <w:iCs/>
        </w:rPr>
        <w:t>medical prescribing</w:t>
      </w:r>
      <w:r w:rsidRPr="005866E2">
        <w:t xml:space="preserve">. Journal of Pharmacy Practice and Research, 53(4), 155-170. </w:t>
      </w:r>
      <w:r w:rsidRPr="00E04FAC">
        <w:t>https://doi.org/10.1002/jppr.1868</w:t>
      </w:r>
      <w:r w:rsidRPr="005866E2">
        <w:t> </w:t>
      </w:r>
    </w:p>
    <w:p w14:paraId="3B28899A" w14:textId="42E14DB9" w:rsidR="00D37135" w:rsidRPr="00D37135" w:rsidRDefault="00F842D7" w:rsidP="000D565A">
      <w:pPr>
        <w:pStyle w:val="AHPRANumberedlistlevel1withspace"/>
        <w:numPr>
          <w:ilvl w:val="0"/>
          <w:numId w:val="50"/>
        </w:numPr>
        <w:outlineLvl w:val="0"/>
      </w:pPr>
      <w:r w:rsidRPr="005866E2">
        <w:t xml:space="preserve">Department of Health and Aged Care. </w:t>
      </w:r>
      <w:r w:rsidRPr="005866E2">
        <w:rPr>
          <w:i/>
          <w:iCs/>
        </w:rPr>
        <w:t>Nurse Fact sheet Selector Dashboard</w:t>
      </w:r>
      <w:r w:rsidRPr="005866E2">
        <w:t xml:space="preserve">. Australian Government. </w:t>
      </w:r>
      <w:r w:rsidRPr="00E04FAC">
        <w:t>https://hwd.health.gov.au/nrmw-dashboards/index.html</w:t>
      </w:r>
      <w:r w:rsidRPr="005866E2">
        <w:t> </w:t>
      </w:r>
    </w:p>
    <w:p w14:paraId="22B18789" w14:textId="324A23D4" w:rsidR="000D565A" w:rsidRPr="000D565A" w:rsidRDefault="00D37135" w:rsidP="000D565A">
      <w:pPr>
        <w:pStyle w:val="AHPRANumberedlistlevel1withspace"/>
        <w:numPr>
          <w:ilvl w:val="0"/>
          <w:numId w:val="50"/>
        </w:numPr>
        <w:outlineLvl w:val="0"/>
        <w:rPr>
          <w:rFonts w:cs="Arial"/>
          <w:szCs w:val="20"/>
        </w:rPr>
      </w:pPr>
      <w:r w:rsidRPr="000D565A">
        <w:rPr>
          <w:rFonts w:cs="Arial"/>
          <w:szCs w:val="20"/>
        </w:rPr>
        <w:t xml:space="preserve">Rossiter, R., Philips, R., Blanchard, D., van Wissen, K., &amp; Robinson T. (2023). </w:t>
      </w:r>
      <w:r w:rsidRPr="000D565A">
        <w:rPr>
          <w:rFonts w:cs="Arial"/>
          <w:i/>
          <w:iCs/>
          <w:szCs w:val="20"/>
        </w:rPr>
        <w:t>Exploring nurse practitioner practice in Australian rural primary health care settings: A scoping review.</w:t>
      </w:r>
      <w:r w:rsidR="000D565A" w:rsidRPr="000D565A">
        <w:rPr>
          <w:rFonts w:cs="Arial"/>
          <w:szCs w:val="20"/>
        </w:rPr>
        <w:t xml:space="preserve"> Austrlaina Journal of Rural Health, </w:t>
      </w:r>
      <w:r w:rsidR="000D565A" w:rsidRPr="000D565A">
        <w:rPr>
          <w:rStyle w:val="vol"/>
          <w:rFonts w:cs="Arial"/>
          <w:color w:val="1C1D1E"/>
          <w:szCs w:val="20"/>
          <w:shd w:val="clear" w:color="auto" w:fill="FFFFFF"/>
        </w:rPr>
        <w:t>31</w:t>
      </w:r>
      <w:r w:rsidR="000D565A" w:rsidRPr="000D565A">
        <w:rPr>
          <w:rFonts w:cs="Arial"/>
          <w:color w:val="1C1D1E"/>
          <w:szCs w:val="20"/>
          <w:shd w:val="clear" w:color="auto" w:fill="FFFFFF"/>
        </w:rPr>
        <w:t>: </w:t>
      </w:r>
      <w:r w:rsidR="000D565A" w:rsidRPr="000D565A">
        <w:rPr>
          <w:rStyle w:val="pagefirst"/>
          <w:rFonts w:cs="Arial"/>
          <w:color w:val="1C1D1E"/>
          <w:szCs w:val="20"/>
          <w:shd w:val="clear" w:color="auto" w:fill="FFFFFF"/>
        </w:rPr>
        <w:t>617</w:t>
      </w:r>
      <w:r w:rsidR="000D565A" w:rsidRPr="000D565A">
        <w:rPr>
          <w:rFonts w:cs="Arial"/>
          <w:color w:val="1C1D1E"/>
          <w:szCs w:val="20"/>
          <w:shd w:val="clear" w:color="auto" w:fill="FFFFFF"/>
        </w:rPr>
        <w:t>–</w:t>
      </w:r>
      <w:r w:rsidR="000D565A" w:rsidRPr="000D565A">
        <w:rPr>
          <w:rStyle w:val="pagelast"/>
          <w:rFonts w:cs="Arial"/>
          <w:color w:val="1C1D1E"/>
          <w:szCs w:val="20"/>
          <w:shd w:val="clear" w:color="auto" w:fill="FFFFFF"/>
        </w:rPr>
        <w:t>630</w:t>
      </w:r>
      <w:r w:rsidR="000D565A" w:rsidRPr="000D565A">
        <w:rPr>
          <w:rFonts w:cs="Arial"/>
          <w:color w:val="1C1D1E"/>
          <w:szCs w:val="20"/>
          <w:shd w:val="clear" w:color="auto" w:fill="FFFFFF"/>
        </w:rPr>
        <w:t>. </w:t>
      </w:r>
      <w:hyperlink r:id="rId59" w:history="1">
        <w:r w:rsidR="000D565A" w:rsidRPr="000D565A">
          <w:rPr>
            <w:rStyle w:val="Hyperlink"/>
            <w:rFonts w:cs="Arial"/>
            <w:szCs w:val="20"/>
            <w:shd w:val="clear" w:color="auto" w:fill="FFFFFF"/>
          </w:rPr>
          <w:t>https://doi.org/10.1111/ajr.13010</w:t>
        </w:r>
      </w:hyperlink>
    </w:p>
    <w:p w14:paraId="1585CEC7" w14:textId="69A22C4C" w:rsidR="00F842D7" w:rsidRDefault="00F842D7" w:rsidP="00F842D7">
      <w:pPr>
        <w:pStyle w:val="AHPRANumberedlistlevel1withspace"/>
        <w:numPr>
          <w:ilvl w:val="0"/>
          <w:numId w:val="50"/>
        </w:numPr>
        <w:outlineLvl w:val="0"/>
      </w:pPr>
      <w:r w:rsidRPr="005866E2">
        <w:t xml:space="preserve">Hughes, J.A., Douglas, C., Jones, L., Brown, N.J., Nguyen, A., Jaragula, R., Lyrstedt, A., Hazelwood, S., Wu, Y., Saleh, F., Chu, K. (2022). </w:t>
      </w:r>
      <w:r w:rsidRPr="005866E2">
        <w:rPr>
          <w:i/>
          <w:iCs/>
        </w:rPr>
        <w:t xml:space="preserve">Identifying patients presenting in pain to the adult </w:t>
      </w:r>
      <w:r w:rsidRPr="005866E2">
        <w:rPr>
          <w:i/>
          <w:iCs/>
        </w:rPr>
        <w:lastRenderedPageBreak/>
        <w:t>emergency department: A binary classification task and description of prevalence</w:t>
      </w:r>
      <w:r w:rsidRPr="005866E2">
        <w:t xml:space="preserve">. International Emergency Nursing, 68. </w:t>
      </w:r>
      <w:hyperlink r:id="rId60" w:history="1">
        <w:r w:rsidR="00337375" w:rsidRPr="0057551F">
          <w:rPr>
            <w:rStyle w:val="Hyperlink"/>
          </w:rPr>
          <w:t>https://doi.org/10.1016/j.ienj.2023.101272</w:t>
        </w:r>
      </w:hyperlink>
    </w:p>
    <w:p w14:paraId="4F98FC04" w14:textId="44558BFE" w:rsidR="00337375" w:rsidRPr="00D50B22" w:rsidRDefault="00337375" w:rsidP="00337375">
      <w:pPr>
        <w:pStyle w:val="AHPRAbody"/>
        <w:rPr>
          <w:szCs w:val="20"/>
        </w:rPr>
      </w:pPr>
      <w:r w:rsidRPr="00D50B22">
        <w:rPr>
          <w:szCs w:val="20"/>
        </w:rPr>
        <w:t>110.</w:t>
      </w:r>
      <w:r w:rsidR="00F07B40" w:rsidRPr="00D50B22">
        <w:rPr>
          <w:szCs w:val="20"/>
        </w:rPr>
        <w:t xml:space="preserve"> </w:t>
      </w:r>
      <w:r w:rsidR="00F07B40" w:rsidRPr="00D50B22">
        <w:rPr>
          <w:color w:val="2A2A2A"/>
          <w:szCs w:val="20"/>
          <w:shd w:val="clear" w:color="auto" w:fill="FFFFFF"/>
        </w:rPr>
        <w:t xml:space="preserve">Latter, </w:t>
      </w:r>
      <w:r w:rsidR="00130E62" w:rsidRPr="00D50B22">
        <w:rPr>
          <w:color w:val="2A2A2A"/>
          <w:szCs w:val="20"/>
          <w:shd w:val="clear" w:color="auto" w:fill="FFFFFF"/>
        </w:rPr>
        <w:t xml:space="preserve">s., </w:t>
      </w:r>
      <w:r w:rsidR="00F07B40" w:rsidRPr="00D50B22">
        <w:rPr>
          <w:color w:val="2A2A2A"/>
          <w:szCs w:val="20"/>
          <w:shd w:val="clear" w:color="auto" w:fill="FFFFFF"/>
        </w:rPr>
        <w:t>Blenkinsopp,</w:t>
      </w:r>
      <w:r w:rsidR="00130E62" w:rsidRPr="00D50B22">
        <w:rPr>
          <w:color w:val="2A2A2A"/>
          <w:szCs w:val="20"/>
          <w:shd w:val="clear" w:color="auto" w:fill="FFFFFF"/>
        </w:rPr>
        <w:t xml:space="preserve"> A.</w:t>
      </w:r>
      <w:r w:rsidR="00A44477" w:rsidRPr="00D50B22">
        <w:rPr>
          <w:color w:val="2A2A2A"/>
          <w:szCs w:val="20"/>
          <w:shd w:val="clear" w:color="auto" w:fill="FFFFFF"/>
        </w:rPr>
        <w:t xml:space="preserve"> (2011) </w:t>
      </w:r>
      <w:r w:rsidR="00F07B40" w:rsidRPr="00D50B22">
        <w:rPr>
          <w:color w:val="2A2A2A"/>
          <w:szCs w:val="20"/>
          <w:shd w:val="clear" w:color="auto" w:fill="FFFFFF"/>
        </w:rPr>
        <w:t xml:space="preserve"> </w:t>
      </w:r>
      <w:r w:rsidR="00F07B40" w:rsidRPr="00D50B22">
        <w:rPr>
          <w:i/>
          <w:iCs/>
          <w:color w:val="2A2A2A"/>
          <w:szCs w:val="20"/>
          <w:shd w:val="clear" w:color="auto" w:fill="FFFFFF"/>
        </w:rPr>
        <w:t>Non-medical prescribing: current and future contribution of pharmacists and nurses</w:t>
      </w:r>
      <w:r w:rsidR="00D50B22" w:rsidRPr="00D50B22">
        <w:rPr>
          <w:i/>
          <w:iCs/>
          <w:color w:val="2A2A2A"/>
          <w:szCs w:val="20"/>
          <w:shd w:val="clear" w:color="auto" w:fill="FFFFFF"/>
        </w:rPr>
        <w:t xml:space="preserve">. </w:t>
      </w:r>
      <w:r w:rsidR="00F07B40" w:rsidRPr="00D50B22">
        <w:rPr>
          <w:color w:val="2A2A2A"/>
          <w:szCs w:val="20"/>
          <w:shd w:val="clear" w:color="auto" w:fill="FFFFFF"/>
        </w:rPr>
        <w:t> </w:t>
      </w:r>
      <w:r w:rsidR="00F07B40" w:rsidRPr="00D50B22">
        <w:rPr>
          <w:rStyle w:val="Emphasis"/>
          <w:i w:val="0"/>
          <w:iCs w:val="0"/>
          <w:color w:val="2A2A2A"/>
          <w:szCs w:val="20"/>
          <w:bdr w:val="none" w:sz="0" w:space="0" w:color="auto" w:frame="1"/>
          <w:shd w:val="clear" w:color="auto" w:fill="FFFFFF"/>
        </w:rPr>
        <w:t>International Journal of Pharmacy Practice</w:t>
      </w:r>
      <w:r w:rsidR="00F07B40" w:rsidRPr="00D50B22">
        <w:rPr>
          <w:color w:val="2A2A2A"/>
          <w:szCs w:val="20"/>
          <w:shd w:val="clear" w:color="auto" w:fill="FFFFFF"/>
        </w:rPr>
        <w:t>, Volume 19, Issue 6, December 2011, Pages 381–382, </w:t>
      </w:r>
      <w:hyperlink r:id="rId61" w:history="1">
        <w:r w:rsidR="00F07B40" w:rsidRPr="00D50B22">
          <w:rPr>
            <w:rStyle w:val="Hyperlink"/>
            <w:color w:val="006FB7"/>
            <w:szCs w:val="20"/>
            <w:bdr w:val="none" w:sz="0" w:space="0" w:color="auto" w:frame="1"/>
            <w:shd w:val="clear" w:color="auto" w:fill="FFFFFF"/>
          </w:rPr>
          <w:t>https://doi.org/10.1111/j.2042-7174.2011.00183.x</w:t>
        </w:r>
      </w:hyperlink>
    </w:p>
    <w:p w14:paraId="1D27865F" w14:textId="77777777" w:rsidR="00790A4D" w:rsidRDefault="00790A4D" w:rsidP="00D50B22">
      <w:pPr>
        <w:pStyle w:val="AHPRAbody"/>
      </w:pPr>
    </w:p>
    <w:p w14:paraId="2F821E96" w14:textId="77777777" w:rsidR="008F16A3" w:rsidRDefault="008F16A3" w:rsidP="00D50B22">
      <w:pPr>
        <w:pStyle w:val="AHPRAbody"/>
      </w:pPr>
    </w:p>
    <w:p w14:paraId="73BC8BCD" w14:textId="77777777" w:rsidR="008F16A3" w:rsidRDefault="008F16A3" w:rsidP="00D50B22">
      <w:pPr>
        <w:pStyle w:val="AHPRAbody"/>
      </w:pPr>
    </w:p>
    <w:p w14:paraId="3A2C85C5" w14:textId="77777777" w:rsidR="008F16A3" w:rsidRDefault="008F16A3" w:rsidP="00D50B22">
      <w:pPr>
        <w:pStyle w:val="AHPRAbody"/>
      </w:pPr>
    </w:p>
    <w:p w14:paraId="09A6789F" w14:textId="77777777" w:rsidR="008F16A3" w:rsidRDefault="008F16A3" w:rsidP="00D50B22">
      <w:pPr>
        <w:pStyle w:val="AHPRAbody"/>
      </w:pPr>
    </w:p>
    <w:p w14:paraId="656F1BCE" w14:textId="77777777" w:rsidR="008F16A3" w:rsidRDefault="008F16A3" w:rsidP="00D50B22">
      <w:pPr>
        <w:pStyle w:val="AHPRAbody"/>
      </w:pPr>
    </w:p>
    <w:p w14:paraId="4A274B21" w14:textId="77777777" w:rsidR="008F16A3" w:rsidRDefault="008F16A3" w:rsidP="00D50B22">
      <w:pPr>
        <w:pStyle w:val="AHPRAbody"/>
      </w:pPr>
    </w:p>
    <w:p w14:paraId="43888980" w14:textId="77777777" w:rsidR="008F16A3" w:rsidRDefault="008F16A3" w:rsidP="00D50B22">
      <w:pPr>
        <w:pStyle w:val="AHPRAbody"/>
      </w:pPr>
    </w:p>
    <w:p w14:paraId="41005762" w14:textId="77777777" w:rsidR="008F16A3" w:rsidRDefault="008F16A3" w:rsidP="00D50B22">
      <w:pPr>
        <w:pStyle w:val="AHPRAbody"/>
      </w:pPr>
    </w:p>
    <w:p w14:paraId="3A75B16F" w14:textId="77777777" w:rsidR="008F16A3" w:rsidRDefault="008F16A3" w:rsidP="00D50B22">
      <w:pPr>
        <w:pStyle w:val="AHPRAbody"/>
      </w:pPr>
    </w:p>
    <w:p w14:paraId="2D54ACCB" w14:textId="77777777" w:rsidR="008F16A3" w:rsidRDefault="008F16A3" w:rsidP="00D50B22">
      <w:pPr>
        <w:pStyle w:val="AHPRAbody"/>
      </w:pPr>
    </w:p>
    <w:p w14:paraId="54A1A863" w14:textId="77777777" w:rsidR="008F16A3" w:rsidRDefault="008F16A3" w:rsidP="00D50B22">
      <w:pPr>
        <w:pStyle w:val="AHPRAbody"/>
      </w:pPr>
    </w:p>
    <w:p w14:paraId="362314BF" w14:textId="77777777" w:rsidR="008F16A3" w:rsidRDefault="008F16A3" w:rsidP="00D50B22">
      <w:pPr>
        <w:pStyle w:val="AHPRAbody"/>
      </w:pPr>
    </w:p>
    <w:p w14:paraId="74E3E64F" w14:textId="77777777" w:rsidR="008F16A3" w:rsidRDefault="008F16A3" w:rsidP="00D50B22">
      <w:pPr>
        <w:pStyle w:val="AHPRAbody"/>
      </w:pPr>
    </w:p>
    <w:p w14:paraId="41B46653" w14:textId="77777777" w:rsidR="008F16A3" w:rsidRDefault="008F16A3" w:rsidP="00D50B22">
      <w:pPr>
        <w:pStyle w:val="AHPRAbody"/>
      </w:pPr>
    </w:p>
    <w:p w14:paraId="13EE1FAA" w14:textId="77777777" w:rsidR="008F16A3" w:rsidRDefault="008F16A3" w:rsidP="00D50B22">
      <w:pPr>
        <w:pStyle w:val="AHPRAbody"/>
      </w:pPr>
    </w:p>
    <w:p w14:paraId="37E2CF4E" w14:textId="77777777" w:rsidR="008F16A3" w:rsidRDefault="008F16A3" w:rsidP="00D50B22">
      <w:pPr>
        <w:pStyle w:val="AHPRAbody"/>
      </w:pPr>
    </w:p>
    <w:p w14:paraId="59DA761E" w14:textId="77777777" w:rsidR="008F16A3" w:rsidRDefault="008F16A3" w:rsidP="00D50B22">
      <w:pPr>
        <w:pStyle w:val="AHPRAbody"/>
      </w:pPr>
    </w:p>
    <w:p w14:paraId="641397DB" w14:textId="77777777" w:rsidR="008F16A3" w:rsidRDefault="008F16A3" w:rsidP="00D50B22">
      <w:pPr>
        <w:pStyle w:val="AHPRAbody"/>
      </w:pPr>
    </w:p>
    <w:p w14:paraId="769855B6" w14:textId="77777777" w:rsidR="008F16A3" w:rsidRDefault="008F16A3" w:rsidP="00D50B22">
      <w:pPr>
        <w:pStyle w:val="AHPRAbody"/>
      </w:pPr>
    </w:p>
    <w:p w14:paraId="739C9965" w14:textId="77777777" w:rsidR="008F16A3" w:rsidRDefault="008F16A3" w:rsidP="00D50B22">
      <w:pPr>
        <w:pStyle w:val="AHPRAbody"/>
      </w:pPr>
    </w:p>
    <w:p w14:paraId="2C28B4D5" w14:textId="77777777" w:rsidR="008F16A3" w:rsidRDefault="008F16A3" w:rsidP="00D50B22">
      <w:pPr>
        <w:pStyle w:val="AHPRAbody"/>
      </w:pPr>
    </w:p>
    <w:p w14:paraId="22DACD41" w14:textId="77777777" w:rsidR="008F16A3" w:rsidRDefault="008F16A3" w:rsidP="00D50B22">
      <w:pPr>
        <w:pStyle w:val="AHPRAbody"/>
      </w:pPr>
    </w:p>
    <w:p w14:paraId="21E79D1B" w14:textId="77777777" w:rsidR="008F16A3" w:rsidRDefault="008F16A3" w:rsidP="00D50B22">
      <w:pPr>
        <w:pStyle w:val="AHPRAbody"/>
      </w:pPr>
    </w:p>
    <w:p w14:paraId="309A640B" w14:textId="77777777" w:rsidR="008F16A3" w:rsidRDefault="008F16A3" w:rsidP="00D50B22">
      <w:pPr>
        <w:pStyle w:val="AHPRAbody"/>
      </w:pPr>
    </w:p>
    <w:p w14:paraId="534F98D7" w14:textId="77777777" w:rsidR="008F16A3" w:rsidRDefault="008F16A3" w:rsidP="00D50B22">
      <w:pPr>
        <w:pStyle w:val="AHPRAbody"/>
      </w:pPr>
    </w:p>
    <w:p w14:paraId="1AB8EB92" w14:textId="77777777" w:rsidR="00C11600" w:rsidRDefault="00C11600" w:rsidP="00D50B22">
      <w:pPr>
        <w:pStyle w:val="AHPRAbody"/>
        <w:sectPr w:rsidR="00C11600" w:rsidSect="009A5B0D">
          <w:headerReference w:type="even" r:id="rId62"/>
          <w:headerReference w:type="default" r:id="rId63"/>
          <w:footerReference w:type="even" r:id="rId64"/>
          <w:footerReference w:type="default" r:id="rId65"/>
          <w:headerReference w:type="first" r:id="rId66"/>
          <w:footerReference w:type="first" r:id="rId67"/>
          <w:pgSz w:w="11900" w:h="16840"/>
          <w:pgMar w:top="1392" w:right="1247" w:bottom="1134" w:left="1247" w:header="284" w:footer="579" w:gutter="0"/>
          <w:cols w:space="708"/>
          <w:titlePg/>
          <w:docGrid w:linePitch="326"/>
        </w:sectPr>
      </w:pPr>
    </w:p>
    <w:bookmarkStart w:id="97" w:name="_Toc164692752"/>
    <w:p w14:paraId="4A4DC226" w14:textId="77777777" w:rsidR="00BF7BD5" w:rsidRPr="003F0237" w:rsidRDefault="00BF7BD5" w:rsidP="00BF7BD5">
      <w:pPr>
        <w:pStyle w:val="AHPRADocumenttitle"/>
        <w:spacing w:after="480"/>
      </w:pPr>
      <w:r w:rsidRPr="003F0237">
        <w:rPr>
          <w:noProof/>
          <w:lang w:eastAsia="en-AU"/>
        </w:rPr>
        <w:lastRenderedPageBreak/>
        <mc:AlternateContent>
          <mc:Choice Requires="wps">
            <w:drawing>
              <wp:anchor distT="4294967293" distB="4294967293" distL="114300" distR="114300" simplePos="0" relativeHeight="251660332" behindDoc="0" locked="0" layoutInCell="1" allowOverlap="1" wp14:anchorId="3E1EF568" wp14:editId="5F619172">
                <wp:simplePos x="0" y="0"/>
                <wp:positionH relativeFrom="column">
                  <wp:posOffset>-1723390</wp:posOffset>
                </wp:positionH>
                <wp:positionV relativeFrom="paragraph">
                  <wp:posOffset>387350</wp:posOffset>
                </wp:positionV>
                <wp:extent cx="36720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FE8227" id="_x0000_t32" coordsize="21600,21600" o:spt="32" o:oned="t" path="m,l21600,21600e" filled="f">
                <v:path arrowok="t" fillok="f" o:connecttype="none"/>
                <o:lock v:ext="edit" shapetype="t"/>
              </v:shapetype>
              <v:shape id="Straight Arrow Connector 4" o:spid="_x0000_s1026" type="#_x0000_t32" style="position:absolute;margin-left:-135.7pt;margin-top:30.5pt;width:289.15pt;height:0;z-index:2516603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"/>
            </w:pict>
          </mc:Fallback>
        </mc:AlternateContent>
      </w:r>
      <w:bookmarkStart w:id="98" w:name="_Toc499214113"/>
      <w:r w:rsidRPr="003F0237">
        <w:t>Re</w:t>
      </w:r>
      <w:r>
        <w:t>g</w:t>
      </w:r>
      <w:r w:rsidRPr="003F0237">
        <w:t>istration standard</w:t>
      </w:r>
      <w:bookmarkEnd w:id="97"/>
      <w:bookmarkEnd w:id="98"/>
    </w:p>
    <w:p w14:paraId="241E1575" w14:textId="77777777" w:rsidR="00BF7BD5" w:rsidRDefault="00BF7BD5" w:rsidP="00BF7BD5">
      <w:pPr>
        <w:pStyle w:val="AHPRADocumentsubheading"/>
      </w:pPr>
      <w:bookmarkStart w:id="99" w:name="_Toc132875720"/>
      <w:bookmarkStart w:id="100" w:name="_Toc137725728"/>
      <w:bookmarkStart w:id="101" w:name="_Toc137726108"/>
      <w:bookmarkStart w:id="102" w:name="_Toc164692753"/>
      <w:r>
        <w:t xml:space="preserve">Endorsement for scheduled medicines − </w:t>
      </w:r>
      <w:bookmarkStart w:id="103" w:name="_Hlk11950231"/>
      <w:r>
        <w:t>designated registered nurse prescriber</w:t>
      </w:r>
      <w:bookmarkEnd w:id="99"/>
      <w:bookmarkEnd w:id="100"/>
      <w:bookmarkEnd w:id="101"/>
      <w:bookmarkEnd w:id="102"/>
    </w:p>
    <w:p w14:paraId="3129ECCA" w14:textId="77777777" w:rsidR="00BF7BD5" w:rsidRPr="00F0301E" w:rsidRDefault="00BF7BD5" w:rsidP="00BF7BD5">
      <w:pPr>
        <w:pStyle w:val="AHPRASubhead"/>
        <w:tabs>
          <w:tab w:val="left" w:pos="8175"/>
        </w:tabs>
        <w:outlineLvl w:val="0"/>
        <w:rPr>
          <w:b w:val="0"/>
          <w:color w:val="auto"/>
          <w:highlight w:val="yellow"/>
        </w:rPr>
      </w:pPr>
      <w:bookmarkStart w:id="104" w:name="_Toc33081869"/>
      <w:bookmarkStart w:id="105" w:name="_Toc33082028"/>
      <w:bookmarkStart w:id="106" w:name="_Toc48330660"/>
      <w:bookmarkStart w:id="107" w:name="_Toc48551757"/>
      <w:bookmarkStart w:id="108" w:name="_Toc48552982"/>
      <w:bookmarkStart w:id="109" w:name="_Toc76118106"/>
      <w:bookmarkEnd w:id="103"/>
      <w:r w:rsidRPr="2610CB22">
        <w:rPr>
          <w:color w:val="007DC3"/>
        </w:rPr>
        <w:t>Effective from:</w:t>
      </w:r>
      <w:r w:rsidRPr="2610CB22">
        <w:rPr>
          <w:b w:val="0"/>
          <w:color w:val="auto"/>
        </w:rPr>
        <w:t xml:space="preserve"> </w:t>
      </w:r>
      <w:r w:rsidRPr="000936F6">
        <w:rPr>
          <w:b w:val="0"/>
          <w:color w:val="auto"/>
        </w:rPr>
        <w:t>30 September 2025</w:t>
      </w:r>
      <w:bookmarkEnd w:id="104"/>
      <w:bookmarkEnd w:id="105"/>
      <w:bookmarkEnd w:id="106"/>
      <w:bookmarkEnd w:id="107"/>
      <w:bookmarkEnd w:id="108"/>
      <w:bookmarkEnd w:id="109"/>
    </w:p>
    <w:p w14:paraId="306DDF92" w14:textId="77777777" w:rsidR="00BF7BD5" w:rsidRPr="0020575F" w:rsidRDefault="00BF7BD5" w:rsidP="00BF7BD5">
      <w:pPr>
        <w:pStyle w:val="AHPRASubheading"/>
      </w:pPr>
      <w:bookmarkStart w:id="110" w:name="_Toc33081870"/>
      <w:bookmarkStart w:id="111" w:name="_Toc33082029"/>
      <w:bookmarkStart w:id="112" w:name="_Toc48330661"/>
      <w:bookmarkStart w:id="113" w:name="_Toc48551758"/>
      <w:bookmarkStart w:id="114" w:name="_Toc48552983"/>
      <w:bookmarkStart w:id="115" w:name="_Toc76118107"/>
      <w:bookmarkStart w:id="116" w:name="_Toc137725203"/>
      <w:bookmarkStart w:id="117" w:name="_Toc137725729"/>
      <w:bookmarkStart w:id="118" w:name="_Toc137726109"/>
      <w:bookmarkStart w:id="119" w:name="_Toc149724081"/>
      <w:bookmarkStart w:id="120" w:name="_Toc149724656"/>
      <w:bookmarkStart w:id="121" w:name="_Toc149725057"/>
      <w:bookmarkStart w:id="122" w:name="_Toc164692754"/>
      <w:r w:rsidRPr="0020575F">
        <w:t>Summary</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0226A3E2" w14:textId="77777777" w:rsidR="00BF7BD5" w:rsidRDefault="00BF7BD5" w:rsidP="00BF7BD5">
      <w:pPr>
        <w:pStyle w:val="AHPRAbody"/>
        <w:outlineLvl w:val="0"/>
      </w:pPr>
      <w:r>
        <w:t xml:space="preserve">This registration standard describes how a registered nurse (RN) can qualify for this endorsement for scheduled medicines </w:t>
      </w:r>
      <w:r w:rsidRPr="00DC081F">
        <w:t>under section 94</w:t>
      </w:r>
      <w:r>
        <w:t xml:space="preserve"> of the</w:t>
      </w:r>
      <w:r w:rsidRPr="007C78C7">
        <w:rPr>
          <w:i/>
        </w:rPr>
        <w:t xml:space="preserve"> </w:t>
      </w:r>
      <w:r w:rsidRPr="00895BEB">
        <w:t>Health Practitioner Regulation National Law</w:t>
      </w:r>
      <w:r>
        <w:t>,</w:t>
      </w:r>
      <w:r w:rsidRPr="00D306B6">
        <w:t xml:space="preserve"> </w:t>
      </w:r>
      <w:r>
        <w:t>as in force in each state and territory (the National Law). This registration standard sets out the scope of the endorsement for scheduled medicines − designated registered nurse prescriber (designated RN prescriber) and what the Nursing and Midwifery Board of Australia (NMBA) expects of RNs to attain and retain this endorsement.</w:t>
      </w:r>
    </w:p>
    <w:p w14:paraId="1F69BF4A" w14:textId="77777777" w:rsidR="00BF7BD5" w:rsidRPr="0020575F" w:rsidRDefault="00BF7BD5" w:rsidP="00BF7BD5">
      <w:pPr>
        <w:pStyle w:val="AHPRASubheading"/>
      </w:pPr>
      <w:r w:rsidRPr="0020575F">
        <w:t>Does this standard apply to me?</w:t>
      </w:r>
    </w:p>
    <w:p w14:paraId="36DC377A" w14:textId="77777777" w:rsidR="00BF7BD5" w:rsidRPr="00ED5D61" w:rsidRDefault="00BF7BD5" w:rsidP="00BF7BD5">
      <w:pPr>
        <w:spacing w:after="120"/>
        <w:outlineLvl w:val="0"/>
        <w:rPr>
          <w:rFonts w:cs="Arial"/>
          <w:bCs/>
          <w:szCs w:val="20"/>
        </w:rPr>
      </w:pPr>
      <w:r w:rsidRPr="00ED5D61">
        <w:rPr>
          <w:rFonts w:cs="Arial"/>
          <w:bCs/>
          <w:szCs w:val="20"/>
        </w:rPr>
        <w:t xml:space="preserve">This registration standard applies to </w:t>
      </w:r>
      <w:r>
        <w:rPr>
          <w:rFonts w:cs="Arial"/>
          <w:bCs/>
          <w:szCs w:val="20"/>
        </w:rPr>
        <w:t>RNs</w:t>
      </w:r>
      <w:r w:rsidRPr="00ED5D61">
        <w:rPr>
          <w:rFonts w:cs="Arial"/>
          <w:bCs/>
          <w:szCs w:val="20"/>
        </w:rPr>
        <w:t>:</w:t>
      </w:r>
    </w:p>
    <w:p w14:paraId="394919A3" w14:textId="77777777" w:rsidR="00BF7BD5" w:rsidRDefault="00BF7BD5" w:rsidP="00BF7BD5">
      <w:pPr>
        <w:pStyle w:val="AHPRABulletlevel1"/>
        <w:numPr>
          <w:ilvl w:val="0"/>
          <w:numId w:val="25"/>
        </w:numPr>
        <w:outlineLvl w:val="0"/>
      </w:pPr>
      <w:r w:rsidRPr="00ED5D61">
        <w:t xml:space="preserve">applying </w:t>
      </w:r>
      <w:r>
        <w:t>for the endorsement</w:t>
      </w:r>
      <w:r w:rsidRPr="00ED5D61">
        <w:t xml:space="preserve"> for scheduled medicines</w:t>
      </w:r>
      <w:r>
        <w:t xml:space="preserve"> </w:t>
      </w:r>
      <w:r w:rsidRPr="19C7CCAE">
        <w:t>as a</w:t>
      </w:r>
      <w:r>
        <w:t xml:space="preserve"> designated RN prescriber</w:t>
      </w:r>
      <w:r>
        <w:rPr>
          <w:rStyle w:val="FootnoteReference"/>
        </w:rPr>
        <w:footnoteReference w:customMarkFollows="1" w:id="2"/>
        <w:t>1</w:t>
      </w:r>
      <w:r>
        <w:t>,</w:t>
      </w:r>
      <w:r w:rsidRPr="00ED5D61">
        <w:t xml:space="preserve"> </w:t>
      </w:r>
      <w:r>
        <w:t>and/or</w:t>
      </w:r>
    </w:p>
    <w:p w14:paraId="446965A5" w14:textId="77777777" w:rsidR="00BF7BD5" w:rsidRDefault="00BF7BD5" w:rsidP="00BF7BD5">
      <w:pPr>
        <w:pStyle w:val="AHPRABulletlevel1"/>
        <w:numPr>
          <w:ilvl w:val="0"/>
          <w:numId w:val="25"/>
        </w:numPr>
        <w:spacing w:after="200"/>
        <w:ind w:hanging="357"/>
        <w:outlineLvl w:val="0"/>
      </w:pPr>
      <w:r w:rsidRPr="00ED5D61">
        <w:t>whose registration is endorsed for scheduled medicines</w:t>
      </w:r>
      <w:r>
        <w:t xml:space="preserve"> as a designated RN prescriber.</w:t>
      </w:r>
    </w:p>
    <w:p w14:paraId="1A6D4635" w14:textId="77777777" w:rsidR="00BF7BD5" w:rsidRPr="0020575F" w:rsidRDefault="00BF7BD5" w:rsidP="00BF7BD5">
      <w:pPr>
        <w:pStyle w:val="AHPRASubheading"/>
      </w:pPr>
      <w:bookmarkStart w:id="123" w:name="_Toc33081871"/>
      <w:bookmarkStart w:id="124" w:name="_Toc33082030"/>
      <w:bookmarkStart w:id="125" w:name="_Toc48330662"/>
      <w:bookmarkStart w:id="126" w:name="_Toc48551759"/>
      <w:bookmarkStart w:id="127" w:name="_Toc48552984"/>
      <w:bookmarkStart w:id="128" w:name="_Toc76118108"/>
      <w:r w:rsidRPr="0020575F">
        <w:t>Scope of endorsement</w:t>
      </w:r>
      <w:bookmarkEnd w:id="123"/>
      <w:bookmarkEnd w:id="124"/>
      <w:bookmarkEnd w:id="125"/>
      <w:bookmarkEnd w:id="126"/>
      <w:bookmarkEnd w:id="127"/>
      <w:bookmarkEnd w:id="128"/>
    </w:p>
    <w:p w14:paraId="6D2B1BDE" w14:textId="77777777" w:rsidR="00BF7BD5" w:rsidRPr="00337A23" w:rsidRDefault="00BF7BD5" w:rsidP="00BF7BD5">
      <w:pPr>
        <w:pStyle w:val="AHPRAbody"/>
        <w:outlineLvl w:val="0"/>
      </w:pPr>
      <w:r w:rsidRPr="00337A23">
        <w:t xml:space="preserve">A designated registered nurse prescriber is qualified to </w:t>
      </w:r>
      <w:r w:rsidRPr="00337A23">
        <w:rPr>
          <w:b/>
        </w:rPr>
        <w:t xml:space="preserve">administer, obtain, possess, prescribe, supply </w:t>
      </w:r>
      <w:r w:rsidRPr="00337A23">
        <w:t>and/or</w:t>
      </w:r>
      <w:r w:rsidRPr="00337A23">
        <w:rPr>
          <w:b/>
        </w:rPr>
        <w:t xml:space="preserve"> use</w:t>
      </w:r>
      <w:r w:rsidRPr="00337A23">
        <w:t xml:space="preserve"> Schedule 2, 3, 4 and 8 medicines with an authorised health practitioner, in accordance with this standard and associated guidelines and relevant state and territory legislation, for the purposes of the practice of nursing.</w:t>
      </w:r>
    </w:p>
    <w:p w14:paraId="29D911D4" w14:textId="77777777" w:rsidR="00BF7BD5" w:rsidRPr="0020575F" w:rsidRDefault="00BF7BD5" w:rsidP="00BF7BD5">
      <w:pPr>
        <w:pStyle w:val="AHPRASubheading"/>
      </w:pPr>
      <w:bookmarkStart w:id="129" w:name="_Toc33081872"/>
      <w:bookmarkStart w:id="130" w:name="_Toc33082031"/>
      <w:bookmarkStart w:id="131" w:name="_Toc48330663"/>
      <w:bookmarkStart w:id="132" w:name="_Toc48551760"/>
      <w:bookmarkStart w:id="133" w:name="_Toc48552985"/>
      <w:bookmarkStart w:id="134" w:name="_Toc76118109"/>
      <w:bookmarkStart w:id="135" w:name="_Toc130477892"/>
      <w:r w:rsidRPr="0020575F">
        <w:t>The requirements of the endorsement</w:t>
      </w:r>
      <w:bookmarkEnd w:id="129"/>
      <w:bookmarkEnd w:id="130"/>
      <w:bookmarkEnd w:id="131"/>
      <w:bookmarkEnd w:id="132"/>
      <w:bookmarkEnd w:id="133"/>
      <w:bookmarkEnd w:id="134"/>
      <w:bookmarkEnd w:id="135"/>
      <w:r w:rsidRPr="0020575F">
        <w:t xml:space="preserve"> </w:t>
      </w:r>
    </w:p>
    <w:p w14:paraId="078DC75D" w14:textId="77777777" w:rsidR="00BF7BD5" w:rsidRDefault="00BF7BD5" w:rsidP="00BF7BD5">
      <w:pPr>
        <w:pStyle w:val="AHPRABulletlevel1"/>
        <w:numPr>
          <w:ilvl w:val="0"/>
          <w:numId w:val="0"/>
        </w:numPr>
        <w:spacing w:after="200"/>
        <w:outlineLvl w:val="0"/>
      </w:pPr>
      <w:r w:rsidRPr="350C3682">
        <w:rPr>
          <w:color w:val="000000" w:themeColor="text1"/>
        </w:rPr>
        <w:t xml:space="preserve">When applying for the endorsement </w:t>
      </w:r>
      <w:r w:rsidRPr="00ED5D61">
        <w:t>for scheduled medicines</w:t>
      </w:r>
      <w:r>
        <w:t xml:space="preserve"> </w:t>
      </w:r>
      <w:r>
        <w:rPr>
          <w:rFonts w:cs="Arial"/>
        </w:rPr>
        <w:t>−</w:t>
      </w:r>
      <w:r>
        <w:t xml:space="preserve"> designated RN prescriber, an RN must be able to demonstrate all of the following:</w:t>
      </w:r>
    </w:p>
    <w:p w14:paraId="6525E9FD" w14:textId="77777777" w:rsidR="00BF7BD5" w:rsidRDefault="00BF7BD5" w:rsidP="00BF7BD5">
      <w:pPr>
        <w:pStyle w:val="AHPRANumberedlistlevel1withspace"/>
        <w:numPr>
          <w:ilvl w:val="0"/>
          <w:numId w:val="26"/>
        </w:numPr>
        <w:spacing w:after="120"/>
        <w:ind w:left="426" w:hanging="426"/>
        <w:outlineLvl w:val="0"/>
      </w:pPr>
      <w:r>
        <w:t>C</w:t>
      </w:r>
      <w:r w:rsidRPr="00BC604A">
        <w:t xml:space="preserve">urrent general registration as </w:t>
      </w:r>
      <w:r>
        <w:t>an RN</w:t>
      </w:r>
      <w:r w:rsidRPr="00BC604A">
        <w:t xml:space="preserve"> in Australia with no conditions or undertakings </w:t>
      </w:r>
      <w:r>
        <w:t>relevant to this endorsement.</w:t>
      </w:r>
    </w:p>
    <w:p w14:paraId="7A8E7961" w14:textId="77777777" w:rsidR="00BF7BD5" w:rsidRDefault="00BF7BD5" w:rsidP="00BF7BD5">
      <w:pPr>
        <w:pStyle w:val="AHPRANumberedlistlevel1withspace"/>
        <w:numPr>
          <w:ilvl w:val="0"/>
          <w:numId w:val="26"/>
        </w:numPr>
        <w:spacing w:after="120"/>
        <w:ind w:left="426" w:hanging="426"/>
        <w:outlineLvl w:val="0"/>
      </w:pPr>
      <w:r>
        <w:t>T</w:t>
      </w:r>
      <w:r w:rsidRPr="00BC604A">
        <w:t>he equivalen</w:t>
      </w:r>
      <w:r>
        <w:t>t</w:t>
      </w:r>
      <w:r w:rsidRPr="00BC604A">
        <w:t xml:space="preserve"> of </w:t>
      </w:r>
      <w:r>
        <w:t>three</w:t>
      </w:r>
      <w:r w:rsidRPr="00BC604A">
        <w:t xml:space="preserve"> years</w:t>
      </w:r>
      <w:r>
        <w:t>’</w:t>
      </w:r>
      <w:r w:rsidRPr="00BC604A">
        <w:t xml:space="preserve"> full-time </w:t>
      </w:r>
      <w:r>
        <w:t xml:space="preserve">post-initial registration clinical </w:t>
      </w:r>
      <w:r w:rsidRPr="00BC604A">
        <w:t xml:space="preserve">experience </w:t>
      </w:r>
      <w:r w:rsidRPr="00313980">
        <w:t>(</w:t>
      </w:r>
      <w:r>
        <w:t>5,000</w:t>
      </w:r>
      <w:r w:rsidRPr="00313980">
        <w:t xml:space="preserve"> hours</w:t>
      </w:r>
      <w:r>
        <w:t>) within the past six years, from t</w:t>
      </w:r>
      <w:r w:rsidRPr="00BC604A">
        <w:t>he date when the complete application seeking endorsement</w:t>
      </w:r>
      <w:r>
        <w:t xml:space="preserve"> for scheduled medicines </w:t>
      </w:r>
      <w:r w:rsidRPr="00BC604A">
        <w:t xml:space="preserve">as a </w:t>
      </w:r>
      <w:r>
        <w:t xml:space="preserve">designated RN prescriber </w:t>
      </w:r>
      <w:r w:rsidRPr="00BC604A">
        <w:t>is received by the NMBA.</w:t>
      </w:r>
      <w:r>
        <w:t xml:space="preserve"> </w:t>
      </w:r>
    </w:p>
    <w:p w14:paraId="46D382B6" w14:textId="77777777" w:rsidR="00BF7BD5" w:rsidRDefault="00BF7BD5" w:rsidP="00BF7BD5">
      <w:pPr>
        <w:pStyle w:val="AHPRANumberedlistlevel1withspace"/>
        <w:numPr>
          <w:ilvl w:val="0"/>
          <w:numId w:val="26"/>
        </w:numPr>
        <w:spacing w:after="120"/>
        <w:ind w:left="426" w:hanging="426"/>
        <w:outlineLvl w:val="0"/>
      </w:pPr>
      <w:r w:rsidRPr="00CC341A">
        <w:t>Successful completion of:</w:t>
      </w:r>
    </w:p>
    <w:p w14:paraId="3B4A5F5A" w14:textId="77777777" w:rsidR="00BF7BD5" w:rsidRPr="00410A87" w:rsidRDefault="00BF7BD5" w:rsidP="00BF7BD5">
      <w:pPr>
        <w:pStyle w:val="AHPRANumberedlistlevel1withspace"/>
        <w:numPr>
          <w:ilvl w:val="1"/>
          <w:numId w:val="26"/>
        </w:numPr>
        <w:spacing w:after="120"/>
        <w:ind w:left="709" w:hanging="283"/>
        <w:outlineLvl w:val="0"/>
      </w:pPr>
      <w:r>
        <w:t>NMBA-approved units of study leading to endorsement for scheduled medicines as a designated RN prescriber, or</w:t>
      </w:r>
    </w:p>
    <w:p w14:paraId="2F38D45E" w14:textId="77777777" w:rsidR="00BF7BD5" w:rsidRDefault="00BF7BD5" w:rsidP="00BF7BD5">
      <w:pPr>
        <w:pStyle w:val="AHPRANumberedlistlevel1withspace"/>
        <w:numPr>
          <w:ilvl w:val="1"/>
          <w:numId w:val="26"/>
        </w:numPr>
        <w:spacing w:after="120"/>
        <w:ind w:left="709" w:hanging="283"/>
        <w:outlineLvl w:val="0"/>
      </w:pPr>
      <w:r>
        <w:t xml:space="preserve">units of study that are </w:t>
      </w:r>
      <w:r w:rsidRPr="002E1FD4">
        <w:t>equivalent</w:t>
      </w:r>
      <w:r>
        <w:t xml:space="preserve"> to the NMBA-approved units of study leading to endorsement for scheduled medicines as a designated RN prescriber.</w:t>
      </w:r>
    </w:p>
    <w:p w14:paraId="3237D75E" w14:textId="77777777" w:rsidR="00BF7BD5" w:rsidRPr="0020575F" w:rsidRDefault="00BF7BD5" w:rsidP="00BF7BD5">
      <w:pPr>
        <w:pStyle w:val="AHPRASubheading"/>
      </w:pPr>
      <w:bookmarkStart w:id="136" w:name="_Toc33081873"/>
      <w:bookmarkStart w:id="137" w:name="_Toc33082032"/>
      <w:bookmarkStart w:id="138" w:name="_Toc48330664"/>
      <w:bookmarkStart w:id="139" w:name="_Toc48551761"/>
      <w:bookmarkStart w:id="140" w:name="_Toc48552986"/>
      <w:bookmarkStart w:id="141" w:name="_Toc76118110"/>
      <w:bookmarkStart w:id="142" w:name="_Toc130477893"/>
      <w:r w:rsidRPr="0020575F">
        <w:t>What must I do when I am endorsed?</w:t>
      </w:r>
      <w:bookmarkEnd w:id="136"/>
      <w:bookmarkEnd w:id="137"/>
      <w:bookmarkEnd w:id="138"/>
      <w:bookmarkEnd w:id="139"/>
      <w:bookmarkEnd w:id="140"/>
      <w:bookmarkEnd w:id="141"/>
      <w:bookmarkEnd w:id="142"/>
    </w:p>
    <w:p w14:paraId="234DF3FD" w14:textId="77777777" w:rsidR="00BF7BD5" w:rsidRPr="00745CC3" w:rsidRDefault="00BF7BD5" w:rsidP="00BF7BD5">
      <w:pPr>
        <w:pStyle w:val="AHPRAbody"/>
        <w:outlineLvl w:val="0"/>
      </w:pPr>
      <w:r>
        <w:lastRenderedPageBreak/>
        <w:t>Ongoing e</w:t>
      </w:r>
      <w:r w:rsidRPr="00745CC3">
        <w:t xml:space="preserve">ndorsement by the NMBA is contingent upon the </w:t>
      </w:r>
      <w:r>
        <w:t>designated RN prescriber</w:t>
      </w:r>
      <w:r w:rsidRPr="00745CC3">
        <w:t xml:space="preserve"> complying with the following requirements:</w:t>
      </w:r>
    </w:p>
    <w:p w14:paraId="0095E54A" w14:textId="77777777" w:rsidR="00BF7BD5" w:rsidRDefault="00BF7BD5" w:rsidP="00BF7BD5">
      <w:pPr>
        <w:pStyle w:val="AHPRAbody"/>
        <w:numPr>
          <w:ilvl w:val="0"/>
          <w:numId w:val="23"/>
        </w:numPr>
        <w:spacing w:before="200" w:after="120"/>
        <w:ind w:left="425" w:hanging="425"/>
        <w:outlineLvl w:val="0"/>
      </w:pPr>
      <w:r w:rsidRPr="00AB06AD">
        <w:t>NMBA</w:t>
      </w:r>
      <w:r>
        <w:t xml:space="preserve"> </w:t>
      </w:r>
      <w:r>
        <w:rPr>
          <w:i/>
        </w:rPr>
        <w:t>G</w:t>
      </w:r>
      <w:r w:rsidRPr="00840CA6">
        <w:rPr>
          <w:i/>
        </w:rPr>
        <w:t xml:space="preserve">uidelines for registered nurses </w:t>
      </w:r>
      <w:r>
        <w:rPr>
          <w:i/>
        </w:rPr>
        <w:t>applying for or with the endorsement for scheduled medicines – designated registered nurse prescriber</w:t>
      </w:r>
      <w:r>
        <w:rPr>
          <w:iCs/>
        </w:rPr>
        <w:t>,</w:t>
      </w:r>
      <w:r w:rsidRPr="00BC604A">
        <w:t xml:space="preserve"> </w:t>
      </w:r>
      <w:r>
        <w:t>particularly the requirements of the prescribing relationship with the authorised health practitioner/s and the governance framework.</w:t>
      </w:r>
    </w:p>
    <w:p w14:paraId="1189FA17" w14:textId="77777777" w:rsidR="00BF7BD5" w:rsidRDefault="00BF7BD5" w:rsidP="00BF7BD5">
      <w:pPr>
        <w:pStyle w:val="AHPRAbody"/>
        <w:numPr>
          <w:ilvl w:val="0"/>
          <w:numId w:val="23"/>
        </w:numPr>
        <w:spacing w:before="120" w:after="120"/>
        <w:ind w:left="425" w:hanging="425"/>
        <w:outlineLvl w:val="0"/>
      </w:pPr>
      <w:r>
        <w:t>For the first six months of the endorsement, the designated RN prescriber must complete a period of clinical mentorship with an authorised health practitioner.</w:t>
      </w:r>
    </w:p>
    <w:p w14:paraId="754BEC4A" w14:textId="77777777" w:rsidR="00BF7BD5" w:rsidRDefault="00BF7BD5" w:rsidP="00BF7BD5">
      <w:pPr>
        <w:pStyle w:val="AHPRAbody"/>
        <w:numPr>
          <w:ilvl w:val="0"/>
          <w:numId w:val="23"/>
        </w:numPr>
        <w:spacing w:before="120" w:after="120"/>
        <w:ind w:left="425" w:hanging="425"/>
        <w:outlineLvl w:val="0"/>
      </w:pPr>
      <w:r>
        <w:t>Must only prescribe when there is an active prescribing arrangement in place with an authorised health practitioner.</w:t>
      </w:r>
    </w:p>
    <w:p w14:paraId="7CB4D777" w14:textId="77777777" w:rsidR="00BF7BD5" w:rsidRPr="00D4498D" w:rsidRDefault="00BF7BD5" w:rsidP="00BF7BD5">
      <w:pPr>
        <w:pStyle w:val="AHPRAbody"/>
        <w:numPr>
          <w:ilvl w:val="0"/>
          <w:numId w:val="23"/>
        </w:numPr>
        <w:spacing w:before="120"/>
        <w:ind w:left="426" w:hanging="426"/>
        <w:outlineLvl w:val="0"/>
      </w:pPr>
      <w:r>
        <w:t xml:space="preserve">For sole practitioners and/or RNs working in private practice the additional requirements outlined in the </w:t>
      </w:r>
      <w:r w:rsidRPr="00A22483">
        <w:t>NMBA</w:t>
      </w:r>
      <w:r>
        <w:t xml:space="preserve"> </w:t>
      </w:r>
      <w:r>
        <w:rPr>
          <w:i/>
        </w:rPr>
        <w:t>G</w:t>
      </w:r>
      <w:r w:rsidRPr="00840CA6">
        <w:rPr>
          <w:i/>
        </w:rPr>
        <w:t xml:space="preserve">uidelines for registered nurses </w:t>
      </w:r>
      <w:r>
        <w:rPr>
          <w:i/>
        </w:rPr>
        <w:t xml:space="preserve">applying for or with the endorsement for scheduled medicines – designated registered nurse prescriber </w:t>
      </w:r>
      <w:r w:rsidRPr="00AB06AD">
        <w:t>must also be met</w:t>
      </w:r>
      <w:r w:rsidRPr="00D4498D">
        <w:t>.</w:t>
      </w:r>
    </w:p>
    <w:p w14:paraId="40BAED23" w14:textId="77777777" w:rsidR="00BF7BD5" w:rsidRPr="00840CA6" w:rsidRDefault="00BF7BD5" w:rsidP="00BF7BD5">
      <w:pPr>
        <w:pStyle w:val="AHPRASubheadinglevel2"/>
        <w:outlineLvl w:val="0"/>
        <w:rPr>
          <w:b w:val="0"/>
        </w:rPr>
      </w:pPr>
      <w:bookmarkStart w:id="143" w:name="_Toc33081874"/>
      <w:bookmarkStart w:id="144" w:name="_Toc33082033"/>
      <w:bookmarkStart w:id="145" w:name="_Toc48330665"/>
      <w:bookmarkStart w:id="146" w:name="_Toc48551762"/>
      <w:bookmarkStart w:id="147" w:name="_Toc48552987"/>
      <w:bookmarkStart w:id="148" w:name="_Toc76118111"/>
      <w:bookmarkStart w:id="149" w:name="_Toc130461888"/>
      <w:bookmarkStart w:id="150" w:name="_Toc130477894"/>
      <w:bookmarkStart w:id="151" w:name="_Toc149724082"/>
      <w:bookmarkStart w:id="152" w:name="_Toc149724657"/>
      <w:bookmarkStart w:id="153" w:name="_Toc149725058"/>
      <w:bookmarkStart w:id="154" w:name="_Toc164692755"/>
      <w:r>
        <w:t>At renewal of registration</w:t>
      </w:r>
      <w:bookmarkEnd w:id="143"/>
      <w:bookmarkEnd w:id="144"/>
      <w:bookmarkEnd w:id="145"/>
      <w:bookmarkEnd w:id="146"/>
      <w:bookmarkEnd w:id="147"/>
      <w:bookmarkEnd w:id="148"/>
      <w:bookmarkEnd w:id="149"/>
      <w:bookmarkEnd w:id="150"/>
      <w:bookmarkEnd w:id="151"/>
      <w:bookmarkEnd w:id="152"/>
      <w:bookmarkEnd w:id="153"/>
      <w:bookmarkEnd w:id="154"/>
    </w:p>
    <w:p w14:paraId="5E2829C3" w14:textId="77777777" w:rsidR="00BF7BD5" w:rsidRPr="00BC604A" w:rsidRDefault="00BF7BD5" w:rsidP="00BF7BD5">
      <w:pPr>
        <w:pStyle w:val="AHPRAbody"/>
        <w:outlineLvl w:val="0"/>
      </w:pPr>
      <w:r w:rsidRPr="00123881">
        <w:t xml:space="preserve">Under section 109 of the National Law, </w:t>
      </w:r>
      <w:r w:rsidRPr="00761EAE">
        <w:t xml:space="preserve">designated </w:t>
      </w:r>
      <w:r>
        <w:t>RN</w:t>
      </w:r>
      <w:r w:rsidRPr="00761EAE">
        <w:t xml:space="preserve"> prescribers</w:t>
      </w:r>
      <w:r>
        <w:t xml:space="preserve"> </w:t>
      </w:r>
      <w:r w:rsidRPr="00DF5432">
        <w:t>are required to make an annual declaration that they have met the professional indemnity insurance and recency of practice requirements and completed the required continuing professional development</w:t>
      </w:r>
      <w:r>
        <w:t xml:space="preserve"> (CPD), including an additional 10 hours of CPD related to prescribing of scheduled medicines.</w:t>
      </w:r>
    </w:p>
    <w:p w14:paraId="45D6F3B5" w14:textId="77777777" w:rsidR="00BF7BD5" w:rsidRPr="00840CA6" w:rsidRDefault="00BF7BD5" w:rsidP="00BF7BD5">
      <w:pPr>
        <w:pStyle w:val="AHPRASubheadinglevel2"/>
        <w:outlineLvl w:val="0"/>
        <w:rPr>
          <w:b w:val="0"/>
        </w:rPr>
      </w:pPr>
      <w:bookmarkStart w:id="155" w:name="_Toc33081875"/>
      <w:bookmarkStart w:id="156" w:name="_Toc33082034"/>
      <w:bookmarkStart w:id="157" w:name="_Toc48330666"/>
      <w:bookmarkStart w:id="158" w:name="_Toc48551763"/>
      <w:bookmarkStart w:id="159" w:name="_Toc48552988"/>
      <w:bookmarkStart w:id="160" w:name="_Toc76118112"/>
      <w:bookmarkStart w:id="161" w:name="_Toc130461889"/>
      <w:bookmarkStart w:id="162" w:name="_Toc130477895"/>
      <w:bookmarkStart w:id="163" w:name="_Toc149724083"/>
      <w:bookmarkStart w:id="164" w:name="_Toc149724658"/>
      <w:bookmarkStart w:id="165" w:name="_Toc149725059"/>
      <w:bookmarkStart w:id="166" w:name="_Toc164692756"/>
      <w:r>
        <w:t>During the registration period</w:t>
      </w:r>
      <w:bookmarkEnd w:id="155"/>
      <w:bookmarkEnd w:id="156"/>
      <w:bookmarkEnd w:id="157"/>
      <w:bookmarkEnd w:id="158"/>
      <w:bookmarkEnd w:id="159"/>
      <w:bookmarkEnd w:id="160"/>
      <w:bookmarkEnd w:id="161"/>
      <w:bookmarkEnd w:id="162"/>
      <w:bookmarkEnd w:id="163"/>
      <w:bookmarkEnd w:id="164"/>
      <w:bookmarkEnd w:id="165"/>
      <w:bookmarkEnd w:id="166"/>
    </w:p>
    <w:p w14:paraId="625046BC" w14:textId="77777777" w:rsidR="00BF7BD5" w:rsidRPr="00BC604A" w:rsidRDefault="00BF7BD5" w:rsidP="00BF7BD5">
      <w:pPr>
        <w:pStyle w:val="AHPRAbody"/>
        <w:outlineLvl w:val="0"/>
      </w:pPr>
      <w:r w:rsidRPr="00BC604A">
        <w:t>Your compliance with this registration standard</w:t>
      </w:r>
      <w:r>
        <w:t xml:space="preserve">, guidelines and all other relevant NMBA documents </w:t>
      </w:r>
      <w:r w:rsidRPr="00BC604A">
        <w:t xml:space="preserve">may be audited from time to time </w:t>
      </w:r>
      <w:r>
        <w:t xml:space="preserve">or if </w:t>
      </w:r>
      <w:r w:rsidRPr="00BC604A">
        <w:t>the NMBA receives a notification about you</w:t>
      </w:r>
      <w:r>
        <w:t xml:space="preserve"> that is relevant to this endorsement</w:t>
      </w:r>
      <w:r w:rsidRPr="00BC604A">
        <w:t xml:space="preserve">. </w:t>
      </w:r>
    </w:p>
    <w:p w14:paraId="3CB68E49" w14:textId="77777777" w:rsidR="00BF7BD5" w:rsidRPr="00840CA6" w:rsidRDefault="00BF7BD5" w:rsidP="00BF7BD5">
      <w:pPr>
        <w:pStyle w:val="AHPRASubheadinglevel2"/>
        <w:outlineLvl w:val="0"/>
        <w:rPr>
          <w:b w:val="0"/>
        </w:rPr>
      </w:pPr>
      <w:bookmarkStart w:id="167" w:name="_Toc33081876"/>
      <w:bookmarkStart w:id="168" w:name="_Toc33082035"/>
      <w:bookmarkStart w:id="169" w:name="_Toc48330667"/>
      <w:bookmarkStart w:id="170" w:name="_Toc48551764"/>
      <w:bookmarkStart w:id="171" w:name="_Toc48552989"/>
      <w:bookmarkStart w:id="172" w:name="_Toc76118113"/>
      <w:bookmarkStart w:id="173" w:name="_Toc130461890"/>
      <w:bookmarkStart w:id="174" w:name="_Toc130477896"/>
      <w:bookmarkStart w:id="175" w:name="_Toc149724084"/>
      <w:bookmarkStart w:id="176" w:name="_Toc149724659"/>
      <w:bookmarkStart w:id="177" w:name="_Toc149725060"/>
      <w:bookmarkStart w:id="178" w:name="_Toc164692757"/>
      <w:r>
        <w:t>Evidence</w:t>
      </w:r>
      <w:bookmarkEnd w:id="167"/>
      <w:bookmarkEnd w:id="168"/>
      <w:bookmarkEnd w:id="169"/>
      <w:bookmarkEnd w:id="170"/>
      <w:bookmarkEnd w:id="171"/>
      <w:bookmarkEnd w:id="172"/>
      <w:bookmarkEnd w:id="173"/>
      <w:bookmarkEnd w:id="174"/>
      <w:bookmarkEnd w:id="175"/>
      <w:bookmarkEnd w:id="176"/>
      <w:bookmarkEnd w:id="177"/>
      <w:bookmarkEnd w:id="178"/>
    </w:p>
    <w:p w14:paraId="427D6741" w14:textId="77777777" w:rsidR="00BF7BD5" w:rsidRPr="00BC604A" w:rsidRDefault="00BF7BD5" w:rsidP="00BF7BD5">
      <w:pPr>
        <w:pStyle w:val="AHPRAbody"/>
        <w:outlineLvl w:val="0"/>
      </w:pPr>
      <w:r w:rsidRPr="00BC604A">
        <w:t xml:space="preserve">You </w:t>
      </w:r>
      <w:r>
        <w:t>must</w:t>
      </w:r>
      <w:r w:rsidRPr="00BC604A">
        <w:t xml:space="preserve"> retain</w:t>
      </w:r>
      <w:r>
        <w:t xml:space="preserve"> relevant</w:t>
      </w:r>
      <w:r w:rsidRPr="00BC604A">
        <w:t xml:space="preserve"> records as evidence that you meet the </w:t>
      </w:r>
      <w:r>
        <w:t xml:space="preserve">ongoing </w:t>
      </w:r>
      <w:r w:rsidRPr="00BC604A">
        <w:t>requirements of this registration standard in case you are audited.</w:t>
      </w:r>
    </w:p>
    <w:p w14:paraId="5FEEEF32" w14:textId="77777777" w:rsidR="00BF7BD5" w:rsidRPr="0020575F" w:rsidRDefault="00BF7BD5" w:rsidP="00BF7BD5">
      <w:pPr>
        <w:pStyle w:val="AHPRASubheading"/>
      </w:pPr>
      <w:bookmarkStart w:id="179" w:name="_Toc33081877"/>
      <w:bookmarkStart w:id="180" w:name="_Toc33082036"/>
      <w:bookmarkStart w:id="181" w:name="_Toc48330668"/>
      <w:bookmarkStart w:id="182" w:name="_Toc48551765"/>
      <w:bookmarkStart w:id="183" w:name="_Toc48552990"/>
      <w:bookmarkStart w:id="184" w:name="_Toc76118114"/>
      <w:bookmarkStart w:id="185" w:name="_Toc130461891"/>
      <w:bookmarkStart w:id="186" w:name="_Toc130477897"/>
      <w:bookmarkStart w:id="187" w:name="_Toc137725204"/>
      <w:bookmarkStart w:id="188" w:name="_Toc137725730"/>
      <w:bookmarkStart w:id="189" w:name="_Toc137726110"/>
      <w:bookmarkStart w:id="190" w:name="_Toc149724085"/>
      <w:bookmarkStart w:id="191" w:name="_Toc149724660"/>
      <w:bookmarkStart w:id="192" w:name="_Toc149725061"/>
      <w:bookmarkStart w:id="193" w:name="_Toc164692758"/>
      <w:r w:rsidRPr="0020575F">
        <w:t>What happens if I don’t meet this standard?</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C5B2F0C" w14:textId="77777777" w:rsidR="00BF7BD5" w:rsidRPr="00BC604A" w:rsidRDefault="00BF7BD5" w:rsidP="00BF7BD5">
      <w:pPr>
        <w:pStyle w:val="AHPRAbody"/>
        <w:outlineLvl w:val="0"/>
      </w:pPr>
      <w:r w:rsidRPr="00BC604A">
        <w:t>If you do</w:t>
      </w:r>
      <w:r>
        <w:t>n’t meet the requirements</w:t>
      </w:r>
      <w:r w:rsidRPr="00BC604A">
        <w:t xml:space="preserve"> of this registration standard </w:t>
      </w:r>
      <w:r>
        <w:t xml:space="preserve">and guidelines, </w:t>
      </w:r>
      <w:r w:rsidRPr="00BC604A">
        <w:t xml:space="preserve">you will not be eligible for </w:t>
      </w:r>
      <w:r>
        <w:t>initial or ongoing endorsement for scheduled medicines as a designated RN prescriber</w:t>
      </w:r>
      <w:r w:rsidRPr="00504341">
        <w:t>.</w:t>
      </w:r>
      <w:r w:rsidRPr="00BC604A">
        <w:t xml:space="preserve"> </w:t>
      </w:r>
    </w:p>
    <w:p w14:paraId="0128D00E" w14:textId="77777777" w:rsidR="00BF7BD5" w:rsidRPr="00BC604A" w:rsidRDefault="00BF7BD5" w:rsidP="00BF7BD5">
      <w:pPr>
        <w:pStyle w:val="AHPRAbody"/>
        <w:spacing w:before="120" w:after="120"/>
        <w:outlineLvl w:val="0"/>
      </w:pPr>
      <w:r w:rsidRPr="00BC604A">
        <w:t>The National Law establishes possible consequences if you do not meet the ongoing requirements of this registration standard</w:t>
      </w:r>
      <w:r>
        <w:t xml:space="preserve"> and guidelines</w:t>
      </w:r>
      <w:r w:rsidRPr="00BC604A">
        <w:t>, including that:</w:t>
      </w:r>
    </w:p>
    <w:p w14:paraId="15C263C2" w14:textId="77777777" w:rsidR="00BF7BD5" w:rsidRPr="00BC604A" w:rsidRDefault="00BF7BD5" w:rsidP="00BF7BD5">
      <w:pPr>
        <w:pStyle w:val="AHPRAbody"/>
        <w:numPr>
          <w:ilvl w:val="0"/>
          <w:numId w:val="24"/>
        </w:numPr>
        <w:spacing w:before="120"/>
        <w:ind w:left="284" w:hanging="284"/>
        <w:outlineLvl w:val="0"/>
      </w:pPr>
      <w:r w:rsidRPr="00BC604A">
        <w:t>the NMBA can impose conditions on your registration</w:t>
      </w:r>
      <w:r>
        <w:t xml:space="preserve"> and/or endorsement</w:t>
      </w:r>
      <w:r w:rsidRPr="00BC604A">
        <w:t xml:space="preserve"> o</w:t>
      </w:r>
      <w:r>
        <w:t xml:space="preserve">r refuse renewal of registration and/or endorsement </w:t>
      </w:r>
      <w:r w:rsidRPr="00BC604A">
        <w:t>(sections 82 a</w:t>
      </w:r>
      <w:r>
        <w:t>nd 112 of the National Law).</w:t>
      </w:r>
    </w:p>
    <w:p w14:paraId="5D79C592" w14:textId="77777777" w:rsidR="00BF7BD5" w:rsidRDefault="00BF7BD5" w:rsidP="00BF7BD5">
      <w:pPr>
        <w:pStyle w:val="AHPRAbody"/>
        <w:outlineLvl w:val="0"/>
      </w:pPr>
      <w:r w:rsidRPr="00BC604A">
        <w:t>Registration standards, codes or guidelines may be used in disciplinary proceedings against you as evidence of what constitutes appropriate practice or conduct for the nursing profession (section 41 of the National Law).</w:t>
      </w:r>
    </w:p>
    <w:p w14:paraId="239D4AF2" w14:textId="77777777" w:rsidR="00BF7BD5" w:rsidRPr="00840CA6" w:rsidRDefault="00BF7BD5" w:rsidP="00BF7BD5">
      <w:pPr>
        <w:pStyle w:val="AHPRASubheadinglevel2"/>
        <w:outlineLvl w:val="0"/>
        <w:rPr>
          <w:b w:val="0"/>
        </w:rPr>
      </w:pPr>
      <w:bookmarkStart w:id="194" w:name="_Toc33081878"/>
      <w:bookmarkStart w:id="195" w:name="_Toc33082037"/>
      <w:bookmarkStart w:id="196" w:name="_Toc48330669"/>
      <w:bookmarkStart w:id="197" w:name="_Toc48551766"/>
      <w:bookmarkStart w:id="198" w:name="_Toc48552991"/>
      <w:bookmarkStart w:id="199" w:name="_Toc76118115"/>
      <w:bookmarkStart w:id="200" w:name="_Toc130461892"/>
      <w:bookmarkStart w:id="201" w:name="_Toc130477898"/>
      <w:bookmarkStart w:id="202" w:name="_Toc149724086"/>
      <w:bookmarkStart w:id="203" w:name="_Toc149724661"/>
      <w:bookmarkStart w:id="204" w:name="_Toc149725062"/>
      <w:bookmarkStart w:id="205" w:name="_Toc164692759"/>
      <w:r>
        <w:t>Guidelines</w:t>
      </w:r>
      <w:bookmarkEnd w:id="194"/>
      <w:bookmarkEnd w:id="195"/>
      <w:bookmarkEnd w:id="196"/>
      <w:bookmarkEnd w:id="197"/>
      <w:bookmarkEnd w:id="198"/>
      <w:bookmarkEnd w:id="199"/>
      <w:bookmarkEnd w:id="200"/>
      <w:bookmarkEnd w:id="201"/>
      <w:bookmarkEnd w:id="202"/>
      <w:bookmarkEnd w:id="203"/>
      <w:bookmarkEnd w:id="204"/>
      <w:bookmarkEnd w:id="205"/>
    </w:p>
    <w:p w14:paraId="6450DA10" w14:textId="77777777" w:rsidR="00BF7BD5" w:rsidRDefault="00BF7BD5" w:rsidP="00BF7BD5">
      <w:pPr>
        <w:pStyle w:val="AHPRAbody"/>
        <w:outlineLvl w:val="0"/>
      </w:pPr>
      <w:r>
        <w:t xml:space="preserve">The </w:t>
      </w:r>
      <w:r w:rsidRPr="00263587">
        <w:t>NMBA</w:t>
      </w:r>
      <w:r>
        <w:t xml:space="preserve"> </w:t>
      </w:r>
      <w:r>
        <w:rPr>
          <w:i/>
        </w:rPr>
        <w:t>G</w:t>
      </w:r>
      <w:r w:rsidRPr="00840CA6">
        <w:rPr>
          <w:i/>
        </w:rPr>
        <w:t xml:space="preserve">uidelines for registered nurses </w:t>
      </w:r>
      <w:r>
        <w:rPr>
          <w:i/>
        </w:rPr>
        <w:t xml:space="preserve">applying for or with the </w:t>
      </w:r>
      <w:r w:rsidRPr="00504341">
        <w:rPr>
          <w:i/>
        </w:rPr>
        <w:t xml:space="preserve">endorsement for scheduled medicines </w:t>
      </w:r>
      <w:r>
        <w:t>−</w:t>
      </w:r>
      <w:r w:rsidRPr="00504341">
        <w:rPr>
          <w:i/>
        </w:rPr>
        <w:t xml:space="preserve"> </w:t>
      </w:r>
      <w:r w:rsidRPr="350C3682">
        <w:rPr>
          <w:i/>
        </w:rPr>
        <w:t xml:space="preserve">designated registered nurse prescriber </w:t>
      </w:r>
      <w:r>
        <w:t xml:space="preserve">provide information about what the NMBA expects of you when you are applying for endorsement and when you are endorsed. </w:t>
      </w:r>
    </w:p>
    <w:p w14:paraId="0CCA81D7" w14:textId="77777777" w:rsidR="00BF7BD5" w:rsidRDefault="00BF7BD5" w:rsidP="00BF7BD5">
      <w:pPr>
        <w:pStyle w:val="AHPRAbody"/>
        <w:outlineLvl w:val="0"/>
      </w:pPr>
      <w:r>
        <w:t>You</w:t>
      </w:r>
      <w:r w:rsidRPr="00201A11">
        <w:t xml:space="preserve"> are expected to understand</w:t>
      </w:r>
      <w:r>
        <w:t xml:space="preserve">, </w:t>
      </w:r>
      <w:r w:rsidRPr="00201A11">
        <w:t>apply</w:t>
      </w:r>
      <w:r>
        <w:t xml:space="preserve"> and comply with</w:t>
      </w:r>
      <w:r w:rsidRPr="00201A11">
        <w:t xml:space="preserve"> these guidelines</w:t>
      </w:r>
      <w:r>
        <w:t>,</w:t>
      </w:r>
      <w:r w:rsidRPr="00201A11">
        <w:t xml:space="preserve"> </w:t>
      </w:r>
      <w:r>
        <w:t xml:space="preserve">particularly the requirements of the prescribing relationship with the authorised health practitioner/s and the governance framework, </w:t>
      </w:r>
      <w:r w:rsidRPr="00201A11">
        <w:t>together with this registration standard.</w:t>
      </w:r>
    </w:p>
    <w:p w14:paraId="4FE3C968" w14:textId="77777777" w:rsidR="00BF7BD5" w:rsidRDefault="00BF7BD5" w:rsidP="00BF7BD5">
      <w:pPr>
        <w:spacing w:after="0"/>
        <w:rPr>
          <w:b/>
        </w:rPr>
      </w:pPr>
      <w:bookmarkStart w:id="206" w:name="_Toc33081879"/>
      <w:bookmarkStart w:id="207" w:name="_Toc33082038"/>
      <w:bookmarkStart w:id="208" w:name="_Toc48330670"/>
      <w:bookmarkStart w:id="209" w:name="_Toc48551767"/>
      <w:bookmarkStart w:id="210" w:name="_Toc48552992"/>
      <w:bookmarkStart w:id="211" w:name="_Toc76118116"/>
      <w:bookmarkStart w:id="212" w:name="_Toc130461893"/>
      <w:bookmarkStart w:id="213" w:name="_Toc130477899"/>
      <w:bookmarkStart w:id="214" w:name="_Toc149724087"/>
      <w:bookmarkStart w:id="215" w:name="_Toc149724662"/>
      <w:bookmarkStart w:id="216" w:name="_Toc149725063"/>
      <w:bookmarkStart w:id="217" w:name="_Toc164692760"/>
      <w:r>
        <w:br w:type="page"/>
      </w:r>
    </w:p>
    <w:p w14:paraId="70B26C60" w14:textId="77777777" w:rsidR="00BF7BD5" w:rsidRPr="00840CA6" w:rsidRDefault="00BF7BD5" w:rsidP="00BF7BD5">
      <w:pPr>
        <w:pStyle w:val="AHPRASubheadinglevel2"/>
        <w:outlineLvl w:val="0"/>
        <w:rPr>
          <w:b w:val="0"/>
        </w:rPr>
      </w:pPr>
      <w:r>
        <w:lastRenderedPageBreak/>
        <w:t>State or territory authority</w:t>
      </w:r>
      <w:bookmarkEnd w:id="206"/>
      <w:bookmarkEnd w:id="207"/>
      <w:bookmarkEnd w:id="208"/>
      <w:bookmarkEnd w:id="209"/>
      <w:bookmarkEnd w:id="210"/>
      <w:bookmarkEnd w:id="211"/>
      <w:bookmarkEnd w:id="212"/>
      <w:bookmarkEnd w:id="213"/>
      <w:bookmarkEnd w:id="214"/>
      <w:bookmarkEnd w:id="215"/>
      <w:bookmarkEnd w:id="216"/>
      <w:bookmarkEnd w:id="217"/>
      <w:r>
        <w:t xml:space="preserve"> </w:t>
      </w:r>
    </w:p>
    <w:p w14:paraId="07F497AA" w14:textId="77777777" w:rsidR="00BF7BD5" w:rsidRDefault="00BF7BD5" w:rsidP="00BF7BD5">
      <w:pPr>
        <w:pStyle w:val="AHPRAbody"/>
        <w:outlineLvl w:val="0"/>
      </w:pPr>
      <w:r>
        <w:t xml:space="preserve">The endorsement of your registration indicates that you are qualified to administer, obtain, possess, prescribe, supply and/or use Schedule 2, 3, 4 and 8 medicines specified in the endorsement but does not authorise you to do so. </w:t>
      </w:r>
    </w:p>
    <w:p w14:paraId="4D6B00BD" w14:textId="77777777" w:rsidR="00BF7BD5" w:rsidRPr="0099417A" w:rsidRDefault="00BF7BD5" w:rsidP="00BF7BD5">
      <w:pPr>
        <w:pStyle w:val="AHPRAbody"/>
        <w:outlineLvl w:val="0"/>
        <w:rPr>
          <w:b/>
        </w:rPr>
      </w:pPr>
      <w:r w:rsidRPr="350C3682">
        <w:rPr>
          <w:b/>
        </w:rPr>
        <w:t xml:space="preserve">The authorisation for you to administer, obtain, possess, prescribe, supply and/or use the </w:t>
      </w:r>
      <w:r>
        <w:rPr>
          <w:b/>
        </w:rPr>
        <w:t>S</w:t>
      </w:r>
      <w:r w:rsidRPr="350C3682">
        <w:rPr>
          <w:b/>
        </w:rPr>
        <w:t xml:space="preserve">chedule 2, 3, 4 and 8 medicines in a state or territory will be provided by or under legislation of the state or territory. </w:t>
      </w:r>
    </w:p>
    <w:p w14:paraId="1D084467" w14:textId="77777777" w:rsidR="00BF7BD5" w:rsidRDefault="00BF7BD5" w:rsidP="00BF7BD5">
      <w:pPr>
        <w:pStyle w:val="AHPRAbody"/>
        <w:outlineLvl w:val="0"/>
      </w:pPr>
      <w:r>
        <w:t>You must administer, obtain, possess, prescribe, supply and/or use Schedule 2, 3, 4 and 8 medicines in the accordance with the state or territory legislation at all times.</w:t>
      </w:r>
    </w:p>
    <w:p w14:paraId="6134F2EA" w14:textId="77777777" w:rsidR="00BF7BD5" w:rsidRPr="0020575F" w:rsidRDefault="00BF7BD5" w:rsidP="00BF7BD5">
      <w:pPr>
        <w:pStyle w:val="AHPRASubheading"/>
      </w:pPr>
      <w:bookmarkStart w:id="218" w:name="_Toc33081880"/>
      <w:bookmarkStart w:id="219" w:name="_Toc33082039"/>
      <w:bookmarkStart w:id="220" w:name="_Toc48330671"/>
      <w:bookmarkStart w:id="221" w:name="_Toc48551768"/>
      <w:bookmarkStart w:id="222" w:name="_Toc48552993"/>
      <w:bookmarkStart w:id="223" w:name="_Toc76118117"/>
      <w:bookmarkStart w:id="224" w:name="_Toc130477900"/>
      <w:r w:rsidRPr="0020575F">
        <w:t>Wording to appear on the Register of nurses</w:t>
      </w:r>
      <w:bookmarkEnd w:id="218"/>
      <w:bookmarkEnd w:id="219"/>
      <w:bookmarkEnd w:id="220"/>
      <w:bookmarkEnd w:id="221"/>
      <w:bookmarkEnd w:id="222"/>
      <w:bookmarkEnd w:id="223"/>
      <w:bookmarkEnd w:id="224"/>
    </w:p>
    <w:p w14:paraId="4757F07F" w14:textId="77777777" w:rsidR="00BF7BD5" w:rsidRPr="00D954B2" w:rsidRDefault="00BF7BD5" w:rsidP="00BF7BD5">
      <w:pPr>
        <w:pStyle w:val="AHPRAbody"/>
        <w:outlineLvl w:val="0"/>
      </w:pPr>
      <w:r>
        <w:t>Endorsed as qualified to administer, obtain, possess, prescribe, supply and/or use Schedule 2, 3, 4 and 8 medicines for the purposes of prescribing as a designated registered nurse prescriber with an authorised health practitioner within the scope of registered nurse practice.</w:t>
      </w:r>
    </w:p>
    <w:p w14:paraId="13B20AC9" w14:textId="77777777" w:rsidR="00BF7BD5" w:rsidRPr="0020575F" w:rsidRDefault="00BF7BD5" w:rsidP="00BF7BD5">
      <w:pPr>
        <w:pStyle w:val="AHPRASubheading"/>
      </w:pPr>
      <w:bookmarkStart w:id="225" w:name="_Toc33081881"/>
      <w:bookmarkStart w:id="226" w:name="_Toc33082040"/>
      <w:bookmarkStart w:id="227" w:name="_Toc48330672"/>
      <w:bookmarkStart w:id="228" w:name="_Toc48551769"/>
      <w:bookmarkStart w:id="229" w:name="_Toc48552994"/>
      <w:bookmarkStart w:id="230" w:name="_Toc76118118"/>
      <w:bookmarkStart w:id="231" w:name="_Toc130477901"/>
      <w:r w:rsidRPr="0020575F">
        <w:t>Authority</w:t>
      </w:r>
      <w:bookmarkEnd w:id="225"/>
      <w:bookmarkEnd w:id="226"/>
      <w:bookmarkEnd w:id="227"/>
      <w:bookmarkEnd w:id="228"/>
      <w:bookmarkEnd w:id="229"/>
      <w:bookmarkEnd w:id="230"/>
      <w:bookmarkEnd w:id="231"/>
    </w:p>
    <w:p w14:paraId="305481E9" w14:textId="77777777" w:rsidR="00BF7BD5" w:rsidRDefault="00BF7BD5" w:rsidP="00BF7BD5">
      <w:pPr>
        <w:pStyle w:val="AHPRAbody"/>
        <w:outlineLvl w:val="0"/>
      </w:pPr>
      <w:r>
        <w:t>The Ministerial Council has decided that the NMBA may endorse RNs to the extent described in this registration standard.</w:t>
      </w:r>
    </w:p>
    <w:p w14:paraId="350886A9" w14:textId="77777777" w:rsidR="00BF7BD5" w:rsidRDefault="00BF7BD5" w:rsidP="00BF7BD5">
      <w:pPr>
        <w:pStyle w:val="AHPRAbody"/>
        <w:outlineLvl w:val="0"/>
      </w:pPr>
      <w:r>
        <w:t>This standard has been approved by the Ministerial Council under section 12 of the National Law on 11 December 2024.</w:t>
      </w:r>
    </w:p>
    <w:p w14:paraId="2322D205" w14:textId="77777777" w:rsidR="00BF7BD5" w:rsidRDefault="00BF7BD5" w:rsidP="00BF7BD5">
      <w:pPr>
        <w:pStyle w:val="AHPRAbody"/>
        <w:outlineLvl w:val="0"/>
      </w:pPr>
      <w:r>
        <w:t>Registration standards are developed under section 38 of the National Law and are subject to wide-ranging consultation.</w:t>
      </w:r>
    </w:p>
    <w:p w14:paraId="09DFCE61" w14:textId="77777777" w:rsidR="00BF7BD5" w:rsidRPr="0020575F" w:rsidRDefault="00BF7BD5" w:rsidP="00BF7BD5">
      <w:pPr>
        <w:pStyle w:val="AHPRASubheading"/>
      </w:pPr>
      <w:bookmarkStart w:id="232" w:name="_Toc33081882"/>
      <w:bookmarkStart w:id="233" w:name="_Toc33082041"/>
      <w:bookmarkStart w:id="234" w:name="_Toc48330673"/>
      <w:bookmarkStart w:id="235" w:name="_Toc48551770"/>
      <w:bookmarkStart w:id="236" w:name="_Toc48552995"/>
      <w:bookmarkStart w:id="237" w:name="_Toc76118119"/>
      <w:bookmarkStart w:id="238" w:name="_Toc130477902"/>
      <w:bookmarkStart w:id="239" w:name="_Hlk1466244"/>
      <w:r w:rsidRPr="0020575F">
        <w:t>Definitions</w:t>
      </w:r>
      <w:bookmarkEnd w:id="232"/>
      <w:bookmarkEnd w:id="233"/>
      <w:bookmarkEnd w:id="234"/>
      <w:bookmarkEnd w:id="235"/>
      <w:bookmarkEnd w:id="236"/>
      <w:bookmarkEnd w:id="237"/>
      <w:bookmarkEnd w:id="238"/>
    </w:p>
    <w:p w14:paraId="69FD1A6E" w14:textId="77777777" w:rsidR="00BF7BD5" w:rsidRDefault="00BF7BD5" w:rsidP="00BF7BD5">
      <w:pPr>
        <w:pStyle w:val="AHPRAbody"/>
        <w:outlineLvl w:val="0"/>
      </w:pPr>
      <w:bookmarkStart w:id="240" w:name="_Hlk1466367"/>
      <w:r w:rsidRPr="350C3682">
        <w:rPr>
          <w:b/>
        </w:rPr>
        <w:t>Active prescribing agreement</w:t>
      </w:r>
      <w:r>
        <w:t xml:space="preserve"> means a prescribing agreement (as defined in the </w:t>
      </w:r>
      <w:r w:rsidRPr="00A22483">
        <w:t>NMBA</w:t>
      </w:r>
      <w:r>
        <w:t xml:space="preserve"> </w:t>
      </w:r>
      <w:r>
        <w:rPr>
          <w:i/>
        </w:rPr>
        <w:t>G</w:t>
      </w:r>
      <w:r w:rsidRPr="00840CA6">
        <w:rPr>
          <w:i/>
        </w:rPr>
        <w:t xml:space="preserve">uidelines for registered nurses </w:t>
      </w:r>
      <w:r>
        <w:rPr>
          <w:i/>
        </w:rPr>
        <w:t xml:space="preserve">applying for or with the endorsement for scheduled medicines </w:t>
      </w:r>
      <w:r>
        <w:rPr>
          <w:rFonts w:ascii="Courier New" w:hAnsi="Courier New" w:cs="Courier New"/>
          <w:i/>
        </w:rPr>
        <w:t>-</w:t>
      </w:r>
      <w:r>
        <w:rPr>
          <w:i/>
        </w:rPr>
        <w:t xml:space="preserve"> as a designated registered nurse prescriber</w:t>
      </w:r>
      <w:r w:rsidRPr="00B45581">
        <w:t>)</w:t>
      </w:r>
      <w:r>
        <w:t xml:space="preserve"> where there is a current relationship with the authorised health practitioner.</w:t>
      </w:r>
    </w:p>
    <w:bookmarkEnd w:id="240"/>
    <w:p w14:paraId="2DEBDAD5" w14:textId="77777777" w:rsidR="00BF7BD5" w:rsidRPr="006001D1" w:rsidRDefault="00BF7BD5" w:rsidP="00BF7BD5">
      <w:pPr>
        <w:pStyle w:val="AHPRAbody"/>
        <w:outlineLvl w:val="0"/>
      </w:pPr>
      <w:r w:rsidRPr="003B1ACF">
        <w:rPr>
          <w:b/>
        </w:rPr>
        <w:t>Administer</w:t>
      </w:r>
      <w:r w:rsidRPr="003B1ACF">
        <w:t xml:space="preserve"> a medicine means to personally apply or introduce a medicine, or personally observe its application or introduction, to </w:t>
      </w:r>
      <w:r w:rsidRPr="008412F1">
        <w:t>the person’s</w:t>
      </w:r>
      <w:r w:rsidRPr="003B1ACF">
        <w:t xml:space="preserve"> body.</w:t>
      </w:r>
    </w:p>
    <w:p w14:paraId="4C36F44C" w14:textId="77777777" w:rsidR="00BF7BD5" w:rsidRPr="006001D1" w:rsidRDefault="00BF7BD5" w:rsidP="00BF7BD5">
      <w:pPr>
        <w:pStyle w:val="AHPRAbody"/>
        <w:outlineLvl w:val="0"/>
      </w:pPr>
      <w:r w:rsidRPr="006001D1">
        <w:rPr>
          <w:b/>
        </w:rPr>
        <w:t xml:space="preserve">Approved units of study </w:t>
      </w:r>
      <w:r>
        <w:t xml:space="preserve">means the educational units of study to develop an RN’s knowledge and skills in prescribing medicines that has been accredited by the Australian Nursing and Midwifery Accreditation Council (ANMAC) and approved by the NMBA under section 49(1) of the National Law for the purpose of enabling the RN to seek endorsement, under section 94 of the National Law, to prescribe Schedule 2, 3, 4 and 8 medicines, in accordance with relevant state and territory legislation. </w:t>
      </w:r>
    </w:p>
    <w:p w14:paraId="7346D60E" w14:textId="77777777" w:rsidR="00BF7BD5" w:rsidRPr="006001D1" w:rsidRDefault="00BF7BD5" w:rsidP="00BF7BD5">
      <w:pPr>
        <w:pStyle w:val="AHPRAbody"/>
        <w:outlineLvl w:val="0"/>
      </w:pPr>
      <w:r w:rsidRPr="350C3682">
        <w:rPr>
          <w:b/>
        </w:rPr>
        <w:t xml:space="preserve">Authorised health practitioner </w:t>
      </w:r>
      <w:r>
        <w:t>is a registered health practitioner who is an authorised autonomous prescriber − for example a medical practitioner or a nurse practitioner. More than one authorised health practitioner may work with the designated RN prescriber.</w:t>
      </w:r>
    </w:p>
    <w:p w14:paraId="7F8EDE1A" w14:textId="77777777" w:rsidR="00BF7BD5" w:rsidRPr="00157D03" w:rsidRDefault="00BF7BD5" w:rsidP="00BF7BD5">
      <w:pPr>
        <w:pStyle w:val="AHPRAbody"/>
        <w:shd w:val="clear" w:color="auto" w:fill="FFFFFF" w:themeFill="background1"/>
        <w:outlineLvl w:val="0"/>
      </w:pPr>
      <w:bookmarkStart w:id="241" w:name="_Hlk5364787"/>
      <w:r w:rsidRPr="350C3682">
        <w:rPr>
          <w:b/>
        </w:rPr>
        <w:t>Designated registered nurse prescriber</w:t>
      </w:r>
      <w:r w:rsidRPr="003B1ACF">
        <w:rPr>
          <w:spacing w:val="-3"/>
          <w:szCs w:val="20"/>
        </w:rPr>
        <w:t xml:space="preserve"> </w:t>
      </w:r>
      <w:r>
        <w:t>means an RN</w:t>
      </w:r>
      <w:r w:rsidRPr="003B1ACF">
        <w:t xml:space="preserve"> with an endorsement for scheduled medicines </w:t>
      </w:r>
      <w:r>
        <w:t>who</w:t>
      </w:r>
      <w:r w:rsidRPr="003B1ACF">
        <w:t xml:space="preserve"> undertakes prescribing within their level of competence and scope of practice </w:t>
      </w:r>
      <w:r>
        <w:t>together with an authorised health practitioner.</w:t>
      </w:r>
      <w:r w:rsidRPr="003B1ACF">
        <w:t xml:space="preserve"> </w:t>
      </w:r>
      <w:r>
        <w:t>T</w:t>
      </w:r>
      <w:r w:rsidRPr="003B1ACF">
        <w:t xml:space="preserve">he </w:t>
      </w:r>
      <w:r w:rsidRPr="350C3682">
        <w:t>designated RN prescriber</w:t>
      </w:r>
      <w:r w:rsidRPr="003B1ACF">
        <w:t xml:space="preserve"> </w:t>
      </w:r>
      <w:r>
        <w:t xml:space="preserve">is </w:t>
      </w:r>
      <w:r w:rsidRPr="003B1ACF">
        <w:t xml:space="preserve">responsible and accountable for prescribing within their scope of practice and authorisation. The </w:t>
      </w:r>
      <w:r w:rsidRPr="350C3682">
        <w:t>designated RN prescriber</w:t>
      </w:r>
      <w:r w:rsidRPr="003B1ACF">
        <w:t xml:space="preserve"> has an authorisation to prescribe medicines that is determined by legislation, </w:t>
      </w:r>
      <w:r w:rsidRPr="350C3682">
        <w:rPr>
          <w:spacing w:val="-3"/>
        </w:rPr>
        <w:t xml:space="preserve">will meet </w:t>
      </w:r>
      <w:r w:rsidRPr="003B1ACF">
        <w:t xml:space="preserve">the requirements of the NMBA related to the endorsement and policies of the jurisdiction, employer or health service. </w:t>
      </w:r>
      <w:bookmarkEnd w:id="241"/>
    </w:p>
    <w:p w14:paraId="26EB97F0" w14:textId="77777777" w:rsidR="00BF7BD5" w:rsidRPr="00700718" w:rsidRDefault="00BF7BD5" w:rsidP="00BF7BD5">
      <w:pPr>
        <w:rPr>
          <w:szCs w:val="20"/>
        </w:rPr>
      </w:pPr>
      <w:r w:rsidRPr="00700718">
        <w:rPr>
          <w:b/>
          <w:bCs/>
        </w:rPr>
        <w:t>Ministerial Council</w:t>
      </w:r>
      <w:r>
        <w:t xml:space="preserve"> means the COAG Health Council, or a successor of the Council by whatever name called, constituted by ministers of the governments of the participating jurisdictions and the Commonwealth with portfolio responsibility for health. The Health Ministers’ Meeting is the current successor.</w:t>
      </w:r>
    </w:p>
    <w:p w14:paraId="37309BD8" w14:textId="77777777" w:rsidR="00BF7BD5" w:rsidRPr="006001D1" w:rsidRDefault="00BF7BD5" w:rsidP="00BF7BD5">
      <w:pPr>
        <w:pStyle w:val="AHPRAbody"/>
        <w:outlineLvl w:val="0"/>
      </w:pPr>
      <w:r w:rsidRPr="006001D1">
        <w:rPr>
          <w:b/>
        </w:rPr>
        <w:t xml:space="preserve">National Law </w:t>
      </w:r>
      <w:r w:rsidRPr="006001D1">
        <w:t>means the Health Practitioner Regulation National Law as in force in each state and territory.</w:t>
      </w:r>
    </w:p>
    <w:p w14:paraId="5ED77626" w14:textId="77777777" w:rsidR="00BF7BD5" w:rsidRPr="00576D80" w:rsidRDefault="00BF7BD5" w:rsidP="00BF7BD5">
      <w:pPr>
        <w:pStyle w:val="AHPRAbody"/>
        <w:outlineLvl w:val="0"/>
        <w:rPr>
          <w:strike/>
        </w:rPr>
      </w:pPr>
      <w:r w:rsidRPr="00576D80">
        <w:rPr>
          <w:b/>
        </w:rPr>
        <w:lastRenderedPageBreak/>
        <w:t xml:space="preserve">Person or people </w:t>
      </w:r>
      <w:r w:rsidRPr="00576D80">
        <w:t xml:space="preserve">refers to those individuals who have entered into a therapeutic and/or professional relationship with an RN. These individuals will sometimes be healthcare consumers, at other times they may be colleagues or students, this will vary depending on who is the focus of practice at the time. Therefore, the words person or people include all the patients, clients, consumers, families, carers, groups and/or communities, however named, that are within the RN’s scope and context of practice. </w:t>
      </w:r>
    </w:p>
    <w:p w14:paraId="0ADC70FE" w14:textId="77777777" w:rsidR="00BF7BD5" w:rsidRPr="00576D80" w:rsidRDefault="00BF7BD5" w:rsidP="00BF7BD5">
      <w:pPr>
        <w:pStyle w:val="AHPRAbody"/>
        <w:outlineLvl w:val="0"/>
      </w:pPr>
      <w:r w:rsidRPr="00576D80">
        <w:rPr>
          <w:b/>
        </w:rPr>
        <w:t>Prescribe a medicine</w:t>
      </w:r>
      <w:r w:rsidRPr="00576D80">
        <w:t xml:space="preserve"> for the purpose of this endorsement means to authorise the supply and/or administration of a medicine to a person (for example, an RN who writes a prescription for a person to be dispensed by a pharmacist is exercising their authority to prescribe) – it also includes de-prescribing of medicines.</w:t>
      </w:r>
    </w:p>
    <w:p w14:paraId="45E763F0" w14:textId="77777777" w:rsidR="00BF7BD5" w:rsidRPr="006001D1" w:rsidRDefault="00BF7BD5" w:rsidP="00BF7BD5">
      <w:pPr>
        <w:pStyle w:val="AHPRAbody"/>
        <w:outlineLvl w:val="0"/>
      </w:pPr>
      <w:r w:rsidRPr="006001D1">
        <w:rPr>
          <w:b/>
        </w:rPr>
        <w:t>Scheduled medicine</w:t>
      </w:r>
      <w:r w:rsidRPr="006001D1">
        <w:t xml:space="preserve"> means a substance included in a schedule to the current Poisons Standard within the meaning of the </w:t>
      </w:r>
      <w:r w:rsidRPr="006001D1">
        <w:rPr>
          <w:i/>
        </w:rPr>
        <w:t>Therapeutic Goods Act 1989</w:t>
      </w:r>
      <w:r w:rsidRPr="006001D1">
        <w:t xml:space="preserve"> (Cth).</w:t>
      </w:r>
    </w:p>
    <w:p w14:paraId="58F1D9B5" w14:textId="77777777" w:rsidR="00BF7BD5" w:rsidRPr="00576D80" w:rsidRDefault="00BF7BD5" w:rsidP="00BF7BD5">
      <w:pPr>
        <w:pStyle w:val="AHPRAbody"/>
        <w:outlineLvl w:val="0"/>
        <w:rPr>
          <w:b/>
        </w:rPr>
      </w:pPr>
      <w:r w:rsidRPr="00576D80">
        <w:rPr>
          <w:b/>
        </w:rPr>
        <w:t xml:space="preserve">Sole practitioner or individual working in private practice </w:t>
      </w:r>
      <w:r w:rsidRPr="00576D80">
        <w:t>means the RN is working in a business owned solely by the RN or in a partnership or collective; or where an RN or is employed (full-time or part-time) by a company that is owned solely by the RN, or that is owned solely by RNs, where the only directors of that company are registered nurses.</w:t>
      </w:r>
    </w:p>
    <w:p w14:paraId="5139E7B1" w14:textId="77777777" w:rsidR="00BF7BD5" w:rsidRPr="003B1ACF" w:rsidRDefault="00BF7BD5" w:rsidP="00BF7BD5">
      <w:pPr>
        <w:pStyle w:val="AHPRAbody"/>
        <w:outlineLvl w:val="0"/>
      </w:pPr>
      <w:r w:rsidRPr="00576D80">
        <w:rPr>
          <w:b/>
        </w:rPr>
        <w:t>Supply</w:t>
      </w:r>
      <w:r w:rsidRPr="00576D80">
        <w:t xml:space="preserve"> a medicine means to provide a medicine to a person for their later use or administration (for example, a nurse in a hospital in a rural and remote area who is authorised to supply a medicine to a person to take home for self-administration is exercising their authority to supply).</w:t>
      </w:r>
      <w:r w:rsidRPr="003B1ACF">
        <w:t xml:space="preserve"> </w:t>
      </w:r>
    </w:p>
    <w:p w14:paraId="357A6391" w14:textId="77777777" w:rsidR="00BF7BD5" w:rsidRPr="006001D1" w:rsidRDefault="00BF7BD5" w:rsidP="00BF7BD5">
      <w:pPr>
        <w:pStyle w:val="AHPRAbody"/>
        <w:outlineLvl w:val="0"/>
      </w:pPr>
      <w:r w:rsidRPr="006001D1">
        <w:t>The terms ‘</w:t>
      </w:r>
      <w:r w:rsidRPr="007F6162">
        <w:rPr>
          <w:b/>
          <w:bCs/>
        </w:rPr>
        <w:t>obtain</w:t>
      </w:r>
      <w:r w:rsidRPr="006001D1">
        <w:t>’ and ‘</w:t>
      </w:r>
      <w:r w:rsidRPr="007F6162">
        <w:rPr>
          <w:b/>
          <w:bCs/>
        </w:rPr>
        <w:t>possess</w:t>
      </w:r>
      <w:r w:rsidRPr="006001D1">
        <w:t xml:space="preserve">’ should be given their ordinary dictionary meaning. </w:t>
      </w:r>
    </w:p>
    <w:p w14:paraId="334A8B97" w14:textId="77777777" w:rsidR="00BF7BD5" w:rsidRPr="0020575F" w:rsidRDefault="00BF7BD5" w:rsidP="00BF7BD5">
      <w:pPr>
        <w:pStyle w:val="AHPRASubheading"/>
      </w:pPr>
      <w:bookmarkStart w:id="242" w:name="_Toc33081883"/>
      <w:bookmarkStart w:id="243" w:name="_Toc33082042"/>
      <w:bookmarkStart w:id="244" w:name="_Toc48330674"/>
      <w:bookmarkStart w:id="245" w:name="_Toc48551771"/>
      <w:bookmarkStart w:id="246" w:name="_Toc48552996"/>
      <w:bookmarkStart w:id="247" w:name="_Toc76118120"/>
      <w:bookmarkStart w:id="248" w:name="_Toc130477903"/>
      <w:bookmarkEnd w:id="239"/>
      <w:r w:rsidRPr="0020575F">
        <w:t>Review</w:t>
      </w:r>
      <w:bookmarkEnd w:id="242"/>
      <w:bookmarkEnd w:id="243"/>
      <w:bookmarkEnd w:id="244"/>
      <w:bookmarkEnd w:id="245"/>
      <w:bookmarkEnd w:id="246"/>
      <w:bookmarkEnd w:id="247"/>
      <w:bookmarkEnd w:id="248"/>
      <w:r w:rsidRPr="0020575F">
        <w:t xml:space="preserve"> </w:t>
      </w:r>
    </w:p>
    <w:p w14:paraId="4DD9F87F" w14:textId="77777777" w:rsidR="00BF7BD5" w:rsidRDefault="00BF7BD5" w:rsidP="00BF7BD5">
      <w:pPr>
        <w:outlineLvl w:val="0"/>
        <w:rPr>
          <w:szCs w:val="20"/>
        </w:rPr>
      </w:pPr>
      <w:r w:rsidRPr="0086501E">
        <w:rPr>
          <w:szCs w:val="20"/>
        </w:rPr>
        <w:t xml:space="preserve">This standard for endorsement of registration </w:t>
      </w:r>
      <w:r>
        <w:rPr>
          <w:szCs w:val="20"/>
        </w:rPr>
        <w:t>will be reviewed from time to time as necessary</w:t>
      </w:r>
      <w:r w:rsidRPr="0086501E">
        <w:rPr>
          <w:szCs w:val="20"/>
        </w:rPr>
        <w:t xml:space="preserve">. The </w:t>
      </w:r>
      <w:r>
        <w:rPr>
          <w:szCs w:val="20"/>
        </w:rPr>
        <w:t>NMBA</w:t>
      </w:r>
      <w:r w:rsidRPr="0086501E">
        <w:rPr>
          <w:szCs w:val="20"/>
        </w:rPr>
        <w:t xml:space="preserve"> will review this standard at least every </w:t>
      </w:r>
      <w:r>
        <w:rPr>
          <w:szCs w:val="20"/>
        </w:rPr>
        <w:t>five years.</w:t>
      </w:r>
    </w:p>
    <w:p w14:paraId="42FA15FD" w14:textId="77777777" w:rsidR="008F16A3" w:rsidRDefault="008F16A3" w:rsidP="00D50B22">
      <w:pPr>
        <w:pStyle w:val="AHPRAbody"/>
      </w:pPr>
    </w:p>
    <w:p w14:paraId="1B33A678" w14:textId="39071AF4" w:rsidR="00BF7BD5" w:rsidRDefault="00BF7BD5" w:rsidP="00D50B22">
      <w:pPr>
        <w:pStyle w:val="AHPRAbody"/>
        <w:sectPr w:rsidR="00BF7BD5" w:rsidSect="009A5B0D">
          <w:headerReference w:type="first" r:id="rId68"/>
          <w:pgSz w:w="11900" w:h="16840"/>
          <w:pgMar w:top="1392" w:right="1247" w:bottom="1134" w:left="1247" w:header="284" w:footer="579" w:gutter="0"/>
          <w:cols w:space="708"/>
          <w:titlePg/>
          <w:docGrid w:linePitch="326"/>
        </w:sectPr>
      </w:pPr>
    </w:p>
    <w:p w14:paraId="46996447" w14:textId="77777777" w:rsidR="00F05C60" w:rsidRDefault="00F05C60" w:rsidP="000615C4">
      <w:pPr>
        <w:pStyle w:val="AHPRADocumenttitle"/>
        <w:spacing w:after="240"/>
      </w:pPr>
      <w:r w:rsidRPr="00F05C60">
        <w:lastRenderedPageBreak/>
        <w:t>Guidelines</w:t>
      </w:r>
    </w:p>
    <w:p w14:paraId="3811CA70" w14:textId="77777777" w:rsidR="00F05C60" w:rsidRDefault="00F05C60" w:rsidP="00F05C60">
      <w:pPr>
        <w:pStyle w:val="BodyText"/>
        <w:spacing w:line="20" w:lineRule="exact"/>
        <w:ind w:left="-1320"/>
        <w:rPr>
          <w:sz w:val="2"/>
        </w:rPr>
      </w:pPr>
      <w:r>
        <w:rPr>
          <w:sz w:val="2"/>
          <w:lang w:eastAsia="en-AU"/>
        </w:rPr>
        <mc:AlternateContent>
          <mc:Choice Requires="wpg">
            <w:drawing>
              <wp:inline distT="0" distB="0" distL="0" distR="0" wp14:anchorId="51DA8EFE" wp14:editId="48AC8A74">
                <wp:extent cx="1880870" cy="9525"/>
                <wp:effectExtent l="0" t="0" r="0" b="0"/>
                <wp:docPr id="609386463" name="Group 609386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870" cy="9525"/>
                          <a:chOff x="0" y="0"/>
                          <a:chExt cx="1880870" cy="9525"/>
                        </a:xfrm>
                      </wpg:grpSpPr>
                      <wps:wsp>
                        <wps:cNvPr id="2118655098" name="Graphic 3"/>
                        <wps:cNvSpPr/>
                        <wps:spPr>
                          <a:xfrm>
                            <a:off x="0" y="0"/>
                            <a:ext cx="1880870" cy="9525"/>
                          </a:xfrm>
                          <a:custGeom>
                            <a:avLst/>
                            <a:gdLst/>
                            <a:ahLst/>
                            <a:cxnLst/>
                            <a:rect l="l" t="t" r="r" b="b"/>
                            <a:pathLst>
                              <a:path w="1880870" h="9525">
                                <a:moveTo>
                                  <a:pt x="1880870" y="0"/>
                                </a:moveTo>
                                <a:lnTo>
                                  <a:pt x="0" y="0"/>
                                </a:lnTo>
                                <a:lnTo>
                                  <a:pt x="0" y="9525"/>
                                </a:lnTo>
                                <a:lnTo>
                                  <a:pt x="1880870" y="9525"/>
                                </a:lnTo>
                                <a:lnTo>
                                  <a:pt x="18808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0097DA" id="Group 609386463" o:spid="_x0000_s1026" style="width:148.1pt;height:.75pt;mso-position-horizontal-relative:char;mso-position-vertical-relative:line" coordsize="188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">
                <v:shape id="Graphic 3" o:spid="_x0000_s1027" style="position:absolute;width:18808;height:95;visibility:visible;mso-wrap-style:square;v-text-anchor:top" coordsize="18808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" path="m1880870,l,,,9525r1880870,l1880870,xe" fillcolor="black" stroked="f">
                  <v:path arrowok="t"/>
                </v:shape>
                <w10:anchorlock/>
              </v:group>
            </w:pict>
          </mc:Fallback>
        </mc:AlternateContent>
      </w:r>
    </w:p>
    <w:p w14:paraId="1D90073A" w14:textId="77777777" w:rsidR="00F05C60" w:rsidRDefault="00F05C60" w:rsidP="000615C4">
      <w:pPr>
        <w:spacing w:before="246" w:line="322" w:lineRule="exact"/>
        <w:ind w:right="666"/>
        <w:rPr>
          <w:sz w:val="28"/>
        </w:rPr>
      </w:pPr>
      <w:r>
        <w:rPr>
          <w:color w:val="5F5F61"/>
          <w:sz w:val="28"/>
        </w:rPr>
        <w:t>For</w:t>
      </w:r>
      <w:r>
        <w:rPr>
          <w:color w:val="5F5F61"/>
          <w:spacing w:val="-6"/>
          <w:sz w:val="28"/>
        </w:rPr>
        <w:t xml:space="preserve"> </w:t>
      </w:r>
      <w:r>
        <w:rPr>
          <w:color w:val="5F5F61"/>
          <w:sz w:val="28"/>
        </w:rPr>
        <w:t>registered</w:t>
      </w:r>
      <w:r>
        <w:rPr>
          <w:color w:val="5F5F61"/>
          <w:spacing w:val="-4"/>
          <w:sz w:val="28"/>
        </w:rPr>
        <w:t xml:space="preserve"> </w:t>
      </w:r>
      <w:r>
        <w:rPr>
          <w:color w:val="5F5F61"/>
          <w:sz w:val="28"/>
        </w:rPr>
        <w:t>nurses</w:t>
      </w:r>
      <w:r>
        <w:rPr>
          <w:color w:val="5F5F61"/>
          <w:spacing w:val="-3"/>
          <w:sz w:val="28"/>
        </w:rPr>
        <w:t xml:space="preserve"> </w:t>
      </w:r>
      <w:r>
        <w:rPr>
          <w:color w:val="5F5F61"/>
          <w:sz w:val="28"/>
        </w:rPr>
        <w:t>applying</w:t>
      </w:r>
      <w:r>
        <w:rPr>
          <w:color w:val="5F5F61"/>
          <w:spacing w:val="-6"/>
          <w:sz w:val="28"/>
        </w:rPr>
        <w:t xml:space="preserve"> </w:t>
      </w:r>
      <w:r>
        <w:rPr>
          <w:color w:val="5F5F61"/>
          <w:sz w:val="28"/>
        </w:rPr>
        <w:t>for</w:t>
      </w:r>
      <w:r>
        <w:rPr>
          <w:color w:val="5F5F61"/>
          <w:spacing w:val="-6"/>
          <w:sz w:val="28"/>
        </w:rPr>
        <w:t xml:space="preserve"> </w:t>
      </w:r>
      <w:r>
        <w:rPr>
          <w:color w:val="5F5F61"/>
          <w:sz w:val="28"/>
        </w:rPr>
        <w:t>and</w:t>
      </w:r>
      <w:r>
        <w:rPr>
          <w:color w:val="5F5F61"/>
          <w:spacing w:val="-8"/>
          <w:sz w:val="28"/>
        </w:rPr>
        <w:t xml:space="preserve"> </w:t>
      </w:r>
      <w:r>
        <w:rPr>
          <w:color w:val="5F5F61"/>
          <w:sz w:val="28"/>
        </w:rPr>
        <w:t>with</w:t>
      </w:r>
      <w:r>
        <w:rPr>
          <w:color w:val="5F5F61"/>
          <w:spacing w:val="-6"/>
          <w:sz w:val="28"/>
        </w:rPr>
        <w:t xml:space="preserve"> </w:t>
      </w:r>
      <w:r>
        <w:rPr>
          <w:color w:val="5F5F61"/>
          <w:sz w:val="28"/>
        </w:rPr>
        <w:t>the</w:t>
      </w:r>
      <w:r>
        <w:rPr>
          <w:color w:val="5F5F61"/>
          <w:spacing w:val="-6"/>
          <w:sz w:val="28"/>
        </w:rPr>
        <w:t xml:space="preserve"> </w:t>
      </w:r>
      <w:r>
        <w:rPr>
          <w:color w:val="5F5F61"/>
          <w:sz w:val="28"/>
        </w:rPr>
        <w:t>endorsement</w:t>
      </w:r>
      <w:r>
        <w:rPr>
          <w:color w:val="5F5F61"/>
          <w:spacing w:val="-3"/>
          <w:sz w:val="28"/>
        </w:rPr>
        <w:t xml:space="preserve"> </w:t>
      </w:r>
      <w:r>
        <w:rPr>
          <w:color w:val="5F5F61"/>
          <w:spacing w:val="-5"/>
          <w:sz w:val="28"/>
        </w:rPr>
        <w:t xml:space="preserve">for </w:t>
      </w:r>
      <w:r>
        <w:rPr>
          <w:color w:val="5F5F61"/>
          <w:sz w:val="28"/>
        </w:rPr>
        <w:t>scheduled</w:t>
      </w:r>
      <w:r>
        <w:rPr>
          <w:color w:val="5F5F61"/>
          <w:spacing w:val="-12"/>
          <w:sz w:val="28"/>
        </w:rPr>
        <w:t xml:space="preserve"> </w:t>
      </w:r>
      <w:r>
        <w:rPr>
          <w:color w:val="5F5F61"/>
          <w:sz w:val="28"/>
        </w:rPr>
        <w:t>medicines</w:t>
      </w:r>
      <w:r>
        <w:rPr>
          <w:color w:val="5F5F61"/>
          <w:spacing w:val="-6"/>
          <w:sz w:val="28"/>
        </w:rPr>
        <w:t xml:space="preserve"> </w:t>
      </w:r>
      <w:r>
        <w:rPr>
          <w:color w:val="5F5F61"/>
          <w:sz w:val="28"/>
        </w:rPr>
        <w:t>−</w:t>
      </w:r>
      <w:r>
        <w:rPr>
          <w:color w:val="5F5F61"/>
          <w:spacing w:val="-8"/>
          <w:sz w:val="28"/>
        </w:rPr>
        <w:t xml:space="preserve"> </w:t>
      </w:r>
      <w:r>
        <w:rPr>
          <w:color w:val="5F5F61"/>
          <w:sz w:val="28"/>
        </w:rPr>
        <w:t>designated</w:t>
      </w:r>
      <w:r>
        <w:rPr>
          <w:color w:val="5F5F61"/>
          <w:spacing w:val="-8"/>
          <w:sz w:val="28"/>
        </w:rPr>
        <w:t xml:space="preserve"> </w:t>
      </w:r>
      <w:r>
        <w:rPr>
          <w:color w:val="5F5F61"/>
          <w:sz w:val="28"/>
        </w:rPr>
        <w:t>registered</w:t>
      </w:r>
      <w:r>
        <w:rPr>
          <w:color w:val="5F5F61"/>
          <w:spacing w:val="-9"/>
          <w:sz w:val="28"/>
        </w:rPr>
        <w:t xml:space="preserve"> </w:t>
      </w:r>
      <w:r>
        <w:rPr>
          <w:color w:val="5F5F61"/>
          <w:sz w:val="28"/>
        </w:rPr>
        <w:t>nurse</w:t>
      </w:r>
      <w:r>
        <w:rPr>
          <w:color w:val="5F5F61"/>
          <w:spacing w:val="-5"/>
          <w:sz w:val="28"/>
        </w:rPr>
        <w:t xml:space="preserve"> </w:t>
      </w:r>
      <w:r>
        <w:rPr>
          <w:color w:val="5F5F61"/>
          <w:spacing w:val="-2"/>
          <w:sz w:val="28"/>
        </w:rPr>
        <w:t>prescriber</w:t>
      </w:r>
    </w:p>
    <w:p w14:paraId="3971FC0F" w14:textId="77777777" w:rsidR="00F05C60" w:rsidRPr="00421069" w:rsidRDefault="00F05C60" w:rsidP="000615C4">
      <w:pPr>
        <w:spacing w:before="200"/>
      </w:pPr>
      <w:r>
        <w:rPr>
          <w:b/>
          <w:color w:val="0067B8"/>
        </w:rPr>
        <w:t>Effective</w:t>
      </w:r>
      <w:r>
        <w:rPr>
          <w:b/>
          <w:color w:val="0067B8"/>
          <w:spacing w:val="-8"/>
        </w:rPr>
        <w:t xml:space="preserve"> </w:t>
      </w:r>
      <w:r>
        <w:rPr>
          <w:b/>
          <w:color w:val="0067B8"/>
        </w:rPr>
        <w:t>from:</w:t>
      </w:r>
      <w:r>
        <w:rPr>
          <w:b/>
          <w:color w:val="0067B8"/>
          <w:spacing w:val="-7"/>
        </w:rPr>
        <w:t xml:space="preserve"> </w:t>
      </w:r>
      <w:r w:rsidRPr="00421069">
        <w:rPr>
          <w:color w:val="000000"/>
        </w:rPr>
        <w:t>30</w:t>
      </w:r>
      <w:r w:rsidRPr="00421069">
        <w:rPr>
          <w:color w:val="000000"/>
          <w:spacing w:val="-7"/>
        </w:rPr>
        <w:t xml:space="preserve"> </w:t>
      </w:r>
      <w:r w:rsidRPr="00421069">
        <w:rPr>
          <w:color w:val="000000"/>
        </w:rPr>
        <w:t>September</w:t>
      </w:r>
      <w:r w:rsidRPr="00421069">
        <w:rPr>
          <w:color w:val="000000"/>
          <w:spacing w:val="-8"/>
        </w:rPr>
        <w:t xml:space="preserve"> </w:t>
      </w:r>
      <w:r w:rsidRPr="00421069">
        <w:rPr>
          <w:color w:val="000000"/>
          <w:spacing w:val="-4"/>
        </w:rPr>
        <w:t>2025</w:t>
      </w:r>
    </w:p>
    <w:p w14:paraId="64DFA9EF" w14:textId="77777777" w:rsidR="00F05C60" w:rsidRPr="000615C4" w:rsidRDefault="00F05C60" w:rsidP="00F05C60">
      <w:pPr>
        <w:pStyle w:val="Heading2"/>
        <w:spacing w:before="199"/>
        <w:rPr>
          <w:rFonts w:ascii="Arial" w:eastAsia="Cambria" w:hAnsi="Arial" w:cs="Times New Roman"/>
          <w:bCs w:val="0"/>
          <w:i w:val="0"/>
          <w:iCs w:val="0"/>
          <w:color w:val="0067B8"/>
          <w:sz w:val="20"/>
          <w:szCs w:val="24"/>
        </w:rPr>
      </w:pPr>
      <w:r w:rsidRPr="000615C4">
        <w:rPr>
          <w:rFonts w:ascii="Arial" w:eastAsia="Cambria" w:hAnsi="Arial" w:cs="Times New Roman"/>
          <w:bCs w:val="0"/>
          <w:i w:val="0"/>
          <w:iCs w:val="0"/>
          <w:color w:val="0067B8"/>
          <w:sz w:val="20"/>
          <w:szCs w:val="24"/>
        </w:rPr>
        <w:t>Introduction</w:t>
      </w:r>
    </w:p>
    <w:p w14:paraId="73871189" w14:textId="77777777" w:rsidR="00F05C60" w:rsidRPr="00421069" w:rsidRDefault="00F05C60" w:rsidP="00F05C60">
      <w:pPr>
        <w:pStyle w:val="BodyText"/>
        <w:ind w:right="666"/>
      </w:pPr>
      <w:r w:rsidRPr="00421069">
        <w:t>These</w:t>
      </w:r>
      <w:r w:rsidRPr="00421069">
        <w:rPr>
          <w:spacing w:val="-5"/>
        </w:rPr>
        <w:t xml:space="preserve"> </w:t>
      </w:r>
      <w:r w:rsidRPr="00421069">
        <w:t>guidelines</w:t>
      </w:r>
      <w:r w:rsidRPr="00421069">
        <w:rPr>
          <w:spacing w:val="-2"/>
        </w:rPr>
        <w:t xml:space="preserve"> </w:t>
      </w:r>
      <w:r w:rsidRPr="00421069">
        <w:t>provide</w:t>
      </w:r>
      <w:r w:rsidRPr="00421069">
        <w:rPr>
          <w:spacing w:val="-5"/>
        </w:rPr>
        <w:t xml:space="preserve"> </w:t>
      </w:r>
      <w:r w:rsidRPr="00421069">
        <w:t>information</w:t>
      </w:r>
      <w:r w:rsidRPr="00421069">
        <w:rPr>
          <w:spacing w:val="-3"/>
        </w:rPr>
        <w:t xml:space="preserve"> </w:t>
      </w:r>
      <w:r w:rsidRPr="00421069">
        <w:t>about</w:t>
      </w:r>
      <w:r w:rsidRPr="00421069">
        <w:rPr>
          <w:spacing w:val="-3"/>
        </w:rPr>
        <w:t xml:space="preserve"> </w:t>
      </w:r>
      <w:r w:rsidRPr="00421069">
        <w:t>how</w:t>
      </w:r>
      <w:r w:rsidRPr="00421069">
        <w:rPr>
          <w:spacing w:val="-5"/>
        </w:rPr>
        <w:t xml:space="preserve"> </w:t>
      </w:r>
      <w:r w:rsidRPr="00421069">
        <w:t>to</w:t>
      </w:r>
      <w:r w:rsidRPr="00421069">
        <w:rPr>
          <w:spacing w:val="-5"/>
        </w:rPr>
        <w:t xml:space="preserve"> </w:t>
      </w:r>
      <w:r w:rsidRPr="00421069">
        <w:t>meet</w:t>
      </w:r>
      <w:r w:rsidRPr="00421069">
        <w:rPr>
          <w:spacing w:val="-5"/>
        </w:rPr>
        <w:t xml:space="preserve"> </w:t>
      </w:r>
      <w:r w:rsidRPr="00421069">
        <w:t>the</w:t>
      </w:r>
      <w:r w:rsidRPr="00421069">
        <w:rPr>
          <w:spacing w:val="-5"/>
        </w:rPr>
        <w:t xml:space="preserve"> </w:t>
      </w:r>
      <w:r w:rsidRPr="00421069">
        <w:t>Nursing</w:t>
      </w:r>
      <w:r w:rsidRPr="00421069">
        <w:rPr>
          <w:spacing w:val="-5"/>
        </w:rPr>
        <w:t xml:space="preserve"> </w:t>
      </w:r>
      <w:r w:rsidRPr="00421069">
        <w:t>and</w:t>
      </w:r>
      <w:r w:rsidRPr="00421069">
        <w:rPr>
          <w:spacing w:val="-4"/>
        </w:rPr>
        <w:t xml:space="preserve"> </w:t>
      </w:r>
      <w:r w:rsidRPr="00421069">
        <w:t>Midwifery</w:t>
      </w:r>
      <w:r w:rsidRPr="00421069">
        <w:rPr>
          <w:spacing w:val="-3"/>
        </w:rPr>
        <w:t xml:space="preserve"> </w:t>
      </w:r>
      <w:r w:rsidRPr="00421069">
        <w:t>Board</w:t>
      </w:r>
      <w:r w:rsidRPr="00421069">
        <w:rPr>
          <w:spacing w:val="-3"/>
        </w:rPr>
        <w:t xml:space="preserve"> </w:t>
      </w:r>
      <w:r w:rsidRPr="00421069">
        <w:t>of</w:t>
      </w:r>
      <w:r w:rsidRPr="00421069">
        <w:rPr>
          <w:spacing w:val="-3"/>
        </w:rPr>
        <w:t xml:space="preserve"> </w:t>
      </w:r>
      <w:r w:rsidRPr="00421069">
        <w:t>Australia</w:t>
      </w:r>
      <w:r>
        <w:t>’s</w:t>
      </w:r>
      <w:r w:rsidRPr="00421069">
        <w:t xml:space="preserve"> (NMBA) requirements when you are applying for an endorsement for scheduled medicines as a designated registered nurse (RN) prescriber (designated RN prescriber) and when you have the endorsement for scheduled medicines as a designated RN prescriber. You are expected to understand and apply these guidelines together with the </w:t>
      </w:r>
      <w:r w:rsidRPr="00421069">
        <w:rPr>
          <w:i/>
        </w:rPr>
        <w:t xml:space="preserve">Registration standard: Endorsement for scheduled medicines − designated registered nurse prescriber </w:t>
      </w:r>
      <w:r w:rsidRPr="00421069">
        <w:t>(the registration standard).</w:t>
      </w:r>
    </w:p>
    <w:p w14:paraId="1FB89B33" w14:textId="77777777" w:rsidR="00F05C60" w:rsidRDefault="00F05C60" w:rsidP="00F05C60">
      <w:pPr>
        <w:pStyle w:val="BodyText"/>
        <w:spacing w:before="202"/>
        <w:ind w:right="776"/>
      </w:pPr>
      <w:r w:rsidRPr="00421069">
        <w:t>The</w:t>
      </w:r>
      <w:r w:rsidRPr="00421069">
        <w:rPr>
          <w:spacing w:val="-5"/>
        </w:rPr>
        <w:t xml:space="preserve"> </w:t>
      </w:r>
      <w:r w:rsidRPr="00421069">
        <w:t>NMBA</w:t>
      </w:r>
      <w:r w:rsidRPr="00421069">
        <w:rPr>
          <w:spacing w:val="-4"/>
        </w:rPr>
        <w:t xml:space="preserve"> </w:t>
      </w:r>
      <w:r w:rsidRPr="00421069">
        <w:t>will</w:t>
      </w:r>
      <w:r w:rsidRPr="00421069">
        <w:rPr>
          <w:spacing w:val="-3"/>
        </w:rPr>
        <w:t xml:space="preserve"> </w:t>
      </w:r>
      <w:r w:rsidRPr="00421069">
        <w:t>audit</w:t>
      </w:r>
      <w:r w:rsidRPr="00421069">
        <w:rPr>
          <w:spacing w:val="-4"/>
        </w:rPr>
        <w:t xml:space="preserve"> </w:t>
      </w:r>
      <w:r w:rsidRPr="00421069">
        <w:t>compliance</w:t>
      </w:r>
      <w:r w:rsidRPr="00421069">
        <w:rPr>
          <w:spacing w:val="-4"/>
        </w:rPr>
        <w:t xml:space="preserve"> </w:t>
      </w:r>
      <w:r w:rsidRPr="00421069">
        <w:t>with</w:t>
      </w:r>
      <w:r w:rsidRPr="00421069">
        <w:rPr>
          <w:spacing w:val="-5"/>
        </w:rPr>
        <w:t xml:space="preserve"> </w:t>
      </w:r>
      <w:r w:rsidRPr="00421069">
        <w:t>the</w:t>
      </w:r>
      <w:r w:rsidRPr="00421069">
        <w:rPr>
          <w:spacing w:val="-5"/>
        </w:rPr>
        <w:t xml:space="preserve"> </w:t>
      </w:r>
      <w:r w:rsidRPr="00421069">
        <w:t>requirements</w:t>
      </w:r>
      <w:r w:rsidRPr="00421069">
        <w:rPr>
          <w:spacing w:val="-1"/>
        </w:rPr>
        <w:t xml:space="preserve"> </w:t>
      </w:r>
      <w:r w:rsidRPr="00421069">
        <w:t>of</w:t>
      </w:r>
      <w:r w:rsidRPr="00421069">
        <w:rPr>
          <w:spacing w:val="-4"/>
        </w:rPr>
        <w:t xml:space="preserve"> </w:t>
      </w:r>
      <w:r w:rsidRPr="00421069">
        <w:t>these</w:t>
      </w:r>
      <w:r w:rsidRPr="00421069">
        <w:rPr>
          <w:spacing w:val="-4"/>
        </w:rPr>
        <w:t xml:space="preserve"> </w:t>
      </w:r>
      <w:r w:rsidRPr="00421069">
        <w:t>guidelines.</w:t>
      </w:r>
      <w:r w:rsidRPr="00421069">
        <w:rPr>
          <w:spacing w:val="-2"/>
        </w:rPr>
        <w:t xml:space="preserve"> </w:t>
      </w:r>
      <w:r w:rsidRPr="00421069">
        <w:t>You</w:t>
      </w:r>
      <w:r>
        <w:rPr>
          <w:spacing w:val="-4"/>
        </w:rPr>
        <w:t xml:space="preserve"> </w:t>
      </w:r>
      <w:r>
        <w:t>should</w:t>
      </w:r>
      <w:r>
        <w:rPr>
          <w:spacing w:val="-4"/>
        </w:rPr>
        <w:t xml:space="preserve"> </w:t>
      </w:r>
      <w:r>
        <w:t>retain</w:t>
      </w:r>
      <w:r>
        <w:rPr>
          <w:spacing w:val="-4"/>
        </w:rPr>
        <w:t xml:space="preserve"> </w:t>
      </w:r>
      <w:r>
        <w:t>relevant evidence that you meet the requirements of these guidelines.</w:t>
      </w:r>
    </w:p>
    <w:p w14:paraId="0826B2B2" w14:textId="77777777" w:rsidR="00F05C60" w:rsidRPr="000615C4" w:rsidRDefault="00F05C60" w:rsidP="000615C4">
      <w:pPr>
        <w:pStyle w:val="Heading2"/>
        <w:spacing w:before="199"/>
        <w:rPr>
          <w:rFonts w:ascii="Arial" w:eastAsia="Cambria" w:hAnsi="Arial" w:cs="Times New Roman"/>
          <w:bCs w:val="0"/>
          <w:i w:val="0"/>
          <w:iCs w:val="0"/>
          <w:color w:val="0067B8"/>
          <w:sz w:val="20"/>
          <w:szCs w:val="24"/>
        </w:rPr>
      </w:pPr>
      <w:r w:rsidRPr="000615C4">
        <w:rPr>
          <w:rFonts w:ascii="Arial" w:eastAsia="Cambria" w:hAnsi="Arial" w:cs="Times New Roman"/>
          <w:bCs w:val="0"/>
          <w:i w:val="0"/>
          <w:iCs w:val="0"/>
          <w:color w:val="0067B8"/>
          <w:sz w:val="20"/>
          <w:szCs w:val="24"/>
        </w:rPr>
        <w:t>What is designated prescribing?</w:t>
      </w:r>
    </w:p>
    <w:p w14:paraId="4FA20EDC" w14:textId="77777777" w:rsidR="00F05C60" w:rsidRDefault="00F05C60" w:rsidP="00F05C60">
      <w:pPr>
        <w:pStyle w:val="BodyText"/>
        <w:ind w:right="776"/>
      </w:pPr>
      <w:r>
        <w:t>Designated prescribing occurs when an RN with the endorsement for scheduled medicines − designated RN prescriber undertakes prescribing within their level of competence and scope of practice in partnership with an authorised health practitioner</w:t>
      </w:r>
      <w:hyperlink w:anchor="_bookmark0" w:history="1">
        <w:r>
          <w:rPr>
            <w:rStyle w:val="FootnoteReference"/>
          </w:rPr>
          <w:footnoteReference w:id="3"/>
        </w:r>
        <w:r>
          <w:t>.</w:t>
        </w:r>
      </w:hyperlink>
      <w:r>
        <w:t xml:space="preserve"> The designated RN prescriber is responsible and accountable for prescribing within their scope of practice and authorisation. The designated RN prescriber may prescribe medicines that are authorised by legislation, has authorisation</w:t>
      </w:r>
      <w:r>
        <w:rPr>
          <w:spacing w:val="-8"/>
        </w:rPr>
        <w:t xml:space="preserve"> </w:t>
      </w:r>
      <w:r>
        <w:t>to</w:t>
      </w:r>
      <w:r>
        <w:rPr>
          <w:spacing w:val="-8"/>
        </w:rPr>
        <w:t xml:space="preserve"> </w:t>
      </w:r>
      <w:r>
        <w:t>prescribe</w:t>
      </w:r>
      <w:r>
        <w:rPr>
          <w:spacing w:val="-8"/>
        </w:rPr>
        <w:t xml:space="preserve"> </w:t>
      </w:r>
      <w:r>
        <w:t>medicines</w:t>
      </w:r>
      <w:r>
        <w:rPr>
          <w:spacing w:val="-7"/>
        </w:rPr>
        <w:t xml:space="preserve"> </w:t>
      </w:r>
      <w:r>
        <w:t>that</w:t>
      </w:r>
      <w:r>
        <w:rPr>
          <w:spacing w:val="-6"/>
        </w:rPr>
        <w:t xml:space="preserve"> </w:t>
      </w:r>
      <w:r>
        <w:t>is</w:t>
      </w:r>
      <w:r>
        <w:rPr>
          <w:spacing w:val="-7"/>
        </w:rPr>
        <w:t xml:space="preserve"> </w:t>
      </w:r>
      <w:r>
        <w:t>determined</w:t>
      </w:r>
      <w:r>
        <w:rPr>
          <w:spacing w:val="-8"/>
        </w:rPr>
        <w:t xml:space="preserve"> </w:t>
      </w:r>
      <w:r>
        <w:t>by</w:t>
      </w:r>
      <w:r>
        <w:rPr>
          <w:spacing w:val="-7"/>
        </w:rPr>
        <w:t xml:space="preserve"> </w:t>
      </w:r>
      <w:r>
        <w:t>legislation,</w:t>
      </w:r>
      <w:r>
        <w:rPr>
          <w:spacing w:val="-10"/>
        </w:rPr>
        <w:t xml:space="preserve"> </w:t>
      </w:r>
      <w:r>
        <w:t>will</w:t>
      </w:r>
      <w:r>
        <w:rPr>
          <w:spacing w:val="-13"/>
        </w:rPr>
        <w:t xml:space="preserve"> </w:t>
      </w:r>
      <w:r>
        <w:t>meet</w:t>
      </w:r>
      <w:r>
        <w:rPr>
          <w:spacing w:val="-13"/>
        </w:rPr>
        <w:t xml:space="preserve"> </w:t>
      </w:r>
      <w:r>
        <w:t>the</w:t>
      </w:r>
      <w:r>
        <w:rPr>
          <w:spacing w:val="-12"/>
        </w:rPr>
        <w:t xml:space="preserve"> </w:t>
      </w:r>
      <w:r>
        <w:t>requirements</w:t>
      </w:r>
      <w:r>
        <w:rPr>
          <w:spacing w:val="-7"/>
        </w:rPr>
        <w:t xml:space="preserve"> </w:t>
      </w:r>
      <w:r>
        <w:t>of</w:t>
      </w:r>
      <w:r>
        <w:rPr>
          <w:spacing w:val="-8"/>
        </w:rPr>
        <w:t xml:space="preserve"> </w:t>
      </w:r>
      <w:r>
        <w:t>the NMBA related to the endorsement and the policies of the jurisdiction, employer or health service.</w:t>
      </w:r>
    </w:p>
    <w:p w14:paraId="1720F09B" w14:textId="77777777" w:rsidR="00F05C60" w:rsidRPr="000615C4" w:rsidRDefault="00F05C60" w:rsidP="000615C4">
      <w:pPr>
        <w:pStyle w:val="Heading2"/>
        <w:spacing w:before="199"/>
        <w:rPr>
          <w:rFonts w:ascii="Arial" w:eastAsia="Cambria" w:hAnsi="Arial" w:cs="Times New Roman"/>
          <w:bCs w:val="0"/>
          <w:i w:val="0"/>
          <w:iCs w:val="0"/>
          <w:color w:val="0067B8"/>
          <w:sz w:val="20"/>
          <w:szCs w:val="24"/>
        </w:rPr>
      </w:pPr>
      <w:r w:rsidRPr="000615C4">
        <w:rPr>
          <w:rFonts w:ascii="Arial" w:eastAsia="Cambria" w:hAnsi="Arial" w:cs="Times New Roman"/>
          <w:bCs w:val="0"/>
          <w:i w:val="0"/>
          <w:iCs w:val="0"/>
          <w:color w:val="0067B8"/>
          <w:sz w:val="20"/>
          <w:szCs w:val="24"/>
        </w:rPr>
        <w:t>Do these guidelines apply to me?</w:t>
      </w:r>
    </w:p>
    <w:p w14:paraId="65BB2640" w14:textId="77777777" w:rsidR="00F05C60" w:rsidRPr="000615C4" w:rsidRDefault="00F05C60" w:rsidP="00F05C60">
      <w:pPr>
        <w:pStyle w:val="BodyText"/>
        <w:rPr>
          <w:szCs w:val="20"/>
        </w:rPr>
      </w:pPr>
      <w:r w:rsidRPr="000615C4">
        <w:rPr>
          <w:szCs w:val="20"/>
        </w:rPr>
        <w:t>These</w:t>
      </w:r>
      <w:r w:rsidRPr="000615C4">
        <w:rPr>
          <w:spacing w:val="-9"/>
          <w:szCs w:val="20"/>
        </w:rPr>
        <w:t xml:space="preserve"> </w:t>
      </w:r>
      <w:r w:rsidRPr="000615C4">
        <w:rPr>
          <w:szCs w:val="20"/>
        </w:rPr>
        <w:t>guidelines</w:t>
      </w:r>
      <w:r w:rsidRPr="000615C4">
        <w:rPr>
          <w:spacing w:val="-7"/>
          <w:szCs w:val="20"/>
        </w:rPr>
        <w:t xml:space="preserve"> </w:t>
      </w:r>
      <w:r w:rsidRPr="000615C4">
        <w:rPr>
          <w:szCs w:val="20"/>
        </w:rPr>
        <w:t>apply</w:t>
      </w:r>
      <w:r w:rsidRPr="000615C4">
        <w:rPr>
          <w:spacing w:val="-8"/>
          <w:szCs w:val="20"/>
        </w:rPr>
        <w:t xml:space="preserve"> </w:t>
      </w:r>
      <w:r w:rsidRPr="000615C4">
        <w:rPr>
          <w:szCs w:val="20"/>
        </w:rPr>
        <w:t>to</w:t>
      </w:r>
      <w:r w:rsidRPr="000615C4">
        <w:rPr>
          <w:spacing w:val="-8"/>
          <w:szCs w:val="20"/>
        </w:rPr>
        <w:t xml:space="preserve"> </w:t>
      </w:r>
      <w:r w:rsidRPr="000615C4">
        <w:rPr>
          <w:spacing w:val="-4"/>
          <w:szCs w:val="20"/>
        </w:rPr>
        <w:t>RNs:</w:t>
      </w:r>
    </w:p>
    <w:p w14:paraId="57B74B14" w14:textId="01730AC5" w:rsidR="00F05C60" w:rsidRPr="000615C4" w:rsidRDefault="00F05C60" w:rsidP="00F05C60">
      <w:pPr>
        <w:pStyle w:val="ListParagraph"/>
        <w:widowControl w:val="0"/>
        <w:numPr>
          <w:ilvl w:val="0"/>
          <w:numId w:val="62"/>
        </w:numPr>
        <w:tabs>
          <w:tab w:val="left" w:pos="547"/>
        </w:tabs>
        <w:autoSpaceDE w:val="0"/>
        <w:autoSpaceDN w:val="0"/>
        <w:spacing w:before="121" w:after="0" w:line="245" w:lineRule="exact"/>
        <w:ind w:hanging="427"/>
        <w:contextualSpacing w:val="0"/>
        <w:rPr>
          <w:rFonts w:ascii="Arial" w:hAnsi="Arial" w:cs="Arial"/>
        </w:rPr>
      </w:pPr>
      <w:r w:rsidRPr="000615C4">
        <w:rPr>
          <w:rFonts w:ascii="Arial" w:hAnsi="Arial" w:cs="Arial"/>
        </w:rPr>
        <w:t>applying</w:t>
      </w:r>
      <w:r w:rsidRPr="000615C4">
        <w:rPr>
          <w:rFonts w:ascii="Arial" w:hAnsi="Arial" w:cs="Arial"/>
          <w:spacing w:val="14"/>
          <w:position w:val="6"/>
        </w:rPr>
        <w:t xml:space="preserve"> </w:t>
      </w:r>
      <w:r w:rsidRPr="000615C4">
        <w:rPr>
          <w:rFonts w:ascii="Arial" w:hAnsi="Arial" w:cs="Arial"/>
        </w:rPr>
        <w:t>for</w:t>
      </w:r>
      <w:r w:rsidRPr="000615C4">
        <w:rPr>
          <w:rFonts w:ascii="Arial" w:hAnsi="Arial" w:cs="Arial"/>
          <w:spacing w:val="-7"/>
        </w:rPr>
        <w:t xml:space="preserve"> </w:t>
      </w:r>
      <w:r w:rsidRPr="000615C4">
        <w:rPr>
          <w:rFonts w:ascii="Arial" w:hAnsi="Arial" w:cs="Arial"/>
        </w:rPr>
        <w:t>the</w:t>
      </w:r>
      <w:r w:rsidRPr="000615C4">
        <w:rPr>
          <w:rFonts w:ascii="Arial" w:hAnsi="Arial" w:cs="Arial"/>
          <w:spacing w:val="-8"/>
        </w:rPr>
        <w:t xml:space="preserve"> </w:t>
      </w:r>
      <w:r w:rsidRPr="000615C4">
        <w:rPr>
          <w:rFonts w:ascii="Arial" w:hAnsi="Arial" w:cs="Arial"/>
        </w:rPr>
        <w:t>endorsement</w:t>
      </w:r>
      <w:r w:rsidRPr="000615C4">
        <w:rPr>
          <w:rFonts w:ascii="Arial" w:hAnsi="Arial" w:cs="Arial"/>
          <w:spacing w:val="-7"/>
        </w:rPr>
        <w:t xml:space="preserve"> </w:t>
      </w:r>
      <w:r w:rsidRPr="000615C4">
        <w:rPr>
          <w:rFonts w:ascii="Arial" w:hAnsi="Arial" w:cs="Arial"/>
        </w:rPr>
        <w:t>for</w:t>
      </w:r>
      <w:r w:rsidRPr="000615C4">
        <w:rPr>
          <w:rFonts w:ascii="Arial" w:hAnsi="Arial" w:cs="Arial"/>
          <w:spacing w:val="-8"/>
        </w:rPr>
        <w:t xml:space="preserve"> </w:t>
      </w:r>
      <w:r w:rsidRPr="000615C4">
        <w:rPr>
          <w:rFonts w:ascii="Arial" w:hAnsi="Arial" w:cs="Arial"/>
        </w:rPr>
        <w:t>scheduled</w:t>
      </w:r>
      <w:r w:rsidRPr="000615C4">
        <w:rPr>
          <w:rFonts w:ascii="Arial" w:hAnsi="Arial" w:cs="Arial"/>
          <w:spacing w:val="-6"/>
        </w:rPr>
        <w:t xml:space="preserve"> </w:t>
      </w:r>
      <w:r w:rsidRPr="000615C4">
        <w:rPr>
          <w:rFonts w:ascii="Arial" w:hAnsi="Arial" w:cs="Arial"/>
        </w:rPr>
        <w:t>medicines</w:t>
      </w:r>
      <w:r w:rsidRPr="000615C4">
        <w:rPr>
          <w:rFonts w:ascii="Arial" w:hAnsi="Arial" w:cs="Arial"/>
          <w:spacing w:val="-1"/>
        </w:rPr>
        <w:t xml:space="preserve"> </w:t>
      </w:r>
      <w:r w:rsidRPr="000615C4">
        <w:rPr>
          <w:rFonts w:ascii="Arial" w:hAnsi="Arial" w:cs="Arial"/>
        </w:rPr>
        <w:t>as</w:t>
      </w:r>
      <w:r w:rsidRPr="000615C4">
        <w:rPr>
          <w:rFonts w:ascii="Arial" w:hAnsi="Arial" w:cs="Arial"/>
          <w:spacing w:val="-7"/>
        </w:rPr>
        <w:t xml:space="preserve"> </w:t>
      </w:r>
      <w:r w:rsidRPr="000615C4">
        <w:rPr>
          <w:rFonts w:ascii="Arial" w:hAnsi="Arial" w:cs="Arial"/>
        </w:rPr>
        <w:t>a</w:t>
      </w:r>
      <w:r w:rsidRPr="000615C4">
        <w:rPr>
          <w:rFonts w:ascii="Arial" w:hAnsi="Arial" w:cs="Arial"/>
          <w:spacing w:val="-8"/>
        </w:rPr>
        <w:t xml:space="preserve"> </w:t>
      </w:r>
      <w:r w:rsidRPr="000615C4">
        <w:rPr>
          <w:rFonts w:ascii="Arial" w:hAnsi="Arial" w:cs="Arial"/>
        </w:rPr>
        <w:t>designated</w:t>
      </w:r>
      <w:r w:rsidRPr="000615C4">
        <w:rPr>
          <w:rFonts w:ascii="Arial" w:hAnsi="Arial" w:cs="Arial"/>
          <w:spacing w:val="-6"/>
        </w:rPr>
        <w:t xml:space="preserve"> </w:t>
      </w:r>
      <w:r w:rsidRPr="000615C4">
        <w:rPr>
          <w:rFonts w:ascii="Arial" w:hAnsi="Arial" w:cs="Arial"/>
        </w:rPr>
        <w:t>RN</w:t>
      </w:r>
      <w:r w:rsidRPr="000615C4">
        <w:rPr>
          <w:rFonts w:ascii="Arial" w:hAnsi="Arial" w:cs="Arial"/>
          <w:spacing w:val="-7"/>
        </w:rPr>
        <w:t xml:space="preserve"> </w:t>
      </w:r>
      <w:r w:rsidRPr="000615C4">
        <w:rPr>
          <w:rFonts w:ascii="Arial" w:hAnsi="Arial" w:cs="Arial"/>
        </w:rPr>
        <w:t>prescriber</w:t>
      </w:r>
      <w:r w:rsidRPr="000615C4">
        <w:rPr>
          <w:rStyle w:val="FootnoteReference"/>
          <w:rFonts w:cs="Arial"/>
          <w:sz w:val="20"/>
        </w:rPr>
        <w:footnoteReference w:id="4"/>
      </w:r>
      <w:r w:rsidRPr="000615C4">
        <w:rPr>
          <w:rFonts w:ascii="Arial" w:hAnsi="Arial" w:cs="Arial"/>
        </w:rPr>
        <w:t>,</w:t>
      </w:r>
      <w:r w:rsidRPr="000615C4">
        <w:rPr>
          <w:rFonts w:ascii="Arial" w:hAnsi="Arial" w:cs="Arial"/>
          <w:spacing w:val="-8"/>
        </w:rPr>
        <w:t xml:space="preserve"> </w:t>
      </w:r>
      <w:r w:rsidRPr="000615C4">
        <w:rPr>
          <w:rFonts w:ascii="Arial" w:hAnsi="Arial" w:cs="Arial"/>
          <w:spacing w:val="-2"/>
        </w:rPr>
        <w:t>and/or</w:t>
      </w:r>
    </w:p>
    <w:p w14:paraId="2DC81256" w14:textId="77777777" w:rsidR="00F05C60" w:rsidRPr="000615C4" w:rsidRDefault="00F05C60" w:rsidP="00F05C60">
      <w:pPr>
        <w:pStyle w:val="ListParagraph"/>
        <w:widowControl w:val="0"/>
        <w:numPr>
          <w:ilvl w:val="0"/>
          <w:numId w:val="62"/>
        </w:numPr>
        <w:tabs>
          <w:tab w:val="left" w:pos="547"/>
        </w:tabs>
        <w:autoSpaceDE w:val="0"/>
        <w:autoSpaceDN w:val="0"/>
        <w:spacing w:after="0" w:line="240" w:lineRule="auto"/>
        <w:ind w:hanging="427"/>
        <w:contextualSpacing w:val="0"/>
        <w:rPr>
          <w:rFonts w:ascii="Arial" w:hAnsi="Arial" w:cs="Arial"/>
        </w:rPr>
      </w:pPr>
      <w:r w:rsidRPr="000615C4">
        <w:rPr>
          <w:rFonts w:ascii="Arial" w:hAnsi="Arial" w:cs="Arial"/>
        </w:rPr>
        <w:t>whose</w:t>
      </w:r>
      <w:r w:rsidRPr="000615C4">
        <w:rPr>
          <w:rFonts w:ascii="Arial" w:hAnsi="Arial" w:cs="Arial"/>
          <w:spacing w:val="-8"/>
        </w:rPr>
        <w:t xml:space="preserve"> </w:t>
      </w:r>
      <w:r w:rsidRPr="000615C4">
        <w:rPr>
          <w:rFonts w:ascii="Arial" w:hAnsi="Arial" w:cs="Arial"/>
        </w:rPr>
        <w:t>registration</w:t>
      </w:r>
      <w:r w:rsidRPr="000615C4">
        <w:rPr>
          <w:rFonts w:ascii="Arial" w:hAnsi="Arial" w:cs="Arial"/>
          <w:spacing w:val="-6"/>
        </w:rPr>
        <w:t xml:space="preserve"> </w:t>
      </w:r>
      <w:r w:rsidRPr="000615C4">
        <w:rPr>
          <w:rFonts w:ascii="Arial" w:hAnsi="Arial" w:cs="Arial"/>
        </w:rPr>
        <w:t>is</w:t>
      </w:r>
      <w:r w:rsidRPr="000615C4">
        <w:rPr>
          <w:rFonts w:ascii="Arial" w:hAnsi="Arial" w:cs="Arial"/>
          <w:spacing w:val="-7"/>
        </w:rPr>
        <w:t xml:space="preserve"> </w:t>
      </w:r>
      <w:r w:rsidRPr="000615C4">
        <w:rPr>
          <w:rFonts w:ascii="Arial" w:hAnsi="Arial" w:cs="Arial"/>
        </w:rPr>
        <w:t>endorsed</w:t>
      </w:r>
      <w:r w:rsidRPr="000615C4">
        <w:rPr>
          <w:rFonts w:ascii="Arial" w:hAnsi="Arial" w:cs="Arial"/>
          <w:spacing w:val="-5"/>
        </w:rPr>
        <w:t xml:space="preserve"> </w:t>
      </w:r>
      <w:r w:rsidRPr="000615C4">
        <w:rPr>
          <w:rFonts w:ascii="Arial" w:hAnsi="Arial" w:cs="Arial"/>
        </w:rPr>
        <w:t>for</w:t>
      </w:r>
      <w:r w:rsidRPr="000615C4">
        <w:rPr>
          <w:rFonts w:ascii="Arial" w:hAnsi="Arial" w:cs="Arial"/>
          <w:spacing w:val="-8"/>
        </w:rPr>
        <w:t xml:space="preserve"> </w:t>
      </w:r>
      <w:r w:rsidRPr="000615C4">
        <w:rPr>
          <w:rFonts w:ascii="Arial" w:hAnsi="Arial" w:cs="Arial"/>
        </w:rPr>
        <w:t>scheduled</w:t>
      </w:r>
      <w:r w:rsidRPr="000615C4">
        <w:rPr>
          <w:rFonts w:ascii="Arial" w:hAnsi="Arial" w:cs="Arial"/>
          <w:spacing w:val="-8"/>
        </w:rPr>
        <w:t xml:space="preserve"> </w:t>
      </w:r>
      <w:r w:rsidRPr="000615C4">
        <w:rPr>
          <w:rFonts w:ascii="Arial" w:hAnsi="Arial" w:cs="Arial"/>
        </w:rPr>
        <w:t>medicines</w:t>
      </w:r>
      <w:r w:rsidRPr="000615C4">
        <w:rPr>
          <w:rFonts w:ascii="Arial" w:hAnsi="Arial" w:cs="Arial"/>
          <w:spacing w:val="-7"/>
        </w:rPr>
        <w:t xml:space="preserve"> </w:t>
      </w:r>
      <w:r w:rsidRPr="000615C4">
        <w:rPr>
          <w:rFonts w:ascii="Arial" w:hAnsi="Arial" w:cs="Arial"/>
        </w:rPr>
        <w:t>as</w:t>
      </w:r>
      <w:r w:rsidRPr="000615C4">
        <w:rPr>
          <w:rFonts w:ascii="Arial" w:hAnsi="Arial" w:cs="Arial"/>
          <w:spacing w:val="-6"/>
        </w:rPr>
        <w:t xml:space="preserve"> </w:t>
      </w:r>
      <w:r w:rsidRPr="000615C4">
        <w:rPr>
          <w:rFonts w:ascii="Arial" w:hAnsi="Arial" w:cs="Arial"/>
        </w:rPr>
        <w:t>a</w:t>
      </w:r>
      <w:r w:rsidRPr="000615C4">
        <w:rPr>
          <w:rFonts w:ascii="Arial" w:hAnsi="Arial" w:cs="Arial"/>
          <w:spacing w:val="-8"/>
        </w:rPr>
        <w:t xml:space="preserve"> </w:t>
      </w:r>
      <w:r w:rsidRPr="000615C4">
        <w:rPr>
          <w:rFonts w:ascii="Arial" w:hAnsi="Arial" w:cs="Arial"/>
        </w:rPr>
        <w:t>designated</w:t>
      </w:r>
      <w:r w:rsidRPr="000615C4">
        <w:rPr>
          <w:rFonts w:ascii="Arial" w:hAnsi="Arial" w:cs="Arial"/>
          <w:spacing w:val="-7"/>
        </w:rPr>
        <w:t xml:space="preserve"> </w:t>
      </w:r>
      <w:r w:rsidRPr="000615C4">
        <w:rPr>
          <w:rFonts w:ascii="Arial" w:hAnsi="Arial" w:cs="Arial"/>
        </w:rPr>
        <w:t>RN</w:t>
      </w:r>
      <w:r w:rsidRPr="000615C4">
        <w:rPr>
          <w:rFonts w:ascii="Arial" w:hAnsi="Arial" w:cs="Arial"/>
          <w:spacing w:val="-7"/>
        </w:rPr>
        <w:t xml:space="preserve"> </w:t>
      </w:r>
      <w:r w:rsidRPr="000615C4">
        <w:rPr>
          <w:rFonts w:ascii="Arial" w:hAnsi="Arial" w:cs="Arial"/>
          <w:spacing w:val="-2"/>
        </w:rPr>
        <w:t>prescriber.</w:t>
      </w:r>
    </w:p>
    <w:p w14:paraId="6F743F70" w14:textId="77777777" w:rsidR="00F05C60" w:rsidRPr="000615C4" w:rsidRDefault="00F05C60" w:rsidP="000615C4">
      <w:pPr>
        <w:pStyle w:val="Heading2"/>
        <w:spacing w:before="199"/>
        <w:rPr>
          <w:rFonts w:ascii="Arial" w:eastAsia="Cambria" w:hAnsi="Arial" w:cs="Times New Roman"/>
          <w:bCs w:val="0"/>
          <w:i w:val="0"/>
          <w:iCs w:val="0"/>
          <w:color w:val="0067B8"/>
          <w:sz w:val="20"/>
          <w:szCs w:val="24"/>
        </w:rPr>
      </w:pPr>
      <w:r w:rsidRPr="000615C4">
        <w:rPr>
          <w:rFonts w:ascii="Arial" w:eastAsia="Cambria" w:hAnsi="Arial" w:cs="Times New Roman"/>
          <w:bCs w:val="0"/>
          <w:i w:val="0"/>
          <w:iCs w:val="0"/>
          <w:color w:val="0067B8"/>
          <w:sz w:val="20"/>
          <w:szCs w:val="24"/>
        </w:rPr>
        <w:t>Summary</w:t>
      </w:r>
    </w:p>
    <w:p w14:paraId="59B28F7E" w14:textId="77777777" w:rsidR="00F05C60" w:rsidRPr="000615C4" w:rsidRDefault="00F05C60" w:rsidP="00F05C60">
      <w:pPr>
        <w:pStyle w:val="BodyText"/>
        <w:tabs>
          <w:tab w:val="left" w:pos="8580"/>
        </w:tabs>
        <w:spacing w:before="199"/>
      </w:pPr>
      <w:r w:rsidRPr="000615C4">
        <w:t>These</w:t>
      </w:r>
      <w:r w:rsidRPr="000615C4">
        <w:rPr>
          <w:spacing w:val="-7"/>
        </w:rPr>
        <w:t xml:space="preserve"> </w:t>
      </w:r>
      <w:r w:rsidRPr="000615C4">
        <w:t>guidelines</w:t>
      </w:r>
      <w:r w:rsidRPr="000615C4">
        <w:rPr>
          <w:spacing w:val="-5"/>
        </w:rPr>
        <w:t xml:space="preserve"> </w:t>
      </w:r>
      <w:r w:rsidRPr="000615C4">
        <w:t>help</w:t>
      </w:r>
      <w:r w:rsidRPr="000615C4">
        <w:rPr>
          <w:spacing w:val="-7"/>
        </w:rPr>
        <w:t xml:space="preserve"> </w:t>
      </w:r>
      <w:r w:rsidRPr="000615C4">
        <w:t>you</w:t>
      </w:r>
      <w:r w:rsidRPr="000615C4">
        <w:rPr>
          <w:spacing w:val="-6"/>
        </w:rPr>
        <w:t xml:space="preserve"> </w:t>
      </w:r>
      <w:r w:rsidRPr="000615C4">
        <w:t>to</w:t>
      </w:r>
      <w:r w:rsidRPr="000615C4">
        <w:rPr>
          <w:spacing w:val="-7"/>
        </w:rPr>
        <w:t xml:space="preserve"> </w:t>
      </w:r>
      <w:r w:rsidRPr="000615C4">
        <w:rPr>
          <w:spacing w:val="-2"/>
        </w:rPr>
        <w:t>understand:</w:t>
      </w:r>
    </w:p>
    <w:p w14:paraId="3237AC84" w14:textId="77777777" w:rsidR="00F05C60" w:rsidRPr="000615C4" w:rsidRDefault="00F05C60" w:rsidP="00F05C60">
      <w:pPr>
        <w:pStyle w:val="ListParagraph"/>
        <w:widowControl w:val="0"/>
        <w:numPr>
          <w:ilvl w:val="0"/>
          <w:numId w:val="61"/>
        </w:numPr>
        <w:tabs>
          <w:tab w:val="left" w:pos="545"/>
        </w:tabs>
        <w:autoSpaceDE w:val="0"/>
        <w:autoSpaceDN w:val="0"/>
        <w:spacing w:before="121" w:after="0" w:line="240" w:lineRule="auto"/>
        <w:contextualSpacing w:val="0"/>
        <w:rPr>
          <w:rFonts w:ascii="Arial" w:hAnsi="Arial" w:cs="Arial"/>
        </w:rPr>
      </w:pPr>
      <w:r w:rsidRPr="000615C4">
        <w:rPr>
          <w:rFonts w:ascii="Arial" w:hAnsi="Arial" w:cs="Arial"/>
        </w:rPr>
        <w:t>the</w:t>
      </w:r>
      <w:r w:rsidRPr="000615C4">
        <w:rPr>
          <w:rFonts w:ascii="Arial" w:hAnsi="Arial" w:cs="Arial"/>
          <w:spacing w:val="-12"/>
        </w:rPr>
        <w:t xml:space="preserve"> </w:t>
      </w:r>
      <w:r w:rsidRPr="000615C4">
        <w:rPr>
          <w:rFonts w:ascii="Arial" w:hAnsi="Arial" w:cs="Arial"/>
        </w:rPr>
        <w:t>endorsement</w:t>
      </w:r>
      <w:r w:rsidRPr="000615C4">
        <w:rPr>
          <w:rFonts w:ascii="Arial" w:hAnsi="Arial" w:cs="Arial"/>
          <w:spacing w:val="-10"/>
        </w:rPr>
        <w:t xml:space="preserve"> </w:t>
      </w:r>
      <w:r w:rsidRPr="000615C4">
        <w:rPr>
          <w:rFonts w:ascii="Arial" w:hAnsi="Arial" w:cs="Arial"/>
        </w:rPr>
        <w:t>application</w:t>
      </w:r>
      <w:r w:rsidRPr="000615C4">
        <w:rPr>
          <w:rFonts w:ascii="Arial" w:hAnsi="Arial" w:cs="Arial"/>
          <w:spacing w:val="-11"/>
        </w:rPr>
        <w:t xml:space="preserve"> </w:t>
      </w:r>
      <w:r w:rsidRPr="000615C4">
        <w:rPr>
          <w:rFonts w:ascii="Arial" w:hAnsi="Arial" w:cs="Arial"/>
          <w:spacing w:val="-2"/>
        </w:rPr>
        <w:t>requirements</w:t>
      </w:r>
    </w:p>
    <w:p w14:paraId="1CE21255" w14:textId="77777777" w:rsidR="00F05C60" w:rsidRPr="000615C4" w:rsidRDefault="00F05C60" w:rsidP="00F05C60">
      <w:pPr>
        <w:pStyle w:val="ListParagraph"/>
        <w:widowControl w:val="0"/>
        <w:numPr>
          <w:ilvl w:val="0"/>
          <w:numId w:val="61"/>
        </w:numPr>
        <w:tabs>
          <w:tab w:val="left" w:pos="545"/>
        </w:tabs>
        <w:autoSpaceDE w:val="0"/>
        <w:autoSpaceDN w:val="0"/>
        <w:spacing w:before="121" w:after="0" w:line="240" w:lineRule="auto"/>
        <w:contextualSpacing w:val="0"/>
        <w:rPr>
          <w:rFonts w:ascii="Arial" w:hAnsi="Arial" w:cs="Arial"/>
        </w:rPr>
      </w:pPr>
      <w:r w:rsidRPr="000615C4">
        <w:rPr>
          <w:rFonts w:ascii="Arial" w:hAnsi="Arial" w:cs="Arial"/>
        </w:rPr>
        <w:t>the</w:t>
      </w:r>
      <w:r w:rsidRPr="000615C4">
        <w:rPr>
          <w:rFonts w:ascii="Arial" w:hAnsi="Arial" w:cs="Arial"/>
          <w:spacing w:val="-11"/>
        </w:rPr>
        <w:t xml:space="preserve"> </w:t>
      </w:r>
      <w:r w:rsidRPr="000615C4">
        <w:rPr>
          <w:rFonts w:ascii="Arial" w:hAnsi="Arial" w:cs="Arial"/>
        </w:rPr>
        <w:t>clinical</w:t>
      </w:r>
      <w:r w:rsidRPr="000615C4">
        <w:rPr>
          <w:rFonts w:ascii="Arial" w:hAnsi="Arial" w:cs="Arial"/>
          <w:spacing w:val="-8"/>
        </w:rPr>
        <w:t xml:space="preserve"> </w:t>
      </w:r>
      <w:r w:rsidRPr="000615C4">
        <w:rPr>
          <w:rFonts w:ascii="Arial" w:hAnsi="Arial" w:cs="Arial"/>
        </w:rPr>
        <w:t>mentoring</w:t>
      </w:r>
      <w:r w:rsidRPr="000615C4">
        <w:rPr>
          <w:rFonts w:ascii="Arial" w:hAnsi="Arial" w:cs="Arial"/>
          <w:spacing w:val="-10"/>
        </w:rPr>
        <w:t xml:space="preserve"> </w:t>
      </w:r>
      <w:r w:rsidRPr="000615C4">
        <w:rPr>
          <w:rFonts w:ascii="Arial" w:hAnsi="Arial" w:cs="Arial"/>
          <w:spacing w:val="-2"/>
        </w:rPr>
        <w:t>requirements</w:t>
      </w:r>
    </w:p>
    <w:p w14:paraId="27E5FA35" w14:textId="77777777" w:rsidR="00F05C60" w:rsidRPr="000615C4" w:rsidRDefault="00F05C60" w:rsidP="00F05C60">
      <w:pPr>
        <w:pStyle w:val="ListParagraph"/>
        <w:widowControl w:val="0"/>
        <w:numPr>
          <w:ilvl w:val="0"/>
          <w:numId w:val="61"/>
        </w:numPr>
        <w:tabs>
          <w:tab w:val="left" w:pos="545"/>
        </w:tabs>
        <w:autoSpaceDE w:val="0"/>
        <w:autoSpaceDN w:val="0"/>
        <w:spacing w:before="120" w:after="0" w:line="240" w:lineRule="auto"/>
        <w:contextualSpacing w:val="0"/>
        <w:rPr>
          <w:rFonts w:ascii="Arial" w:hAnsi="Arial" w:cs="Arial"/>
          <w:spacing w:val="-2"/>
        </w:rPr>
      </w:pPr>
      <w:r w:rsidRPr="000615C4">
        <w:rPr>
          <w:rFonts w:ascii="Arial" w:hAnsi="Arial" w:cs="Arial"/>
        </w:rPr>
        <w:lastRenderedPageBreak/>
        <w:t>your</w:t>
      </w:r>
      <w:r w:rsidRPr="000615C4">
        <w:rPr>
          <w:rFonts w:ascii="Arial" w:hAnsi="Arial" w:cs="Arial"/>
          <w:spacing w:val="-8"/>
        </w:rPr>
        <w:t xml:space="preserve"> </w:t>
      </w:r>
      <w:r w:rsidRPr="000615C4">
        <w:rPr>
          <w:rFonts w:ascii="Arial" w:hAnsi="Arial" w:cs="Arial"/>
        </w:rPr>
        <w:t>responsibilities</w:t>
      </w:r>
      <w:r w:rsidRPr="000615C4">
        <w:rPr>
          <w:rFonts w:ascii="Arial" w:hAnsi="Arial" w:cs="Arial"/>
          <w:spacing w:val="-5"/>
        </w:rPr>
        <w:t xml:space="preserve"> </w:t>
      </w:r>
      <w:r w:rsidRPr="000615C4">
        <w:rPr>
          <w:rFonts w:ascii="Arial" w:hAnsi="Arial" w:cs="Arial"/>
        </w:rPr>
        <w:t>in</w:t>
      </w:r>
      <w:r w:rsidRPr="000615C4">
        <w:rPr>
          <w:rFonts w:ascii="Arial" w:hAnsi="Arial" w:cs="Arial"/>
          <w:spacing w:val="-8"/>
        </w:rPr>
        <w:t xml:space="preserve"> </w:t>
      </w:r>
      <w:r w:rsidRPr="000615C4">
        <w:rPr>
          <w:rFonts w:ascii="Arial" w:hAnsi="Arial" w:cs="Arial"/>
        </w:rPr>
        <w:t>working</w:t>
      </w:r>
      <w:r w:rsidRPr="000615C4">
        <w:rPr>
          <w:rFonts w:ascii="Arial" w:hAnsi="Arial" w:cs="Arial"/>
          <w:spacing w:val="-7"/>
        </w:rPr>
        <w:t xml:space="preserve"> </w:t>
      </w:r>
      <w:r w:rsidRPr="000615C4">
        <w:rPr>
          <w:rFonts w:ascii="Arial" w:hAnsi="Arial" w:cs="Arial"/>
        </w:rPr>
        <w:t>in</w:t>
      </w:r>
      <w:r w:rsidRPr="000615C4">
        <w:rPr>
          <w:rFonts w:ascii="Arial" w:hAnsi="Arial" w:cs="Arial"/>
          <w:spacing w:val="-6"/>
        </w:rPr>
        <w:t xml:space="preserve"> </w:t>
      </w:r>
      <w:r w:rsidRPr="000615C4">
        <w:rPr>
          <w:rFonts w:ascii="Arial" w:hAnsi="Arial" w:cs="Arial"/>
        </w:rPr>
        <w:t>accordance</w:t>
      </w:r>
      <w:r w:rsidRPr="000615C4">
        <w:rPr>
          <w:rFonts w:ascii="Arial" w:hAnsi="Arial" w:cs="Arial"/>
          <w:spacing w:val="-6"/>
        </w:rPr>
        <w:t xml:space="preserve"> </w:t>
      </w:r>
      <w:r w:rsidRPr="000615C4">
        <w:rPr>
          <w:rFonts w:ascii="Arial" w:hAnsi="Arial" w:cs="Arial"/>
        </w:rPr>
        <w:t>with</w:t>
      </w:r>
      <w:r w:rsidRPr="000615C4">
        <w:rPr>
          <w:rFonts w:ascii="Arial" w:hAnsi="Arial" w:cs="Arial"/>
          <w:spacing w:val="-8"/>
        </w:rPr>
        <w:t xml:space="preserve"> </w:t>
      </w:r>
      <w:r w:rsidRPr="000615C4">
        <w:rPr>
          <w:rFonts w:ascii="Arial" w:hAnsi="Arial" w:cs="Arial"/>
        </w:rPr>
        <w:t>a</w:t>
      </w:r>
      <w:r w:rsidRPr="000615C4">
        <w:rPr>
          <w:rFonts w:ascii="Arial" w:hAnsi="Arial" w:cs="Arial"/>
          <w:spacing w:val="-5"/>
        </w:rPr>
        <w:t xml:space="preserve"> </w:t>
      </w:r>
      <w:r w:rsidRPr="000615C4">
        <w:rPr>
          <w:rFonts w:ascii="Arial" w:hAnsi="Arial" w:cs="Arial"/>
        </w:rPr>
        <w:t>clinical</w:t>
      </w:r>
      <w:r w:rsidRPr="000615C4">
        <w:rPr>
          <w:rFonts w:ascii="Arial" w:hAnsi="Arial" w:cs="Arial"/>
          <w:spacing w:val="-7"/>
        </w:rPr>
        <w:t xml:space="preserve"> </w:t>
      </w:r>
      <w:r w:rsidRPr="000615C4">
        <w:rPr>
          <w:rFonts w:ascii="Arial" w:hAnsi="Arial" w:cs="Arial"/>
        </w:rPr>
        <w:t>governance</w:t>
      </w:r>
      <w:r w:rsidRPr="000615C4">
        <w:rPr>
          <w:rFonts w:ascii="Arial" w:hAnsi="Arial" w:cs="Arial"/>
          <w:spacing w:val="-6"/>
        </w:rPr>
        <w:t xml:space="preserve"> </w:t>
      </w:r>
      <w:r w:rsidRPr="000615C4">
        <w:rPr>
          <w:rFonts w:ascii="Arial" w:hAnsi="Arial" w:cs="Arial"/>
          <w:spacing w:val="-2"/>
        </w:rPr>
        <w:t>framework</w:t>
      </w:r>
    </w:p>
    <w:p w14:paraId="3CBC86FD" w14:textId="77777777" w:rsidR="00F05C60" w:rsidRPr="000615C4" w:rsidRDefault="00F05C60" w:rsidP="00F05C60">
      <w:pPr>
        <w:pStyle w:val="ListParagraph"/>
        <w:widowControl w:val="0"/>
        <w:numPr>
          <w:ilvl w:val="0"/>
          <w:numId w:val="61"/>
        </w:numPr>
        <w:tabs>
          <w:tab w:val="left" w:pos="545"/>
        </w:tabs>
        <w:autoSpaceDE w:val="0"/>
        <w:autoSpaceDN w:val="0"/>
        <w:spacing w:before="120" w:after="0" w:line="240" w:lineRule="auto"/>
        <w:ind w:right="968"/>
        <w:contextualSpacing w:val="0"/>
        <w:rPr>
          <w:rFonts w:ascii="Arial" w:hAnsi="Arial" w:cs="Arial"/>
        </w:rPr>
      </w:pPr>
      <w:r w:rsidRPr="000615C4">
        <w:rPr>
          <w:rFonts w:ascii="Arial" w:hAnsi="Arial" w:cs="Arial"/>
        </w:rPr>
        <w:t>the</w:t>
      </w:r>
      <w:r w:rsidRPr="000615C4">
        <w:rPr>
          <w:rFonts w:ascii="Arial" w:hAnsi="Arial" w:cs="Arial"/>
          <w:spacing w:val="-7"/>
        </w:rPr>
        <w:t xml:space="preserve"> </w:t>
      </w:r>
      <w:r w:rsidRPr="000615C4">
        <w:rPr>
          <w:rFonts w:ascii="Arial" w:hAnsi="Arial" w:cs="Arial"/>
        </w:rPr>
        <w:t>requirements</w:t>
      </w:r>
      <w:r w:rsidRPr="000615C4">
        <w:rPr>
          <w:rFonts w:ascii="Arial" w:hAnsi="Arial" w:cs="Arial"/>
          <w:spacing w:val="-5"/>
        </w:rPr>
        <w:t xml:space="preserve"> </w:t>
      </w:r>
      <w:r w:rsidRPr="000615C4">
        <w:rPr>
          <w:rFonts w:ascii="Arial" w:hAnsi="Arial" w:cs="Arial"/>
        </w:rPr>
        <w:t>of</w:t>
      </w:r>
      <w:r w:rsidRPr="000615C4">
        <w:rPr>
          <w:rFonts w:ascii="Arial" w:hAnsi="Arial" w:cs="Arial"/>
          <w:spacing w:val="-2"/>
        </w:rPr>
        <w:t xml:space="preserve"> </w:t>
      </w:r>
      <w:r w:rsidRPr="000615C4">
        <w:rPr>
          <w:rFonts w:ascii="Arial" w:hAnsi="Arial" w:cs="Arial"/>
        </w:rPr>
        <w:t>designated</w:t>
      </w:r>
      <w:r w:rsidRPr="000615C4">
        <w:rPr>
          <w:rFonts w:ascii="Arial" w:hAnsi="Arial" w:cs="Arial"/>
          <w:spacing w:val="-4"/>
        </w:rPr>
        <w:t xml:space="preserve"> </w:t>
      </w:r>
      <w:r w:rsidRPr="000615C4">
        <w:rPr>
          <w:rFonts w:ascii="Arial" w:hAnsi="Arial" w:cs="Arial"/>
        </w:rPr>
        <w:t>prescribing</w:t>
      </w:r>
      <w:r w:rsidRPr="000615C4">
        <w:rPr>
          <w:rFonts w:ascii="Arial" w:hAnsi="Arial" w:cs="Arial"/>
          <w:spacing w:val="-5"/>
        </w:rPr>
        <w:t xml:space="preserve"> </w:t>
      </w:r>
      <w:r w:rsidRPr="000615C4">
        <w:rPr>
          <w:rFonts w:ascii="Arial" w:hAnsi="Arial" w:cs="Arial"/>
        </w:rPr>
        <w:t>including</w:t>
      </w:r>
      <w:r w:rsidRPr="000615C4">
        <w:rPr>
          <w:rFonts w:ascii="Arial" w:hAnsi="Arial" w:cs="Arial"/>
          <w:spacing w:val="-7"/>
        </w:rPr>
        <w:t xml:space="preserve"> </w:t>
      </w:r>
      <w:r w:rsidRPr="000615C4">
        <w:rPr>
          <w:rFonts w:ascii="Arial" w:hAnsi="Arial" w:cs="Arial"/>
        </w:rPr>
        <w:t>the</w:t>
      </w:r>
      <w:r w:rsidRPr="000615C4">
        <w:rPr>
          <w:rFonts w:ascii="Arial" w:hAnsi="Arial" w:cs="Arial"/>
          <w:spacing w:val="-7"/>
        </w:rPr>
        <w:t xml:space="preserve"> </w:t>
      </w:r>
      <w:r w:rsidRPr="000615C4">
        <w:rPr>
          <w:rFonts w:ascii="Arial" w:hAnsi="Arial" w:cs="Arial"/>
        </w:rPr>
        <w:t>responsibilities</w:t>
      </w:r>
      <w:r w:rsidRPr="000615C4">
        <w:rPr>
          <w:rFonts w:ascii="Arial" w:hAnsi="Arial" w:cs="Arial"/>
          <w:spacing w:val="-5"/>
        </w:rPr>
        <w:t xml:space="preserve"> </w:t>
      </w:r>
      <w:r w:rsidRPr="000615C4">
        <w:rPr>
          <w:rFonts w:ascii="Arial" w:hAnsi="Arial" w:cs="Arial"/>
        </w:rPr>
        <w:t>and</w:t>
      </w:r>
      <w:r w:rsidRPr="000615C4">
        <w:rPr>
          <w:rFonts w:ascii="Arial" w:hAnsi="Arial" w:cs="Arial"/>
          <w:spacing w:val="-6"/>
        </w:rPr>
        <w:t xml:space="preserve"> </w:t>
      </w:r>
      <w:r w:rsidRPr="000615C4">
        <w:rPr>
          <w:rFonts w:ascii="Arial" w:hAnsi="Arial" w:cs="Arial"/>
        </w:rPr>
        <w:t>accountabilities</w:t>
      </w:r>
      <w:r w:rsidRPr="000615C4">
        <w:rPr>
          <w:rFonts w:ascii="Arial" w:hAnsi="Arial" w:cs="Arial"/>
          <w:spacing w:val="-3"/>
        </w:rPr>
        <w:t xml:space="preserve"> </w:t>
      </w:r>
      <w:r w:rsidRPr="000615C4">
        <w:rPr>
          <w:rFonts w:ascii="Arial" w:hAnsi="Arial" w:cs="Arial"/>
        </w:rPr>
        <w:t>of the endorsed RN and the authorised health practitioner, and</w:t>
      </w:r>
    </w:p>
    <w:p w14:paraId="2793798B" w14:textId="77777777" w:rsidR="00F05C60" w:rsidRPr="000615C4" w:rsidRDefault="00F05C60" w:rsidP="00F05C60">
      <w:pPr>
        <w:pStyle w:val="ListParagraph"/>
        <w:widowControl w:val="0"/>
        <w:numPr>
          <w:ilvl w:val="0"/>
          <w:numId w:val="61"/>
        </w:numPr>
        <w:tabs>
          <w:tab w:val="left" w:pos="545"/>
        </w:tabs>
        <w:autoSpaceDE w:val="0"/>
        <w:autoSpaceDN w:val="0"/>
        <w:spacing w:before="119" w:after="0" w:line="240" w:lineRule="auto"/>
        <w:ind w:right="1011"/>
        <w:contextualSpacing w:val="0"/>
        <w:rPr>
          <w:rFonts w:ascii="Arial" w:hAnsi="Arial" w:cs="Arial"/>
        </w:rPr>
      </w:pPr>
      <w:r w:rsidRPr="000615C4">
        <w:rPr>
          <w:rFonts w:ascii="Arial" w:hAnsi="Arial" w:cs="Arial"/>
        </w:rPr>
        <w:t>safe</w:t>
      </w:r>
      <w:r w:rsidRPr="000615C4">
        <w:rPr>
          <w:rFonts w:ascii="Arial" w:hAnsi="Arial" w:cs="Arial"/>
          <w:spacing w:val="-8"/>
        </w:rPr>
        <w:t xml:space="preserve"> </w:t>
      </w:r>
      <w:r w:rsidRPr="000615C4">
        <w:rPr>
          <w:rFonts w:ascii="Arial" w:hAnsi="Arial" w:cs="Arial"/>
        </w:rPr>
        <w:t>and</w:t>
      </w:r>
      <w:r w:rsidRPr="000615C4">
        <w:rPr>
          <w:rFonts w:ascii="Arial" w:hAnsi="Arial" w:cs="Arial"/>
          <w:spacing w:val="-4"/>
        </w:rPr>
        <w:t xml:space="preserve"> </w:t>
      </w:r>
      <w:r w:rsidRPr="000615C4">
        <w:rPr>
          <w:rFonts w:ascii="Arial" w:hAnsi="Arial" w:cs="Arial"/>
        </w:rPr>
        <w:t>effective</w:t>
      </w:r>
      <w:r w:rsidRPr="000615C4">
        <w:rPr>
          <w:rFonts w:ascii="Arial" w:hAnsi="Arial" w:cs="Arial"/>
          <w:spacing w:val="-2"/>
        </w:rPr>
        <w:t xml:space="preserve"> </w:t>
      </w:r>
      <w:r w:rsidRPr="000615C4">
        <w:rPr>
          <w:rFonts w:ascii="Arial" w:hAnsi="Arial" w:cs="Arial"/>
        </w:rPr>
        <w:t>prescribing</w:t>
      </w:r>
      <w:r w:rsidRPr="000615C4">
        <w:rPr>
          <w:rFonts w:ascii="Arial" w:hAnsi="Arial" w:cs="Arial"/>
          <w:spacing w:val="-2"/>
        </w:rPr>
        <w:t xml:space="preserve"> </w:t>
      </w:r>
      <w:r w:rsidRPr="000615C4">
        <w:rPr>
          <w:rFonts w:ascii="Arial" w:hAnsi="Arial" w:cs="Arial"/>
        </w:rPr>
        <w:t>-</w:t>
      </w:r>
      <w:r w:rsidRPr="000615C4">
        <w:rPr>
          <w:rFonts w:ascii="Arial" w:hAnsi="Arial" w:cs="Arial"/>
          <w:spacing w:val="-65"/>
        </w:rPr>
        <w:t xml:space="preserve"> </w:t>
      </w:r>
      <w:r w:rsidRPr="000615C4">
        <w:rPr>
          <w:rFonts w:ascii="Arial" w:hAnsi="Arial" w:cs="Arial"/>
        </w:rPr>
        <w:t>what</w:t>
      </w:r>
      <w:r w:rsidRPr="000615C4">
        <w:rPr>
          <w:rFonts w:ascii="Arial" w:hAnsi="Arial" w:cs="Arial"/>
          <w:spacing w:val="-4"/>
        </w:rPr>
        <w:t xml:space="preserve"> </w:t>
      </w:r>
      <w:r w:rsidRPr="000615C4">
        <w:rPr>
          <w:rFonts w:ascii="Arial" w:hAnsi="Arial" w:cs="Arial"/>
        </w:rPr>
        <w:t>you</w:t>
      </w:r>
      <w:r w:rsidRPr="000615C4">
        <w:rPr>
          <w:rFonts w:ascii="Arial" w:hAnsi="Arial" w:cs="Arial"/>
          <w:spacing w:val="-4"/>
        </w:rPr>
        <w:t xml:space="preserve"> </w:t>
      </w:r>
      <w:r w:rsidRPr="000615C4">
        <w:rPr>
          <w:rFonts w:ascii="Arial" w:hAnsi="Arial" w:cs="Arial"/>
        </w:rPr>
        <w:t>need</w:t>
      </w:r>
      <w:r w:rsidRPr="000615C4">
        <w:rPr>
          <w:rFonts w:ascii="Arial" w:hAnsi="Arial" w:cs="Arial"/>
          <w:spacing w:val="-5"/>
        </w:rPr>
        <w:t xml:space="preserve"> </w:t>
      </w:r>
      <w:r w:rsidRPr="000615C4">
        <w:rPr>
          <w:rFonts w:ascii="Arial" w:hAnsi="Arial" w:cs="Arial"/>
        </w:rPr>
        <w:t>to</w:t>
      </w:r>
      <w:r w:rsidRPr="000615C4">
        <w:rPr>
          <w:rFonts w:ascii="Arial" w:hAnsi="Arial" w:cs="Arial"/>
          <w:spacing w:val="-4"/>
        </w:rPr>
        <w:t xml:space="preserve"> </w:t>
      </w:r>
      <w:r w:rsidRPr="000615C4">
        <w:rPr>
          <w:rFonts w:ascii="Arial" w:hAnsi="Arial" w:cs="Arial"/>
        </w:rPr>
        <w:t>do</w:t>
      </w:r>
      <w:r w:rsidRPr="000615C4">
        <w:rPr>
          <w:rFonts w:ascii="Arial" w:hAnsi="Arial" w:cs="Arial"/>
          <w:spacing w:val="-4"/>
        </w:rPr>
        <w:t xml:space="preserve"> </w:t>
      </w:r>
      <w:r w:rsidRPr="000615C4">
        <w:rPr>
          <w:rFonts w:ascii="Arial" w:hAnsi="Arial" w:cs="Arial"/>
        </w:rPr>
        <w:t>to</w:t>
      </w:r>
      <w:r w:rsidRPr="000615C4">
        <w:rPr>
          <w:rFonts w:ascii="Arial" w:hAnsi="Arial" w:cs="Arial"/>
          <w:spacing w:val="-2"/>
        </w:rPr>
        <w:t xml:space="preserve"> </w:t>
      </w:r>
      <w:r w:rsidRPr="000615C4">
        <w:rPr>
          <w:rFonts w:ascii="Arial" w:hAnsi="Arial" w:cs="Arial"/>
        </w:rPr>
        <w:t>administer,</w:t>
      </w:r>
      <w:r w:rsidRPr="000615C4">
        <w:rPr>
          <w:rFonts w:ascii="Arial" w:hAnsi="Arial" w:cs="Arial"/>
          <w:spacing w:val="-1"/>
        </w:rPr>
        <w:t xml:space="preserve"> </w:t>
      </w:r>
      <w:r w:rsidRPr="000615C4">
        <w:rPr>
          <w:rFonts w:ascii="Arial" w:hAnsi="Arial" w:cs="Arial"/>
        </w:rPr>
        <w:t>obtain,</w:t>
      </w:r>
      <w:r w:rsidRPr="000615C4">
        <w:rPr>
          <w:rFonts w:ascii="Arial" w:hAnsi="Arial" w:cs="Arial"/>
          <w:spacing w:val="-2"/>
        </w:rPr>
        <w:t xml:space="preserve"> </w:t>
      </w:r>
      <w:r w:rsidRPr="000615C4">
        <w:rPr>
          <w:rFonts w:ascii="Arial" w:hAnsi="Arial" w:cs="Arial"/>
        </w:rPr>
        <w:t>possess,</w:t>
      </w:r>
      <w:r w:rsidRPr="000615C4">
        <w:rPr>
          <w:rFonts w:ascii="Arial" w:hAnsi="Arial" w:cs="Arial"/>
          <w:spacing w:val="-4"/>
        </w:rPr>
        <w:t xml:space="preserve"> </w:t>
      </w:r>
      <w:r w:rsidRPr="000615C4">
        <w:rPr>
          <w:rFonts w:ascii="Arial" w:hAnsi="Arial" w:cs="Arial"/>
        </w:rPr>
        <w:t>prescribe, supply and/or use scheduled medicines when prescribing.</w:t>
      </w:r>
    </w:p>
    <w:p w14:paraId="5FAA96F8" w14:textId="77777777" w:rsidR="00F05C60" w:rsidRPr="000615C4" w:rsidRDefault="00F05C60" w:rsidP="00F05C60">
      <w:pPr>
        <w:pStyle w:val="Heading2"/>
        <w:spacing w:before="199"/>
        <w:rPr>
          <w:rFonts w:ascii="Arial" w:eastAsia="Cambria" w:hAnsi="Arial" w:cs="Times New Roman"/>
          <w:bCs w:val="0"/>
          <w:i w:val="0"/>
          <w:iCs w:val="0"/>
          <w:color w:val="0067B8"/>
          <w:sz w:val="20"/>
          <w:szCs w:val="24"/>
        </w:rPr>
      </w:pPr>
      <w:r w:rsidRPr="000615C4">
        <w:rPr>
          <w:rFonts w:ascii="Arial" w:eastAsia="Cambria" w:hAnsi="Arial" w:cs="Times New Roman"/>
          <w:bCs w:val="0"/>
          <w:i w:val="0"/>
          <w:iCs w:val="0"/>
          <w:color w:val="0067B8"/>
          <w:sz w:val="20"/>
          <w:szCs w:val="24"/>
        </w:rPr>
        <w:t>Applying for the endorsement</w:t>
      </w:r>
    </w:p>
    <w:p w14:paraId="2E6EA141" w14:textId="77777777" w:rsidR="00F05C60" w:rsidRDefault="00F05C60" w:rsidP="00F05C60">
      <w:pPr>
        <w:pStyle w:val="BodyText"/>
        <w:ind w:right="840"/>
        <w:rPr>
          <w:i/>
        </w:rPr>
      </w:pPr>
      <w:r>
        <w:t>You</w:t>
      </w:r>
      <w:r>
        <w:rPr>
          <w:spacing w:val="-3"/>
        </w:rPr>
        <w:t xml:space="preserve"> </w:t>
      </w:r>
      <w:r>
        <w:t>must</w:t>
      </w:r>
      <w:r>
        <w:rPr>
          <w:spacing w:val="-2"/>
        </w:rPr>
        <w:t xml:space="preserve"> </w:t>
      </w:r>
      <w:r>
        <w:t>be</w:t>
      </w:r>
      <w:r>
        <w:rPr>
          <w:spacing w:val="-5"/>
        </w:rPr>
        <w:t xml:space="preserve"> </w:t>
      </w:r>
      <w:r>
        <w:t>able</w:t>
      </w:r>
      <w:r>
        <w:rPr>
          <w:spacing w:val="-4"/>
        </w:rPr>
        <w:t xml:space="preserve"> </w:t>
      </w:r>
      <w:r>
        <w:t>to</w:t>
      </w:r>
      <w:r>
        <w:rPr>
          <w:spacing w:val="-2"/>
        </w:rPr>
        <w:t xml:space="preserve"> </w:t>
      </w:r>
      <w:r>
        <w:t>demonstrate</w:t>
      </w:r>
      <w:r>
        <w:rPr>
          <w:spacing w:val="-2"/>
        </w:rPr>
        <w:t xml:space="preserve"> </w:t>
      </w:r>
      <w:r>
        <w:t>that</w:t>
      </w:r>
      <w:r>
        <w:rPr>
          <w:spacing w:val="-4"/>
        </w:rPr>
        <w:t xml:space="preserve"> </w:t>
      </w:r>
      <w:r>
        <w:t>you</w:t>
      </w:r>
      <w:r>
        <w:rPr>
          <w:spacing w:val="-2"/>
        </w:rPr>
        <w:t xml:space="preserve"> </w:t>
      </w:r>
      <w:r>
        <w:t>meet</w:t>
      </w:r>
      <w:r>
        <w:rPr>
          <w:spacing w:val="-4"/>
        </w:rPr>
        <w:t xml:space="preserve"> </w:t>
      </w:r>
      <w:r>
        <w:t>the</w:t>
      </w:r>
      <w:r>
        <w:rPr>
          <w:spacing w:val="-3"/>
        </w:rPr>
        <w:t xml:space="preserve"> </w:t>
      </w:r>
      <w:r>
        <w:t>following</w:t>
      </w:r>
      <w:r>
        <w:rPr>
          <w:spacing w:val="-3"/>
        </w:rPr>
        <w:t xml:space="preserve"> </w:t>
      </w:r>
      <w:r>
        <w:t>requirements</w:t>
      </w:r>
      <w:r>
        <w:rPr>
          <w:spacing w:val="-3"/>
        </w:rPr>
        <w:t xml:space="preserve"> </w:t>
      </w:r>
      <w:r>
        <w:t>of</w:t>
      </w:r>
      <w:r>
        <w:rPr>
          <w:spacing w:val="-4"/>
        </w:rPr>
        <w:t xml:space="preserve"> </w:t>
      </w:r>
      <w:r>
        <w:t>the</w:t>
      </w:r>
      <w:r>
        <w:rPr>
          <w:spacing w:val="-2"/>
        </w:rPr>
        <w:t xml:space="preserve"> </w:t>
      </w:r>
      <w:r>
        <w:t>registration standard at the time of your application for endorsement</w:t>
      </w:r>
      <w:r>
        <w:rPr>
          <w:i/>
        </w:rPr>
        <w:t>:</w:t>
      </w:r>
    </w:p>
    <w:p w14:paraId="652D0970" w14:textId="77777777" w:rsidR="00F05C60" w:rsidRPr="000615C4" w:rsidRDefault="00F05C60" w:rsidP="000615C4">
      <w:pPr>
        <w:pStyle w:val="ListParagraph"/>
        <w:widowControl w:val="0"/>
        <w:numPr>
          <w:ilvl w:val="0"/>
          <w:numId w:val="60"/>
        </w:numPr>
        <w:tabs>
          <w:tab w:val="left" w:pos="426"/>
        </w:tabs>
        <w:autoSpaceDE w:val="0"/>
        <w:autoSpaceDN w:val="0"/>
        <w:spacing w:before="200" w:after="0" w:line="240" w:lineRule="auto"/>
        <w:ind w:right="524" w:hanging="480"/>
        <w:contextualSpacing w:val="0"/>
        <w:rPr>
          <w:rFonts w:ascii="Arial" w:hAnsi="Arial" w:cs="Arial"/>
        </w:rPr>
      </w:pPr>
      <w:r w:rsidRPr="000615C4">
        <w:rPr>
          <w:rFonts w:ascii="Arial" w:hAnsi="Arial" w:cs="Arial"/>
        </w:rPr>
        <w:t>Current</w:t>
      </w:r>
      <w:r w:rsidRPr="000615C4">
        <w:rPr>
          <w:rFonts w:ascii="Arial" w:hAnsi="Arial" w:cs="Arial"/>
          <w:spacing w:val="-4"/>
        </w:rPr>
        <w:t xml:space="preserve"> </w:t>
      </w:r>
      <w:r w:rsidRPr="000615C4">
        <w:rPr>
          <w:rFonts w:ascii="Arial" w:hAnsi="Arial" w:cs="Arial"/>
        </w:rPr>
        <w:t>general</w:t>
      </w:r>
      <w:r w:rsidRPr="000615C4">
        <w:rPr>
          <w:rFonts w:ascii="Arial" w:hAnsi="Arial" w:cs="Arial"/>
          <w:spacing w:val="-5"/>
        </w:rPr>
        <w:t xml:space="preserve"> </w:t>
      </w:r>
      <w:r w:rsidRPr="000615C4">
        <w:rPr>
          <w:rFonts w:ascii="Arial" w:hAnsi="Arial" w:cs="Arial"/>
        </w:rPr>
        <w:t>registration</w:t>
      </w:r>
      <w:r w:rsidRPr="000615C4">
        <w:rPr>
          <w:rFonts w:ascii="Arial" w:hAnsi="Arial" w:cs="Arial"/>
          <w:spacing w:val="-2"/>
        </w:rPr>
        <w:t xml:space="preserve"> </w:t>
      </w:r>
      <w:r w:rsidRPr="000615C4">
        <w:rPr>
          <w:rFonts w:ascii="Arial" w:hAnsi="Arial" w:cs="Arial"/>
        </w:rPr>
        <w:t>as an</w:t>
      </w:r>
      <w:r w:rsidRPr="000615C4">
        <w:rPr>
          <w:rFonts w:ascii="Arial" w:hAnsi="Arial" w:cs="Arial"/>
          <w:spacing w:val="-5"/>
        </w:rPr>
        <w:t xml:space="preserve"> </w:t>
      </w:r>
      <w:r w:rsidRPr="000615C4">
        <w:rPr>
          <w:rFonts w:ascii="Arial" w:hAnsi="Arial" w:cs="Arial"/>
        </w:rPr>
        <w:t>RN</w:t>
      </w:r>
      <w:r w:rsidRPr="000615C4">
        <w:rPr>
          <w:rFonts w:ascii="Arial" w:hAnsi="Arial" w:cs="Arial"/>
          <w:spacing w:val="-3"/>
        </w:rPr>
        <w:t xml:space="preserve"> </w:t>
      </w:r>
      <w:r w:rsidRPr="000615C4">
        <w:rPr>
          <w:rFonts w:ascii="Arial" w:hAnsi="Arial" w:cs="Arial"/>
        </w:rPr>
        <w:t>in</w:t>
      </w:r>
      <w:r w:rsidRPr="000615C4">
        <w:rPr>
          <w:rFonts w:ascii="Arial" w:hAnsi="Arial" w:cs="Arial"/>
          <w:spacing w:val="-4"/>
        </w:rPr>
        <w:t xml:space="preserve"> </w:t>
      </w:r>
      <w:r w:rsidRPr="000615C4">
        <w:rPr>
          <w:rFonts w:ascii="Arial" w:hAnsi="Arial" w:cs="Arial"/>
        </w:rPr>
        <w:t>Australia</w:t>
      </w:r>
      <w:r w:rsidRPr="000615C4">
        <w:rPr>
          <w:rFonts w:ascii="Arial" w:hAnsi="Arial" w:cs="Arial"/>
          <w:spacing w:val="-4"/>
        </w:rPr>
        <w:t xml:space="preserve"> </w:t>
      </w:r>
      <w:r w:rsidRPr="000615C4">
        <w:rPr>
          <w:rFonts w:ascii="Arial" w:hAnsi="Arial" w:cs="Arial"/>
        </w:rPr>
        <w:t>with</w:t>
      </w:r>
      <w:r w:rsidRPr="000615C4">
        <w:rPr>
          <w:rFonts w:ascii="Arial" w:hAnsi="Arial" w:cs="Arial"/>
          <w:spacing w:val="-2"/>
        </w:rPr>
        <w:t xml:space="preserve"> </w:t>
      </w:r>
      <w:r w:rsidRPr="000615C4">
        <w:rPr>
          <w:rFonts w:ascii="Arial" w:hAnsi="Arial" w:cs="Arial"/>
        </w:rPr>
        <w:t>no</w:t>
      </w:r>
      <w:r w:rsidRPr="000615C4">
        <w:rPr>
          <w:rFonts w:ascii="Arial" w:hAnsi="Arial" w:cs="Arial"/>
          <w:spacing w:val="-5"/>
        </w:rPr>
        <w:t xml:space="preserve"> </w:t>
      </w:r>
      <w:r w:rsidRPr="000615C4">
        <w:rPr>
          <w:rFonts w:ascii="Arial" w:hAnsi="Arial" w:cs="Arial"/>
        </w:rPr>
        <w:t>conditions</w:t>
      </w:r>
      <w:r w:rsidRPr="000615C4">
        <w:rPr>
          <w:rFonts w:ascii="Arial" w:hAnsi="Arial" w:cs="Arial"/>
          <w:spacing w:val="-1"/>
        </w:rPr>
        <w:t xml:space="preserve"> </w:t>
      </w:r>
      <w:r w:rsidRPr="000615C4">
        <w:rPr>
          <w:rFonts w:ascii="Arial" w:hAnsi="Arial" w:cs="Arial"/>
        </w:rPr>
        <w:t>or</w:t>
      </w:r>
      <w:r w:rsidRPr="000615C4">
        <w:rPr>
          <w:rFonts w:ascii="Arial" w:hAnsi="Arial" w:cs="Arial"/>
          <w:spacing w:val="-4"/>
        </w:rPr>
        <w:t xml:space="preserve"> </w:t>
      </w:r>
      <w:r w:rsidRPr="000615C4">
        <w:rPr>
          <w:rFonts w:ascii="Arial" w:hAnsi="Arial" w:cs="Arial"/>
        </w:rPr>
        <w:t>undertakings relevant</w:t>
      </w:r>
      <w:r w:rsidRPr="000615C4">
        <w:rPr>
          <w:rFonts w:ascii="Arial" w:hAnsi="Arial" w:cs="Arial"/>
          <w:spacing w:val="-4"/>
        </w:rPr>
        <w:t xml:space="preserve"> </w:t>
      </w:r>
      <w:r w:rsidRPr="000615C4">
        <w:rPr>
          <w:rFonts w:ascii="Arial" w:hAnsi="Arial" w:cs="Arial"/>
        </w:rPr>
        <w:t>to this endorsement.</w:t>
      </w:r>
    </w:p>
    <w:p w14:paraId="0BCFEAD4" w14:textId="77777777" w:rsidR="00F05C60" w:rsidRPr="000615C4" w:rsidRDefault="00F05C60" w:rsidP="000615C4">
      <w:pPr>
        <w:pStyle w:val="ListParagraph"/>
        <w:widowControl w:val="0"/>
        <w:numPr>
          <w:ilvl w:val="0"/>
          <w:numId w:val="60"/>
        </w:numPr>
        <w:tabs>
          <w:tab w:val="left" w:pos="426"/>
        </w:tabs>
        <w:autoSpaceDE w:val="0"/>
        <w:autoSpaceDN w:val="0"/>
        <w:spacing w:before="120" w:after="0" w:line="240" w:lineRule="auto"/>
        <w:ind w:left="545" w:right="524" w:hanging="545"/>
        <w:contextualSpacing w:val="0"/>
        <w:rPr>
          <w:rFonts w:ascii="Arial" w:hAnsi="Arial" w:cs="Arial"/>
        </w:rPr>
      </w:pPr>
      <w:r w:rsidRPr="000615C4">
        <w:rPr>
          <w:rFonts w:ascii="Arial" w:hAnsi="Arial" w:cs="Arial"/>
        </w:rPr>
        <w:t>The</w:t>
      </w:r>
      <w:r w:rsidRPr="000615C4">
        <w:rPr>
          <w:rFonts w:ascii="Arial" w:hAnsi="Arial" w:cs="Arial"/>
          <w:spacing w:val="-5"/>
        </w:rPr>
        <w:t xml:space="preserve"> </w:t>
      </w:r>
      <w:r w:rsidRPr="000615C4">
        <w:rPr>
          <w:rFonts w:ascii="Arial" w:hAnsi="Arial" w:cs="Arial"/>
        </w:rPr>
        <w:t>equivalent</w:t>
      </w:r>
      <w:r w:rsidRPr="000615C4">
        <w:rPr>
          <w:rFonts w:ascii="Arial" w:hAnsi="Arial" w:cs="Arial"/>
          <w:spacing w:val="-4"/>
        </w:rPr>
        <w:t xml:space="preserve"> </w:t>
      </w:r>
      <w:r w:rsidRPr="000615C4">
        <w:rPr>
          <w:rFonts w:ascii="Arial" w:hAnsi="Arial" w:cs="Arial"/>
        </w:rPr>
        <w:t>of</w:t>
      </w:r>
      <w:r w:rsidRPr="000615C4">
        <w:rPr>
          <w:rFonts w:ascii="Arial" w:hAnsi="Arial" w:cs="Arial"/>
          <w:spacing w:val="-1"/>
        </w:rPr>
        <w:t xml:space="preserve"> </w:t>
      </w:r>
      <w:r w:rsidRPr="000615C4">
        <w:rPr>
          <w:rFonts w:ascii="Arial" w:hAnsi="Arial" w:cs="Arial"/>
        </w:rPr>
        <w:t>three</w:t>
      </w:r>
      <w:r w:rsidRPr="000615C4">
        <w:rPr>
          <w:rFonts w:ascii="Arial" w:hAnsi="Arial" w:cs="Arial"/>
          <w:spacing w:val="-2"/>
        </w:rPr>
        <w:t xml:space="preserve"> </w:t>
      </w:r>
      <w:r w:rsidRPr="000615C4">
        <w:rPr>
          <w:rFonts w:ascii="Arial" w:hAnsi="Arial" w:cs="Arial"/>
        </w:rPr>
        <w:t>years’</w:t>
      </w:r>
      <w:r w:rsidRPr="000615C4">
        <w:rPr>
          <w:rFonts w:ascii="Arial" w:hAnsi="Arial" w:cs="Arial"/>
          <w:spacing w:val="-5"/>
        </w:rPr>
        <w:t xml:space="preserve"> </w:t>
      </w:r>
      <w:r w:rsidRPr="000615C4">
        <w:rPr>
          <w:rFonts w:ascii="Arial" w:hAnsi="Arial" w:cs="Arial"/>
        </w:rPr>
        <w:t>full-time</w:t>
      </w:r>
      <w:r w:rsidRPr="000615C4">
        <w:rPr>
          <w:rFonts w:ascii="Arial" w:hAnsi="Arial" w:cs="Arial"/>
          <w:spacing w:val="-4"/>
        </w:rPr>
        <w:t xml:space="preserve"> </w:t>
      </w:r>
      <w:r w:rsidRPr="000615C4">
        <w:rPr>
          <w:rFonts w:ascii="Arial" w:hAnsi="Arial" w:cs="Arial"/>
        </w:rPr>
        <w:t>post</w:t>
      </w:r>
      <w:r w:rsidRPr="000615C4">
        <w:rPr>
          <w:rFonts w:ascii="Arial" w:hAnsi="Arial" w:cs="Arial"/>
          <w:spacing w:val="-4"/>
        </w:rPr>
        <w:t xml:space="preserve"> </w:t>
      </w:r>
      <w:r w:rsidRPr="000615C4">
        <w:rPr>
          <w:rFonts w:ascii="Arial" w:hAnsi="Arial" w:cs="Arial"/>
        </w:rPr>
        <w:t>initial</w:t>
      </w:r>
      <w:r w:rsidRPr="000615C4">
        <w:rPr>
          <w:rFonts w:ascii="Arial" w:hAnsi="Arial" w:cs="Arial"/>
          <w:spacing w:val="-5"/>
        </w:rPr>
        <w:t xml:space="preserve"> </w:t>
      </w:r>
      <w:r w:rsidRPr="000615C4">
        <w:rPr>
          <w:rFonts w:ascii="Arial" w:hAnsi="Arial" w:cs="Arial"/>
        </w:rPr>
        <w:t>registration</w:t>
      </w:r>
      <w:r w:rsidRPr="000615C4">
        <w:rPr>
          <w:rFonts w:ascii="Arial" w:hAnsi="Arial" w:cs="Arial"/>
          <w:spacing w:val="-4"/>
        </w:rPr>
        <w:t xml:space="preserve"> </w:t>
      </w:r>
      <w:r w:rsidRPr="000615C4">
        <w:rPr>
          <w:rFonts w:ascii="Arial" w:hAnsi="Arial" w:cs="Arial"/>
        </w:rPr>
        <w:t>clinical</w:t>
      </w:r>
      <w:r w:rsidRPr="000615C4">
        <w:rPr>
          <w:rFonts w:ascii="Arial" w:hAnsi="Arial" w:cs="Arial"/>
          <w:spacing w:val="-1"/>
        </w:rPr>
        <w:t xml:space="preserve"> </w:t>
      </w:r>
      <w:r w:rsidRPr="000615C4">
        <w:rPr>
          <w:rFonts w:ascii="Arial" w:hAnsi="Arial" w:cs="Arial"/>
        </w:rPr>
        <w:t>experience</w:t>
      </w:r>
      <w:r w:rsidRPr="000615C4">
        <w:rPr>
          <w:rFonts w:ascii="Arial" w:hAnsi="Arial" w:cs="Arial"/>
          <w:spacing w:val="-3"/>
        </w:rPr>
        <w:t xml:space="preserve"> </w:t>
      </w:r>
      <w:r w:rsidRPr="000615C4">
        <w:rPr>
          <w:rFonts w:ascii="Arial" w:hAnsi="Arial" w:cs="Arial"/>
        </w:rPr>
        <w:t>(5,000</w:t>
      </w:r>
      <w:r w:rsidRPr="000615C4">
        <w:rPr>
          <w:rFonts w:ascii="Arial" w:hAnsi="Arial" w:cs="Arial"/>
          <w:spacing w:val="-4"/>
        </w:rPr>
        <w:t xml:space="preserve"> </w:t>
      </w:r>
      <w:r w:rsidRPr="000615C4">
        <w:rPr>
          <w:rFonts w:ascii="Arial" w:hAnsi="Arial" w:cs="Arial"/>
        </w:rPr>
        <w:t>hours)</w:t>
      </w:r>
      <w:r w:rsidRPr="000615C4">
        <w:rPr>
          <w:rFonts w:ascii="Arial" w:hAnsi="Arial" w:cs="Arial"/>
          <w:spacing w:val="-3"/>
        </w:rPr>
        <w:t xml:space="preserve"> </w:t>
      </w:r>
      <w:r w:rsidRPr="000615C4">
        <w:rPr>
          <w:rFonts w:ascii="Arial" w:hAnsi="Arial" w:cs="Arial"/>
        </w:rPr>
        <w:t>as an RN within the past six years, from the date when the complete application seeking endorsement for scheduled medicines as a designated RN prescriber is received by the NMBA.</w:t>
      </w:r>
    </w:p>
    <w:p w14:paraId="42707206" w14:textId="77777777" w:rsidR="00F05C60" w:rsidRPr="000615C4" w:rsidRDefault="00F05C60" w:rsidP="000615C4">
      <w:pPr>
        <w:pStyle w:val="ListParagraph"/>
        <w:widowControl w:val="0"/>
        <w:numPr>
          <w:ilvl w:val="0"/>
          <w:numId w:val="60"/>
        </w:numPr>
        <w:tabs>
          <w:tab w:val="left" w:pos="426"/>
        </w:tabs>
        <w:autoSpaceDE w:val="0"/>
        <w:autoSpaceDN w:val="0"/>
        <w:spacing w:before="119" w:after="0" w:line="240" w:lineRule="auto"/>
        <w:ind w:left="545" w:right="524" w:hanging="545"/>
        <w:contextualSpacing w:val="0"/>
        <w:rPr>
          <w:rFonts w:ascii="Arial" w:hAnsi="Arial" w:cs="Arial"/>
        </w:rPr>
      </w:pPr>
      <w:r w:rsidRPr="000615C4">
        <w:rPr>
          <w:rFonts w:ascii="Arial" w:hAnsi="Arial" w:cs="Arial"/>
        </w:rPr>
        <w:t>Successful</w:t>
      </w:r>
      <w:r w:rsidRPr="000615C4">
        <w:rPr>
          <w:rFonts w:ascii="Arial" w:hAnsi="Arial" w:cs="Arial"/>
          <w:spacing w:val="-14"/>
        </w:rPr>
        <w:t xml:space="preserve"> </w:t>
      </w:r>
      <w:r w:rsidRPr="000615C4">
        <w:rPr>
          <w:rFonts w:ascii="Arial" w:hAnsi="Arial" w:cs="Arial"/>
        </w:rPr>
        <w:t>completion</w:t>
      </w:r>
      <w:r w:rsidRPr="000615C4">
        <w:rPr>
          <w:rFonts w:ascii="Arial" w:hAnsi="Arial" w:cs="Arial"/>
          <w:spacing w:val="-12"/>
        </w:rPr>
        <w:t xml:space="preserve"> </w:t>
      </w:r>
      <w:r w:rsidRPr="000615C4">
        <w:rPr>
          <w:rFonts w:ascii="Arial" w:hAnsi="Arial" w:cs="Arial"/>
          <w:spacing w:val="-5"/>
        </w:rPr>
        <w:t>of:</w:t>
      </w:r>
    </w:p>
    <w:p w14:paraId="6ED3340E" w14:textId="77777777" w:rsidR="00F05C60" w:rsidRPr="000615C4" w:rsidRDefault="00F05C60" w:rsidP="000615C4">
      <w:pPr>
        <w:pStyle w:val="ListParagraph"/>
        <w:widowControl w:val="0"/>
        <w:numPr>
          <w:ilvl w:val="1"/>
          <w:numId w:val="60"/>
        </w:numPr>
        <w:tabs>
          <w:tab w:val="left" w:pos="972"/>
        </w:tabs>
        <w:autoSpaceDE w:val="0"/>
        <w:autoSpaceDN w:val="0"/>
        <w:spacing w:before="121" w:after="0" w:line="240" w:lineRule="auto"/>
        <w:ind w:right="524"/>
        <w:contextualSpacing w:val="0"/>
        <w:rPr>
          <w:rFonts w:ascii="Arial" w:hAnsi="Arial" w:cs="Arial"/>
        </w:rPr>
      </w:pPr>
      <w:r w:rsidRPr="000615C4">
        <w:rPr>
          <w:rFonts w:ascii="Arial" w:hAnsi="Arial" w:cs="Arial"/>
        </w:rPr>
        <w:t>NMBA-approved</w:t>
      </w:r>
      <w:r w:rsidRPr="000615C4">
        <w:rPr>
          <w:rFonts w:ascii="Arial" w:hAnsi="Arial" w:cs="Arial"/>
          <w:spacing w:val="-4"/>
        </w:rPr>
        <w:t xml:space="preserve"> </w:t>
      </w:r>
      <w:r w:rsidRPr="000615C4">
        <w:rPr>
          <w:rFonts w:ascii="Arial" w:hAnsi="Arial" w:cs="Arial"/>
        </w:rPr>
        <w:t>units</w:t>
      </w:r>
      <w:r w:rsidRPr="000615C4">
        <w:rPr>
          <w:rFonts w:ascii="Arial" w:hAnsi="Arial" w:cs="Arial"/>
          <w:spacing w:val="-4"/>
        </w:rPr>
        <w:t xml:space="preserve"> </w:t>
      </w:r>
      <w:r w:rsidRPr="000615C4">
        <w:rPr>
          <w:rFonts w:ascii="Arial" w:hAnsi="Arial" w:cs="Arial"/>
        </w:rPr>
        <w:t>of</w:t>
      </w:r>
      <w:r w:rsidRPr="000615C4">
        <w:rPr>
          <w:rFonts w:ascii="Arial" w:hAnsi="Arial" w:cs="Arial"/>
          <w:spacing w:val="-5"/>
        </w:rPr>
        <w:t xml:space="preserve"> </w:t>
      </w:r>
      <w:r w:rsidRPr="000615C4">
        <w:rPr>
          <w:rFonts w:ascii="Arial" w:hAnsi="Arial" w:cs="Arial"/>
        </w:rPr>
        <w:t>study</w:t>
      </w:r>
      <w:r w:rsidRPr="000615C4">
        <w:rPr>
          <w:rFonts w:ascii="Arial" w:hAnsi="Arial" w:cs="Arial"/>
          <w:spacing w:val="-4"/>
        </w:rPr>
        <w:t xml:space="preserve"> </w:t>
      </w:r>
      <w:r w:rsidRPr="000615C4">
        <w:rPr>
          <w:rFonts w:ascii="Arial" w:hAnsi="Arial" w:cs="Arial"/>
        </w:rPr>
        <w:t>leading</w:t>
      </w:r>
      <w:r w:rsidRPr="000615C4">
        <w:rPr>
          <w:rFonts w:ascii="Arial" w:hAnsi="Arial" w:cs="Arial"/>
          <w:spacing w:val="-4"/>
        </w:rPr>
        <w:t xml:space="preserve"> </w:t>
      </w:r>
      <w:r w:rsidRPr="000615C4">
        <w:rPr>
          <w:rFonts w:ascii="Arial" w:hAnsi="Arial" w:cs="Arial"/>
        </w:rPr>
        <w:t>to</w:t>
      </w:r>
      <w:r w:rsidRPr="000615C4">
        <w:rPr>
          <w:rFonts w:ascii="Arial" w:hAnsi="Arial" w:cs="Arial"/>
          <w:spacing w:val="-6"/>
        </w:rPr>
        <w:t xml:space="preserve"> </w:t>
      </w:r>
      <w:r w:rsidRPr="000615C4">
        <w:rPr>
          <w:rFonts w:ascii="Arial" w:hAnsi="Arial" w:cs="Arial"/>
        </w:rPr>
        <w:t>endorsement</w:t>
      </w:r>
      <w:r w:rsidRPr="000615C4">
        <w:rPr>
          <w:rFonts w:ascii="Arial" w:hAnsi="Arial" w:cs="Arial"/>
          <w:spacing w:val="-5"/>
        </w:rPr>
        <w:t xml:space="preserve"> </w:t>
      </w:r>
      <w:r w:rsidRPr="000615C4">
        <w:rPr>
          <w:rFonts w:ascii="Arial" w:hAnsi="Arial" w:cs="Arial"/>
        </w:rPr>
        <w:t>for</w:t>
      </w:r>
      <w:r w:rsidRPr="000615C4">
        <w:rPr>
          <w:rFonts w:ascii="Arial" w:hAnsi="Arial" w:cs="Arial"/>
          <w:spacing w:val="-4"/>
        </w:rPr>
        <w:t xml:space="preserve"> </w:t>
      </w:r>
      <w:r w:rsidRPr="000615C4">
        <w:rPr>
          <w:rFonts w:ascii="Arial" w:hAnsi="Arial" w:cs="Arial"/>
        </w:rPr>
        <w:t>scheduled</w:t>
      </w:r>
      <w:r w:rsidRPr="000615C4">
        <w:rPr>
          <w:rFonts w:ascii="Arial" w:hAnsi="Arial" w:cs="Arial"/>
          <w:spacing w:val="-5"/>
        </w:rPr>
        <w:t xml:space="preserve"> </w:t>
      </w:r>
      <w:r w:rsidRPr="000615C4">
        <w:rPr>
          <w:rFonts w:ascii="Arial" w:hAnsi="Arial" w:cs="Arial"/>
        </w:rPr>
        <w:t>medicines</w:t>
      </w:r>
      <w:r w:rsidRPr="000615C4">
        <w:rPr>
          <w:rFonts w:ascii="Arial" w:hAnsi="Arial" w:cs="Arial"/>
          <w:spacing w:val="-2"/>
        </w:rPr>
        <w:t xml:space="preserve"> </w:t>
      </w:r>
      <w:r w:rsidRPr="000615C4">
        <w:rPr>
          <w:rFonts w:ascii="Arial" w:hAnsi="Arial" w:cs="Arial"/>
        </w:rPr>
        <w:t>as</w:t>
      </w:r>
      <w:r w:rsidRPr="000615C4">
        <w:rPr>
          <w:rFonts w:ascii="Arial" w:hAnsi="Arial" w:cs="Arial"/>
          <w:spacing w:val="-4"/>
        </w:rPr>
        <w:t xml:space="preserve"> </w:t>
      </w:r>
      <w:r w:rsidRPr="000615C4">
        <w:rPr>
          <w:rFonts w:ascii="Arial" w:hAnsi="Arial" w:cs="Arial"/>
        </w:rPr>
        <w:t>a designated RN prescriber, or</w:t>
      </w:r>
    </w:p>
    <w:p w14:paraId="37810229" w14:textId="77777777" w:rsidR="00F05C60" w:rsidRPr="000615C4" w:rsidRDefault="00F05C60" w:rsidP="000615C4">
      <w:pPr>
        <w:pStyle w:val="ListParagraph"/>
        <w:widowControl w:val="0"/>
        <w:numPr>
          <w:ilvl w:val="1"/>
          <w:numId w:val="60"/>
        </w:numPr>
        <w:tabs>
          <w:tab w:val="left" w:pos="972"/>
        </w:tabs>
        <w:autoSpaceDE w:val="0"/>
        <w:autoSpaceDN w:val="0"/>
        <w:spacing w:before="121" w:after="0" w:line="240" w:lineRule="auto"/>
        <w:ind w:right="524"/>
        <w:contextualSpacing w:val="0"/>
        <w:rPr>
          <w:rFonts w:ascii="Arial" w:hAnsi="Arial" w:cs="Arial"/>
        </w:rPr>
      </w:pPr>
      <w:r w:rsidRPr="000615C4">
        <w:rPr>
          <w:rFonts w:ascii="Arial" w:hAnsi="Arial" w:cs="Arial"/>
        </w:rPr>
        <w:t>units</w:t>
      </w:r>
      <w:r w:rsidRPr="000615C4">
        <w:rPr>
          <w:rFonts w:ascii="Arial" w:hAnsi="Arial" w:cs="Arial"/>
          <w:spacing w:val="-2"/>
        </w:rPr>
        <w:t xml:space="preserve"> </w:t>
      </w:r>
      <w:r w:rsidRPr="000615C4">
        <w:rPr>
          <w:rFonts w:ascii="Arial" w:hAnsi="Arial" w:cs="Arial"/>
        </w:rPr>
        <w:t>of</w:t>
      </w:r>
      <w:r w:rsidRPr="000615C4">
        <w:rPr>
          <w:rFonts w:ascii="Arial" w:hAnsi="Arial" w:cs="Arial"/>
          <w:spacing w:val="-5"/>
        </w:rPr>
        <w:t xml:space="preserve"> </w:t>
      </w:r>
      <w:r w:rsidRPr="000615C4">
        <w:rPr>
          <w:rFonts w:ascii="Arial" w:hAnsi="Arial" w:cs="Arial"/>
        </w:rPr>
        <w:t>study</w:t>
      </w:r>
      <w:r w:rsidRPr="000615C4">
        <w:rPr>
          <w:rFonts w:ascii="Arial" w:hAnsi="Arial" w:cs="Arial"/>
          <w:spacing w:val="-4"/>
        </w:rPr>
        <w:t xml:space="preserve"> </w:t>
      </w:r>
      <w:r w:rsidRPr="000615C4">
        <w:rPr>
          <w:rFonts w:ascii="Arial" w:hAnsi="Arial" w:cs="Arial"/>
        </w:rPr>
        <w:t>that</w:t>
      </w:r>
      <w:r w:rsidRPr="000615C4">
        <w:rPr>
          <w:rFonts w:ascii="Arial" w:hAnsi="Arial" w:cs="Arial"/>
          <w:spacing w:val="-3"/>
        </w:rPr>
        <w:t xml:space="preserve"> </w:t>
      </w:r>
      <w:r w:rsidRPr="000615C4">
        <w:rPr>
          <w:rFonts w:ascii="Arial" w:hAnsi="Arial" w:cs="Arial"/>
        </w:rPr>
        <w:t>are</w:t>
      </w:r>
      <w:r w:rsidRPr="000615C4">
        <w:rPr>
          <w:rFonts w:ascii="Arial" w:hAnsi="Arial" w:cs="Arial"/>
          <w:spacing w:val="-3"/>
        </w:rPr>
        <w:t xml:space="preserve"> </w:t>
      </w:r>
      <w:r w:rsidRPr="000615C4">
        <w:rPr>
          <w:rFonts w:ascii="Arial" w:hAnsi="Arial" w:cs="Arial"/>
        </w:rPr>
        <w:t>equivalent</w:t>
      </w:r>
      <w:r w:rsidRPr="000615C4">
        <w:rPr>
          <w:rFonts w:ascii="Arial" w:hAnsi="Arial" w:cs="Arial"/>
          <w:spacing w:val="-4"/>
        </w:rPr>
        <w:t xml:space="preserve"> </w:t>
      </w:r>
      <w:r w:rsidRPr="000615C4">
        <w:rPr>
          <w:rFonts w:ascii="Arial" w:hAnsi="Arial" w:cs="Arial"/>
        </w:rPr>
        <w:t>to</w:t>
      </w:r>
      <w:r w:rsidRPr="000615C4">
        <w:rPr>
          <w:rFonts w:ascii="Arial" w:hAnsi="Arial" w:cs="Arial"/>
          <w:spacing w:val="-3"/>
        </w:rPr>
        <w:t xml:space="preserve"> </w:t>
      </w:r>
      <w:r w:rsidRPr="000615C4">
        <w:rPr>
          <w:rFonts w:ascii="Arial" w:hAnsi="Arial" w:cs="Arial"/>
        </w:rPr>
        <w:t>the</w:t>
      </w:r>
      <w:r w:rsidRPr="000615C4">
        <w:rPr>
          <w:rFonts w:ascii="Arial" w:hAnsi="Arial" w:cs="Arial"/>
          <w:spacing w:val="-3"/>
        </w:rPr>
        <w:t xml:space="preserve"> </w:t>
      </w:r>
      <w:r w:rsidRPr="000615C4">
        <w:rPr>
          <w:rFonts w:ascii="Arial" w:hAnsi="Arial" w:cs="Arial"/>
        </w:rPr>
        <w:t>NMBA-approved</w:t>
      </w:r>
      <w:r w:rsidRPr="000615C4">
        <w:rPr>
          <w:rFonts w:ascii="Arial" w:hAnsi="Arial" w:cs="Arial"/>
          <w:spacing w:val="-5"/>
        </w:rPr>
        <w:t xml:space="preserve"> </w:t>
      </w:r>
      <w:r w:rsidRPr="000615C4">
        <w:rPr>
          <w:rFonts w:ascii="Arial" w:hAnsi="Arial" w:cs="Arial"/>
        </w:rPr>
        <w:t>units</w:t>
      </w:r>
      <w:r w:rsidRPr="000615C4">
        <w:rPr>
          <w:rFonts w:ascii="Arial" w:hAnsi="Arial" w:cs="Arial"/>
          <w:spacing w:val="-4"/>
        </w:rPr>
        <w:t xml:space="preserve"> </w:t>
      </w:r>
      <w:r w:rsidRPr="000615C4">
        <w:rPr>
          <w:rFonts w:ascii="Arial" w:hAnsi="Arial" w:cs="Arial"/>
        </w:rPr>
        <w:t>of</w:t>
      </w:r>
      <w:r w:rsidRPr="000615C4">
        <w:rPr>
          <w:rFonts w:ascii="Arial" w:hAnsi="Arial" w:cs="Arial"/>
          <w:spacing w:val="-5"/>
        </w:rPr>
        <w:t xml:space="preserve"> </w:t>
      </w:r>
      <w:r w:rsidRPr="000615C4">
        <w:rPr>
          <w:rFonts w:ascii="Arial" w:hAnsi="Arial" w:cs="Arial"/>
        </w:rPr>
        <w:t>study</w:t>
      </w:r>
      <w:r w:rsidRPr="000615C4">
        <w:rPr>
          <w:rFonts w:ascii="Arial" w:hAnsi="Arial" w:cs="Arial"/>
          <w:spacing w:val="-4"/>
        </w:rPr>
        <w:t xml:space="preserve"> </w:t>
      </w:r>
      <w:r w:rsidRPr="000615C4">
        <w:rPr>
          <w:rFonts w:ascii="Arial" w:hAnsi="Arial" w:cs="Arial"/>
        </w:rPr>
        <w:t>leading</w:t>
      </w:r>
      <w:r w:rsidRPr="000615C4">
        <w:rPr>
          <w:rFonts w:ascii="Arial" w:hAnsi="Arial" w:cs="Arial"/>
          <w:spacing w:val="-3"/>
        </w:rPr>
        <w:t xml:space="preserve"> </w:t>
      </w:r>
      <w:r w:rsidRPr="000615C4">
        <w:rPr>
          <w:rFonts w:ascii="Arial" w:hAnsi="Arial" w:cs="Arial"/>
        </w:rPr>
        <w:t>to endorsement for scheduled medicines as a designated RN prescriber.</w:t>
      </w:r>
    </w:p>
    <w:p w14:paraId="6B3CA925" w14:textId="77777777" w:rsidR="00F05C60" w:rsidRDefault="00F05C60" w:rsidP="000615C4">
      <w:pPr>
        <w:pStyle w:val="BodyText"/>
        <w:ind w:right="524"/>
      </w:pPr>
      <w:r>
        <w:t>The</w:t>
      </w:r>
      <w:r>
        <w:rPr>
          <w:spacing w:val="-5"/>
        </w:rPr>
        <w:t xml:space="preserve"> </w:t>
      </w:r>
      <w:r>
        <w:t>evidence</w:t>
      </w:r>
      <w:r>
        <w:rPr>
          <w:spacing w:val="-2"/>
        </w:rPr>
        <w:t xml:space="preserve"> </w:t>
      </w:r>
      <w:r>
        <w:t>that</w:t>
      </w:r>
      <w:r>
        <w:rPr>
          <w:spacing w:val="-4"/>
        </w:rPr>
        <w:t xml:space="preserve"> </w:t>
      </w:r>
      <w:r>
        <w:t>you</w:t>
      </w:r>
      <w:r>
        <w:rPr>
          <w:spacing w:val="-5"/>
        </w:rPr>
        <w:t xml:space="preserve"> </w:t>
      </w:r>
      <w:r>
        <w:t>will</w:t>
      </w:r>
      <w:r>
        <w:rPr>
          <w:spacing w:val="-3"/>
        </w:rPr>
        <w:t xml:space="preserve"> </w:t>
      </w:r>
      <w:r>
        <w:t>need</w:t>
      </w:r>
      <w:r>
        <w:rPr>
          <w:spacing w:val="-2"/>
        </w:rPr>
        <w:t xml:space="preserve"> </w:t>
      </w:r>
      <w:r>
        <w:t>to</w:t>
      </w:r>
      <w:r>
        <w:rPr>
          <w:spacing w:val="-3"/>
        </w:rPr>
        <w:t xml:space="preserve"> </w:t>
      </w:r>
      <w:r>
        <w:t>provide</w:t>
      </w:r>
      <w:r>
        <w:rPr>
          <w:spacing w:val="-4"/>
        </w:rPr>
        <w:t xml:space="preserve"> </w:t>
      </w:r>
      <w:r>
        <w:t>when applying</w:t>
      </w:r>
      <w:r>
        <w:rPr>
          <w:spacing w:val="-3"/>
        </w:rPr>
        <w:t xml:space="preserve"> </w:t>
      </w:r>
      <w:r>
        <w:t>for</w:t>
      </w:r>
      <w:r>
        <w:rPr>
          <w:spacing w:val="-3"/>
        </w:rPr>
        <w:t xml:space="preserve"> </w:t>
      </w:r>
      <w:r>
        <w:t>the</w:t>
      </w:r>
      <w:r>
        <w:rPr>
          <w:spacing w:val="-4"/>
        </w:rPr>
        <w:t xml:space="preserve"> </w:t>
      </w:r>
      <w:r>
        <w:t>endorsement</w:t>
      </w:r>
      <w:r>
        <w:rPr>
          <w:spacing w:val="-2"/>
        </w:rPr>
        <w:t xml:space="preserve"> </w:t>
      </w:r>
      <w:r>
        <w:t>for</w:t>
      </w:r>
      <w:r>
        <w:rPr>
          <w:spacing w:val="-1"/>
        </w:rPr>
        <w:t xml:space="preserve"> </w:t>
      </w:r>
      <w:r>
        <w:t xml:space="preserve">scheduled medicines as a designated RN prescriber is provided at </w:t>
      </w:r>
      <w:hyperlink w:anchor="_bookmark6" w:history="1">
        <w:r>
          <w:rPr>
            <w:color w:val="0000FF"/>
            <w:u w:val="single" w:color="0000FF"/>
          </w:rPr>
          <w:t>Attachment 1</w:t>
        </w:r>
        <w:r>
          <w:t>.</w:t>
        </w:r>
      </w:hyperlink>
    </w:p>
    <w:p w14:paraId="1131F0DF" w14:textId="77777777" w:rsidR="00F05C60" w:rsidRPr="00C4526E" w:rsidRDefault="00F05C60" w:rsidP="000D1640">
      <w:pPr>
        <w:pStyle w:val="Heading1"/>
        <w:keepNext w:val="0"/>
        <w:widowControl w:val="0"/>
        <w:autoSpaceDE w:val="0"/>
        <w:autoSpaceDN w:val="0"/>
        <w:spacing w:before="360" w:after="0"/>
        <w:ind w:left="119" w:hanging="119"/>
        <w:rPr>
          <w:rFonts w:ascii="Arial" w:eastAsia="Arial" w:hAnsi="Arial" w:cs="Arial"/>
          <w:b w:val="0"/>
          <w:bCs w:val="0"/>
          <w:color w:val="009CDE"/>
          <w:kern w:val="0"/>
          <w:lang w:val="en-US"/>
        </w:rPr>
      </w:pPr>
      <w:r w:rsidRPr="00C4526E">
        <w:rPr>
          <w:rFonts w:ascii="Arial" w:eastAsia="Arial" w:hAnsi="Arial" w:cs="Arial"/>
          <w:b w:val="0"/>
          <w:bCs w:val="0"/>
          <w:color w:val="009CDE"/>
          <w:kern w:val="0"/>
          <w:lang w:val="en-US"/>
        </w:rPr>
        <w:t>The requirements of designated prescribing</w:t>
      </w:r>
    </w:p>
    <w:p w14:paraId="43F25B60" w14:textId="77777777" w:rsidR="00F05C60" w:rsidRDefault="00F05C60" w:rsidP="00F05C60">
      <w:pPr>
        <w:pStyle w:val="BodyText"/>
        <w:spacing w:before="198"/>
      </w:pPr>
      <w:r>
        <w:rPr>
          <w:color w:val="0067B8"/>
        </w:rPr>
        <w:t>Scope</w:t>
      </w:r>
      <w:r>
        <w:rPr>
          <w:color w:val="0067B8"/>
          <w:spacing w:val="-4"/>
        </w:rPr>
        <w:t xml:space="preserve"> </w:t>
      </w:r>
      <w:r>
        <w:rPr>
          <w:color w:val="0067B8"/>
        </w:rPr>
        <w:t>of</w:t>
      </w:r>
      <w:r>
        <w:rPr>
          <w:color w:val="0067B8"/>
          <w:spacing w:val="-6"/>
        </w:rPr>
        <w:t xml:space="preserve"> </w:t>
      </w:r>
      <w:r>
        <w:rPr>
          <w:color w:val="0067B8"/>
          <w:spacing w:val="-2"/>
        </w:rPr>
        <w:t>endorsement</w:t>
      </w:r>
    </w:p>
    <w:p w14:paraId="43A84CD7" w14:textId="77777777" w:rsidR="00F05C60" w:rsidRDefault="00F05C60" w:rsidP="00F05C60">
      <w:pPr>
        <w:pStyle w:val="BodyText"/>
        <w:spacing w:before="202"/>
        <w:ind w:right="840"/>
      </w:pPr>
      <w:r>
        <w:t>The</w:t>
      </w:r>
      <w:r>
        <w:rPr>
          <w:spacing w:val="-5"/>
        </w:rPr>
        <w:t xml:space="preserve"> </w:t>
      </w:r>
      <w:r>
        <w:t>scope</w:t>
      </w:r>
      <w:r>
        <w:rPr>
          <w:spacing w:val="-2"/>
        </w:rPr>
        <w:t xml:space="preserve"> </w:t>
      </w:r>
      <w:r>
        <w:t>of</w:t>
      </w:r>
      <w:r>
        <w:rPr>
          <w:spacing w:val="-4"/>
        </w:rPr>
        <w:t xml:space="preserve"> </w:t>
      </w:r>
      <w:r>
        <w:t>the</w:t>
      </w:r>
      <w:r>
        <w:rPr>
          <w:spacing w:val="-4"/>
        </w:rPr>
        <w:t xml:space="preserve"> </w:t>
      </w:r>
      <w:r>
        <w:t>endorsement</w:t>
      </w:r>
      <w:r>
        <w:rPr>
          <w:spacing w:val="-1"/>
        </w:rPr>
        <w:t xml:space="preserve"> </w:t>
      </w:r>
      <w:r>
        <w:t>for</w:t>
      </w:r>
      <w:r>
        <w:rPr>
          <w:spacing w:val="-4"/>
        </w:rPr>
        <w:t xml:space="preserve"> </w:t>
      </w:r>
      <w:r>
        <w:t>scheduled</w:t>
      </w:r>
      <w:r>
        <w:rPr>
          <w:spacing w:val="-2"/>
        </w:rPr>
        <w:t xml:space="preserve"> </w:t>
      </w:r>
      <w:r>
        <w:t>medicines</w:t>
      </w:r>
      <w:r>
        <w:rPr>
          <w:spacing w:val="-3"/>
        </w:rPr>
        <w:t xml:space="preserve"> </w:t>
      </w:r>
      <w:r>
        <w:t>as</w:t>
      </w:r>
      <w:r>
        <w:rPr>
          <w:spacing w:val="-3"/>
        </w:rPr>
        <w:t xml:space="preserve"> </w:t>
      </w:r>
      <w:r>
        <w:t>a</w:t>
      </w:r>
      <w:r>
        <w:rPr>
          <w:spacing w:val="-2"/>
        </w:rPr>
        <w:t xml:space="preserve"> </w:t>
      </w:r>
      <w:r>
        <w:t>designated</w:t>
      </w:r>
      <w:r>
        <w:rPr>
          <w:spacing w:val="-3"/>
        </w:rPr>
        <w:t xml:space="preserve"> </w:t>
      </w:r>
      <w:r>
        <w:t>RN</w:t>
      </w:r>
      <w:r>
        <w:rPr>
          <w:spacing w:val="-4"/>
        </w:rPr>
        <w:t xml:space="preserve"> </w:t>
      </w:r>
      <w:r>
        <w:t>prescriber indicates</w:t>
      </w:r>
      <w:r>
        <w:rPr>
          <w:spacing w:val="-3"/>
        </w:rPr>
        <w:t xml:space="preserve"> </w:t>
      </w:r>
      <w:r>
        <w:t xml:space="preserve">that a designated RN prescriber is qualified to </w:t>
      </w:r>
      <w:r>
        <w:rPr>
          <w:b/>
        </w:rPr>
        <w:t xml:space="preserve">administer, obtain, possess, prescribe, supply </w:t>
      </w:r>
      <w:r>
        <w:t xml:space="preserve">and/or </w:t>
      </w:r>
      <w:r>
        <w:rPr>
          <w:b/>
        </w:rPr>
        <w:t xml:space="preserve">use </w:t>
      </w:r>
      <w:r>
        <w:t>Schedule 2, 3, 4 and 8 medicines with an authorised health practitioner, in accordance with this guideline and associated guidelines and relevant state and territory legislation, for the purposes of the practice of nursing.</w:t>
      </w:r>
    </w:p>
    <w:p w14:paraId="2A989B37" w14:textId="77777777" w:rsidR="00F05C60" w:rsidRDefault="00F05C60" w:rsidP="00F05C60">
      <w:pPr>
        <w:pStyle w:val="BodyText"/>
        <w:tabs>
          <w:tab w:val="left" w:pos="3900"/>
        </w:tabs>
        <w:spacing w:before="199"/>
      </w:pPr>
      <w:r>
        <w:rPr>
          <w:color w:val="0067B8"/>
        </w:rPr>
        <w:t>Clinical</w:t>
      </w:r>
      <w:r>
        <w:rPr>
          <w:color w:val="0067B8"/>
          <w:spacing w:val="-11"/>
        </w:rPr>
        <w:t xml:space="preserve"> </w:t>
      </w:r>
      <w:r>
        <w:rPr>
          <w:color w:val="0067B8"/>
          <w:spacing w:val="-2"/>
        </w:rPr>
        <w:t>mentorship</w:t>
      </w:r>
    </w:p>
    <w:p w14:paraId="3B874EEB" w14:textId="77777777" w:rsidR="00F05C60" w:rsidRPr="003A5EEC" w:rsidRDefault="00F05C60" w:rsidP="00F05C60">
      <w:pPr>
        <w:pStyle w:val="BodyText"/>
        <w:ind w:right="730"/>
      </w:pPr>
      <w:r w:rsidRPr="003A5EEC">
        <w:t>Once</w:t>
      </w:r>
      <w:r w:rsidRPr="003A5EEC">
        <w:rPr>
          <w:spacing w:val="-3"/>
        </w:rPr>
        <w:t xml:space="preserve"> </w:t>
      </w:r>
      <w:r w:rsidRPr="003A5EEC">
        <w:t>you</w:t>
      </w:r>
      <w:r w:rsidRPr="003A5EEC">
        <w:rPr>
          <w:spacing w:val="-4"/>
        </w:rPr>
        <w:t xml:space="preserve"> </w:t>
      </w:r>
      <w:r w:rsidRPr="003A5EEC">
        <w:t>are</w:t>
      </w:r>
      <w:r w:rsidRPr="003A5EEC">
        <w:rPr>
          <w:spacing w:val="-2"/>
        </w:rPr>
        <w:t xml:space="preserve"> </w:t>
      </w:r>
      <w:r w:rsidRPr="003A5EEC">
        <w:t>endorsed,</w:t>
      </w:r>
      <w:r w:rsidRPr="003A5EEC">
        <w:rPr>
          <w:spacing w:val="-2"/>
        </w:rPr>
        <w:t xml:space="preserve"> </w:t>
      </w:r>
      <w:r w:rsidRPr="003A5EEC">
        <w:t>and</w:t>
      </w:r>
      <w:r w:rsidRPr="003A5EEC">
        <w:rPr>
          <w:spacing w:val="-3"/>
        </w:rPr>
        <w:t xml:space="preserve"> </w:t>
      </w:r>
      <w:r w:rsidRPr="003A5EEC">
        <w:t>in</w:t>
      </w:r>
      <w:r w:rsidRPr="003A5EEC">
        <w:rPr>
          <w:spacing w:val="-1"/>
        </w:rPr>
        <w:t xml:space="preserve"> </w:t>
      </w:r>
      <w:r w:rsidRPr="003A5EEC">
        <w:t>clinical</w:t>
      </w:r>
      <w:r w:rsidRPr="003A5EEC">
        <w:rPr>
          <w:spacing w:val="-4"/>
        </w:rPr>
        <w:t xml:space="preserve"> </w:t>
      </w:r>
      <w:r w:rsidRPr="003A5EEC">
        <w:t>practice,</w:t>
      </w:r>
      <w:r w:rsidRPr="003A5EEC">
        <w:rPr>
          <w:spacing w:val="-3"/>
        </w:rPr>
        <w:t xml:space="preserve"> </w:t>
      </w:r>
      <w:r w:rsidRPr="003A5EEC">
        <w:rPr>
          <w:color w:val="000000"/>
        </w:rPr>
        <w:t>you</w:t>
      </w:r>
      <w:r w:rsidRPr="003A5EEC">
        <w:rPr>
          <w:color w:val="000000"/>
          <w:spacing w:val="-2"/>
        </w:rPr>
        <w:t xml:space="preserve"> </w:t>
      </w:r>
      <w:r w:rsidRPr="003A5EEC">
        <w:rPr>
          <w:color w:val="000000"/>
        </w:rPr>
        <w:t>will</w:t>
      </w:r>
      <w:r w:rsidRPr="003A5EEC">
        <w:rPr>
          <w:color w:val="000000"/>
          <w:spacing w:val="-2"/>
        </w:rPr>
        <w:t xml:space="preserve"> </w:t>
      </w:r>
      <w:r w:rsidRPr="003A5EEC">
        <w:rPr>
          <w:color w:val="000000"/>
        </w:rPr>
        <w:t>be</w:t>
      </w:r>
      <w:r w:rsidRPr="003A5EEC">
        <w:rPr>
          <w:color w:val="000000"/>
          <w:spacing w:val="-4"/>
        </w:rPr>
        <w:t xml:space="preserve"> </w:t>
      </w:r>
      <w:r w:rsidRPr="003A5EEC">
        <w:rPr>
          <w:color w:val="000000"/>
        </w:rPr>
        <w:t>required</w:t>
      </w:r>
      <w:r w:rsidRPr="003A5EEC">
        <w:rPr>
          <w:color w:val="000000"/>
          <w:spacing w:val="-3"/>
        </w:rPr>
        <w:t xml:space="preserve"> </w:t>
      </w:r>
      <w:r w:rsidRPr="003A5EEC">
        <w:rPr>
          <w:color w:val="000000"/>
        </w:rPr>
        <w:t>to</w:t>
      </w:r>
      <w:r w:rsidRPr="003A5EEC">
        <w:rPr>
          <w:color w:val="000000"/>
          <w:spacing w:val="-2"/>
        </w:rPr>
        <w:t xml:space="preserve"> </w:t>
      </w:r>
      <w:r w:rsidRPr="003A5EEC">
        <w:rPr>
          <w:color w:val="000000"/>
        </w:rPr>
        <w:t>complete</w:t>
      </w:r>
      <w:r w:rsidRPr="003A5EEC">
        <w:rPr>
          <w:color w:val="000000"/>
          <w:spacing w:val="-3"/>
        </w:rPr>
        <w:t xml:space="preserve"> </w:t>
      </w:r>
      <w:r w:rsidRPr="003A5EEC">
        <w:rPr>
          <w:color w:val="000000"/>
        </w:rPr>
        <w:t>a</w:t>
      </w:r>
      <w:r w:rsidRPr="003A5EEC">
        <w:rPr>
          <w:color w:val="000000"/>
          <w:spacing w:val="-2"/>
        </w:rPr>
        <w:t xml:space="preserve"> </w:t>
      </w:r>
      <w:r w:rsidRPr="003A5EEC">
        <w:rPr>
          <w:color w:val="000000"/>
        </w:rPr>
        <w:t>six-month</w:t>
      </w:r>
      <w:r w:rsidRPr="003A5EEC">
        <w:rPr>
          <w:color w:val="000000"/>
          <w:spacing w:val="-2"/>
        </w:rPr>
        <w:t xml:space="preserve"> </w:t>
      </w:r>
      <w:r w:rsidRPr="003A5EEC">
        <w:rPr>
          <w:color w:val="000000"/>
        </w:rPr>
        <w:t>period</w:t>
      </w:r>
      <w:r w:rsidRPr="003A5EEC">
        <w:rPr>
          <w:color w:val="000000"/>
          <w:spacing w:val="-2"/>
        </w:rPr>
        <w:t xml:space="preserve"> </w:t>
      </w:r>
      <w:r w:rsidRPr="003A5EEC">
        <w:rPr>
          <w:color w:val="000000"/>
        </w:rPr>
        <w:t xml:space="preserve">of clinical mentorship with an authorised health practitioner. The period of clinical mentorship is an important component </w:t>
      </w:r>
      <w:r>
        <w:rPr>
          <w:color w:val="000000"/>
        </w:rPr>
        <w:t>for</w:t>
      </w:r>
      <w:r w:rsidRPr="003A5EEC">
        <w:rPr>
          <w:color w:val="000000"/>
        </w:rPr>
        <w:t xml:space="preserve"> the establishment of the designated RN prescribing model.</w:t>
      </w:r>
    </w:p>
    <w:p w14:paraId="50EB6137" w14:textId="77777777" w:rsidR="00F05C60" w:rsidRPr="003A5EEC" w:rsidRDefault="00F05C60" w:rsidP="00F05C60">
      <w:pPr>
        <w:pStyle w:val="BodyText"/>
        <w:ind w:right="840"/>
      </w:pPr>
      <w:r w:rsidRPr="003A5EEC">
        <w:t>The education programs for an RN to become qualified to prescribe will ensure that the RN is competent to prescribe scheduled medicines within their scope of practice. The purpose of clinical mentorship is to enable the designated RN prescriber to develop confidence in prescribing. The role of</w:t>
      </w:r>
      <w:r w:rsidRPr="003A5EEC">
        <w:rPr>
          <w:spacing w:val="-4"/>
        </w:rPr>
        <w:t xml:space="preserve"> </w:t>
      </w:r>
      <w:r w:rsidRPr="003A5EEC">
        <w:t>the</w:t>
      </w:r>
      <w:r w:rsidRPr="003A5EEC">
        <w:rPr>
          <w:spacing w:val="-4"/>
        </w:rPr>
        <w:t xml:space="preserve"> </w:t>
      </w:r>
      <w:r w:rsidRPr="003A5EEC">
        <w:t>mentor</w:t>
      </w:r>
      <w:r w:rsidRPr="003A5EEC">
        <w:rPr>
          <w:spacing w:val="-1"/>
        </w:rPr>
        <w:t xml:space="preserve"> </w:t>
      </w:r>
      <w:r w:rsidRPr="003A5EEC">
        <w:t>is</w:t>
      </w:r>
      <w:r w:rsidRPr="003A5EEC">
        <w:rPr>
          <w:spacing w:val="-3"/>
        </w:rPr>
        <w:t xml:space="preserve"> </w:t>
      </w:r>
      <w:r w:rsidRPr="003A5EEC">
        <w:t>to</w:t>
      </w:r>
      <w:r w:rsidRPr="003A5EEC">
        <w:rPr>
          <w:spacing w:val="-3"/>
        </w:rPr>
        <w:t xml:space="preserve"> </w:t>
      </w:r>
      <w:r w:rsidRPr="003A5EEC">
        <w:t>provide</w:t>
      </w:r>
      <w:r w:rsidRPr="003A5EEC">
        <w:rPr>
          <w:spacing w:val="-4"/>
        </w:rPr>
        <w:t xml:space="preserve"> </w:t>
      </w:r>
      <w:r w:rsidRPr="003A5EEC">
        <w:t>the</w:t>
      </w:r>
      <w:r w:rsidRPr="003A5EEC">
        <w:rPr>
          <w:spacing w:val="-2"/>
        </w:rPr>
        <w:t xml:space="preserve"> </w:t>
      </w:r>
      <w:r w:rsidRPr="003A5EEC">
        <w:t>designated</w:t>
      </w:r>
      <w:r w:rsidRPr="003A5EEC">
        <w:rPr>
          <w:spacing w:val="-4"/>
        </w:rPr>
        <w:t xml:space="preserve"> </w:t>
      </w:r>
      <w:r w:rsidRPr="003A5EEC">
        <w:t>RN</w:t>
      </w:r>
      <w:r w:rsidRPr="003A5EEC">
        <w:rPr>
          <w:spacing w:val="-2"/>
        </w:rPr>
        <w:t xml:space="preserve"> </w:t>
      </w:r>
      <w:r w:rsidRPr="003A5EEC">
        <w:t>prescriber</w:t>
      </w:r>
      <w:r w:rsidRPr="003A5EEC">
        <w:rPr>
          <w:spacing w:val="-1"/>
        </w:rPr>
        <w:t xml:space="preserve"> </w:t>
      </w:r>
      <w:r w:rsidRPr="003A5EEC">
        <w:t>with</w:t>
      </w:r>
      <w:r w:rsidRPr="003A5EEC">
        <w:rPr>
          <w:spacing w:val="-2"/>
        </w:rPr>
        <w:t xml:space="preserve"> </w:t>
      </w:r>
      <w:r w:rsidRPr="003A5EEC">
        <w:t>support</w:t>
      </w:r>
      <w:r w:rsidRPr="003A5EEC">
        <w:rPr>
          <w:spacing w:val="-4"/>
        </w:rPr>
        <w:t xml:space="preserve"> </w:t>
      </w:r>
      <w:r w:rsidRPr="003A5EEC">
        <w:t>in</w:t>
      </w:r>
      <w:r w:rsidRPr="003A5EEC">
        <w:rPr>
          <w:spacing w:val="-4"/>
        </w:rPr>
        <w:t xml:space="preserve"> </w:t>
      </w:r>
      <w:r w:rsidRPr="003A5EEC">
        <w:t>developing</w:t>
      </w:r>
      <w:r w:rsidRPr="003A5EEC">
        <w:rPr>
          <w:spacing w:val="-4"/>
        </w:rPr>
        <w:t xml:space="preserve"> </w:t>
      </w:r>
      <w:r w:rsidRPr="003A5EEC">
        <w:t>the</w:t>
      </w:r>
      <w:r w:rsidRPr="003A5EEC">
        <w:rPr>
          <w:spacing w:val="-2"/>
        </w:rPr>
        <w:t xml:space="preserve"> </w:t>
      </w:r>
      <w:r w:rsidRPr="003A5EEC">
        <w:t>confidence</w:t>
      </w:r>
      <w:r w:rsidRPr="003A5EEC">
        <w:rPr>
          <w:spacing w:val="-4"/>
        </w:rPr>
        <w:t xml:space="preserve"> </w:t>
      </w:r>
      <w:r w:rsidRPr="003A5EEC">
        <w:t xml:space="preserve">to </w:t>
      </w:r>
      <w:r w:rsidRPr="003A5EEC">
        <w:rPr>
          <w:spacing w:val="-2"/>
        </w:rPr>
        <w:t>prescribe.</w:t>
      </w:r>
    </w:p>
    <w:p w14:paraId="70FD5EA2" w14:textId="77777777" w:rsidR="00F05C60" w:rsidRPr="003A5EEC" w:rsidRDefault="00F05C60" w:rsidP="00F05C60">
      <w:pPr>
        <w:pStyle w:val="BodyText"/>
        <w:spacing w:before="202"/>
      </w:pPr>
      <w:r w:rsidRPr="003A5EEC">
        <w:rPr>
          <w:color w:val="0067B8"/>
        </w:rPr>
        <w:t>The</w:t>
      </w:r>
      <w:r w:rsidRPr="003A5EEC">
        <w:rPr>
          <w:color w:val="0067B8"/>
          <w:spacing w:val="-9"/>
        </w:rPr>
        <w:t xml:space="preserve"> </w:t>
      </w:r>
      <w:r w:rsidRPr="003A5EEC">
        <w:rPr>
          <w:color w:val="007CC3"/>
        </w:rPr>
        <w:t>clinical</w:t>
      </w:r>
      <w:r w:rsidRPr="003A5EEC">
        <w:rPr>
          <w:color w:val="007CC3"/>
          <w:spacing w:val="-10"/>
        </w:rPr>
        <w:t xml:space="preserve"> </w:t>
      </w:r>
      <w:r w:rsidRPr="003A5EEC">
        <w:rPr>
          <w:color w:val="007CC3"/>
        </w:rPr>
        <w:t>governance</w:t>
      </w:r>
      <w:r w:rsidRPr="003A5EEC">
        <w:rPr>
          <w:color w:val="007CC3"/>
          <w:spacing w:val="-6"/>
        </w:rPr>
        <w:t xml:space="preserve"> </w:t>
      </w:r>
      <w:r w:rsidRPr="003A5EEC">
        <w:rPr>
          <w:color w:val="007CC3"/>
          <w:spacing w:val="-2"/>
        </w:rPr>
        <w:t>framework</w:t>
      </w:r>
    </w:p>
    <w:p w14:paraId="65115F82" w14:textId="586A3FBE" w:rsidR="00F05C60" w:rsidRPr="003A5EEC" w:rsidRDefault="00F05C60" w:rsidP="000615C4">
      <w:pPr>
        <w:pStyle w:val="BodyText"/>
        <w:ind w:right="768"/>
      </w:pPr>
      <w:r w:rsidRPr="003A5EEC">
        <w:t>To</w:t>
      </w:r>
      <w:r w:rsidRPr="003A5EEC">
        <w:rPr>
          <w:spacing w:val="-4"/>
        </w:rPr>
        <w:t xml:space="preserve"> </w:t>
      </w:r>
      <w:r w:rsidRPr="003A5EEC">
        <w:t>enable</w:t>
      </w:r>
      <w:r w:rsidRPr="003A5EEC">
        <w:rPr>
          <w:spacing w:val="-4"/>
        </w:rPr>
        <w:t xml:space="preserve"> </w:t>
      </w:r>
      <w:r w:rsidRPr="003A5EEC">
        <w:t>the</w:t>
      </w:r>
      <w:r w:rsidRPr="003A5EEC">
        <w:rPr>
          <w:spacing w:val="-4"/>
        </w:rPr>
        <w:t xml:space="preserve"> </w:t>
      </w:r>
      <w:r w:rsidRPr="003A5EEC">
        <w:t>model</w:t>
      </w:r>
      <w:r w:rsidRPr="003A5EEC">
        <w:rPr>
          <w:spacing w:val="-5"/>
        </w:rPr>
        <w:t xml:space="preserve"> </w:t>
      </w:r>
      <w:r w:rsidRPr="003A5EEC">
        <w:t>of</w:t>
      </w:r>
      <w:r w:rsidRPr="003A5EEC">
        <w:rPr>
          <w:spacing w:val="-2"/>
        </w:rPr>
        <w:t xml:space="preserve"> </w:t>
      </w:r>
      <w:r w:rsidRPr="003A5EEC">
        <w:t xml:space="preserve">designated </w:t>
      </w:r>
      <w:r w:rsidRPr="003A5EEC">
        <w:rPr>
          <w:color w:val="000000"/>
        </w:rPr>
        <w:t>RN</w:t>
      </w:r>
      <w:r w:rsidRPr="003A5EEC">
        <w:rPr>
          <w:color w:val="000000"/>
          <w:spacing w:val="-4"/>
        </w:rPr>
        <w:t xml:space="preserve"> </w:t>
      </w:r>
      <w:r w:rsidRPr="003A5EEC">
        <w:rPr>
          <w:color w:val="000000"/>
        </w:rPr>
        <w:t>prescribing</w:t>
      </w:r>
      <w:r w:rsidRPr="003A5EEC">
        <w:rPr>
          <w:color w:val="000000"/>
          <w:spacing w:val="-4"/>
        </w:rPr>
        <w:t xml:space="preserve"> </w:t>
      </w:r>
      <w:r w:rsidRPr="003A5EEC">
        <w:rPr>
          <w:color w:val="000000"/>
        </w:rPr>
        <w:t>to</w:t>
      </w:r>
      <w:r w:rsidRPr="003A5EEC">
        <w:rPr>
          <w:color w:val="000000"/>
          <w:spacing w:val="-2"/>
        </w:rPr>
        <w:t xml:space="preserve"> </w:t>
      </w:r>
      <w:r w:rsidRPr="003A5EEC">
        <w:rPr>
          <w:color w:val="000000"/>
        </w:rPr>
        <w:t>be</w:t>
      </w:r>
      <w:r w:rsidRPr="003A5EEC">
        <w:rPr>
          <w:color w:val="000000"/>
          <w:spacing w:val="-4"/>
        </w:rPr>
        <w:t xml:space="preserve"> </w:t>
      </w:r>
      <w:r w:rsidRPr="003A5EEC">
        <w:rPr>
          <w:color w:val="000000"/>
        </w:rPr>
        <w:t>flexible</w:t>
      </w:r>
      <w:r w:rsidRPr="003A5EEC">
        <w:rPr>
          <w:color w:val="000000"/>
          <w:spacing w:val="-4"/>
        </w:rPr>
        <w:t xml:space="preserve"> </w:t>
      </w:r>
      <w:r w:rsidRPr="003A5EEC">
        <w:rPr>
          <w:color w:val="000000"/>
        </w:rPr>
        <w:t>and</w:t>
      </w:r>
      <w:r w:rsidRPr="003A5EEC">
        <w:rPr>
          <w:color w:val="000000"/>
          <w:spacing w:val="-2"/>
        </w:rPr>
        <w:t xml:space="preserve"> </w:t>
      </w:r>
      <w:r w:rsidRPr="003A5EEC">
        <w:rPr>
          <w:color w:val="000000"/>
        </w:rPr>
        <w:t>responsive, whilst</w:t>
      </w:r>
      <w:r w:rsidRPr="003A5EEC">
        <w:rPr>
          <w:color w:val="000000"/>
          <w:spacing w:val="-4"/>
        </w:rPr>
        <w:t xml:space="preserve"> </w:t>
      </w:r>
      <w:r w:rsidRPr="003A5EEC">
        <w:rPr>
          <w:color w:val="000000"/>
        </w:rPr>
        <w:t>also</w:t>
      </w:r>
      <w:r w:rsidRPr="003A5EEC">
        <w:rPr>
          <w:color w:val="000000"/>
          <w:spacing w:val="-2"/>
        </w:rPr>
        <w:t xml:space="preserve"> </w:t>
      </w:r>
      <w:r w:rsidRPr="003A5EEC">
        <w:rPr>
          <w:color w:val="000000"/>
        </w:rPr>
        <w:t>protecting the</w:t>
      </w:r>
      <w:r w:rsidRPr="003A5EEC">
        <w:rPr>
          <w:color w:val="000000"/>
          <w:spacing w:val="-2"/>
        </w:rPr>
        <w:t xml:space="preserve"> </w:t>
      </w:r>
      <w:r w:rsidRPr="003A5EEC">
        <w:rPr>
          <w:color w:val="000000"/>
        </w:rPr>
        <w:t>public,</w:t>
      </w:r>
      <w:r w:rsidRPr="003A5EEC">
        <w:rPr>
          <w:color w:val="000000"/>
          <w:spacing w:val="-1"/>
        </w:rPr>
        <w:t xml:space="preserve"> </w:t>
      </w:r>
      <w:r w:rsidRPr="003A5EEC">
        <w:rPr>
          <w:color w:val="000000"/>
        </w:rPr>
        <w:t>a clinical</w:t>
      </w:r>
      <w:r w:rsidRPr="003A5EEC">
        <w:rPr>
          <w:color w:val="000000"/>
          <w:spacing w:val="-2"/>
        </w:rPr>
        <w:t xml:space="preserve"> </w:t>
      </w:r>
      <w:r w:rsidRPr="003A5EEC">
        <w:rPr>
          <w:color w:val="000000"/>
        </w:rPr>
        <w:t>governance framework is to</w:t>
      </w:r>
      <w:r w:rsidRPr="003A5EEC">
        <w:rPr>
          <w:color w:val="000000"/>
          <w:spacing w:val="-2"/>
        </w:rPr>
        <w:t xml:space="preserve"> </w:t>
      </w:r>
      <w:r w:rsidRPr="003A5EEC">
        <w:rPr>
          <w:color w:val="000000"/>
        </w:rPr>
        <w:t>be</w:t>
      </w:r>
      <w:r w:rsidRPr="003A5EEC">
        <w:rPr>
          <w:color w:val="000000"/>
          <w:spacing w:val="-1"/>
        </w:rPr>
        <w:t xml:space="preserve"> </w:t>
      </w:r>
      <w:r w:rsidRPr="003A5EEC">
        <w:rPr>
          <w:color w:val="000000"/>
        </w:rPr>
        <w:t>established by organisations. Health</w:t>
      </w:r>
      <w:r w:rsidRPr="003A5EEC">
        <w:rPr>
          <w:color w:val="000000"/>
          <w:spacing w:val="-2"/>
        </w:rPr>
        <w:t xml:space="preserve"> </w:t>
      </w:r>
      <w:r w:rsidRPr="003A5EEC">
        <w:rPr>
          <w:color w:val="000000"/>
        </w:rPr>
        <w:t>services and employers are best placed to develop and approve clinical governance frameworks for this</w:t>
      </w:r>
      <w:r w:rsidRPr="003A5EEC">
        <w:rPr>
          <w:color w:val="000000"/>
          <w:spacing w:val="40"/>
        </w:rPr>
        <w:t xml:space="preserve"> </w:t>
      </w:r>
      <w:r w:rsidRPr="003A5EEC">
        <w:rPr>
          <w:color w:val="000000"/>
        </w:rPr>
        <w:t>designated RN prescribing model as they have established clinical governance frameworks in accordance with the relevant standards, for example the National Safety and Quality Health Service Standards (NSQHSS), Australian Commission on Safety and Quality in Health Care (ACSQHC)</w:t>
      </w:r>
      <w:r w:rsidRPr="003A5EEC">
        <w:rPr>
          <w:spacing w:val="-5"/>
        </w:rPr>
        <w:t xml:space="preserve"> </w:t>
      </w:r>
      <w:r w:rsidRPr="003A5EEC">
        <w:t>National</w:t>
      </w:r>
      <w:r w:rsidRPr="003A5EEC">
        <w:rPr>
          <w:spacing w:val="-7"/>
        </w:rPr>
        <w:t xml:space="preserve"> </w:t>
      </w:r>
      <w:r w:rsidRPr="003A5EEC">
        <w:t>Safety</w:t>
      </w:r>
      <w:r w:rsidRPr="003A5EEC">
        <w:rPr>
          <w:spacing w:val="-2"/>
        </w:rPr>
        <w:t xml:space="preserve"> </w:t>
      </w:r>
      <w:r w:rsidRPr="003A5EEC">
        <w:t>and</w:t>
      </w:r>
      <w:r w:rsidRPr="003A5EEC">
        <w:rPr>
          <w:spacing w:val="-4"/>
        </w:rPr>
        <w:t xml:space="preserve"> </w:t>
      </w:r>
      <w:r w:rsidRPr="003A5EEC">
        <w:t>Quality</w:t>
      </w:r>
      <w:r w:rsidRPr="003A5EEC">
        <w:rPr>
          <w:spacing w:val="-5"/>
        </w:rPr>
        <w:t xml:space="preserve"> </w:t>
      </w:r>
      <w:r w:rsidRPr="003A5EEC">
        <w:t>Primary</w:t>
      </w:r>
      <w:r w:rsidRPr="003A5EEC">
        <w:rPr>
          <w:spacing w:val="-4"/>
        </w:rPr>
        <w:t xml:space="preserve"> </w:t>
      </w:r>
      <w:r w:rsidRPr="003A5EEC">
        <w:t>and</w:t>
      </w:r>
      <w:r w:rsidRPr="003A5EEC">
        <w:rPr>
          <w:spacing w:val="-6"/>
        </w:rPr>
        <w:t xml:space="preserve"> </w:t>
      </w:r>
      <w:r w:rsidRPr="003A5EEC">
        <w:t>Community</w:t>
      </w:r>
      <w:r w:rsidRPr="003A5EEC">
        <w:rPr>
          <w:spacing w:val="-5"/>
        </w:rPr>
        <w:t xml:space="preserve"> </w:t>
      </w:r>
      <w:r w:rsidRPr="003A5EEC">
        <w:t>Healthcare</w:t>
      </w:r>
      <w:r w:rsidRPr="003A5EEC">
        <w:rPr>
          <w:spacing w:val="-3"/>
        </w:rPr>
        <w:t xml:space="preserve"> </w:t>
      </w:r>
      <w:r w:rsidRPr="003A5EEC">
        <w:t>Standards and</w:t>
      </w:r>
      <w:r w:rsidRPr="003A5EEC">
        <w:rPr>
          <w:spacing w:val="-6"/>
        </w:rPr>
        <w:t xml:space="preserve"> </w:t>
      </w:r>
      <w:r w:rsidRPr="003A5EEC">
        <w:t>Aged Care Quality Standards.</w:t>
      </w:r>
    </w:p>
    <w:p w14:paraId="6689DE22" w14:textId="77777777" w:rsidR="00F05C60" w:rsidRDefault="00F05C60" w:rsidP="00F05C60">
      <w:pPr>
        <w:sectPr w:rsidR="00F05C60" w:rsidSect="00B55649">
          <w:footerReference w:type="default" r:id="rId69"/>
          <w:headerReference w:type="first" r:id="rId70"/>
          <w:footerReference w:type="first" r:id="rId71"/>
          <w:pgSz w:w="11900" w:h="16850"/>
          <w:pgMar w:top="1360" w:right="700" w:bottom="1120" w:left="1320" w:header="567" w:footer="454" w:gutter="0"/>
          <w:pgNumType w:start="75"/>
          <w:cols w:space="720"/>
          <w:titlePg/>
          <w:docGrid w:linePitch="299"/>
        </w:sectPr>
      </w:pPr>
    </w:p>
    <w:p w14:paraId="521BAB5F" w14:textId="77777777" w:rsidR="00F05C60" w:rsidRDefault="00F05C60" w:rsidP="00F05C60">
      <w:pPr>
        <w:pStyle w:val="BodyText"/>
        <w:ind w:right="796"/>
      </w:pPr>
      <w:r w:rsidRPr="003A5EEC">
        <w:lastRenderedPageBreak/>
        <w:t>Health services also understand organisational functions</w:t>
      </w:r>
      <w:r>
        <w:t xml:space="preserve"> and service needs. This provides the foundation</w:t>
      </w:r>
      <w:r>
        <w:rPr>
          <w:spacing w:val="-4"/>
        </w:rPr>
        <w:t xml:space="preserve"> </w:t>
      </w:r>
      <w:r>
        <w:t>for</w:t>
      </w:r>
      <w:r>
        <w:rPr>
          <w:spacing w:val="-5"/>
        </w:rPr>
        <w:t xml:space="preserve"> </w:t>
      </w:r>
      <w:r>
        <w:t>balance</w:t>
      </w:r>
      <w:r>
        <w:rPr>
          <w:spacing w:val="-5"/>
        </w:rPr>
        <w:t xml:space="preserve"> </w:t>
      </w:r>
      <w:r>
        <w:t>between</w:t>
      </w:r>
      <w:r>
        <w:rPr>
          <w:spacing w:val="-5"/>
        </w:rPr>
        <w:t xml:space="preserve"> </w:t>
      </w:r>
      <w:r>
        <w:t>registration</w:t>
      </w:r>
      <w:r>
        <w:rPr>
          <w:spacing w:val="-5"/>
        </w:rPr>
        <w:t xml:space="preserve"> </w:t>
      </w:r>
      <w:r>
        <w:t>requirements,</w:t>
      </w:r>
      <w:r>
        <w:rPr>
          <w:spacing w:val="-5"/>
        </w:rPr>
        <w:t xml:space="preserve"> </w:t>
      </w:r>
      <w:r>
        <w:t>protecting</w:t>
      </w:r>
      <w:r>
        <w:rPr>
          <w:spacing w:val="-5"/>
        </w:rPr>
        <w:t xml:space="preserve"> </w:t>
      </w:r>
      <w:r>
        <w:t>the</w:t>
      </w:r>
      <w:r>
        <w:rPr>
          <w:spacing w:val="-5"/>
        </w:rPr>
        <w:t xml:space="preserve"> </w:t>
      </w:r>
      <w:r>
        <w:t>public</w:t>
      </w:r>
      <w:r>
        <w:rPr>
          <w:spacing w:val="-4"/>
        </w:rPr>
        <w:t xml:space="preserve"> </w:t>
      </w:r>
      <w:r>
        <w:t>and</w:t>
      </w:r>
      <w:r>
        <w:rPr>
          <w:spacing w:val="-5"/>
        </w:rPr>
        <w:t xml:space="preserve"> </w:t>
      </w:r>
      <w:r>
        <w:t>safety</w:t>
      </w:r>
      <w:r>
        <w:rPr>
          <w:spacing w:val="-4"/>
        </w:rPr>
        <w:t xml:space="preserve"> </w:t>
      </w:r>
      <w:r>
        <w:t>and</w:t>
      </w:r>
      <w:r>
        <w:rPr>
          <w:spacing w:val="-3"/>
        </w:rPr>
        <w:t xml:space="preserve"> </w:t>
      </w:r>
      <w:r>
        <w:t>quality of</w:t>
      </w:r>
      <w:r>
        <w:rPr>
          <w:spacing w:val="-6"/>
        </w:rPr>
        <w:t xml:space="preserve"> </w:t>
      </w:r>
      <w:r>
        <w:t>prescribing</w:t>
      </w:r>
      <w:r>
        <w:rPr>
          <w:spacing w:val="-5"/>
        </w:rPr>
        <w:t xml:space="preserve"> </w:t>
      </w:r>
      <w:r>
        <w:t>practices.</w:t>
      </w:r>
      <w:r>
        <w:rPr>
          <w:spacing w:val="-6"/>
        </w:rPr>
        <w:t xml:space="preserve"> </w:t>
      </w:r>
      <w:r>
        <w:t>The</w:t>
      </w:r>
      <w:r>
        <w:rPr>
          <w:spacing w:val="-6"/>
        </w:rPr>
        <w:t xml:space="preserve"> </w:t>
      </w:r>
      <w:r>
        <w:t>designated</w:t>
      </w:r>
      <w:r>
        <w:rPr>
          <w:spacing w:val="-5"/>
        </w:rPr>
        <w:t xml:space="preserve"> </w:t>
      </w:r>
      <w:r>
        <w:t>RN</w:t>
      </w:r>
      <w:r>
        <w:rPr>
          <w:spacing w:val="-6"/>
        </w:rPr>
        <w:t xml:space="preserve"> </w:t>
      </w:r>
      <w:r>
        <w:t>prescriber</w:t>
      </w:r>
      <w:r>
        <w:rPr>
          <w:spacing w:val="-3"/>
        </w:rPr>
        <w:t xml:space="preserve"> </w:t>
      </w:r>
      <w:r>
        <w:t>and</w:t>
      </w:r>
      <w:r>
        <w:rPr>
          <w:spacing w:val="-11"/>
        </w:rPr>
        <w:t xml:space="preserve"> </w:t>
      </w:r>
      <w:r>
        <w:t>the</w:t>
      </w:r>
      <w:r>
        <w:rPr>
          <w:spacing w:val="-11"/>
        </w:rPr>
        <w:t xml:space="preserve"> </w:t>
      </w:r>
      <w:r>
        <w:t>authorised</w:t>
      </w:r>
      <w:r>
        <w:rPr>
          <w:spacing w:val="-11"/>
        </w:rPr>
        <w:t xml:space="preserve"> </w:t>
      </w:r>
      <w:r>
        <w:t>health</w:t>
      </w:r>
      <w:r>
        <w:rPr>
          <w:spacing w:val="-11"/>
        </w:rPr>
        <w:t xml:space="preserve"> </w:t>
      </w:r>
      <w:r>
        <w:t>practitioner</w:t>
      </w:r>
      <w:r>
        <w:rPr>
          <w:spacing w:val="-8"/>
        </w:rPr>
        <w:t xml:space="preserve"> </w:t>
      </w:r>
      <w:r>
        <w:t>will</w:t>
      </w:r>
      <w:r>
        <w:rPr>
          <w:spacing w:val="-7"/>
        </w:rPr>
        <w:t xml:space="preserve"> </w:t>
      </w:r>
      <w:r>
        <w:t>work in</w:t>
      </w:r>
      <w:r>
        <w:rPr>
          <w:spacing w:val="-5"/>
        </w:rPr>
        <w:t xml:space="preserve"> </w:t>
      </w:r>
      <w:r>
        <w:t>accordance</w:t>
      </w:r>
      <w:r>
        <w:rPr>
          <w:spacing w:val="-5"/>
        </w:rPr>
        <w:t xml:space="preserve"> </w:t>
      </w:r>
      <w:r>
        <w:t>with</w:t>
      </w:r>
      <w:r>
        <w:rPr>
          <w:spacing w:val="-3"/>
        </w:rPr>
        <w:t xml:space="preserve"> </w:t>
      </w:r>
      <w:r>
        <w:t>a</w:t>
      </w:r>
      <w:r>
        <w:rPr>
          <w:spacing w:val="-5"/>
        </w:rPr>
        <w:t xml:space="preserve"> </w:t>
      </w:r>
      <w:r>
        <w:t>clinical</w:t>
      </w:r>
      <w:r>
        <w:rPr>
          <w:spacing w:val="-5"/>
        </w:rPr>
        <w:t xml:space="preserve"> </w:t>
      </w:r>
      <w:r>
        <w:t>governance</w:t>
      </w:r>
      <w:r>
        <w:rPr>
          <w:spacing w:val="-3"/>
        </w:rPr>
        <w:t xml:space="preserve"> </w:t>
      </w:r>
      <w:r>
        <w:t>framework. The</w:t>
      </w:r>
      <w:r>
        <w:rPr>
          <w:spacing w:val="-5"/>
        </w:rPr>
        <w:t xml:space="preserve"> </w:t>
      </w:r>
      <w:r>
        <w:t>clinical</w:t>
      </w:r>
      <w:r>
        <w:rPr>
          <w:spacing w:val="-5"/>
        </w:rPr>
        <w:t xml:space="preserve"> </w:t>
      </w:r>
      <w:r>
        <w:t>governance</w:t>
      </w:r>
      <w:r>
        <w:rPr>
          <w:spacing w:val="-5"/>
        </w:rPr>
        <w:t xml:space="preserve"> </w:t>
      </w:r>
      <w:r>
        <w:t>framework</w:t>
      </w:r>
      <w:r>
        <w:rPr>
          <w:spacing w:val="-3"/>
        </w:rPr>
        <w:t xml:space="preserve"> </w:t>
      </w:r>
      <w:r>
        <w:t>will</w:t>
      </w:r>
      <w:r>
        <w:rPr>
          <w:spacing w:val="-4"/>
        </w:rPr>
        <w:t xml:space="preserve"> </w:t>
      </w:r>
      <w:r>
        <w:t>build</w:t>
      </w:r>
      <w:r>
        <w:rPr>
          <w:spacing w:val="-3"/>
        </w:rPr>
        <w:t xml:space="preserve"> </w:t>
      </w:r>
      <w:r>
        <w:t xml:space="preserve">on the existing established clinical governance frameworks for the quality use of medicines of the employer organisation to establish the client groups and scope of prescribing of the designated RN </w:t>
      </w:r>
      <w:r>
        <w:rPr>
          <w:spacing w:val="-2"/>
        </w:rPr>
        <w:t>prescriber.</w:t>
      </w:r>
    </w:p>
    <w:p w14:paraId="0A8A405E" w14:textId="77777777" w:rsidR="00F05C60" w:rsidRPr="008E1639" w:rsidRDefault="00F05C60" w:rsidP="00F05C60">
      <w:pPr>
        <w:pStyle w:val="BodyText"/>
        <w:spacing w:before="198"/>
        <w:ind w:right="796"/>
      </w:pPr>
      <w:r>
        <w:t>It is the employer’s responsibility together with the designated RN prescriber and authorised health practitioner to ensure there is an appropriate clinical governance framework in place to support the model</w:t>
      </w:r>
      <w:r>
        <w:rPr>
          <w:spacing w:val="-6"/>
        </w:rPr>
        <w:t xml:space="preserve"> </w:t>
      </w:r>
      <w:r>
        <w:t>of</w:t>
      </w:r>
      <w:r>
        <w:rPr>
          <w:spacing w:val="-5"/>
        </w:rPr>
        <w:t xml:space="preserve"> </w:t>
      </w:r>
      <w:r>
        <w:t>prescribing.</w:t>
      </w:r>
      <w:r>
        <w:rPr>
          <w:spacing w:val="-5"/>
        </w:rPr>
        <w:t xml:space="preserve"> </w:t>
      </w:r>
      <w:r>
        <w:t>State</w:t>
      </w:r>
      <w:r>
        <w:rPr>
          <w:spacing w:val="-4"/>
        </w:rPr>
        <w:t xml:space="preserve"> </w:t>
      </w:r>
      <w:r>
        <w:t>and</w:t>
      </w:r>
      <w:r>
        <w:rPr>
          <w:spacing w:val="-5"/>
        </w:rPr>
        <w:t xml:space="preserve"> </w:t>
      </w:r>
      <w:r>
        <w:t>territory</w:t>
      </w:r>
      <w:r>
        <w:rPr>
          <w:spacing w:val="-3"/>
        </w:rPr>
        <w:t xml:space="preserve"> </w:t>
      </w:r>
      <w:r>
        <w:t>health</w:t>
      </w:r>
      <w:r>
        <w:rPr>
          <w:spacing w:val="-6"/>
        </w:rPr>
        <w:t xml:space="preserve"> </w:t>
      </w:r>
      <w:r>
        <w:t>departments</w:t>
      </w:r>
      <w:r>
        <w:rPr>
          <w:spacing w:val="-4"/>
        </w:rPr>
        <w:t xml:space="preserve"> </w:t>
      </w:r>
      <w:r>
        <w:t>and/or</w:t>
      </w:r>
      <w:r>
        <w:rPr>
          <w:spacing w:val="-5"/>
        </w:rPr>
        <w:t xml:space="preserve"> </w:t>
      </w:r>
      <w:r>
        <w:t>employer</w:t>
      </w:r>
      <w:r>
        <w:rPr>
          <w:spacing w:val="-5"/>
        </w:rPr>
        <w:t xml:space="preserve"> </w:t>
      </w:r>
      <w:r>
        <w:t>organisations</w:t>
      </w:r>
      <w:r>
        <w:rPr>
          <w:spacing w:val="-4"/>
        </w:rPr>
        <w:t xml:space="preserve"> </w:t>
      </w:r>
      <w:r>
        <w:t>will</w:t>
      </w:r>
      <w:r>
        <w:rPr>
          <w:spacing w:val="-4"/>
        </w:rPr>
        <w:t xml:space="preserve"> </w:t>
      </w:r>
      <w:r>
        <w:t xml:space="preserve">have clinical governance frameworks that comply with Quality use of Medicines (QUM). When implementing the designated prescribing model, these may need to be reviewed in order to ensure that the introduction of this new model of prescribing is adequately covered. </w:t>
      </w:r>
      <w:r w:rsidRPr="008B5C47">
        <w:t>The clinical governance framework must include, but is not limited to, the following elements</w:t>
      </w:r>
      <w:r>
        <w:t>:</w:t>
      </w:r>
    </w:p>
    <w:p w14:paraId="74D41C5A" w14:textId="77777777" w:rsidR="00F05C60" w:rsidRPr="000615C4" w:rsidRDefault="00F05C60" w:rsidP="000615C4">
      <w:pPr>
        <w:pStyle w:val="ListParagraph"/>
        <w:widowControl w:val="0"/>
        <w:numPr>
          <w:ilvl w:val="0"/>
          <w:numId w:val="59"/>
        </w:numPr>
        <w:tabs>
          <w:tab w:val="left" w:pos="709"/>
        </w:tabs>
        <w:autoSpaceDE w:val="0"/>
        <w:autoSpaceDN w:val="0"/>
        <w:spacing w:before="207" w:after="0" w:line="235" w:lineRule="auto"/>
        <w:ind w:right="1313"/>
        <w:contextualSpacing w:val="0"/>
        <w:rPr>
          <w:rFonts w:ascii="Arial" w:hAnsi="Arial" w:cs="Arial"/>
        </w:rPr>
      </w:pPr>
      <w:r w:rsidRPr="000615C4">
        <w:rPr>
          <w:rFonts w:ascii="Arial" w:hAnsi="Arial" w:cs="Arial"/>
        </w:rPr>
        <w:t>a</w:t>
      </w:r>
      <w:r w:rsidRPr="000615C4">
        <w:rPr>
          <w:rFonts w:ascii="Arial" w:hAnsi="Arial" w:cs="Arial"/>
          <w:spacing w:val="-5"/>
        </w:rPr>
        <w:t xml:space="preserve"> </w:t>
      </w:r>
      <w:r w:rsidRPr="000615C4">
        <w:rPr>
          <w:rFonts w:ascii="Arial" w:hAnsi="Arial" w:cs="Arial"/>
        </w:rPr>
        <w:t>multidisciplinary</w:t>
      </w:r>
      <w:r w:rsidRPr="000615C4">
        <w:rPr>
          <w:rFonts w:ascii="Arial" w:hAnsi="Arial" w:cs="Arial"/>
          <w:spacing w:val="-4"/>
        </w:rPr>
        <w:t xml:space="preserve"> </w:t>
      </w:r>
      <w:r w:rsidRPr="000615C4">
        <w:rPr>
          <w:rFonts w:ascii="Arial" w:hAnsi="Arial" w:cs="Arial"/>
        </w:rPr>
        <w:t>medicines</w:t>
      </w:r>
      <w:r w:rsidRPr="000615C4">
        <w:rPr>
          <w:rFonts w:ascii="Arial" w:hAnsi="Arial" w:cs="Arial"/>
          <w:spacing w:val="-4"/>
        </w:rPr>
        <w:t xml:space="preserve"> </w:t>
      </w:r>
      <w:r w:rsidRPr="000615C4">
        <w:rPr>
          <w:rFonts w:ascii="Arial" w:hAnsi="Arial" w:cs="Arial"/>
        </w:rPr>
        <w:t>advisory</w:t>
      </w:r>
      <w:r w:rsidRPr="000615C4">
        <w:rPr>
          <w:rFonts w:ascii="Arial" w:hAnsi="Arial" w:cs="Arial"/>
          <w:spacing w:val="-3"/>
        </w:rPr>
        <w:t xml:space="preserve"> </w:t>
      </w:r>
      <w:r w:rsidRPr="000615C4">
        <w:rPr>
          <w:rFonts w:ascii="Arial" w:hAnsi="Arial" w:cs="Arial"/>
        </w:rPr>
        <w:t>committee</w:t>
      </w:r>
      <w:r w:rsidRPr="000615C4">
        <w:rPr>
          <w:rFonts w:ascii="Arial" w:hAnsi="Arial" w:cs="Arial"/>
          <w:spacing w:val="-5"/>
        </w:rPr>
        <w:t xml:space="preserve"> </w:t>
      </w:r>
      <w:r w:rsidRPr="000615C4">
        <w:rPr>
          <w:rFonts w:ascii="Arial" w:hAnsi="Arial" w:cs="Arial"/>
        </w:rPr>
        <w:t>to</w:t>
      </w:r>
      <w:r w:rsidRPr="000615C4">
        <w:rPr>
          <w:rFonts w:ascii="Arial" w:hAnsi="Arial" w:cs="Arial"/>
          <w:spacing w:val="-3"/>
        </w:rPr>
        <w:t xml:space="preserve"> </w:t>
      </w:r>
      <w:r w:rsidRPr="000615C4">
        <w:rPr>
          <w:rFonts w:ascii="Arial" w:hAnsi="Arial" w:cs="Arial"/>
        </w:rPr>
        <w:t>provide</w:t>
      </w:r>
      <w:r w:rsidRPr="000615C4">
        <w:rPr>
          <w:rFonts w:ascii="Arial" w:hAnsi="Arial" w:cs="Arial"/>
          <w:spacing w:val="-6"/>
        </w:rPr>
        <w:t xml:space="preserve"> </w:t>
      </w:r>
      <w:r w:rsidRPr="000615C4">
        <w:rPr>
          <w:rFonts w:ascii="Arial" w:hAnsi="Arial" w:cs="Arial"/>
        </w:rPr>
        <w:t>expert</w:t>
      </w:r>
      <w:r w:rsidRPr="000615C4">
        <w:rPr>
          <w:rFonts w:ascii="Arial" w:hAnsi="Arial" w:cs="Arial"/>
          <w:spacing w:val="-5"/>
        </w:rPr>
        <w:t xml:space="preserve"> </w:t>
      </w:r>
      <w:r w:rsidRPr="000615C4">
        <w:rPr>
          <w:rFonts w:ascii="Arial" w:hAnsi="Arial" w:cs="Arial"/>
        </w:rPr>
        <w:t>advice</w:t>
      </w:r>
      <w:r w:rsidRPr="000615C4">
        <w:rPr>
          <w:rFonts w:ascii="Arial" w:hAnsi="Arial" w:cs="Arial"/>
          <w:spacing w:val="-5"/>
        </w:rPr>
        <w:t xml:space="preserve"> </w:t>
      </w:r>
      <w:r w:rsidRPr="000615C4">
        <w:rPr>
          <w:rFonts w:ascii="Arial" w:hAnsi="Arial" w:cs="Arial"/>
        </w:rPr>
        <w:t>and</w:t>
      </w:r>
      <w:r w:rsidRPr="000615C4">
        <w:rPr>
          <w:rFonts w:ascii="Arial" w:hAnsi="Arial" w:cs="Arial"/>
          <w:spacing w:val="-6"/>
        </w:rPr>
        <w:t xml:space="preserve"> </w:t>
      </w:r>
      <w:r w:rsidRPr="000615C4">
        <w:rPr>
          <w:rFonts w:ascii="Arial" w:hAnsi="Arial" w:cs="Arial"/>
        </w:rPr>
        <w:t>guidance</w:t>
      </w:r>
      <w:r w:rsidRPr="000615C4">
        <w:rPr>
          <w:rFonts w:ascii="Arial" w:hAnsi="Arial" w:cs="Arial"/>
          <w:spacing w:val="-5"/>
        </w:rPr>
        <w:t xml:space="preserve"> </w:t>
      </w:r>
      <w:r w:rsidRPr="000615C4">
        <w:rPr>
          <w:rFonts w:ascii="Arial" w:hAnsi="Arial" w:cs="Arial"/>
        </w:rPr>
        <w:t>on designated prescribing policies, guidelines and procedures</w:t>
      </w:r>
    </w:p>
    <w:p w14:paraId="0850B078" w14:textId="77777777" w:rsidR="00F05C60" w:rsidRPr="000615C4" w:rsidRDefault="00F05C60" w:rsidP="000615C4">
      <w:pPr>
        <w:pStyle w:val="ListParagraph"/>
        <w:widowControl w:val="0"/>
        <w:numPr>
          <w:ilvl w:val="0"/>
          <w:numId w:val="59"/>
        </w:numPr>
        <w:autoSpaceDE w:val="0"/>
        <w:autoSpaceDN w:val="0"/>
        <w:spacing w:before="124" w:after="0" w:line="240" w:lineRule="auto"/>
        <w:ind w:left="567" w:right="826" w:hanging="447"/>
        <w:contextualSpacing w:val="0"/>
        <w:rPr>
          <w:rFonts w:ascii="Arial" w:hAnsi="Arial" w:cs="Arial"/>
        </w:rPr>
      </w:pPr>
      <w:r w:rsidRPr="000615C4">
        <w:rPr>
          <w:rFonts w:ascii="Arial" w:hAnsi="Arial" w:cs="Arial"/>
        </w:rPr>
        <w:t>establishment/approval</w:t>
      </w:r>
      <w:r w:rsidRPr="000615C4">
        <w:rPr>
          <w:rFonts w:ascii="Arial" w:hAnsi="Arial" w:cs="Arial"/>
          <w:spacing w:val="-4"/>
        </w:rPr>
        <w:t xml:space="preserve"> </w:t>
      </w:r>
      <w:r w:rsidRPr="000615C4">
        <w:rPr>
          <w:rFonts w:ascii="Arial" w:hAnsi="Arial" w:cs="Arial"/>
        </w:rPr>
        <w:t>of</w:t>
      </w:r>
      <w:r w:rsidRPr="000615C4">
        <w:rPr>
          <w:rFonts w:ascii="Arial" w:hAnsi="Arial" w:cs="Arial"/>
          <w:spacing w:val="-5"/>
        </w:rPr>
        <w:t xml:space="preserve"> </w:t>
      </w:r>
      <w:r w:rsidRPr="000615C4">
        <w:rPr>
          <w:rFonts w:ascii="Arial" w:hAnsi="Arial" w:cs="Arial"/>
        </w:rPr>
        <w:t>the</w:t>
      </w:r>
      <w:r w:rsidRPr="000615C4">
        <w:rPr>
          <w:rFonts w:ascii="Arial" w:hAnsi="Arial" w:cs="Arial"/>
          <w:spacing w:val="-6"/>
        </w:rPr>
        <w:t xml:space="preserve"> </w:t>
      </w:r>
      <w:r w:rsidRPr="000615C4">
        <w:rPr>
          <w:rFonts w:ascii="Arial" w:hAnsi="Arial" w:cs="Arial"/>
        </w:rPr>
        <w:t>medicines</w:t>
      </w:r>
      <w:r w:rsidRPr="000615C4">
        <w:rPr>
          <w:rFonts w:ascii="Arial" w:hAnsi="Arial" w:cs="Arial"/>
          <w:spacing w:val="-4"/>
        </w:rPr>
        <w:t xml:space="preserve"> </w:t>
      </w:r>
      <w:r w:rsidRPr="000615C4">
        <w:rPr>
          <w:rFonts w:ascii="Arial" w:hAnsi="Arial" w:cs="Arial"/>
        </w:rPr>
        <w:t>the</w:t>
      </w:r>
      <w:r w:rsidRPr="000615C4">
        <w:rPr>
          <w:rFonts w:ascii="Arial" w:hAnsi="Arial" w:cs="Arial"/>
          <w:spacing w:val="-4"/>
        </w:rPr>
        <w:t xml:space="preserve"> </w:t>
      </w:r>
      <w:r w:rsidRPr="000615C4">
        <w:rPr>
          <w:rFonts w:ascii="Arial" w:hAnsi="Arial" w:cs="Arial"/>
        </w:rPr>
        <w:t>designated</w:t>
      </w:r>
      <w:r w:rsidRPr="000615C4">
        <w:rPr>
          <w:rFonts w:ascii="Arial" w:hAnsi="Arial" w:cs="Arial"/>
          <w:spacing w:val="-5"/>
        </w:rPr>
        <w:t xml:space="preserve"> </w:t>
      </w:r>
      <w:r w:rsidRPr="000615C4">
        <w:rPr>
          <w:rFonts w:ascii="Arial" w:hAnsi="Arial" w:cs="Arial"/>
        </w:rPr>
        <w:t>RN</w:t>
      </w:r>
      <w:r w:rsidRPr="000615C4">
        <w:rPr>
          <w:rFonts w:ascii="Arial" w:hAnsi="Arial" w:cs="Arial"/>
          <w:spacing w:val="-5"/>
        </w:rPr>
        <w:t xml:space="preserve"> </w:t>
      </w:r>
      <w:r w:rsidRPr="000615C4">
        <w:rPr>
          <w:rFonts w:ascii="Arial" w:hAnsi="Arial" w:cs="Arial"/>
        </w:rPr>
        <w:t>prescriber is</w:t>
      </w:r>
      <w:r w:rsidRPr="000615C4">
        <w:rPr>
          <w:rFonts w:ascii="Arial" w:hAnsi="Arial" w:cs="Arial"/>
          <w:spacing w:val="-4"/>
        </w:rPr>
        <w:t xml:space="preserve"> </w:t>
      </w:r>
      <w:r w:rsidRPr="000615C4">
        <w:rPr>
          <w:rFonts w:ascii="Arial" w:hAnsi="Arial" w:cs="Arial"/>
        </w:rPr>
        <w:t>authorised</w:t>
      </w:r>
      <w:r w:rsidRPr="000615C4">
        <w:rPr>
          <w:rFonts w:ascii="Arial" w:hAnsi="Arial" w:cs="Arial"/>
          <w:spacing w:val="-6"/>
        </w:rPr>
        <w:t xml:space="preserve"> </w:t>
      </w:r>
      <w:r w:rsidRPr="000615C4">
        <w:rPr>
          <w:rFonts w:ascii="Arial" w:hAnsi="Arial" w:cs="Arial"/>
        </w:rPr>
        <w:t>to</w:t>
      </w:r>
      <w:r w:rsidRPr="000615C4">
        <w:rPr>
          <w:rFonts w:ascii="Arial" w:hAnsi="Arial" w:cs="Arial"/>
          <w:spacing w:val="-3"/>
        </w:rPr>
        <w:t xml:space="preserve"> </w:t>
      </w:r>
      <w:r w:rsidRPr="000615C4">
        <w:rPr>
          <w:rFonts w:ascii="Arial" w:hAnsi="Arial" w:cs="Arial"/>
        </w:rPr>
        <w:t xml:space="preserve">prescribe, and to provide for its constant review; where Schedule 8 medicines are included specific details must be outlined within the prescribing agreement that includes </w:t>
      </w:r>
      <w:r w:rsidRPr="000615C4">
        <w:rPr>
          <w:rFonts w:ascii="Arial" w:hAnsi="Arial" w:cs="Arial"/>
          <w:color w:val="000000"/>
        </w:rPr>
        <w:t>information regarding the relevant state or territory medicines and controlled substances legislation.</w:t>
      </w:r>
    </w:p>
    <w:p w14:paraId="1A8EA42B" w14:textId="77777777" w:rsidR="00F05C60" w:rsidRPr="000615C4" w:rsidRDefault="00F05C60" w:rsidP="000615C4">
      <w:pPr>
        <w:pStyle w:val="ListParagraph"/>
        <w:widowControl w:val="0"/>
        <w:numPr>
          <w:ilvl w:val="0"/>
          <w:numId w:val="59"/>
        </w:numPr>
        <w:tabs>
          <w:tab w:val="left" w:pos="709"/>
        </w:tabs>
        <w:autoSpaceDE w:val="0"/>
        <w:autoSpaceDN w:val="0"/>
        <w:spacing w:before="3" w:after="0" w:line="235" w:lineRule="auto"/>
        <w:ind w:right="792"/>
        <w:contextualSpacing w:val="0"/>
        <w:rPr>
          <w:rFonts w:ascii="Arial" w:hAnsi="Arial" w:cs="Arial"/>
        </w:rPr>
      </w:pPr>
      <w:r w:rsidRPr="000615C4">
        <w:rPr>
          <w:rFonts w:ascii="Arial" w:hAnsi="Arial" w:cs="Arial"/>
        </w:rPr>
        <w:t>development</w:t>
      </w:r>
      <w:r w:rsidRPr="000615C4">
        <w:rPr>
          <w:rFonts w:ascii="Arial" w:hAnsi="Arial" w:cs="Arial"/>
          <w:spacing w:val="-3"/>
        </w:rPr>
        <w:t xml:space="preserve"> </w:t>
      </w:r>
      <w:r w:rsidRPr="000615C4">
        <w:rPr>
          <w:rFonts w:ascii="Arial" w:hAnsi="Arial" w:cs="Arial"/>
        </w:rPr>
        <w:t>of</w:t>
      </w:r>
      <w:r w:rsidRPr="000615C4">
        <w:rPr>
          <w:rFonts w:ascii="Arial" w:hAnsi="Arial" w:cs="Arial"/>
          <w:spacing w:val="-5"/>
        </w:rPr>
        <w:t xml:space="preserve"> </w:t>
      </w:r>
      <w:r w:rsidRPr="000615C4">
        <w:rPr>
          <w:rFonts w:ascii="Arial" w:hAnsi="Arial" w:cs="Arial"/>
        </w:rPr>
        <w:t>the</w:t>
      </w:r>
      <w:r w:rsidRPr="000615C4">
        <w:rPr>
          <w:rFonts w:ascii="Arial" w:hAnsi="Arial" w:cs="Arial"/>
          <w:spacing w:val="-6"/>
        </w:rPr>
        <w:t xml:space="preserve"> </w:t>
      </w:r>
      <w:r w:rsidRPr="000615C4">
        <w:rPr>
          <w:rFonts w:ascii="Arial" w:hAnsi="Arial" w:cs="Arial"/>
        </w:rPr>
        <w:t>prescribing</w:t>
      </w:r>
      <w:r w:rsidRPr="000615C4">
        <w:rPr>
          <w:rFonts w:ascii="Arial" w:hAnsi="Arial" w:cs="Arial"/>
          <w:spacing w:val="-5"/>
        </w:rPr>
        <w:t xml:space="preserve"> </w:t>
      </w:r>
      <w:r w:rsidRPr="000615C4">
        <w:rPr>
          <w:rFonts w:ascii="Arial" w:hAnsi="Arial" w:cs="Arial"/>
        </w:rPr>
        <w:t>agreement,</w:t>
      </w:r>
      <w:r w:rsidRPr="000615C4">
        <w:rPr>
          <w:rFonts w:ascii="Arial" w:hAnsi="Arial" w:cs="Arial"/>
          <w:spacing w:val="-3"/>
        </w:rPr>
        <w:t xml:space="preserve"> </w:t>
      </w:r>
      <w:r w:rsidRPr="000615C4">
        <w:rPr>
          <w:rFonts w:ascii="Arial" w:hAnsi="Arial" w:cs="Arial"/>
        </w:rPr>
        <w:t>the</w:t>
      </w:r>
      <w:r w:rsidRPr="000615C4">
        <w:rPr>
          <w:rFonts w:ascii="Arial" w:hAnsi="Arial" w:cs="Arial"/>
          <w:spacing w:val="-4"/>
        </w:rPr>
        <w:t xml:space="preserve"> </w:t>
      </w:r>
      <w:r w:rsidRPr="000615C4">
        <w:rPr>
          <w:rFonts w:ascii="Arial" w:hAnsi="Arial" w:cs="Arial"/>
        </w:rPr>
        <w:t>prescribing</w:t>
      </w:r>
      <w:r w:rsidRPr="000615C4">
        <w:rPr>
          <w:rFonts w:ascii="Arial" w:hAnsi="Arial" w:cs="Arial"/>
          <w:spacing w:val="-5"/>
        </w:rPr>
        <w:t xml:space="preserve"> </w:t>
      </w:r>
      <w:r w:rsidRPr="000615C4">
        <w:rPr>
          <w:rFonts w:ascii="Arial" w:hAnsi="Arial" w:cs="Arial"/>
        </w:rPr>
        <w:t>agreement</w:t>
      </w:r>
      <w:r w:rsidRPr="000615C4">
        <w:rPr>
          <w:rFonts w:ascii="Arial" w:hAnsi="Arial" w:cs="Arial"/>
          <w:spacing w:val="-3"/>
        </w:rPr>
        <w:t xml:space="preserve"> </w:t>
      </w:r>
      <w:r w:rsidRPr="000615C4">
        <w:rPr>
          <w:rFonts w:ascii="Arial" w:hAnsi="Arial" w:cs="Arial"/>
        </w:rPr>
        <w:t>must</w:t>
      </w:r>
      <w:r w:rsidRPr="000615C4">
        <w:rPr>
          <w:rFonts w:ascii="Arial" w:hAnsi="Arial" w:cs="Arial"/>
          <w:spacing w:val="-3"/>
        </w:rPr>
        <w:t xml:space="preserve"> </w:t>
      </w:r>
      <w:r w:rsidRPr="000615C4">
        <w:rPr>
          <w:rFonts w:ascii="Arial" w:hAnsi="Arial" w:cs="Arial"/>
        </w:rPr>
        <w:t>include</w:t>
      </w:r>
      <w:r w:rsidRPr="000615C4">
        <w:rPr>
          <w:rFonts w:ascii="Arial" w:hAnsi="Arial" w:cs="Arial"/>
          <w:spacing w:val="-6"/>
        </w:rPr>
        <w:t xml:space="preserve"> </w:t>
      </w:r>
      <w:r w:rsidRPr="000615C4">
        <w:rPr>
          <w:rFonts w:ascii="Arial" w:hAnsi="Arial" w:cs="Arial"/>
        </w:rPr>
        <w:t>details</w:t>
      </w:r>
      <w:r w:rsidRPr="000615C4">
        <w:rPr>
          <w:rFonts w:ascii="Arial" w:hAnsi="Arial" w:cs="Arial"/>
          <w:spacing w:val="-4"/>
        </w:rPr>
        <w:t xml:space="preserve"> </w:t>
      </w:r>
      <w:r w:rsidRPr="000615C4">
        <w:rPr>
          <w:rFonts w:ascii="Arial" w:hAnsi="Arial" w:cs="Arial"/>
        </w:rPr>
        <w:t>of</w:t>
      </w:r>
      <w:r w:rsidRPr="000615C4">
        <w:rPr>
          <w:rFonts w:ascii="Arial" w:hAnsi="Arial" w:cs="Arial"/>
          <w:spacing w:val="-3"/>
        </w:rPr>
        <w:t xml:space="preserve"> </w:t>
      </w:r>
      <w:r w:rsidRPr="000615C4">
        <w:rPr>
          <w:rFonts w:ascii="Arial" w:hAnsi="Arial" w:cs="Arial"/>
        </w:rPr>
        <w:t>the initial clinical mentorship</w:t>
      </w:r>
    </w:p>
    <w:p w14:paraId="6D3CBE6A" w14:textId="77777777" w:rsidR="00F05C60" w:rsidRPr="000615C4" w:rsidRDefault="00F05C60" w:rsidP="000615C4">
      <w:pPr>
        <w:pStyle w:val="ListParagraph"/>
        <w:widowControl w:val="0"/>
        <w:numPr>
          <w:ilvl w:val="0"/>
          <w:numId w:val="59"/>
        </w:numPr>
        <w:tabs>
          <w:tab w:val="left" w:pos="709"/>
        </w:tabs>
        <w:autoSpaceDE w:val="0"/>
        <w:autoSpaceDN w:val="0"/>
        <w:spacing w:before="123" w:after="0" w:line="240" w:lineRule="auto"/>
        <w:contextualSpacing w:val="0"/>
        <w:rPr>
          <w:rFonts w:ascii="Arial" w:hAnsi="Arial" w:cs="Arial"/>
        </w:rPr>
      </w:pPr>
      <w:r w:rsidRPr="000615C4">
        <w:rPr>
          <w:rFonts w:ascii="Arial" w:hAnsi="Arial" w:cs="Arial"/>
        </w:rPr>
        <w:t>development</w:t>
      </w:r>
      <w:r w:rsidRPr="000615C4">
        <w:rPr>
          <w:rFonts w:ascii="Arial" w:hAnsi="Arial" w:cs="Arial"/>
          <w:spacing w:val="-8"/>
        </w:rPr>
        <w:t xml:space="preserve"> </w:t>
      </w:r>
      <w:r w:rsidRPr="000615C4">
        <w:rPr>
          <w:rFonts w:ascii="Arial" w:hAnsi="Arial" w:cs="Arial"/>
        </w:rPr>
        <w:t>of</w:t>
      </w:r>
      <w:r w:rsidRPr="000615C4">
        <w:rPr>
          <w:rFonts w:ascii="Arial" w:hAnsi="Arial" w:cs="Arial"/>
          <w:spacing w:val="-7"/>
        </w:rPr>
        <w:t xml:space="preserve"> </w:t>
      </w:r>
      <w:r w:rsidRPr="000615C4">
        <w:rPr>
          <w:rFonts w:ascii="Arial" w:hAnsi="Arial" w:cs="Arial"/>
        </w:rPr>
        <w:t>local</w:t>
      </w:r>
      <w:r w:rsidRPr="000615C4">
        <w:rPr>
          <w:rFonts w:ascii="Arial" w:hAnsi="Arial" w:cs="Arial"/>
          <w:spacing w:val="-8"/>
        </w:rPr>
        <w:t xml:space="preserve"> </w:t>
      </w:r>
      <w:r w:rsidRPr="000615C4">
        <w:rPr>
          <w:rFonts w:ascii="Arial" w:hAnsi="Arial" w:cs="Arial"/>
        </w:rPr>
        <w:t>and/or</w:t>
      </w:r>
      <w:r w:rsidRPr="000615C4">
        <w:rPr>
          <w:rFonts w:ascii="Arial" w:hAnsi="Arial" w:cs="Arial"/>
          <w:spacing w:val="-8"/>
        </w:rPr>
        <w:t xml:space="preserve"> </w:t>
      </w:r>
      <w:r w:rsidRPr="000615C4">
        <w:rPr>
          <w:rFonts w:ascii="Arial" w:hAnsi="Arial" w:cs="Arial"/>
        </w:rPr>
        <w:t>organisational</w:t>
      </w:r>
      <w:r w:rsidRPr="000615C4">
        <w:rPr>
          <w:rFonts w:ascii="Arial" w:hAnsi="Arial" w:cs="Arial"/>
          <w:spacing w:val="-10"/>
        </w:rPr>
        <w:t xml:space="preserve"> </w:t>
      </w:r>
      <w:r w:rsidRPr="000615C4">
        <w:rPr>
          <w:rFonts w:ascii="Arial" w:hAnsi="Arial" w:cs="Arial"/>
        </w:rPr>
        <w:t>policies</w:t>
      </w:r>
      <w:r w:rsidRPr="000615C4">
        <w:rPr>
          <w:rFonts w:ascii="Arial" w:hAnsi="Arial" w:cs="Arial"/>
          <w:spacing w:val="-8"/>
        </w:rPr>
        <w:t xml:space="preserve"> </w:t>
      </w:r>
      <w:r w:rsidRPr="000615C4">
        <w:rPr>
          <w:rFonts w:ascii="Arial" w:hAnsi="Arial" w:cs="Arial"/>
        </w:rPr>
        <w:t>related</w:t>
      </w:r>
      <w:r w:rsidRPr="000615C4">
        <w:rPr>
          <w:rFonts w:ascii="Arial" w:hAnsi="Arial" w:cs="Arial"/>
          <w:spacing w:val="-8"/>
        </w:rPr>
        <w:t xml:space="preserve"> </w:t>
      </w:r>
      <w:r w:rsidRPr="000615C4">
        <w:rPr>
          <w:rFonts w:ascii="Arial" w:hAnsi="Arial" w:cs="Arial"/>
        </w:rPr>
        <w:t>to</w:t>
      </w:r>
      <w:r w:rsidRPr="000615C4">
        <w:rPr>
          <w:rFonts w:ascii="Arial" w:hAnsi="Arial" w:cs="Arial"/>
          <w:spacing w:val="-10"/>
        </w:rPr>
        <w:t xml:space="preserve"> </w:t>
      </w:r>
      <w:r w:rsidRPr="000615C4">
        <w:rPr>
          <w:rFonts w:ascii="Arial" w:hAnsi="Arial" w:cs="Arial"/>
        </w:rPr>
        <w:t>designated</w:t>
      </w:r>
      <w:r w:rsidRPr="000615C4">
        <w:rPr>
          <w:rFonts w:ascii="Arial" w:hAnsi="Arial" w:cs="Arial"/>
          <w:spacing w:val="-9"/>
        </w:rPr>
        <w:t xml:space="preserve"> </w:t>
      </w:r>
      <w:r w:rsidRPr="000615C4">
        <w:rPr>
          <w:rFonts w:ascii="Arial" w:hAnsi="Arial" w:cs="Arial"/>
        </w:rPr>
        <w:t>RN</w:t>
      </w:r>
      <w:r w:rsidRPr="000615C4">
        <w:rPr>
          <w:rFonts w:ascii="Arial" w:hAnsi="Arial" w:cs="Arial"/>
          <w:spacing w:val="-7"/>
        </w:rPr>
        <w:t xml:space="preserve"> </w:t>
      </w:r>
      <w:r w:rsidRPr="000615C4">
        <w:rPr>
          <w:rFonts w:ascii="Arial" w:hAnsi="Arial" w:cs="Arial"/>
          <w:spacing w:val="-2"/>
        </w:rPr>
        <w:t>prescribing</w:t>
      </w:r>
    </w:p>
    <w:p w14:paraId="4E61DC92" w14:textId="77777777" w:rsidR="00F05C60" w:rsidRPr="000615C4" w:rsidRDefault="00F05C60" w:rsidP="000615C4">
      <w:pPr>
        <w:pStyle w:val="ListParagraph"/>
        <w:widowControl w:val="0"/>
        <w:numPr>
          <w:ilvl w:val="0"/>
          <w:numId w:val="59"/>
        </w:numPr>
        <w:tabs>
          <w:tab w:val="left" w:pos="709"/>
        </w:tabs>
        <w:autoSpaceDE w:val="0"/>
        <w:autoSpaceDN w:val="0"/>
        <w:spacing w:before="124" w:after="0" w:line="235" w:lineRule="auto"/>
        <w:ind w:right="1514"/>
        <w:contextualSpacing w:val="0"/>
        <w:rPr>
          <w:rFonts w:ascii="Arial" w:hAnsi="Arial" w:cs="Arial"/>
        </w:rPr>
      </w:pPr>
      <w:r w:rsidRPr="000615C4">
        <w:rPr>
          <w:rFonts w:ascii="Arial" w:hAnsi="Arial" w:cs="Arial"/>
        </w:rPr>
        <w:t>risk</w:t>
      </w:r>
      <w:r w:rsidRPr="000615C4">
        <w:rPr>
          <w:rFonts w:ascii="Arial" w:hAnsi="Arial" w:cs="Arial"/>
          <w:spacing w:val="-5"/>
        </w:rPr>
        <w:t xml:space="preserve"> </w:t>
      </w:r>
      <w:r w:rsidRPr="000615C4">
        <w:rPr>
          <w:rFonts w:ascii="Arial" w:hAnsi="Arial" w:cs="Arial"/>
        </w:rPr>
        <w:t>management</w:t>
      </w:r>
      <w:r w:rsidRPr="000615C4">
        <w:rPr>
          <w:rFonts w:ascii="Arial" w:hAnsi="Arial" w:cs="Arial"/>
          <w:spacing w:val="-6"/>
        </w:rPr>
        <w:t xml:space="preserve"> </w:t>
      </w:r>
      <w:r w:rsidRPr="000615C4">
        <w:rPr>
          <w:rFonts w:ascii="Arial" w:hAnsi="Arial" w:cs="Arial"/>
        </w:rPr>
        <w:t>systems</w:t>
      </w:r>
      <w:r w:rsidRPr="000615C4">
        <w:rPr>
          <w:rFonts w:ascii="Arial" w:hAnsi="Arial" w:cs="Arial"/>
          <w:spacing w:val="-3"/>
        </w:rPr>
        <w:t xml:space="preserve"> </w:t>
      </w:r>
      <w:r w:rsidRPr="000615C4">
        <w:rPr>
          <w:rFonts w:ascii="Arial" w:hAnsi="Arial" w:cs="Arial"/>
        </w:rPr>
        <w:t>and</w:t>
      </w:r>
      <w:r w:rsidRPr="000615C4">
        <w:rPr>
          <w:rFonts w:ascii="Arial" w:hAnsi="Arial" w:cs="Arial"/>
          <w:spacing w:val="-4"/>
        </w:rPr>
        <w:t xml:space="preserve"> </w:t>
      </w:r>
      <w:r w:rsidRPr="000615C4">
        <w:rPr>
          <w:rFonts w:ascii="Arial" w:hAnsi="Arial" w:cs="Arial"/>
        </w:rPr>
        <w:t>processes</w:t>
      </w:r>
      <w:r w:rsidRPr="000615C4">
        <w:rPr>
          <w:rFonts w:ascii="Arial" w:hAnsi="Arial" w:cs="Arial"/>
          <w:spacing w:val="-5"/>
        </w:rPr>
        <w:t xml:space="preserve"> </w:t>
      </w:r>
      <w:r w:rsidRPr="000615C4">
        <w:rPr>
          <w:rFonts w:ascii="Arial" w:hAnsi="Arial" w:cs="Arial"/>
        </w:rPr>
        <w:t>for</w:t>
      </w:r>
      <w:r w:rsidRPr="000615C4">
        <w:rPr>
          <w:rFonts w:ascii="Arial" w:hAnsi="Arial" w:cs="Arial"/>
          <w:spacing w:val="-5"/>
        </w:rPr>
        <w:t xml:space="preserve"> </w:t>
      </w:r>
      <w:r w:rsidRPr="000615C4">
        <w:rPr>
          <w:rFonts w:ascii="Arial" w:hAnsi="Arial" w:cs="Arial"/>
        </w:rPr>
        <w:t>adverse</w:t>
      </w:r>
      <w:r w:rsidRPr="000615C4">
        <w:rPr>
          <w:rFonts w:ascii="Arial" w:hAnsi="Arial" w:cs="Arial"/>
          <w:spacing w:val="-4"/>
        </w:rPr>
        <w:t xml:space="preserve"> </w:t>
      </w:r>
      <w:r w:rsidRPr="000615C4">
        <w:rPr>
          <w:rFonts w:ascii="Arial" w:hAnsi="Arial" w:cs="Arial"/>
        </w:rPr>
        <w:t>event</w:t>
      </w:r>
      <w:r w:rsidRPr="000615C4">
        <w:rPr>
          <w:rFonts w:ascii="Arial" w:hAnsi="Arial" w:cs="Arial"/>
          <w:spacing w:val="-6"/>
        </w:rPr>
        <w:t xml:space="preserve"> </w:t>
      </w:r>
      <w:r w:rsidRPr="000615C4">
        <w:rPr>
          <w:rFonts w:ascii="Arial" w:hAnsi="Arial" w:cs="Arial"/>
        </w:rPr>
        <w:t>reporting,</w:t>
      </w:r>
      <w:r w:rsidRPr="000615C4">
        <w:rPr>
          <w:rFonts w:ascii="Arial" w:hAnsi="Arial" w:cs="Arial"/>
          <w:spacing w:val="-4"/>
        </w:rPr>
        <w:t xml:space="preserve"> </w:t>
      </w:r>
      <w:r w:rsidRPr="000615C4">
        <w:rPr>
          <w:rFonts w:ascii="Arial" w:hAnsi="Arial" w:cs="Arial"/>
        </w:rPr>
        <w:t>incident</w:t>
      </w:r>
      <w:r w:rsidRPr="000615C4">
        <w:rPr>
          <w:rFonts w:ascii="Arial" w:hAnsi="Arial" w:cs="Arial"/>
          <w:spacing w:val="-6"/>
        </w:rPr>
        <w:t xml:space="preserve"> </w:t>
      </w:r>
      <w:r w:rsidRPr="000615C4">
        <w:rPr>
          <w:rFonts w:ascii="Arial" w:hAnsi="Arial" w:cs="Arial"/>
        </w:rPr>
        <w:t>reporting, reporting of near misses and medication errors</w:t>
      </w:r>
    </w:p>
    <w:p w14:paraId="1B57B4D1" w14:textId="77777777" w:rsidR="00F05C60" w:rsidRPr="000615C4" w:rsidRDefault="00F05C60" w:rsidP="000615C4">
      <w:pPr>
        <w:pStyle w:val="ListParagraph"/>
        <w:widowControl w:val="0"/>
        <w:numPr>
          <w:ilvl w:val="0"/>
          <w:numId w:val="59"/>
        </w:numPr>
        <w:tabs>
          <w:tab w:val="left" w:pos="709"/>
        </w:tabs>
        <w:autoSpaceDE w:val="0"/>
        <w:autoSpaceDN w:val="0"/>
        <w:spacing w:before="123" w:after="0" w:line="240" w:lineRule="auto"/>
        <w:contextualSpacing w:val="0"/>
        <w:rPr>
          <w:rFonts w:ascii="Arial" w:hAnsi="Arial" w:cs="Arial"/>
        </w:rPr>
      </w:pPr>
      <w:r w:rsidRPr="000615C4">
        <w:rPr>
          <w:rFonts w:ascii="Arial" w:hAnsi="Arial" w:cs="Arial"/>
        </w:rPr>
        <w:t>processes</w:t>
      </w:r>
      <w:r w:rsidRPr="000615C4">
        <w:rPr>
          <w:rFonts w:ascii="Arial" w:hAnsi="Arial" w:cs="Arial"/>
          <w:spacing w:val="-7"/>
        </w:rPr>
        <w:t xml:space="preserve"> </w:t>
      </w:r>
      <w:r w:rsidRPr="000615C4">
        <w:rPr>
          <w:rFonts w:ascii="Arial" w:hAnsi="Arial" w:cs="Arial"/>
        </w:rPr>
        <w:t>for</w:t>
      </w:r>
      <w:r w:rsidRPr="000615C4">
        <w:rPr>
          <w:rFonts w:ascii="Arial" w:hAnsi="Arial" w:cs="Arial"/>
          <w:spacing w:val="-7"/>
        </w:rPr>
        <w:t xml:space="preserve"> </w:t>
      </w:r>
      <w:r w:rsidRPr="000615C4">
        <w:rPr>
          <w:rFonts w:ascii="Arial" w:hAnsi="Arial" w:cs="Arial"/>
        </w:rPr>
        <w:t>monitoring,</w:t>
      </w:r>
      <w:r w:rsidRPr="000615C4">
        <w:rPr>
          <w:rFonts w:ascii="Arial" w:hAnsi="Arial" w:cs="Arial"/>
          <w:spacing w:val="-8"/>
        </w:rPr>
        <w:t xml:space="preserve"> </w:t>
      </w:r>
      <w:r w:rsidRPr="000615C4">
        <w:rPr>
          <w:rFonts w:ascii="Arial" w:hAnsi="Arial" w:cs="Arial"/>
        </w:rPr>
        <w:t>review</w:t>
      </w:r>
      <w:r w:rsidRPr="000615C4">
        <w:rPr>
          <w:rFonts w:ascii="Arial" w:hAnsi="Arial" w:cs="Arial"/>
          <w:spacing w:val="-6"/>
        </w:rPr>
        <w:t xml:space="preserve"> </w:t>
      </w:r>
      <w:r w:rsidRPr="000615C4">
        <w:rPr>
          <w:rFonts w:ascii="Arial" w:hAnsi="Arial" w:cs="Arial"/>
        </w:rPr>
        <w:t>and</w:t>
      </w:r>
      <w:r w:rsidRPr="000615C4">
        <w:rPr>
          <w:rFonts w:ascii="Arial" w:hAnsi="Arial" w:cs="Arial"/>
          <w:spacing w:val="-6"/>
        </w:rPr>
        <w:t xml:space="preserve"> </w:t>
      </w:r>
      <w:r w:rsidRPr="000615C4">
        <w:rPr>
          <w:rFonts w:ascii="Arial" w:hAnsi="Arial" w:cs="Arial"/>
        </w:rPr>
        <w:t>audit</w:t>
      </w:r>
      <w:r w:rsidRPr="000615C4">
        <w:rPr>
          <w:rFonts w:ascii="Arial" w:hAnsi="Arial" w:cs="Arial"/>
          <w:spacing w:val="-6"/>
        </w:rPr>
        <w:t xml:space="preserve"> </w:t>
      </w:r>
      <w:r w:rsidRPr="000615C4">
        <w:rPr>
          <w:rFonts w:ascii="Arial" w:hAnsi="Arial" w:cs="Arial"/>
        </w:rPr>
        <w:t>of</w:t>
      </w:r>
      <w:r w:rsidRPr="000615C4">
        <w:rPr>
          <w:rFonts w:ascii="Arial" w:hAnsi="Arial" w:cs="Arial"/>
          <w:spacing w:val="-7"/>
        </w:rPr>
        <w:t xml:space="preserve"> </w:t>
      </w:r>
      <w:r w:rsidRPr="000615C4">
        <w:rPr>
          <w:rFonts w:ascii="Arial" w:hAnsi="Arial" w:cs="Arial"/>
        </w:rPr>
        <w:t>prescribing</w:t>
      </w:r>
      <w:r w:rsidRPr="000615C4">
        <w:rPr>
          <w:rFonts w:ascii="Arial" w:hAnsi="Arial" w:cs="Arial"/>
          <w:spacing w:val="-9"/>
        </w:rPr>
        <w:t xml:space="preserve"> </w:t>
      </w:r>
      <w:r w:rsidRPr="000615C4">
        <w:rPr>
          <w:rFonts w:ascii="Arial" w:hAnsi="Arial" w:cs="Arial"/>
          <w:spacing w:val="-2"/>
        </w:rPr>
        <w:t>practices</w:t>
      </w:r>
    </w:p>
    <w:p w14:paraId="0EC07F5C" w14:textId="77777777" w:rsidR="00F05C60" w:rsidRPr="000615C4" w:rsidRDefault="00F05C60" w:rsidP="000615C4">
      <w:pPr>
        <w:pStyle w:val="ListParagraph"/>
        <w:widowControl w:val="0"/>
        <w:numPr>
          <w:ilvl w:val="0"/>
          <w:numId w:val="59"/>
        </w:numPr>
        <w:tabs>
          <w:tab w:val="left" w:pos="709"/>
        </w:tabs>
        <w:autoSpaceDE w:val="0"/>
        <w:autoSpaceDN w:val="0"/>
        <w:spacing w:before="118" w:after="0" w:line="240" w:lineRule="auto"/>
        <w:ind w:right="1304"/>
        <w:contextualSpacing w:val="0"/>
        <w:rPr>
          <w:rFonts w:ascii="Arial" w:hAnsi="Arial" w:cs="Arial"/>
        </w:rPr>
      </w:pPr>
      <w:r w:rsidRPr="000615C4">
        <w:rPr>
          <w:rFonts w:ascii="Arial" w:hAnsi="Arial" w:cs="Arial"/>
        </w:rPr>
        <w:t>processes</w:t>
      </w:r>
      <w:r w:rsidRPr="000615C4">
        <w:rPr>
          <w:rFonts w:ascii="Arial" w:hAnsi="Arial" w:cs="Arial"/>
          <w:spacing w:val="-5"/>
        </w:rPr>
        <w:t xml:space="preserve"> </w:t>
      </w:r>
      <w:r w:rsidRPr="000615C4">
        <w:rPr>
          <w:rFonts w:ascii="Arial" w:hAnsi="Arial" w:cs="Arial"/>
        </w:rPr>
        <w:t>for</w:t>
      </w:r>
      <w:r w:rsidRPr="000615C4">
        <w:rPr>
          <w:rFonts w:ascii="Arial" w:hAnsi="Arial" w:cs="Arial"/>
          <w:spacing w:val="-5"/>
        </w:rPr>
        <w:t xml:space="preserve"> </w:t>
      </w:r>
      <w:r w:rsidRPr="000615C4">
        <w:rPr>
          <w:rFonts w:ascii="Arial" w:hAnsi="Arial" w:cs="Arial"/>
        </w:rPr>
        <w:t>communicating</w:t>
      </w:r>
      <w:r w:rsidRPr="000615C4">
        <w:rPr>
          <w:rFonts w:ascii="Arial" w:hAnsi="Arial" w:cs="Arial"/>
          <w:spacing w:val="-7"/>
        </w:rPr>
        <w:t xml:space="preserve"> </w:t>
      </w:r>
      <w:r w:rsidRPr="000615C4">
        <w:rPr>
          <w:rFonts w:ascii="Arial" w:hAnsi="Arial" w:cs="Arial"/>
        </w:rPr>
        <w:t>the</w:t>
      </w:r>
      <w:r w:rsidRPr="000615C4">
        <w:rPr>
          <w:rFonts w:ascii="Arial" w:hAnsi="Arial" w:cs="Arial"/>
          <w:spacing w:val="-6"/>
        </w:rPr>
        <w:t xml:space="preserve"> </w:t>
      </w:r>
      <w:r w:rsidRPr="000615C4">
        <w:rPr>
          <w:rFonts w:ascii="Arial" w:hAnsi="Arial" w:cs="Arial"/>
        </w:rPr>
        <w:t>prescribing</w:t>
      </w:r>
      <w:r w:rsidRPr="000615C4">
        <w:rPr>
          <w:rFonts w:ascii="Arial" w:hAnsi="Arial" w:cs="Arial"/>
          <w:spacing w:val="-4"/>
        </w:rPr>
        <w:t xml:space="preserve"> </w:t>
      </w:r>
      <w:r w:rsidRPr="000615C4">
        <w:rPr>
          <w:rFonts w:ascii="Arial" w:hAnsi="Arial" w:cs="Arial"/>
        </w:rPr>
        <w:t>agreement</w:t>
      </w:r>
      <w:r w:rsidRPr="000615C4">
        <w:rPr>
          <w:rFonts w:ascii="Arial" w:hAnsi="Arial" w:cs="Arial"/>
          <w:spacing w:val="-6"/>
        </w:rPr>
        <w:t xml:space="preserve"> </w:t>
      </w:r>
      <w:r w:rsidRPr="000615C4">
        <w:rPr>
          <w:rFonts w:ascii="Arial" w:hAnsi="Arial" w:cs="Arial"/>
        </w:rPr>
        <w:t>with</w:t>
      </w:r>
      <w:r w:rsidRPr="000615C4">
        <w:rPr>
          <w:rFonts w:ascii="Arial" w:hAnsi="Arial" w:cs="Arial"/>
          <w:spacing w:val="-7"/>
        </w:rPr>
        <w:t xml:space="preserve"> </w:t>
      </w:r>
      <w:r w:rsidRPr="000615C4">
        <w:rPr>
          <w:rFonts w:ascii="Arial" w:hAnsi="Arial" w:cs="Arial"/>
        </w:rPr>
        <w:t>other</w:t>
      </w:r>
      <w:r w:rsidRPr="000615C4">
        <w:rPr>
          <w:rFonts w:ascii="Arial" w:hAnsi="Arial" w:cs="Arial"/>
          <w:spacing w:val="-5"/>
        </w:rPr>
        <w:t xml:space="preserve"> </w:t>
      </w:r>
      <w:r w:rsidRPr="000615C4">
        <w:rPr>
          <w:rFonts w:ascii="Arial" w:hAnsi="Arial" w:cs="Arial"/>
        </w:rPr>
        <w:t>health</w:t>
      </w:r>
      <w:r w:rsidRPr="000615C4">
        <w:rPr>
          <w:rFonts w:ascii="Arial" w:hAnsi="Arial" w:cs="Arial"/>
          <w:spacing w:val="-4"/>
        </w:rPr>
        <w:t xml:space="preserve"> </w:t>
      </w:r>
      <w:r w:rsidRPr="000615C4">
        <w:rPr>
          <w:rFonts w:ascii="Arial" w:hAnsi="Arial" w:cs="Arial"/>
        </w:rPr>
        <w:t>practitioners</w:t>
      </w:r>
      <w:r w:rsidRPr="000615C4">
        <w:rPr>
          <w:rFonts w:ascii="Arial" w:hAnsi="Arial" w:cs="Arial"/>
          <w:spacing w:val="-5"/>
        </w:rPr>
        <w:t xml:space="preserve"> </w:t>
      </w:r>
      <w:r w:rsidRPr="000615C4">
        <w:rPr>
          <w:rFonts w:ascii="Arial" w:hAnsi="Arial" w:cs="Arial"/>
        </w:rPr>
        <w:t>and consumers, and</w:t>
      </w:r>
    </w:p>
    <w:p w14:paraId="09E2A033" w14:textId="77777777" w:rsidR="00F05C60" w:rsidRPr="000615C4" w:rsidRDefault="00F05C60" w:rsidP="000615C4">
      <w:pPr>
        <w:pStyle w:val="ListParagraph"/>
        <w:widowControl w:val="0"/>
        <w:numPr>
          <w:ilvl w:val="0"/>
          <w:numId w:val="59"/>
        </w:numPr>
        <w:tabs>
          <w:tab w:val="left" w:pos="709"/>
        </w:tabs>
        <w:autoSpaceDE w:val="0"/>
        <w:autoSpaceDN w:val="0"/>
        <w:spacing w:before="120" w:after="0" w:line="240" w:lineRule="auto"/>
        <w:contextualSpacing w:val="0"/>
        <w:rPr>
          <w:rFonts w:ascii="Arial" w:hAnsi="Arial" w:cs="Arial"/>
        </w:rPr>
      </w:pPr>
      <w:r w:rsidRPr="000615C4">
        <w:rPr>
          <w:rFonts w:ascii="Arial" w:hAnsi="Arial" w:cs="Arial"/>
        </w:rPr>
        <w:t>processes</w:t>
      </w:r>
      <w:r w:rsidRPr="000615C4">
        <w:rPr>
          <w:rFonts w:ascii="Arial" w:hAnsi="Arial" w:cs="Arial"/>
          <w:spacing w:val="-7"/>
        </w:rPr>
        <w:t xml:space="preserve"> </w:t>
      </w:r>
      <w:r w:rsidRPr="000615C4">
        <w:rPr>
          <w:rFonts w:ascii="Arial" w:hAnsi="Arial" w:cs="Arial"/>
        </w:rPr>
        <w:t>for</w:t>
      </w:r>
      <w:r w:rsidRPr="000615C4">
        <w:rPr>
          <w:rFonts w:ascii="Arial" w:hAnsi="Arial" w:cs="Arial"/>
          <w:spacing w:val="-7"/>
        </w:rPr>
        <w:t xml:space="preserve"> </w:t>
      </w:r>
      <w:r w:rsidRPr="000615C4">
        <w:rPr>
          <w:rFonts w:ascii="Arial" w:hAnsi="Arial" w:cs="Arial"/>
        </w:rPr>
        <w:t>resolving</w:t>
      </w:r>
      <w:r w:rsidRPr="000615C4">
        <w:rPr>
          <w:rFonts w:ascii="Arial" w:hAnsi="Arial" w:cs="Arial"/>
          <w:spacing w:val="-9"/>
        </w:rPr>
        <w:t xml:space="preserve"> </w:t>
      </w:r>
      <w:r w:rsidRPr="000615C4">
        <w:rPr>
          <w:rFonts w:ascii="Arial" w:hAnsi="Arial" w:cs="Arial"/>
        </w:rPr>
        <w:t>or</w:t>
      </w:r>
      <w:r w:rsidRPr="000615C4">
        <w:rPr>
          <w:rFonts w:ascii="Arial" w:hAnsi="Arial" w:cs="Arial"/>
          <w:spacing w:val="-5"/>
        </w:rPr>
        <w:t xml:space="preserve"> </w:t>
      </w:r>
      <w:r w:rsidRPr="000615C4">
        <w:rPr>
          <w:rFonts w:ascii="Arial" w:hAnsi="Arial" w:cs="Arial"/>
        </w:rPr>
        <w:t>escalating</w:t>
      </w:r>
      <w:r w:rsidRPr="000615C4">
        <w:rPr>
          <w:rFonts w:ascii="Arial" w:hAnsi="Arial" w:cs="Arial"/>
          <w:spacing w:val="-7"/>
        </w:rPr>
        <w:t xml:space="preserve"> </w:t>
      </w:r>
      <w:r w:rsidRPr="000615C4">
        <w:rPr>
          <w:rFonts w:ascii="Arial" w:hAnsi="Arial" w:cs="Arial"/>
        </w:rPr>
        <w:t>differences</w:t>
      </w:r>
      <w:r w:rsidRPr="000615C4">
        <w:rPr>
          <w:rFonts w:ascii="Arial" w:hAnsi="Arial" w:cs="Arial"/>
          <w:spacing w:val="-5"/>
        </w:rPr>
        <w:t xml:space="preserve"> </w:t>
      </w:r>
      <w:r w:rsidRPr="000615C4">
        <w:rPr>
          <w:rFonts w:ascii="Arial" w:hAnsi="Arial" w:cs="Arial"/>
        </w:rPr>
        <w:t>of</w:t>
      </w:r>
      <w:r w:rsidRPr="000615C4">
        <w:rPr>
          <w:rFonts w:ascii="Arial" w:hAnsi="Arial" w:cs="Arial"/>
          <w:spacing w:val="-8"/>
        </w:rPr>
        <w:t xml:space="preserve"> </w:t>
      </w:r>
      <w:r w:rsidRPr="000615C4">
        <w:rPr>
          <w:rFonts w:ascii="Arial" w:hAnsi="Arial" w:cs="Arial"/>
          <w:spacing w:val="-2"/>
        </w:rPr>
        <w:t>opinions.</w:t>
      </w:r>
    </w:p>
    <w:p w14:paraId="56288BB5" w14:textId="77777777" w:rsidR="00F05C60" w:rsidRDefault="00F05C60" w:rsidP="00F05C60">
      <w:pPr>
        <w:pStyle w:val="BodyText"/>
        <w:spacing w:before="196"/>
      </w:pPr>
      <w:r>
        <w:t>The</w:t>
      </w:r>
      <w:r>
        <w:rPr>
          <w:spacing w:val="-7"/>
        </w:rPr>
        <w:t xml:space="preserve"> </w:t>
      </w:r>
      <w:r>
        <w:t>clinical</w:t>
      </w:r>
      <w:r>
        <w:rPr>
          <w:spacing w:val="-7"/>
        </w:rPr>
        <w:t xml:space="preserve"> </w:t>
      </w:r>
      <w:r>
        <w:t>governance</w:t>
      </w:r>
      <w:r>
        <w:rPr>
          <w:spacing w:val="-4"/>
        </w:rPr>
        <w:t xml:space="preserve"> </w:t>
      </w:r>
      <w:r>
        <w:t>framework</w:t>
      </w:r>
      <w:r>
        <w:rPr>
          <w:spacing w:val="-4"/>
        </w:rPr>
        <w:t xml:space="preserve"> </w:t>
      </w:r>
      <w:r>
        <w:t>is</w:t>
      </w:r>
      <w:r>
        <w:rPr>
          <w:spacing w:val="-6"/>
        </w:rPr>
        <w:t xml:space="preserve"> </w:t>
      </w:r>
      <w:r>
        <w:t>to</w:t>
      </w:r>
      <w:r>
        <w:rPr>
          <w:spacing w:val="-6"/>
        </w:rPr>
        <w:t xml:space="preserve"> </w:t>
      </w:r>
      <w:r>
        <w:t>be</w:t>
      </w:r>
      <w:r>
        <w:rPr>
          <w:spacing w:val="-6"/>
        </w:rPr>
        <w:t xml:space="preserve"> </w:t>
      </w:r>
      <w:r>
        <w:t>reviewed</w:t>
      </w:r>
      <w:r>
        <w:rPr>
          <w:spacing w:val="-4"/>
        </w:rPr>
        <w:t xml:space="preserve"> </w:t>
      </w:r>
      <w:r>
        <w:t>on</w:t>
      </w:r>
      <w:r>
        <w:rPr>
          <w:spacing w:val="-6"/>
        </w:rPr>
        <w:t xml:space="preserve"> </w:t>
      </w:r>
      <w:r>
        <w:t>a</w:t>
      </w:r>
      <w:r>
        <w:rPr>
          <w:spacing w:val="-7"/>
        </w:rPr>
        <w:t xml:space="preserve"> </w:t>
      </w:r>
      <w:r>
        <w:t>regular</w:t>
      </w:r>
      <w:r>
        <w:rPr>
          <w:spacing w:val="-7"/>
        </w:rPr>
        <w:t xml:space="preserve"> </w:t>
      </w:r>
      <w:r>
        <w:rPr>
          <w:spacing w:val="-2"/>
        </w:rPr>
        <w:t>basis.</w:t>
      </w:r>
    </w:p>
    <w:p w14:paraId="34494BE8" w14:textId="566E1116" w:rsidR="00F05C60" w:rsidRPr="000D1640" w:rsidRDefault="00F05C60" w:rsidP="000D1640">
      <w:pPr>
        <w:pStyle w:val="Heading1"/>
        <w:keepNext w:val="0"/>
        <w:widowControl w:val="0"/>
        <w:autoSpaceDE w:val="0"/>
        <w:autoSpaceDN w:val="0"/>
        <w:spacing w:before="600" w:after="240"/>
        <w:ind w:left="119" w:hanging="119"/>
        <w:rPr>
          <w:rFonts w:ascii="Arial" w:eastAsia="Arial" w:hAnsi="Arial" w:cs="Arial"/>
          <w:b w:val="0"/>
          <w:bCs w:val="0"/>
          <w:color w:val="009CDE"/>
          <w:kern w:val="0"/>
          <w:lang w:val="en-US"/>
        </w:rPr>
      </w:pPr>
      <w:r w:rsidRPr="000D1640">
        <w:rPr>
          <w:rFonts w:ascii="Arial" w:eastAsia="Arial" w:hAnsi="Arial" w:cs="Arial"/>
          <w:b w:val="0"/>
          <w:bCs w:val="0"/>
          <w:noProof/>
          <w:color w:val="009CDE"/>
          <w:kern w:val="0"/>
          <w:lang w:eastAsia="en-AU"/>
        </w:rPr>
        <mc:AlternateContent>
          <mc:Choice Requires="wps">
            <w:drawing>
              <wp:anchor distT="0" distB="0" distL="0" distR="0" simplePos="0" relativeHeight="251662380" behindDoc="1" locked="0" layoutInCell="1" allowOverlap="1" wp14:anchorId="1E48585D" wp14:editId="5872A18E">
                <wp:simplePos x="0" y="0"/>
                <wp:positionH relativeFrom="page">
                  <wp:posOffset>917752</wp:posOffset>
                </wp:positionH>
                <wp:positionV relativeFrom="paragraph">
                  <wp:posOffset>130248</wp:posOffset>
                </wp:positionV>
                <wp:extent cx="5722620" cy="7270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727075"/>
                        </a:xfrm>
                        <a:prstGeom prst="rect">
                          <a:avLst/>
                        </a:prstGeom>
                        <a:solidFill>
                          <a:srgbClr val="C5D9F0"/>
                        </a:solidFill>
                        <a:ln w="6096">
                          <a:solidFill>
                            <a:srgbClr val="000000"/>
                          </a:solidFill>
                          <a:prstDash val="solid"/>
                        </a:ln>
                      </wps:spPr>
                      <wps:txbx>
                        <w:txbxContent>
                          <w:p w14:paraId="3E14FF78" w14:textId="77777777" w:rsidR="00F05C60" w:rsidRDefault="00F05C60" w:rsidP="00F05C60">
                            <w:pPr>
                              <w:pStyle w:val="BodyText"/>
                              <w:spacing w:before="107"/>
                              <w:ind w:left="103" w:right="161"/>
                              <w:rPr>
                                <w:color w:val="000000"/>
                              </w:rPr>
                            </w:pPr>
                            <w:r w:rsidRPr="008E1639">
                              <w:rPr>
                                <w:b/>
                                <w:color w:val="000000"/>
                              </w:rPr>
                              <w:t>To</w:t>
                            </w:r>
                            <w:r w:rsidRPr="008E1639">
                              <w:rPr>
                                <w:b/>
                                <w:color w:val="000000"/>
                                <w:spacing w:val="-1"/>
                              </w:rPr>
                              <w:t xml:space="preserve"> </w:t>
                            </w:r>
                            <w:r w:rsidRPr="008E1639">
                              <w:rPr>
                                <w:b/>
                                <w:color w:val="000000"/>
                              </w:rPr>
                              <w:t>note</w:t>
                            </w:r>
                            <w:r w:rsidRPr="008E1639">
                              <w:rPr>
                                <w:color w:val="000000"/>
                              </w:rPr>
                              <w:t>,</w:t>
                            </w:r>
                            <w:r w:rsidRPr="008E1639">
                              <w:rPr>
                                <w:color w:val="000000"/>
                                <w:spacing w:val="-2"/>
                              </w:rPr>
                              <w:t xml:space="preserve"> </w:t>
                            </w:r>
                            <w:r w:rsidRPr="008E1639">
                              <w:rPr>
                                <w:color w:val="000000"/>
                              </w:rPr>
                              <w:t>the</w:t>
                            </w:r>
                            <w:r w:rsidRPr="008E1639">
                              <w:rPr>
                                <w:color w:val="000000"/>
                                <w:spacing w:val="-2"/>
                              </w:rPr>
                              <w:t xml:space="preserve"> </w:t>
                            </w:r>
                            <w:r w:rsidRPr="008E1639">
                              <w:rPr>
                                <w:color w:val="000000"/>
                              </w:rPr>
                              <w:t>clinical</w:t>
                            </w:r>
                            <w:r w:rsidRPr="008E1639">
                              <w:rPr>
                                <w:color w:val="000000"/>
                                <w:spacing w:val="-1"/>
                              </w:rPr>
                              <w:t xml:space="preserve"> </w:t>
                            </w:r>
                            <w:r w:rsidRPr="008E1639">
                              <w:rPr>
                                <w:color w:val="000000"/>
                              </w:rPr>
                              <w:t>governance framework is</w:t>
                            </w:r>
                            <w:r w:rsidRPr="008E1639">
                              <w:rPr>
                                <w:color w:val="000000"/>
                                <w:spacing w:val="-1"/>
                              </w:rPr>
                              <w:t xml:space="preserve"> </w:t>
                            </w:r>
                            <w:r w:rsidRPr="008E1639">
                              <w:rPr>
                                <w:color w:val="000000"/>
                              </w:rPr>
                              <w:t>not a</w:t>
                            </w:r>
                            <w:r w:rsidRPr="008E1639">
                              <w:rPr>
                                <w:color w:val="000000"/>
                                <w:spacing w:val="-2"/>
                              </w:rPr>
                              <w:t xml:space="preserve"> </w:t>
                            </w:r>
                            <w:r w:rsidRPr="008E1639">
                              <w:rPr>
                                <w:color w:val="000000"/>
                              </w:rPr>
                              <w:t>prerequisite by</w:t>
                            </w:r>
                            <w:r w:rsidRPr="008E1639">
                              <w:rPr>
                                <w:color w:val="000000"/>
                                <w:spacing w:val="-1"/>
                              </w:rPr>
                              <w:t xml:space="preserve"> </w:t>
                            </w:r>
                            <w:r w:rsidRPr="008E1639">
                              <w:rPr>
                                <w:color w:val="000000"/>
                              </w:rPr>
                              <w:t>the</w:t>
                            </w:r>
                            <w:r w:rsidRPr="008E1639">
                              <w:rPr>
                                <w:color w:val="000000"/>
                                <w:spacing w:val="-2"/>
                              </w:rPr>
                              <w:t xml:space="preserve"> </w:t>
                            </w:r>
                            <w:r w:rsidRPr="008E1639">
                              <w:rPr>
                                <w:color w:val="000000"/>
                              </w:rPr>
                              <w:t xml:space="preserve">NMBA for </w:t>
                            </w:r>
                            <w:r>
                              <w:rPr>
                                <w:color w:val="000000"/>
                              </w:rPr>
                              <w:t xml:space="preserve">the </w:t>
                            </w:r>
                            <w:r w:rsidRPr="008E1639">
                              <w:rPr>
                                <w:color w:val="000000"/>
                              </w:rPr>
                              <w:t>endorsement for scheduled</w:t>
                            </w:r>
                            <w:r w:rsidRPr="008E1639">
                              <w:rPr>
                                <w:color w:val="000000"/>
                                <w:spacing w:val="-2"/>
                              </w:rPr>
                              <w:t xml:space="preserve"> </w:t>
                            </w:r>
                            <w:r w:rsidRPr="008E1639">
                              <w:rPr>
                                <w:color w:val="000000"/>
                              </w:rPr>
                              <w:t>medicines</w:t>
                            </w:r>
                            <w:r w:rsidRPr="008E1639">
                              <w:rPr>
                                <w:color w:val="000000"/>
                                <w:spacing w:val="-2"/>
                              </w:rPr>
                              <w:t xml:space="preserve"> </w:t>
                            </w:r>
                            <w:r w:rsidRPr="008E1639">
                              <w:rPr>
                                <w:color w:val="000000"/>
                              </w:rPr>
                              <w:t>as</w:t>
                            </w:r>
                            <w:r w:rsidRPr="008E1639">
                              <w:rPr>
                                <w:color w:val="000000"/>
                                <w:spacing w:val="-3"/>
                              </w:rPr>
                              <w:t xml:space="preserve"> </w:t>
                            </w:r>
                            <w:r w:rsidRPr="008E1639">
                              <w:rPr>
                                <w:color w:val="000000"/>
                              </w:rPr>
                              <w:t>a</w:t>
                            </w:r>
                            <w:r w:rsidRPr="008E1639">
                              <w:rPr>
                                <w:color w:val="000000"/>
                                <w:spacing w:val="-2"/>
                              </w:rPr>
                              <w:t xml:space="preserve"> </w:t>
                            </w:r>
                            <w:r w:rsidRPr="008E1639">
                              <w:rPr>
                                <w:color w:val="000000"/>
                              </w:rPr>
                              <w:t>designated</w:t>
                            </w:r>
                            <w:r w:rsidRPr="008E1639">
                              <w:rPr>
                                <w:color w:val="000000"/>
                                <w:spacing w:val="-4"/>
                              </w:rPr>
                              <w:t xml:space="preserve"> </w:t>
                            </w:r>
                            <w:r w:rsidRPr="008E1639">
                              <w:rPr>
                                <w:color w:val="000000"/>
                              </w:rPr>
                              <w:t>RN</w:t>
                            </w:r>
                            <w:r w:rsidRPr="008E1639">
                              <w:rPr>
                                <w:color w:val="000000"/>
                                <w:spacing w:val="-2"/>
                              </w:rPr>
                              <w:t xml:space="preserve"> </w:t>
                            </w:r>
                            <w:r w:rsidRPr="008E1639">
                              <w:rPr>
                                <w:color w:val="000000"/>
                              </w:rPr>
                              <w:t>prescriber.</w:t>
                            </w:r>
                            <w:r w:rsidRPr="008E1639">
                              <w:rPr>
                                <w:color w:val="000000"/>
                                <w:spacing w:val="-4"/>
                              </w:rPr>
                              <w:t xml:space="preserve"> </w:t>
                            </w:r>
                            <w:r w:rsidRPr="008E1639">
                              <w:rPr>
                                <w:color w:val="000000"/>
                              </w:rPr>
                              <w:t>However,</w:t>
                            </w:r>
                            <w:r w:rsidRPr="008E1639">
                              <w:rPr>
                                <w:color w:val="000000"/>
                                <w:spacing w:val="-4"/>
                              </w:rPr>
                              <w:t xml:space="preserve"> </w:t>
                            </w:r>
                            <w:r w:rsidRPr="008E1639">
                              <w:rPr>
                                <w:color w:val="000000"/>
                              </w:rPr>
                              <w:t xml:space="preserve">a clinical governance framework, together with a prescribing agreement, </w:t>
                            </w:r>
                            <w:r w:rsidRPr="008E1639">
                              <w:t xml:space="preserve">must be in </w:t>
                            </w:r>
                            <w:r w:rsidRPr="008E1639">
                              <w:rPr>
                                <w:color w:val="000000"/>
                              </w:rPr>
                              <w:t>place before commencing prescribing in partnership as a designated RN prescriber.</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48585D" id="Textbox 16" o:spid="_x0000_s1052" type="#_x0000_t202" style="position:absolute;left:0;text-align:left;margin-left:72.25pt;margin-top:10.25pt;width:450.6pt;height:57.25pt;z-index:-2516541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" fillcolor="#c5d9f0" strokeweight=".48pt">
                <v:path arrowok="t"/>
                <v:textbox inset="0,0,0,0">
                  <w:txbxContent>
                    <w:p w14:paraId="3E14FF78" w14:textId="77777777" w:rsidR="00F05C60" w:rsidRDefault="00F05C60" w:rsidP="00F05C60">
                      <w:pPr>
                        <w:pStyle w:val="BodyText"/>
                        <w:spacing w:before="107"/>
                        <w:ind w:left="103" w:right="161"/>
                        <w:rPr>
                          <w:color w:val="000000"/>
                        </w:rPr>
                      </w:pPr>
                      <w:r w:rsidRPr="008E1639">
                        <w:rPr>
                          <w:b/>
                          <w:color w:val="000000"/>
                        </w:rPr>
                        <w:t>To</w:t>
                      </w:r>
                      <w:r w:rsidRPr="008E1639">
                        <w:rPr>
                          <w:b/>
                          <w:color w:val="000000"/>
                          <w:spacing w:val="-1"/>
                        </w:rPr>
                        <w:t xml:space="preserve"> </w:t>
                      </w:r>
                      <w:r w:rsidRPr="008E1639">
                        <w:rPr>
                          <w:b/>
                          <w:color w:val="000000"/>
                        </w:rPr>
                        <w:t>note</w:t>
                      </w:r>
                      <w:r w:rsidRPr="008E1639">
                        <w:rPr>
                          <w:color w:val="000000"/>
                        </w:rPr>
                        <w:t>,</w:t>
                      </w:r>
                      <w:r w:rsidRPr="008E1639">
                        <w:rPr>
                          <w:color w:val="000000"/>
                          <w:spacing w:val="-2"/>
                        </w:rPr>
                        <w:t xml:space="preserve"> </w:t>
                      </w:r>
                      <w:r w:rsidRPr="008E1639">
                        <w:rPr>
                          <w:color w:val="000000"/>
                        </w:rPr>
                        <w:t>the</w:t>
                      </w:r>
                      <w:r w:rsidRPr="008E1639">
                        <w:rPr>
                          <w:color w:val="000000"/>
                          <w:spacing w:val="-2"/>
                        </w:rPr>
                        <w:t xml:space="preserve"> </w:t>
                      </w:r>
                      <w:r w:rsidRPr="008E1639">
                        <w:rPr>
                          <w:color w:val="000000"/>
                        </w:rPr>
                        <w:t>clinical</w:t>
                      </w:r>
                      <w:r w:rsidRPr="008E1639">
                        <w:rPr>
                          <w:color w:val="000000"/>
                          <w:spacing w:val="-1"/>
                        </w:rPr>
                        <w:t xml:space="preserve"> </w:t>
                      </w:r>
                      <w:r w:rsidRPr="008E1639">
                        <w:rPr>
                          <w:color w:val="000000"/>
                        </w:rPr>
                        <w:t>governance framework is</w:t>
                      </w:r>
                      <w:r w:rsidRPr="008E1639">
                        <w:rPr>
                          <w:color w:val="000000"/>
                          <w:spacing w:val="-1"/>
                        </w:rPr>
                        <w:t xml:space="preserve"> </w:t>
                      </w:r>
                      <w:r w:rsidRPr="008E1639">
                        <w:rPr>
                          <w:color w:val="000000"/>
                        </w:rPr>
                        <w:t>not a</w:t>
                      </w:r>
                      <w:r w:rsidRPr="008E1639">
                        <w:rPr>
                          <w:color w:val="000000"/>
                          <w:spacing w:val="-2"/>
                        </w:rPr>
                        <w:t xml:space="preserve"> </w:t>
                      </w:r>
                      <w:r w:rsidRPr="008E1639">
                        <w:rPr>
                          <w:color w:val="000000"/>
                        </w:rPr>
                        <w:t>prerequisite by</w:t>
                      </w:r>
                      <w:r w:rsidRPr="008E1639">
                        <w:rPr>
                          <w:color w:val="000000"/>
                          <w:spacing w:val="-1"/>
                        </w:rPr>
                        <w:t xml:space="preserve"> </w:t>
                      </w:r>
                      <w:r w:rsidRPr="008E1639">
                        <w:rPr>
                          <w:color w:val="000000"/>
                        </w:rPr>
                        <w:t>the</w:t>
                      </w:r>
                      <w:r w:rsidRPr="008E1639">
                        <w:rPr>
                          <w:color w:val="000000"/>
                          <w:spacing w:val="-2"/>
                        </w:rPr>
                        <w:t xml:space="preserve"> </w:t>
                      </w:r>
                      <w:r w:rsidRPr="008E1639">
                        <w:rPr>
                          <w:color w:val="000000"/>
                        </w:rPr>
                        <w:t xml:space="preserve">NMBA for </w:t>
                      </w:r>
                      <w:r>
                        <w:rPr>
                          <w:color w:val="000000"/>
                        </w:rPr>
                        <w:t xml:space="preserve">the </w:t>
                      </w:r>
                      <w:r w:rsidRPr="008E1639">
                        <w:rPr>
                          <w:color w:val="000000"/>
                        </w:rPr>
                        <w:t>endorsement for scheduled</w:t>
                      </w:r>
                      <w:r w:rsidRPr="008E1639">
                        <w:rPr>
                          <w:color w:val="000000"/>
                          <w:spacing w:val="-2"/>
                        </w:rPr>
                        <w:t xml:space="preserve"> </w:t>
                      </w:r>
                      <w:r w:rsidRPr="008E1639">
                        <w:rPr>
                          <w:color w:val="000000"/>
                        </w:rPr>
                        <w:t>medicines</w:t>
                      </w:r>
                      <w:r w:rsidRPr="008E1639">
                        <w:rPr>
                          <w:color w:val="000000"/>
                          <w:spacing w:val="-2"/>
                        </w:rPr>
                        <w:t xml:space="preserve"> </w:t>
                      </w:r>
                      <w:r w:rsidRPr="008E1639">
                        <w:rPr>
                          <w:color w:val="000000"/>
                        </w:rPr>
                        <w:t>as</w:t>
                      </w:r>
                      <w:r w:rsidRPr="008E1639">
                        <w:rPr>
                          <w:color w:val="000000"/>
                          <w:spacing w:val="-3"/>
                        </w:rPr>
                        <w:t xml:space="preserve"> </w:t>
                      </w:r>
                      <w:r w:rsidRPr="008E1639">
                        <w:rPr>
                          <w:color w:val="000000"/>
                        </w:rPr>
                        <w:t>a</w:t>
                      </w:r>
                      <w:r w:rsidRPr="008E1639">
                        <w:rPr>
                          <w:color w:val="000000"/>
                          <w:spacing w:val="-2"/>
                        </w:rPr>
                        <w:t xml:space="preserve"> </w:t>
                      </w:r>
                      <w:r w:rsidRPr="008E1639">
                        <w:rPr>
                          <w:color w:val="000000"/>
                        </w:rPr>
                        <w:t>designated</w:t>
                      </w:r>
                      <w:r w:rsidRPr="008E1639">
                        <w:rPr>
                          <w:color w:val="000000"/>
                          <w:spacing w:val="-4"/>
                        </w:rPr>
                        <w:t xml:space="preserve"> </w:t>
                      </w:r>
                      <w:r w:rsidRPr="008E1639">
                        <w:rPr>
                          <w:color w:val="000000"/>
                        </w:rPr>
                        <w:t>RN</w:t>
                      </w:r>
                      <w:r w:rsidRPr="008E1639">
                        <w:rPr>
                          <w:color w:val="000000"/>
                          <w:spacing w:val="-2"/>
                        </w:rPr>
                        <w:t xml:space="preserve"> </w:t>
                      </w:r>
                      <w:r w:rsidRPr="008E1639">
                        <w:rPr>
                          <w:color w:val="000000"/>
                        </w:rPr>
                        <w:t>prescriber.</w:t>
                      </w:r>
                      <w:r w:rsidRPr="008E1639">
                        <w:rPr>
                          <w:color w:val="000000"/>
                          <w:spacing w:val="-4"/>
                        </w:rPr>
                        <w:t xml:space="preserve"> </w:t>
                      </w:r>
                      <w:r w:rsidRPr="008E1639">
                        <w:rPr>
                          <w:color w:val="000000"/>
                        </w:rPr>
                        <w:t>However,</w:t>
                      </w:r>
                      <w:r w:rsidRPr="008E1639">
                        <w:rPr>
                          <w:color w:val="000000"/>
                          <w:spacing w:val="-4"/>
                        </w:rPr>
                        <w:t xml:space="preserve"> </w:t>
                      </w:r>
                      <w:r w:rsidRPr="008E1639">
                        <w:rPr>
                          <w:color w:val="000000"/>
                        </w:rPr>
                        <w:t xml:space="preserve">a clinical governance framework, together with a prescribing agreement, </w:t>
                      </w:r>
                      <w:r w:rsidRPr="008E1639">
                        <w:t xml:space="preserve">must be in </w:t>
                      </w:r>
                      <w:r w:rsidRPr="008E1639">
                        <w:rPr>
                          <w:color w:val="000000"/>
                        </w:rPr>
                        <w:t>place before commencing prescribing in partnership as a designated RN prescriber.</w:t>
                      </w:r>
                    </w:p>
                  </w:txbxContent>
                </v:textbox>
                <w10:wrap type="topAndBottom" anchorx="page"/>
              </v:shape>
            </w:pict>
          </mc:Fallback>
        </mc:AlternateContent>
      </w:r>
      <w:r w:rsidRPr="000D1640">
        <w:rPr>
          <w:rFonts w:ascii="Arial" w:eastAsia="Arial" w:hAnsi="Arial" w:cs="Arial"/>
          <w:b w:val="0"/>
          <w:bCs w:val="0"/>
          <w:color w:val="009CDE"/>
          <w:kern w:val="0"/>
          <w:lang w:val="en-US"/>
        </w:rPr>
        <w:t>Prescribing relationship</w:t>
      </w:r>
    </w:p>
    <w:p w14:paraId="7AF1C0F2" w14:textId="77777777" w:rsidR="00F05C60" w:rsidRDefault="00F05C60" w:rsidP="00F05C60">
      <w:pPr>
        <w:pStyle w:val="BodyText"/>
        <w:spacing w:before="237"/>
        <w:ind w:right="776"/>
      </w:pPr>
      <w:r>
        <w:t>A</w:t>
      </w:r>
      <w:r>
        <w:rPr>
          <w:spacing w:val="-6"/>
        </w:rPr>
        <w:t xml:space="preserve"> </w:t>
      </w:r>
      <w:r>
        <w:t>designated</w:t>
      </w:r>
      <w:r>
        <w:rPr>
          <w:spacing w:val="-5"/>
        </w:rPr>
        <w:t xml:space="preserve"> </w:t>
      </w:r>
      <w:r>
        <w:t>RN</w:t>
      </w:r>
      <w:r>
        <w:rPr>
          <w:spacing w:val="-3"/>
        </w:rPr>
        <w:t xml:space="preserve"> </w:t>
      </w:r>
      <w:r>
        <w:t>prescriber</w:t>
      </w:r>
      <w:r>
        <w:rPr>
          <w:spacing w:val="-2"/>
        </w:rPr>
        <w:t xml:space="preserve"> </w:t>
      </w:r>
      <w:r>
        <w:t>and</w:t>
      </w:r>
      <w:r>
        <w:rPr>
          <w:spacing w:val="-5"/>
        </w:rPr>
        <w:t xml:space="preserve"> </w:t>
      </w:r>
      <w:r>
        <w:t>authorised</w:t>
      </w:r>
      <w:r>
        <w:rPr>
          <w:spacing w:val="-4"/>
        </w:rPr>
        <w:t xml:space="preserve"> </w:t>
      </w:r>
      <w:r>
        <w:t>health</w:t>
      </w:r>
      <w:r>
        <w:rPr>
          <w:spacing w:val="-5"/>
        </w:rPr>
        <w:t xml:space="preserve"> </w:t>
      </w:r>
      <w:r>
        <w:t>practitioner</w:t>
      </w:r>
      <w:r>
        <w:rPr>
          <w:spacing w:val="-1"/>
        </w:rPr>
        <w:t xml:space="preserve"> </w:t>
      </w:r>
      <w:r>
        <w:t>work</w:t>
      </w:r>
      <w:r>
        <w:rPr>
          <w:spacing w:val="-3"/>
        </w:rPr>
        <w:t xml:space="preserve"> </w:t>
      </w:r>
      <w:r>
        <w:t>together</w:t>
      </w:r>
      <w:r>
        <w:rPr>
          <w:spacing w:val="-2"/>
        </w:rPr>
        <w:t xml:space="preserve"> </w:t>
      </w:r>
      <w:r>
        <w:t>in</w:t>
      </w:r>
      <w:r>
        <w:rPr>
          <w:spacing w:val="-5"/>
        </w:rPr>
        <w:t xml:space="preserve"> </w:t>
      </w:r>
      <w:r>
        <w:t>partnership</w:t>
      </w:r>
      <w:r>
        <w:rPr>
          <w:spacing w:val="-5"/>
        </w:rPr>
        <w:t xml:space="preserve"> </w:t>
      </w:r>
      <w:r>
        <w:t>in</w:t>
      </w:r>
      <w:r>
        <w:rPr>
          <w:spacing w:val="-5"/>
        </w:rPr>
        <w:t xml:space="preserve"> </w:t>
      </w:r>
      <w:r>
        <w:t>the provision of healthcare.</w:t>
      </w:r>
    </w:p>
    <w:p w14:paraId="2783F090" w14:textId="77777777" w:rsidR="00F05C60" w:rsidRDefault="00F05C60" w:rsidP="00F05C60">
      <w:pPr>
        <w:pStyle w:val="BodyText"/>
        <w:ind w:right="808"/>
      </w:pPr>
      <w:r w:rsidRPr="008E1639">
        <w:t xml:space="preserve">The RN with an endorsement for scheduled medicines as a designated RN prescriber is educated to </w:t>
      </w:r>
      <w:r>
        <w:t>make diagnostic and treatment decisions within their level of competence and scope of practice. The designated RN prescriber will be able to prescribe scheduled medicines in accordance with the clinical governance framework. In line with professional practice expectations, the designated RN prescriber will be responsible for seeking guidance and/or referring people when their care is outside their agreed clinical governance framework</w:t>
      </w:r>
      <w:r>
        <w:rPr>
          <w:spacing w:val="-3"/>
        </w:rPr>
        <w:t xml:space="preserve"> </w:t>
      </w:r>
      <w:r>
        <w:t>or</w:t>
      </w:r>
      <w:r>
        <w:rPr>
          <w:spacing w:val="-5"/>
        </w:rPr>
        <w:t xml:space="preserve"> </w:t>
      </w:r>
      <w:r>
        <w:t>scope</w:t>
      </w:r>
      <w:r>
        <w:rPr>
          <w:spacing w:val="-5"/>
        </w:rPr>
        <w:t xml:space="preserve"> </w:t>
      </w:r>
      <w:r>
        <w:t>of</w:t>
      </w:r>
      <w:r>
        <w:rPr>
          <w:spacing w:val="-3"/>
        </w:rPr>
        <w:t xml:space="preserve"> </w:t>
      </w:r>
      <w:r>
        <w:t>practice.</w:t>
      </w:r>
      <w:r>
        <w:rPr>
          <w:spacing w:val="-5"/>
        </w:rPr>
        <w:t xml:space="preserve"> </w:t>
      </w:r>
      <w:r>
        <w:t>The</w:t>
      </w:r>
      <w:r>
        <w:rPr>
          <w:spacing w:val="-5"/>
        </w:rPr>
        <w:t xml:space="preserve"> </w:t>
      </w:r>
      <w:r>
        <w:t>designated</w:t>
      </w:r>
      <w:r>
        <w:rPr>
          <w:spacing w:val="-5"/>
        </w:rPr>
        <w:t xml:space="preserve"> </w:t>
      </w:r>
      <w:r>
        <w:t>RN</w:t>
      </w:r>
      <w:r>
        <w:rPr>
          <w:spacing w:val="-3"/>
        </w:rPr>
        <w:t xml:space="preserve"> </w:t>
      </w:r>
      <w:r>
        <w:t>prescriber</w:t>
      </w:r>
      <w:r>
        <w:rPr>
          <w:spacing w:val="-4"/>
        </w:rPr>
        <w:t xml:space="preserve"> </w:t>
      </w:r>
      <w:r>
        <w:t>is</w:t>
      </w:r>
      <w:r>
        <w:rPr>
          <w:spacing w:val="-4"/>
        </w:rPr>
        <w:t xml:space="preserve"> </w:t>
      </w:r>
      <w:r>
        <w:t>responsible</w:t>
      </w:r>
      <w:r>
        <w:rPr>
          <w:spacing w:val="-3"/>
        </w:rPr>
        <w:t xml:space="preserve"> </w:t>
      </w:r>
      <w:r>
        <w:t>and</w:t>
      </w:r>
      <w:r>
        <w:rPr>
          <w:spacing w:val="-3"/>
        </w:rPr>
        <w:t xml:space="preserve"> </w:t>
      </w:r>
      <w:r>
        <w:t>accountable</w:t>
      </w:r>
      <w:r>
        <w:rPr>
          <w:spacing w:val="-3"/>
        </w:rPr>
        <w:t xml:space="preserve"> </w:t>
      </w:r>
      <w:r>
        <w:t>for</w:t>
      </w:r>
      <w:r>
        <w:rPr>
          <w:spacing w:val="-4"/>
        </w:rPr>
        <w:t xml:space="preserve"> </w:t>
      </w:r>
      <w:r>
        <w:t>the prescribing decisions they make, and actions taken. It is the responsibility of the designated RN prescriber to recognise when care of the person is outside their scope of practice and to refer that person to the authorised health practitioner or other relevant health practitioner in a timely and effective manner.</w:t>
      </w:r>
    </w:p>
    <w:p w14:paraId="0BB0867A" w14:textId="77777777" w:rsidR="00F05C60" w:rsidRDefault="00F05C60" w:rsidP="00F05C60">
      <w:pPr>
        <w:pStyle w:val="BodyText"/>
        <w:spacing w:before="79"/>
        <w:ind w:right="780"/>
      </w:pPr>
      <w:r>
        <w:lastRenderedPageBreak/>
        <w:t>The authorised health practitioner is responsible for working with the designated RN prescriber in accordance</w:t>
      </w:r>
      <w:r>
        <w:rPr>
          <w:spacing w:val="-4"/>
        </w:rPr>
        <w:t xml:space="preserve"> </w:t>
      </w:r>
      <w:r>
        <w:t>with</w:t>
      </w:r>
      <w:r>
        <w:rPr>
          <w:spacing w:val="-3"/>
        </w:rPr>
        <w:t xml:space="preserve"> </w:t>
      </w:r>
      <w:r>
        <w:t>the</w:t>
      </w:r>
      <w:r>
        <w:rPr>
          <w:spacing w:val="-4"/>
        </w:rPr>
        <w:t xml:space="preserve"> </w:t>
      </w:r>
      <w:r>
        <w:t>clinical</w:t>
      </w:r>
      <w:r>
        <w:rPr>
          <w:spacing w:val="-4"/>
        </w:rPr>
        <w:t xml:space="preserve"> </w:t>
      </w:r>
      <w:r>
        <w:t>governance</w:t>
      </w:r>
      <w:r>
        <w:rPr>
          <w:spacing w:val="-3"/>
        </w:rPr>
        <w:t xml:space="preserve"> </w:t>
      </w:r>
      <w:r>
        <w:t>framework.</w:t>
      </w:r>
      <w:r>
        <w:rPr>
          <w:spacing w:val="-4"/>
        </w:rPr>
        <w:t xml:space="preserve"> </w:t>
      </w:r>
      <w:r>
        <w:t>The</w:t>
      </w:r>
      <w:r>
        <w:rPr>
          <w:spacing w:val="-4"/>
        </w:rPr>
        <w:t xml:space="preserve"> </w:t>
      </w:r>
      <w:r>
        <w:t>authorised</w:t>
      </w:r>
      <w:r>
        <w:rPr>
          <w:spacing w:val="-4"/>
        </w:rPr>
        <w:t xml:space="preserve"> </w:t>
      </w:r>
      <w:r>
        <w:t>health</w:t>
      </w:r>
      <w:r>
        <w:rPr>
          <w:spacing w:val="-5"/>
        </w:rPr>
        <w:t xml:space="preserve"> </w:t>
      </w:r>
      <w:r>
        <w:t>practitioner</w:t>
      </w:r>
      <w:r>
        <w:rPr>
          <w:spacing w:val="-1"/>
        </w:rPr>
        <w:t xml:space="preserve"> </w:t>
      </w:r>
      <w:r>
        <w:t>must</w:t>
      </w:r>
      <w:r>
        <w:rPr>
          <w:spacing w:val="-4"/>
        </w:rPr>
        <w:t xml:space="preserve"> </w:t>
      </w:r>
      <w:r>
        <w:t>be</w:t>
      </w:r>
      <w:r>
        <w:rPr>
          <w:spacing w:val="-3"/>
        </w:rPr>
        <w:t xml:space="preserve"> </w:t>
      </w:r>
      <w:r>
        <w:t xml:space="preserve">aware of the designated RN prescriber’s scope of practice with regards to prescribing and ensure their scope and area of practice align with the designated RN prescriber’s scope of prescribing. The authorised health practitioner is expected to work in partnership with the designated RN prescriber and collaborate </w:t>
      </w:r>
      <w:r w:rsidRPr="008E1639">
        <w:t xml:space="preserve">with the </w:t>
      </w:r>
      <w:r w:rsidRPr="008E1639">
        <w:rPr>
          <w:color w:val="000000"/>
        </w:rPr>
        <w:t>designated RN prescriber when the</w:t>
      </w:r>
      <w:r>
        <w:rPr>
          <w:color w:val="000000"/>
        </w:rPr>
        <w:t xml:space="preserve"> people in their care are outside the designated RN prescriber’s scope of practice.</w:t>
      </w:r>
    </w:p>
    <w:p w14:paraId="0E23B8B6" w14:textId="77777777" w:rsidR="00F05C60" w:rsidRDefault="00F05C60" w:rsidP="00F05C60">
      <w:pPr>
        <w:pStyle w:val="BodyText"/>
        <w:ind w:right="776"/>
      </w:pPr>
      <w:r>
        <w:t>There</w:t>
      </w:r>
      <w:r>
        <w:rPr>
          <w:spacing w:val="-5"/>
        </w:rPr>
        <w:t xml:space="preserve"> </w:t>
      </w:r>
      <w:r>
        <w:t>is</w:t>
      </w:r>
      <w:r>
        <w:rPr>
          <w:spacing w:val="-2"/>
        </w:rPr>
        <w:t xml:space="preserve"> </w:t>
      </w:r>
      <w:r>
        <w:t>a</w:t>
      </w:r>
      <w:r>
        <w:rPr>
          <w:spacing w:val="-5"/>
        </w:rPr>
        <w:t xml:space="preserve"> </w:t>
      </w:r>
      <w:r>
        <w:t>requirement</w:t>
      </w:r>
      <w:r>
        <w:rPr>
          <w:spacing w:val="-3"/>
        </w:rPr>
        <w:t xml:space="preserve"> </w:t>
      </w:r>
      <w:r>
        <w:t>that</w:t>
      </w:r>
      <w:r>
        <w:rPr>
          <w:spacing w:val="-3"/>
        </w:rPr>
        <w:t xml:space="preserve"> </w:t>
      </w:r>
      <w:r>
        <w:t>the</w:t>
      </w:r>
      <w:r>
        <w:rPr>
          <w:spacing w:val="-3"/>
        </w:rPr>
        <w:t xml:space="preserve"> </w:t>
      </w:r>
      <w:r>
        <w:t>authorised</w:t>
      </w:r>
      <w:r>
        <w:rPr>
          <w:spacing w:val="-3"/>
        </w:rPr>
        <w:t xml:space="preserve"> </w:t>
      </w:r>
      <w:r>
        <w:t>health</w:t>
      </w:r>
      <w:r>
        <w:rPr>
          <w:spacing w:val="-5"/>
        </w:rPr>
        <w:t xml:space="preserve"> </w:t>
      </w:r>
      <w:r>
        <w:t>practitioner</w:t>
      </w:r>
      <w:r>
        <w:rPr>
          <w:spacing w:val="-2"/>
        </w:rPr>
        <w:t xml:space="preserve"> </w:t>
      </w:r>
      <w:r>
        <w:t>has</w:t>
      </w:r>
      <w:r>
        <w:rPr>
          <w:spacing w:val="-4"/>
        </w:rPr>
        <w:t xml:space="preserve"> </w:t>
      </w:r>
      <w:r>
        <w:t>no</w:t>
      </w:r>
      <w:r>
        <w:rPr>
          <w:spacing w:val="-3"/>
        </w:rPr>
        <w:t xml:space="preserve"> </w:t>
      </w:r>
      <w:r>
        <w:t>conditions</w:t>
      </w:r>
      <w:r>
        <w:rPr>
          <w:spacing w:val="-4"/>
        </w:rPr>
        <w:t xml:space="preserve"> </w:t>
      </w:r>
      <w:r>
        <w:t>or</w:t>
      </w:r>
      <w:r>
        <w:rPr>
          <w:spacing w:val="-2"/>
        </w:rPr>
        <w:t xml:space="preserve"> </w:t>
      </w:r>
      <w:r>
        <w:t>undertakings</w:t>
      </w:r>
      <w:r>
        <w:rPr>
          <w:spacing w:val="-1"/>
        </w:rPr>
        <w:t xml:space="preserve"> </w:t>
      </w:r>
      <w:r>
        <w:t>on their registration, relevant to the prescribing partnership.</w:t>
      </w:r>
    </w:p>
    <w:p w14:paraId="0B71CF0D" w14:textId="77777777" w:rsidR="00F05C60" w:rsidRDefault="00F05C60" w:rsidP="00F05C60">
      <w:pPr>
        <w:pStyle w:val="BodyText"/>
      </w:pPr>
      <w:r>
        <w:rPr>
          <w:color w:val="0067B8"/>
        </w:rPr>
        <w:t>The</w:t>
      </w:r>
      <w:r>
        <w:rPr>
          <w:color w:val="0067B8"/>
          <w:spacing w:val="-10"/>
        </w:rPr>
        <w:t xml:space="preserve"> </w:t>
      </w:r>
      <w:r>
        <w:rPr>
          <w:color w:val="0067B8"/>
        </w:rPr>
        <w:t>prescribing</w:t>
      </w:r>
      <w:r>
        <w:rPr>
          <w:color w:val="0067B8"/>
          <w:spacing w:val="-8"/>
        </w:rPr>
        <w:t xml:space="preserve"> </w:t>
      </w:r>
      <w:r>
        <w:rPr>
          <w:color w:val="0067B8"/>
          <w:spacing w:val="-2"/>
        </w:rPr>
        <w:t>agreement</w:t>
      </w:r>
    </w:p>
    <w:p w14:paraId="2820CA4A" w14:textId="77777777" w:rsidR="00F05C60" w:rsidRPr="008E1639" w:rsidRDefault="00F05C60" w:rsidP="00F05C60">
      <w:pPr>
        <w:pStyle w:val="BodyText"/>
        <w:spacing w:before="199"/>
        <w:ind w:right="776"/>
      </w:pPr>
      <w:r>
        <w:t xml:space="preserve">The prescribing agreement is a key document for the designated RN prescribing model. This is a written agreement between the designated RN prescriber and the authorised health practitioner and approved by the health organisation/service or employer. This should be retained and stored by the health </w:t>
      </w:r>
      <w:r w:rsidRPr="008E1639">
        <w:t>organisation/service or employing</w:t>
      </w:r>
      <w:r w:rsidRPr="008E1639">
        <w:rPr>
          <w:spacing w:val="-1"/>
        </w:rPr>
        <w:t xml:space="preserve"> </w:t>
      </w:r>
      <w:r w:rsidRPr="008E1639">
        <w:t>organisation, reviewed</w:t>
      </w:r>
      <w:r w:rsidRPr="008E1639">
        <w:rPr>
          <w:spacing w:val="-2"/>
        </w:rPr>
        <w:t xml:space="preserve"> </w:t>
      </w:r>
      <w:r w:rsidRPr="008E1639">
        <w:t>regularly,</w:t>
      </w:r>
      <w:r w:rsidRPr="008E1639">
        <w:rPr>
          <w:spacing w:val="-2"/>
        </w:rPr>
        <w:t xml:space="preserve"> </w:t>
      </w:r>
      <w:r w:rsidRPr="008E1639">
        <w:t>and</w:t>
      </w:r>
      <w:r w:rsidRPr="008E1639">
        <w:rPr>
          <w:spacing w:val="-2"/>
        </w:rPr>
        <w:t xml:space="preserve"> </w:t>
      </w:r>
      <w:r w:rsidRPr="008E1639">
        <w:t>be subject</w:t>
      </w:r>
      <w:r w:rsidRPr="008E1639">
        <w:rPr>
          <w:spacing w:val="-2"/>
        </w:rPr>
        <w:t xml:space="preserve"> </w:t>
      </w:r>
      <w:r w:rsidRPr="008E1639">
        <w:t>to</w:t>
      </w:r>
      <w:r w:rsidRPr="008E1639">
        <w:rPr>
          <w:spacing w:val="-3"/>
        </w:rPr>
        <w:t xml:space="preserve"> </w:t>
      </w:r>
      <w:r w:rsidRPr="008E1639">
        <w:t>audit</w:t>
      </w:r>
      <w:r w:rsidRPr="008E1639">
        <w:rPr>
          <w:spacing w:val="-2"/>
        </w:rPr>
        <w:t xml:space="preserve"> </w:t>
      </w:r>
      <w:r w:rsidRPr="008E1639">
        <w:t>by the NMBA. Details of the prescribing agreement must clearly document the role of both the designated RN prescriber and the authorised health practitioner. The prescribing authorisation may vary according</w:t>
      </w:r>
      <w:r w:rsidRPr="008E1639">
        <w:rPr>
          <w:spacing w:val="-3"/>
        </w:rPr>
        <w:t xml:space="preserve"> </w:t>
      </w:r>
      <w:r w:rsidRPr="008E1639">
        <w:t>to</w:t>
      </w:r>
      <w:r w:rsidRPr="008E1639">
        <w:rPr>
          <w:spacing w:val="-6"/>
        </w:rPr>
        <w:t xml:space="preserve"> </w:t>
      </w:r>
      <w:r w:rsidRPr="008E1639">
        <w:t>the</w:t>
      </w:r>
      <w:r w:rsidRPr="008E1639">
        <w:rPr>
          <w:spacing w:val="-4"/>
        </w:rPr>
        <w:t xml:space="preserve"> </w:t>
      </w:r>
      <w:r w:rsidRPr="008E1639">
        <w:t>health</w:t>
      </w:r>
      <w:r w:rsidRPr="008E1639">
        <w:rPr>
          <w:spacing w:val="-3"/>
        </w:rPr>
        <w:t xml:space="preserve"> </w:t>
      </w:r>
      <w:r w:rsidRPr="008E1639">
        <w:t>organisation/venue,</w:t>
      </w:r>
      <w:r w:rsidRPr="008E1639">
        <w:rPr>
          <w:spacing w:val="-5"/>
        </w:rPr>
        <w:t xml:space="preserve"> </w:t>
      </w:r>
      <w:r w:rsidRPr="008E1639">
        <w:t>prescribing</w:t>
      </w:r>
      <w:r w:rsidRPr="008E1639">
        <w:rPr>
          <w:spacing w:val="-5"/>
        </w:rPr>
        <w:t xml:space="preserve"> </w:t>
      </w:r>
      <w:r w:rsidRPr="008E1639">
        <w:t>agreement</w:t>
      </w:r>
      <w:r w:rsidRPr="008E1639">
        <w:rPr>
          <w:spacing w:val="-5"/>
        </w:rPr>
        <w:t xml:space="preserve"> </w:t>
      </w:r>
      <w:r w:rsidRPr="008E1639">
        <w:t>and</w:t>
      </w:r>
      <w:r w:rsidRPr="008E1639">
        <w:rPr>
          <w:spacing w:val="-6"/>
        </w:rPr>
        <w:t xml:space="preserve"> </w:t>
      </w:r>
      <w:r w:rsidRPr="008E1639">
        <w:t>the</w:t>
      </w:r>
      <w:r w:rsidRPr="008E1639">
        <w:rPr>
          <w:spacing w:val="-6"/>
        </w:rPr>
        <w:t xml:space="preserve"> </w:t>
      </w:r>
      <w:r w:rsidRPr="008E1639">
        <w:t>specific</w:t>
      </w:r>
      <w:r w:rsidRPr="008E1639">
        <w:rPr>
          <w:spacing w:val="-4"/>
        </w:rPr>
        <w:t xml:space="preserve"> </w:t>
      </w:r>
      <w:r w:rsidRPr="008E1639">
        <w:t>clinical</w:t>
      </w:r>
      <w:r w:rsidRPr="008E1639">
        <w:rPr>
          <w:spacing w:val="-4"/>
        </w:rPr>
        <w:t xml:space="preserve"> </w:t>
      </w:r>
      <w:r w:rsidRPr="008E1639">
        <w:t>context</w:t>
      </w:r>
      <w:r w:rsidRPr="008E1639">
        <w:rPr>
          <w:spacing w:val="-3"/>
        </w:rPr>
        <w:t xml:space="preserve"> </w:t>
      </w:r>
      <w:r w:rsidRPr="008E1639">
        <w:t>of its application and must include:</w:t>
      </w:r>
    </w:p>
    <w:p w14:paraId="0CFD44F0" w14:textId="77777777" w:rsidR="00F05C60" w:rsidRPr="005502A6" w:rsidRDefault="00F05C60" w:rsidP="00F05C60">
      <w:pPr>
        <w:pStyle w:val="ListParagraph"/>
        <w:widowControl w:val="0"/>
        <w:numPr>
          <w:ilvl w:val="0"/>
          <w:numId w:val="59"/>
        </w:numPr>
        <w:tabs>
          <w:tab w:val="left" w:pos="480"/>
        </w:tabs>
        <w:autoSpaceDE w:val="0"/>
        <w:autoSpaceDN w:val="0"/>
        <w:spacing w:before="202" w:after="0" w:line="245" w:lineRule="exact"/>
        <w:ind w:left="480" w:hanging="360"/>
        <w:contextualSpacing w:val="0"/>
        <w:rPr>
          <w:rFonts w:ascii="Arial" w:hAnsi="Arial" w:cs="Arial"/>
        </w:rPr>
      </w:pPr>
      <w:r w:rsidRPr="005502A6">
        <w:rPr>
          <w:rFonts w:ascii="Arial" w:hAnsi="Arial" w:cs="Arial"/>
        </w:rPr>
        <w:t>roles</w:t>
      </w:r>
      <w:r w:rsidRPr="005502A6">
        <w:rPr>
          <w:rFonts w:ascii="Arial" w:hAnsi="Arial" w:cs="Arial"/>
          <w:spacing w:val="-8"/>
        </w:rPr>
        <w:t xml:space="preserve"> </w:t>
      </w:r>
      <w:r w:rsidRPr="005502A6">
        <w:rPr>
          <w:rFonts w:ascii="Arial" w:hAnsi="Arial" w:cs="Arial"/>
        </w:rPr>
        <w:t>and</w:t>
      </w:r>
      <w:r w:rsidRPr="005502A6">
        <w:rPr>
          <w:rFonts w:ascii="Arial" w:hAnsi="Arial" w:cs="Arial"/>
          <w:spacing w:val="-8"/>
        </w:rPr>
        <w:t xml:space="preserve"> </w:t>
      </w:r>
      <w:r w:rsidRPr="005502A6">
        <w:rPr>
          <w:rFonts w:ascii="Arial" w:hAnsi="Arial" w:cs="Arial"/>
        </w:rPr>
        <w:t>responsibilities</w:t>
      </w:r>
      <w:r w:rsidRPr="005502A6">
        <w:rPr>
          <w:rFonts w:ascii="Arial" w:hAnsi="Arial" w:cs="Arial"/>
          <w:spacing w:val="-8"/>
        </w:rPr>
        <w:t xml:space="preserve"> </w:t>
      </w:r>
      <w:r w:rsidRPr="005502A6">
        <w:rPr>
          <w:rFonts w:ascii="Arial" w:hAnsi="Arial" w:cs="Arial"/>
        </w:rPr>
        <w:t>of</w:t>
      </w:r>
      <w:r w:rsidRPr="005502A6">
        <w:rPr>
          <w:rFonts w:ascii="Arial" w:hAnsi="Arial" w:cs="Arial"/>
          <w:spacing w:val="-6"/>
        </w:rPr>
        <w:t xml:space="preserve"> </w:t>
      </w:r>
      <w:r w:rsidRPr="005502A6">
        <w:rPr>
          <w:rFonts w:ascii="Arial" w:hAnsi="Arial" w:cs="Arial"/>
        </w:rPr>
        <w:t>both</w:t>
      </w:r>
      <w:r w:rsidRPr="005502A6">
        <w:rPr>
          <w:rFonts w:ascii="Arial" w:hAnsi="Arial" w:cs="Arial"/>
          <w:spacing w:val="-7"/>
        </w:rPr>
        <w:t xml:space="preserve"> </w:t>
      </w:r>
      <w:r w:rsidRPr="005502A6">
        <w:rPr>
          <w:rFonts w:ascii="Arial" w:hAnsi="Arial" w:cs="Arial"/>
        </w:rPr>
        <w:t>the</w:t>
      </w:r>
      <w:r w:rsidRPr="005502A6">
        <w:rPr>
          <w:rFonts w:ascii="Arial" w:hAnsi="Arial" w:cs="Arial"/>
          <w:spacing w:val="-7"/>
        </w:rPr>
        <w:t xml:space="preserve"> </w:t>
      </w:r>
      <w:r w:rsidRPr="005502A6">
        <w:rPr>
          <w:rFonts w:ascii="Arial" w:hAnsi="Arial" w:cs="Arial"/>
        </w:rPr>
        <w:t>designated</w:t>
      </w:r>
      <w:r w:rsidRPr="005502A6">
        <w:rPr>
          <w:rFonts w:ascii="Arial" w:hAnsi="Arial" w:cs="Arial"/>
          <w:spacing w:val="-7"/>
        </w:rPr>
        <w:t xml:space="preserve"> </w:t>
      </w:r>
      <w:r w:rsidRPr="005502A6">
        <w:rPr>
          <w:rFonts w:ascii="Arial" w:hAnsi="Arial" w:cs="Arial"/>
        </w:rPr>
        <w:t>RN</w:t>
      </w:r>
      <w:r w:rsidRPr="005502A6">
        <w:rPr>
          <w:rFonts w:ascii="Arial" w:hAnsi="Arial" w:cs="Arial"/>
          <w:spacing w:val="-9"/>
        </w:rPr>
        <w:t xml:space="preserve"> </w:t>
      </w:r>
      <w:r w:rsidRPr="005502A6">
        <w:rPr>
          <w:rFonts w:ascii="Arial" w:hAnsi="Arial" w:cs="Arial"/>
        </w:rPr>
        <w:t>prescriber</w:t>
      </w:r>
      <w:r w:rsidRPr="005502A6">
        <w:rPr>
          <w:rFonts w:ascii="Arial" w:hAnsi="Arial" w:cs="Arial"/>
          <w:spacing w:val="-7"/>
        </w:rPr>
        <w:t xml:space="preserve"> </w:t>
      </w:r>
      <w:r w:rsidRPr="005502A6">
        <w:rPr>
          <w:rFonts w:ascii="Arial" w:hAnsi="Arial" w:cs="Arial"/>
        </w:rPr>
        <w:t>and</w:t>
      </w:r>
      <w:r w:rsidRPr="005502A6">
        <w:rPr>
          <w:rFonts w:ascii="Arial" w:hAnsi="Arial" w:cs="Arial"/>
          <w:spacing w:val="-8"/>
        </w:rPr>
        <w:t xml:space="preserve"> </w:t>
      </w:r>
      <w:r w:rsidRPr="005502A6">
        <w:rPr>
          <w:rFonts w:ascii="Arial" w:hAnsi="Arial" w:cs="Arial"/>
        </w:rPr>
        <w:t>authorised</w:t>
      </w:r>
      <w:r w:rsidRPr="005502A6">
        <w:rPr>
          <w:rFonts w:ascii="Arial" w:hAnsi="Arial" w:cs="Arial"/>
          <w:spacing w:val="-10"/>
        </w:rPr>
        <w:t xml:space="preserve"> </w:t>
      </w:r>
      <w:r w:rsidRPr="005502A6">
        <w:rPr>
          <w:rFonts w:ascii="Arial" w:hAnsi="Arial" w:cs="Arial"/>
        </w:rPr>
        <w:t>health</w:t>
      </w:r>
      <w:r w:rsidRPr="005502A6">
        <w:rPr>
          <w:rFonts w:ascii="Arial" w:hAnsi="Arial" w:cs="Arial"/>
          <w:spacing w:val="-6"/>
        </w:rPr>
        <w:t xml:space="preserve"> </w:t>
      </w:r>
      <w:r w:rsidRPr="005502A6">
        <w:rPr>
          <w:rFonts w:ascii="Arial" w:hAnsi="Arial" w:cs="Arial"/>
          <w:spacing w:val="-2"/>
        </w:rPr>
        <w:t>practitioner</w:t>
      </w:r>
    </w:p>
    <w:p w14:paraId="6B4A6CAC" w14:textId="77777777" w:rsidR="00F05C60" w:rsidRPr="005502A6" w:rsidRDefault="00F05C60" w:rsidP="00F05C60">
      <w:pPr>
        <w:pStyle w:val="ListParagraph"/>
        <w:widowControl w:val="0"/>
        <w:numPr>
          <w:ilvl w:val="0"/>
          <w:numId w:val="59"/>
        </w:numPr>
        <w:tabs>
          <w:tab w:val="left" w:pos="480"/>
        </w:tabs>
        <w:autoSpaceDE w:val="0"/>
        <w:autoSpaceDN w:val="0"/>
        <w:spacing w:after="0" w:line="244" w:lineRule="exact"/>
        <w:ind w:left="480" w:hanging="360"/>
        <w:contextualSpacing w:val="0"/>
        <w:rPr>
          <w:rFonts w:ascii="Arial" w:hAnsi="Arial" w:cs="Arial"/>
        </w:rPr>
      </w:pPr>
      <w:r w:rsidRPr="005502A6">
        <w:rPr>
          <w:rFonts w:ascii="Arial" w:hAnsi="Arial" w:cs="Arial"/>
        </w:rPr>
        <w:t>clients</w:t>
      </w:r>
      <w:r w:rsidRPr="005502A6">
        <w:rPr>
          <w:rFonts w:ascii="Arial" w:hAnsi="Arial" w:cs="Arial"/>
          <w:spacing w:val="-7"/>
        </w:rPr>
        <w:t xml:space="preserve"> </w:t>
      </w:r>
      <w:r w:rsidRPr="005502A6">
        <w:rPr>
          <w:rFonts w:ascii="Arial" w:hAnsi="Arial" w:cs="Arial"/>
        </w:rPr>
        <w:t>and/or</w:t>
      </w:r>
      <w:r w:rsidRPr="005502A6">
        <w:rPr>
          <w:rFonts w:ascii="Arial" w:hAnsi="Arial" w:cs="Arial"/>
          <w:spacing w:val="-8"/>
        </w:rPr>
        <w:t xml:space="preserve"> </w:t>
      </w:r>
      <w:r w:rsidRPr="005502A6">
        <w:rPr>
          <w:rFonts w:ascii="Arial" w:hAnsi="Arial" w:cs="Arial"/>
        </w:rPr>
        <w:t>conditions</w:t>
      </w:r>
      <w:r w:rsidRPr="005502A6">
        <w:rPr>
          <w:rFonts w:ascii="Arial" w:hAnsi="Arial" w:cs="Arial"/>
          <w:spacing w:val="-6"/>
        </w:rPr>
        <w:t xml:space="preserve"> </w:t>
      </w:r>
      <w:r w:rsidRPr="005502A6">
        <w:rPr>
          <w:rFonts w:ascii="Arial" w:hAnsi="Arial" w:cs="Arial"/>
        </w:rPr>
        <w:t>within</w:t>
      </w:r>
      <w:r w:rsidRPr="005502A6">
        <w:rPr>
          <w:rFonts w:ascii="Arial" w:hAnsi="Arial" w:cs="Arial"/>
          <w:spacing w:val="-6"/>
        </w:rPr>
        <w:t xml:space="preserve"> </w:t>
      </w:r>
      <w:r w:rsidRPr="005502A6">
        <w:rPr>
          <w:rFonts w:ascii="Arial" w:hAnsi="Arial" w:cs="Arial"/>
        </w:rPr>
        <w:t>the</w:t>
      </w:r>
      <w:r w:rsidRPr="005502A6">
        <w:rPr>
          <w:rFonts w:ascii="Arial" w:hAnsi="Arial" w:cs="Arial"/>
          <w:spacing w:val="-8"/>
        </w:rPr>
        <w:t xml:space="preserve"> </w:t>
      </w:r>
      <w:r w:rsidRPr="005502A6">
        <w:rPr>
          <w:rFonts w:ascii="Arial" w:hAnsi="Arial" w:cs="Arial"/>
        </w:rPr>
        <w:t>scope</w:t>
      </w:r>
      <w:r w:rsidRPr="005502A6">
        <w:rPr>
          <w:rFonts w:ascii="Arial" w:hAnsi="Arial" w:cs="Arial"/>
          <w:spacing w:val="-8"/>
        </w:rPr>
        <w:t xml:space="preserve"> </w:t>
      </w:r>
      <w:r w:rsidRPr="005502A6">
        <w:rPr>
          <w:rFonts w:ascii="Arial" w:hAnsi="Arial" w:cs="Arial"/>
        </w:rPr>
        <w:t>of</w:t>
      </w:r>
      <w:r w:rsidRPr="005502A6">
        <w:rPr>
          <w:rFonts w:ascii="Arial" w:hAnsi="Arial" w:cs="Arial"/>
          <w:spacing w:val="-5"/>
        </w:rPr>
        <w:t xml:space="preserve"> </w:t>
      </w:r>
      <w:r w:rsidRPr="005502A6">
        <w:rPr>
          <w:rFonts w:ascii="Arial" w:hAnsi="Arial" w:cs="Arial"/>
        </w:rPr>
        <w:t>prescribing</w:t>
      </w:r>
      <w:r w:rsidRPr="005502A6">
        <w:rPr>
          <w:rFonts w:ascii="Arial" w:hAnsi="Arial" w:cs="Arial"/>
          <w:spacing w:val="-6"/>
        </w:rPr>
        <w:t xml:space="preserve"> </w:t>
      </w:r>
      <w:r w:rsidRPr="005502A6">
        <w:rPr>
          <w:rFonts w:ascii="Arial" w:hAnsi="Arial" w:cs="Arial"/>
        </w:rPr>
        <w:t>practice</w:t>
      </w:r>
      <w:r w:rsidRPr="005502A6">
        <w:rPr>
          <w:rFonts w:ascii="Arial" w:hAnsi="Arial" w:cs="Arial"/>
          <w:spacing w:val="-8"/>
        </w:rPr>
        <w:t xml:space="preserve"> </w:t>
      </w:r>
      <w:r w:rsidRPr="005502A6">
        <w:rPr>
          <w:rFonts w:ascii="Arial" w:hAnsi="Arial" w:cs="Arial"/>
        </w:rPr>
        <w:t>of</w:t>
      </w:r>
      <w:r w:rsidRPr="005502A6">
        <w:rPr>
          <w:rFonts w:ascii="Arial" w:hAnsi="Arial" w:cs="Arial"/>
          <w:spacing w:val="-7"/>
        </w:rPr>
        <w:t xml:space="preserve"> </w:t>
      </w:r>
      <w:r w:rsidRPr="005502A6">
        <w:rPr>
          <w:rFonts w:ascii="Arial" w:hAnsi="Arial" w:cs="Arial"/>
        </w:rPr>
        <w:t>the</w:t>
      </w:r>
      <w:r w:rsidRPr="005502A6">
        <w:rPr>
          <w:rFonts w:ascii="Arial" w:hAnsi="Arial" w:cs="Arial"/>
          <w:spacing w:val="-7"/>
        </w:rPr>
        <w:t xml:space="preserve"> </w:t>
      </w:r>
      <w:r w:rsidRPr="005502A6">
        <w:rPr>
          <w:rFonts w:ascii="Arial" w:hAnsi="Arial" w:cs="Arial"/>
        </w:rPr>
        <w:t>designated</w:t>
      </w:r>
      <w:r w:rsidRPr="005502A6">
        <w:rPr>
          <w:rFonts w:ascii="Arial" w:hAnsi="Arial" w:cs="Arial"/>
          <w:spacing w:val="-6"/>
        </w:rPr>
        <w:t xml:space="preserve"> </w:t>
      </w:r>
      <w:r w:rsidRPr="005502A6">
        <w:rPr>
          <w:rFonts w:ascii="Arial" w:hAnsi="Arial" w:cs="Arial"/>
        </w:rPr>
        <w:t>RN</w:t>
      </w:r>
      <w:r w:rsidRPr="005502A6">
        <w:rPr>
          <w:rFonts w:ascii="Arial" w:hAnsi="Arial" w:cs="Arial"/>
          <w:spacing w:val="-8"/>
        </w:rPr>
        <w:t xml:space="preserve"> </w:t>
      </w:r>
      <w:r w:rsidRPr="005502A6">
        <w:rPr>
          <w:rFonts w:ascii="Arial" w:hAnsi="Arial" w:cs="Arial"/>
          <w:spacing w:val="-2"/>
        </w:rPr>
        <w:t>prescriber</w:t>
      </w:r>
    </w:p>
    <w:p w14:paraId="2137F93F" w14:textId="77777777" w:rsidR="00F05C60" w:rsidRPr="005502A6" w:rsidRDefault="00F05C60" w:rsidP="00F05C60">
      <w:pPr>
        <w:pStyle w:val="ListParagraph"/>
        <w:widowControl w:val="0"/>
        <w:numPr>
          <w:ilvl w:val="0"/>
          <w:numId w:val="59"/>
        </w:numPr>
        <w:tabs>
          <w:tab w:val="left" w:pos="480"/>
        </w:tabs>
        <w:autoSpaceDE w:val="0"/>
        <w:autoSpaceDN w:val="0"/>
        <w:spacing w:after="0" w:line="244" w:lineRule="exact"/>
        <w:ind w:left="480" w:hanging="360"/>
        <w:contextualSpacing w:val="0"/>
        <w:rPr>
          <w:rFonts w:ascii="Arial" w:hAnsi="Arial" w:cs="Arial"/>
        </w:rPr>
      </w:pPr>
      <w:r w:rsidRPr="005502A6">
        <w:rPr>
          <w:rFonts w:ascii="Arial" w:hAnsi="Arial" w:cs="Arial"/>
        </w:rPr>
        <w:t>medical</w:t>
      </w:r>
      <w:r w:rsidRPr="005502A6">
        <w:rPr>
          <w:rFonts w:ascii="Arial" w:hAnsi="Arial" w:cs="Arial"/>
          <w:spacing w:val="-9"/>
        </w:rPr>
        <w:t xml:space="preserve"> </w:t>
      </w:r>
      <w:r w:rsidRPr="005502A6">
        <w:rPr>
          <w:rFonts w:ascii="Arial" w:hAnsi="Arial" w:cs="Arial"/>
        </w:rPr>
        <w:t>conditions</w:t>
      </w:r>
      <w:r w:rsidRPr="005502A6">
        <w:rPr>
          <w:rFonts w:ascii="Arial" w:hAnsi="Arial" w:cs="Arial"/>
          <w:spacing w:val="-7"/>
        </w:rPr>
        <w:t xml:space="preserve"> </w:t>
      </w:r>
      <w:r w:rsidRPr="005502A6">
        <w:rPr>
          <w:rFonts w:ascii="Arial" w:hAnsi="Arial" w:cs="Arial"/>
        </w:rPr>
        <w:t>for</w:t>
      </w:r>
      <w:r w:rsidRPr="005502A6">
        <w:rPr>
          <w:rFonts w:ascii="Arial" w:hAnsi="Arial" w:cs="Arial"/>
          <w:spacing w:val="-7"/>
        </w:rPr>
        <w:t xml:space="preserve"> </w:t>
      </w:r>
      <w:r w:rsidRPr="005502A6">
        <w:rPr>
          <w:rFonts w:ascii="Arial" w:hAnsi="Arial" w:cs="Arial"/>
        </w:rPr>
        <w:t>which</w:t>
      </w:r>
      <w:r w:rsidRPr="005502A6">
        <w:rPr>
          <w:rFonts w:ascii="Arial" w:hAnsi="Arial" w:cs="Arial"/>
          <w:spacing w:val="-7"/>
        </w:rPr>
        <w:t xml:space="preserve"> </w:t>
      </w:r>
      <w:r w:rsidRPr="005502A6">
        <w:rPr>
          <w:rFonts w:ascii="Arial" w:hAnsi="Arial" w:cs="Arial"/>
        </w:rPr>
        <w:t>the</w:t>
      </w:r>
      <w:r w:rsidRPr="005502A6">
        <w:rPr>
          <w:rFonts w:ascii="Arial" w:hAnsi="Arial" w:cs="Arial"/>
          <w:spacing w:val="-6"/>
        </w:rPr>
        <w:t xml:space="preserve"> </w:t>
      </w:r>
      <w:r w:rsidRPr="005502A6">
        <w:rPr>
          <w:rFonts w:ascii="Arial" w:hAnsi="Arial" w:cs="Arial"/>
        </w:rPr>
        <w:t>designated</w:t>
      </w:r>
      <w:r w:rsidRPr="005502A6">
        <w:rPr>
          <w:rFonts w:ascii="Arial" w:hAnsi="Arial" w:cs="Arial"/>
          <w:spacing w:val="-7"/>
        </w:rPr>
        <w:t xml:space="preserve"> </w:t>
      </w:r>
      <w:r w:rsidRPr="005502A6">
        <w:rPr>
          <w:rFonts w:ascii="Arial" w:hAnsi="Arial" w:cs="Arial"/>
        </w:rPr>
        <w:t>RN</w:t>
      </w:r>
      <w:r w:rsidRPr="005502A6">
        <w:rPr>
          <w:rFonts w:ascii="Arial" w:hAnsi="Arial" w:cs="Arial"/>
          <w:spacing w:val="-8"/>
        </w:rPr>
        <w:t xml:space="preserve"> </w:t>
      </w:r>
      <w:r w:rsidRPr="005502A6">
        <w:rPr>
          <w:rFonts w:ascii="Arial" w:hAnsi="Arial" w:cs="Arial"/>
        </w:rPr>
        <w:t>prescriber</w:t>
      </w:r>
      <w:r w:rsidRPr="005502A6">
        <w:rPr>
          <w:rFonts w:ascii="Arial" w:hAnsi="Arial" w:cs="Arial"/>
          <w:spacing w:val="-7"/>
        </w:rPr>
        <w:t xml:space="preserve"> </w:t>
      </w:r>
      <w:r w:rsidRPr="005502A6">
        <w:rPr>
          <w:rFonts w:ascii="Arial" w:hAnsi="Arial" w:cs="Arial"/>
        </w:rPr>
        <w:t>has</w:t>
      </w:r>
      <w:r w:rsidRPr="005502A6">
        <w:rPr>
          <w:rFonts w:ascii="Arial" w:hAnsi="Arial" w:cs="Arial"/>
          <w:spacing w:val="-6"/>
        </w:rPr>
        <w:t xml:space="preserve"> </w:t>
      </w:r>
      <w:r w:rsidRPr="005502A6">
        <w:rPr>
          <w:rFonts w:ascii="Arial" w:hAnsi="Arial" w:cs="Arial"/>
        </w:rPr>
        <w:t>authority</w:t>
      </w:r>
      <w:r w:rsidRPr="005502A6">
        <w:rPr>
          <w:rFonts w:ascii="Arial" w:hAnsi="Arial" w:cs="Arial"/>
          <w:spacing w:val="-7"/>
        </w:rPr>
        <w:t xml:space="preserve"> </w:t>
      </w:r>
      <w:r w:rsidRPr="005502A6">
        <w:rPr>
          <w:rFonts w:ascii="Arial" w:hAnsi="Arial" w:cs="Arial"/>
        </w:rPr>
        <w:t>to</w:t>
      </w:r>
      <w:r w:rsidRPr="005502A6">
        <w:rPr>
          <w:rFonts w:ascii="Arial" w:hAnsi="Arial" w:cs="Arial"/>
          <w:spacing w:val="-9"/>
        </w:rPr>
        <w:t xml:space="preserve"> </w:t>
      </w:r>
      <w:r w:rsidRPr="005502A6">
        <w:rPr>
          <w:rFonts w:ascii="Arial" w:hAnsi="Arial" w:cs="Arial"/>
          <w:spacing w:val="-2"/>
        </w:rPr>
        <w:t>prescribe</w:t>
      </w:r>
    </w:p>
    <w:p w14:paraId="7B61BBFA" w14:textId="77777777" w:rsidR="00F05C60" w:rsidRPr="005502A6" w:rsidRDefault="00F05C60" w:rsidP="00F05C60">
      <w:pPr>
        <w:pStyle w:val="ListParagraph"/>
        <w:widowControl w:val="0"/>
        <w:numPr>
          <w:ilvl w:val="0"/>
          <w:numId w:val="59"/>
        </w:numPr>
        <w:tabs>
          <w:tab w:val="left" w:pos="480"/>
        </w:tabs>
        <w:autoSpaceDE w:val="0"/>
        <w:autoSpaceDN w:val="0"/>
        <w:spacing w:before="2" w:after="0" w:line="237" w:lineRule="auto"/>
        <w:ind w:left="480" w:right="880" w:hanging="360"/>
        <w:contextualSpacing w:val="0"/>
        <w:rPr>
          <w:rFonts w:ascii="Arial" w:hAnsi="Arial" w:cs="Arial"/>
        </w:rPr>
      </w:pPr>
      <w:r w:rsidRPr="005502A6">
        <w:rPr>
          <w:rFonts w:ascii="Arial" w:hAnsi="Arial" w:cs="Arial"/>
        </w:rPr>
        <w:t>medicines that the designated RN prescriber is authorised to prescribe; where Schedule 8 medicines</w:t>
      </w:r>
      <w:r w:rsidRPr="005502A6">
        <w:rPr>
          <w:rFonts w:ascii="Arial" w:hAnsi="Arial" w:cs="Arial"/>
          <w:spacing w:val="-3"/>
        </w:rPr>
        <w:t xml:space="preserve"> </w:t>
      </w:r>
      <w:r w:rsidRPr="005502A6">
        <w:rPr>
          <w:rFonts w:ascii="Arial" w:hAnsi="Arial" w:cs="Arial"/>
        </w:rPr>
        <w:t>are</w:t>
      </w:r>
      <w:r w:rsidRPr="005502A6">
        <w:rPr>
          <w:rFonts w:ascii="Arial" w:hAnsi="Arial" w:cs="Arial"/>
          <w:spacing w:val="-4"/>
        </w:rPr>
        <w:t xml:space="preserve"> </w:t>
      </w:r>
      <w:r w:rsidRPr="005502A6">
        <w:rPr>
          <w:rFonts w:ascii="Arial" w:hAnsi="Arial" w:cs="Arial"/>
        </w:rPr>
        <w:t>included,</w:t>
      </w:r>
      <w:r w:rsidRPr="005502A6">
        <w:rPr>
          <w:rFonts w:ascii="Arial" w:hAnsi="Arial" w:cs="Arial"/>
          <w:spacing w:val="-4"/>
        </w:rPr>
        <w:t xml:space="preserve"> </w:t>
      </w:r>
      <w:r w:rsidRPr="005502A6">
        <w:rPr>
          <w:rFonts w:ascii="Arial" w:hAnsi="Arial" w:cs="Arial"/>
        </w:rPr>
        <w:t>specific</w:t>
      </w:r>
      <w:r w:rsidRPr="005502A6">
        <w:rPr>
          <w:rFonts w:ascii="Arial" w:hAnsi="Arial" w:cs="Arial"/>
          <w:spacing w:val="-3"/>
        </w:rPr>
        <w:t xml:space="preserve"> </w:t>
      </w:r>
      <w:r w:rsidRPr="005502A6">
        <w:rPr>
          <w:rFonts w:ascii="Arial" w:hAnsi="Arial" w:cs="Arial"/>
        </w:rPr>
        <w:t>details</w:t>
      </w:r>
      <w:r w:rsidRPr="005502A6">
        <w:rPr>
          <w:rFonts w:ascii="Arial" w:hAnsi="Arial" w:cs="Arial"/>
          <w:spacing w:val="-2"/>
        </w:rPr>
        <w:t xml:space="preserve"> </w:t>
      </w:r>
      <w:r w:rsidRPr="005502A6">
        <w:rPr>
          <w:rFonts w:ascii="Arial" w:hAnsi="Arial" w:cs="Arial"/>
        </w:rPr>
        <w:t>must</w:t>
      </w:r>
      <w:r w:rsidRPr="005502A6">
        <w:rPr>
          <w:rFonts w:ascii="Arial" w:hAnsi="Arial" w:cs="Arial"/>
          <w:spacing w:val="-4"/>
        </w:rPr>
        <w:t xml:space="preserve"> </w:t>
      </w:r>
      <w:r w:rsidRPr="005502A6">
        <w:rPr>
          <w:rFonts w:ascii="Arial" w:hAnsi="Arial" w:cs="Arial"/>
        </w:rPr>
        <w:t>be</w:t>
      </w:r>
      <w:r w:rsidRPr="005502A6">
        <w:rPr>
          <w:rFonts w:ascii="Arial" w:hAnsi="Arial" w:cs="Arial"/>
          <w:spacing w:val="-4"/>
        </w:rPr>
        <w:t xml:space="preserve"> </w:t>
      </w:r>
      <w:r w:rsidRPr="005502A6">
        <w:rPr>
          <w:rFonts w:ascii="Arial" w:hAnsi="Arial" w:cs="Arial"/>
        </w:rPr>
        <w:t>outlined</w:t>
      </w:r>
      <w:r w:rsidRPr="005502A6">
        <w:rPr>
          <w:rFonts w:ascii="Arial" w:hAnsi="Arial" w:cs="Arial"/>
          <w:spacing w:val="-2"/>
        </w:rPr>
        <w:t xml:space="preserve"> </w:t>
      </w:r>
      <w:r w:rsidRPr="005502A6">
        <w:rPr>
          <w:rFonts w:ascii="Arial" w:hAnsi="Arial" w:cs="Arial"/>
          <w:color w:val="000000"/>
        </w:rPr>
        <w:t>that</w:t>
      </w:r>
      <w:r w:rsidRPr="005502A6">
        <w:rPr>
          <w:rFonts w:ascii="Arial" w:hAnsi="Arial" w:cs="Arial"/>
          <w:color w:val="000000"/>
          <w:spacing w:val="-3"/>
        </w:rPr>
        <w:t xml:space="preserve"> </w:t>
      </w:r>
      <w:r w:rsidRPr="005502A6">
        <w:rPr>
          <w:rFonts w:ascii="Arial" w:hAnsi="Arial" w:cs="Arial"/>
          <w:color w:val="000000"/>
        </w:rPr>
        <w:t>includes</w:t>
      </w:r>
      <w:r w:rsidRPr="005502A6">
        <w:rPr>
          <w:rFonts w:ascii="Arial" w:hAnsi="Arial" w:cs="Arial"/>
          <w:color w:val="000000"/>
          <w:spacing w:val="-3"/>
        </w:rPr>
        <w:t xml:space="preserve"> </w:t>
      </w:r>
      <w:r w:rsidRPr="005502A6">
        <w:rPr>
          <w:rFonts w:ascii="Arial" w:hAnsi="Arial" w:cs="Arial"/>
          <w:color w:val="000000"/>
        </w:rPr>
        <w:t>information regarding the relevant state or territory medicines and controlled substances legislation.</w:t>
      </w:r>
    </w:p>
    <w:p w14:paraId="6F755AB5" w14:textId="77777777" w:rsidR="00F05C60" w:rsidRPr="005502A6" w:rsidRDefault="00F05C60" w:rsidP="00F05C60">
      <w:pPr>
        <w:pStyle w:val="ListParagraph"/>
        <w:widowControl w:val="0"/>
        <w:numPr>
          <w:ilvl w:val="0"/>
          <w:numId w:val="59"/>
        </w:numPr>
        <w:tabs>
          <w:tab w:val="left" w:pos="480"/>
        </w:tabs>
        <w:autoSpaceDE w:val="0"/>
        <w:autoSpaceDN w:val="0"/>
        <w:spacing w:before="7" w:after="0" w:line="235" w:lineRule="auto"/>
        <w:ind w:left="480" w:right="859" w:hanging="360"/>
        <w:contextualSpacing w:val="0"/>
        <w:rPr>
          <w:rFonts w:ascii="Arial" w:hAnsi="Arial" w:cs="Arial"/>
        </w:rPr>
      </w:pPr>
      <w:r w:rsidRPr="005502A6">
        <w:rPr>
          <w:rFonts w:ascii="Arial" w:hAnsi="Arial" w:cs="Arial"/>
        </w:rPr>
        <w:t>responsibility</w:t>
      </w:r>
      <w:r w:rsidRPr="005502A6">
        <w:rPr>
          <w:rFonts w:ascii="Arial" w:hAnsi="Arial" w:cs="Arial"/>
          <w:spacing w:val="-4"/>
        </w:rPr>
        <w:t xml:space="preserve"> </w:t>
      </w:r>
      <w:r w:rsidRPr="005502A6">
        <w:rPr>
          <w:rFonts w:ascii="Arial" w:hAnsi="Arial" w:cs="Arial"/>
        </w:rPr>
        <w:t>for</w:t>
      </w:r>
      <w:r w:rsidRPr="005502A6">
        <w:rPr>
          <w:rFonts w:ascii="Arial" w:hAnsi="Arial" w:cs="Arial"/>
          <w:spacing w:val="-2"/>
        </w:rPr>
        <w:t xml:space="preserve"> </w:t>
      </w:r>
      <w:r w:rsidRPr="005502A6">
        <w:rPr>
          <w:rFonts w:ascii="Arial" w:hAnsi="Arial" w:cs="Arial"/>
        </w:rPr>
        <w:t>aspects</w:t>
      </w:r>
      <w:r w:rsidRPr="005502A6">
        <w:rPr>
          <w:rFonts w:ascii="Arial" w:hAnsi="Arial" w:cs="Arial"/>
          <w:spacing w:val="-4"/>
        </w:rPr>
        <w:t xml:space="preserve"> </w:t>
      </w:r>
      <w:r w:rsidRPr="005502A6">
        <w:rPr>
          <w:rFonts w:ascii="Arial" w:hAnsi="Arial" w:cs="Arial"/>
        </w:rPr>
        <w:t>of</w:t>
      </w:r>
      <w:r w:rsidRPr="005502A6">
        <w:rPr>
          <w:rFonts w:ascii="Arial" w:hAnsi="Arial" w:cs="Arial"/>
          <w:spacing w:val="-3"/>
        </w:rPr>
        <w:t xml:space="preserve"> </w:t>
      </w:r>
      <w:r w:rsidRPr="005502A6">
        <w:rPr>
          <w:rFonts w:ascii="Arial" w:hAnsi="Arial" w:cs="Arial"/>
        </w:rPr>
        <w:t>care</w:t>
      </w:r>
      <w:r w:rsidRPr="005502A6">
        <w:rPr>
          <w:rFonts w:ascii="Arial" w:hAnsi="Arial" w:cs="Arial"/>
          <w:spacing w:val="-5"/>
        </w:rPr>
        <w:t xml:space="preserve"> </w:t>
      </w:r>
      <w:r w:rsidRPr="005502A6">
        <w:rPr>
          <w:rFonts w:ascii="Arial" w:hAnsi="Arial" w:cs="Arial"/>
        </w:rPr>
        <w:t>regarding</w:t>
      </w:r>
      <w:r w:rsidRPr="005502A6">
        <w:rPr>
          <w:rFonts w:ascii="Arial" w:hAnsi="Arial" w:cs="Arial"/>
          <w:spacing w:val="-1"/>
        </w:rPr>
        <w:t xml:space="preserve"> </w:t>
      </w:r>
      <w:r w:rsidRPr="005502A6">
        <w:rPr>
          <w:rFonts w:ascii="Arial" w:hAnsi="Arial" w:cs="Arial"/>
        </w:rPr>
        <w:t>diagnosis</w:t>
      </w:r>
      <w:r w:rsidRPr="005502A6">
        <w:rPr>
          <w:rFonts w:ascii="Arial" w:hAnsi="Arial" w:cs="Arial"/>
          <w:spacing w:val="-4"/>
        </w:rPr>
        <w:t xml:space="preserve"> </w:t>
      </w:r>
      <w:r w:rsidRPr="005502A6">
        <w:rPr>
          <w:rFonts w:ascii="Arial" w:hAnsi="Arial" w:cs="Arial"/>
        </w:rPr>
        <w:t>and</w:t>
      </w:r>
      <w:r w:rsidRPr="005502A6">
        <w:rPr>
          <w:rFonts w:ascii="Arial" w:hAnsi="Arial" w:cs="Arial"/>
          <w:spacing w:val="-6"/>
        </w:rPr>
        <w:t xml:space="preserve"> </w:t>
      </w:r>
      <w:r w:rsidRPr="005502A6">
        <w:rPr>
          <w:rFonts w:ascii="Arial" w:hAnsi="Arial" w:cs="Arial"/>
        </w:rPr>
        <w:t>associated</w:t>
      </w:r>
      <w:r w:rsidRPr="005502A6">
        <w:rPr>
          <w:rFonts w:ascii="Arial" w:hAnsi="Arial" w:cs="Arial"/>
          <w:spacing w:val="-1"/>
        </w:rPr>
        <w:t xml:space="preserve"> </w:t>
      </w:r>
      <w:r w:rsidRPr="005502A6">
        <w:rPr>
          <w:rFonts w:ascii="Arial" w:hAnsi="Arial" w:cs="Arial"/>
        </w:rPr>
        <w:t>prescribing</w:t>
      </w:r>
      <w:r w:rsidRPr="005502A6">
        <w:rPr>
          <w:rFonts w:ascii="Arial" w:hAnsi="Arial" w:cs="Arial"/>
          <w:spacing w:val="-2"/>
        </w:rPr>
        <w:t xml:space="preserve"> </w:t>
      </w:r>
      <w:r w:rsidRPr="005502A6">
        <w:rPr>
          <w:rFonts w:ascii="Arial" w:hAnsi="Arial" w:cs="Arial"/>
        </w:rPr>
        <w:t>including</w:t>
      </w:r>
      <w:r w:rsidRPr="005502A6">
        <w:rPr>
          <w:rFonts w:ascii="Arial" w:hAnsi="Arial" w:cs="Arial"/>
          <w:spacing w:val="-3"/>
        </w:rPr>
        <w:t xml:space="preserve"> </w:t>
      </w:r>
      <w:r w:rsidRPr="005502A6">
        <w:rPr>
          <w:rFonts w:ascii="Arial" w:hAnsi="Arial" w:cs="Arial"/>
        </w:rPr>
        <w:t>use</w:t>
      </w:r>
      <w:r w:rsidRPr="005502A6">
        <w:rPr>
          <w:rFonts w:ascii="Arial" w:hAnsi="Arial" w:cs="Arial"/>
          <w:spacing w:val="-5"/>
        </w:rPr>
        <w:t xml:space="preserve"> </w:t>
      </w:r>
      <w:r w:rsidRPr="005502A6">
        <w:rPr>
          <w:rFonts w:ascii="Arial" w:hAnsi="Arial" w:cs="Arial"/>
        </w:rPr>
        <w:t>of the Real Time Prescription Monitoring</w:t>
      </w:r>
      <w:r w:rsidRPr="005502A6">
        <w:rPr>
          <w:rStyle w:val="FootnoteReference"/>
          <w:rFonts w:cs="Arial"/>
          <w:sz w:val="20"/>
        </w:rPr>
        <w:footnoteReference w:id="5"/>
      </w:r>
      <w:r w:rsidRPr="005502A6">
        <w:rPr>
          <w:rFonts w:ascii="Arial" w:hAnsi="Arial" w:cs="Arial"/>
          <w:spacing w:val="40"/>
          <w:position w:val="6"/>
        </w:rPr>
        <w:t xml:space="preserve"> </w:t>
      </w:r>
      <w:r w:rsidRPr="005502A6">
        <w:rPr>
          <w:rFonts w:ascii="Arial" w:hAnsi="Arial" w:cs="Arial"/>
        </w:rPr>
        <w:t>system</w:t>
      </w:r>
    </w:p>
    <w:p w14:paraId="0425B962" w14:textId="77777777" w:rsidR="00F05C60" w:rsidRPr="005502A6" w:rsidRDefault="00F05C60" w:rsidP="00F05C60">
      <w:pPr>
        <w:pStyle w:val="ListParagraph"/>
        <w:widowControl w:val="0"/>
        <w:numPr>
          <w:ilvl w:val="0"/>
          <w:numId w:val="59"/>
        </w:numPr>
        <w:tabs>
          <w:tab w:val="left" w:pos="480"/>
        </w:tabs>
        <w:autoSpaceDE w:val="0"/>
        <w:autoSpaceDN w:val="0"/>
        <w:spacing w:before="6" w:after="0" w:line="237" w:lineRule="auto"/>
        <w:ind w:left="480" w:right="854" w:hanging="360"/>
        <w:contextualSpacing w:val="0"/>
        <w:rPr>
          <w:rFonts w:ascii="Arial" w:hAnsi="Arial" w:cs="Arial"/>
        </w:rPr>
      </w:pPr>
      <w:r w:rsidRPr="005502A6">
        <w:rPr>
          <w:rFonts w:ascii="Arial" w:hAnsi="Arial" w:cs="Arial"/>
        </w:rPr>
        <w:t>clearly documented processes for consultation and referral including provisions where proximity and/or</w:t>
      </w:r>
      <w:r w:rsidRPr="005502A6">
        <w:rPr>
          <w:rFonts w:ascii="Arial" w:hAnsi="Arial" w:cs="Arial"/>
          <w:spacing w:val="-4"/>
        </w:rPr>
        <w:t xml:space="preserve"> </w:t>
      </w:r>
      <w:r w:rsidRPr="005502A6">
        <w:rPr>
          <w:rFonts w:ascii="Arial" w:hAnsi="Arial" w:cs="Arial"/>
        </w:rPr>
        <w:t>availability</w:t>
      </w:r>
      <w:r w:rsidRPr="005502A6">
        <w:rPr>
          <w:rFonts w:ascii="Arial" w:hAnsi="Arial" w:cs="Arial"/>
          <w:spacing w:val="-4"/>
        </w:rPr>
        <w:t xml:space="preserve"> </w:t>
      </w:r>
      <w:r w:rsidRPr="005502A6">
        <w:rPr>
          <w:rFonts w:ascii="Arial" w:hAnsi="Arial" w:cs="Arial"/>
        </w:rPr>
        <w:t>of</w:t>
      </w:r>
      <w:r w:rsidRPr="005502A6">
        <w:rPr>
          <w:rFonts w:ascii="Arial" w:hAnsi="Arial" w:cs="Arial"/>
          <w:spacing w:val="-4"/>
        </w:rPr>
        <w:t xml:space="preserve"> </w:t>
      </w:r>
      <w:r w:rsidRPr="005502A6">
        <w:rPr>
          <w:rFonts w:ascii="Arial" w:hAnsi="Arial" w:cs="Arial"/>
        </w:rPr>
        <w:t>the</w:t>
      </w:r>
      <w:r w:rsidRPr="005502A6">
        <w:rPr>
          <w:rFonts w:ascii="Arial" w:hAnsi="Arial" w:cs="Arial"/>
          <w:spacing w:val="-5"/>
        </w:rPr>
        <w:t xml:space="preserve"> </w:t>
      </w:r>
      <w:r w:rsidRPr="005502A6">
        <w:rPr>
          <w:rFonts w:ascii="Arial" w:hAnsi="Arial" w:cs="Arial"/>
        </w:rPr>
        <w:t>authorised</w:t>
      </w:r>
      <w:r w:rsidRPr="005502A6">
        <w:rPr>
          <w:rFonts w:ascii="Arial" w:hAnsi="Arial" w:cs="Arial"/>
          <w:spacing w:val="-4"/>
        </w:rPr>
        <w:t xml:space="preserve"> </w:t>
      </w:r>
      <w:r w:rsidRPr="005502A6">
        <w:rPr>
          <w:rFonts w:ascii="Arial" w:hAnsi="Arial" w:cs="Arial"/>
        </w:rPr>
        <w:t>health</w:t>
      </w:r>
      <w:r w:rsidRPr="005502A6">
        <w:rPr>
          <w:rFonts w:ascii="Arial" w:hAnsi="Arial" w:cs="Arial"/>
          <w:spacing w:val="-4"/>
        </w:rPr>
        <w:t xml:space="preserve"> </w:t>
      </w:r>
      <w:r w:rsidRPr="005502A6">
        <w:rPr>
          <w:rFonts w:ascii="Arial" w:hAnsi="Arial" w:cs="Arial"/>
        </w:rPr>
        <w:t>practitioner</w:t>
      </w:r>
      <w:r w:rsidRPr="005502A6">
        <w:rPr>
          <w:rFonts w:ascii="Arial" w:hAnsi="Arial" w:cs="Arial"/>
          <w:spacing w:val="-5"/>
        </w:rPr>
        <w:t xml:space="preserve"> </w:t>
      </w:r>
      <w:r w:rsidRPr="005502A6">
        <w:rPr>
          <w:rFonts w:ascii="Arial" w:hAnsi="Arial" w:cs="Arial"/>
        </w:rPr>
        <w:t>to</w:t>
      </w:r>
      <w:r w:rsidRPr="005502A6">
        <w:rPr>
          <w:rFonts w:ascii="Arial" w:hAnsi="Arial" w:cs="Arial"/>
          <w:spacing w:val="-4"/>
        </w:rPr>
        <w:t xml:space="preserve"> </w:t>
      </w:r>
      <w:r w:rsidRPr="005502A6">
        <w:rPr>
          <w:rFonts w:ascii="Arial" w:hAnsi="Arial" w:cs="Arial"/>
        </w:rPr>
        <w:t>the</w:t>
      </w:r>
      <w:r w:rsidRPr="005502A6">
        <w:rPr>
          <w:rFonts w:ascii="Arial" w:hAnsi="Arial" w:cs="Arial"/>
          <w:spacing w:val="-3"/>
        </w:rPr>
        <w:t xml:space="preserve"> </w:t>
      </w:r>
      <w:r w:rsidRPr="005502A6">
        <w:rPr>
          <w:rFonts w:ascii="Arial" w:hAnsi="Arial" w:cs="Arial"/>
        </w:rPr>
        <w:t>designated</w:t>
      </w:r>
      <w:r w:rsidRPr="005502A6">
        <w:rPr>
          <w:rFonts w:ascii="Arial" w:hAnsi="Arial" w:cs="Arial"/>
          <w:spacing w:val="-4"/>
        </w:rPr>
        <w:t xml:space="preserve"> </w:t>
      </w:r>
      <w:r w:rsidRPr="005502A6">
        <w:rPr>
          <w:rFonts w:ascii="Arial" w:hAnsi="Arial" w:cs="Arial"/>
        </w:rPr>
        <w:t>RN</w:t>
      </w:r>
      <w:r w:rsidRPr="005502A6">
        <w:rPr>
          <w:rFonts w:ascii="Arial" w:hAnsi="Arial" w:cs="Arial"/>
          <w:spacing w:val="-4"/>
        </w:rPr>
        <w:t xml:space="preserve"> </w:t>
      </w:r>
      <w:r w:rsidRPr="005502A6">
        <w:rPr>
          <w:rFonts w:ascii="Arial" w:hAnsi="Arial" w:cs="Arial"/>
        </w:rPr>
        <w:t>prescriber</w:t>
      </w:r>
      <w:r w:rsidRPr="005502A6">
        <w:rPr>
          <w:rFonts w:ascii="Arial" w:hAnsi="Arial" w:cs="Arial"/>
          <w:spacing w:val="-2"/>
        </w:rPr>
        <w:t xml:space="preserve"> </w:t>
      </w:r>
      <w:r w:rsidRPr="005502A6">
        <w:rPr>
          <w:rFonts w:ascii="Arial" w:hAnsi="Arial" w:cs="Arial"/>
        </w:rPr>
        <w:t>may</w:t>
      </w:r>
      <w:r w:rsidRPr="005502A6">
        <w:rPr>
          <w:rFonts w:ascii="Arial" w:hAnsi="Arial" w:cs="Arial"/>
          <w:spacing w:val="-4"/>
        </w:rPr>
        <w:t xml:space="preserve"> </w:t>
      </w:r>
      <w:r w:rsidRPr="005502A6">
        <w:rPr>
          <w:rFonts w:ascii="Arial" w:hAnsi="Arial" w:cs="Arial"/>
        </w:rPr>
        <w:t xml:space="preserve">need </w:t>
      </w:r>
      <w:r w:rsidRPr="005502A6">
        <w:rPr>
          <w:rFonts w:ascii="Arial" w:hAnsi="Arial" w:cs="Arial"/>
          <w:spacing w:val="-2"/>
        </w:rPr>
        <w:t>consideration</w:t>
      </w:r>
    </w:p>
    <w:p w14:paraId="3645A02C" w14:textId="77777777" w:rsidR="00F05C60" w:rsidRPr="005502A6" w:rsidRDefault="00F05C60" w:rsidP="00F05C60">
      <w:pPr>
        <w:pStyle w:val="ListParagraph"/>
        <w:widowControl w:val="0"/>
        <w:numPr>
          <w:ilvl w:val="0"/>
          <w:numId w:val="59"/>
        </w:numPr>
        <w:tabs>
          <w:tab w:val="left" w:pos="480"/>
        </w:tabs>
        <w:autoSpaceDE w:val="0"/>
        <w:autoSpaceDN w:val="0"/>
        <w:spacing w:before="3" w:after="0" w:line="244" w:lineRule="exact"/>
        <w:ind w:left="480" w:hanging="360"/>
        <w:contextualSpacing w:val="0"/>
        <w:rPr>
          <w:rFonts w:ascii="Arial" w:hAnsi="Arial" w:cs="Arial"/>
        </w:rPr>
      </w:pPr>
      <w:r w:rsidRPr="005502A6">
        <w:rPr>
          <w:rFonts w:ascii="Arial" w:hAnsi="Arial" w:cs="Arial"/>
        </w:rPr>
        <w:t>arrangements</w:t>
      </w:r>
      <w:r w:rsidRPr="005502A6">
        <w:rPr>
          <w:rFonts w:ascii="Arial" w:hAnsi="Arial" w:cs="Arial"/>
          <w:spacing w:val="-9"/>
        </w:rPr>
        <w:t xml:space="preserve"> </w:t>
      </w:r>
      <w:r w:rsidRPr="005502A6">
        <w:rPr>
          <w:rFonts w:ascii="Arial" w:hAnsi="Arial" w:cs="Arial"/>
        </w:rPr>
        <w:t>where</w:t>
      </w:r>
      <w:r w:rsidRPr="005502A6">
        <w:rPr>
          <w:rFonts w:ascii="Arial" w:hAnsi="Arial" w:cs="Arial"/>
          <w:spacing w:val="-7"/>
        </w:rPr>
        <w:t xml:space="preserve"> </w:t>
      </w:r>
      <w:r w:rsidRPr="005502A6">
        <w:rPr>
          <w:rFonts w:ascii="Arial" w:hAnsi="Arial" w:cs="Arial"/>
        </w:rPr>
        <w:t>the</w:t>
      </w:r>
      <w:r w:rsidRPr="005502A6">
        <w:rPr>
          <w:rFonts w:ascii="Arial" w:hAnsi="Arial" w:cs="Arial"/>
          <w:spacing w:val="-8"/>
        </w:rPr>
        <w:t xml:space="preserve"> </w:t>
      </w:r>
      <w:r w:rsidRPr="005502A6">
        <w:rPr>
          <w:rFonts w:ascii="Arial" w:hAnsi="Arial" w:cs="Arial"/>
        </w:rPr>
        <w:t>agreement</w:t>
      </w:r>
      <w:r w:rsidRPr="005502A6">
        <w:rPr>
          <w:rFonts w:ascii="Arial" w:hAnsi="Arial" w:cs="Arial"/>
          <w:spacing w:val="-9"/>
        </w:rPr>
        <w:t xml:space="preserve"> </w:t>
      </w:r>
      <w:r w:rsidRPr="005502A6">
        <w:rPr>
          <w:rFonts w:ascii="Arial" w:hAnsi="Arial" w:cs="Arial"/>
        </w:rPr>
        <w:t>is</w:t>
      </w:r>
      <w:r w:rsidRPr="005502A6">
        <w:rPr>
          <w:rFonts w:ascii="Arial" w:hAnsi="Arial" w:cs="Arial"/>
          <w:spacing w:val="-8"/>
        </w:rPr>
        <w:t xml:space="preserve"> </w:t>
      </w:r>
      <w:r w:rsidRPr="005502A6">
        <w:rPr>
          <w:rFonts w:ascii="Arial" w:hAnsi="Arial" w:cs="Arial"/>
        </w:rPr>
        <w:t>with</w:t>
      </w:r>
      <w:r w:rsidRPr="005502A6">
        <w:rPr>
          <w:rFonts w:ascii="Arial" w:hAnsi="Arial" w:cs="Arial"/>
          <w:spacing w:val="-8"/>
        </w:rPr>
        <w:t xml:space="preserve"> </w:t>
      </w:r>
      <w:r w:rsidRPr="005502A6">
        <w:rPr>
          <w:rFonts w:ascii="Arial" w:hAnsi="Arial" w:cs="Arial"/>
        </w:rPr>
        <w:t>multiple</w:t>
      </w:r>
      <w:r w:rsidRPr="005502A6">
        <w:rPr>
          <w:rFonts w:ascii="Arial" w:hAnsi="Arial" w:cs="Arial"/>
          <w:spacing w:val="-9"/>
        </w:rPr>
        <w:t xml:space="preserve"> </w:t>
      </w:r>
      <w:r w:rsidRPr="005502A6">
        <w:rPr>
          <w:rFonts w:ascii="Arial" w:hAnsi="Arial" w:cs="Arial"/>
        </w:rPr>
        <w:t>authorised</w:t>
      </w:r>
      <w:r w:rsidRPr="005502A6">
        <w:rPr>
          <w:rFonts w:ascii="Arial" w:hAnsi="Arial" w:cs="Arial"/>
          <w:spacing w:val="-8"/>
        </w:rPr>
        <w:t xml:space="preserve"> </w:t>
      </w:r>
      <w:r w:rsidRPr="005502A6">
        <w:rPr>
          <w:rFonts w:ascii="Arial" w:hAnsi="Arial" w:cs="Arial"/>
        </w:rPr>
        <w:t>health</w:t>
      </w:r>
      <w:r w:rsidRPr="005502A6">
        <w:rPr>
          <w:rFonts w:ascii="Arial" w:hAnsi="Arial" w:cs="Arial"/>
          <w:spacing w:val="-9"/>
        </w:rPr>
        <w:t xml:space="preserve"> </w:t>
      </w:r>
      <w:r w:rsidRPr="005502A6">
        <w:rPr>
          <w:rFonts w:ascii="Arial" w:hAnsi="Arial" w:cs="Arial"/>
          <w:spacing w:val="-2"/>
        </w:rPr>
        <w:t>practitioners</w:t>
      </w:r>
    </w:p>
    <w:p w14:paraId="281E7AF9" w14:textId="77777777" w:rsidR="00F05C60" w:rsidRPr="005502A6" w:rsidRDefault="00F05C60" w:rsidP="00F05C60">
      <w:pPr>
        <w:pStyle w:val="ListParagraph"/>
        <w:widowControl w:val="0"/>
        <w:numPr>
          <w:ilvl w:val="0"/>
          <w:numId w:val="59"/>
        </w:numPr>
        <w:tabs>
          <w:tab w:val="left" w:pos="480"/>
        </w:tabs>
        <w:autoSpaceDE w:val="0"/>
        <w:autoSpaceDN w:val="0"/>
        <w:spacing w:after="0" w:line="244" w:lineRule="exact"/>
        <w:ind w:left="480" w:hanging="360"/>
        <w:contextualSpacing w:val="0"/>
        <w:rPr>
          <w:rFonts w:ascii="Arial" w:hAnsi="Arial" w:cs="Arial"/>
        </w:rPr>
      </w:pPr>
      <w:r w:rsidRPr="005502A6">
        <w:rPr>
          <w:rFonts w:ascii="Arial" w:hAnsi="Arial" w:cs="Arial"/>
        </w:rPr>
        <w:t>a</w:t>
      </w:r>
      <w:r w:rsidRPr="005502A6">
        <w:rPr>
          <w:rFonts w:ascii="Arial" w:hAnsi="Arial" w:cs="Arial"/>
          <w:spacing w:val="-6"/>
        </w:rPr>
        <w:t xml:space="preserve"> </w:t>
      </w:r>
      <w:r w:rsidRPr="005502A6">
        <w:rPr>
          <w:rFonts w:ascii="Arial" w:hAnsi="Arial" w:cs="Arial"/>
        </w:rPr>
        <w:t>plan</w:t>
      </w:r>
      <w:r w:rsidRPr="005502A6">
        <w:rPr>
          <w:rFonts w:ascii="Arial" w:hAnsi="Arial" w:cs="Arial"/>
          <w:spacing w:val="-6"/>
        </w:rPr>
        <w:t xml:space="preserve"> </w:t>
      </w:r>
      <w:r w:rsidRPr="005502A6">
        <w:rPr>
          <w:rFonts w:ascii="Arial" w:hAnsi="Arial" w:cs="Arial"/>
        </w:rPr>
        <w:t>for</w:t>
      </w:r>
      <w:r w:rsidRPr="005502A6">
        <w:rPr>
          <w:rFonts w:ascii="Arial" w:hAnsi="Arial" w:cs="Arial"/>
          <w:spacing w:val="-5"/>
        </w:rPr>
        <w:t xml:space="preserve"> </w:t>
      </w:r>
      <w:r w:rsidRPr="005502A6">
        <w:rPr>
          <w:rFonts w:ascii="Arial" w:hAnsi="Arial" w:cs="Arial"/>
        </w:rPr>
        <w:t>regular</w:t>
      </w:r>
      <w:r w:rsidRPr="005502A6">
        <w:rPr>
          <w:rFonts w:ascii="Arial" w:hAnsi="Arial" w:cs="Arial"/>
          <w:spacing w:val="-5"/>
        </w:rPr>
        <w:t xml:space="preserve"> </w:t>
      </w:r>
      <w:r w:rsidRPr="005502A6">
        <w:rPr>
          <w:rFonts w:ascii="Arial" w:hAnsi="Arial" w:cs="Arial"/>
        </w:rPr>
        <w:t>review</w:t>
      </w:r>
      <w:r w:rsidRPr="005502A6">
        <w:rPr>
          <w:rFonts w:ascii="Arial" w:hAnsi="Arial" w:cs="Arial"/>
          <w:spacing w:val="-4"/>
        </w:rPr>
        <w:t xml:space="preserve"> </w:t>
      </w:r>
      <w:r w:rsidRPr="005502A6">
        <w:rPr>
          <w:rFonts w:ascii="Arial" w:hAnsi="Arial" w:cs="Arial"/>
        </w:rPr>
        <w:t>(at</w:t>
      </w:r>
      <w:r w:rsidRPr="005502A6">
        <w:rPr>
          <w:rFonts w:ascii="Arial" w:hAnsi="Arial" w:cs="Arial"/>
          <w:spacing w:val="-3"/>
        </w:rPr>
        <w:t xml:space="preserve"> </w:t>
      </w:r>
      <w:r w:rsidRPr="005502A6">
        <w:rPr>
          <w:rFonts w:ascii="Arial" w:hAnsi="Arial" w:cs="Arial"/>
        </w:rPr>
        <w:t>least</w:t>
      </w:r>
      <w:r w:rsidRPr="005502A6">
        <w:rPr>
          <w:rFonts w:ascii="Arial" w:hAnsi="Arial" w:cs="Arial"/>
          <w:spacing w:val="-3"/>
        </w:rPr>
        <w:t xml:space="preserve"> </w:t>
      </w:r>
      <w:r w:rsidRPr="005502A6">
        <w:rPr>
          <w:rFonts w:ascii="Arial" w:hAnsi="Arial" w:cs="Arial"/>
          <w:spacing w:val="-2"/>
        </w:rPr>
        <w:t>annually)</w:t>
      </w:r>
    </w:p>
    <w:p w14:paraId="346064C5" w14:textId="77777777" w:rsidR="00F05C60" w:rsidRPr="005502A6" w:rsidRDefault="00F05C60" w:rsidP="00F05C60">
      <w:pPr>
        <w:pStyle w:val="ListParagraph"/>
        <w:widowControl w:val="0"/>
        <w:numPr>
          <w:ilvl w:val="0"/>
          <w:numId w:val="59"/>
        </w:numPr>
        <w:tabs>
          <w:tab w:val="left" w:pos="480"/>
        </w:tabs>
        <w:autoSpaceDE w:val="0"/>
        <w:autoSpaceDN w:val="0"/>
        <w:spacing w:after="0" w:line="244" w:lineRule="exact"/>
        <w:ind w:left="480" w:hanging="360"/>
        <w:contextualSpacing w:val="0"/>
        <w:rPr>
          <w:rFonts w:ascii="Arial" w:hAnsi="Arial" w:cs="Arial"/>
        </w:rPr>
      </w:pPr>
      <w:r w:rsidRPr="005502A6">
        <w:rPr>
          <w:rFonts w:ascii="Arial" w:hAnsi="Arial" w:cs="Arial"/>
        </w:rPr>
        <w:t>a</w:t>
      </w:r>
      <w:r w:rsidRPr="005502A6">
        <w:rPr>
          <w:rFonts w:ascii="Arial" w:hAnsi="Arial" w:cs="Arial"/>
          <w:spacing w:val="-7"/>
        </w:rPr>
        <w:t xml:space="preserve"> </w:t>
      </w:r>
      <w:r w:rsidRPr="005502A6">
        <w:rPr>
          <w:rFonts w:ascii="Arial" w:hAnsi="Arial" w:cs="Arial"/>
        </w:rPr>
        <w:t>process</w:t>
      </w:r>
      <w:r w:rsidRPr="005502A6">
        <w:rPr>
          <w:rFonts w:ascii="Arial" w:hAnsi="Arial" w:cs="Arial"/>
          <w:spacing w:val="-6"/>
        </w:rPr>
        <w:t xml:space="preserve"> </w:t>
      </w:r>
      <w:r w:rsidRPr="005502A6">
        <w:rPr>
          <w:rFonts w:ascii="Arial" w:hAnsi="Arial" w:cs="Arial"/>
        </w:rPr>
        <w:t>for</w:t>
      </w:r>
      <w:r w:rsidRPr="005502A6">
        <w:rPr>
          <w:rFonts w:ascii="Arial" w:hAnsi="Arial" w:cs="Arial"/>
          <w:spacing w:val="-6"/>
        </w:rPr>
        <w:t xml:space="preserve"> </w:t>
      </w:r>
      <w:r w:rsidRPr="005502A6">
        <w:rPr>
          <w:rFonts w:ascii="Arial" w:hAnsi="Arial" w:cs="Arial"/>
        </w:rPr>
        <w:t>monitoring</w:t>
      </w:r>
      <w:r w:rsidRPr="005502A6">
        <w:rPr>
          <w:rFonts w:ascii="Arial" w:hAnsi="Arial" w:cs="Arial"/>
          <w:spacing w:val="-8"/>
        </w:rPr>
        <w:t xml:space="preserve"> </w:t>
      </w:r>
      <w:r w:rsidRPr="005502A6">
        <w:rPr>
          <w:rFonts w:ascii="Arial" w:hAnsi="Arial" w:cs="Arial"/>
        </w:rPr>
        <w:t>and</w:t>
      </w:r>
      <w:r w:rsidRPr="005502A6">
        <w:rPr>
          <w:rFonts w:ascii="Arial" w:hAnsi="Arial" w:cs="Arial"/>
          <w:spacing w:val="-6"/>
        </w:rPr>
        <w:t xml:space="preserve"> </w:t>
      </w:r>
      <w:r w:rsidRPr="005502A6">
        <w:rPr>
          <w:rFonts w:ascii="Arial" w:hAnsi="Arial" w:cs="Arial"/>
        </w:rPr>
        <w:t>audit</w:t>
      </w:r>
      <w:r w:rsidRPr="005502A6">
        <w:rPr>
          <w:rFonts w:ascii="Arial" w:hAnsi="Arial" w:cs="Arial"/>
          <w:spacing w:val="-5"/>
        </w:rPr>
        <w:t>ing</w:t>
      </w:r>
      <w:r w:rsidRPr="005502A6">
        <w:rPr>
          <w:rFonts w:ascii="Arial" w:hAnsi="Arial" w:cs="Arial"/>
          <w:spacing w:val="-7"/>
        </w:rPr>
        <w:t xml:space="preserve"> </w:t>
      </w:r>
      <w:r w:rsidRPr="005502A6">
        <w:rPr>
          <w:rFonts w:ascii="Arial" w:hAnsi="Arial" w:cs="Arial"/>
        </w:rPr>
        <w:t>designated</w:t>
      </w:r>
      <w:r w:rsidRPr="005502A6">
        <w:rPr>
          <w:rFonts w:ascii="Arial" w:hAnsi="Arial" w:cs="Arial"/>
          <w:spacing w:val="-7"/>
        </w:rPr>
        <w:t xml:space="preserve"> </w:t>
      </w:r>
      <w:r w:rsidRPr="005502A6">
        <w:rPr>
          <w:rFonts w:ascii="Arial" w:hAnsi="Arial" w:cs="Arial"/>
        </w:rPr>
        <w:t>RN</w:t>
      </w:r>
      <w:r w:rsidRPr="005502A6">
        <w:rPr>
          <w:rFonts w:ascii="Arial" w:hAnsi="Arial" w:cs="Arial"/>
          <w:spacing w:val="-5"/>
        </w:rPr>
        <w:t xml:space="preserve"> </w:t>
      </w:r>
      <w:r w:rsidRPr="005502A6">
        <w:rPr>
          <w:rFonts w:ascii="Arial" w:hAnsi="Arial" w:cs="Arial"/>
        </w:rPr>
        <w:t>prescribing,</w:t>
      </w:r>
      <w:r w:rsidRPr="005502A6">
        <w:rPr>
          <w:rFonts w:ascii="Arial" w:hAnsi="Arial" w:cs="Arial"/>
          <w:spacing w:val="-7"/>
        </w:rPr>
        <w:t xml:space="preserve"> </w:t>
      </w:r>
      <w:r w:rsidRPr="005502A6">
        <w:rPr>
          <w:rFonts w:ascii="Arial" w:hAnsi="Arial" w:cs="Arial"/>
          <w:spacing w:val="-5"/>
        </w:rPr>
        <w:t>and</w:t>
      </w:r>
    </w:p>
    <w:p w14:paraId="7106A9E3" w14:textId="77777777" w:rsidR="00F05C60" w:rsidRPr="005502A6" w:rsidRDefault="00F05C60" w:rsidP="00F05C60">
      <w:pPr>
        <w:pStyle w:val="ListParagraph"/>
        <w:widowControl w:val="0"/>
        <w:numPr>
          <w:ilvl w:val="0"/>
          <w:numId w:val="59"/>
        </w:numPr>
        <w:tabs>
          <w:tab w:val="left" w:pos="480"/>
        </w:tabs>
        <w:autoSpaceDE w:val="0"/>
        <w:autoSpaceDN w:val="0"/>
        <w:spacing w:after="0" w:line="244" w:lineRule="exact"/>
        <w:ind w:left="480" w:hanging="360"/>
        <w:contextualSpacing w:val="0"/>
        <w:rPr>
          <w:rFonts w:ascii="Arial" w:hAnsi="Arial" w:cs="Arial"/>
        </w:rPr>
      </w:pPr>
      <w:r w:rsidRPr="005502A6">
        <w:rPr>
          <w:rFonts w:ascii="Arial" w:hAnsi="Arial" w:cs="Arial"/>
        </w:rPr>
        <w:t>processes</w:t>
      </w:r>
      <w:r w:rsidRPr="005502A6">
        <w:rPr>
          <w:rFonts w:ascii="Arial" w:hAnsi="Arial" w:cs="Arial"/>
          <w:spacing w:val="-7"/>
        </w:rPr>
        <w:t xml:space="preserve"> </w:t>
      </w:r>
      <w:r w:rsidRPr="005502A6">
        <w:rPr>
          <w:rFonts w:ascii="Arial" w:hAnsi="Arial" w:cs="Arial"/>
        </w:rPr>
        <w:t>for</w:t>
      </w:r>
      <w:r w:rsidRPr="005502A6">
        <w:rPr>
          <w:rFonts w:ascii="Arial" w:hAnsi="Arial" w:cs="Arial"/>
          <w:spacing w:val="-6"/>
        </w:rPr>
        <w:t xml:space="preserve"> </w:t>
      </w:r>
      <w:r w:rsidRPr="005502A6">
        <w:rPr>
          <w:rFonts w:ascii="Arial" w:hAnsi="Arial" w:cs="Arial"/>
        </w:rPr>
        <w:t>resolving</w:t>
      </w:r>
      <w:r w:rsidRPr="005502A6">
        <w:rPr>
          <w:rFonts w:ascii="Arial" w:hAnsi="Arial" w:cs="Arial"/>
          <w:spacing w:val="-8"/>
        </w:rPr>
        <w:t xml:space="preserve"> </w:t>
      </w:r>
      <w:r w:rsidRPr="005502A6">
        <w:rPr>
          <w:rFonts w:ascii="Arial" w:hAnsi="Arial" w:cs="Arial"/>
        </w:rPr>
        <w:t>or</w:t>
      </w:r>
      <w:r w:rsidRPr="005502A6">
        <w:rPr>
          <w:rFonts w:ascii="Arial" w:hAnsi="Arial" w:cs="Arial"/>
          <w:spacing w:val="-4"/>
        </w:rPr>
        <w:t xml:space="preserve"> </w:t>
      </w:r>
      <w:r w:rsidRPr="005502A6">
        <w:rPr>
          <w:rFonts w:ascii="Arial" w:hAnsi="Arial" w:cs="Arial"/>
        </w:rPr>
        <w:t>escalating</w:t>
      </w:r>
      <w:r w:rsidRPr="005502A6">
        <w:rPr>
          <w:rFonts w:ascii="Arial" w:hAnsi="Arial" w:cs="Arial"/>
          <w:spacing w:val="-7"/>
        </w:rPr>
        <w:t xml:space="preserve"> </w:t>
      </w:r>
      <w:r w:rsidRPr="005502A6">
        <w:rPr>
          <w:rFonts w:ascii="Arial" w:hAnsi="Arial" w:cs="Arial"/>
        </w:rPr>
        <w:t>differences</w:t>
      </w:r>
      <w:r w:rsidRPr="005502A6">
        <w:rPr>
          <w:rFonts w:ascii="Arial" w:hAnsi="Arial" w:cs="Arial"/>
          <w:spacing w:val="-6"/>
        </w:rPr>
        <w:t xml:space="preserve"> </w:t>
      </w:r>
      <w:r w:rsidRPr="005502A6">
        <w:rPr>
          <w:rFonts w:ascii="Arial" w:hAnsi="Arial" w:cs="Arial"/>
        </w:rPr>
        <w:t>of</w:t>
      </w:r>
      <w:r w:rsidRPr="005502A6">
        <w:rPr>
          <w:rFonts w:ascii="Arial" w:hAnsi="Arial" w:cs="Arial"/>
          <w:spacing w:val="-4"/>
        </w:rPr>
        <w:t xml:space="preserve"> </w:t>
      </w:r>
      <w:r w:rsidRPr="005502A6">
        <w:rPr>
          <w:rFonts w:ascii="Arial" w:hAnsi="Arial" w:cs="Arial"/>
          <w:spacing w:val="-2"/>
        </w:rPr>
        <w:t>opinions</w:t>
      </w:r>
    </w:p>
    <w:p w14:paraId="27B05EE1" w14:textId="77777777" w:rsidR="00F05C60" w:rsidRDefault="00F05C60" w:rsidP="00F05C60">
      <w:pPr>
        <w:pStyle w:val="BodyText"/>
        <w:spacing w:before="227"/>
        <w:ind w:right="796"/>
      </w:pPr>
      <w:r>
        <w:t>The</w:t>
      </w:r>
      <w:r>
        <w:rPr>
          <w:spacing w:val="-6"/>
        </w:rPr>
        <w:t xml:space="preserve"> </w:t>
      </w:r>
      <w:r>
        <w:t>prescribing</w:t>
      </w:r>
      <w:r>
        <w:rPr>
          <w:spacing w:val="-3"/>
        </w:rPr>
        <w:t xml:space="preserve"> </w:t>
      </w:r>
      <w:r>
        <w:t>agreement</w:t>
      </w:r>
      <w:r>
        <w:rPr>
          <w:spacing w:val="-3"/>
        </w:rPr>
        <w:t xml:space="preserve"> </w:t>
      </w:r>
      <w:r>
        <w:t>should</w:t>
      </w:r>
      <w:r>
        <w:rPr>
          <w:spacing w:val="-5"/>
        </w:rPr>
        <w:t xml:space="preserve"> </w:t>
      </w:r>
      <w:r>
        <w:t>also</w:t>
      </w:r>
      <w:r>
        <w:rPr>
          <w:spacing w:val="-5"/>
        </w:rPr>
        <w:t xml:space="preserve"> </w:t>
      </w:r>
      <w:r>
        <w:t>be</w:t>
      </w:r>
      <w:r>
        <w:rPr>
          <w:spacing w:val="-3"/>
        </w:rPr>
        <w:t xml:space="preserve"> </w:t>
      </w:r>
      <w:r>
        <w:t>amended</w:t>
      </w:r>
      <w:r>
        <w:rPr>
          <w:spacing w:val="-6"/>
        </w:rPr>
        <w:t xml:space="preserve"> </w:t>
      </w:r>
      <w:r>
        <w:t>to</w:t>
      </w:r>
      <w:r>
        <w:rPr>
          <w:spacing w:val="-3"/>
        </w:rPr>
        <w:t xml:space="preserve"> </w:t>
      </w:r>
      <w:r>
        <w:t>reflect</w:t>
      </w:r>
      <w:r>
        <w:rPr>
          <w:spacing w:val="-3"/>
        </w:rPr>
        <w:t xml:space="preserve"> </w:t>
      </w:r>
      <w:r>
        <w:t>any</w:t>
      </w:r>
      <w:r>
        <w:rPr>
          <w:spacing w:val="-4"/>
        </w:rPr>
        <w:t xml:space="preserve"> </w:t>
      </w:r>
      <w:r>
        <w:t>changes</w:t>
      </w:r>
      <w:r>
        <w:rPr>
          <w:spacing w:val="-4"/>
        </w:rPr>
        <w:t xml:space="preserve"> </w:t>
      </w:r>
      <w:r>
        <w:t>affecting</w:t>
      </w:r>
      <w:r>
        <w:rPr>
          <w:spacing w:val="-6"/>
        </w:rPr>
        <w:t xml:space="preserve"> </w:t>
      </w:r>
      <w:r>
        <w:t>the</w:t>
      </w:r>
      <w:r>
        <w:rPr>
          <w:spacing w:val="-5"/>
        </w:rPr>
        <w:t xml:space="preserve"> </w:t>
      </w:r>
      <w:r>
        <w:t>designated RN prescriber and/or authorised health practitioner as required.</w:t>
      </w:r>
    </w:p>
    <w:p w14:paraId="3434A97E" w14:textId="77777777" w:rsidR="00F05C60" w:rsidRDefault="00F05C60" w:rsidP="00F05C60">
      <w:pPr>
        <w:pStyle w:val="BodyText"/>
        <w:spacing w:before="202"/>
      </w:pPr>
      <w:r>
        <w:rPr>
          <w:color w:val="0067B8"/>
        </w:rPr>
        <w:t>Accountabilities</w:t>
      </w:r>
      <w:r>
        <w:rPr>
          <w:color w:val="0067B8"/>
          <w:spacing w:val="-7"/>
        </w:rPr>
        <w:t xml:space="preserve"> </w:t>
      </w:r>
      <w:r>
        <w:rPr>
          <w:color w:val="0067B8"/>
        </w:rPr>
        <w:t>of</w:t>
      </w:r>
      <w:r>
        <w:rPr>
          <w:color w:val="0067B8"/>
          <w:spacing w:val="-8"/>
        </w:rPr>
        <w:t xml:space="preserve"> </w:t>
      </w:r>
      <w:r>
        <w:rPr>
          <w:color w:val="0067B8"/>
        </w:rPr>
        <w:t>the</w:t>
      </w:r>
      <w:r>
        <w:rPr>
          <w:color w:val="0067B8"/>
          <w:spacing w:val="-9"/>
        </w:rPr>
        <w:t xml:space="preserve"> </w:t>
      </w:r>
      <w:r>
        <w:rPr>
          <w:color w:val="0067B8"/>
        </w:rPr>
        <w:t>designated</w:t>
      </w:r>
      <w:r>
        <w:rPr>
          <w:color w:val="0067B8"/>
          <w:spacing w:val="-9"/>
        </w:rPr>
        <w:t xml:space="preserve"> </w:t>
      </w:r>
      <w:r>
        <w:rPr>
          <w:color w:val="0067B8"/>
        </w:rPr>
        <w:t>RN</w:t>
      </w:r>
      <w:r>
        <w:rPr>
          <w:color w:val="0067B8"/>
          <w:spacing w:val="-7"/>
        </w:rPr>
        <w:t xml:space="preserve"> </w:t>
      </w:r>
      <w:r>
        <w:rPr>
          <w:color w:val="0067B8"/>
          <w:spacing w:val="-2"/>
        </w:rPr>
        <w:t>prescriber</w:t>
      </w:r>
    </w:p>
    <w:p w14:paraId="635712C0" w14:textId="77777777" w:rsidR="00F05C60" w:rsidRDefault="00F05C60" w:rsidP="00F05C60">
      <w:pPr>
        <w:pStyle w:val="BodyText"/>
        <w:ind w:right="776"/>
      </w:pPr>
      <w:r>
        <w:t>The</w:t>
      </w:r>
      <w:r>
        <w:rPr>
          <w:spacing w:val="-4"/>
        </w:rPr>
        <w:t xml:space="preserve"> </w:t>
      </w:r>
      <w:r>
        <w:t>designated</w:t>
      </w:r>
      <w:r>
        <w:rPr>
          <w:spacing w:val="-4"/>
        </w:rPr>
        <w:t xml:space="preserve"> </w:t>
      </w:r>
      <w:r>
        <w:t>RN</w:t>
      </w:r>
      <w:r>
        <w:rPr>
          <w:spacing w:val="-3"/>
        </w:rPr>
        <w:t xml:space="preserve"> </w:t>
      </w:r>
      <w:r>
        <w:t>prescriber</w:t>
      </w:r>
      <w:r>
        <w:rPr>
          <w:spacing w:val="-2"/>
        </w:rPr>
        <w:t xml:space="preserve"> </w:t>
      </w:r>
      <w:r>
        <w:t>is</w:t>
      </w:r>
      <w:r>
        <w:rPr>
          <w:spacing w:val="-4"/>
        </w:rPr>
        <w:t xml:space="preserve"> </w:t>
      </w:r>
      <w:r>
        <w:t>accountable</w:t>
      </w:r>
      <w:r>
        <w:rPr>
          <w:spacing w:val="-3"/>
        </w:rPr>
        <w:t xml:space="preserve"> </w:t>
      </w:r>
      <w:r>
        <w:t>for</w:t>
      </w:r>
      <w:r>
        <w:rPr>
          <w:spacing w:val="-4"/>
        </w:rPr>
        <w:t xml:space="preserve"> </w:t>
      </w:r>
      <w:r>
        <w:t>prescribing</w:t>
      </w:r>
      <w:r>
        <w:rPr>
          <w:spacing w:val="-4"/>
        </w:rPr>
        <w:t xml:space="preserve"> </w:t>
      </w:r>
      <w:r>
        <w:t>within</w:t>
      </w:r>
      <w:r>
        <w:rPr>
          <w:spacing w:val="-4"/>
        </w:rPr>
        <w:t xml:space="preserve"> </w:t>
      </w:r>
      <w:r>
        <w:t>their</w:t>
      </w:r>
      <w:r>
        <w:rPr>
          <w:spacing w:val="-4"/>
        </w:rPr>
        <w:t xml:space="preserve"> </w:t>
      </w:r>
      <w:r>
        <w:t>scope</w:t>
      </w:r>
      <w:r>
        <w:rPr>
          <w:spacing w:val="-4"/>
        </w:rPr>
        <w:t xml:space="preserve"> </w:t>
      </w:r>
      <w:r>
        <w:t>of</w:t>
      </w:r>
      <w:r>
        <w:rPr>
          <w:spacing w:val="-3"/>
        </w:rPr>
        <w:t xml:space="preserve"> </w:t>
      </w:r>
      <w:r>
        <w:t>practice.</w:t>
      </w:r>
      <w:r>
        <w:rPr>
          <w:spacing w:val="-4"/>
        </w:rPr>
        <w:t xml:space="preserve"> </w:t>
      </w:r>
      <w:r>
        <w:t>In</w:t>
      </w:r>
      <w:r>
        <w:rPr>
          <w:spacing w:val="-4"/>
        </w:rPr>
        <w:t xml:space="preserve"> </w:t>
      </w:r>
      <w:r>
        <w:t>addition to complying with organisational policies and/or procedures the designated RN prescriber must:</w:t>
      </w:r>
    </w:p>
    <w:p w14:paraId="1E7730A2" w14:textId="77777777" w:rsidR="00F05C60" w:rsidRPr="005502A6" w:rsidRDefault="00F05C60" w:rsidP="00F05C60">
      <w:pPr>
        <w:pStyle w:val="ListParagraph"/>
        <w:widowControl w:val="0"/>
        <w:numPr>
          <w:ilvl w:val="0"/>
          <w:numId w:val="59"/>
        </w:numPr>
        <w:tabs>
          <w:tab w:val="left" w:pos="480"/>
        </w:tabs>
        <w:autoSpaceDE w:val="0"/>
        <w:autoSpaceDN w:val="0"/>
        <w:spacing w:before="202" w:after="0" w:line="244" w:lineRule="exact"/>
        <w:ind w:left="480" w:hanging="360"/>
        <w:contextualSpacing w:val="0"/>
        <w:rPr>
          <w:rFonts w:ascii="Arial" w:hAnsi="Arial" w:cs="Arial"/>
        </w:rPr>
      </w:pPr>
      <w:r w:rsidRPr="005502A6">
        <w:rPr>
          <w:rFonts w:ascii="Arial" w:hAnsi="Arial" w:cs="Arial"/>
        </w:rPr>
        <w:t>understand</w:t>
      </w:r>
      <w:r w:rsidRPr="005502A6">
        <w:rPr>
          <w:rFonts w:ascii="Arial" w:hAnsi="Arial" w:cs="Arial"/>
          <w:spacing w:val="-10"/>
        </w:rPr>
        <w:t xml:space="preserve"> </w:t>
      </w:r>
      <w:r w:rsidRPr="005502A6">
        <w:rPr>
          <w:rFonts w:ascii="Arial" w:hAnsi="Arial" w:cs="Arial"/>
        </w:rPr>
        <w:t>their</w:t>
      </w:r>
      <w:r w:rsidRPr="005502A6">
        <w:rPr>
          <w:rFonts w:ascii="Arial" w:hAnsi="Arial" w:cs="Arial"/>
          <w:spacing w:val="-7"/>
        </w:rPr>
        <w:t xml:space="preserve"> </w:t>
      </w:r>
      <w:r w:rsidRPr="005502A6">
        <w:rPr>
          <w:rFonts w:ascii="Arial" w:hAnsi="Arial" w:cs="Arial"/>
        </w:rPr>
        <w:t>level</w:t>
      </w:r>
      <w:r w:rsidRPr="005502A6">
        <w:rPr>
          <w:rFonts w:ascii="Arial" w:hAnsi="Arial" w:cs="Arial"/>
          <w:spacing w:val="-9"/>
        </w:rPr>
        <w:t xml:space="preserve"> </w:t>
      </w:r>
      <w:r w:rsidRPr="005502A6">
        <w:rPr>
          <w:rFonts w:ascii="Arial" w:hAnsi="Arial" w:cs="Arial"/>
        </w:rPr>
        <w:t>of</w:t>
      </w:r>
      <w:r w:rsidRPr="005502A6">
        <w:rPr>
          <w:rFonts w:ascii="Arial" w:hAnsi="Arial" w:cs="Arial"/>
          <w:spacing w:val="-9"/>
        </w:rPr>
        <w:t xml:space="preserve"> </w:t>
      </w:r>
      <w:r w:rsidRPr="005502A6">
        <w:rPr>
          <w:rFonts w:ascii="Arial" w:hAnsi="Arial" w:cs="Arial"/>
        </w:rPr>
        <w:t>prescribing</w:t>
      </w:r>
      <w:r w:rsidRPr="005502A6">
        <w:rPr>
          <w:rFonts w:ascii="Arial" w:hAnsi="Arial" w:cs="Arial"/>
          <w:spacing w:val="-8"/>
        </w:rPr>
        <w:t xml:space="preserve"> </w:t>
      </w:r>
      <w:r w:rsidRPr="005502A6">
        <w:rPr>
          <w:rFonts w:ascii="Arial" w:hAnsi="Arial" w:cs="Arial"/>
          <w:spacing w:val="-2"/>
        </w:rPr>
        <w:t>competence</w:t>
      </w:r>
    </w:p>
    <w:p w14:paraId="5D918B5F" w14:textId="77777777" w:rsidR="00F05C60" w:rsidRPr="005502A6" w:rsidRDefault="00F05C60" w:rsidP="00F05C60">
      <w:pPr>
        <w:pStyle w:val="ListParagraph"/>
        <w:widowControl w:val="0"/>
        <w:numPr>
          <w:ilvl w:val="0"/>
          <w:numId w:val="59"/>
        </w:numPr>
        <w:tabs>
          <w:tab w:val="left" w:pos="480"/>
        </w:tabs>
        <w:autoSpaceDE w:val="0"/>
        <w:autoSpaceDN w:val="0"/>
        <w:spacing w:after="0" w:line="244" w:lineRule="exact"/>
        <w:ind w:left="480" w:hanging="360"/>
        <w:contextualSpacing w:val="0"/>
        <w:rPr>
          <w:rFonts w:ascii="Arial" w:hAnsi="Arial" w:cs="Arial"/>
        </w:rPr>
      </w:pPr>
      <w:r w:rsidRPr="005502A6">
        <w:rPr>
          <w:rFonts w:ascii="Arial" w:hAnsi="Arial" w:cs="Arial"/>
        </w:rPr>
        <w:t>work</w:t>
      </w:r>
      <w:r w:rsidRPr="005502A6">
        <w:rPr>
          <w:rFonts w:ascii="Arial" w:hAnsi="Arial" w:cs="Arial"/>
          <w:spacing w:val="-8"/>
        </w:rPr>
        <w:t xml:space="preserve"> </w:t>
      </w:r>
      <w:r w:rsidRPr="005502A6">
        <w:rPr>
          <w:rFonts w:ascii="Arial" w:hAnsi="Arial" w:cs="Arial"/>
        </w:rPr>
        <w:t>with</w:t>
      </w:r>
      <w:r w:rsidRPr="005502A6">
        <w:rPr>
          <w:rFonts w:ascii="Arial" w:hAnsi="Arial" w:cs="Arial"/>
          <w:spacing w:val="-7"/>
        </w:rPr>
        <w:t xml:space="preserve"> </w:t>
      </w:r>
      <w:r w:rsidRPr="005502A6">
        <w:rPr>
          <w:rFonts w:ascii="Arial" w:hAnsi="Arial" w:cs="Arial"/>
        </w:rPr>
        <w:t>the</w:t>
      </w:r>
      <w:r w:rsidRPr="005502A6">
        <w:rPr>
          <w:rFonts w:ascii="Arial" w:hAnsi="Arial" w:cs="Arial"/>
          <w:spacing w:val="-6"/>
        </w:rPr>
        <w:t xml:space="preserve"> </w:t>
      </w:r>
      <w:r w:rsidRPr="005502A6">
        <w:rPr>
          <w:rFonts w:ascii="Arial" w:hAnsi="Arial" w:cs="Arial"/>
        </w:rPr>
        <w:t>authorised</w:t>
      </w:r>
      <w:r w:rsidRPr="005502A6">
        <w:rPr>
          <w:rFonts w:ascii="Arial" w:hAnsi="Arial" w:cs="Arial"/>
          <w:spacing w:val="-9"/>
        </w:rPr>
        <w:t xml:space="preserve"> </w:t>
      </w:r>
      <w:r w:rsidRPr="005502A6">
        <w:rPr>
          <w:rFonts w:ascii="Arial" w:hAnsi="Arial" w:cs="Arial"/>
        </w:rPr>
        <w:t>health</w:t>
      </w:r>
      <w:r w:rsidRPr="005502A6">
        <w:rPr>
          <w:rFonts w:ascii="Arial" w:hAnsi="Arial" w:cs="Arial"/>
          <w:spacing w:val="-6"/>
        </w:rPr>
        <w:t xml:space="preserve"> </w:t>
      </w:r>
      <w:r w:rsidRPr="005502A6">
        <w:rPr>
          <w:rFonts w:ascii="Arial" w:hAnsi="Arial" w:cs="Arial"/>
        </w:rPr>
        <w:t>practitioner</w:t>
      </w:r>
      <w:r w:rsidRPr="005502A6">
        <w:rPr>
          <w:rFonts w:ascii="Arial" w:hAnsi="Arial" w:cs="Arial"/>
          <w:spacing w:val="-5"/>
        </w:rPr>
        <w:t xml:space="preserve"> </w:t>
      </w:r>
      <w:r w:rsidRPr="005502A6">
        <w:rPr>
          <w:rFonts w:ascii="Arial" w:hAnsi="Arial" w:cs="Arial"/>
        </w:rPr>
        <w:t>to</w:t>
      </w:r>
      <w:r w:rsidRPr="005502A6">
        <w:rPr>
          <w:rFonts w:ascii="Arial" w:hAnsi="Arial" w:cs="Arial"/>
          <w:spacing w:val="-7"/>
        </w:rPr>
        <w:t xml:space="preserve"> </w:t>
      </w:r>
      <w:r w:rsidRPr="005502A6">
        <w:rPr>
          <w:rFonts w:ascii="Arial" w:hAnsi="Arial" w:cs="Arial"/>
        </w:rPr>
        <w:t>establish</w:t>
      </w:r>
      <w:r w:rsidRPr="005502A6">
        <w:rPr>
          <w:rFonts w:ascii="Arial" w:hAnsi="Arial" w:cs="Arial"/>
          <w:spacing w:val="-6"/>
        </w:rPr>
        <w:t xml:space="preserve"> </w:t>
      </w:r>
      <w:r w:rsidRPr="005502A6">
        <w:rPr>
          <w:rFonts w:ascii="Arial" w:hAnsi="Arial" w:cs="Arial"/>
        </w:rPr>
        <w:t>the</w:t>
      </w:r>
      <w:r w:rsidRPr="005502A6">
        <w:rPr>
          <w:rFonts w:ascii="Arial" w:hAnsi="Arial" w:cs="Arial"/>
          <w:spacing w:val="-5"/>
        </w:rPr>
        <w:t xml:space="preserve"> </w:t>
      </w:r>
      <w:r w:rsidRPr="005502A6">
        <w:rPr>
          <w:rFonts w:ascii="Arial" w:hAnsi="Arial" w:cs="Arial"/>
        </w:rPr>
        <w:t>prescribing</w:t>
      </w:r>
      <w:r w:rsidRPr="005502A6">
        <w:rPr>
          <w:rFonts w:ascii="Arial" w:hAnsi="Arial" w:cs="Arial"/>
          <w:spacing w:val="-8"/>
        </w:rPr>
        <w:t xml:space="preserve"> </w:t>
      </w:r>
      <w:r w:rsidRPr="005502A6">
        <w:rPr>
          <w:rFonts w:ascii="Arial" w:hAnsi="Arial" w:cs="Arial"/>
          <w:spacing w:val="-2"/>
        </w:rPr>
        <w:t>agreement</w:t>
      </w:r>
    </w:p>
    <w:p w14:paraId="339C9128" w14:textId="77777777" w:rsidR="00F05C60" w:rsidRPr="005502A6" w:rsidRDefault="00F05C60" w:rsidP="00F05C60">
      <w:pPr>
        <w:pStyle w:val="ListParagraph"/>
        <w:widowControl w:val="0"/>
        <w:numPr>
          <w:ilvl w:val="0"/>
          <w:numId w:val="59"/>
        </w:numPr>
        <w:tabs>
          <w:tab w:val="left" w:pos="480"/>
        </w:tabs>
        <w:autoSpaceDE w:val="0"/>
        <w:autoSpaceDN w:val="0"/>
        <w:spacing w:after="0" w:line="244" w:lineRule="exact"/>
        <w:ind w:left="480" w:hanging="360"/>
        <w:contextualSpacing w:val="0"/>
        <w:rPr>
          <w:rFonts w:ascii="Arial" w:hAnsi="Arial" w:cs="Arial"/>
        </w:rPr>
      </w:pPr>
      <w:r w:rsidRPr="005502A6">
        <w:rPr>
          <w:rFonts w:ascii="Arial" w:hAnsi="Arial" w:cs="Arial"/>
        </w:rPr>
        <w:t>only</w:t>
      </w:r>
      <w:r w:rsidRPr="005502A6">
        <w:rPr>
          <w:rFonts w:ascii="Arial" w:hAnsi="Arial" w:cs="Arial"/>
          <w:spacing w:val="-8"/>
        </w:rPr>
        <w:t xml:space="preserve"> </w:t>
      </w:r>
      <w:r w:rsidRPr="005502A6">
        <w:rPr>
          <w:rFonts w:ascii="Arial" w:hAnsi="Arial" w:cs="Arial"/>
        </w:rPr>
        <w:t>prescribe</w:t>
      </w:r>
      <w:r w:rsidRPr="005502A6">
        <w:rPr>
          <w:rFonts w:ascii="Arial" w:hAnsi="Arial" w:cs="Arial"/>
          <w:spacing w:val="-8"/>
        </w:rPr>
        <w:t xml:space="preserve"> </w:t>
      </w:r>
      <w:r w:rsidRPr="005502A6">
        <w:rPr>
          <w:rFonts w:ascii="Arial" w:hAnsi="Arial" w:cs="Arial"/>
        </w:rPr>
        <w:t>medicines</w:t>
      </w:r>
      <w:r w:rsidRPr="005502A6">
        <w:rPr>
          <w:rFonts w:ascii="Arial" w:hAnsi="Arial" w:cs="Arial"/>
          <w:spacing w:val="-6"/>
        </w:rPr>
        <w:t xml:space="preserve"> </w:t>
      </w:r>
      <w:r w:rsidRPr="005502A6">
        <w:rPr>
          <w:rFonts w:ascii="Arial" w:hAnsi="Arial" w:cs="Arial"/>
        </w:rPr>
        <w:t>as</w:t>
      </w:r>
      <w:r w:rsidRPr="005502A6">
        <w:rPr>
          <w:rFonts w:ascii="Arial" w:hAnsi="Arial" w:cs="Arial"/>
          <w:spacing w:val="-7"/>
        </w:rPr>
        <w:t xml:space="preserve"> </w:t>
      </w:r>
      <w:r w:rsidRPr="005502A6">
        <w:rPr>
          <w:rFonts w:ascii="Arial" w:hAnsi="Arial" w:cs="Arial"/>
        </w:rPr>
        <w:t>agreed</w:t>
      </w:r>
      <w:r w:rsidRPr="005502A6">
        <w:rPr>
          <w:rFonts w:ascii="Arial" w:hAnsi="Arial" w:cs="Arial"/>
          <w:spacing w:val="-7"/>
        </w:rPr>
        <w:t xml:space="preserve"> </w:t>
      </w:r>
      <w:r w:rsidRPr="005502A6">
        <w:rPr>
          <w:rFonts w:ascii="Arial" w:hAnsi="Arial" w:cs="Arial"/>
        </w:rPr>
        <w:t>within</w:t>
      </w:r>
      <w:r w:rsidRPr="005502A6">
        <w:rPr>
          <w:rFonts w:ascii="Arial" w:hAnsi="Arial" w:cs="Arial"/>
          <w:spacing w:val="-8"/>
        </w:rPr>
        <w:t xml:space="preserve"> </w:t>
      </w:r>
      <w:r w:rsidRPr="005502A6">
        <w:rPr>
          <w:rFonts w:ascii="Arial" w:hAnsi="Arial" w:cs="Arial"/>
        </w:rPr>
        <w:t>the</w:t>
      </w:r>
      <w:r w:rsidRPr="005502A6">
        <w:rPr>
          <w:rFonts w:ascii="Arial" w:hAnsi="Arial" w:cs="Arial"/>
          <w:spacing w:val="-4"/>
        </w:rPr>
        <w:t xml:space="preserve"> </w:t>
      </w:r>
      <w:r w:rsidRPr="005502A6">
        <w:rPr>
          <w:rFonts w:ascii="Arial" w:hAnsi="Arial" w:cs="Arial"/>
        </w:rPr>
        <w:t>prescribing</w:t>
      </w:r>
      <w:r w:rsidRPr="005502A6">
        <w:rPr>
          <w:rFonts w:ascii="Arial" w:hAnsi="Arial" w:cs="Arial"/>
          <w:spacing w:val="-5"/>
        </w:rPr>
        <w:t xml:space="preserve"> </w:t>
      </w:r>
      <w:r w:rsidRPr="005502A6">
        <w:rPr>
          <w:rFonts w:ascii="Arial" w:hAnsi="Arial" w:cs="Arial"/>
          <w:spacing w:val="-2"/>
        </w:rPr>
        <w:t>agreement</w:t>
      </w:r>
    </w:p>
    <w:p w14:paraId="1879769D" w14:textId="77777777" w:rsidR="00F05C60" w:rsidRPr="005502A6" w:rsidRDefault="00F05C60" w:rsidP="00F05C60">
      <w:pPr>
        <w:pStyle w:val="ListParagraph"/>
        <w:widowControl w:val="0"/>
        <w:numPr>
          <w:ilvl w:val="0"/>
          <w:numId w:val="59"/>
        </w:numPr>
        <w:tabs>
          <w:tab w:val="left" w:pos="480"/>
        </w:tabs>
        <w:autoSpaceDE w:val="0"/>
        <w:autoSpaceDN w:val="0"/>
        <w:spacing w:after="0" w:line="242" w:lineRule="exact"/>
        <w:ind w:left="480" w:hanging="360"/>
        <w:contextualSpacing w:val="0"/>
        <w:rPr>
          <w:rFonts w:ascii="Arial" w:hAnsi="Arial" w:cs="Arial"/>
        </w:rPr>
      </w:pPr>
      <w:r w:rsidRPr="005502A6">
        <w:rPr>
          <w:rFonts w:ascii="Arial" w:hAnsi="Arial" w:cs="Arial"/>
        </w:rPr>
        <w:t>not</w:t>
      </w:r>
      <w:r w:rsidRPr="005502A6">
        <w:rPr>
          <w:rFonts w:ascii="Arial" w:hAnsi="Arial" w:cs="Arial"/>
          <w:spacing w:val="-8"/>
        </w:rPr>
        <w:t xml:space="preserve"> </w:t>
      </w:r>
      <w:r w:rsidRPr="005502A6">
        <w:rPr>
          <w:rFonts w:ascii="Arial" w:hAnsi="Arial" w:cs="Arial"/>
        </w:rPr>
        <w:t>prescribe</w:t>
      </w:r>
      <w:r w:rsidRPr="005502A6">
        <w:rPr>
          <w:rFonts w:ascii="Arial" w:hAnsi="Arial" w:cs="Arial"/>
          <w:spacing w:val="-9"/>
        </w:rPr>
        <w:t xml:space="preserve"> </w:t>
      </w:r>
      <w:r w:rsidRPr="005502A6">
        <w:rPr>
          <w:rFonts w:ascii="Arial" w:hAnsi="Arial" w:cs="Arial"/>
        </w:rPr>
        <w:t>medicines</w:t>
      </w:r>
      <w:r w:rsidRPr="005502A6">
        <w:rPr>
          <w:rFonts w:ascii="Arial" w:hAnsi="Arial" w:cs="Arial"/>
          <w:spacing w:val="-5"/>
        </w:rPr>
        <w:t xml:space="preserve"> </w:t>
      </w:r>
      <w:r w:rsidRPr="005502A6">
        <w:rPr>
          <w:rFonts w:ascii="Arial" w:hAnsi="Arial" w:cs="Arial"/>
        </w:rPr>
        <w:t>unless</w:t>
      </w:r>
      <w:r w:rsidRPr="005502A6">
        <w:rPr>
          <w:rFonts w:ascii="Arial" w:hAnsi="Arial" w:cs="Arial"/>
          <w:spacing w:val="-7"/>
        </w:rPr>
        <w:t xml:space="preserve"> </w:t>
      </w:r>
      <w:r w:rsidRPr="005502A6">
        <w:rPr>
          <w:rFonts w:ascii="Arial" w:hAnsi="Arial" w:cs="Arial"/>
        </w:rPr>
        <w:t>there</w:t>
      </w:r>
      <w:r w:rsidRPr="005502A6">
        <w:rPr>
          <w:rFonts w:ascii="Arial" w:hAnsi="Arial" w:cs="Arial"/>
          <w:spacing w:val="-8"/>
        </w:rPr>
        <w:t xml:space="preserve"> </w:t>
      </w:r>
      <w:r w:rsidRPr="005502A6">
        <w:rPr>
          <w:rFonts w:ascii="Arial" w:hAnsi="Arial" w:cs="Arial"/>
        </w:rPr>
        <w:t>is</w:t>
      </w:r>
      <w:r w:rsidRPr="005502A6">
        <w:rPr>
          <w:rFonts w:ascii="Arial" w:hAnsi="Arial" w:cs="Arial"/>
          <w:spacing w:val="-5"/>
        </w:rPr>
        <w:t xml:space="preserve"> </w:t>
      </w:r>
      <w:r w:rsidRPr="005502A6">
        <w:rPr>
          <w:rFonts w:ascii="Arial" w:hAnsi="Arial" w:cs="Arial"/>
        </w:rPr>
        <w:t>an</w:t>
      </w:r>
      <w:r w:rsidRPr="005502A6">
        <w:rPr>
          <w:rFonts w:ascii="Arial" w:hAnsi="Arial" w:cs="Arial"/>
          <w:spacing w:val="-9"/>
        </w:rPr>
        <w:t xml:space="preserve"> </w:t>
      </w:r>
      <w:r w:rsidRPr="005502A6">
        <w:rPr>
          <w:rFonts w:ascii="Arial" w:hAnsi="Arial" w:cs="Arial"/>
        </w:rPr>
        <w:t>active</w:t>
      </w:r>
      <w:r w:rsidRPr="005502A6">
        <w:rPr>
          <w:rFonts w:ascii="Arial" w:hAnsi="Arial" w:cs="Arial"/>
          <w:spacing w:val="-4"/>
        </w:rPr>
        <w:t xml:space="preserve"> </w:t>
      </w:r>
      <w:r w:rsidRPr="005502A6">
        <w:rPr>
          <w:rFonts w:ascii="Arial" w:hAnsi="Arial" w:cs="Arial"/>
        </w:rPr>
        <w:t>prescribing</w:t>
      </w:r>
      <w:r w:rsidRPr="005502A6">
        <w:rPr>
          <w:rFonts w:ascii="Arial" w:hAnsi="Arial" w:cs="Arial"/>
          <w:spacing w:val="-7"/>
        </w:rPr>
        <w:t xml:space="preserve"> </w:t>
      </w:r>
      <w:r w:rsidRPr="005502A6">
        <w:rPr>
          <w:rFonts w:ascii="Arial" w:hAnsi="Arial" w:cs="Arial"/>
        </w:rPr>
        <w:t>agreement</w:t>
      </w:r>
      <w:r w:rsidRPr="005502A6">
        <w:rPr>
          <w:rFonts w:ascii="Arial" w:hAnsi="Arial" w:cs="Arial"/>
          <w:spacing w:val="-6"/>
        </w:rPr>
        <w:t xml:space="preserve"> </w:t>
      </w:r>
      <w:r w:rsidRPr="005502A6">
        <w:rPr>
          <w:rFonts w:ascii="Arial" w:hAnsi="Arial" w:cs="Arial"/>
        </w:rPr>
        <w:t>in</w:t>
      </w:r>
      <w:r w:rsidRPr="005502A6">
        <w:rPr>
          <w:rFonts w:ascii="Arial" w:hAnsi="Arial" w:cs="Arial"/>
          <w:spacing w:val="-7"/>
        </w:rPr>
        <w:t xml:space="preserve"> </w:t>
      </w:r>
      <w:r w:rsidRPr="005502A6">
        <w:rPr>
          <w:rFonts w:ascii="Arial" w:hAnsi="Arial" w:cs="Arial"/>
          <w:spacing w:val="-2"/>
        </w:rPr>
        <w:t>place</w:t>
      </w:r>
    </w:p>
    <w:p w14:paraId="06C818AA" w14:textId="77777777" w:rsidR="00F05C60" w:rsidRPr="005502A6" w:rsidRDefault="00F05C60" w:rsidP="00F05C60">
      <w:pPr>
        <w:pStyle w:val="ListParagraph"/>
        <w:widowControl w:val="0"/>
        <w:numPr>
          <w:ilvl w:val="0"/>
          <w:numId w:val="59"/>
        </w:numPr>
        <w:tabs>
          <w:tab w:val="left" w:pos="480"/>
        </w:tabs>
        <w:autoSpaceDE w:val="0"/>
        <w:autoSpaceDN w:val="0"/>
        <w:spacing w:after="0" w:line="240" w:lineRule="auto"/>
        <w:ind w:left="480" w:right="798" w:hanging="360"/>
        <w:contextualSpacing w:val="0"/>
        <w:rPr>
          <w:rFonts w:ascii="Arial" w:hAnsi="Arial" w:cs="Arial"/>
        </w:rPr>
      </w:pPr>
      <w:r w:rsidRPr="005502A6">
        <w:rPr>
          <w:rFonts w:ascii="Arial" w:hAnsi="Arial" w:cs="Arial"/>
        </w:rPr>
        <w:t>consult</w:t>
      </w:r>
      <w:r w:rsidRPr="005502A6">
        <w:rPr>
          <w:rFonts w:ascii="Arial" w:hAnsi="Arial" w:cs="Arial"/>
          <w:spacing w:val="-3"/>
        </w:rPr>
        <w:t xml:space="preserve"> </w:t>
      </w:r>
      <w:r w:rsidRPr="005502A6">
        <w:rPr>
          <w:rFonts w:ascii="Arial" w:hAnsi="Arial" w:cs="Arial"/>
        </w:rPr>
        <w:t>and</w:t>
      </w:r>
      <w:r w:rsidRPr="005502A6">
        <w:rPr>
          <w:rFonts w:ascii="Arial" w:hAnsi="Arial" w:cs="Arial"/>
          <w:spacing w:val="-5"/>
        </w:rPr>
        <w:t xml:space="preserve"> </w:t>
      </w:r>
      <w:r w:rsidRPr="005502A6">
        <w:rPr>
          <w:rFonts w:ascii="Arial" w:hAnsi="Arial" w:cs="Arial"/>
        </w:rPr>
        <w:t>refer</w:t>
      </w:r>
      <w:r w:rsidRPr="005502A6">
        <w:rPr>
          <w:rFonts w:ascii="Arial" w:hAnsi="Arial" w:cs="Arial"/>
          <w:spacing w:val="-4"/>
        </w:rPr>
        <w:t xml:space="preserve"> </w:t>
      </w:r>
      <w:r w:rsidRPr="005502A6">
        <w:rPr>
          <w:rFonts w:ascii="Arial" w:hAnsi="Arial" w:cs="Arial"/>
        </w:rPr>
        <w:t>to</w:t>
      </w:r>
      <w:r w:rsidRPr="005502A6">
        <w:rPr>
          <w:rFonts w:ascii="Arial" w:hAnsi="Arial" w:cs="Arial"/>
          <w:spacing w:val="-3"/>
        </w:rPr>
        <w:t xml:space="preserve"> </w:t>
      </w:r>
      <w:r w:rsidRPr="005502A6">
        <w:rPr>
          <w:rFonts w:ascii="Arial" w:hAnsi="Arial" w:cs="Arial"/>
        </w:rPr>
        <w:t>the</w:t>
      </w:r>
      <w:r w:rsidRPr="005502A6">
        <w:rPr>
          <w:rFonts w:ascii="Arial" w:hAnsi="Arial" w:cs="Arial"/>
          <w:spacing w:val="-2"/>
        </w:rPr>
        <w:t xml:space="preserve"> </w:t>
      </w:r>
      <w:r w:rsidRPr="005502A6">
        <w:rPr>
          <w:rFonts w:ascii="Arial" w:hAnsi="Arial" w:cs="Arial"/>
        </w:rPr>
        <w:t>authorised</w:t>
      </w:r>
      <w:r w:rsidRPr="005502A6">
        <w:rPr>
          <w:rFonts w:ascii="Arial" w:hAnsi="Arial" w:cs="Arial"/>
          <w:spacing w:val="-4"/>
        </w:rPr>
        <w:t xml:space="preserve"> </w:t>
      </w:r>
      <w:r w:rsidRPr="005502A6">
        <w:rPr>
          <w:rFonts w:ascii="Arial" w:hAnsi="Arial" w:cs="Arial"/>
        </w:rPr>
        <w:t>health</w:t>
      </w:r>
      <w:r w:rsidRPr="005502A6">
        <w:rPr>
          <w:rFonts w:ascii="Arial" w:hAnsi="Arial" w:cs="Arial"/>
          <w:spacing w:val="-5"/>
        </w:rPr>
        <w:t xml:space="preserve"> </w:t>
      </w:r>
      <w:r w:rsidRPr="005502A6">
        <w:rPr>
          <w:rFonts w:ascii="Arial" w:hAnsi="Arial" w:cs="Arial"/>
        </w:rPr>
        <w:t>practitioner or</w:t>
      </w:r>
      <w:r w:rsidRPr="005502A6">
        <w:rPr>
          <w:rFonts w:ascii="Arial" w:hAnsi="Arial" w:cs="Arial"/>
          <w:spacing w:val="-5"/>
        </w:rPr>
        <w:t xml:space="preserve"> </w:t>
      </w:r>
      <w:r w:rsidRPr="005502A6">
        <w:rPr>
          <w:rFonts w:ascii="Arial" w:hAnsi="Arial" w:cs="Arial"/>
        </w:rPr>
        <w:t>other</w:t>
      </w:r>
      <w:r w:rsidRPr="005502A6">
        <w:rPr>
          <w:rFonts w:ascii="Arial" w:hAnsi="Arial" w:cs="Arial"/>
          <w:spacing w:val="-4"/>
        </w:rPr>
        <w:t xml:space="preserve"> </w:t>
      </w:r>
      <w:r w:rsidRPr="005502A6">
        <w:rPr>
          <w:rFonts w:ascii="Arial" w:hAnsi="Arial" w:cs="Arial"/>
        </w:rPr>
        <w:t>relevant</w:t>
      </w:r>
      <w:r w:rsidRPr="005502A6">
        <w:rPr>
          <w:rFonts w:ascii="Arial" w:hAnsi="Arial" w:cs="Arial"/>
          <w:spacing w:val="-5"/>
        </w:rPr>
        <w:t xml:space="preserve"> </w:t>
      </w:r>
      <w:r w:rsidRPr="005502A6">
        <w:rPr>
          <w:rFonts w:ascii="Arial" w:hAnsi="Arial" w:cs="Arial"/>
        </w:rPr>
        <w:t>health</w:t>
      </w:r>
      <w:r w:rsidRPr="005502A6">
        <w:rPr>
          <w:rFonts w:ascii="Arial" w:hAnsi="Arial" w:cs="Arial"/>
          <w:spacing w:val="-3"/>
        </w:rPr>
        <w:t xml:space="preserve"> </w:t>
      </w:r>
      <w:r w:rsidRPr="005502A6">
        <w:rPr>
          <w:rFonts w:ascii="Arial" w:hAnsi="Arial" w:cs="Arial"/>
        </w:rPr>
        <w:t>practitioner(s)</w:t>
      </w:r>
      <w:r w:rsidRPr="005502A6">
        <w:rPr>
          <w:rFonts w:ascii="Arial" w:hAnsi="Arial" w:cs="Arial"/>
          <w:spacing w:val="-4"/>
        </w:rPr>
        <w:t xml:space="preserve"> </w:t>
      </w:r>
      <w:r w:rsidRPr="005502A6">
        <w:rPr>
          <w:rFonts w:ascii="Arial" w:hAnsi="Arial" w:cs="Arial"/>
        </w:rPr>
        <w:t>when person(s) being cared for are outside their scope of practice</w:t>
      </w:r>
    </w:p>
    <w:p w14:paraId="4566EB01" w14:textId="77777777" w:rsidR="00F05C60" w:rsidRPr="005502A6" w:rsidRDefault="00F05C60" w:rsidP="00F05C60">
      <w:pPr>
        <w:pStyle w:val="ListParagraph"/>
        <w:widowControl w:val="0"/>
        <w:numPr>
          <w:ilvl w:val="0"/>
          <w:numId w:val="59"/>
        </w:numPr>
        <w:tabs>
          <w:tab w:val="left" w:pos="480"/>
        </w:tabs>
        <w:autoSpaceDE w:val="0"/>
        <w:autoSpaceDN w:val="0"/>
        <w:spacing w:after="0" w:line="244" w:lineRule="exact"/>
        <w:ind w:left="480" w:hanging="360"/>
        <w:contextualSpacing w:val="0"/>
        <w:rPr>
          <w:rFonts w:ascii="Arial" w:hAnsi="Arial" w:cs="Arial"/>
        </w:rPr>
      </w:pPr>
      <w:r w:rsidRPr="005502A6">
        <w:rPr>
          <w:rFonts w:ascii="Arial" w:hAnsi="Arial" w:cs="Arial"/>
        </w:rPr>
        <w:t>participate</w:t>
      </w:r>
      <w:r w:rsidRPr="005502A6">
        <w:rPr>
          <w:rFonts w:ascii="Arial" w:hAnsi="Arial" w:cs="Arial"/>
          <w:spacing w:val="-8"/>
        </w:rPr>
        <w:t xml:space="preserve"> </w:t>
      </w:r>
      <w:r w:rsidRPr="005502A6">
        <w:rPr>
          <w:rFonts w:ascii="Arial" w:hAnsi="Arial" w:cs="Arial"/>
        </w:rPr>
        <w:t>in</w:t>
      </w:r>
      <w:r w:rsidRPr="005502A6">
        <w:rPr>
          <w:rFonts w:ascii="Arial" w:hAnsi="Arial" w:cs="Arial"/>
          <w:spacing w:val="-8"/>
        </w:rPr>
        <w:t xml:space="preserve"> </w:t>
      </w:r>
      <w:r w:rsidRPr="005502A6">
        <w:rPr>
          <w:rFonts w:ascii="Arial" w:hAnsi="Arial" w:cs="Arial"/>
        </w:rPr>
        <w:t>regular</w:t>
      </w:r>
      <w:r w:rsidRPr="005502A6">
        <w:rPr>
          <w:rFonts w:ascii="Arial" w:hAnsi="Arial" w:cs="Arial"/>
          <w:spacing w:val="-8"/>
        </w:rPr>
        <w:t xml:space="preserve"> </w:t>
      </w:r>
      <w:r w:rsidRPr="005502A6">
        <w:rPr>
          <w:rFonts w:ascii="Arial" w:hAnsi="Arial" w:cs="Arial"/>
        </w:rPr>
        <w:t>reviews</w:t>
      </w:r>
      <w:r w:rsidRPr="005502A6">
        <w:rPr>
          <w:rFonts w:ascii="Arial" w:hAnsi="Arial" w:cs="Arial"/>
          <w:spacing w:val="-4"/>
        </w:rPr>
        <w:t xml:space="preserve"> </w:t>
      </w:r>
      <w:r w:rsidRPr="005502A6">
        <w:rPr>
          <w:rFonts w:ascii="Arial" w:hAnsi="Arial" w:cs="Arial"/>
        </w:rPr>
        <w:t>(at</w:t>
      </w:r>
      <w:r w:rsidRPr="005502A6">
        <w:rPr>
          <w:rFonts w:ascii="Arial" w:hAnsi="Arial" w:cs="Arial"/>
          <w:spacing w:val="-8"/>
        </w:rPr>
        <w:t xml:space="preserve"> </w:t>
      </w:r>
      <w:r w:rsidRPr="005502A6">
        <w:rPr>
          <w:rFonts w:ascii="Arial" w:hAnsi="Arial" w:cs="Arial"/>
        </w:rPr>
        <w:t>least</w:t>
      </w:r>
      <w:r w:rsidRPr="005502A6">
        <w:rPr>
          <w:rFonts w:ascii="Arial" w:hAnsi="Arial" w:cs="Arial"/>
          <w:spacing w:val="-6"/>
        </w:rPr>
        <w:t xml:space="preserve"> </w:t>
      </w:r>
      <w:r w:rsidRPr="005502A6">
        <w:rPr>
          <w:rFonts w:ascii="Arial" w:hAnsi="Arial" w:cs="Arial"/>
        </w:rPr>
        <w:t>annually)</w:t>
      </w:r>
      <w:r w:rsidRPr="005502A6">
        <w:rPr>
          <w:rFonts w:ascii="Arial" w:hAnsi="Arial" w:cs="Arial"/>
          <w:spacing w:val="-5"/>
        </w:rPr>
        <w:t xml:space="preserve"> </w:t>
      </w:r>
      <w:r w:rsidRPr="005502A6">
        <w:rPr>
          <w:rFonts w:ascii="Arial" w:hAnsi="Arial" w:cs="Arial"/>
        </w:rPr>
        <w:t>of</w:t>
      </w:r>
      <w:r w:rsidRPr="005502A6">
        <w:rPr>
          <w:rFonts w:ascii="Arial" w:hAnsi="Arial" w:cs="Arial"/>
          <w:spacing w:val="-6"/>
        </w:rPr>
        <w:t xml:space="preserve"> </w:t>
      </w:r>
      <w:r w:rsidRPr="005502A6">
        <w:rPr>
          <w:rFonts w:ascii="Arial" w:hAnsi="Arial" w:cs="Arial"/>
        </w:rPr>
        <w:t>the</w:t>
      </w:r>
      <w:r w:rsidRPr="005502A6">
        <w:rPr>
          <w:rFonts w:ascii="Arial" w:hAnsi="Arial" w:cs="Arial"/>
          <w:spacing w:val="-6"/>
        </w:rPr>
        <w:t xml:space="preserve"> </w:t>
      </w:r>
      <w:r w:rsidRPr="005502A6">
        <w:rPr>
          <w:rFonts w:ascii="Arial" w:hAnsi="Arial" w:cs="Arial"/>
        </w:rPr>
        <w:t>prescribing</w:t>
      </w:r>
      <w:r w:rsidRPr="005502A6">
        <w:rPr>
          <w:rFonts w:ascii="Arial" w:hAnsi="Arial" w:cs="Arial"/>
          <w:spacing w:val="-7"/>
        </w:rPr>
        <w:t xml:space="preserve"> </w:t>
      </w:r>
      <w:r w:rsidRPr="005502A6">
        <w:rPr>
          <w:rFonts w:ascii="Arial" w:hAnsi="Arial" w:cs="Arial"/>
          <w:spacing w:val="-2"/>
        </w:rPr>
        <w:t>agreement</w:t>
      </w:r>
    </w:p>
    <w:p w14:paraId="18525683" w14:textId="77777777" w:rsidR="00F05C60" w:rsidRPr="005502A6" w:rsidRDefault="00F05C60" w:rsidP="00F05C60">
      <w:pPr>
        <w:pStyle w:val="ListParagraph"/>
        <w:widowControl w:val="0"/>
        <w:numPr>
          <w:ilvl w:val="0"/>
          <w:numId w:val="59"/>
        </w:numPr>
        <w:tabs>
          <w:tab w:val="left" w:pos="480"/>
        </w:tabs>
        <w:autoSpaceDE w:val="0"/>
        <w:autoSpaceDN w:val="0"/>
        <w:spacing w:after="0" w:line="244" w:lineRule="exact"/>
        <w:ind w:left="480" w:hanging="360"/>
        <w:contextualSpacing w:val="0"/>
        <w:rPr>
          <w:rFonts w:ascii="Arial" w:hAnsi="Arial" w:cs="Arial"/>
        </w:rPr>
      </w:pPr>
      <w:r w:rsidRPr="005502A6">
        <w:rPr>
          <w:rFonts w:ascii="Arial" w:hAnsi="Arial" w:cs="Arial"/>
        </w:rPr>
        <w:t>participate</w:t>
      </w:r>
      <w:r w:rsidRPr="005502A6">
        <w:rPr>
          <w:rFonts w:ascii="Arial" w:hAnsi="Arial" w:cs="Arial"/>
          <w:spacing w:val="-8"/>
        </w:rPr>
        <w:t xml:space="preserve"> </w:t>
      </w:r>
      <w:r w:rsidRPr="005502A6">
        <w:rPr>
          <w:rFonts w:ascii="Arial" w:hAnsi="Arial" w:cs="Arial"/>
        </w:rPr>
        <w:t>in</w:t>
      </w:r>
      <w:r w:rsidRPr="005502A6">
        <w:rPr>
          <w:rFonts w:ascii="Arial" w:hAnsi="Arial" w:cs="Arial"/>
          <w:spacing w:val="-8"/>
        </w:rPr>
        <w:t xml:space="preserve"> </w:t>
      </w:r>
      <w:r w:rsidRPr="005502A6">
        <w:rPr>
          <w:rFonts w:ascii="Arial" w:hAnsi="Arial" w:cs="Arial"/>
        </w:rPr>
        <w:t>monitoring</w:t>
      </w:r>
      <w:r w:rsidRPr="005502A6">
        <w:rPr>
          <w:rFonts w:ascii="Arial" w:hAnsi="Arial" w:cs="Arial"/>
          <w:spacing w:val="-8"/>
        </w:rPr>
        <w:t xml:space="preserve"> </w:t>
      </w:r>
      <w:r w:rsidRPr="005502A6">
        <w:rPr>
          <w:rFonts w:ascii="Arial" w:hAnsi="Arial" w:cs="Arial"/>
        </w:rPr>
        <w:t>and</w:t>
      </w:r>
      <w:r w:rsidRPr="005502A6">
        <w:rPr>
          <w:rFonts w:ascii="Arial" w:hAnsi="Arial" w:cs="Arial"/>
          <w:spacing w:val="-8"/>
        </w:rPr>
        <w:t xml:space="preserve"> </w:t>
      </w:r>
      <w:r w:rsidRPr="005502A6">
        <w:rPr>
          <w:rFonts w:ascii="Arial" w:hAnsi="Arial" w:cs="Arial"/>
        </w:rPr>
        <w:t>audit</w:t>
      </w:r>
      <w:r w:rsidRPr="005502A6">
        <w:rPr>
          <w:rFonts w:ascii="Arial" w:hAnsi="Arial" w:cs="Arial"/>
          <w:spacing w:val="-9"/>
        </w:rPr>
        <w:t xml:space="preserve"> </w:t>
      </w:r>
      <w:r w:rsidRPr="005502A6">
        <w:rPr>
          <w:rFonts w:ascii="Arial" w:hAnsi="Arial" w:cs="Arial"/>
        </w:rPr>
        <w:t>related</w:t>
      </w:r>
      <w:r w:rsidRPr="005502A6">
        <w:rPr>
          <w:rFonts w:ascii="Arial" w:hAnsi="Arial" w:cs="Arial"/>
          <w:spacing w:val="-7"/>
        </w:rPr>
        <w:t xml:space="preserve"> </w:t>
      </w:r>
      <w:r w:rsidRPr="005502A6">
        <w:rPr>
          <w:rFonts w:ascii="Arial" w:hAnsi="Arial" w:cs="Arial"/>
        </w:rPr>
        <w:t>to</w:t>
      </w:r>
      <w:r w:rsidRPr="005502A6">
        <w:rPr>
          <w:rFonts w:ascii="Arial" w:hAnsi="Arial" w:cs="Arial"/>
          <w:spacing w:val="-9"/>
        </w:rPr>
        <w:t xml:space="preserve"> </w:t>
      </w:r>
      <w:r w:rsidRPr="005502A6">
        <w:rPr>
          <w:rFonts w:ascii="Arial" w:hAnsi="Arial" w:cs="Arial"/>
        </w:rPr>
        <w:t>prescribing</w:t>
      </w:r>
      <w:r w:rsidRPr="005502A6">
        <w:rPr>
          <w:rFonts w:ascii="Arial" w:hAnsi="Arial" w:cs="Arial"/>
          <w:spacing w:val="-3"/>
        </w:rPr>
        <w:t xml:space="preserve"> </w:t>
      </w:r>
      <w:r w:rsidRPr="005502A6">
        <w:rPr>
          <w:rFonts w:ascii="Arial" w:hAnsi="Arial" w:cs="Arial"/>
        </w:rPr>
        <w:t>practice,</w:t>
      </w:r>
      <w:r w:rsidRPr="005502A6">
        <w:rPr>
          <w:rFonts w:ascii="Arial" w:hAnsi="Arial" w:cs="Arial"/>
          <w:spacing w:val="-6"/>
        </w:rPr>
        <w:t xml:space="preserve"> </w:t>
      </w:r>
      <w:r w:rsidRPr="005502A6">
        <w:rPr>
          <w:rFonts w:ascii="Arial" w:hAnsi="Arial" w:cs="Arial"/>
          <w:spacing w:val="-5"/>
        </w:rPr>
        <w:t>and</w:t>
      </w:r>
    </w:p>
    <w:p w14:paraId="29CDAE91" w14:textId="77777777" w:rsidR="00F05C60" w:rsidRPr="005502A6" w:rsidRDefault="00F05C60" w:rsidP="00F05C60">
      <w:pPr>
        <w:pStyle w:val="ListParagraph"/>
        <w:widowControl w:val="0"/>
        <w:numPr>
          <w:ilvl w:val="0"/>
          <w:numId w:val="59"/>
        </w:numPr>
        <w:tabs>
          <w:tab w:val="left" w:pos="480"/>
        </w:tabs>
        <w:autoSpaceDE w:val="0"/>
        <w:autoSpaceDN w:val="0"/>
        <w:spacing w:after="0" w:line="240" w:lineRule="auto"/>
        <w:ind w:left="480" w:hanging="360"/>
        <w:contextualSpacing w:val="0"/>
        <w:rPr>
          <w:rFonts w:ascii="Arial" w:hAnsi="Arial" w:cs="Arial"/>
        </w:rPr>
      </w:pPr>
      <w:r w:rsidRPr="005502A6">
        <w:rPr>
          <w:rFonts w:ascii="Arial" w:hAnsi="Arial" w:cs="Arial"/>
        </w:rPr>
        <w:t>comply</w:t>
      </w:r>
      <w:r w:rsidRPr="005502A6">
        <w:rPr>
          <w:rFonts w:ascii="Arial" w:hAnsi="Arial" w:cs="Arial"/>
          <w:spacing w:val="-7"/>
        </w:rPr>
        <w:t xml:space="preserve"> </w:t>
      </w:r>
      <w:r w:rsidRPr="005502A6">
        <w:rPr>
          <w:rFonts w:ascii="Arial" w:hAnsi="Arial" w:cs="Arial"/>
        </w:rPr>
        <w:t>with</w:t>
      </w:r>
      <w:r w:rsidRPr="005502A6">
        <w:rPr>
          <w:rFonts w:ascii="Arial" w:hAnsi="Arial" w:cs="Arial"/>
          <w:spacing w:val="-5"/>
        </w:rPr>
        <w:t xml:space="preserve"> </w:t>
      </w:r>
      <w:r w:rsidRPr="005502A6">
        <w:rPr>
          <w:rFonts w:ascii="Arial" w:hAnsi="Arial" w:cs="Arial"/>
        </w:rPr>
        <w:t>all</w:t>
      </w:r>
      <w:r w:rsidRPr="005502A6">
        <w:rPr>
          <w:rFonts w:ascii="Arial" w:hAnsi="Arial" w:cs="Arial"/>
          <w:spacing w:val="-8"/>
        </w:rPr>
        <w:t xml:space="preserve"> </w:t>
      </w:r>
      <w:r w:rsidRPr="005502A6">
        <w:rPr>
          <w:rFonts w:ascii="Arial" w:hAnsi="Arial" w:cs="Arial"/>
        </w:rPr>
        <w:t>relevant</w:t>
      </w:r>
      <w:r w:rsidRPr="005502A6">
        <w:rPr>
          <w:rFonts w:ascii="Arial" w:hAnsi="Arial" w:cs="Arial"/>
          <w:spacing w:val="-7"/>
        </w:rPr>
        <w:t xml:space="preserve"> </w:t>
      </w:r>
      <w:r w:rsidRPr="005502A6">
        <w:rPr>
          <w:rFonts w:ascii="Arial" w:hAnsi="Arial" w:cs="Arial"/>
        </w:rPr>
        <w:t>NMBA</w:t>
      </w:r>
      <w:r w:rsidRPr="005502A6">
        <w:rPr>
          <w:rFonts w:ascii="Arial" w:hAnsi="Arial" w:cs="Arial"/>
          <w:spacing w:val="-8"/>
        </w:rPr>
        <w:t xml:space="preserve"> </w:t>
      </w:r>
      <w:r w:rsidRPr="005502A6">
        <w:rPr>
          <w:rFonts w:ascii="Arial" w:hAnsi="Arial" w:cs="Arial"/>
        </w:rPr>
        <w:t>standards,</w:t>
      </w:r>
      <w:r w:rsidRPr="005502A6">
        <w:rPr>
          <w:rFonts w:ascii="Arial" w:hAnsi="Arial" w:cs="Arial"/>
          <w:spacing w:val="-7"/>
        </w:rPr>
        <w:t xml:space="preserve"> </w:t>
      </w:r>
      <w:r w:rsidRPr="005502A6">
        <w:rPr>
          <w:rFonts w:ascii="Arial" w:hAnsi="Arial" w:cs="Arial"/>
        </w:rPr>
        <w:t>codes and</w:t>
      </w:r>
      <w:r w:rsidRPr="005502A6">
        <w:rPr>
          <w:rFonts w:ascii="Arial" w:hAnsi="Arial" w:cs="Arial"/>
          <w:spacing w:val="-5"/>
        </w:rPr>
        <w:t xml:space="preserve"> </w:t>
      </w:r>
      <w:r w:rsidRPr="005502A6">
        <w:rPr>
          <w:rFonts w:ascii="Arial" w:hAnsi="Arial" w:cs="Arial"/>
          <w:spacing w:val="-2"/>
        </w:rPr>
        <w:t>guidelines.</w:t>
      </w:r>
    </w:p>
    <w:p w14:paraId="13716019" w14:textId="77777777" w:rsidR="00F05C60" w:rsidRDefault="00F05C60" w:rsidP="000D1640">
      <w:pPr>
        <w:pStyle w:val="AHPRAbodybold"/>
        <w:ind w:right="241"/>
        <w:rPr>
          <w:sz w:val="12"/>
        </w:rPr>
      </w:pPr>
      <w:bookmarkStart w:id="249" w:name="_bookmark2"/>
      <w:bookmarkEnd w:id="249"/>
      <w:r>
        <w:lastRenderedPageBreak/>
        <w:t>For</w:t>
      </w:r>
      <w:r>
        <w:rPr>
          <w:spacing w:val="-4"/>
        </w:rPr>
        <w:t xml:space="preserve"> </w:t>
      </w:r>
      <w:r>
        <w:t>RNs</w:t>
      </w:r>
      <w:r>
        <w:rPr>
          <w:spacing w:val="-4"/>
        </w:rPr>
        <w:t xml:space="preserve"> </w:t>
      </w:r>
      <w:r>
        <w:t>working</w:t>
      </w:r>
      <w:r>
        <w:rPr>
          <w:spacing w:val="-3"/>
        </w:rPr>
        <w:t xml:space="preserve"> </w:t>
      </w:r>
      <w:r>
        <w:t>as</w:t>
      </w:r>
      <w:r>
        <w:rPr>
          <w:spacing w:val="-4"/>
        </w:rPr>
        <w:t xml:space="preserve"> </w:t>
      </w:r>
      <w:r>
        <w:t>a</w:t>
      </w:r>
      <w:r>
        <w:rPr>
          <w:spacing w:val="-3"/>
        </w:rPr>
        <w:t xml:space="preserve"> </w:t>
      </w:r>
      <w:r>
        <w:t>sole</w:t>
      </w:r>
      <w:r>
        <w:rPr>
          <w:spacing w:val="-4"/>
        </w:rPr>
        <w:t xml:space="preserve"> </w:t>
      </w:r>
      <w:r>
        <w:t>practitioner,</w:t>
      </w:r>
      <w:r>
        <w:rPr>
          <w:spacing w:val="-4"/>
        </w:rPr>
        <w:t xml:space="preserve"> </w:t>
      </w:r>
      <w:r>
        <w:t>individuals</w:t>
      </w:r>
      <w:r>
        <w:rPr>
          <w:spacing w:val="-2"/>
        </w:rPr>
        <w:t xml:space="preserve"> </w:t>
      </w:r>
      <w:r>
        <w:t>in</w:t>
      </w:r>
      <w:r>
        <w:rPr>
          <w:spacing w:val="-4"/>
        </w:rPr>
        <w:t xml:space="preserve"> </w:t>
      </w:r>
      <w:r>
        <w:t>private</w:t>
      </w:r>
      <w:r>
        <w:rPr>
          <w:spacing w:val="-4"/>
        </w:rPr>
        <w:t xml:space="preserve"> </w:t>
      </w:r>
      <w:r>
        <w:t>practice or</w:t>
      </w:r>
      <w:r>
        <w:rPr>
          <w:spacing w:val="-4"/>
        </w:rPr>
        <w:t xml:space="preserve"> </w:t>
      </w:r>
      <w:r>
        <w:t>in</w:t>
      </w:r>
      <w:r>
        <w:rPr>
          <w:spacing w:val="-1"/>
        </w:rPr>
        <w:t xml:space="preserve"> </w:t>
      </w:r>
      <w:r>
        <w:t>a</w:t>
      </w:r>
      <w:r>
        <w:rPr>
          <w:spacing w:val="-2"/>
        </w:rPr>
        <w:t xml:space="preserve"> </w:t>
      </w:r>
      <w:r>
        <w:t>primary</w:t>
      </w:r>
      <w:r>
        <w:rPr>
          <w:spacing w:val="-4"/>
        </w:rPr>
        <w:t xml:space="preserve"> </w:t>
      </w:r>
      <w:r>
        <w:t>health care setting</w:t>
      </w:r>
      <w:r>
        <w:rPr>
          <w:rStyle w:val="FootnoteReference"/>
        </w:rPr>
        <w:footnoteReference w:id="6"/>
      </w:r>
    </w:p>
    <w:p w14:paraId="7F805D58" w14:textId="77777777" w:rsidR="00F05C60" w:rsidRPr="008E1639" w:rsidRDefault="00F05C60" w:rsidP="00F05C60">
      <w:pPr>
        <w:pStyle w:val="BodyText"/>
        <w:ind w:right="776"/>
      </w:pPr>
      <w:r w:rsidRPr="008E1639">
        <w:rPr>
          <w:color w:val="000000"/>
        </w:rPr>
        <w:t>The NMBA acknowledges that some designated RN prescribers will not be working in a direct employment</w:t>
      </w:r>
      <w:r w:rsidRPr="008E1639">
        <w:rPr>
          <w:color w:val="000000"/>
          <w:spacing w:val="-5"/>
        </w:rPr>
        <w:t xml:space="preserve"> </w:t>
      </w:r>
      <w:r w:rsidRPr="008E1639">
        <w:rPr>
          <w:color w:val="000000"/>
        </w:rPr>
        <w:t>relationship</w:t>
      </w:r>
      <w:r w:rsidRPr="008E1639">
        <w:rPr>
          <w:color w:val="000000"/>
          <w:spacing w:val="-3"/>
        </w:rPr>
        <w:t xml:space="preserve"> </w:t>
      </w:r>
      <w:r w:rsidRPr="008E1639">
        <w:rPr>
          <w:color w:val="000000"/>
        </w:rPr>
        <w:t>and</w:t>
      </w:r>
      <w:r w:rsidRPr="008E1639">
        <w:rPr>
          <w:color w:val="000000"/>
          <w:spacing w:val="-5"/>
        </w:rPr>
        <w:t xml:space="preserve"> </w:t>
      </w:r>
      <w:r w:rsidRPr="008E1639">
        <w:rPr>
          <w:color w:val="000000"/>
        </w:rPr>
        <w:t>may</w:t>
      </w:r>
      <w:r w:rsidRPr="008E1639">
        <w:rPr>
          <w:color w:val="000000"/>
          <w:spacing w:val="-4"/>
        </w:rPr>
        <w:t xml:space="preserve"> </w:t>
      </w:r>
      <w:r w:rsidRPr="008E1639">
        <w:rPr>
          <w:color w:val="000000"/>
        </w:rPr>
        <w:t>work</w:t>
      </w:r>
      <w:r w:rsidRPr="008E1639">
        <w:rPr>
          <w:color w:val="000000"/>
          <w:spacing w:val="-3"/>
        </w:rPr>
        <w:t xml:space="preserve"> </w:t>
      </w:r>
      <w:r w:rsidRPr="008E1639">
        <w:rPr>
          <w:color w:val="000000"/>
        </w:rPr>
        <w:t>in</w:t>
      </w:r>
      <w:r w:rsidRPr="008E1639">
        <w:rPr>
          <w:color w:val="000000"/>
          <w:spacing w:val="-3"/>
        </w:rPr>
        <w:t xml:space="preserve"> </w:t>
      </w:r>
      <w:r w:rsidRPr="008E1639">
        <w:rPr>
          <w:color w:val="000000"/>
        </w:rPr>
        <w:t>a</w:t>
      </w:r>
      <w:r w:rsidRPr="008E1639">
        <w:rPr>
          <w:color w:val="000000"/>
          <w:spacing w:val="-5"/>
        </w:rPr>
        <w:t xml:space="preserve"> </w:t>
      </w:r>
      <w:r w:rsidRPr="008E1639">
        <w:rPr>
          <w:color w:val="000000"/>
        </w:rPr>
        <w:t>contractual</w:t>
      </w:r>
      <w:r w:rsidRPr="008E1639">
        <w:rPr>
          <w:color w:val="000000"/>
          <w:spacing w:val="-4"/>
        </w:rPr>
        <w:t xml:space="preserve"> </w:t>
      </w:r>
      <w:r w:rsidRPr="008E1639">
        <w:rPr>
          <w:color w:val="000000"/>
        </w:rPr>
        <w:t>arrangement</w:t>
      </w:r>
      <w:r w:rsidRPr="008E1639">
        <w:rPr>
          <w:color w:val="000000"/>
          <w:spacing w:val="-5"/>
        </w:rPr>
        <w:t xml:space="preserve"> </w:t>
      </w:r>
      <w:r w:rsidRPr="008E1639">
        <w:rPr>
          <w:color w:val="000000"/>
        </w:rPr>
        <w:t>or</w:t>
      </w:r>
      <w:r w:rsidRPr="008E1639">
        <w:rPr>
          <w:color w:val="000000"/>
          <w:spacing w:val="-2"/>
        </w:rPr>
        <w:t xml:space="preserve"> </w:t>
      </w:r>
      <w:r w:rsidRPr="008E1639">
        <w:rPr>
          <w:color w:val="000000"/>
        </w:rPr>
        <w:t>may</w:t>
      </w:r>
      <w:r w:rsidRPr="008E1639">
        <w:rPr>
          <w:color w:val="000000"/>
          <w:spacing w:val="-4"/>
        </w:rPr>
        <w:t xml:space="preserve"> </w:t>
      </w:r>
      <w:r w:rsidRPr="008E1639">
        <w:rPr>
          <w:color w:val="000000"/>
        </w:rPr>
        <w:t>be</w:t>
      </w:r>
      <w:r w:rsidRPr="008E1639">
        <w:rPr>
          <w:color w:val="000000"/>
          <w:spacing w:val="-3"/>
        </w:rPr>
        <w:t xml:space="preserve"> </w:t>
      </w:r>
      <w:r w:rsidRPr="008E1639">
        <w:rPr>
          <w:color w:val="000000"/>
        </w:rPr>
        <w:t>self-employed</w:t>
      </w:r>
      <w:r w:rsidRPr="008E1639">
        <w:rPr>
          <w:color w:val="000000"/>
          <w:spacing w:val="-4"/>
        </w:rPr>
        <w:t xml:space="preserve"> </w:t>
      </w:r>
      <w:r w:rsidRPr="008E1639">
        <w:rPr>
          <w:color w:val="000000"/>
        </w:rPr>
        <w:t>and contract their services to an aged care facility or a community health service, for example.</w:t>
      </w:r>
    </w:p>
    <w:p w14:paraId="7A89F6FF" w14:textId="77777777" w:rsidR="00F05C60" w:rsidRPr="008E1639" w:rsidRDefault="00F05C60" w:rsidP="00F05C60">
      <w:pPr>
        <w:pStyle w:val="BodyText"/>
        <w:ind w:right="734"/>
      </w:pPr>
      <w:r w:rsidRPr="008E1639">
        <w:rPr>
          <w:color w:val="000000"/>
        </w:rPr>
        <w:t>The</w:t>
      </w:r>
      <w:r w:rsidRPr="008E1639">
        <w:rPr>
          <w:color w:val="000000"/>
          <w:spacing w:val="-6"/>
        </w:rPr>
        <w:t xml:space="preserve"> </w:t>
      </w:r>
      <w:r w:rsidRPr="008E1639">
        <w:rPr>
          <w:color w:val="000000"/>
        </w:rPr>
        <w:t>requirement</w:t>
      </w:r>
      <w:r w:rsidRPr="008E1639">
        <w:rPr>
          <w:color w:val="000000"/>
          <w:spacing w:val="-3"/>
        </w:rPr>
        <w:t xml:space="preserve"> </w:t>
      </w:r>
      <w:r w:rsidRPr="008E1639">
        <w:rPr>
          <w:color w:val="000000"/>
        </w:rPr>
        <w:t>to</w:t>
      </w:r>
      <w:r w:rsidRPr="008E1639">
        <w:rPr>
          <w:color w:val="000000"/>
          <w:spacing w:val="-6"/>
        </w:rPr>
        <w:t xml:space="preserve"> </w:t>
      </w:r>
      <w:r w:rsidRPr="008E1639">
        <w:rPr>
          <w:color w:val="000000"/>
        </w:rPr>
        <w:t>work</w:t>
      </w:r>
      <w:r w:rsidRPr="008E1639">
        <w:rPr>
          <w:color w:val="000000"/>
          <w:spacing w:val="-3"/>
        </w:rPr>
        <w:t xml:space="preserve"> </w:t>
      </w:r>
      <w:r w:rsidRPr="008E1639">
        <w:rPr>
          <w:color w:val="000000"/>
        </w:rPr>
        <w:t>in</w:t>
      </w:r>
      <w:r w:rsidRPr="008E1639">
        <w:rPr>
          <w:color w:val="000000"/>
          <w:spacing w:val="-3"/>
        </w:rPr>
        <w:t xml:space="preserve"> </w:t>
      </w:r>
      <w:r w:rsidRPr="008E1639">
        <w:rPr>
          <w:color w:val="000000"/>
        </w:rPr>
        <w:t>accordance</w:t>
      </w:r>
      <w:r w:rsidRPr="008E1639">
        <w:rPr>
          <w:color w:val="000000"/>
          <w:spacing w:val="-5"/>
        </w:rPr>
        <w:t xml:space="preserve"> </w:t>
      </w:r>
      <w:r w:rsidRPr="008E1639">
        <w:rPr>
          <w:color w:val="000000"/>
        </w:rPr>
        <w:t>with</w:t>
      </w:r>
      <w:r w:rsidRPr="008E1639">
        <w:rPr>
          <w:color w:val="000000"/>
          <w:spacing w:val="-3"/>
        </w:rPr>
        <w:t xml:space="preserve"> </w:t>
      </w:r>
      <w:r w:rsidRPr="008E1639">
        <w:rPr>
          <w:color w:val="000000"/>
        </w:rPr>
        <w:t>a</w:t>
      </w:r>
      <w:r w:rsidRPr="008E1639">
        <w:rPr>
          <w:color w:val="000000"/>
          <w:spacing w:val="-5"/>
        </w:rPr>
        <w:t xml:space="preserve"> </w:t>
      </w:r>
      <w:r w:rsidRPr="008E1639">
        <w:rPr>
          <w:color w:val="000000"/>
        </w:rPr>
        <w:t>clinical</w:t>
      </w:r>
      <w:r w:rsidRPr="008E1639">
        <w:rPr>
          <w:color w:val="000000"/>
          <w:spacing w:val="-6"/>
        </w:rPr>
        <w:t xml:space="preserve"> </w:t>
      </w:r>
      <w:r w:rsidRPr="008E1639">
        <w:rPr>
          <w:color w:val="000000"/>
        </w:rPr>
        <w:t>governance</w:t>
      </w:r>
      <w:r w:rsidRPr="008E1639">
        <w:rPr>
          <w:color w:val="000000"/>
          <w:spacing w:val="-5"/>
        </w:rPr>
        <w:t xml:space="preserve"> </w:t>
      </w:r>
      <w:r w:rsidRPr="008E1639">
        <w:rPr>
          <w:color w:val="000000"/>
        </w:rPr>
        <w:t>framework,</w:t>
      </w:r>
      <w:r w:rsidRPr="008E1639">
        <w:rPr>
          <w:color w:val="000000"/>
          <w:spacing w:val="-5"/>
        </w:rPr>
        <w:t xml:space="preserve"> </w:t>
      </w:r>
      <w:r w:rsidRPr="008E1639">
        <w:rPr>
          <w:color w:val="000000"/>
        </w:rPr>
        <w:t>and</w:t>
      </w:r>
      <w:r w:rsidRPr="008E1639">
        <w:rPr>
          <w:color w:val="000000"/>
          <w:spacing w:val="-3"/>
        </w:rPr>
        <w:t xml:space="preserve"> </w:t>
      </w:r>
      <w:r w:rsidRPr="008E1639">
        <w:rPr>
          <w:color w:val="000000"/>
        </w:rPr>
        <w:t>within</w:t>
      </w:r>
      <w:r w:rsidRPr="008E1639">
        <w:rPr>
          <w:color w:val="000000"/>
          <w:spacing w:val="-3"/>
        </w:rPr>
        <w:t xml:space="preserve"> </w:t>
      </w:r>
      <w:r w:rsidRPr="008E1639">
        <w:rPr>
          <w:color w:val="000000"/>
        </w:rPr>
        <w:t>a</w:t>
      </w:r>
      <w:r w:rsidRPr="008E1639">
        <w:rPr>
          <w:color w:val="000000"/>
          <w:spacing w:val="-5"/>
        </w:rPr>
        <w:t xml:space="preserve"> </w:t>
      </w:r>
      <w:r w:rsidRPr="008E1639">
        <w:rPr>
          <w:color w:val="000000"/>
        </w:rPr>
        <w:t>prescribing agreement, applies to all designated RN prescribers regardless of the designated RN prescriber’s context of practice and/or employment arrangements.</w:t>
      </w:r>
    </w:p>
    <w:p w14:paraId="19D5828F" w14:textId="77777777" w:rsidR="00F05C60" w:rsidRDefault="00F05C60" w:rsidP="00F05C60">
      <w:pPr>
        <w:pStyle w:val="BodyText"/>
        <w:spacing w:before="198"/>
        <w:ind w:right="776"/>
      </w:pPr>
      <w:r w:rsidRPr="008E1639">
        <w:rPr>
          <w:color w:val="000000"/>
        </w:rPr>
        <w:t>For designated RN prescribers working outside of the health organisation/service or employer structure,</w:t>
      </w:r>
      <w:r w:rsidRPr="008E1639">
        <w:rPr>
          <w:color w:val="000000"/>
          <w:spacing w:val="-4"/>
        </w:rPr>
        <w:t xml:space="preserve"> </w:t>
      </w:r>
      <w:r w:rsidRPr="008E1639">
        <w:rPr>
          <w:color w:val="000000"/>
        </w:rPr>
        <w:t>copies</w:t>
      </w:r>
      <w:r w:rsidRPr="008E1639">
        <w:rPr>
          <w:color w:val="000000"/>
          <w:spacing w:val="-4"/>
        </w:rPr>
        <w:t xml:space="preserve"> </w:t>
      </w:r>
      <w:r w:rsidRPr="008E1639">
        <w:rPr>
          <w:color w:val="000000"/>
        </w:rPr>
        <w:t>of</w:t>
      </w:r>
      <w:r w:rsidRPr="008E1639">
        <w:rPr>
          <w:color w:val="000000"/>
          <w:spacing w:val="-4"/>
        </w:rPr>
        <w:t xml:space="preserve"> </w:t>
      </w:r>
      <w:r w:rsidRPr="008E1639">
        <w:rPr>
          <w:color w:val="000000"/>
        </w:rPr>
        <w:t>the</w:t>
      </w:r>
      <w:r w:rsidRPr="008E1639">
        <w:rPr>
          <w:color w:val="000000"/>
          <w:spacing w:val="-5"/>
        </w:rPr>
        <w:t xml:space="preserve"> </w:t>
      </w:r>
      <w:r w:rsidRPr="008E1639">
        <w:rPr>
          <w:color w:val="000000"/>
        </w:rPr>
        <w:t>clinical</w:t>
      </w:r>
      <w:r w:rsidRPr="008E1639">
        <w:rPr>
          <w:color w:val="000000"/>
          <w:spacing w:val="-5"/>
        </w:rPr>
        <w:t xml:space="preserve"> </w:t>
      </w:r>
      <w:r w:rsidRPr="008E1639">
        <w:rPr>
          <w:color w:val="000000"/>
        </w:rPr>
        <w:t>governance</w:t>
      </w:r>
      <w:r w:rsidRPr="008E1639">
        <w:rPr>
          <w:color w:val="000000"/>
          <w:spacing w:val="-3"/>
        </w:rPr>
        <w:t xml:space="preserve"> </w:t>
      </w:r>
      <w:r w:rsidRPr="008E1639">
        <w:rPr>
          <w:color w:val="000000"/>
        </w:rPr>
        <w:t>framework</w:t>
      </w:r>
      <w:r w:rsidRPr="008E1639">
        <w:rPr>
          <w:color w:val="000000"/>
          <w:spacing w:val="-2"/>
        </w:rPr>
        <w:t xml:space="preserve"> </w:t>
      </w:r>
      <w:r w:rsidRPr="008E1639">
        <w:rPr>
          <w:color w:val="000000"/>
        </w:rPr>
        <w:t>and</w:t>
      </w:r>
      <w:r w:rsidRPr="008E1639">
        <w:rPr>
          <w:color w:val="000000"/>
          <w:spacing w:val="-4"/>
        </w:rPr>
        <w:t xml:space="preserve"> </w:t>
      </w:r>
      <w:r w:rsidRPr="008E1639">
        <w:rPr>
          <w:color w:val="000000"/>
        </w:rPr>
        <w:t>the</w:t>
      </w:r>
      <w:r w:rsidRPr="008E1639">
        <w:rPr>
          <w:color w:val="000000"/>
          <w:spacing w:val="-4"/>
        </w:rPr>
        <w:t xml:space="preserve"> </w:t>
      </w:r>
      <w:r w:rsidRPr="008E1639">
        <w:rPr>
          <w:color w:val="000000"/>
        </w:rPr>
        <w:t>prescribing</w:t>
      </w:r>
      <w:r w:rsidRPr="008E1639">
        <w:rPr>
          <w:color w:val="000000"/>
          <w:spacing w:val="-4"/>
        </w:rPr>
        <w:t xml:space="preserve"> </w:t>
      </w:r>
      <w:r w:rsidRPr="008E1639">
        <w:rPr>
          <w:color w:val="000000"/>
        </w:rPr>
        <w:t>agreement should</w:t>
      </w:r>
      <w:r w:rsidRPr="008E1639">
        <w:rPr>
          <w:color w:val="000000"/>
          <w:spacing w:val="-4"/>
        </w:rPr>
        <w:t xml:space="preserve"> </w:t>
      </w:r>
      <w:r w:rsidRPr="008E1639">
        <w:rPr>
          <w:color w:val="000000"/>
        </w:rPr>
        <w:t xml:space="preserve">be retained by both the authorised health practitioner, the designated RN prescriber and the work location. </w:t>
      </w:r>
    </w:p>
    <w:p w14:paraId="2EFE6D69" w14:textId="77777777" w:rsidR="00F05C60" w:rsidRDefault="00F05C60" w:rsidP="00F05C60">
      <w:pPr>
        <w:pStyle w:val="BodyText"/>
        <w:spacing w:before="202"/>
      </w:pPr>
      <w:r>
        <w:rPr>
          <w:color w:val="0067B8"/>
        </w:rPr>
        <w:t>Accountabilities</w:t>
      </w:r>
      <w:r>
        <w:rPr>
          <w:color w:val="0067B8"/>
          <w:spacing w:val="-7"/>
        </w:rPr>
        <w:t xml:space="preserve"> </w:t>
      </w:r>
      <w:r>
        <w:rPr>
          <w:color w:val="0067B8"/>
        </w:rPr>
        <w:t>of</w:t>
      </w:r>
      <w:r>
        <w:rPr>
          <w:color w:val="0067B8"/>
          <w:spacing w:val="-10"/>
        </w:rPr>
        <w:t xml:space="preserve"> </w:t>
      </w:r>
      <w:r>
        <w:rPr>
          <w:color w:val="0067B8"/>
        </w:rPr>
        <w:t>the</w:t>
      </w:r>
      <w:r>
        <w:rPr>
          <w:color w:val="0067B8"/>
          <w:spacing w:val="-9"/>
        </w:rPr>
        <w:t xml:space="preserve"> </w:t>
      </w:r>
      <w:r>
        <w:rPr>
          <w:color w:val="0067B8"/>
        </w:rPr>
        <w:t>authorised</w:t>
      </w:r>
      <w:r>
        <w:rPr>
          <w:color w:val="0067B8"/>
          <w:spacing w:val="-11"/>
        </w:rPr>
        <w:t xml:space="preserve"> </w:t>
      </w:r>
      <w:r>
        <w:rPr>
          <w:color w:val="0067B8"/>
        </w:rPr>
        <w:t>health</w:t>
      </w:r>
      <w:r>
        <w:rPr>
          <w:color w:val="0067B8"/>
          <w:spacing w:val="-8"/>
        </w:rPr>
        <w:t xml:space="preserve"> </w:t>
      </w:r>
      <w:r>
        <w:rPr>
          <w:color w:val="0067B8"/>
          <w:spacing w:val="-2"/>
        </w:rPr>
        <w:t>practitioner</w:t>
      </w:r>
    </w:p>
    <w:p w14:paraId="71B8173B" w14:textId="77777777" w:rsidR="00F05C60" w:rsidRDefault="00F05C60" w:rsidP="00F05C60">
      <w:pPr>
        <w:pStyle w:val="BodyText"/>
        <w:spacing w:before="199"/>
        <w:ind w:right="734"/>
      </w:pPr>
      <w:r>
        <w:t>The</w:t>
      </w:r>
      <w:r>
        <w:rPr>
          <w:spacing w:val="-5"/>
        </w:rPr>
        <w:t xml:space="preserve"> </w:t>
      </w:r>
      <w:r>
        <w:t>authorised</w:t>
      </w:r>
      <w:r>
        <w:rPr>
          <w:spacing w:val="-6"/>
        </w:rPr>
        <w:t xml:space="preserve"> </w:t>
      </w:r>
      <w:r>
        <w:t>health</w:t>
      </w:r>
      <w:r>
        <w:rPr>
          <w:spacing w:val="-3"/>
        </w:rPr>
        <w:t xml:space="preserve"> </w:t>
      </w:r>
      <w:r>
        <w:t>practitioner is</w:t>
      </w:r>
      <w:r>
        <w:rPr>
          <w:spacing w:val="-4"/>
        </w:rPr>
        <w:t xml:space="preserve"> </w:t>
      </w:r>
      <w:r>
        <w:t>expected</w:t>
      </w:r>
      <w:r>
        <w:rPr>
          <w:spacing w:val="-5"/>
        </w:rPr>
        <w:t xml:space="preserve"> </w:t>
      </w:r>
      <w:r>
        <w:t>to</w:t>
      </w:r>
      <w:r>
        <w:rPr>
          <w:spacing w:val="-3"/>
        </w:rPr>
        <w:t xml:space="preserve"> </w:t>
      </w:r>
      <w:r>
        <w:t>work</w:t>
      </w:r>
      <w:r>
        <w:rPr>
          <w:spacing w:val="-3"/>
        </w:rPr>
        <w:t xml:space="preserve"> </w:t>
      </w:r>
      <w:r w:rsidRPr="009A06C2">
        <w:t>in</w:t>
      </w:r>
      <w:r w:rsidRPr="009A06C2">
        <w:rPr>
          <w:spacing w:val="-3"/>
        </w:rPr>
        <w:t xml:space="preserve"> </w:t>
      </w:r>
      <w:r w:rsidRPr="009A06C2">
        <w:rPr>
          <w:color w:val="000000"/>
        </w:rPr>
        <w:t>partnership</w:t>
      </w:r>
      <w:r>
        <w:rPr>
          <w:color w:val="000000"/>
          <w:spacing w:val="-1"/>
        </w:rPr>
        <w:t xml:space="preserve"> </w:t>
      </w:r>
      <w:r>
        <w:rPr>
          <w:color w:val="000000"/>
        </w:rPr>
        <w:t>with</w:t>
      </w:r>
      <w:r>
        <w:rPr>
          <w:color w:val="000000"/>
          <w:spacing w:val="-3"/>
        </w:rPr>
        <w:t xml:space="preserve"> </w:t>
      </w:r>
      <w:r>
        <w:rPr>
          <w:color w:val="000000"/>
        </w:rPr>
        <w:t>the</w:t>
      </w:r>
      <w:r>
        <w:rPr>
          <w:color w:val="000000"/>
          <w:spacing w:val="-3"/>
        </w:rPr>
        <w:t xml:space="preserve"> </w:t>
      </w:r>
      <w:r>
        <w:rPr>
          <w:color w:val="000000"/>
        </w:rPr>
        <w:t>designated RN prescriber, the responsibilities of the authorised health practitioner include:</w:t>
      </w:r>
    </w:p>
    <w:p w14:paraId="3E601437" w14:textId="77777777" w:rsidR="00F05C60" w:rsidRPr="005502A6" w:rsidRDefault="00F05C60" w:rsidP="00F05C60">
      <w:pPr>
        <w:pStyle w:val="ListParagraph"/>
        <w:widowControl w:val="0"/>
        <w:numPr>
          <w:ilvl w:val="0"/>
          <w:numId w:val="59"/>
        </w:numPr>
        <w:tabs>
          <w:tab w:val="left" w:pos="480"/>
        </w:tabs>
        <w:autoSpaceDE w:val="0"/>
        <w:autoSpaceDN w:val="0"/>
        <w:spacing w:before="202" w:after="0" w:line="244" w:lineRule="exact"/>
        <w:ind w:left="480" w:hanging="360"/>
        <w:contextualSpacing w:val="0"/>
        <w:rPr>
          <w:rFonts w:ascii="Arial" w:hAnsi="Arial" w:cs="Arial"/>
        </w:rPr>
      </w:pPr>
      <w:r w:rsidRPr="005502A6">
        <w:rPr>
          <w:rFonts w:ascii="Arial" w:hAnsi="Arial" w:cs="Arial"/>
        </w:rPr>
        <w:t>understanding the scope of prescribing practice of the designated RN prescriber</w:t>
      </w:r>
    </w:p>
    <w:p w14:paraId="06F45D79" w14:textId="77777777" w:rsidR="00F05C60" w:rsidRPr="005502A6" w:rsidRDefault="00F05C60" w:rsidP="00F05C60">
      <w:pPr>
        <w:pStyle w:val="ListParagraph"/>
        <w:widowControl w:val="0"/>
        <w:numPr>
          <w:ilvl w:val="0"/>
          <w:numId w:val="59"/>
        </w:numPr>
        <w:tabs>
          <w:tab w:val="left" w:pos="480"/>
        </w:tabs>
        <w:autoSpaceDE w:val="0"/>
        <w:autoSpaceDN w:val="0"/>
        <w:spacing w:after="0" w:line="244" w:lineRule="exact"/>
        <w:ind w:left="480" w:hanging="360"/>
        <w:contextualSpacing w:val="0"/>
        <w:rPr>
          <w:rFonts w:ascii="Arial" w:hAnsi="Arial" w:cs="Arial"/>
        </w:rPr>
      </w:pPr>
      <w:r w:rsidRPr="005502A6">
        <w:rPr>
          <w:rFonts w:ascii="Arial" w:hAnsi="Arial" w:cs="Arial"/>
        </w:rPr>
        <w:t>working</w:t>
      </w:r>
      <w:r w:rsidRPr="005502A6">
        <w:rPr>
          <w:rFonts w:ascii="Arial" w:hAnsi="Arial" w:cs="Arial"/>
          <w:spacing w:val="-8"/>
        </w:rPr>
        <w:t xml:space="preserve"> </w:t>
      </w:r>
      <w:r w:rsidRPr="005502A6">
        <w:rPr>
          <w:rFonts w:ascii="Arial" w:hAnsi="Arial" w:cs="Arial"/>
        </w:rPr>
        <w:t>with</w:t>
      </w:r>
      <w:r w:rsidRPr="005502A6">
        <w:rPr>
          <w:rFonts w:ascii="Arial" w:hAnsi="Arial" w:cs="Arial"/>
          <w:spacing w:val="-7"/>
        </w:rPr>
        <w:t xml:space="preserve"> </w:t>
      </w:r>
      <w:r w:rsidRPr="005502A6">
        <w:rPr>
          <w:rFonts w:ascii="Arial" w:hAnsi="Arial" w:cs="Arial"/>
        </w:rPr>
        <w:t>the</w:t>
      </w:r>
      <w:r w:rsidRPr="005502A6">
        <w:rPr>
          <w:rFonts w:ascii="Arial" w:hAnsi="Arial" w:cs="Arial"/>
          <w:spacing w:val="-8"/>
        </w:rPr>
        <w:t xml:space="preserve"> </w:t>
      </w:r>
      <w:r w:rsidRPr="005502A6">
        <w:rPr>
          <w:rFonts w:ascii="Arial" w:hAnsi="Arial" w:cs="Arial"/>
        </w:rPr>
        <w:t>designated</w:t>
      </w:r>
      <w:r w:rsidRPr="005502A6">
        <w:rPr>
          <w:rFonts w:ascii="Arial" w:hAnsi="Arial" w:cs="Arial"/>
          <w:spacing w:val="-8"/>
        </w:rPr>
        <w:t xml:space="preserve"> </w:t>
      </w:r>
      <w:r w:rsidRPr="005502A6">
        <w:rPr>
          <w:rFonts w:ascii="Arial" w:hAnsi="Arial" w:cs="Arial"/>
        </w:rPr>
        <w:t>RN</w:t>
      </w:r>
      <w:r w:rsidRPr="005502A6">
        <w:rPr>
          <w:rFonts w:ascii="Arial" w:hAnsi="Arial" w:cs="Arial"/>
          <w:spacing w:val="-8"/>
        </w:rPr>
        <w:t xml:space="preserve"> </w:t>
      </w:r>
      <w:r w:rsidRPr="005502A6">
        <w:rPr>
          <w:rFonts w:ascii="Arial" w:hAnsi="Arial" w:cs="Arial"/>
        </w:rPr>
        <w:t>prescriber</w:t>
      </w:r>
      <w:r w:rsidRPr="005502A6">
        <w:rPr>
          <w:rFonts w:ascii="Arial" w:hAnsi="Arial" w:cs="Arial"/>
          <w:spacing w:val="-8"/>
        </w:rPr>
        <w:t xml:space="preserve"> </w:t>
      </w:r>
      <w:r w:rsidRPr="005502A6">
        <w:rPr>
          <w:rFonts w:ascii="Arial" w:hAnsi="Arial" w:cs="Arial"/>
        </w:rPr>
        <w:t>to</w:t>
      </w:r>
      <w:r w:rsidRPr="005502A6">
        <w:rPr>
          <w:rFonts w:ascii="Arial" w:hAnsi="Arial" w:cs="Arial"/>
          <w:spacing w:val="-6"/>
        </w:rPr>
        <w:t xml:space="preserve"> </w:t>
      </w:r>
      <w:r w:rsidRPr="005502A6">
        <w:rPr>
          <w:rFonts w:ascii="Arial" w:hAnsi="Arial" w:cs="Arial"/>
        </w:rPr>
        <w:t>establish</w:t>
      </w:r>
      <w:r w:rsidRPr="005502A6">
        <w:rPr>
          <w:rFonts w:ascii="Arial" w:hAnsi="Arial" w:cs="Arial"/>
          <w:spacing w:val="-8"/>
        </w:rPr>
        <w:t xml:space="preserve"> </w:t>
      </w:r>
      <w:r w:rsidRPr="005502A6">
        <w:rPr>
          <w:rFonts w:ascii="Arial" w:hAnsi="Arial" w:cs="Arial"/>
        </w:rPr>
        <w:t>the</w:t>
      </w:r>
      <w:r w:rsidRPr="005502A6">
        <w:rPr>
          <w:rFonts w:ascii="Arial" w:hAnsi="Arial" w:cs="Arial"/>
          <w:spacing w:val="-6"/>
        </w:rPr>
        <w:t xml:space="preserve"> </w:t>
      </w:r>
      <w:r w:rsidRPr="005502A6">
        <w:rPr>
          <w:rFonts w:ascii="Arial" w:hAnsi="Arial" w:cs="Arial"/>
        </w:rPr>
        <w:t>prescribing</w:t>
      </w:r>
      <w:r w:rsidRPr="005502A6">
        <w:rPr>
          <w:rFonts w:ascii="Arial" w:hAnsi="Arial" w:cs="Arial"/>
          <w:spacing w:val="-7"/>
        </w:rPr>
        <w:t xml:space="preserve"> </w:t>
      </w:r>
      <w:r w:rsidRPr="005502A6">
        <w:rPr>
          <w:rFonts w:ascii="Arial" w:hAnsi="Arial" w:cs="Arial"/>
          <w:spacing w:val="-2"/>
        </w:rPr>
        <w:t>agreement</w:t>
      </w:r>
    </w:p>
    <w:p w14:paraId="67B2961D" w14:textId="77777777" w:rsidR="00F05C60" w:rsidRPr="005502A6" w:rsidRDefault="00F05C60" w:rsidP="00F05C60">
      <w:pPr>
        <w:pStyle w:val="ListParagraph"/>
        <w:widowControl w:val="0"/>
        <w:numPr>
          <w:ilvl w:val="0"/>
          <w:numId w:val="59"/>
        </w:numPr>
        <w:tabs>
          <w:tab w:val="left" w:pos="480"/>
        </w:tabs>
        <w:autoSpaceDE w:val="0"/>
        <w:autoSpaceDN w:val="0"/>
        <w:spacing w:before="4" w:after="0" w:line="235" w:lineRule="auto"/>
        <w:ind w:left="480" w:right="1050" w:hanging="360"/>
        <w:contextualSpacing w:val="0"/>
        <w:rPr>
          <w:rFonts w:ascii="Arial" w:hAnsi="Arial" w:cs="Arial"/>
        </w:rPr>
      </w:pPr>
      <w:r w:rsidRPr="005502A6">
        <w:rPr>
          <w:rFonts w:ascii="Arial" w:hAnsi="Arial" w:cs="Arial"/>
        </w:rPr>
        <w:t>clinical</w:t>
      </w:r>
      <w:r w:rsidRPr="005502A6">
        <w:rPr>
          <w:rFonts w:ascii="Arial" w:hAnsi="Arial" w:cs="Arial"/>
          <w:spacing w:val="-3"/>
        </w:rPr>
        <w:t xml:space="preserve"> </w:t>
      </w:r>
      <w:r w:rsidRPr="005502A6">
        <w:rPr>
          <w:rFonts w:ascii="Arial" w:hAnsi="Arial" w:cs="Arial"/>
        </w:rPr>
        <w:t>mentoring</w:t>
      </w:r>
      <w:r w:rsidRPr="005502A6">
        <w:rPr>
          <w:rFonts w:ascii="Arial" w:hAnsi="Arial" w:cs="Arial"/>
          <w:spacing w:val="-4"/>
        </w:rPr>
        <w:t xml:space="preserve"> </w:t>
      </w:r>
      <w:r w:rsidRPr="005502A6">
        <w:rPr>
          <w:rFonts w:ascii="Arial" w:hAnsi="Arial" w:cs="Arial"/>
        </w:rPr>
        <w:t>with</w:t>
      </w:r>
      <w:r w:rsidRPr="005502A6">
        <w:rPr>
          <w:rFonts w:ascii="Arial" w:hAnsi="Arial" w:cs="Arial"/>
          <w:spacing w:val="-2"/>
        </w:rPr>
        <w:t xml:space="preserve"> </w:t>
      </w:r>
      <w:r w:rsidRPr="005502A6">
        <w:rPr>
          <w:rFonts w:ascii="Arial" w:hAnsi="Arial" w:cs="Arial"/>
        </w:rPr>
        <w:t>the</w:t>
      </w:r>
      <w:r w:rsidRPr="005502A6">
        <w:rPr>
          <w:rFonts w:ascii="Arial" w:hAnsi="Arial" w:cs="Arial"/>
          <w:spacing w:val="-3"/>
        </w:rPr>
        <w:t xml:space="preserve"> </w:t>
      </w:r>
      <w:r w:rsidRPr="005502A6">
        <w:rPr>
          <w:rFonts w:ascii="Arial" w:hAnsi="Arial" w:cs="Arial"/>
        </w:rPr>
        <w:t>designated</w:t>
      </w:r>
      <w:r w:rsidRPr="005502A6">
        <w:rPr>
          <w:rFonts w:ascii="Arial" w:hAnsi="Arial" w:cs="Arial"/>
          <w:spacing w:val="-4"/>
        </w:rPr>
        <w:t xml:space="preserve"> </w:t>
      </w:r>
      <w:r w:rsidRPr="005502A6">
        <w:rPr>
          <w:rFonts w:ascii="Arial" w:hAnsi="Arial" w:cs="Arial"/>
        </w:rPr>
        <w:t>RN</w:t>
      </w:r>
      <w:r w:rsidRPr="005502A6">
        <w:rPr>
          <w:rFonts w:ascii="Arial" w:hAnsi="Arial" w:cs="Arial"/>
          <w:spacing w:val="-2"/>
        </w:rPr>
        <w:t xml:space="preserve"> </w:t>
      </w:r>
      <w:r w:rsidRPr="005502A6">
        <w:rPr>
          <w:rFonts w:ascii="Arial" w:hAnsi="Arial" w:cs="Arial"/>
        </w:rPr>
        <w:t>prescriber for</w:t>
      </w:r>
      <w:r w:rsidRPr="005502A6">
        <w:rPr>
          <w:rFonts w:ascii="Arial" w:hAnsi="Arial" w:cs="Arial"/>
          <w:spacing w:val="-4"/>
        </w:rPr>
        <w:t xml:space="preserve"> </w:t>
      </w:r>
      <w:r w:rsidRPr="005502A6">
        <w:rPr>
          <w:rFonts w:ascii="Arial" w:hAnsi="Arial" w:cs="Arial"/>
        </w:rPr>
        <w:t>the</w:t>
      </w:r>
      <w:r w:rsidRPr="005502A6">
        <w:rPr>
          <w:rFonts w:ascii="Arial" w:hAnsi="Arial" w:cs="Arial"/>
          <w:spacing w:val="-5"/>
        </w:rPr>
        <w:t xml:space="preserve"> </w:t>
      </w:r>
      <w:r w:rsidRPr="005502A6">
        <w:rPr>
          <w:rFonts w:ascii="Arial" w:hAnsi="Arial" w:cs="Arial"/>
        </w:rPr>
        <w:t>first</w:t>
      </w:r>
      <w:r w:rsidRPr="005502A6">
        <w:rPr>
          <w:rFonts w:ascii="Arial" w:hAnsi="Arial" w:cs="Arial"/>
          <w:spacing w:val="-4"/>
        </w:rPr>
        <w:t xml:space="preserve"> </w:t>
      </w:r>
      <w:r w:rsidRPr="005502A6">
        <w:rPr>
          <w:rFonts w:ascii="Arial" w:hAnsi="Arial" w:cs="Arial"/>
        </w:rPr>
        <w:t>six</w:t>
      </w:r>
      <w:r w:rsidRPr="005502A6">
        <w:rPr>
          <w:rFonts w:ascii="Arial" w:hAnsi="Arial" w:cs="Arial"/>
          <w:spacing w:val="-3"/>
        </w:rPr>
        <w:t xml:space="preserve"> </w:t>
      </w:r>
      <w:r w:rsidRPr="005502A6">
        <w:rPr>
          <w:rFonts w:ascii="Arial" w:hAnsi="Arial" w:cs="Arial"/>
        </w:rPr>
        <w:t>months</w:t>
      </w:r>
      <w:r w:rsidRPr="005502A6">
        <w:rPr>
          <w:rFonts w:ascii="Arial" w:hAnsi="Arial" w:cs="Arial"/>
          <w:spacing w:val="-3"/>
        </w:rPr>
        <w:t xml:space="preserve"> </w:t>
      </w:r>
      <w:r w:rsidRPr="005502A6">
        <w:rPr>
          <w:rFonts w:ascii="Arial" w:hAnsi="Arial" w:cs="Arial"/>
        </w:rPr>
        <w:t>of</w:t>
      </w:r>
      <w:r w:rsidRPr="005502A6">
        <w:rPr>
          <w:rFonts w:ascii="Arial" w:hAnsi="Arial" w:cs="Arial"/>
          <w:spacing w:val="-4"/>
        </w:rPr>
        <w:t xml:space="preserve"> </w:t>
      </w:r>
      <w:r w:rsidRPr="005502A6">
        <w:rPr>
          <w:rFonts w:ascii="Arial" w:hAnsi="Arial" w:cs="Arial"/>
        </w:rPr>
        <w:t>practice</w:t>
      </w:r>
      <w:r w:rsidRPr="005502A6">
        <w:rPr>
          <w:rFonts w:ascii="Arial" w:hAnsi="Arial" w:cs="Arial"/>
          <w:spacing w:val="-1"/>
        </w:rPr>
        <w:t xml:space="preserve"> </w:t>
      </w:r>
      <w:r w:rsidRPr="005502A6">
        <w:rPr>
          <w:rFonts w:ascii="Arial" w:hAnsi="Arial" w:cs="Arial"/>
        </w:rPr>
        <w:t>with</w:t>
      </w:r>
      <w:r w:rsidRPr="005502A6">
        <w:rPr>
          <w:rFonts w:ascii="Arial" w:hAnsi="Arial" w:cs="Arial"/>
          <w:spacing w:val="-5"/>
        </w:rPr>
        <w:t xml:space="preserve"> </w:t>
      </w:r>
      <w:r w:rsidRPr="005502A6">
        <w:rPr>
          <w:rFonts w:ascii="Arial" w:hAnsi="Arial" w:cs="Arial"/>
        </w:rPr>
        <w:t xml:space="preserve">the </w:t>
      </w:r>
      <w:r w:rsidRPr="005502A6">
        <w:rPr>
          <w:rFonts w:ascii="Arial" w:hAnsi="Arial" w:cs="Arial"/>
          <w:spacing w:val="-2"/>
        </w:rPr>
        <w:t>endorsement</w:t>
      </w:r>
    </w:p>
    <w:p w14:paraId="2F53FB2A" w14:textId="2F8F4136" w:rsidR="00F05C60" w:rsidRPr="005502A6" w:rsidRDefault="00F05C60" w:rsidP="00975349">
      <w:pPr>
        <w:pStyle w:val="ListParagraph"/>
        <w:widowControl w:val="0"/>
        <w:numPr>
          <w:ilvl w:val="0"/>
          <w:numId w:val="59"/>
        </w:numPr>
        <w:tabs>
          <w:tab w:val="left" w:pos="480"/>
        </w:tabs>
        <w:autoSpaceDE w:val="0"/>
        <w:autoSpaceDN w:val="0"/>
        <w:spacing w:before="4" w:after="0" w:line="228" w:lineRule="exact"/>
        <w:ind w:left="480" w:hanging="360"/>
        <w:contextualSpacing w:val="0"/>
        <w:rPr>
          <w:rFonts w:ascii="Arial" w:hAnsi="Arial" w:cs="Arial"/>
        </w:rPr>
      </w:pPr>
      <w:r w:rsidRPr="005502A6">
        <w:rPr>
          <w:rFonts w:ascii="Arial" w:hAnsi="Arial" w:cs="Arial"/>
        </w:rPr>
        <w:t>effectively</w:t>
      </w:r>
      <w:r w:rsidRPr="005502A6">
        <w:rPr>
          <w:rFonts w:ascii="Arial" w:hAnsi="Arial" w:cs="Arial"/>
          <w:spacing w:val="-8"/>
        </w:rPr>
        <w:t xml:space="preserve"> </w:t>
      </w:r>
      <w:r w:rsidRPr="005502A6">
        <w:rPr>
          <w:rFonts w:ascii="Arial" w:hAnsi="Arial" w:cs="Arial"/>
        </w:rPr>
        <w:t>collaborate</w:t>
      </w:r>
      <w:r w:rsidRPr="005502A6">
        <w:rPr>
          <w:rFonts w:ascii="Arial" w:hAnsi="Arial" w:cs="Arial"/>
          <w:spacing w:val="-7"/>
        </w:rPr>
        <w:t xml:space="preserve"> </w:t>
      </w:r>
      <w:r w:rsidRPr="005502A6">
        <w:rPr>
          <w:rFonts w:ascii="Arial" w:hAnsi="Arial" w:cs="Arial"/>
        </w:rPr>
        <w:t>with</w:t>
      </w:r>
      <w:r w:rsidRPr="005502A6">
        <w:rPr>
          <w:rFonts w:ascii="Arial" w:hAnsi="Arial" w:cs="Arial"/>
          <w:spacing w:val="-7"/>
        </w:rPr>
        <w:t xml:space="preserve"> </w:t>
      </w:r>
      <w:r w:rsidRPr="005502A6">
        <w:rPr>
          <w:rFonts w:ascii="Arial" w:hAnsi="Arial" w:cs="Arial"/>
        </w:rPr>
        <w:t>and</w:t>
      </w:r>
      <w:r w:rsidRPr="005502A6">
        <w:rPr>
          <w:rFonts w:ascii="Arial" w:hAnsi="Arial" w:cs="Arial"/>
          <w:spacing w:val="-7"/>
        </w:rPr>
        <w:t xml:space="preserve"> </w:t>
      </w:r>
      <w:r w:rsidRPr="005502A6">
        <w:rPr>
          <w:rFonts w:ascii="Arial" w:hAnsi="Arial" w:cs="Arial"/>
        </w:rPr>
        <w:t>accept</w:t>
      </w:r>
      <w:r w:rsidRPr="005502A6">
        <w:rPr>
          <w:rFonts w:ascii="Arial" w:hAnsi="Arial" w:cs="Arial"/>
          <w:spacing w:val="-9"/>
        </w:rPr>
        <w:t xml:space="preserve"> </w:t>
      </w:r>
      <w:r w:rsidRPr="005502A6">
        <w:rPr>
          <w:rFonts w:ascii="Arial" w:hAnsi="Arial" w:cs="Arial"/>
        </w:rPr>
        <w:t>referrals</w:t>
      </w:r>
      <w:r w:rsidRPr="005502A6">
        <w:rPr>
          <w:rFonts w:ascii="Arial" w:hAnsi="Arial" w:cs="Arial"/>
          <w:spacing w:val="-8"/>
        </w:rPr>
        <w:t xml:space="preserve"> </w:t>
      </w:r>
      <w:r w:rsidRPr="005502A6">
        <w:rPr>
          <w:rFonts w:ascii="Arial" w:hAnsi="Arial" w:cs="Arial"/>
        </w:rPr>
        <w:t>from</w:t>
      </w:r>
      <w:r w:rsidRPr="005502A6">
        <w:rPr>
          <w:rFonts w:ascii="Arial" w:hAnsi="Arial" w:cs="Arial"/>
          <w:spacing w:val="-7"/>
        </w:rPr>
        <w:t xml:space="preserve"> </w:t>
      </w:r>
      <w:r w:rsidRPr="005502A6">
        <w:rPr>
          <w:rFonts w:ascii="Arial" w:hAnsi="Arial" w:cs="Arial"/>
        </w:rPr>
        <w:t>the</w:t>
      </w:r>
      <w:r w:rsidRPr="005502A6">
        <w:rPr>
          <w:rFonts w:ascii="Arial" w:hAnsi="Arial" w:cs="Arial"/>
          <w:spacing w:val="-8"/>
        </w:rPr>
        <w:t xml:space="preserve"> </w:t>
      </w:r>
      <w:r w:rsidRPr="005502A6">
        <w:rPr>
          <w:rFonts w:ascii="Arial" w:hAnsi="Arial" w:cs="Arial"/>
        </w:rPr>
        <w:t>designated</w:t>
      </w:r>
      <w:r w:rsidRPr="005502A6">
        <w:rPr>
          <w:rFonts w:ascii="Arial" w:hAnsi="Arial" w:cs="Arial"/>
          <w:spacing w:val="-8"/>
        </w:rPr>
        <w:t xml:space="preserve"> </w:t>
      </w:r>
      <w:r w:rsidRPr="005502A6">
        <w:rPr>
          <w:rFonts w:ascii="Arial" w:hAnsi="Arial" w:cs="Arial"/>
        </w:rPr>
        <w:t>RN</w:t>
      </w:r>
      <w:r w:rsidRPr="005502A6">
        <w:rPr>
          <w:rFonts w:ascii="Arial" w:hAnsi="Arial" w:cs="Arial"/>
          <w:spacing w:val="-9"/>
        </w:rPr>
        <w:t xml:space="preserve"> </w:t>
      </w:r>
      <w:r w:rsidRPr="005502A6">
        <w:rPr>
          <w:rFonts w:ascii="Arial" w:hAnsi="Arial" w:cs="Arial"/>
        </w:rPr>
        <w:t>prescriber</w:t>
      </w:r>
      <w:r w:rsidRPr="005502A6">
        <w:rPr>
          <w:rFonts w:ascii="Arial" w:hAnsi="Arial" w:cs="Arial"/>
          <w:spacing w:val="-8"/>
        </w:rPr>
        <w:t xml:space="preserve"> </w:t>
      </w:r>
      <w:r w:rsidRPr="005502A6">
        <w:rPr>
          <w:rFonts w:ascii="Arial" w:hAnsi="Arial" w:cs="Arial"/>
        </w:rPr>
        <w:t>when</w:t>
      </w:r>
      <w:r w:rsidRPr="005502A6">
        <w:rPr>
          <w:rFonts w:ascii="Arial" w:hAnsi="Arial" w:cs="Arial"/>
          <w:spacing w:val="-7"/>
        </w:rPr>
        <w:t xml:space="preserve"> </w:t>
      </w:r>
      <w:r w:rsidRPr="005502A6">
        <w:rPr>
          <w:rFonts w:ascii="Arial" w:hAnsi="Arial" w:cs="Arial"/>
          <w:spacing w:val="-5"/>
        </w:rPr>
        <w:t>the</w:t>
      </w:r>
      <w:r w:rsidR="005502A6">
        <w:rPr>
          <w:rFonts w:ascii="Arial" w:hAnsi="Arial" w:cs="Arial"/>
          <w:spacing w:val="-5"/>
        </w:rPr>
        <w:t xml:space="preserve"> </w:t>
      </w:r>
      <w:r w:rsidRPr="005502A6">
        <w:rPr>
          <w:rFonts w:ascii="Arial" w:hAnsi="Arial" w:cs="Arial"/>
        </w:rPr>
        <w:t>person(s)</w:t>
      </w:r>
      <w:r w:rsidRPr="005502A6">
        <w:rPr>
          <w:rFonts w:ascii="Arial" w:hAnsi="Arial" w:cs="Arial"/>
          <w:spacing w:val="-6"/>
        </w:rPr>
        <w:t xml:space="preserve"> </w:t>
      </w:r>
      <w:r w:rsidRPr="005502A6">
        <w:rPr>
          <w:rFonts w:ascii="Arial" w:hAnsi="Arial" w:cs="Arial"/>
        </w:rPr>
        <w:t>being</w:t>
      </w:r>
      <w:r w:rsidRPr="005502A6">
        <w:rPr>
          <w:rFonts w:ascii="Arial" w:hAnsi="Arial" w:cs="Arial"/>
          <w:spacing w:val="-6"/>
        </w:rPr>
        <w:t xml:space="preserve"> </w:t>
      </w:r>
      <w:r w:rsidRPr="005502A6">
        <w:rPr>
          <w:rFonts w:ascii="Arial" w:hAnsi="Arial" w:cs="Arial"/>
        </w:rPr>
        <w:t>cared</w:t>
      </w:r>
      <w:r w:rsidRPr="005502A6">
        <w:rPr>
          <w:rFonts w:ascii="Arial" w:hAnsi="Arial" w:cs="Arial"/>
          <w:spacing w:val="-6"/>
        </w:rPr>
        <w:t xml:space="preserve"> </w:t>
      </w:r>
      <w:r w:rsidRPr="005502A6">
        <w:rPr>
          <w:rFonts w:ascii="Arial" w:hAnsi="Arial" w:cs="Arial"/>
        </w:rPr>
        <w:t>for</w:t>
      </w:r>
      <w:r w:rsidRPr="005502A6">
        <w:rPr>
          <w:rFonts w:ascii="Arial" w:hAnsi="Arial" w:cs="Arial"/>
          <w:spacing w:val="-4"/>
        </w:rPr>
        <w:t xml:space="preserve"> </w:t>
      </w:r>
      <w:r w:rsidRPr="005502A6">
        <w:rPr>
          <w:rFonts w:ascii="Arial" w:hAnsi="Arial" w:cs="Arial"/>
        </w:rPr>
        <w:t>are</w:t>
      </w:r>
      <w:r w:rsidRPr="005502A6">
        <w:rPr>
          <w:rFonts w:ascii="Arial" w:hAnsi="Arial" w:cs="Arial"/>
          <w:spacing w:val="-6"/>
        </w:rPr>
        <w:t xml:space="preserve"> </w:t>
      </w:r>
      <w:r w:rsidRPr="005502A6">
        <w:rPr>
          <w:rFonts w:ascii="Arial" w:hAnsi="Arial" w:cs="Arial"/>
        </w:rPr>
        <w:t>outside</w:t>
      </w:r>
      <w:r w:rsidRPr="005502A6">
        <w:rPr>
          <w:rFonts w:ascii="Arial" w:hAnsi="Arial" w:cs="Arial"/>
          <w:spacing w:val="-7"/>
        </w:rPr>
        <w:t xml:space="preserve"> </w:t>
      </w:r>
      <w:r w:rsidRPr="005502A6">
        <w:rPr>
          <w:rFonts w:ascii="Arial" w:hAnsi="Arial" w:cs="Arial"/>
        </w:rPr>
        <w:t>the</w:t>
      </w:r>
      <w:r w:rsidRPr="005502A6">
        <w:rPr>
          <w:rFonts w:ascii="Arial" w:hAnsi="Arial" w:cs="Arial"/>
          <w:spacing w:val="-6"/>
        </w:rPr>
        <w:t xml:space="preserve"> </w:t>
      </w:r>
      <w:r w:rsidRPr="005502A6">
        <w:rPr>
          <w:rFonts w:ascii="Arial" w:hAnsi="Arial" w:cs="Arial"/>
        </w:rPr>
        <w:t>RN’s</w:t>
      </w:r>
      <w:r w:rsidRPr="005502A6">
        <w:rPr>
          <w:rFonts w:ascii="Arial" w:hAnsi="Arial" w:cs="Arial"/>
          <w:spacing w:val="-5"/>
        </w:rPr>
        <w:t xml:space="preserve"> </w:t>
      </w:r>
      <w:r w:rsidRPr="005502A6">
        <w:rPr>
          <w:rFonts w:ascii="Arial" w:hAnsi="Arial" w:cs="Arial"/>
        </w:rPr>
        <w:t>scope</w:t>
      </w:r>
      <w:r w:rsidRPr="005502A6">
        <w:rPr>
          <w:rFonts w:ascii="Arial" w:hAnsi="Arial" w:cs="Arial"/>
          <w:spacing w:val="-5"/>
        </w:rPr>
        <w:t xml:space="preserve"> </w:t>
      </w:r>
      <w:r w:rsidRPr="005502A6">
        <w:rPr>
          <w:rFonts w:ascii="Arial" w:hAnsi="Arial" w:cs="Arial"/>
        </w:rPr>
        <w:t>of</w:t>
      </w:r>
      <w:r w:rsidRPr="005502A6">
        <w:rPr>
          <w:rFonts w:ascii="Arial" w:hAnsi="Arial" w:cs="Arial"/>
          <w:spacing w:val="-6"/>
        </w:rPr>
        <w:t xml:space="preserve"> </w:t>
      </w:r>
      <w:r w:rsidRPr="005502A6">
        <w:rPr>
          <w:rFonts w:ascii="Arial" w:hAnsi="Arial" w:cs="Arial"/>
          <w:spacing w:val="-2"/>
        </w:rPr>
        <w:t>practice</w:t>
      </w:r>
    </w:p>
    <w:p w14:paraId="43D74543" w14:textId="77777777" w:rsidR="00F05C60" w:rsidRPr="005502A6" w:rsidRDefault="00F05C60" w:rsidP="00F05C60">
      <w:pPr>
        <w:pStyle w:val="ListParagraph"/>
        <w:widowControl w:val="0"/>
        <w:numPr>
          <w:ilvl w:val="0"/>
          <w:numId w:val="59"/>
        </w:numPr>
        <w:tabs>
          <w:tab w:val="left" w:pos="480"/>
        </w:tabs>
        <w:autoSpaceDE w:val="0"/>
        <w:autoSpaceDN w:val="0"/>
        <w:spacing w:before="1" w:after="0" w:line="245" w:lineRule="exact"/>
        <w:ind w:left="480" w:hanging="360"/>
        <w:contextualSpacing w:val="0"/>
        <w:rPr>
          <w:rFonts w:ascii="Arial" w:hAnsi="Arial" w:cs="Arial"/>
        </w:rPr>
      </w:pPr>
      <w:r w:rsidRPr="005502A6">
        <w:rPr>
          <w:rFonts w:ascii="Arial" w:hAnsi="Arial" w:cs="Arial"/>
        </w:rPr>
        <w:t>participating</w:t>
      </w:r>
      <w:r w:rsidRPr="005502A6">
        <w:rPr>
          <w:rFonts w:ascii="Arial" w:hAnsi="Arial" w:cs="Arial"/>
          <w:spacing w:val="-7"/>
        </w:rPr>
        <w:t xml:space="preserve"> </w:t>
      </w:r>
      <w:r w:rsidRPr="005502A6">
        <w:rPr>
          <w:rFonts w:ascii="Arial" w:hAnsi="Arial" w:cs="Arial"/>
        </w:rPr>
        <w:t>in</w:t>
      </w:r>
      <w:r w:rsidRPr="005502A6">
        <w:rPr>
          <w:rFonts w:ascii="Arial" w:hAnsi="Arial" w:cs="Arial"/>
          <w:spacing w:val="-7"/>
        </w:rPr>
        <w:t xml:space="preserve"> </w:t>
      </w:r>
      <w:r w:rsidRPr="005502A6">
        <w:rPr>
          <w:rFonts w:ascii="Arial" w:hAnsi="Arial" w:cs="Arial"/>
        </w:rPr>
        <w:t>regular</w:t>
      </w:r>
      <w:r w:rsidRPr="005502A6">
        <w:rPr>
          <w:rFonts w:ascii="Arial" w:hAnsi="Arial" w:cs="Arial"/>
          <w:spacing w:val="-8"/>
        </w:rPr>
        <w:t xml:space="preserve"> </w:t>
      </w:r>
      <w:r w:rsidRPr="005502A6">
        <w:rPr>
          <w:rFonts w:ascii="Arial" w:hAnsi="Arial" w:cs="Arial"/>
        </w:rPr>
        <w:t>reviews</w:t>
      </w:r>
      <w:r w:rsidRPr="005502A6">
        <w:rPr>
          <w:rFonts w:ascii="Arial" w:hAnsi="Arial" w:cs="Arial"/>
          <w:spacing w:val="-7"/>
        </w:rPr>
        <w:t xml:space="preserve"> </w:t>
      </w:r>
      <w:r w:rsidRPr="005502A6">
        <w:rPr>
          <w:rFonts w:ascii="Arial" w:hAnsi="Arial" w:cs="Arial"/>
        </w:rPr>
        <w:t>(at</w:t>
      </w:r>
      <w:r w:rsidRPr="005502A6">
        <w:rPr>
          <w:rFonts w:ascii="Arial" w:hAnsi="Arial" w:cs="Arial"/>
          <w:spacing w:val="-9"/>
        </w:rPr>
        <w:t xml:space="preserve"> </w:t>
      </w:r>
      <w:r w:rsidRPr="005502A6">
        <w:rPr>
          <w:rFonts w:ascii="Arial" w:hAnsi="Arial" w:cs="Arial"/>
        </w:rPr>
        <w:t>least</w:t>
      </w:r>
      <w:r w:rsidRPr="005502A6">
        <w:rPr>
          <w:rFonts w:ascii="Arial" w:hAnsi="Arial" w:cs="Arial"/>
          <w:spacing w:val="-8"/>
        </w:rPr>
        <w:t xml:space="preserve"> </w:t>
      </w:r>
      <w:r w:rsidRPr="005502A6">
        <w:rPr>
          <w:rFonts w:ascii="Arial" w:hAnsi="Arial" w:cs="Arial"/>
        </w:rPr>
        <w:t>annually)</w:t>
      </w:r>
      <w:r w:rsidRPr="005502A6">
        <w:rPr>
          <w:rFonts w:ascii="Arial" w:hAnsi="Arial" w:cs="Arial"/>
          <w:spacing w:val="-7"/>
        </w:rPr>
        <w:t xml:space="preserve"> </w:t>
      </w:r>
      <w:r w:rsidRPr="005502A6">
        <w:rPr>
          <w:rFonts w:ascii="Arial" w:hAnsi="Arial" w:cs="Arial"/>
        </w:rPr>
        <w:t>of</w:t>
      </w:r>
      <w:r w:rsidRPr="005502A6">
        <w:rPr>
          <w:rFonts w:ascii="Arial" w:hAnsi="Arial" w:cs="Arial"/>
          <w:spacing w:val="-9"/>
        </w:rPr>
        <w:t xml:space="preserve"> </w:t>
      </w:r>
      <w:r w:rsidRPr="005502A6">
        <w:rPr>
          <w:rFonts w:ascii="Arial" w:hAnsi="Arial" w:cs="Arial"/>
        </w:rPr>
        <w:t>the</w:t>
      </w:r>
      <w:r w:rsidRPr="005502A6">
        <w:rPr>
          <w:rFonts w:ascii="Arial" w:hAnsi="Arial" w:cs="Arial"/>
          <w:spacing w:val="-8"/>
        </w:rPr>
        <w:t xml:space="preserve"> </w:t>
      </w:r>
      <w:r w:rsidRPr="005502A6">
        <w:rPr>
          <w:rFonts w:ascii="Arial" w:hAnsi="Arial" w:cs="Arial"/>
        </w:rPr>
        <w:t>prescribing</w:t>
      </w:r>
      <w:r w:rsidRPr="005502A6">
        <w:rPr>
          <w:rFonts w:ascii="Arial" w:hAnsi="Arial" w:cs="Arial"/>
          <w:spacing w:val="-8"/>
        </w:rPr>
        <w:t xml:space="preserve"> </w:t>
      </w:r>
      <w:r w:rsidRPr="005502A6">
        <w:rPr>
          <w:rFonts w:ascii="Arial" w:hAnsi="Arial" w:cs="Arial"/>
        </w:rPr>
        <w:t>agreement,</w:t>
      </w:r>
      <w:r w:rsidRPr="005502A6">
        <w:rPr>
          <w:rFonts w:ascii="Arial" w:hAnsi="Arial" w:cs="Arial"/>
          <w:spacing w:val="-8"/>
        </w:rPr>
        <w:t xml:space="preserve"> </w:t>
      </w:r>
      <w:r w:rsidRPr="005502A6">
        <w:rPr>
          <w:rFonts w:ascii="Arial" w:hAnsi="Arial" w:cs="Arial"/>
          <w:spacing w:val="-5"/>
        </w:rPr>
        <w:t>and</w:t>
      </w:r>
    </w:p>
    <w:p w14:paraId="3488EE5D" w14:textId="77777777" w:rsidR="00F05C60" w:rsidRPr="005502A6" w:rsidRDefault="00F05C60" w:rsidP="00F05C60">
      <w:pPr>
        <w:pStyle w:val="ListParagraph"/>
        <w:widowControl w:val="0"/>
        <w:numPr>
          <w:ilvl w:val="0"/>
          <w:numId w:val="59"/>
        </w:numPr>
        <w:tabs>
          <w:tab w:val="left" w:pos="480"/>
        </w:tabs>
        <w:autoSpaceDE w:val="0"/>
        <w:autoSpaceDN w:val="0"/>
        <w:spacing w:after="0" w:line="240" w:lineRule="auto"/>
        <w:ind w:left="480" w:hanging="360"/>
        <w:contextualSpacing w:val="0"/>
        <w:rPr>
          <w:rFonts w:ascii="Arial" w:hAnsi="Arial" w:cs="Arial"/>
        </w:rPr>
      </w:pPr>
      <w:r w:rsidRPr="005502A6">
        <w:rPr>
          <w:rFonts w:ascii="Arial" w:hAnsi="Arial" w:cs="Arial"/>
        </w:rPr>
        <w:t>participating</w:t>
      </w:r>
      <w:r w:rsidRPr="005502A6">
        <w:rPr>
          <w:rFonts w:ascii="Arial" w:hAnsi="Arial" w:cs="Arial"/>
          <w:spacing w:val="-7"/>
        </w:rPr>
        <w:t xml:space="preserve"> </w:t>
      </w:r>
      <w:r w:rsidRPr="005502A6">
        <w:rPr>
          <w:rFonts w:ascii="Arial" w:hAnsi="Arial" w:cs="Arial"/>
        </w:rPr>
        <w:t>in</w:t>
      </w:r>
      <w:r w:rsidRPr="005502A6">
        <w:rPr>
          <w:rFonts w:ascii="Arial" w:hAnsi="Arial" w:cs="Arial"/>
          <w:spacing w:val="-6"/>
        </w:rPr>
        <w:t xml:space="preserve"> </w:t>
      </w:r>
      <w:r w:rsidRPr="005502A6">
        <w:rPr>
          <w:rFonts w:ascii="Arial" w:hAnsi="Arial" w:cs="Arial"/>
        </w:rPr>
        <w:t>monitoring</w:t>
      </w:r>
      <w:r w:rsidRPr="005502A6">
        <w:rPr>
          <w:rFonts w:ascii="Arial" w:hAnsi="Arial" w:cs="Arial"/>
          <w:spacing w:val="-8"/>
        </w:rPr>
        <w:t xml:space="preserve"> </w:t>
      </w:r>
      <w:r w:rsidRPr="005502A6">
        <w:rPr>
          <w:rFonts w:ascii="Arial" w:hAnsi="Arial" w:cs="Arial"/>
        </w:rPr>
        <w:t>and</w:t>
      </w:r>
      <w:r w:rsidRPr="005502A6">
        <w:rPr>
          <w:rFonts w:ascii="Arial" w:hAnsi="Arial" w:cs="Arial"/>
          <w:spacing w:val="-9"/>
        </w:rPr>
        <w:t xml:space="preserve"> </w:t>
      </w:r>
      <w:r w:rsidRPr="005502A6">
        <w:rPr>
          <w:rFonts w:ascii="Arial" w:hAnsi="Arial" w:cs="Arial"/>
        </w:rPr>
        <w:t>audit</w:t>
      </w:r>
      <w:r w:rsidRPr="005502A6">
        <w:rPr>
          <w:rFonts w:ascii="Arial" w:hAnsi="Arial" w:cs="Arial"/>
          <w:spacing w:val="-8"/>
        </w:rPr>
        <w:t xml:space="preserve"> </w:t>
      </w:r>
      <w:r w:rsidRPr="005502A6">
        <w:rPr>
          <w:rFonts w:ascii="Arial" w:hAnsi="Arial" w:cs="Arial"/>
        </w:rPr>
        <w:t>related</w:t>
      </w:r>
      <w:r w:rsidRPr="005502A6">
        <w:rPr>
          <w:rFonts w:ascii="Arial" w:hAnsi="Arial" w:cs="Arial"/>
          <w:spacing w:val="-8"/>
        </w:rPr>
        <w:t xml:space="preserve"> </w:t>
      </w:r>
      <w:r w:rsidRPr="005502A6">
        <w:rPr>
          <w:rFonts w:ascii="Arial" w:hAnsi="Arial" w:cs="Arial"/>
        </w:rPr>
        <w:t>to</w:t>
      </w:r>
      <w:r w:rsidRPr="005502A6">
        <w:rPr>
          <w:rFonts w:ascii="Arial" w:hAnsi="Arial" w:cs="Arial"/>
          <w:spacing w:val="-7"/>
        </w:rPr>
        <w:t xml:space="preserve"> </w:t>
      </w:r>
      <w:r w:rsidRPr="005502A6">
        <w:rPr>
          <w:rFonts w:ascii="Arial" w:hAnsi="Arial" w:cs="Arial"/>
        </w:rPr>
        <w:t>the</w:t>
      </w:r>
      <w:r w:rsidRPr="005502A6">
        <w:rPr>
          <w:rFonts w:ascii="Arial" w:hAnsi="Arial" w:cs="Arial"/>
          <w:spacing w:val="-7"/>
        </w:rPr>
        <w:t xml:space="preserve"> </w:t>
      </w:r>
      <w:r w:rsidRPr="005502A6">
        <w:rPr>
          <w:rFonts w:ascii="Arial" w:hAnsi="Arial" w:cs="Arial"/>
        </w:rPr>
        <w:t>designated</w:t>
      </w:r>
      <w:r w:rsidRPr="005502A6">
        <w:rPr>
          <w:rFonts w:ascii="Arial" w:hAnsi="Arial" w:cs="Arial"/>
          <w:spacing w:val="-9"/>
        </w:rPr>
        <w:t xml:space="preserve"> </w:t>
      </w:r>
      <w:r w:rsidRPr="005502A6">
        <w:rPr>
          <w:rFonts w:ascii="Arial" w:hAnsi="Arial" w:cs="Arial"/>
        </w:rPr>
        <w:t>RN</w:t>
      </w:r>
      <w:r w:rsidRPr="005502A6">
        <w:rPr>
          <w:rFonts w:ascii="Arial" w:hAnsi="Arial" w:cs="Arial"/>
          <w:spacing w:val="-5"/>
        </w:rPr>
        <w:t xml:space="preserve"> </w:t>
      </w:r>
      <w:r w:rsidRPr="005502A6">
        <w:rPr>
          <w:rFonts w:ascii="Arial" w:hAnsi="Arial" w:cs="Arial"/>
          <w:spacing w:val="-2"/>
        </w:rPr>
        <w:t>prescriber.</w:t>
      </w:r>
    </w:p>
    <w:p w14:paraId="042D2328" w14:textId="77777777" w:rsidR="00F05C60" w:rsidRPr="000D1640" w:rsidRDefault="00F05C60" w:rsidP="000D1640">
      <w:pPr>
        <w:pStyle w:val="Heading1"/>
        <w:keepNext w:val="0"/>
        <w:widowControl w:val="0"/>
        <w:autoSpaceDE w:val="0"/>
        <w:autoSpaceDN w:val="0"/>
        <w:spacing w:before="360" w:after="0"/>
        <w:ind w:left="119" w:hanging="119"/>
        <w:rPr>
          <w:rFonts w:ascii="Arial" w:eastAsia="Arial" w:hAnsi="Arial" w:cs="Arial"/>
          <w:b w:val="0"/>
          <w:bCs w:val="0"/>
          <w:color w:val="009CDE"/>
          <w:kern w:val="0"/>
          <w:lang w:val="en-US"/>
        </w:rPr>
      </w:pPr>
      <w:r w:rsidRPr="000D1640">
        <w:rPr>
          <w:rFonts w:ascii="Arial" w:eastAsia="Arial" w:hAnsi="Arial" w:cs="Arial"/>
          <w:b w:val="0"/>
          <w:bCs w:val="0"/>
          <w:color w:val="009CDE"/>
          <w:kern w:val="0"/>
          <w:lang w:val="en-US"/>
        </w:rPr>
        <w:t>Other requirements</w:t>
      </w:r>
    </w:p>
    <w:p w14:paraId="52AA5FF1" w14:textId="77777777" w:rsidR="00F05C60" w:rsidRDefault="00F05C60" w:rsidP="00F05C60">
      <w:pPr>
        <w:pStyle w:val="BodyText"/>
        <w:spacing w:before="239"/>
      </w:pPr>
      <w:r>
        <w:rPr>
          <w:color w:val="0067B8"/>
        </w:rPr>
        <w:t>Changes</w:t>
      </w:r>
      <w:r>
        <w:rPr>
          <w:color w:val="0067B8"/>
          <w:spacing w:val="-7"/>
        </w:rPr>
        <w:t xml:space="preserve"> </w:t>
      </w:r>
      <w:r>
        <w:rPr>
          <w:color w:val="0067B8"/>
        </w:rPr>
        <w:t>to</w:t>
      </w:r>
      <w:r>
        <w:rPr>
          <w:color w:val="0067B8"/>
          <w:spacing w:val="-9"/>
        </w:rPr>
        <w:t xml:space="preserve"> </w:t>
      </w:r>
      <w:r>
        <w:rPr>
          <w:color w:val="0067B8"/>
        </w:rPr>
        <w:t>scope</w:t>
      </w:r>
      <w:r>
        <w:rPr>
          <w:color w:val="0067B8"/>
          <w:spacing w:val="-7"/>
        </w:rPr>
        <w:t xml:space="preserve"> </w:t>
      </w:r>
      <w:r>
        <w:rPr>
          <w:color w:val="0067B8"/>
        </w:rPr>
        <w:t>of</w:t>
      </w:r>
      <w:r>
        <w:rPr>
          <w:color w:val="0067B8"/>
          <w:spacing w:val="-6"/>
        </w:rPr>
        <w:t xml:space="preserve"> </w:t>
      </w:r>
      <w:r>
        <w:rPr>
          <w:color w:val="0067B8"/>
        </w:rPr>
        <w:t>prescribing</w:t>
      </w:r>
      <w:r>
        <w:rPr>
          <w:color w:val="0067B8"/>
          <w:spacing w:val="-7"/>
        </w:rPr>
        <w:t xml:space="preserve"> </w:t>
      </w:r>
      <w:r>
        <w:rPr>
          <w:color w:val="0067B8"/>
          <w:spacing w:val="-2"/>
        </w:rPr>
        <w:t>practice</w:t>
      </w:r>
    </w:p>
    <w:p w14:paraId="6D2F730B" w14:textId="77777777" w:rsidR="00F05C60" w:rsidRDefault="00F05C60" w:rsidP="00F05C60">
      <w:pPr>
        <w:pStyle w:val="BodyText"/>
        <w:ind w:right="776"/>
      </w:pPr>
      <w:r>
        <w:t>The scope of practice for a designated RN prescriber may change over time. If the designated RN prescriber</w:t>
      </w:r>
      <w:r>
        <w:rPr>
          <w:spacing w:val="-2"/>
        </w:rPr>
        <w:t xml:space="preserve"> </w:t>
      </w:r>
      <w:r>
        <w:t>decides</w:t>
      </w:r>
      <w:r>
        <w:rPr>
          <w:spacing w:val="-3"/>
        </w:rPr>
        <w:t xml:space="preserve"> </w:t>
      </w:r>
      <w:r>
        <w:t>to</w:t>
      </w:r>
      <w:r>
        <w:rPr>
          <w:spacing w:val="-4"/>
        </w:rPr>
        <w:t xml:space="preserve"> </w:t>
      </w:r>
      <w:r>
        <w:t>expand</w:t>
      </w:r>
      <w:r>
        <w:rPr>
          <w:spacing w:val="-5"/>
        </w:rPr>
        <w:t xml:space="preserve"> </w:t>
      </w:r>
      <w:r>
        <w:t>or</w:t>
      </w:r>
      <w:r>
        <w:rPr>
          <w:spacing w:val="-4"/>
        </w:rPr>
        <w:t xml:space="preserve"> </w:t>
      </w:r>
      <w:r>
        <w:t>change</w:t>
      </w:r>
      <w:r>
        <w:rPr>
          <w:spacing w:val="-4"/>
        </w:rPr>
        <w:t xml:space="preserve"> </w:t>
      </w:r>
      <w:r>
        <w:t>their</w:t>
      </w:r>
      <w:r>
        <w:rPr>
          <w:spacing w:val="-3"/>
        </w:rPr>
        <w:t xml:space="preserve"> </w:t>
      </w:r>
      <w:r>
        <w:t>scope</w:t>
      </w:r>
      <w:r>
        <w:rPr>
          <w:spacing w:val="-2"/>
        </w:rPr>
        <w:t xml:space="preserve"> </w:t>
      </w:r>
      <w:r>
        <w:t>of</w:t>
      </w:r>
      <w:r>
        <w:rPr>
          <w:spacing w:val="-2"/>
        </w:rPr>
        <w:t xml:space="preserve"> </w:t>
      </w:r>
      <w:r>
        <w:t>practice, the</w:t>
      </w:r>
      <w:r>
        <w:rPr>
          <w:spacing w:val="-4"/>
        </w:rPr>
        <w:t xml:space="preserve"> </w:t>
      </w:r>
      <w:r>
        <w:t>RN</w:t>
      </w:r>
      <w:r>
        <w:rPr>
          <w:spacing w:val="-4"/>
        </w:rPr>
        <w:t xml:space="preserve"> </w:t>
      </w:r>
      <w:r>
        <w:t>will</w:t>
      </w:r>
      <w:r>
        <w:rPr>
          <w:spacing w:val="-5"/>
        </w:rPr>
        <w:t xml:space="preserve"> </w:t>
      </w:r>
      <w:r>
        <w:t>need</w:t>
      </w:r>
      <w:r>
        <w:rPr>
          <w:spacing w:val="-5"/>
        </w:rPr>
        <w:t xml:space="preserve"> </w:t>
      </w:r>
      <w:r>
        <w:t>to</w:t>
      </w:r>
      <w:r>
        <w:rPr>
          <w:spacing w:val="-4"/>
        </w:rPr>
        <w:t xml:space="preserve"> </w:t>
      </w:r>
      <w:r>
        <w:t>complete</w:t>
      </w:r>
      <w:r>
        <w:rPr>
          <w:spacing w:val="-4"/>
        </w:rPr>
        <w:t xml:space="preserve"> </w:t>
      </w:r>
      <w:r>
        <w:t>further education requirements and/or skill development relevant to the new area of practice.</w:t>
      </w:r>
    </w:p>
    <w:p w14:paraId="505D6CAC" w14:textId="77777777" w:rsidR="00F05C60" w:rsidRDefault="00F05C60" w:rsidP="00F05C60">
      <w:pPr>
        <w:pStyle w:val="BodyText"/>
        <w:spacing w:before="201"/>
        <w:ind w:right="776"/>
      </w:pPr>
      <w:r>
        <w:t xml:space="preserve">Designated RN prescribers planning to change scope are required to use the NMBA’s </w:t>
      </w:r>
      <w:hyperlink r:id="rId72">
        <w:r>
          <w:rPr>
            <w:color w:val="0000FF"/>
            <w:u w:val="single" w:color="0000FF"/>
          </w:rPr>
          <w:t>National</w:t>
        </w:r>
      </w:hyperlink>
      <w:r>
        <w:rPr>
          <w:color w:val="0000FF"/>
        </w:rPr>
        <w:t xml:space="preserve"> </w:t>
      </w:r>
      <w:hyperlink r:id="rId73">
        <w:r>
          <w:rPr>
            <w:color w:val="0000FF"/>
            <w:u w:val="single" w:color="0000FF"/>
          </w:rPr>
          <w:t>framework</w:t>
        </w:r>
        <w:r>
          <w:rPr>
            <w:color w:val="0000FF"/>
            <w:spacing w:val="-3"/>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development</w:t>
        </w:r>
        <w:r>
          <w:rPr>
            <w:color w:val="0000FF"/>
            <w:spacing w:val="-3"/>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decision-making</w:t>
        </w:r>
        <w:r>
          <w:rPr>
            <w:color w:val="0000FF"/>
            <w:spacing w:val="-3"/>
            <w:u w:val="single" w:color="0000FF"/>
          </w:rPr>
          <w:t xml:space="preserve"> </w:t>
        </w:r>
        <w:r>
          <w:rPr>
            <w:color w:val="0000FF"/>
            <w:u w:val="single" w:color="0000FF"/>
          </w:rPr>
          <w:t>tools</w:t>
        </w:r>
        <w:r>
          <w:rPr>
            <w:color w:val="0000FF"/>
            <w:spacing w:val="-3"/>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nursing</w:t>
        </w:r>
        <w:r>
          <w:rPr>
            <w:color w:val="0000FF"/>
            <w:spacing w:val="-3"/>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midwifery</w:t>
        </w:r>
        <w:r>
          <w:rPr>
            <w:color w:val="0000FF"/>
            <w:spacing w:val="-3"/>
            <w:u w:val="single" w:color="0000FF"/>
          </w:rPr>
          <w:t xml:space="preserve"> </w:t>
        </w:r>
        <w:r>
          <w:rPr>
            <w:color w:val="0000FF"/>
            <w:u w:val="single" w:color="0000FF"/>
          </w:rPr>
          <w:t>practice</w:t>
        </w:r>
        <w:r>
          <w:t>.</w:t>
        </w:r>
      </w:hyperlink>
      <w:r>
        <w:rPr>
          <w:spacing w:val="-4"/>
        </w:rPr>
        <w:t xml:space="preserve"> </w:t>
      </w:r>
      <w:r>
        <w:t>This</w:t>
      </w:r>
      <w:r>
        <w:rPr>
          <w:spacing w:val="-3"/>
        </w:rPr>
        <w:t xml:space="preserve"> </w:t>
      </w:r>
      <w:r>
        <w:t xml:space="preserve">will ensure that designated RN prescribers are competent in their proposed expanded or new scope of </w:t>
      </w:r>
      <w:r>
        <w:rPr>
          <w:spacing w:val="-2"/>
        </w:rPr>
        <w:t>practice.</w:t>
      </w:r>
    </w:p>
    <w:p w14:paraId="2B1EF01B" w14:textId="77777777" w:rsidR="00F05C60" w:rsidRDefault="00F05C60" w:rsidP="00CE25EC">
      <w:pPr>
        <w:pStyle w:val="AHPRAbody"/>
      </w:pPr>
      <w:r>
        <w:t>It is the responsibility of the designated</w:t>
      </w:r>
      <w:r>
        <w:rPr>
          <w:spacing w:val="-1"/>
        </w:rPr>
        <w:t xml:space="preserve"> </w:t>
      </w:r>
      <w:r>
        <w:t>RN prescriber, and where employed, an employer, to ensure that,</w:t>
      </w:r>
      <w:r>
        <w:rPr>
          <w:spacing w:val="-4"/>
        </w:rPr>
        <w:t xml:space="preserve"> </w:t>
      </w:r>
      <w:r>
        <w:t>should</w:t>
      </w:r>
      <w:r>
        <w:rPr>
          <w:spacing w:val="-4"/>
        </w:rPr>
        <w:t xml:space="preserve"> </w:t>
      </w:r>
      <w:r>
        <w:t>a</w:t>
      </w:r>
      <w:r>
        <w:rPr>
          <w:spacing w:val="-2"/>
        </w:rPr>
        <w:t xml:space="preserve"> </w:t>
      </w:r>
      <w:r>
        <w:t>designated</w:t>
      </w:r>
      <w:r>
        <w:rPr>
          <w:spacing w:val="-2"/>
        </w:rPr>
        <w:t xml:space="preserve"> </w:t>
      </w:r>
      <w:r>
        <w:t>RN</w:t>
      </w:r>
      <w:r>
        <w:rPr>
          <w:spacing w:val="-4"/>
        </w:rPr>
        <w:t xml:space="preserve"> </w:t>
      </w:r>
      <w:r>
        <w:t>prescriber</w:t>
      </w:r>
      <w:r>
        <w:rPr>
          <w:spacing w:val="-1"/>
        </w:rPr>
        <w:t xml:space="preserve"> </w:t>
      </w:r>
      <w:r>
        <w:t>be</w:t>
      </w:r>
      <w:r>
        <w:rPr>
          <w:spacing w:val="-4"/>
        </w:rPr>
        <w:t xml:space="preserve"> </w:t>
      </w:r>
      <w:r>
        <w:t>required</w:t>
      </w:r>
      <w:r>
        <w:rPr>
          <w:spacing w:val="-4"/>
        </w:rPr>
        <w:t xml:space="preserve"> </w:t>
      </w:r>
      <w:r>
        <w:t>to</w:t>
      </w:r>
      <w:r>
        <w:rPr>
          <w:spacing w:val="-2"/>
        </w:rPr>
        <w:t xml:space="preserve"> </w:t>
      </w:r>
      <w:r>
        <w:t>expand</w:t>
      </w:r>
      <w:r>
        <w:rPr>
          <w:spacing w:val="-2"/>
        </w:rPr>
        <w:t xml:space="preserve"> </w:t>
      </w:r>
      <w:r>
        <w:t>or</w:t>
      </w:r>
      <w:r>
        <w:rPr>
          <w:spacing w:val="-1"/>
        </w:rPr>
        <w:t xml:space="preserve"> </w:t>
      </w:r>
      <w:r>
        <w:t>change</w:t>
      </w:r>
      <w:r>
        <w:rPr>
          <w:spacing w:val="-2"/>
        </w:rPr>
        <w:t xml:space="preserve"> </w:t>
      </w:r>
      <w:r>
        <w:t>their</w:t>
      </w:r>
      <w:r>
        <w:rPr>
          <w:spacing w:val="-3"/>
        </w:rPr>
        <w:t xml:space="preserve"> </w:t>
      </w:r>
      <w:r>
        <w:t>scope</w:t>
      </w:r>
      <w:r>
        <w:rPr>
          <w:spacing w:val="-4"/>
        </w:rPr>
        <w:t xml:space="preserve"> </w:t>
      </w:r>
      <w:r>
        <w:t>of</w:t>
      </w:r>
      <w:r>
        <w:rPr>
          <w:spacing w:val="-2"/>
        </w:rPr>
        <w:t xml:space="preserve"> </w:t>
      </w:r>
      <w:r>
        <w:t>practice,</w:t>
      </w:r>
      <w:r>
        <w:rPr>
          <w:spacing w:val="-2"/>
        </w:rPr>
        <w:t xml:space="preserve"> </w:t>
      </w:r>
      <w:r>
        <w:t>that they have completed the relevant education and skill development.</w:t>
      </w:r>
    </w:p>
    <w:p w14:paraId="5CEE0BAE" w14:textId="77777777" w:rsidR="00F05C60" w:rsidRDefault="00F05C60" w:rsidP="00F05C60">
      <w:pPr>
        <w:pStyle w:val="BodyText"/>
        <w:spacing w:before="201"/>
      </w:pPr>
      <w:r>
        <w:rPr>
          <w:color w:val="0067B8"/>
          <w:spacing w:val="-2"/>
        </w:rPr>
        <w:t>Maintaining</w:t>
      </w:r>
      <w:r>
        <w:rPr>
          <w:color w:val="0067B8"/>
          <w:spacing w:val="8"/>
        </w:rPr>
        <w:t xml:space="preserve"> </w:t>
      </w:r>
      <w:r>
        <w:rPr>
          <w:color w:val="0067B8"/>
          <w:spacing w:val="-2"/>
        </w:rPr>
        <w:t>prescribing</w:t>
      </w:r>
      <w:r>
        <w:rPr>
          <w:color w:val="0067B8"/>
          <w:spacing w:val="5"/>
        </w:rPr>
        <w:t xml:space="preserve"> </w:t>
      </w:r>
      <w:r>
        <w:rPr>
          <w:color w:val="0067B8"/>
          <w:spacing w:val="-2"/>
        </w:rPr>
        <w:t>competence</w:t>
      </w:r>
    </w:p>
    <w:p w14:paraId="3343042E" w14:textId="77777777" w:rsidR="00F05C60" w:rsidRPr="00164256" w:rsidRDefault="00F05C60" w:rsidP="00CE25EC">
      <w:pPr>
        <w:pStyle w:val="AHPRAbody"/>
        <w:ind w:right="808"/>
        <w:rPr>
          <w:color w:val="000000"/>
        </w:rPr>
      </w:pPr>
      <w:r w:rsidRPr="00164256">
        <w:t xml:space="preserve">The NMBA’s </w:t>
      </w:r>
      <w:hyperlink r:id="rId74" w:history="1">
        <w:r w:rsidRPr="00164256">
          <w:rPr>
            <w:rStyle w:val="Hyperlink"/>
            <w:iCs/>
            <w:szCs w:val="20"/>
          </w:rPr>
          <w:t>Recency of practice registration standard</w:t>
        </w:r>
      </w:hyperlink>
      <w:r w:rsidRPr="00164256">
        <w:rPr>
          <w:i/>
        </w:rPr>
        <w:t xml:space="preserve"> </w:t>
      </w:r>
      <w:r w:rsidRPr="00164256">
        <w:t xml:space="preserve">and </w:t>
      </w:r>
      <w:hyperlink r:id="rId75" w:history="1">
        <w:r w:rsidRPr="00164256">
          <w:rPr>
            <w:rStyle w:val="Hyperlink"/>
            <w:iCs/>
            <w:szCs w:val="20"/>
          </w:rPr>
          <w:t>Continuing professional development registration standard</w:t>
        </w:r>
      </w:hyperlink>
      <w:r w:rsidRPr="00164256">
        <w:rPr>
          <w:i/>
        </w:rPr>
        <w:t xml:space="preserve"> </w:t>
      </w:r>
      <w:r w:rsidRPr="00164256">
        <w:t>apply to the designated RN prescriber. This means that designated RN prescribers</w:t>
      </w:r>
      <w:r w:rsidRPr="00164256">
        <w:rPr>
          <w:spacing w:val="-3"/>
        </w:rPr>
        <w:t xml:space="preserve"> </w:t>
      </w:r>
      <w:r w:rsidRPr="00164256">
        <w:t>are</w:t>
      </w:r>
      <w:r w:rsidRPr="00164256">
        <w:rPr>
          <w:spacing w:val="-4"/>
        </w:rPr>
        <w:t xml:space="preserve"> </w:t>
      </w:r>
      <w:r w:rsidRPr="00CE25EC">
        <w:t>required to demonstrate recency of practice relevant to the endorsement for scheduled medicines when they renew their annual registration and complete an additional ten (10) hours of continuing professional development related to prescribing and the quality use of medicines annually.</w:t>
      </w:r>
      <w:r w:rsidRPr="00164256">
        <w:rPr>
          <w:color w:val="000000"/>
        </w:rPr>
        <w:br w:type="page"/>
      </w:r>
    </w:p>
    <w:p w14:paraId="7D5F2520" w14:textId="6F9FC176" w:rsidR="00F05C60" w:rsidRDefault="00F05C60" w:rsidP="00CE25EC">
      <w:pPr>
        <w:pStyle w:val="AHPRAbody"/>
        <w:ind w:right="949"/>
      </w:pPr>
      <w:r w:rsidRPr="009A06C2">
        <w:lastRenderedPageBreak/>
        <w:t xml:space="preserve">Registered nurse prescribers who aren’t working directly for an organisation might find it helpful to take part in interactive professional development. These activities can help them share and learn </w:t>
      </w:r>
      <w:r w:rsidR="005502A6">
        <w:t>f</w:t>
      </w:r>
      <w:r w:rsidRPr="009A06C2">
        <w:t>rom others, access useful resources, get support and feedback from peers, and receive advice to help them grow and improve in their practice.</w:t>
      </w:r>
      <w:bookmarkStart w:id="250" w:name="_bookmark3"/>
      <w:bookmarkEnd w:id="250"/>
    </w:p>
    <w:p w14:paraId="462030FD" w14:textId="77777777" w:rsidR="00F05C60" w:rsidRPr="00F405BC" w:rsidRDefault="00F05C60" w:rsidP="00F05C60">
      <w:pPr>
        <w:pStyle w:val="BodyText"/>
        <w:spacing w:before="201"/>
        <w:rPr>
          <w:color w:val="0067B8"/>
          <w:spacing w:val="-2"/>
        </w:rPr>
      </w:pPr>
      <w:r w:rsidRPr="00F405BC">
        <w:rPr>
          <w:color w:val="0067B8"/>
          <w:spacing w:val="-2"/>
        </w:rPr>
        <w:t xml:space="preserve">Professional indemnity </w:t>
      </w:r>
      <w:r>
        <w:rPr>
          <w:color w:val="0067B8"/>
          <w:spacing w:val="-2"/>
        </w:rPr>
        <w:t>insurance</w:t>
      </w:r>
    </w:p>
    <w:p w14:paraId="5C043732" w14:textId="77777777" w:rsidR="00F05C60" w:rsidRDefault="00F05C60" w:rsidP="00F05C60">
      <w:pPr>
        <w:pStyle w:val="BodyText"/>
        <w:ind w:right="776"/>
      </w:pPr>
      <w:r>
        <w:t>The designated RN prescriber and authorised health practitioner must comply with the requirements of</w:t>
      </w:r>
      <w:r>
        <w:rPr>
          <w:spacing w:val="-4"/>
        </w:rPr>
        <w:t xml:space="preserve"> </w:t>
      </w:r>
      <w:r>
        <w:t>the</w:t>
      </w:r>
      <w:r>
        <w:rPr>
          <w:spacing w:val="-4"/>
        </w:rPr>
        <w:t xml:space="preserve"> </w:t>
      </w:r>
      <w:hyperlink r:id="rId76" w:history="1">
        <w:r w:rsidRPr="00D744D4">
          <w:rPr>
            <w:rStyle w:val="Hyperlink"/>
            <w:iCs/>
          </w:rPr>
          <w:t>Professional</w:t>
        </w:r>
        <w:r w:rsidRPr="00D744D4">
          <w:rPr>
            <w:rStyle w:val="Hyperlink"/>
            <w:iCs/>
            <w:spacing w:val="-3"/>
          </w:rPr>
          <w:t xml:space="preserve"> </w:t>
        </w:r>
        <w:r w:rsidRPr="00D744D4">
          <w:rPr>
            <w:rStyle w:val="Hyperlink"/>
            <w:iCs/>
          </w:rPr>
          <w:t>indemnity</w:t>
        </w:r>
        <w:r w:rsidRPr="00D744D4">
          <w:rPr>
            <w:rStyle w:val="Hyperlink"/>
            <w:iCs/>
            <w:spacing w:val="-3"/>
          </w:rPr>
          <w:t xml:space="preserve"> </w:t>
        </w:r>
        <w:r w:rsidRPr="00D744D4">
          <w:rPr>
            <w:rStyle w:val="Hyperlink"/>
            <w:iCs/>
          </w:rPr>
          <w:t>insurance</w:t>
        </w:r>
        <w:r w:rsidRPr="00D744D4">
          <w:rPr>
            <w:rStyle w:val="Hyperlink"/>
            <w:iCs/>
            <w:spacing w:val="-4"/>
          </w:rPr>
          <w:t xml:space="preserve"> arrangements </w:t>
        </w:r>
        <w:r w:rsidRPr="00D744D4">
          <w:rPr>
            <w:rStyle w:val="Hyperlink"/>
            <w:iCs/>
          </w:rPr>
          <w:t>registration</w:t>
        </w:r>
        <w:r w:rsidRPr="00D744D4">
          <w:rPr>
            <w:rStyle w:val="Hyperlink"/>
            <w:iCs/>
            <w:spacing w:val="-4"/>
          </w:rPr>
          <w:t xml:space="preserve"> </w:t>
        </w:r>
        <w:r w:rsidRPr="00D744D4">
          <w:rPr>
            <w:rStyle w:val="Hyperlink"/>
            <w:iCs/>
          </w:rPr>
          <w:t>standar</w:t>
        </w:r>
        <w:r w:rsidRPr="00770A58">
          <w:rPr>
            <w:rStyle w:val="Hyperlink"/>
            <w:iCs/>
          </w:rPr>
          <w:t>d</w:t>
        </w:r>
      </w:hyperlink>
      <w:r>
        <w:rPr>
          <w:spacing w:val="-4"/>
        </w:rPr>
        <w:t xml:space="preserve"> </w:t>
      </w:r>
      <w:r>
        <w:t>applicable</w:t>
      </w:r>
      <w:r>
        <w:rPr>
          <w:spacing w:val="-4"/>
        </w:rPr>
        <w:t xml:space="preserve"> </w:t>
      </w:r>
      <w:r>
        <w:t>to</w:t>
      </w:r>
      <w:r>
        <w:rPr>
          <w:spacing w:val="-4"/>
        </w:rPr>
        <w:t xml:space="preserve"> </w:t>
      </w:r>
      <w:r>
        <w:t>their</w:t>
      </w:r>
      <w:r>
        <w:rPr>
          <w:spacing w:val="-3"/>
        </w:rPr>
        <w:t xml:space="preserve"> </w:t>
      </w:r>
      <w:r>
        <w:t>profession.</w:t>
      </w:r>
      <w:r>
        <w:rPr>
          <w:spacing w:val="-2"/>
        </w:rPr>
        <w:t xml:space="preserve"> </w:t>
      </w:r>
      <w:r>
        <w:t xml:space="preserve">As such they are responsible for ensuring that their insurance arrangements cover all aspects of their </w:t>
      </w:r>
      <w:r>
        <w:rPr>
          <w:spacing w:val="-2"/>
        </w:rPr>
        <w:t>practice.</w:t>
      </w:r>
    </w:p>
    <w:p w14:paraId="28C65879" w14:textId="77777777" w:rsidR="00F05C60" w:rsidRDefault="00F05C60" w:rsidP="00F05C60">
      <w:pPr>
        <w:pStyle w:val="BodyText"/>
      </w:pPr>
      <w:r>
        <w:rPr>
          <w:color w:val="0067B8"/>
        </w:rPr>
        <w:t>Ongoing</w:t>
      </w:r>
      <w:r>
        <w:rPr>
          <w:color w:val="0067B8"/>
          <w:spacing w:val="-12"/>
        </w:rPr>
        <w:t xml:space="preserve"> </w:t>
      </w:r>
      <w:r>
        <w:rPr>
          <w:color w:val="0067B8"/>
          <w:spacing w:val="-2"/>
        </w:rPr>
        <w:t>endorsement</w:t>
      </w:r>
    </w:p>
    <w:p w14:paraId="5C3CF598" w14:textId="77777777" w:rsidR="00F05C60" w:rsidRPr="00CE25EC" w:rsidRDefault="00F05C60" w:rsidP="00CE25EC">
      <w:pPr>
        <w:pStyle w:val="AHPRAbody"/>
        <w:ind w:right="949"/>
      </w:pPr>
      <w:r w:rsidRPr="00CE25EC">
        <w:t>Ongoing endorsement for scheduled medicines as a designated RN prescriber is contingent upon the RN meeting the NMBA’s requirements for renewal of registration annually.</w:t>
      </w:r>
    </w:p>
    <w:p w14:paraId="29A6A7AE" w14:textId="77777777" w:rsidR="00F05C60" w:rsidRPr="00CE25EC" w:rsidRDefault="00F05C60" w:rsidP="00CE25EC">
      <w:pPr>
        <w:pStyle w:val="AHPRAbody"/>
        <w:ind w:right="949"/>
      </w:pPr>
      <w:r w:rsidRPr="00CE25EC">
        <w:t>Under section 109 of the National Law, designated RN prescribers are required to make an annual declaration that they have met the professional indemnity insurance and recency of practice requirements and completed the required continuing professional development.</w:t>
      </w:r>
    </w:p>
    <w:p w14:paraId="797B816B" w14:textId="77777777" w:rsidR="00F05C60" w:rsidRPr="00CE25EC" w:rsidRDefault="00F05C60" w:rsidP="00CE25EC">
      <w:pPr>
        <w:pStyle w:val="Heading1"/>
        <w:keepNext w:val="0"/>
        <w:widowControl w:val="0"/>
        <w:autoSpaceDE w:val="0"/>
        <w:autoSpaceDN w:val="0"/>
        <w:spacing w:before="360" w:after="0"/>
        <w:ind w:left="119" w:hanging="119"/>
        <w:rPr>
          <w:rFonts w:ascii="Arial" w:eastAsia="Arial" w:hAnsi="Arial" w:cs="Arial"/>
          <w:b w:val="0"/>
          <w:bCs w:val="0"/>
          <w:color w:val="009CDE"/>
          <w:kern w:val="0"/>
          <w:lang w:val="en-US"/>
        </w:rPr>
      </w:pPr>
      <w:r w:rsidRPr="00CE25EC">
        <w:rPr>
          <w:rFonts w:ascii="Arial" w:eastAsia="Arial" w:hAnsi="Arial" w:cs="Arial"/>
          <w:b w:val="0"/>
          <w:bCs w:val="0"/>
          <w:color w:val="009CDE"/>
          <w:kern w:val="0"/>
          <w:lang w:val="en-US"/>
        </w:rPr>
        <w:t>Safe and effective prescribing</w:t>
      </w:r>
    </w:p>
    <w:p w14:paraId="1220E374" w14:textId="77777777" w:rsidR="00F05C60" w:rsidRDefault="00F05C60" w:rsidP="00F05C60">
      <w:pPr>
        <w:pStyle w:val="BodyText"/>
        <w:spacing w:before="239"/>
      </w:pPr>
      <w:r>
        <w:rPr>
          <w:color w:val="007CC3"/>
        </w:rPr>
        <w:t>Quality</w:t>
      </w:r>
      <w:r>
        <w:rPr>
          <w:color w:val="007CC3"/>
          <w:spacing w:val="-5"/>
        </w:rPr>
        <w:t xml:space="preserve"> </w:t>
      </w:r>
      <w:r>
        <w:rPr>
          <w:color w:val="007CC3"/>
        </w:rPr>
        <w:t>use</w:t>
      </w:r>
      <w:r>
        <w:rPr>
          <w:color w:val="007CC3"/>
          <w:spacing w:val="-5"/>
        </w:rPr>
        <w:t xml:space="preserve"> </w:t>
      </w:r>
      <w:r>
        <w:rPr>
          <w:color w:val="007CC3"/>
        </w:rPr>
        <w:t>of</w:t>
      </w:r>
      <w:r>
        <w:rPr>
          <w:color w:val="007CC3"/>
          <w:spacing w:val="-6"/>
        </w:rPr>
        <w:t xml:space="preserve"> </w:t>
      </w:r>
      <w:r>
        <w:rPr>
          <w:color w:val="007CC3"/>
          <w:spacing w:val="-2"/>
        </w:rPr>
        <w:t>medicines</w:t>
      </w:r>
    </w:p>
    <w:p w14:paraId="75719026" w14:textId="77777777" w:rsidR="00CE25EC" w:rsidRDefault="00F05C60" w:rsidP="00CE25EC">
      <w:pPr>
        <w:pStyle w:val="AHPRAbody"/>
        <w:ind w:right="663"/>
      </w:pPr>
      <w:r>
        <w:t>Designated</w:t>
      </w:r>
      <w:r>
        <w:rPr>
          <w:spacing w:val="-7"/>
        </w:rPr>
        <w:t xml:space="preserve"> </w:t>
      </w:r>
      <w:r>
        <w:t>RN</w:t>
      </w:r>
      <w:r>
        <w:rPr>
          <w:spacing w:val="-6"/>
        </w:rPr>
        <w:t xml:space="preserve"> </w:t>
      </w:r>
      <w:r>
        <w:t>prescribers</w:t>
      </w:r>
      <w:r>
        <w:rPr>
          <w:spacing w:val="-6"/>
        </w:rPr>
        <w:t xml:space="preserve"> </w:t>
      </w:r>
      <w:r>
        <w:t>must</w:t>
      </w:r>
      <w:r>
        <w:rPr>
          <w:spacing w:val="-6"/>
        </w:rPr>
        <w:t xml:space="preserve"> </w:t>
      </w:r>
      <w:r>
        <w:t>comply</w:t>
      </w:r>
      <w:r>
        <w:rPr>
          <w:spacing w:val="-6"/>
        </w:rPr>
        <w:t xml:space="preserve"> </w:t>
      </w:r>
      <w:r>
        <w:t>with</w:t>
      </w:r>
      <w:r>
        <w:rPr>
          <w:spacing w:val="-5"/>
        </w:rPr>
        <w:t xml:space="preserve"> </w:t>
      </w:r>
      <w:r>
        <w:rPr>
          <w:i/>
        </w:rPr>
        <w:t>Quality</w:t>
      </w:r>
      <w:r>
        <w:rPr>
          <w:i/>
          <w:spacing w:val="-4"/>
        </w:rPr>
        <w:t xml:space="preserve"> </w:t>
      </w:r>
      <w:r>
        <w:rPr>
          <w:i/>
        </w:rPr>
        <w:t>Use</w:t>
      </w:r>
      <w:r>
        <w:rPr>
          <w:i/>
          <w:spacing w:val="-7"/>
        </w:rPr>
        <w:t xml:space="preserve"> </w:t>
      </w:r>
      <w:r>
        <w:rPr>
          <w:i/>
        </w:rPr>
        <w:t>of</w:t>
      </w:r>
      <w:r>
        <w:rPr>
          <w:i/>
          <w:spacing w:val="-7"/>
        </w:rPr>
        <w:t xml:space="preserve"> </w:t>
      </w:r>
      <w:r>
        <w:rPr>
          <w:i/>
        </w:rPr>
        <w:t>Medicines</w:t>
      </w:r>
      <w:r>
        <w:rPr>
          <w:i/>
          <w:spacing w:val="-4"/>
        </w:rPr>
        <w:t xml:space="preserve"> </w:t>
      </w:r>
      <w:r>
        <w:t>(QUM),</w:t>
      </w:r>
      <w:r>
        <w:rPr>
          <w:spacing w:val="-7"/>
        </w:rPr>
        <w:t xml:space="preserve"> </w:t>
      </w:r>
      <w:r>
        <w:t>which</w:t>
      </w:r>
      <w:r>
        <w:rPr>
          <w:spacing w:val="-5"/>
        </w:rPr>
        <w:t xml:space="preserve"> </w:t>
      </w:r>
      <w:r>
        <w:t>is</w:t>
      </w:r>
      <w:r>
        <w:rPr>
          <w:spacing w:val="-5"/>
        </w:rPr>
        <w:t xml:space="preserve"> </w:t>
      </w:r>
      <w:r>
        <w:t>one</w:t>
      </w:r>
      <w:r>
        <w:rPr>
          <w:spacing w:val="-5"/>
        </w:rPr>
        <w:t xml:space="preserve"> </w:t>
      </w:r>
      <w:r>
        <w:t>of</w:t>
      </w:r>
      <w:r>
        <w:rPr>
          <w:spacing w:val="-7"/>
        </w:rPr>
        <w:t xml:space="preserve"> </w:t>
      </w:r>
      <w:r>
        <w:rPr>
          <w:spacing w:val="-5"/>
        </w:rPr>
        <w:t>the</w:t>
      </w:r>
      <w:r w:rsidR="00CE25EC">
        <w:rPr>
          <w:spacing w:val="-5"/>
        </w:rPr>
        <w:t xml:space="preserve"> </w:t>
      </w:r>
      <w:r>
        <w:t>central</w:t>
      </w:r>
      <w:r>
        <w:rPr>
          <w:spacing w:val="-6"/>
        </w:rPr>
        <w:t xml:space="preserve"> </w:t>
      </w:r>
      <w:r>
        <w:t>objectives</w:t>
      </w:r>
      <w:r>
        <w:rPr>
          <w:spacing w:val="-6"/>
        </w:rPr>
        <w:t xml:space="preserve"> </w:t>
      </w:r>
      <w:r>
        <w:t>of</w:t>
      </w:r>
      <w:r>
        <w:rPr>
          <w:spacing w:val="-7"/>
        </w:rPr>
        <w:t xml:space="preserve"> </w:t>
      </w:r>
      <w:r>
        <w:t>Australia’s</w:t>
      </w:r>
      <w:r>
        <w:rPr>
          <w:spacing w:val="-6"/>
        </w:rPr>
        <w:t xml:space="preserve"> </w:t>
      </w:r>
      <w:r>
        <w:t>National</w:t>
      </w:r>
      <w:r>
        <w:rPr>
          <w:spacing w:val="-6"/>
        </w:rPr>
        <w:t xml:space="preserve"> </w:t>
      </w:r>
      <w:r>
        <w:t>Medicines</w:t>
      </w:r>
      <w:r>
        <w:rPr>
          <w:spacing w:val="-6"/>
        </w:rPr>
        <w:t xml:space="preserve"> </w:t>
      </w:r>
      <w:r>
        <w:t>Policy</w:t>
      </w:r>
      <w:r>
        <w:rPr>
          <w:rStyle w:val="FootnoteReference"/>
        </w:rPr>
        <w:footnoteReference w:id="7"/>
      </w:r>
      <w:r>
        <w:t>.</w:t>
      </w:r>
      <w:hyperlink w:anchor="_bookmark4" w:history="1"/>
      <w:r>
        <w:t xml:space="preserve"> </w:t>
      </w:r>
    </w:p>
    <w:p w14:paraId="4F11BE9E" w14:textId="6AD7D775" w:rsidR="00F05C60" w:rsidRDefault="00F05C60" w:rsidP="00CE25EC">
      <w:pPr>
        <w:pStyle w:val="AHPRAbody"/>
        <w:ind w:right="666"/>
        <w:contextualSpacing/>
      </w:pPr>
      <w:r>
        <w:t>QUM means:</w:t>
      </w:r>
    </w:p>
    <w:p w14:paraId="76CA9ADF" w14:textId="77777777" w:rsidR="00F05C60" w:rsidRPr="00CE25EC" w:rsidRDefault="00F05C60" w:rsidP="00F05C60">
      <w:pPr>
        <w:pStyle w:val="ListParagraph"/>
        <w:widowControl w:val="0"/>
        <w:numPr>
          <w:ilvl w:val="0"/>
          <w:numId w:val="58"/>
        </w:numPr>
        <w:tabs>
          <w:tab w:val="left" w:pos="547"/>
        </w:tabs>
        <w:autoSpaceDE w:val="0"/>
        <w:autoSpaceDN w:val="0"/>
        <w:spacing w:after="0" w:line="229" w:lineRule="exact"/>
        <w:ind w:hanging="427"/>
        <w:contextualSpacing w:val="0"/>
        <w:rPr>
          <w:rFonts w:ascii="Arial" w:hAnsi="Arial" w:cs="Arial"/>
        </w:rPr>
      </w:pPr>
      <w:r w:rsidRPr="00CE25EC">
        <w:rPr>
          <w:rFonts w:ascii="Arial" w:hAnsi="Arial" w:cs="Arial"/>
        </w:rPr>
        <w:t>Selecting</w:t>
      </w:r>
      <w:r w:rsidRPr="00CE25EC">
        <w:rPr>
          <w:rFonts w:ascii="Arial" w:hAnsi="Arial" w:cs="Arial"/>
          <w:spacing w:val="-12"/>
        </w:rPr>
        <w:t xml:space="preserve"> </w:t>
      </w:r>
      <w:r w:rsidRPr="00CE25EC">
        <w:rPr>
          <w:rFonts w:ascii="Arial" w:hAnsi="Arial" w:cs="Arial"/>
        </w:rPr>
        <w:t>management</w:t>
      </w:r>
      <w:r w:rsidRPr="00CE25EC">
        <w:rPr>
          <w:rFonts w:ascii="Arial" w:hAnsi="Arial" w:cs="Arial"/>
          <w:spacing w:val="-9"/>
        </w:rPr>
        <w:t xml:space="preserve"> </w:t>
      </w:r>
      <w:r w:rsidRPr="00CE25EC">
        <w:rPr>
          <w:rFonts w:ascii="Arial" w:hAnsi="Arial" w:cs="Arial"/>
        </w:rPr>
        <w:t>options</w:t>
      </w:r>
      <w:r w:rsidRPr="00CE25EC">
        <w:rPr>
          <w:rFonts w:ascii="Arial" w:hAnsi="Arial" w:cs="Arial"/>
          <w:spacing w:val="-11"/>
        </w:rPr>
        <w:t xml:space="preserve"> </w:t>
      </w:r>
      <w:r w:rsidRPr="00CE25EC">
        <w:rPr>
          <w:rFonts w:ascii="Arial" w:hAnsi="Arial" w:cs="Arial"/>
        </w:rPr>
        <w:t>wisely</w:t>
      </w:r>
      <w:r w:rsidRPr="00CE25EC">
        <w:rPr>
          <w:rFonts w:ascii="Arial" w:hAnsi="Arial" w:cs="Arial"/>
          <w:spacing w:val="-10"/>
        </w:rPr>
        <w:t xml:space="preserve"> </w:t>
      </w:r>
      <w:r w:rsidRPr="00CE25EC">
        <w:rPr>
          <w:rFonts w:ascii="Arial" w:hAnsi="Arial" w:cs="Arial"/>
          <w:spacing w:val="-5"/>
        </w:rPr>
        <w:t>by:</w:t>
      </w:r>
    </w:p>
    <w:p w14:paraId="55A4574B" w14:textId="77777777" w:rsidR="00F05C60" w:rsidRPr="00CE25EC" w:rsidRDefault="00F05C60" w:rsidP="00F05C60">
      <w:pPr>
        <w:pStyle w:val="ListParagraph"/>
        <w:widowControl w:val="0"/>
        <w:numPr>
          <w:ilvl w:val="0"/>
          <w:numId w:val="59"/>
        </w:numPr>
        <w:tabs>
          <w:tab w:val="left" w:pos="851"/>
        </w:tabs>
        <w:autoSpaceDE w:val="0"/>
        <w:autoSpaceDN w:val="0"/>
        <w:spacing w:before="122" w:after="0" w:line="245" w:lineRule="exact"/>
        <w:ind w:firstLine="22"/>
        <w:contextualSpacing w:val="0"/>
        <w:rPr>
          <w:rFonts w:ascii="Arial" w:hAnsi="Arial" w:cs="Arial"/>
        </w:rPr>
      </w:pPr>
      <w:r w:rsidRPr="00CE25EC">
        <w:rPr>
          <w:rFonts w:ascii="Arial" w:hAnsi="Arial" w:cs="Arial"/>
        </w:rPr>
        <w:t>considering</w:t>
      </w:r>
      <w:r w:rsidRPr="00CE25EC">
        <w:rPr>
          <w:rFonts w:ascii="Arial" w:hAnsi="Arial" w:cs="Arial"/>
          <w:spacing w:val="-8"/>
        </w:rPr>
        <w:t xml:space="preserve"> </w:t>
      </w:r>
      <w:r w:rsidRPr="00CE25EC">
        <w:rPr>
          <w:rFonts w:ascii="Arial" w:hAnsi="Arial" w:cs="Arial"/>
        </w:rPr>
        <w:t>the</w:t>
      </w:r>
      <w:r w:rsidRPr="00CE25EC">
        <w:rPr>
          <w:rFonts w:ascii="Arial" w:hAnsi="Arial" w:cs="Arial"/>
          <w:spacing w:val="-7"/>
        </w:rPr>
        <w:t xml:space="preserve"> </w:t>
      </w:r>
      <w:r w:rsidRPr="00CE25EC">
        <w:rPr>
          <w:rFonts w:ascii="Arial" w:hAnsi="Arial" w:cs="Arial"/>
        </w:rPr>
        <w:t>place</w:t>
      </w:r>
      <w:r w:rsidRPr="00CE25EC">
        <w:rPr>
          <w:rFonts w:ascii="Arial" w:hAnsi="Arial" w:cs="Arial"/>
          <w:spacing w:val="-9"/>
        </w:rPr>
        <w:t xml:space="preserve"> </w:t>
      </w:r>
      <w:r w:rsidRPr="00CE25EC">
        <w:rPr>
          <w:rFonts w:ascii="Arial" w:hAnsi="Arial" w:cs="Arial"/>
        </w:rPr>
        <w:t>of</w:t>
      </w:r>
      <w:r w:rsidRPr="00CE25EC">
        <w:rPr>
          <w:rFonts w:ascii="Arial" w:hAnsi="Arial" w:cs="Arial"/>
          <w:spacing w:val="-6"/>
        </w:rPr>
        <w:t xml:space="preserve"> </w:t>
      </w:r>
      <w:r w:rsidRPr="00CE25EC">
        <w:rPr>
          <w:rFonts w:ascii="Arial" w:hAnsi="Arial" w:cs="Arial"/>
        </w:rPr>
        <w:t>medicines</w:t>
      </w:r>
      <w:r w:rsidRPr="00CE25EC">
        <w:rPr>
          <w:rFonts w:ascii="Arial" w:hAnsi="Arial" w:cs="Arial"/>
          <w:spacing w:val="-8"/>
        </w:rPr>
        <w:t xml:space="preserve"> </w:t>
      </w:r>
      <w:r w:rsidRPr="00CE25EC">
        <w:rPr>
          <w:rFonts w:ascii="Arial" w:hAnsi="Arial" w:cs="Arial"/>
        </w:rPr>
        <w:t>in</w:t>
      </w:r>
      <w:r w:rsidRPr="00CE25EC">
        <w:rPr>
          <w:rFonts w:ascii="Arial" w:hAnsi="Arial" w:cs="Arial"/>
          <w:spacing w:val="-6"/>
        </w:rPr>
        <w:t xml:space="preserve"> </w:t>
      </w:r>
      <w:r w:rsidRPr="00CE25EC">
        <w:rPr>
          <w:rFonts w:ascii="Arial" w:hAnsi="Arial" w:cs="Arial"/>
        </w:rPr>
        <w:t>treating</w:t>
      </w:r>
      <w:r w:rsidRPr="00CE25EC">
        <w:rPr>
          <w:rFonts w:ascii="Arial" w:hAnsi="Arial" w:cs="Arial"/>
          <w:spacing w:val="-9"/>
        </w:rPr>
        <w:t xml:space="preserve"> </w:t>
      </w:r>
      <w:r w:rsidRPr="00CE25EC">
        <w:rPr>
          <w:rFonts w:ascii="Arial" w:hAnsi="Arial" w:cs="Arial"/>
        </w:rPr>
        <w:t>illness</w:t>
      </w:r>
      <w:r w:rsidRPr="00CE25EC">
        <w:rPr>
          <w:rFonts w:ascii="Arial" w:hAnsi="Arial" w:cs="Arial"/>
          <w:spacing w:val="-7"/>
        </w:rPr>
        <w:t xml:space="preserve"> </w:t>
      </w:r>
      <w:r w:rsidRPr="00CE25EC">
        <w:rPr>
          <w:rFonts w:ascii="Arial" w:hAnsi="Arial" w:cs="Arial"/>
        </w:rPr>
        <w:t>and</w:t>
      </w:r>
      <w:r w:rsidRPr="00CE25EC">
        <w:rPr>
          <w:rFonts w:ascii="Arial" w:hAnsi="Arial" w:cs="Arial"/>
          <w:spacing w:val="-8"/>
        </w:rPr>
        <w:t xml:space="preserve"> </w:t>
      </w:r>
      <w:r w:rsidRPr="00CE25EC">
        <w:rPr>
          <w:rFonts w:ascii="Arial" w:hAnsi="Arial" w:cs="Arial"/>
        </w:rPr>
        <w:t>maintaining</w:t>
      </w:r>
      <w:r w:rsidRPr="00CE25EC">
        <w:rPr>
          <w:rFonts w:ascii="Arial" w:hAnsi="Arial" w:cs="Arial"/>
          <w:spacing w:val="-9"/>
        </w:rPr>
        <w:t xml:space="preserve"> </w:t>
      </w:r>
      <w:r w:rsidRPr="00CE25EC">
        <w:rPr>
          <w:rFonts w:ascii="Arial" w:hAnsi="Arial" w:cs="Arial"/>
        </w:rPr>
        <w:t>health,</w:t>
      </w:r>
      <w:r w:rsidRPr="00CE25EC">
        <w:rPr>
          <w:rFonts w:ascii="Arial" w:hAnsi="Arial" w:cs="Arial"/>
          <w:spacing w:val="-6"/>
        </w:rPr>
        <w:t xml:space="preserve"> </w:t>
      </w:r>
      <w:r w:rsidRPr="00CE25EC">
        <w:rPr>
          <w:rFonts w:ascii="Arial" w:hAnsi="Arial" w:cs="Arial"/>
          <w:spacing w:val="-5"/>
        </w:rPr>
        <w:t>and</w:t>
      </w:r>
    </w:p>
    <w:p w14:paraId="1CB5C2DF" w14:textId="77777777" w:rsidR="00F05C60" w:rsidRPr="00CE25EC" w:rsidRDefault="00F05C60" w:rsidP="00F05C60">
      <w:pPr>
        <w:pStyle w:val="ListParagraph"/>
        <w:widowControl w:val="0"/>
        <w:numPr>
          <w:ilvl w:val="0"/>
          <w:numId w:val="59"/>
        </w:numPr>
        <w:tabs>
          <w:tab w:val="left" w:pos="851"/>
        </w:tabs>
        <w:autoSpaceDE w:val="0"/>
        <w:autoSpaceDN w:val="0"/>
        <w:spacing w:after="0" w:line="240" w:lineRule="auto"/>
        <w:ind w:firstLine="22"/>
        <w:contextualSpacing w:val="0"/>
        <w:rPr>
          <w:rFonts w:ascii="Arial" w:hAnsi="Arial" w:cs="Arial"/>
        </w:rPr>
      </w:pPr>
      <w:r w:rsidRPr="00CE25EC">
        <w:rPr>
          <w:rFonts w:ascii="Arial" w:hAnsi="Arial" w:cs="Arial"/>
        </w:rPr>
        <w:t>recognising</w:t>
      </w:r>
      <w:r w:rsidRPr="00CE25EC">
        <w:rPr>
          <w:rFonts w:ascii="Arial" w:hAnsi="Arial" w:cs="Arial"/>
          <w:spacing w:val="-7"/>
        </w:rPr>
        <w:t xml:space="preserve"> </w:t>
      </w:r>
      <w:r w:rsidRPr="00CE25EC">
        <w:rPr>
          <w:rFonts w:ascii="Arial" w:hAnsi="Arial" w:cs="Arial"/>
        </w:rPr>
        <w:t>there</w:t>
      </w:r>
      <w:r w:rsidRPr="00CE25EC">
        <w:rPr>
          <w:rFonts w:ascii="Arial" w:hAnsi="Arial" w:cs="Arial"/>
          <w:spacing w:val="-6"/>
        </w:rPr>
        <w:t xml:space="preserve"> </w:t>
      </w:r>
      <w:r w:rsidRPr="00CE25EC">
        <w:rPr>
          <w:rFonts w:ascii="Arial" w:hAnsi="Arial" w:cs="Arial"/>
        </w:rPr>
        <w:t>may</w:t>
      </w:r>
      <w:r w:rsidRPr="00CE25EC">
        <w:rPr>
          <w:rFonts w:ascii="Arial" w:hAnsi="Arial" w:cs="Arial"/>
          <w:spacing w:val="-6"/>
        </w:rPr>
        <w:t xml:space="preserve"> </w:t>
      </w:r>
      <w:r w:rsidRPr="00CE25EC">
        <w:rPr>
          <w:rFonts w:ascii="Arial" w:hAnsi="Arial" w:cs="Arial"/>
        </w:rPr>
        <w:t>be</w:t>
      </w:r>
      <w:r w:rsidRPr="00CE25EC">
        <w:rPr>
          <w:rFonts w:ascii="Arial" w:hAnsi="Arial" w:cs="Arial"/>
          <w:spacing w:val="-8"/>
        </w:rPr>
        <w:t xml:space="preserve"> </w:t>
      </w:r>
      <w:r w:rsidRPr="00CE25EC">
        <w:rPr>
          <w:rFonts w:ascii="Arial" w:hAnsi="Arial" w:cs="Arial"/>
        </w:rPr>
        <w:t>better</w:t>
      </w:r>
      <w:r w:rsidRPr="00CE25EC">
        <w:rPr>
          <w:rFonts w:ascii="Arial" w:hAnsi="Arial" w:cs="Arial"/>
          <w:spacing w:val="-7"/>
        </w:rPr>
        <w:t xml:space="preserve"> </w:t>
      </w:r>
      <w:r w:rsidRPr="00CE25EC">
        <w:rPr>
          <w:rFonts w:ascii="Arial" w:hAnsi="Arial" w:cs="Arial"/>
        </w:rPr>
        <w:t>ways</w:t>
      </w:r>
      <w:r w:rsidRPr="00CE25EC">
        <w:rPr>
          <w:rFonts w:ascii="Arial" w:hAnsi="Arial" w:cs="Arial"/>
          <w:spacing w:val="-7"/>
        </w:rPr>
        <w:t xml:space="preserve"> </w:t>
      </w:r>
      <w:r w:rsidRPr="00CE25EC">
        <w:rPr>
          <w:rFonts w:ascii="Arial" w:hAnsi="Arial" w:cs="Arial"/>
        </w:rPr>
        <w:t>than</w:t>
      </w:r>
      <w:r w:rsidRPr="00CE25EC">
        <w:rPr>
          <w:rFonts w:ascii="Arial" w:hAnsi="Arial" w:cs="Arial"/>
          <w:spacing w:val="-6"/>
        </w:rPr>
        <w:t xml:space="preserve"> </w:t>
      </w:r>
      <w:r w:rsidRPr="00CE25EC">
        <w:rPr>
          <w:rFonts w:ascii="Arial" w:hAnsi="Arial" w:cs="Arial"/>
        </w:rPr>
        <w:t>medicine</w:t>
      </w:r>
      <w:r w:rsidRPr="00CE25EC">
        <w:rPr>
          <w:rFonts w:ascii="Arial" w:hAnsi="Arial" w:cs="Arial"/>
          <w:spacing w:val="-8"/>
        </w:rPr>
        <w:t xml:space="preserve"> </w:t>
      </w:r>
      <w:r w:rsidRPr="00CE25EC">
        <w:rPr>
          <w:rFonts w:ascii="Arial" w:hAnsi="Arial" w:cs="Arial"/>
        </w:rPr>
        <w:t>to</w:t>
      </w:r>
      <w:r w:rsidRPr="00CE25EC">
        <w:rPr>
          <w:rFonts w:ascii="Arial" w:hAnsi="Arial" w:cs="Arial"/>
          <w:spacing w:val="-5"/>
        </w:rPr>
        <w:t xml:space="preserve"> </w:t>
      </w:r>
      <w:r w:rsidRPr="00CE25EC">
        <w:rPr>
          <w:rFonts w:ascii="Arial" w:hAnsi="Arial" w:cs="Arial"/>
        </w:rPr>
        <w:t>manage</w:t>
      </w:r>
      <w:r w:rsidRPr="00CE25EC">
        <w:rPr>
          <w:rFonts w:ascii="Arial" w:hAnsi="Arial" w:cs="Arial"/>
          <w:spacing w:val="-6"/>
        </w:rPr>
        <w:t xml:space="preserve"> </w:t>
      </w:r>
      <w:r w:rsidRPr="00CE25EC">
        <w:rPr>
          <w:rFonts w:ascii="Arial" w:hAnsi="Arial" w:cs="Arial"/>
        </w:rPr>
        <w:t>many</w:t>
      </w:r>
      <w:r w:rsidRPr="00CE25EC">
        <w:rPr>
          <w:rFonts w:ascii="Arial" w:hAnsi="Arial" w:cs="Arial"/>
          <w:spacing w:val="-7"/>
        </w:rPr>
        <w:t xml:space="preserve"> </w:t>
      </w:r>
      <w:r w:rsidRPr="00CE25EC">
        <w:rPr>
          <w:rFonts w:ascii="Arial" w:hAnsi="Arial" w:cs="Arial"/>
          <w:spacing w:val="-2"/>
        </w:rPr>
        <w:t>disorders.</w:t>
      </w:r>
    </w:p>
    <w:p w14:paraId="0401AAB3" w14:textId="77777777" w:rsidR="00F05C60" w:rsidRPr="00CE25EC" w:rsidRDefault="00F05C60" w:rsidP="00F05C60">
      <w:pPr>
        <w:pStyle w:val="ListParagraph"/>
        <w:widowControl w:val="0"/>
        <w:numPr>
          <w:ilvl w:val="0"/>
          <w:numId w:val="58"/>
        </w:numPr>
        <w:tabs>
          <w:tab w:val="left" w:pos="547"/>
        </w:tabs>
        <w:autoSpaceDE w:val="0"/>
        <w:autoSpaceDN w:val="0"/>
        <w:spacing w:before="196" w:after="0" w:line="240" w:lineRule="auto"/>
        <w:ind w:right="1013"/>
        <w:contextualSpacing w:val="0"/>
        <w:rPr>
          <w:rFonts w:ascii="Arial" w:hAnsi="Arial" w:cs="Arial"/>
        </w:rPr>
      </w:pPr>
      <w:r w:rsidRPr="00CE25EC">
        <w:rPr>
          <w:rFonts w:ascii="Arial" w:hAnsi="Arial" w:cs="Arial"/>
        </w:rPr>
        <w:t>Choosing</w:t>
      </w:r>
      <w:r w:rsidRPr="00CE25EC">
        <w:rPr>
          <w:rFonts w:ascii="Arial" w:hAnsi="Arial" w:cs="Arial"/>
          <w:spacing w:val="-5"/>
        </w:rPr>
        <w:t xml:space="preserve"> </w:t>
      </w:r>
      <w:r w:rsidRPr="00CE25EC">
        <w:rPr>
          <w:rFonts w:ascii="Arial" w:hAnsi="Arial" w:cs="Arial"/>
        </w:rPr>
        <w:t>suitable</w:t>
      </w:r>
      <w:r w:rsidRPr="00CE25EC">
        <w:rPr>
          <w:rFonts w:ascii="Arial" w:hAnsi="Arial" w:cs="Arial"/>
          <w:spacing w:val="-4"/>
        </w:rPr>
        <w:t xml:space="preserve"> </w:t>
      </w:r>
      <w:r w:rsidRPr="00CE25EC">
        <w:rPr>
          <w:rFonts w:ascii="Arial" w:hAnsi="Arial" w:cs="Arial"/>
        </w:rPr>
        <w:t>medicines</w:t>
      </w:r>
      <w:r w:rsidRPr="00CE25EC">
        <w:rPr>
          <w:rFonts w:ascii="Arial" w:hAnsi="Arial" w:cs="Arial"/>
          <w:spacing w:val="-3"/>
        </w:rPr>
        <w:t xml:space="preserve"> </w:t>
      </w:r>
      <w:r w:rsidRPr="00CE25EC">
        <w:rPr>
          <w:rFonts w:ascii="Arial" w:hAnsi="Arial" w:cs="Arial"/>
        </w:rPr>
        <w:t>(if</w:t>
      </w:r>
      <w:r w:rsidRPr="00CE25EC">
        <w:rPr>
          <w:rFonts w:ascii="Arial" w:hAnsi="Arial" w:cs="Arial"/>
          <w:spacing w:val="-4"/>
        </w:rPr>
        <w:t xml:space="preserve"> </w:t>
      </w:r>
      <w:r w:rsidRPr="00CE25EC">
        <w:rPr>
          <w:rFonts w:ascii="Arial" w:hAnsi="Arial" w:cs="Arial"/>
        </w:rPr>
        <w:t>a</w:t>
      </w:r>
      <w:r w:rsidRPr="00CE25EC">
        <w:rPr>
          <w:rFonts w:ascii="Arial" w:hAnsi="Arial" w:cs="Arial"/>
          <w:spacing w:val="-5"/>
        </w:rPr>
        <w:t xml:space="preserve"> </w:t>
      </w:r>
      <w:r w:rsidRPr="00CE25EC">
        <w:rPr>
          <w:rFonts w:ascii="Arial" w:hAnsi="Arial" w:cs="Arial"/>
        </w:rPr>
        <w:t>medicine</w:t>
      </w:r>
      <w:r w:rsidRPr="00CE25EC">
        <w:rPr>
          <w:rFonts w:ascii="Arial" w:hAnsi="Arial" w:cs="Arial"/>
          <w:spacing w:val="-2"/>
        </w:rPr>
        <w:t xml:space="preserve"> </w:t>
      </w:r>
      <w:r w:rsidRPr="00CE25EC">
        <w:rPr>
          <w:rFonts w:ascii="Arial" w:hAnsi="Arial" w:cs="Arial"/>
        </w:rPr>
        <w:t>is</w:t>
      </w:r>
      <w:r w:rsidRPr="00CE25EC">
        <w:rPr>
          <w:rFonts w:ascii="Arial" w:hAnsi="Arial" w:cs="Arial"/>
          <w:spacing w:val="-3"/>
        </w:rPr>
        <w:t xml:space="preserve"> </w:t>
      </w:r>
      <w:r w:rsidRPr="00CE25EC">
        <w:rPr>
          <w:rFonts w:ascii="Arial" w:hAnsi="Arial" w:cs="Arial"/>
        </w:rPr>
        <w:t>considered</w:t>
      </w:r>
      <w:r w:rsidRPr="00CE25EC">
        <w:rPr>
          <w:rFonts w:ascii="Arial" w:hAnsi="Arial" w:cs="Arial"/>
          <w:spacing w:val="-5"/>
        </w:rPr>
        <w:t xml:space="preserve"> </w:t>
      </w:r>
      <w:r w:rsidRPr="00CE25EC">
        <w:rPr>
          <w:rFonts w:ascii="Arial" w:hAnsi="Arial" w:cs="Arial"/>
        </w:rPr>
        <w:t>necessary)</w:t>
      </w:r>
      <w:r w:rsidRPr="00CE25EC">
        <w:rPr>
          <w:rFonts w:ascii="Arial" w:hAnsi="Arial" w:cs="Arial"/>
          <w:spacing w:val="-3"/>
        </w:rPr>
        <w:t xml:space="preserve"> </w:t>
      </w:r>
      <w:r w:rsidRPr="00CE25EC">
        <w:rPr>
          <w:rFonts w:ascii="Arial" w:hAnsi="Arial" w:cs="Arial"/>
        </w:rPr>
        <w:t>so</w:t>
      </w:r>
      <w:r w:rsidRPr="00CE25EC">
        <w:rPr>
          <w:rFonts w:ascii="Arial" w:hAnsi="Arial" w:cs="Arial"/>
          <w:spacing w:val="-4"/>
        </w:rPr>
        <w:t xml:space="preserve"> </w:t>
      </w:r>
      <w:r w:rsidRPr="00CE25EC">
        <w:rPr>
          <w:rFonts w:ascii="Arial" w:hAnsi="Arial" w:cs="Arial"/>
        </w:rPr>
        <w:t>that</w:t>
      </w:r>
      <w:r w:rsidRPr="00CE25EC">
        <w:rPr>
          <w:rFonts w:ascii="Arial" w:hAnsi="Arial" w:cs="Arial"/>
          <w:spacing w:val="-4"/>
        </w:rPr>
        <w:t xml:space="preserve"> </w:t>
      </w:r>
      <w:r w:rsidRPr="00CE25EC">
        <w:rPr>
          <w:rFonts w:ascii="Arial" w:hAnsi="Arial" w:cs="Arial"/>
        </w:rPr>
        <w:t>the</w:t>
      </w:r>
      <w:r w:rsidRPr="00CE25EC">
        <w:rPr>
          <w:rFonts w:ascii="Arial" w:hAnsi="Arial" w:cs="Arial"/>
          <w:spacing w:val="-4"/>
        </w:rPr>
        <w:t xml:space="preserve"> </w:t>
      </w:r>
      <w:r w:rsidRPr="00CE25EC">
        <w:rPr>
          <w:rFonts w:ascii="Arial" w:hAnsi="Arial" w:cs="Arial"/>
        </w:rPr>
        <w:t>best</w:t>
      </w:r>
      <w:r w:rsidRPr="00CE25EC">
        <w:rPr>
          <w:rFonts w:ascii="Arial" w:hAnsi="Arial" w:cs="Arial"/>
          <w:spacing w:val="-4"/>
        </w:rPr>
        <w:t xml:space="preserve"> </w:t>
      </w:r>
      <w:r w:rsidRPr="00CE25EC">
        <w:rPr>
          <w:rFonts w:ascii="Arial" w:hAnsi="Arial" w:cs="Arial"/>
        </w:rPr>
        <w:t>available option is selected by taking into account:</w:t>
      </w:r>
    </w:p>
    <w:p w14:paraId="4EFE45A8" w14:textId="77777777" w:rsidR="00F05C60" w:rsidRPr="00CE25EC" w:rsidRDefault="00F05C60" w:rsidP="00F05C60">
      <w:pPr>
        <w:pStyle w:val="ListParagraph"/>
        <w:widowControl w:val="0"/>
        <w:numPr>
          <w:ilvl w:val="0"/>
          <w:numId w:val="59"/>
        </w:numPr>
        <w:tabs>
          <w:tab w:val="left" w:pos="851"/>
        </w:tabs>
        <w:autoSpaceDE w:val="0"/>
        <w:autoSpaceDN w:val="0"/>
        <w:spacing w:before="200" w:after="0" w:line="245" w:lineRule="exact"/>
        <w:ind w:left="544" w:firstLine="23"/>
        <w:contextualSpacing w:val="0"/>
        <w:rPr>
          <w:rFonts w:ascii="Arial" w:hAnsi="Arial" w:cs="Arial"/>
        </w:rPr>
      </w:pPr>
      <w:r w:rsidRPr="00CE25EC">
        <w:rPr>
          <w:rFonts w:ascii="Arial" w:hAnsi="Arial" w:cs="Arial"/>
        </w:rPr>
        <w:t>the individual</w:t>
      </w:r>
    </w:p>
    <w:p w14:paraId="0BC31374" w14:textId="77777777" w:rsidR="00F05C60" w:rsidRPr="00CE25EC" w:rsidRDefault="00F05C60" w:rsidP="00F05C60">
      <w:pPr>
        <w:pStyle w:val="ListParagraph"/>
        <w:widowControl w:val="0"/>
        <w:numPr>
          <w:ilvl w:val="0"/>
          <w:numId w:val="59"/>
        </w:numPr>
        <w:tabs>
          <w:tab w:val="left" w:pos="851"/>
        </w:tabs>
        <w:autoSpaceDE w:val="0"/>
        <w:autoSpaceDN w:val="0"/>
        <w:spacing w:before="122" w:after="0" w:line="245" w:lineRule="exact"/>
        <w:ind w:left="544" w:firstLine="23"/>
        <w:rPr>
          <w:rFonts w:ascii="Arial" w:hAnsi="Arial" w:cs="Arial"/>
        </w:rPr>
      </w:pPr>
      <w:r w:rsidRPr="00CE25EC">
        <w:rPr>
          <w:rFonts w:ascii="Arial" w:hAnsi="Arial" w:cs="Arial"/>
        </w:rPr>
        <w:t>the clinical condition</w:t>
      </w:r>
    </w:p>
    <w:p w14:paraId="55CDFF50" w14:textId="77777777" w:rsidR="00F05C60" w:rsidRPr="00CE25EC" w:rsidRDefault="00F05C60" w:rsidP="00F05C60">
      <w:pPr>
        <w:pStyle w:val="ListParagraph"/>
        <w:widowControl w:val="0"/>
        <w:numPr>
          <w:ilvl w:val="0"/>
          <w:numId w:val="59"/>
        </w:numPr>
        <w:tabs>
          <w:tab w:val="left" w:pos="851"/>
        </w:tabs>
        <w:autoSpaceDE w:val="0"/>
        <w:autoSpaceDN w:val="0"/>
        <w:spacing w:before="122" w:after="0" w:line="245" w:lineRule="exact"/>
        <w:ind w:left="544" w:firstLine="23"/>
        <w:rPr>
          <w:rFonts w:ascii="Arial" w:hAnsi="Arial" w:cs="Arial"/>
        </w:rPr>
      </w:pPr>
      <w:r w:rsidRPr="00CE25EC">
        <w:rPr>
          <w:rFonts w:ascii="Arial" w:hAnsi="Arial" w:cs="Arial"/>
        </w:rPr>
        <w:t>risks and benefits</w:t>
      </w:r>
    </w:p>
    <w:p w14:paraId="5AC8866A" w14:textId="77777777" w:rsidR="00F05C60" w:rsidRPr="00CE25EC" w:rsidRDefault="00F05C60" w:rsidP="00F05C60">
      <w:pPr>
        <w:pStyle w:val="ListParagraph"/>
        <w:widowControl w:val="0"/>
        <w:numPr>
          <w:ilvl w:val="0"/>
          <w:numId w:val="59"/>
        </w:numPr>
        <w:tabs>
          <w:tab w:val="left" w:pos="851"/>
        </w:tabs>
        <w:autoSpaceDE w:val="0"/>
        <w:autoSpaceDN w:val="0"/>
        <w:spacing w:before="122" w:after="0" w:line="245" w:lineRule="exact"/>
        <w:ind w:left="544" w:firstLine="23"/>
        <w:rPr>
          <w:rFonts w:ascii="Arial" w:hAnsi="Arial" w:cs="Arial"/>
        </w:rPr>
      </w:pPr>
      <w:r w:rsidRPr="00CE25EC">
        <w:rPr>
          <w:rFonts w:ascii="Arial" w:hAnsi="Arial" w:cs="Arial"/>
        </w:rPr>
        <w:t>dosage and length of treatment</w:t>
      </w:r>
    </w:p>
    <w:p w14:paraId="59D96EFE" w14:textId="77777777" w:rsidR="00F05C60" w:rsidRPr="00CE25EC" w:rsidRDefault="00F05C60" w:rsidP="00F05C60">
      <w:pPr>
        <w:pStyle w:val="ListParagraph"/>
        <w:widowControl w:val="0"/>
        <w:numPr>
          <w:ilvl w:val="0"/>
          <w:numId w:val="59"/>
        </w:numPr>
        <w:tabs>
          <w:tab w:val="left" w:pos="851"/>
        </w:tabs>
        <w:autoSpaceDE w:val="0"/>
        <w:autoSpaceDN w:val="0"/>
        <w:spacing w:before="122" w:after="0" w:line="245" w:lineRule="exact"/>
        <w:ind w:left="544" w:firstLine="23"/>
        <w:rPr>
          <w:rFonts w:ascii="Arial" w:hAnsi="Arial" w:cs="Arial"/>
        </w:rPr>
      </w:pPr>
      <w:r w:rsidRPr="00CE25EC">
        <w:rPr>
          <w:rFonts w:ascii="Arial" w:hAnsi="Arial" w:cs="Arial"/>
        </w:rPr>
        <w:t>any coexisting conditions</w:t>
      </w:r>
    </w:p>
    <w:p w14:paraId="0583E1FD" w14:textId="77777777" w:rsidR="00F05C60" w:rsidRPr="00CE25EC" w:rsidRDefault="00F05C60" w:rsidP="00F05C60">
      <w:pPr>
        <w:pStyle w:val="ListParagraph"/>
        <w:widowControl w:val="0"/>
        <w:numPr>
          <w:ilvl w:val="0"/>
          <w:numId w:val="59"/>
        </w:numPr>
        <w:tabs>
          <w:tab w:val="left" w:pos="851"/>
        </w:tabs>
        <w:autoSpaceDE w:val="0"/>
        <w:autoSpaceDN w:val="0"/>
        <w:spacing w:before="122" w:after="0" w:line="245" w:lineRule="exact"/>
        <w:ind w:left="544" w:firstLine="23"/>
        <w:rPr>
          <w:rFonts w:ascii="Arial" w:hAnsi="Arial" w:cs="Arial"/>
        </w:rPr>
      </w:pPr>
      <w:r w:rsidRPr="00CE25EC">
        <w:rPr>
          <w:rFonts w:ascii="Arial" w:hAnsi="Arial" w:cs="Arial"/>
        </w:rPr>
        <w:t>other therapies</w:t>
      </w:r>
    </w:p>
    <w:p w14:paraId="2F8166FA" w14:textId="77777777" w:rsidR="00F05C60" w:rsidRPr="00CE25EC" w:rsidRDefault="00F05C60" w:rsidP="00F05C60">
      <w:pPr>
        <w:pStyle w:val="ListParagraph"/>
        <w:widowControl w:val="0"/>
        <w:numPr>
          <w:ilvl w:val="0"/>
          <w:numId w:val="59"/>
        </w:numPr>
        <w:tabs>
          <w:tab w:val="left" w:pos="851"/>
        </w:tabs>
        <w:autoSpaceDE w:val="0"/>
        <w:autoSpaceDN w:val="0"/>
        <w:spacing w:before="122" w:after="0" w:line="245" w:lineRule="exact"/>
        <w:ind w:left="544" w:firstLine="23"/>
        <w:rPr>
          <w:rFonts w:ascii="Arial" w:hAnsi="Arial" w:cs="Arial"/>
        </w:rPr>
      </w:pPr>
      <w:r w:rsidRPr="00CE25EC">
        <w:rPr>
          <w:rFonts w:ascii="Arial" w:hAnsi="Arial" w:cs="Arial"/>
        </w:rPr>
        <w:t>monitoring considerations, and</w:t>
      </w:r>
    </w:p>
    <w:p w14:paraId="125843EA" w14:textId="77777777" w:rsidR="00F05C60" w:rsidRPr="00CE25EC" w:rsidRDefault="00F05C60" w:rsidP="00F05C60">
      <w:pPr>
        <w:pStyle w:val="ListParagraph"/>
        <w:widowControl w:val="0"/>
        <w:numPr>
          <w:ilvl w:val="0"/>
          <w:numId w:val="59"/>
        </w:numPr>
        <w:tabs>
          <w:tab w:val="left" w:pos="851"/>
        </w:tabs>
        <w:autoSpaceDE w:val="0"/>
        <w:autoSpaceDN w:val="0"/>
        <w:spacing w:before="122" w:after="0" w:line="245" w:lineRule="exact"/>
        <w:ind w:left="544" w:firstLine="23"/>
        <w:rPr>
          <w:rFonts w:ascii="Arial" w:hAnsi="Arial" w:cs="Arial"/>
        </w:rPr>
      </w:pPr>
      <w:r w:rsidRPr="00CE25EC">
        <w:rPr>
          <w:rFonts w:ascii="Arial" w:hAnsi="Arial" w:cs="Arial"/>
        </w:rPr>
        <w:t>costs for the individual, the community and the health system as a whole.</w:t>
      </w:r>
    </w:p>
    <w:p w14:paraId="5F32193C" w14:textId="77777777" w:rsidR="00F05C60" w:rsidRPr="00CE25EC" w:rsidRDefault="00F05C60" w:rsidP="00F05C60">
      <w:pPr>
        <w:pStyle w:val="ListParagraph"/>
        <w:widowControl w:val="0"/>
        <w:numPr>
          <w:ilvl w:val="0"/>
          <w:numId w:val="58"/>
        </w:numPr>
        <w:tabs>
          <w:tab w:val="left" w:pos="545"/>
        </w:tabs>
        <w:autoSpaceDE w:val="0"/>
        <w:autoSpaceDN w:val="0"/>
        <w:spacing w:before="199" w:after="0" w:line="240" w:lineRule="auto"/>
        <w:ind w:left="545" w:hanging="425"/>
        <w:contextualSpacing w:val="0"/>
        <w:rPr>
          <w:rFonts w:ascii="Arial" w:hAnsi="Arial" w:cs="Arial"/>
        </w:rPr>
      </w:pPr>
      <w:r w:rsidRPr="00CE25EC">
        <w:rPr>
          <w:rFonts w:ascii="Arial" w:hAnsi="Arial" w:cs="Arial"/>
        </w:rPr>
        <w:t>Using</w:t>
      </w:r>
      <w:r w:rsidRPr="00CE25EC">
        <w:rPr>
          <w:rFonts w:ascii="Arial" w:hAnsi="Arial" w:cs="Arial"/>
          <w:spacing w:val="-8"/>
        </w:rPr>
        <w:t xml:space="preserve"> </w:t>
      </w:r>
      <w:r w:rsidRPr="00CE25EC">
        <w:rPr>
          <w:rFonts w:ascii="Arial" w:hAnsi="Arial" w:cs="Arial"/>
        </w:rPr>
        <w:t>medicines</w:t>
      </w:r>
      <w:r w:rsidRPr="00CE25EC">
        <w:rPr>
          <w:rFonts w:ascii="Arial" w:hAnsi="Arial" w:cs="Arial"/>
          <w:spacing w:val="-7"/>
        </w:rPr>
        <w:t xml:space="preserve"> </w:t>
      </w:r>
      <w:r w:rsidRPr="00CE25EC">
        <w:rPr>
          <w:rFonts w:ascii="Arial" w:hAnsi="Arial" w:cs="Arial"/>
        </w:rPr>
        <w:t>safely</w:t>
      </w:r>
      <w:r w:rsidRPr="00CE25EC">
        <w:rPr>
          <w:rFonts w:ascii="Arial" w:hAnsi="Arial" w:cs="Arial"/>
          <w:spacing w:val="-7"/>
        </w:rPr>
        <w:t xml:space="preserve"> </w:t>
      </w:r>
      <w:r w:rsidRPr="00CE25EC">
        <w:rPr>
          <w:rFonts w:ascii="Arial" w:hAnsi="Arial" w:cs="Arial"/>
        </w:rPr>
        <w:t>and</w:t>
      </w:r>
      <w:r w:rsidRPr="00CE25EC">
        <w:rPr>
          <w:rFonts w:ascii="Arial" w:hAnsi="Arial" w:cs="Arial"/>
          <w:spacing w:val="-7"/>
        </w:rPr>
        <w:t xml:space="preserve"> </w:t>
      </w:r>
      <w:r w:rsidRPr="00CE25EC">
        <w:rPr>
          <w:rFonts w:ascii="Arial" w:hAnsi="Arial" w:cs="Arial"/>
        </w:rPr>
        <w:t>effectively</w:t>
      </w:r>
      <w:r w:rsidRPr="00CE25EC">
        <w:rPr>
          <w:rFonts w:ascii="Arial" w:hAnsi="Arial" w:cs="Arial"/>
          <w:spacing w:val="-7"/>
        </w:rPr>
        <w:t xml:space="preserve"> </w:t>
      </w:r>
      <w:r w:rsidRPr="00CE25EC">
        <w:rPr>
          <w:rFonts w:ascii="Arial" w:hAnsi="Arial" w:cs="Arial"/>
        </w:rPr>
        <w:t>to</w:t>
      </w:r>
      <w:r w:rsidRPr="00CE25EC">
        <w:rPr>
          <w:rFonts w:ascii="Arial" w:hAnsi="Arial" w:cs="Arial"/>
          <w:spacing w:val="-6"/>
        </w:rPr>
        <w:t xml:space="preserve"> </w:t>
      </w:r>
      <w:r w:rsidRPr="00CE25EC">
        <w:rPr>
          <w:rFonts w:ascii="Arial" w:hAnsi="Arial" w:cs="Arial"/>
        </w:rPr>
        <w:t>get</w:t>
      </w:r>
      <w:r w:rsidRPr="00CE25EC">
        <w:rPr>
          <w:rFonts w:ascii="Arial" w:hAnsi="Arial" w:cs="Arial"/>
          <w:spacing w:val="-7"/>
        </w:rPr>
        <w:t xml:space="preserve"> </w:t>
      </w:r>
      <w:r w:rsidRPr="00CE25EC">
        <w:rPr>
          <w:rFonts w:ascii="Arial" w:hAnsi="Arial" w:cs="Arial"/>
        </w:rPr>
        <w:t>the</w:t>
      </w:r>
      <w:r w:rsidRPr="00CE25EC">
        <w:rPr>
          <w:rFonts w:ascii="Arial" w:hAnsi="Arial" w:cs="Arial"/>
          <w:spacing w:val="-6"/>
        </w:rPr>
        <w:t xml:space="preserve"> </w:t>
      </w:r>
      <w:r w:rsidRPr="00CE25EC">
        <w:rPr>
          <w:rFonts w:ascii="Arial" w:hAnsi="Arial" w:cs="Arial"/>
        </w:rPr>
        <w:t>best</w:t>
      </w:r>
      <w:r w:rsidRPr="00CE25EC">
        <w:rPr>
          <w:rFonts w:ascii="Arial" w:hAnsi="Arial" w:cs="Arial"/>
          <w:spacing w:val="-6"/>
        </w:rPr>
        <w:t xml:space="preserve"> </w:t>
      </w:r>
      <w:r w:rsidRPr="00CE25EC">
        <w:rPr>
          <w:rFonts w:ascii="Arial" w:hAnsi="Arial" w:cs="Arial"/>
        </w:rPr>
        <w:t>possible</w:t>
      </w:r>
      <w:r w:rsidRPr="00CE25EC">
        <w:rPr>
          <w:rFonts w:ascii="Arial" w:hAnsi="Arial" w:cs="Arial"/>
          <w:spacing w:val="-7"/>
        </w:rPr>
        <w:t xml:space="preserve"> </w:t>
      </w:r>
      <w:r w:rsidRPr="00CE25EC">
        <w:rPr>
          <w:rFonts w:ascii="Arial" w:hAnsi="Arial" w:cs="Arial"/>
        </w:rPr>
        <w:t>results</w:t>
      </w:r>
      <w:r w:rsidRPr="00CE25EC">
        <w:rPr>
          <w:rFonts w:ascii="Arial" w:hAnsi="Arial" w:cs="Arial"/>
          <w:spacing w:val="-5"/>
        </w:rPr>
        <w:t xml:space="preserve"> by:</w:t>
      </w:r>
    </w:p>
    <w:p w14:paraId="1FFEF99A" w14:textId="77777777" w:rsidR="00F05C60" w:rsidRPr="00CE25EC" w:rsidRDefault="00F05C60" w:rsidP="00F05C60">
      <w:pPr>
        <w:pStyle w:val="ListParagraph"/>
        <w:widowControl w:val="0"/>
        <w:numPr>
          <w:ilvl w:val="0"/>
          <w:numId w:val="59"/>
        </w:numPr>
        <w:tabs>
          <w:tab w:val="left" w:pos="851"/>
        </w:tabs>
        <w:autoSpaceDE w:val="0"/>
        <w:autoSpaceDN w:val="0"/>
        <w:spacing w:before="200" w:after="0" w:line="245" w:lineRule="exact"/>
        <w:ind w:left="544" w:firstLine="23"/>
        <w:contextualSpacing w:val="0"/>
        <w:rPr>
          <w:rFonts w:ascii="Arial" w:hAnsi="Arial" w:cs="Arial"/>
        </w:rPr>
      </w:pPr>
      <w:r w:rsidRPr="00CE25EC">
        <w:rPr>
          <w:rFonts w:ascii="Arial" w:hAnsi="Arial" w:cs="Arial"/>
        </w:rPr>
        <w:t>monitoring outcomes</w:t>
      </w:r>
    </w:p>
    <w:p w14:paraId="13BA4484" w14:textId="77777777" w:rsidR="00F05C60" w:rsidRPr="00CE25EC" w:rsidRDefault="00F05C60" w:rsidP="00F05C60">
      <w:pPr>
        <w:pStyle w:val="ListParagraph"/>
        <w:widowControl w:val="0"/>
        <w:numPr>
          <w:ilvl w:val="0"/>
          <w:numId w:val="59"/>
        </w:numPr>
        <w:tabs>
          <w:tab w:val="left" w:pos="851"/>
        </w:tabs>
        <w:autoSpaceDE w:val="0"/>
        <w:autoSpaceDN w:val="0"/>
        <w:spacing w:before="200" w:after="0" w:line="245" w:lineRule="exact"/>
        <w:ind w:left="544" w:firstLine="23"/>
        <w:rPr>
          <w:rFonts w:ascii="Arial" w:hAnsi="Arial" w:cs="Arial"/>
        </w:rPr>
      </w:pPr>
      <w:r w:rsidRPr="00CE25EC">
        <w:rPr>
          <w:rFonts w:ascii="Arial" w:hAnsi="Arial" w:cs="Arial"/>
        </w:rPr>
        <w:t>minimising misuse, over-use and under-use</w:t>
      </w:r>
    </w:p>
    <w:p w14:paraId="6BE33EF0" w14:textId="77777777" w:rsidR="00F05C60" w:rsidRPr="00CE25EC" w:rsidRDefault="00F05C60" w:rsidP="00F05C60">
      <w:pPr>
        <w:pStyle w:val="ListParagraph"/>
        <w:widowControl w:val="0"/>
        <w:numPr>
          <w:ilvl w:val="0"/>
          <w:numId w:val="59"/>
        </w:numPr>
        <w:tabs>
          <w:tab w:val="left" w:pos="851"/>
        </w:tabs>
        <w:autoSpaceDE w:val="0"/>
        <w:autoSpaceDN w:val="0"/>
        <w:spacing w:before="200" w:after="0" w:line="245" w:lineRule="exact"/>
        <w:ind w:left="544" w:firstLine="23"/>
        <w:rPr>
          <w:rFonts w:ascii="Arial" w:hAnsi="Arial" w:cs="Arial"/>
        </w:rPr>
      </w:pPr>
      <w:r w:rsidRPr="00CE25EC">
        <w:rPr>
          <w:rFonts w:ascii="Arial" w:hAnsi="Arial" w:cs="Arial"/>
        </w:rPr>
        <w:t>improving people’s ability to solve problems related to medicines, such as negative effects</w:t>
      </w:r>
    </w:p>
    <w:p w14:paraId="07F265DE" w14:textId="77777777" w:rsidR="00F05C60" w:rsidRPr="00CE25EC" w:rsidRDefault="00F05C60" w:rsidP="00F05C60">
      <w:pPr>
        <w:pStyle w:val="ListParagraph"/>
        <w:widowControl w:val="0"/>
        <w:numPr>
          <w:ilvl w:val="0"/>
          <w:numId w:val="59"/>
        </w:numPr>
        <w:tabs>
          <w:tab w:val="left" w:pos="851"/>
        </w:tabs>
        <w:autoSpaceDE w:val="0"/>
        <w:autoSpaceDN w:val="0"/>
        <w:spacing w:before="200" w:after="0" w:line="245" w:lineRule="exact"/>
        <w:ind w:left="544" w:firstLine="23"/>
        <w:rPr>
          <w:rFonts w:ascii="Arial" w:hAnsi="Arial" w:cs="Arial"/>
        </w:rPr>
      </w:pPr>
      <w:r w:rsidRPr="00CE25EC">
        <w:rPr>
          <w:rFonts w:ascii="Arial" w:hAnsi="Arial" w:cs="Arial"/>
        </w:rPr>
        <w:t>managing multiple medicines</w:t>
      </w:r>
    </w:p>
    <w:p w14:paraId="793A9FAE" w14:textId="77777777" w:rsidR="00F05C60" w:rsidRPr="00CE25EC" w:rsidRDefault="00F05C60" w:rsidP="00F05C60">
      <w:pPr>
        <w:pStyle w:val="ListParagraph"/>
        <w:widowControl w:val="0"/>
        <w:numPr>
          <w:ilvl w:val="0"/>
          <w:numId w:val="59"/>
        </w:numPr>
        <w:tabs>
          <w:tab w:val="left" w:pos="851"/>
        </w:tabs>
        <w:autoSpaceDE w:val="0"/>
        <w:autoSpaceDN w:val="0"/>
        <w:spacing w:before="200" w:after="0" w:line="245" w:lineRule="exact"/>
        <w:ind w:left="544" w:firstLine="23"/>
        <w:rPr>
          <w:rFonts w:ascii="Arial" w:hAnsi="Arial" w:cs="Arial"/>
        </w:rPr>
      </w:pPr>
      <w:r w:rsidRPr="00CE25EC">
        <w:rPr>
          <w:rFonts w:ascii="Arial" w:hAnsi="Arial" w:cs="Arial"/>
        </w:rPr>
        <w:t>de-prescribing, and</w:t>
      </w:r>
    </w:p>
    <w:p w14:paraId="590CD297" w14:textId="77777777" w:rsidR="00F05C60" w:rsidRPr="00CE25EC" w:rsidRDefault="00F05C60" w:rsidP="00F05C60">
      <w:pPr>
        <w:pStyle w:val="ListParagraph"/>
        <w:widowControl w:val="0"/>
        <w:numPr>
          <w:ilvl w:val="0"/>
          <w:numId w:val="59"/>
        </w:numPr>
        <w:tabs>
          <w:tab w:val="left" w:pos="851"/>
        </w:tabs>
        <w:autoSpaceDE w:val="0"/>
        <w:autoSpaceDN w:val="0"/>
        <w:spacing w:before="200" w:after="0" w:line="245" w:lineRule="exact"/>
        <w:ind w:left="544" w:firstLine="23"/>
        <w:rPr>
          <w:rFonts w:ascii="Arial" w:hAnsi="Arial" w:cs="Arial"/>
        </w:rPr>
      </w:pPr>
      <w:r w:rsidRPr="00CE25EC">
        <w:rPr>
          <w:rFonts w:ascii="Arial" w:hAnsi="Arial" w:cs="Arial"/>
        </w:rPr>
        <w:t>undertaking medicines reviews.</w:t>
      </w:r>
    </w:p>
    <w:p w14:paraId="5BF7D8C6" w14:textId="77777777" w:rsidR="00F05C60" w:rsidRPr="00CE25EC" w:rsidRDefault="00F05C60" w:rsidP="00F05C60">
      <w:pPr>
        <w:rPr>
          <w:rFonts w:cs="Arial"/>
          <w:b/>
          <w:bCs/>
          <w:szCs w:val="20"/>
        </w:rPr>
      </w:pPr>
      <w:r w:rsidRPr="00CE25EC">
        <w:rPr>
          <w:rFonts w:cs="Arial"/>
        </w:rPr>
        <w:br w:type="page"/>
      </w:r>
    </w:p>
    <w:p w14:paraId="4E440FAD" w14:textId="77777777" w:rsidR="00F05C60" w:rsidRDefault="00F05C60" w:rsidP="00CE25EC">
      <w:pPr>
        <w:pStyle w:val="AHPRAbodybold"/>
      </w:pPr>
      <w:r>
        <w:lastRenderedPageBreak/>
        <w:t>Safe</w:t>
      </w:r>
      <w:r>
        <w:rPr>
          <w:spacing w:val="-6"/>
        </w:rPr>
        <w:t xml:space="preserve"> </w:t>
      </w:r>
      <w:r>
        <w:t>and</w:t>
      </w:r>
      <w:r>
        <w:rPr>
          <w:spacing w:val="-6"/>
        </w:rPr>
        <w:t xml:space="preserve"> </w:t>
      </w:r>
      <w:r>
        <w:t>effective</w:t>
      </w:r>
      <w:r>
        <w:rPr>
          <w:spacing w:val="-7"/>
        </w:rPr>
        <w:t xml:space="preserve"> </w:t>
      </w:r>
      <w:r>
        <w:t>prescribing</w:t>
      </w:r>
      <w:r>
        <w:rPr>
          <w:spacing w:val="-3"/>
        </w:rPr>
        <w:t xml:space="preserve"> </w:t>
      </w:r>
      <w:r>
        <w:t>by</w:t>
      </w:r>
      <w:r>
        <w:rPr>
          <w:spacing w:val="-7"/>
        </w:rPr>
        <w:t xml:space="preserve"> </w:t>
      </w:r>
      <w:r>
        <w:t>a</w:t>
      </w:r>
      <w:r>
        <w:rPr>
          <w:spacing w:val="-8"/>
        </w:rPr>
        <w:t xml:space="preserve"> </w:t>
      </w:r>
      <w:r>
        <w:t>designated</w:t>
      </w:r>
      <w:r>
        <w:rPr>
          <w:spacing w:val="-6"/>
        </w:rPr>
        <w:t xml:space="preserve"> </w:t>
      </w:r>
      <w:r>
        <w:t>RN</w:t>
      </w:r>
      <w:r>
        <w:rPr>
          <w:spacing w:val="-3"/>
        </w:rPr>
        <w:t xml:space="preserve"> </w:t>
      </w:r>
      <w:r>
        <w:t>prescriber</w:t>
      </w:r>
      <w:r>
        <w:rPr>
          <w:spacing w:val="-7"/>
        </w:rPr>
        <w:t xml:space="preserve"> </w:t>
      </w:r>
      <w:r>
        <w:t>does</w:t>
      </w:r>
      <w:r>
        <w:rPr>
          <w:spacing w:val="-7"/>
        </w:rPr>
        <w:t xml:space="preserve"> </w:t>
      </w:r>
      <w:r>
        <w:t>not</w:t>
      </w:r>
      <w:r>
        <w:rPr>
          <w:spacing w:val="-5"/>
        </w:rPr>
        <w:t xml:space="preserve"> </w:t>
      </w:r>
      <w:r>
        <w:rPr>
          <w:spacing w:val="-2"/>
        </w:rPr>
        <w:t>include:</w:t>
      </w:r>
    </w:p>
    <w:p w14:paraId="241A4155" w14:textId="77777777" w:rsidR="00F05C60" w:rsidRPr="00CE25EC" w:rsidRDefault="00F05C60" w:rsidP="00F05C60">
      <w:pPr>
        <w:pStyle w:val="ListParagraph"/>
        <w:widowControl w:val="0"/>
        <w:numPr>
          <w:ilvl w:val="0"/>
          <w:numId w:val="59"/>
        </w:numPr>
        <w:tabs>
          <w:tab w:val="left" w:pos="480"/>
        </w:tabs>
        <w:autoSpaceDE w:val="0"/>
        <w:autoSpaceDN w:val="0"/>
        <w:spacing w:before="201" w:after="0" w:line="245" w:lineRule="exact"/>
        <w:ind w:left="480" w:hanging="360"/>
        <w:contextualSpacing w:val="0"/>
        <w:rPr>
          <w:rFonts w:ascii="Arial" w:hAnsi="Arial" w:cs="Arial"/>
        </w:rPr>
      </w:pPr>
      <w:r w:rsidRPr="00CE25EC">
        <w:rPr>
          <w:rFonts w:ascii="Arial" w:hAnsi="Arial" w:cs="Arial"/>
          <w:spacing w:val="-2"/>
        </w:rPr>
        <w:t>self-prescribing</w:t>
      </w:r>
    </w:p>
    <w:p w14:paraId="7560F8E8" w14:textId="2F13A00E" w:rsidR="00F05C60" w:rsidRPr="00CE25EC" w:rsidRDefault="00F05C60" w:rsidP="00CE25EC">
      <w:pPr>
        <w:pStyle w:val="ListParagraph"/>
        <w:widowControl w:val="0"/>
        <w:numPr>
          <w:ilvl w:val="0"/>
          <w:numId w:val="59"/>
        </w:numPr>
        <w:tabs>
          <w:tab w:val="left" w:pos="480"/>
        </w:tabs>
        <w:autoSpaceDE w:val="0"/>
        <w:autoSpaceDN w:val="0"/>
        <w:spacing w:after="0" w:line="228" w:lineRule="exact"/>
        <w:ind w:left="480" w:right="524" w:hanging="360"/>
        <w:contextualSpacing w:val="0"/>
        <w:rPr>
          <w:rFonts w:ascii="Arial" w:hAnsi="Arial" w:cs="Arial"/>
        </w:rPr>
      </w:pPr>
      <w:r w:rsidRPr="00CE25EC">
        <w:rPr>
          <w:rFonts w:ascii="Arial" w:hAnsi="Arial" w:cs="Arial"/>
        </w:rPr>
        <w:t>prescribing</w:t>
      </w:r>
      <w:r w:rsidRPr="00CE25EC">
        <w:rPr>
          <w:rFonts w:ascii="Arial" w:hAnsi="Arial" w:cs="Arial"/>
          <w:spacing w:val="-13"/>
        </w:rPr>
        <w:t xml:space="preserve"> </w:t>
      </w:r>
      <w:r w:rsidRPr="00CE25EC">
        <w:rPr>
          <w:rFonts w:ascii="Arial" w:hAnsi="Arial" w:cs="Arial"/>
        </w:rPr>
        <w:t>to</w:t>
      </w:r>
      <w:r w:rsidRPr="00CE25EC">
        <w:rPr>
          <w:rFonts w:ascii="Arial" w:hAnsi="Arial" w:cs="Arial"/>
          <w:spacing w:val="-6"/>
        </w:rPr>
        <w:t xml:space="preserve"> </w:t>
      </w:r>
      <w:r w:rsidRPr="00CE25EC">
        <w:rPr>
          <w:rFonts w:ascii="Arial" w:hAnsi="Arial" w:cs="Arial"/>
        </w:rPr>
        <w:t>anyone</w:t>
      </w:r>
      <w:r w:rsidRPr="00CE25EC">
        <w:rPr>
          <w:rFonts w:ascii="Arial" w:hAnsi="Arial" w:cs="Arial"/>
          <w:spacing w:val="-9"/>
        </w:rPr>
        <w:t xml:space="preserve"> </w:t>
      </w:r>
      <w:r w:rsidRPr="00CE25EC">
        <w:rPr>
          <w:rFonts w:ascii="Arial" w:hAnsi="Arial" w:cs="Arial"/>
        </w:rPr>
        <w:t>with</w:t>
      </w:r>
      <w:r w:rsidRPr="00CE25EC">
        <w:rPr>
          <w:rFonts w:ascii="Arial" w:hAnsi="Arial" w:cs="Arial"/>
          <w:spacing w:val="-6"/>
        </w:rPr>
        <w:t xml:space="preserve"> </w:t>
      </w:r>
      <w:r w:rsidRPr="00CE25EC">
        <w:rPr>
          <w:rFonts w:ascii="Arial" w:hAnsi="Arial" w:cs="Arial"/>
        </w:rPr>
        <w:t>whom</w:t>
      </w:r>
      <w:r w:rsidRPr="00CE25EC">
        <w:rPr>
          <w:rFonts w:ascii="Arial" w:hAnsi="Arial" w:cs="Arial"/>
          <w:spacing w:val="-5"/>
        </w:rPr>
        <w:t xml:space="preserve"> </w:t>
      </w:r>
      <w:r w:rsidRPr="00CE25EC">
        <w:rPr>
          <w:rFonts w:ascii="Arial" w:hAnsi="Arial" w:cs="Arial"/>
        </w:rPr>
        <w:t>the</w:t>
      </w:r>
      <w:r w:rsidRPr="00CE25EC">
        <w:rPr>
          <w:rFonts w:ascii="Arial" w:hAnsi="Arial" w:cs="Arial"/>
          <w:spacing w:val="-6"/>
        </w:rPr>
        <w:t xml:space="preserve"> </w:t>
      </w:r>
      <w:r w:rsidRPr="00CE25EC">
        <w:rPr>
          <w:rFonts w:ascii="Arial" w:hAnsi="Arial" w:cs="Arial"/>
        </w:rPr>
        <w:t>designated</w:t>
      </w:r>
      <w:r w:rsidRPr="00CE25EC">
        <w:rPr>
          <w:rFonts w:ascii="Arial" w:hAnsi="Arial" w:cs="Arial"/>
          <w:spacing w:val="-7"/>
        </w:rPr>
        <w:t xml:space="preserve"> </w:t>
      </w:r>
      <w:r w:rsidRPr="00CE25EC">
        <w:rPr>
          <w:rFonts w:ascii="Arial" w:hAnsi="Arial" w:cs="Arial"/>
        </w:rPr>
        <w:t>RN</w:t>
      </w:r>
      <w:r w:rsidRPr="00CE25EC">
        <w:rPr>
          <w:rFonts w:ascii="Arial" w:hAnsi="Arial" w:cs="Arial"/>
          <w:spacing w:val="-8"/>
        </w:rPr>
        <w:t xml:space="preserve"> </w:t>
      </w:r>
      <w:r w:rsidRPr="00CE25EC">
        <w:rPr>
          <w:rFonts w:ascii="Arial" w:hAnsi="Arial" w:cs="Arial"/>
        </w:rPr>
        <w:t>prescriber</w:t>
      </w:r>
      <w:r w:rsidRPr="00CE25EC">
        <w:rPr>
          <w:rFonts w:ascii="Arial" w:hAnsi="Arial" w:cs="Arial"/>
          <w:spacing w:val="-7"/>
        </w:rPr>
        <w:t xml:space="preserve"> </w:t>
      </w:r>
      <w:r w:rsidRPr="00CE25EC">
        <w:rPr>
          <w:rFonts w:ascii="Arial" w:hAnsi="Arial" w:cs="Arial"/>
        </w:rPr>
        <w:t>has</w:t>
      </w:r>
      <w:r w:rsidRPr="00CE25EC">
        <w:rPr>
          <w:rFonts w:ascii="Arial" w:hAnsi="Arial" w:cs="Arial"/>
          <w:spacing w:val="-5"/>
        </w:rPr>
        <w:t xml:space="preserve"> </w:t>
      </w:r>
      <w:r w:rsidRPr="00CE25EC">
        <w:rPr>
          <w:rFonts w:ascii="Arial" w:hAnsi="Arial" w:cs="Arial"/>
        </w:rPr>
        <w:t>a</w:t>
      </w:r>
      <w:r w:rsidRPr="00CE25EC">
        <w:rPr>
          <w:rFonts w:ascii="Arial" w:hAnsi="Arial" w:cs="Arial"/>
          <w:spacing w:val="-7"/>
        </w:rPr>
        <w:t xml:space="preserve"> </w:t>
      </w:r>
      <w:r w:rsidRPr="00CE25EC">
        <w:rPr>
          <w:rFonts w:ascii="Arial" w:hAnsi="Arial" w:cs="Arial"/>
        </w:rPr>
        <w:t>close</w:t>
      </w:r>
      <w:r w:rsidRPr="00CE25EC">
        <w:rPr>
          <w:rFonts w:ascii="Arial" w:hAnsi="Arial" w:cs="Arial"/>
          <w:spacing w:val="-16"/>
        </w:rPr>
        <w:t xml:space="preserve"> </w:t>
      </w:r>
      <w:r w:rsidRPr="00CE25EC">
        <w:rPr>
          <w:rFonts w:ascii="Arial" w:hAnsi="Arial" w:cs="Arial"/>
        </w:rPr>
        <w:t>personal,</w:t>
      </w:r>
      <w:r w:rsidRPr="00CE25EC">
        <w:rPr>
          <w:rFonts w:ascii="Arial" w:hAnsi="Arial" w:cs="Arial"/>
          <w:spacing w:val="-6"/>
        </w:rPr>
        <w:t xml:space="preserve"> </w:t>
      </w:r>
      <w:r w:rsidRPr="00CE25EC">
        <w:rPr>
          <w:rFonts w:ascii="Arial" w:hAnsi="Arial" w:cs="Arial"/>
        </w:rPr>
        <w:t>familial</w:t>
      </w:r>
      <w:r w:rsidRPr="00CE25EC">
        <w:rPr>
          <w:rFonts w:ascii="Arial" w:hAnsi="Arial" w:cs="Arial"/>
          <w:spacing w:val="-9"/>
        </w:rPr>
        <w:t xml:space="preserve"> </w:t>
      </w:r>
      <w:r w:rsidRPr="00CE25EC">
        <w:rPr>
          <w:rFonts w:ascii="Arial" w:hAnsi="Arial" w:cs="Arial"/>
          <w:spacing w:val="-5"/>
        </w:rPr>
        <w:t>or</w:t>
      </w:r>
      <w:r w:rsidRPr="00CE25EC">
        <w:rPr>
          <w:rFonts w:ascii="Arial" w:hAnsi="Arial" w:cs="Arial"/>
          <w:spacing w:val="-2"/>
        </w:rPr>
        <w:t>professional</w:t>
      </w:r>
      <w:r w:rsidRPr="00CE25EC">
        <w:rPr>
          <w:rFonts w:ascii="Arial" w:hAnsi="Arial" w:cs="Arial"/>
          <w:spacing w:val="11"/>
        </w:rPr>
        <w:t xml:space="preserve"> </w:t>
      </w:r>
      <w:r w:rsidRPr="00CE25EC">
        <w:rPr>
          <w:rFonts w:ascii="Arial" w:hAnsi="Arial" w:cs="Arial"/>
          <w:spacing w:val="-2"/>
        </w:rPr>
        <w:t>relationship</w:t>
      </w:r>
      <w:r w:rsidRPr="00CE25EC">
        <w:rPr>
          <w:rFonts w:ascii="Arial" w:hAnsi="Arial" w:cs="Arial"/>
          <w:spacing w:val="8"/>
        </w:rPr>
        <w:t xml:space="preserve"> </w:t>
      </w:r>
      <w:r w:rsidRPr="00CE25EC">
        <w:rPr>
          <w:rFonts w:ascii="Arial" w:hAnsi="Arial" w:cs="Arial"/>
          <w:spacing w:val="-4"/>
        </w:rPr>
        <w:t>with</w:t>
      </w:r>
    </w:p>
    <w:p w14:paraId="2439D0B9" w14:textId="77777777" w:rsidR="00F05C60" w:rsidRPr="00CE25EC" w:rsidRDefault="00F05C60" w:rsidP="00F05C60">
      <w:pPr>
        <w:pStyle w:val="ListParagraph"/>
        <w:widowControl w:val="0"/>
        <w:numPr>
          <w:ilvl w:val="0"/>
          <w:numId w:val="59"/>
        </w:numPr>
        <w:tabs>
          <w:tab w:val="left" w:pos="480"/>
        </w:tabs>
        <w:autoSpaceDE w:val="0"/>
        <w:autoSpaceDN w:val="0"/>
        <w:spacing w:after="0" w:line="244" w:lineRule="exact"/>
        <w:ind w:left="476" w:hanging="357"/>
        <w:contextualSpacing w:val="0"/>
        <w:rPr>
          <w:rFonts w:ascii="Arial" w:hAnsi="Arial" w:cs="Arial"/>
        </w:rPr>
      </w:pPr>
      <w:r w:rsidRPr="00CE25EC">
        <w:rPr>
          <w:rFonts w:ascii="Arial" w:hAnsi="Arial" w:cs="Arial"/>
        </w:rPr>
        <w:t>asynchronous</w:t>
      </w:r>
      <w:r w:rsidRPr="00CE25EC">
        <w:rPr>
          <w:rFonts w:ascii="Arial" w:hAnsi="Arial" w:cs="Arial"/>
          <w:spacing w:val="-6"/>
        </w:rPr>
        <w:t xml:space="preserve"> </w:t>
      </w:r>
      <w:r w:rsidRPr="00CE25EC">
        <w:rPr>
          <w:rFonts w:ascii="Arial" w:hAnsi="Arial" w:cs="Arial"/>
        </w:rPr>
        <w:t>prescribing</w:t>
      </w:r>
      <w:r w:rsidRPr="00CE25EC">
        <w:rPr>
          <w:rFonts w:ascii="Arial" w:hAnsi="Arial" w:cs="Arial"/>
          <w:spacing w:val="-8"/>
        </w:rPr>
        <w:t xml:space="preserve"> </w:t>
      </w:r>
      <w:r w:rsidRPr="00CE25EC">
        <w:rPr>
          <w:rFonts w:ascii="Arial" w:hAnsi="Arial" w:cs="Arial"/>
        </w:rPr>
        <w:t>by</w:t>
      </w:r>
      <w:r w:rsidRPr="00CE25EC">
        <w:rPr>
          <w:rFonts w:ascii="Arial" w:hAnsi="Arial" w:cs="Arial"/>
          <w:spacing w:val="-6"/>
        </w:rPr>
        <w:t xml:space="preserve"> </w:t>
      </w:r>
      <w:r w:rsidRPr="00CE25EC">
        <w:rPr>
          <w:rFonts w:ascii="Arial" w:hAnsi="Arial" w:cs="Arial"/>
        </w:rPr>
        <w:t>text,</w:t>
      </w:r>
      <w:r w:rsidRPr="00CE25EC">
        <w:rPr>
          <w:rFonts w:ascii="Arial" w:hAnsi="Arial" w:cs="Arial"/>
          <w:spacing w:val="-8"/>
        </w:rPr>
        <w:t xml:space="preserve"> </w:t>
      </w:r>
      <w:r w:rsidRPr="00CE25EC">
        <w:rPr>
          <w:rFonts w:ascii="Arial" w:hAnsi="Arial" w:cs="Arial"/>
        </w:rPr>
        <w:t>email</w:t>
      </w:r>
      <w:r w:rsidRPr="00CE25EC">
        <w:rPr>
          <w:rFonts w:ascii="Arial" w:hAnsi="Arial" w:cs="Arial"/>
          <w:spacing w:val="-8"/>
        </w:rPr>
        <w:t xml:space="preserve"> </w:t>
      </w:r>
      <w:r w:rsidRPr="00CE25EC">
        <w:rPr>
          <w:rFonts w:ascii="Arial" w:hAnsi="Arial" w:cs="Arial"/>
        </w:rPr>
        <w:t>or</w:t>
      </w:r>
      <w:r w:rsidRPr="00CE25EC">
        <w:rPr>
          <w:rFonts w:ascii="Arial" w:hAnsi="Arial" w:cs="Arial"/>
          <w:spacing w:val="-8"/>
        </w:rPr>
        <w:t xml:space="preserve"> </w:t>
      </w:r>
      <w:r w:rsidRPr="00CE25EC">
        <w:rPr>
          <w:rFonts w:ascii="Arial" w:hAnsi="Arial" w:cs="Arial"/>
        </w:rPr>
        <w:t>online</w:t>
      </w:r>
      <w:r w:rsidRPr="00CE25EC">
        <w:rPr>
          <w:rFonts w:ascii="Arial" w:hAnsi="Arial" w:cs="Arial"/>
          <w:spacing w:val="-5"/>
        </w:rPr>
        <w:t xml:space="preserve"> </w:t>
      </w:r>
      <w:r w:rsidRPr="00CE25EC">
        <w:rPr>
          <w:rFonts w:ascii="Arial" w:hAnsi="Arial" w:cs="Arial"/>
        </w:rPr>
        <w:t>(or</w:t>
      </w:r>
      <w:r w:rsidRPr="00CE25EC">
        <w:rPr>
          <w:rFonts w:ascii="Arial" w:hAnsi="Arial" w:cs="Arial"/>
          <w:spacing w:val="-8"/>
        </w:rPr>
        <w:t xml:space="preserve"> </w:t>
      </w:r>
      <w:r w:rsidRPr="00CE25EC">
        <w:rPr>
          <w:rFonts w:ascii="Arial" w:hAnsi="Arial" w:cs="Arial"/>
          <w:spacing w:val="-2"/>
        </w:rPr>
        <w:t>equivalent).</w:t>
      </w:r>
    </w:p>
    <w:p w14:paraId="5909072C" w14:textId="27EE9B81" w:rsidR="00F05C60" w:rsidRPr="00CE25EC" w:rsidRDefault="00F05C60" w:rsidP="00F05C60">
      <w:pPr>
        <w:pStyle w:val="ListParagraph"/>
        <w:widowControl w:val="0"/>
        <w:numPr>
          <w:ilvl w:val="0"/>
          <w:numId w:val="59"/>
        </w:numPr>
        <w:tabs>
          <w:tab w:val="left" w:pos="480"/>
        </w:tabs>
        <w:autoSpaceDE w:val="0"/>
        <w:autoSpaceDN w:val="0"/>
        <w:spacing w:after="0" w:line="240" w:lineRule="auto"/>
        <w:ind w:left="480" w:right="937" w:hanging="360"/>
        <w:contextualSpacing w:val="0"/>
        <w:rPr>
          <w:rFonts w:ascii="Arial" w:hAnsi="Arial" w:cs="Arial"/>
        </w:rPr>
      </w:pPr>
      <w:r w:rsidRPr="00CE25EC">
        <w:rPr>
          <w:rFonts w:ascii="Arial" w:hAnsi="Arial" w:cs="Arial"/>
        </w:rPr>
        <w:t>the</w:t>
      </w:r>
      <w:r w:rsidRPr="00CE25EC">
        <w:rPr>
          <w:rFonts w:ascii="Arial" w:hAnsi="Arial" w:cs="Arial"/>
          <w:spacing w:val="-5"/>
        </w:rPr>
        <w:t xml:space="preserve"> </w:t>
      </w:r>
      <w:r w:rsidRPr="00CE25EC">
        <w:rPr>
          <w:rFonts w:ascii="Arial" w:hAnsi="Arial" w:cs="Arial"/>
        </w:rPr>
        <w:t>provision</w:t>
      </w:r>
      <w:r w:rsidRPr="00CE25EC">
        <w:rPr>
          <w:rFonts w:ascii="Arial" w:hAnsi="Arial" w:cs="Arial"/>
          <w:spacing w:val="-4"/>
        </w:rPr>
        <w:t xml:space="preserve"> </w:t>
      </w:r>
      <w:r w:rsidRPr="00CE25EC">
        <w:rPr>
          <w:rFonts w:ascii="Arial" w:hAnsi="Arial" w:cs="Arial"/>
        </w:rPr>
        <w:t>of</w:t>
      </w:r>
      <w:r w:rsidRPr="00CE25EC">
        <w:rPr>
          <w:rFonts w:ascii="Arial" w:hAnsi="Arial" w:cs="Arial"/>
          <w:spacing w:val="-2"/>
        </w:rPr>
        <w:t xml:space="preserve"> </w:t>
      </w:r>
      <w:r w:rsidRPr="00CE25EC">
        <w:rPr>
          <w:rFonts w:ascii="Arial" w:hAnsi="Arial" w:cs="Arial"/>
        </w:rPr>
        <w:t>one</w:t>
      </w:r>
      <w:r w:rsidRPr="00CE25EC">
        <w:rPr>
          <w:rFonts w:ascii="Arial" w:hAnsi="Arial" w:cs="Arial"/>
          <w:spacing w:val="-2"/>
        </w:rPr>
        <w:t xml:space="preserve"> </w:t>
      </w:r>
      <w:r w:rsidRPr="00CE25EC">
        <w:rPr>
          <w:rFonts w:ascii="Arial" w:hAnsi="Arial" w:cs="Arial"/>
        </w:rPr>
        <w:t>prescription</w:t>
      </w:r>
      <w:r w:rsidRPr="00CE25EC">
        <w:rPr>
          <w:rFonts w:ascii="Arial" w:hAnsi="Arial" w:cs="Arial"/>
          <w:spacing w:val="-4"/>
        </w:rPr>
        <w:t xml:space="preserve"> </w:t>
      </w:r>
      <w:r w:rsidRPr="00CE25EC">
        <w:rPr>
          <w:rFonts w:ascii="Arial" w:hAnsi="Arial" w:cs="Arial"/>
        </w:rPr>
        <w:t>for</w:t>
      </w:r>
      <w:r w:rsidRPr="00CE25EC">
        <w:rPr>
          <w:rFonts w:ascii="Arial" w:hAnsi="Arial" w:cs="Arial"/>
          <w:spacing w:val="-1"/>
        </w:rPr>
        <w:t xml:space="preserve"> </w:t>
      </w:r>
      <w:r w:rsidRPr="00CE25EC">
        <w:rPr>
          <w:rFonts w:ascii="Arial" w:hAnsi="Arial" w:cs="Arial"/>
        </w:rPr>
        <w:t>multiple</w:t>
      </w:r>
      <w:r w:rsidRPr="00CE25EC">
        <w:rPr>
          <w:rFonts w:ascii="Arial" w:hAnsi="Arial" w:cs="Arial"/>
          <w:spacing w:val="-2"/>
        </w:rPr>
        <w:t xml:space="preserve"> </w:t>
      </w:r>
      <w:r w:rsidRPr="00CE25EC">
        <w:rPr>
          <w:rFonts w:ascii="Arial" w:hAnsi="Arial" w:cs="Arial"/>
        </w:rPr>
        <w:t>people</w:t>
      </w:r>
      <w:r w:rsidRPr="00CE25EC">
        <w:rPr>
          <w:rFonts w:ascii="Arial" w:hAnsi="Arial" w:cs="Arial"/>
          <w:spacing w:val="-4"/>
        </w:rPr>
        <w:t xml:space="preserve"> </w:t>
      </w:r>
      <w:r w:rsidRPr="00CE25EC">
        <w:rPr>
          <w:rFonts w:ascii="Arial" w:hAnsi="Arial" w:cs="Arial"/>
        </w:rPr>
        <w:t>(known</w:t>
      </w:r>
      <w:r w:rsidRPr="00CE25EC">
        <w:rPr>
          <w:rFonts w:ascii="Arial" w:hAnsi="Arial" w:cs="Arial"/>
          <w:spacing w:val="-2"/>
        </w:rPr>
        <w:t xml:space="preserve"> </w:t>
      </w:r>
      <w:r w:rsidRPr="00CE25EC">
        <w:rPr>
          <w:rFonts w:ascii="Arial" w:hAnsi="Arial" w:cs="Arial"/>
        </w:rPr>
        <w:t>as</w:t>
      </w:r>
      <w:r w:rsidRPr="00CE25EC">
        <w:rPr>
          <w:rFonts w:ascii="Arial" w:hAnsi="Arial" w:cs="Arial"/>
          <w:spacing w:val="-3"/>
        </w:rPr>
        <w:t xml:space="preserve"> </w:t>
      </w:r>
      <w:r w:rsidRPr="00CE25EC">
        <w:rPr>
          <w:rFonts w:ascii="Arial" w:hAnsi="Arial" w:cs="Arial"/>
        </w:rPr>
        <w:t>bulk</w:t>
      </w:r>
      <w:r w:rsidRPr="00CE25EC">
        <w:rPr>
          <w:rFonts w:ascii="Arial" w:hAnsi="Arial" w:cs="Arial"/>
          <w:spacing w:val="-3"/>
        </w:rPr>
        <w:t xml:space="preserve"> </w:t>
      </w:r>
      <w:r w:rsidRPr="00CE25EC">
        <w:rPr>
          <w:rFonts w:ascii="Arial" w:hAnsi="Arial" w:cs="Arial"/>
        </w:rPr>
        <w:t>or</w:t>
      </w:r>
      <w:r w:rsidRPr="00CE25EC">
        <w:rPr>
          <w:rFonts w:ascii="Arial" w:hAnsi="Arial" w:cs="Arial"/>
          <w:spacing w:val="-4"/>
        </w:rPr>
        <w:t xml:space="preserve"> </w:t>
      </w:r>
      <w:r w:rsidRPr="00CE25EC">
        <w:rPr>
          <w:rFonts w:ascii="Arial" w:hAnsi="Arial" w:cs="Arial"/>
        </w:rPr>
        <w:t>batch</w:t>
      </w:r>
      <w:r w:rsidRPr="00CE25EC">
        <w:rPr>
          <w:rFonts w:ascii="Arial" w:hAnsi="Arial" w:cs="Arial"/>
          <w:spacing w:val="-4"/>
        </w:rPr>
        <w:t xml:space="preserve"> </w:t>
      </w:r>
      <w:r w:rsidRPr="00CE25EC">
        <w:rPr>
          <w:rFonts w:ascii="Arial" w:hAnsi="Arial" w:cs="Arial"/>
        </w:rPr>
        <w:t xml:space="preserve">prescribing) </w:t>
      </w:r>
      <w:r w:rsidR="00CE25EC">
        <w:rPr>
          <w:rFonts w:ascii="Arial" w:hAnsi="Arial" w:cs="Arial"/>
        </w:rPr>
        <w:sym w:font="Symbol" w:char="F02D"/>
      </w:r>
      <w:r w:rsidRPr="00CE25EC">
        <w:rPr>
          <w:rFonts w:ascii="Arial" w:hAnsi="Arial" w:cs="Arial"/>
          <w:spacing w:val="-3"/>
        </w:rPr>
        <w:t xml:space="preserve"> </w:t>
      </w:r>
      <w:r w:rsidRPr="00CE25EC">
        <w:rPr>
          <w:rFonts w:ascii="Arial" w:hAnsi="Arial" w:cs="Arial"/>
        </w:rPr>
        <w:t>every person must have an individual prescription, or</w:t>
      </w:r>
    </w:p>
    <w:p w14:paraId="4A650524" w14:textId="77777777" w:rsidR="00F05C60" w:rsidRPr="00CE25EC" w:rsidRDefault="00F05C60" w:rsidP="00F05C60">
      <w:pPr>
        <w:pStyle w:val="ListParagraph"/>
        <w:widowControl w:val="0"/>
        <w:numPr>
          <w:ilvl w:val="0"/>
          <w:numId w:val="59"/>
        </w:numPr>
        <w:tabs>
          <w:tab w:val="left" w:pos="480"/>
        </w:tabs>
        <w:autoSpaceDE w:val="0"/>
        <w:autoSpaceDN w:val="0"/>
        <w:spacing w:before="4" w:after="0" w:line="235" w:lineRule="auto"/>
        <w:ind w:left="480" w:right="1093" w:hanging="360"/>
        <w:contextualSpacing w:val="0"/>
        <w:rPr>
          <w:rFonts w:ascii="Arial" w:hAnsi="Arial" w:cs="Arial"/>
        </w:rPr>
      </w:pPr>
      <w:r w:rsidRPr="00CE25EC">
        <w:rPr>
          <w:rFonts w:ascii="Arial" w:hAnsi="Arial" w:cs="Arial"/>
        </w:rPr>
        <w:t>prescribing</w:t>
      </w:r>
      <w:r w:rsidRPr="00CE25EC">
        <w:rPr>
          <w:rFonts w:ascii="Arial" w:hAnsi="Arial" w:cs="Arial"/>
          <w:spacing w:val="-4"/>
        </w:rPr>
        <w:t xml:space="preserve"> </w:t>
      </w:r>
      <w:r w:rsidRPr="00CE25EC">
        <w:rPr>
          <w:rFonts w:ascii="Arial" w:hAnsi="Arial" w:cs="Arial"/>
        </w:rPr>
        <w:t>for</w:t>
      </w:r>
      <w:r w:rsidRPr="00CE25EC">
        <w:rPr>
          <w:rFonts w:ascii="Arial" w:hAnsi="Arial" w:cs="Arial"/>
          <w:spacing w:val="-1"/>
        </w:rPr>
        <w:t xml:space="preserve"> </w:t>
      </w:r>
      <w:r w:rsidRPr="00CE25EC">
        <w:rPr>
          <w:rFonts w:ascii="Arial" w:hAnsi="Arial" w:cs="Arial"/>
        </w:rPr>
        <w:t>a</w:t>
      </w:r>
      <w:r w:rsidRPr="00CE25EC">
        <w:rPr>
          <w:rFonts w:ascii="Arial" w:hAnsi="Arial" w:cs="Arial"/>
          <w:spacing w:val="-4"/>
        </w:rPr>
        <w:t xml:space="preserve"> </w:t>
      </w:r>
      <w:r w:rsidRPr="00CE25EC">
        <w:rPr>
          <w:rFonts w:ascii="Arial" w:hAnsi="Arial" w:cs="Arial"/>
        </w:rPr>
        <w:t>person</w:t>
      </w:r>
      <w:r w:rsidRPr="00CE25EC">
        <w:rPr>
          <w:rFonts w:ascii="Arial" w:hAnsi="Arial" w:cs="Arial"/>
          <w:spacing w:val="-4"/>
        </w:rPr>
        <w:t xml:space="preserve"> </w:t>
      </w:r>
      <w:r w:rsidRPr="00CE25EC">
        <w:rPr>
          <w:rFonts w:ascii="Arial" w:hAnsi="Arial" w:cs="Arial"/>
        </w:rPr>
        <w:t>without</w:t>
      </w:r>
      <w:r w:rsidRPr="00CE25EC">
        <w:rPr>
          <w:rFonts w:ascii="Arial" w:hAnsi="Arial" w:cs="Arial"/>
          <w:spacing w:val="-2"/>
        </w:rPr>
        <w:t xml:space="preserve"> </w:t>
      </w:r>
      <w:r w:rsidRPr="00CE25EC">
        <w:rPr>
          <w:rFonts w:ascii="Arial" w:hAnsi="Arial" w:cs="Arial"/>
        </w:rPr>
        <w:t>a</w:t>
      </w:r>
      <w:r w:rsidRPr="00CE25EC">
        <w:rPr>
          <w:rFonts w:ascii="Arial" w:hAnsi="Arial" w:cs="Arial"/>
          <w:spacing w:val="-4"/>
        </w:rPr>
        <w:t xml:space="preserve"> </w:t>
      </w:r>
      <w:r w:rsidRPr="00CE25EC">
        <w:rPr>
          <w:rFonts w:ascii="Arial" w:hAnsi="Arial" w:cs="Arial"/>
        </w:rPr>
        <w:t>real-time</w:t>
      </w:r>
      <w:r w:rsidRPr="00CE25EC">
        <w:rPr>
          <w:rFonts w:ascii="Arial" w:hAnsi="Arial" w:cs="Arial"/>
          <w:spacing w:val="-2"/>
        </w:rPr>
        <w:t xml:space="preserve"> </w:t>
      </w:r>
      <w:r w:rsidRPr="00CE25EC">
        <w:rPr>
          <w:rFonts w:ascii="Arial" w:hAnsi="Arial" w:cs="Arial"/>
        </w:rPr>
        <w:t>direct</w:t>
      </w:r>
      <w:r w:rsidRPr="00CE25EC">
        <w:rPr>
          <w:rFonts w:ascii="Arial" w:hAnsi="Arial" w:cs="Arial"/>
          <w:spacing w:val="-4"/>
        </w:rPr>
        <w:t xml:space="preserve"> </w:t>
      </w:r>
      <w:r w:rsidRPr="00CE25EC">
        <w:rPr>
          <w:rFonts w:ascii="Arial" w:hAnsi="Arial" w:cs="Arial"/>
        </w:rPr>
        <w:t>consultation,</w:t>
      </w:r>
      <w:r w:rsidRPr="00CE25EC">
        <w:rPr>
          <w:rFonts w:ascii="Arial" w:hAnsi="Arial" w:cs="Arial"/>
          <w:spacing w:val="-4"/>
        </w:rPr>
        <w:t xml:space="preserve"> </w:t>
      </w:r>
      <w:r w:rsidRPr="00CE25EC">
        <w:rPr>
          <w:rFonts w:ascii="Arial" w:hAnsi="Arial" w:cs="Arial"/>
        </w:rPr>
        <w:t>whether</w:t>
      </w:r>
      <w:r w:rsidRPr="00CE25EC">
        <w:rPr>
          <w:rFonts w:ascii="Arial" w:hAnsi="Arial" w:cs="Arial"/>
          <w:spacing w:val="-4"/>
        </w:rPr>
        <w:t xml:space="preserve"> </w:t>
      </w:r>
      <w:r w:rsidRPr="00CE25EC">
        <w:rPr>
          <w:rFonts w:ascii="Arial" w:hAnsi="Arial" w:cs="Arial"/>
        </w:rPr>
        <w:t>in-person,</w:t>
      </w:r>
      <w:r w:rsidRPr="00CE25EC">
        <w:rPr>
          <w:rFonts w:ascii="Arial" w:hAnsi="Arial" w:cs="Arial"/>
          <w:spacing w:val="-2"/>
        </w:rPr>
        <w:t xml:space="preserve"> </w:t>
      </w:r>
      <w:r w:rsidRPr="00CE25EC">
        <w:rPr>
          <w:rFonts w:ascii="Arial" w:hAnsi="Arial" w:cs="Arial"/>
        </w:rPr>
        <w:t>via</w:t>
      </w:r>
      <w:r w:rsidRPr="00CE25EC">
        <w:rPr>
          <w:rFonts w:ascii="Arial" w:hAnsi="Arial" w:cs="Arial"/>
          <w:spacing w:val="-4"/>
        </w:rPr>
        <w:t xml:space="preserve"> </w:t>
      </w:r>
      <w:r w:rsidRPr="00CE25EC">
        <w:rPr>
          <w:rFonts w:ascii="Arial" w:hAnsi="Arial" w:cs="Arial"/>
        </w:rPr>
        <w:t>video</w:t>
      </w:r>
      <w:r w:rsidRPr="00CE25EC">
        <w:rPr>
          <w:rFonts w:ascii="Arial" w:hAnsi="Arial" w:cs="Arial"/>
          <w:spacing w:val="-3"/>
        </w:rPr>
        <w:t xml:space="preserve"> </w:t>
      </w:r>
      <w:r w:rsidRPr="00CE25EC">
        <w:rPr>
          <w:rFonts w:ascii="Arial" w:hAnsi="Arial" w:cs="Arial"/>
        </w:rPr>
        <w:t xml:space="preserve">or </w:t>
      </w:r>
      <w:r w:rsidRPr="00CE25EC">
        <w:rPr>
          <w:rFonts w:ascii="Arial" w:hAnsi="Arial" w:cs="Arial"/>
          <w:spacing w:val="-2"/>
        </w:rPr>
        <w:t>telephone</w:t>
      </w:r>
    </w:p>
    <w:p w14:paraId="20830DF9" w14:textId="77777777" w:rsidR="00F05C60" w:rsidRPr="00232545" w:rsidRDefault="00F05C60" w:rsidP="00F05C60">
      <w:pPr>
        <w:pStyle w:val="BodyText"/>
        <w:spacing w:before="239"/>
        <w:rPr>
          <w:color w:val="007CC3"/>
        </w:rPr>
      </w:pPr>
      <w:r>
        <w:rPr>
          <w:color w:val="007CC3"/>
        </w:rPr>
        <w:t>Adverse</w:t>
      </w:r>
      <w:r w:rsidRPr="00232545">
        <w:rPr>
          <w:color w:val="007CC3"/>
        </w:rPr>
        <w:t xml:space="preserve"> </w:t>
      </w:r>
      <w:r>
        <w:rPr>
          <w:color w:val="007CC3"/>
        </w:rPr>
        <w:t>event</w:t>
      </w:r>
      <w:r w:rsidRPr="00232545">
        <w:rPr>
          <w:color w:val="007CC3"/>
        </w:rPr>
        <w:t xml:space="preserve"> reporting</w:t>
      </w:r>
    </w:p>
    <w:p w14:paraId="5EBBBF67" w14:textId="77777777" w:rsidR="00F05C60" w:rsidRDefault="00F05C60" w:rsidP="00F05C60">
      <w:pPr>
        <w:pStyle w:val="BodyText"/>
        <w:ind w:right="776"/>
      </w:pPr>
      <w:r>
        <w:t>Designated</w:t>
      </w:r>
      <w:r>
        <w:rPr>
          <w:spacing w:val="-5"/>
        </w:rPr>
        <w:t xml:space="preserve"> </w:t>
      </w:r>
      <w:r>
        <w:t>RN</w:t>
      </w:r>
      <w:r>
        <w:rPr>
          <w:spacing w:val="-3"/>
        </w:rPr>
        <w:t xml:space="preserve"> </w:t>
      </w:r>
      <w:r>
        <w:t>prescribers</w:t>
      </w:r>
      <w:r>
        <w:rPr>
          <w:spacing w:val="-4"/>
        </w:rPr>
        <w:t xml:space="preserve"> </w:t>
      </w:r>
      <w:r>
        <w:t>must</w:t>
      </w:r>
      <w:r>
        <w:rPr>
          <w:spacing w:val="-5"/>
        </w:rPr>
        <w:t xml:space="preserve"> </w:t>
      </w:r>
      <w:r>
        <w:t>report</w:t>
      </w:r>
      <w:r>
        <w:rPr>
          <w:spacing w:val="-5"/>
        </w:rPr>
        <w:t xml:space="preserve"> </w:t>
      </w:r>
      <w:r>
        <w:t>all</w:t>
      </w:r>
      <w:r>
        <w:rPr>
          <w:spacing w:val="-6"/>
        </w:rPr>
        <w:t xml:space="preserve"> </w:t>
      </w:r>
      <w:r>
        <w:t>suspected</w:t>
      </w:r>
      <w:r>
        <w:rPr>
          <w:spacing w:val="-4"/>
        </w:rPr>
        <w:t xml:space="preserve"> </w:t>
      </w:r>
      <w:r>
        <w:t>adverse</w:t>
      </w:r>
      <w:r>
        <w:rPr>
          <w:spacing w:val="-5"/>
        </w:rPr>
        <w:t xml:space="preserve"> </w:t>
      </w:r>
      <w:r>
        <w:t>events</w:t>
      </w:r>
      <w:r>
        <w:rPr>
          <w:spacing w:val="-4"/>
        </w:rPr>
        <w:t xml:space="preserve"> </w:t>
      </w:r>
      <w:r>
        <w:t>associated</w:t>
      </w:r>
      <w:r>
        <w:rPr>
          <w:spacing w:val="-3"/>
        </w:rPr>
        <w:t xml:space="preserve"> </w:t>
      </w:r>
      <w:r>
        <w:t>with</w:t>
      </w:r>
      <w:r>
        <w:rPr>
          <w:spacing w:val="-3"/>
        </w:rPr>
        <w:t xml:space="preserve"> </w:t>
      </w:r>
      <w:r>
        <w:t>medicines</w:t>
      </w:r>
      <w:r>
        <w:rPr>
          <w:spacing w:val="-4"/>
        </w:rPr>
        <w:t xml:space="preserve"> </w:t>
      </w:r>
      <w:r>
        <w:t>in accordance with organisational policies and/or procedures – this may include reporting to the Therapeutic Goods Administration (TGA).</w:t>
      </w:r>
    </w:p>
    <w:p w14:paraId="63AACA3A" w14:textId="77777777" w:rsidR="00F05C60" w:rsidRDefault="00F05C60" w:rsidP="00F05C60">
      <w:pPr>
        <w:pStyle w:val="BodyText"/>
        <w:ind w:right="776"/>
      </w:pPr>
      <w:r>
        <w:t>The</w:t>
      </w:r>
      <w:r>
        <w:rPr>
          <w:spacing w:val="-5"/>
        </w:rPr>
        <w:t xml:space="preserve"> </w:t>
      </w:r>
      <w:r>
        <w:t>TGA</w:t>
      </w:r>
      <w:r>
        <w:rPr>
          <w:spacing w:val="-2"/>
        </w:rPr>
        <w:t xml:space="preserve"> </w:t>
      </w:r>
      <w:r>
        <w:t>is</w:t>
      </w:r>
      <w:r>
        <w:rPr>
          <w:spacing w:val="-3"/>
        </w:rPr>
        <w:t xml:space="preserve"> </w:t>
      </w:r>
      <w:r>
        <w:t>part</w:t>
      </w:r>
      <w:r>
        <w:rPr>
          <w:spacing w:val="-2"/>
        </w:rPr>
        <w:t xml:space="preserve"> </w:t>
      </w:r>
      <w:r>
        <w:t>of</w:t>
      </w:r>
      <w:r>
        <w:rPr>
          <w:spacing w:val="-4"/>
        </w:rPr>
        <w:t xml:space="preserve"> </w:t>
      </w:r>
      <w:r>
        <w:t>the</w:t>
      </w:r>
      <w:r>
        <w:rPr>
          <w:spacing w:val="-2"/>
        </w:rPr>
        <w:t xml:space="preserve"> </w:t>
      </w:r>
      <w:r>
        <w:t>Australian</w:t>
      </w:r>
      <w:r>
        <w:rPr>
          <w:spacing w:val="-4"/>
        </w:rPr>
        <w:t xml:space="preserve"> </w:t>
      </w:r>
      <w:r>
        <w:t>Government</w:t>
      </w:r>
      <w:r>
        <w:rPr>
          <w:spacing w:val="-4"/>
        </w:rPr>
        <w:t xml:space="preserve"> </w:t>
      </w:r>
      <w:r>
        <w:t>Department</w:t>
      </w:r>
      <w:r>
        <w:rPr>
          <w:spacing w:val="-2"/>
        </w:rPr>
        <w:t xml:space="preserve"> </w:t>
      </w:r>
      <w:r>
        <w:t>of</w:t>
      </w:r>
      <w:r>
        <w:rPr>
          <w:spacing w:val="-4"/>
        </w:rPr>
        <w:t xml:space="preserve"> </w:t>
      </w:r>
      <w:r>
        <w:t>Health,</w:t>
      </w:r>
      <w:r>
        <w:rPr>
          <w:spacing w:val="-2"/>
        </w:rPr>
        <w:t xml:space="preserve"> </w:t>
      </w:r>
      <w:r>
        <w:t>and</w:t>
      </w:r>
      <w:r>
        <w:rPr>
          <w:spacing w:val="-2"/>
        </w:rPr>
        <w:t xml:space="preserve"> </w:t>
      </w:r>
      <w:r>
        <w:t>is</w:t>
      </w:r>
      <w:r>
        <w:rPr>
          <w:spacing w:val="-3"/>
        </w:rPr>
        <w:t xml:space="preserve"> </w:t>
      </w:r>
      <w:r>
        <w:t>responsible</w:t>
      </w:r>
      <w:r>
        <w:rPr>
          <w:spacing w:val="-4"/>
        </w:rPr>
        <w:t xml:space="preserve"> </w:t>
      </w:r>
      <w:r>
        <w:t>for</w:t>
      </w:r>
      <w:r>
        <w:rPr>
          <w:spacing w:val="-4"/>
        </w:rPr>
        <w:t xml:space="preserve"> </w:t>
      </w:r>
      <w:r>
        <w:t>regulating therapeutic goods including medicines, medical devices, blood and blood products. The TGA also collects reports of adverse events associated with medicines and medical devices. Monitoring of adverse events allows the TGA to investigate and take action on medicines safety issues.</w:t>
      </w:r>
    </w:p>
    <w:p w14:paraId="39FA8E02" w14:textId="77777777" w:rsidR="00A72713" w:rsidRDefault="00F05C60" w:rsidP="00A72713">
      <w:pPr>
        <w:pStyle w:val="BodyText"/>
        <w:spacing w:before="0"/>
        <w:ind w:right="4150"/>
      </w:pPr>
      <w:r>
        <w:t>Further</w:t>
      </w:r>
      <w:r>
        <w:rPr>
          <w:spacing w:val="-6"/>
        </w:rPr>
        <w:t xml:space="preserve"> </w:t>
      </w:r>
      <w:r>
        <w:t>information</w:t>
      </w:r>
      <w:r>
        <w:rPr>
          <w:spacing w:val="-7"/>
        </w:rPr>
        <w:t xml:space="preserve"> </w:t>
      </w:r>
      <w:r>
        <w:t>can</w:t>
      </w:r>
      <w:r>
        <w:rPr>
          <w:spacing w:val="-6"/>
        </w:rPr>
        <w:t xml:space="preserve"> </w:t>
      </w:r>
      <w:r>
        <w:t>be</w:t>
      </w:r>
      <w:r>
        <w:rPr>
          <w:spacing w:val="-3"/>
        </w:rPr>
        <w:t xml:space="preserve"> </w:t>
      </w:r>
      <w:r>
        <w:t>found</w:t>
      </w:r>
      <w:r>
        <w:rPr>
          <w:spacing w:val="-6"/>
        </w:rPr>
        <w:t xml:space="preserve"> </w:t>
      </w:r>
      <w:r>
        <w:t>on</w:t>
      </w:r>
      <w:r>
        <w:rPr>
          <w:spacing w:val="-4"/>
        </w:rPr>
        <w:t xml:space="preserve"> </w:t>
      </w:r>
      <w:r>
        <w:t>the</w:t>
      </w:r>
      <w:r>
        <w:rPr>
          <w:spacing w:val="-1"/>
        </w:rPr>
        <w:t xml:space="preserve"> </w:t>
      </w:r>
      <w:hyperlink r:id="rId77">
        <w:r>
          <w:rPr>
            <w:color w:val="0000FF"/>
            <w:u w:val="single" w:color="0000FF"/>
          </w:rPr>
          <w:t>TGA</w:t>
        </w:r>
        <w:r>
          <w:rPr>
            <w:color w:val="0000FF"/>
            <w:spacing w:val="-6"/>
            <w:u w:val="single" w:color="0000FF"/>
          </w:rPr>
          <w:t xml:space="preserve"> </w:t>
        </w:r>
        <w:r>
          <w:rPr>
            <w:color w:val="0000FF"/>
            <w:u w:val="single" w:color="0000FF"/>
          </w:rPr>
          <w:t>website</w:t>
        </w:r>
        <w:r>
          <w:t>.</w:t>
        </w:r>
      </w:hyperlink>
    </w:p>
    <w:p w14:paraId="2A1CFDEB" w14:textId="1B703053" w:rsidR="00F05C60" w:rsidRPr="00232545" w:rsidRDefault="00F05C60" w:rsidP="00A72713">
      <w:pPr>
        <w:pStyle w:val="BodyText"/>
        <w:spacing w:before="0"/>
        <w:ind w:right="4150"/>
        <w:rPr>
          <w:color w:val="007CC3"/>
        </w:rPr>
      </w:pPr>
      <w:r w:rsidRPr="00232545">
        <w:rPr>
          <w:color w:val="007CC3"/>
        </w:rPr>
        <w:t>Prescriptions</w:t>
      </w:r>
    </w:p>
    <w:p w14:paraId="3545FAF6" w14:textId="77777777" w:rsidR="00F05C60" w:rsidRDefault="00F05C60" w:rsidP="00F05C60">
      <w:pPr>
        <w:pStyle w:val="BodyText"/>
        <w:ind w:right="776"/>
      </w:pPr>
      <w:r>
        <w:t>A</w:t>
      </w:r>
      <w:r>
        <w:rPr>
          <w:spacing w:val="-4"/>
        </w:rPr>
        <w:t xml:space="preserve"> </w:t>
      </w:r>
      <w:r>
        <w:t>prescription</w:t>
      </w:r>
      <w:r>
        <w:rPr>
          <w:spacing w:val="-4"/>
        </w:rPr>
        <w:t xml:space="preserve"> </w:t>
      </w:r>
      <w:r>
        <w:t>is</w:t>
      </w:r>
      <w:r>
        <w:rPr>
          <w:spacing w:val="-3"/>
        </w:rPr>
        <w:t xml:space="preserve"> </w:t>
      </w:r>
      <w:r>
        <w:t>a</w:t>
      </w:r>
      <w:r>
        <w:rPr>
          <w:spacing w:val="-2"/>
        </w:rPr>
        <w:t xml:space="preserve"> </w:t>
      </w:r>
      <w:r>
        <w:t>legal</w:t>
      </w:r>
      <w:r>
        <w:rPr>
          <w:spacing w:val="-5"/>
        </w:rPr>
        <w:t xml:space="preserve"> </w:t>
      </w:r>
      <w:r>
        <w:t>document.</w:t>
      </w:r>
      <w:r>
        <w:rPr>
          <w:spacing w:val="-4"/>
        </w:rPr>
        <w:t xml:space="preserve"> </w:t>
      </w:r>
      <w:r>
        <w:t>It</w:t>
      </w:r>
      <w:r>
        <w:rPr>
          <w:spacing w:val="-2"/>
        </w:rPr>
        <w:t xml:space="preserve"> </w:t>
      </w:r>
      <w:r>
        <w:t>is</w:t>
      </w:r>
      <w:r>
        <w:rPr>
          <w:spacing w:val="-3"/>
        </w:rPr>
        <w:t xml:space="preserve"> </w:t>
      </w:r>
      <w:r>
        <w:t>a</w:t>
      </w:r>
      <w:r>
        <w:rPr>
          <w:spacing w:val="-2"/>
        </w:rPr>
        <w:t xml:space="preserve"> </w:t>
      </w:r>
      <w:r>
        <w:t>precise</w:t>
      </w:r>
      <w:r>
        <w:rPr>
          <w:spacing w:val="-4"/>
        </w:rPr>
        <w:t xml:space="preserve"> </w:t>
      </w:r>
      <w:r>
        <w:t>written</w:t>
      </w:r>
      <w:r>
        <w:rPr>
          <w:spacing w:val="-4"/>
        </w:rPr>
        <w:t xml:space="preserve"> </w:t>
      </w:r>
      <w:r>
        <w:t>instruction</w:t>
      </w:r>
      <w:r>
        <w:rPr>
          <w:spacing w:val="-3"/>
        </w:rPr>
        <w:t xml:space="preserve"> </w:t>
      </w:r>
      <w:r>
        <w:t>from</w:t>
      </w:r>
      <w:r>
        <w:rPr>
          <w:spacing w:val="-2"/>
        </w:rPr>
        <w:t xml:space="preserve"> </w:t>
      </w:r>
      <w:r>
        <w:t>a</w:t>
      </w:r>
      <w:r>
        <w:rPr>
          <w:spacing w:val="-4"/>
        </w:rPr>
        <w:t xml:space="preserve"> </w:t>
      </w:r>
      <w:r>
        <w:t>prescriber</w:t>
      </w:r>
      <w:r>
        <w:rPr>
          <w:spacing w:val="-3"/>
        </w:rPr>
        <w:t xml:space="preserve"> </w:t>
      </w:r>
      <w:r>
        <w:t>to</w:t>
      </w:r>
      <w:r>
        <w:rPr>
          <w:spacing w:val="-3"/>
        </w:rPr>
        <w:t xml:space="preserve"> </w:t>
      </w:r>
      <w:r>
        <w:t>a</w:t>
      </w:r>
      <w:r>
        <w:rPr>
          <w:spacing w:val="-4"/>
        </w:rPr>
        <w:t xml:space="preserve"> </w:t>
      </w:r>
      <w:r>
        <w:t>pharmacist for preparing and dispensing a drug for a person.</w:t>
      </w:r>
    </w:p>
    <w:p w14:paraId="58B979FF" w14:textId="77777777" w:rsidR="00F05C60" w:rsidRDefault="00F05C60" w:rsidP="00F05C60">
      <w:pPr>
        <w:pStyle w:val="BodyText"/>
        <w:spacing w:before="197"/>
        <w:ind w:right="730"/>
      </w:pPr>
      <w:r>
        <w:t>The designated RN prescriber has a duty of care to provide a prescription that is legible; this reduces the</w:t>
      </w:r>
      <w:r>
        <w:rPr>
          <w:spacing w:val="-5"/>
        </w:rPr>
        <w:t xml:space="preserve"> </w:t>
      </w:r>
      <w:r>
        <w:t>potential</w:t>
      </w:r>
      <w:r>
        <w:rPr>
          <w:spacing w:val="-5"/>
        </w:rPr>
        <w:t xml:space="preserve"> </w:t>
      </w:r>
      <w:r>
        <w:t>for</w:t>
      </w:r>
      <w:r>
        <w:rPr>
          <w:spacing w:val="-4"/>
        </w:rPr>
        <w:t xml:space="preserve"> </w:t>
      </w:r>
      <w:r>
        <w:t>errors</w:t>
      </w:r>
      <w:r>
        <w:rPr>
          <w:spacing w:val="-2"/>
        </w:rPr>
        <w:t xml:space="preserve"> </w:t>
      </w:r>
      <w:r>
        <w:t>in</w:t>
      </w:r>
      <w:r>
        <w:rPr>
          <w:spacing w:val="-3"/>
        </w:rPr>
        <w:t xml:space="preserve"> </w:t>
      </w:r>
      <w:r>
        <w:t>treatment.</w:t>
      </w:r>
      <w:r>
        <w:rPr>
          <w:spacing w:val="-2"/>
        </w:rPr>
        <w:t xml:space="preserve"> </w:t>
      </w:r>
      <w:r>
        <w:t>Computer</w:t>
      </w:r>
      <w:r>
        <w:rPr>
          <w:spacing w:val="-4"/>
        </w:rPr>
        <w:t xml:space="preserve"> </w:t>
      </w:r>
      <w:r>
        <w:t>generated</w:t>
      </w:r>
      <w:r>
        <w:rPr>
          <w:spacing w:val="-5"/>
        </w:rPr>
        <w:t xml:space="preserve"> </w:t>
      </w:r>
      <w:r>
        <w:t>prescriptions</w:t>
      </w:r>
      <w:r>
        <w:rPr>
          <w:spacing w:val="-3"/>
        </w:rPr>
        <w:t xml:space="preserve"> </w:t>
      </w:r>
      <w:r>
        <w:t>are</w:t>
      </w:r>
      <w:r>
        <w:rPr>
          <w:spacing w:val="-4"/>
        </w:rPr>
        <w:t xml:space="preserve"> </w:t>
      </w:r>
      <w:r>
        <w:t>generally</w:t>
      </w:r>
      <w:r>
        <w:rPr>
          <w:spacing w:val="-3"/>
        </w:rPr>
        <w:t xml:space="preserve"> </w:t>
      </w:r>
      <w:r>
        <w:t>more</w:t>
      </w:r>
      <w:r>
        <w:rPr>
          <w:spacing w:val="-4"/>
        </w:rPr>
        <w:t xml:space="preserve"> </w:t>
      </w:r>
      <w:r>
        <w:t>legible</w:t>
      </w:r>
      <w:r>
        <w:rPr>
          <w:spacing w:val="-4"/>
        </w:rPr>
        <w:t xml:space="preserve"> </w:t>
      </w:r>
      <w:r>
        <w:t>than those that are handwritten.</w:t>
      </w:r>
    </w:p>
    <w:p w14:paraId="5E8A022D" w14:textId="77777777" w:rsidR="00F05C60" w:rsidRDefault="00F05C60" w:rsidP="00F05C60">
      <w:pPr>
        <w:pStyle w:val="BodyText"/>
        <w:spacing w:before="198"/>
        <w:ind w:right="776"/>
      </w:pPr>
      <w:r>
        <w:t>Regardless</w:t>
      </w:r>
      <w:r>
        <w:rPr>
          <w:spacing w:val="-3"/>
        </w:rPr>
        <w:t xml:space="preserve"> </w:t>
      </w:r>
      <w:r>
        <w:t>of</w:t>
      </w:r>
      <w:r>
        <w:rPr>
          <w:spacing w:val="-2"/>
        </w:rPr>
        <w:t xml:space="preserve"> </w:t>
      </w:r>
      <w:r>
        <w:t>the</w:t>
      </w:r>
      <w:r>
        <w:rPr>
          <w:spacing w:val="-3"/>
        </w:rPr>
        <w:t xml:space="preserve"> </w:t>
      </w:r>
      <w:r>
        <w:t>format</w:t>
      </w:r>
      <w:r>
        <w:rPr>
          <w:spacing w:val="-4"/>
        </w:rPr>
        <w:t xml:space="preserve"> </w:t>
      </w:r>
      <w:r>
        <w:t>of</w:t>
      </w:r>
      <w:r>
        <w:rPr>
          <w:spacing w:val="-2"/>
        </w:rPr>
        <w:t xml:space="preserve"> </w:t>
      </w:r>
      <w:r>
        <w:t>the</w:t>
      </w:r>
      <w:r>
        <w:rPr>
          <w:spacing w:val="-2"/>
        </w:rPr>
        <w:t xml:space="preserve"> </w:t>
      </w:r>
      <w:r>
        <w:t>prescriptions, designated</w:t>
      </w:r>
      <w:r>
        <w:rPr>
          <w:spacing w:val="-5"/>
        </w:rPr>
        <w:t xml:space="preserve"> </w:t>
      </w:r>
      <w:r>
        <w:t>RN</w:t>
      </w:r>
      <w:r>
        <w:rPr>
          <w:spacing w:val="-2"/>
        </w:rPr>
        <w:t xml:space="preserve"> </w:t>
      </w:r>
      <w:r>
        <w:t>prescribers</w:t>
      </w:r>
      <w:r>
        <w:rPr>
          <w:spacing w:val="-3"/>
        </w:rPr>
        <w:t xml:space="preserve"> </w:t>
      </w:r>
      <w:r>
        <w:t>need</w:t>
      </w:r>
      <w:r>
        <w:rPr>
          <w:spacing w:val="-5"/>
        </w:rPr>
        <w:t xml:space="preserve"> </w:t>
      </w:r>
      <w:r>
        <w:t>to</w:t>
      </w:r>
      <w:r>
        <w:rPr>
          <w:spacing w:val="-2"/>
        </w:rPr>
        <w:t xml:space="preserve"> </w:t>
      </w:r>
      <w:r>
        <w:t>check</w:t>
      </w:r>
      <w:r>
        <w:rPr>
          <w:spacing w:val="-3"/>
        </w:rPr>
        <w:t xml:space="preserve"> </w:t>
      </w:r>
      <w:r>
        <w:t>the</w:t>
      </w:r>
      <w:r>
        <w:rPr>
          <w:spacing w:val="-4"/>
        </w:rPr>
        <w:t xml:space="preserve"> </w:t>
      </w:r>
      <w:r>
        <w:t>details</w:t>
      </w:r>
      <w:r>
        <w:rPr>
          <w:spacing w:val="-3"/>
        </w:rPr>
        <w:t xml:space="preserve"> </w:t>
      </w:r>
      <w:r>
        <w:t>of the prescription for appropriateness, completeness and correctness.</w:t>
      </w:r>
    </w:p>
    <w:p w14:paraId="6F8270AE" w14:textId="77777777" w:rsidR="00F05C60" w:rsidRDefault="00F05C60" w:rsidP="00F05C60">
      <w:pPr>
        <w:pStyle w:val="BodyText"/>
        <w:spacing w:before="201"/>
        <w:ind w:right="776"/>
      </w:pPr>
      <w:r>
        <w:t>The essential information needed for a legal prescription may vary between states and territories. Designated</w:t>
      </w:r>
      <w:r>
        <w:rPr>
          <w:spacing w:val="-5"/>
        </w:rPr>
        <w:t xml:space="preserve"> </w:t>
      </w:r>
      <w:r>
        <w:t>RN</w:t>
      </w:r>
      <w:r>
        <w:rPr>
          <w:spacing w:val="-3"/>
        </w:rPr>
        <w:t xml:space="preserve"> </w:t>
      </w:r>
      <w:r>
        <w:t>prescribers</w:t>
      </w:r>
      <w:r>
        <w:rPr>
          <w:spacing w:val="-4"/>
        </w:rPr>
        <w:t xml:space="preserve"> </w:t>
      </w:r>
      <w:r>
        <w:t>need</w:t>
      </w:r>
      <w:r>
        <w:rPr>
          <w:spacing w:val="-5"/>
        </w:rPr>
        <w:t xml:space="preserve"> </w:t>
      </w:r>
      <w:r>
        <w:t>to</w:t>
      </w:r>
      <w:r>
        <w:rPr>
          <w:spacing w:val="-3"/>
        </w:rPr>
        <w:t xml:space="preserve"> </w:t>
      </w:r>
      <w:r>
        <w:t>be</w:t>
      </w:r>
      <w:r>
        <w:rPr>
          <w:spacing w:val="-4"/>
        </w:rPr>
        <w:t xml:space="preserve"> </w:t>
      </w:r>
      <w:r>
        <w:t>aware</w:t>
      </w:r>
      <w:r>
        <w:rPr>
          <w:spacing w:val="-3"/>
        </w:rPr>
        <w:t xml:space="preserve"> </w:t>
      </w:r>
      <w:r>
        <w:t>of</w:t>
      </w:r>
      <w:r>
        <w:rPr>
          <w:spacing w:val="-5"/>
        </w:rPr>
        <w:t xml:space="preserve"> </w:t>
      </w:r>
      <w:r>
        <w:t>these</w:t>
      </w:r>
      <w:r>
        <w:rPr>
          <w:spacing w:val="-3"/>
        </w:rPr>
        <w:t xml:space="preserve"> </w:t>
      </w:r>
      <w:r>
        <w:t>variances</w:t>
      </w:r>
      <w:r>
        <w:rPr>
          <w:spacing w:val="-4"/>
        </w:rPr>
        <w:t xml:space="preserve"> </w:t>
      </w:r>
      <w:r>
        <w:t>if</w:t>
      </w:r>
      <w:r>
        <w:rPr>
          <w:spacing w:val="-5"/>
        </w:rPr>
        <w:t xml:space="preserve"> </w:t>
      </w:r>
      <w:r>
        <w:t>practising</w:t>
      </w:r>
      <w:r>
        <w:rPr>
          <w:spacing w:val="-4"/>
        </w:rPr>
        <w:t xml:space="preserve"> </w:t>
      </w:r>
      <w:r>
        <w:t>in</w:t>
      </w:r>
      <w:r>
        <w:rPr>
          <w:spacing w:val="-3"/>
        </w:rPr>
        <w:t xml:space="preserve"> </w:t>
      </w:r>
      <w:r>
        <w:t>different</w:t>
      </w:r>
      <w:r>
        <w:rPr>
          <w:spacing w:val="-5"/>
        </w:rPr>
        <w:t xml:space="preserve"> </w:t>
      </w:r>
      <w:r>
        <w:t>jurisdictions.</w:t>
      </w:r>
    </w:p>
    <w:p w14:paraId="7A29B878" w14:textId="77777777" w:rsidR="00F05C60" w:rsidRDefault="00F05C60" w:rsidP="00A72713">
      <w:pPr>
        <w:pStyle w:val="BodyText"/>
        <w:ind w:left="119" w:hanging="119"/>
      </w:pPr>
      <w:r>
        <w:t>The</w:t>
      </w:r>
      <w:r w:rsidRPr="0034266D">
        <w:t xml:space="preserve"> </w:t>
      </w:r>
      <w:r>
        <w:t>requirements</w:t>
      </w:r>
      <w:r w:rsidRPr="0034266D">
        <w:t xml:space="preserve"> </w:t>
      </w:r>
      <w:r>
        <w:t>generally</w:t>
      </w:r>
      <w:r w:rsidRPr="0034266D">
        <w:t xml:space="preserve"> include:</w:t>
      </w:r>
    </w:p>
    <w:p w14:paraId="2D96DE23" w14:textId="77777777" w:rsidR="00F05C60" w:rsidRPr="00A72713" w:rsidRDefault="00F05C60" w:rsidP="00A72713">
      <w:pPr>
        <w:pStyle w:val="ListParagraph"/>
        <w:widowControl w:val="0"/>
        <w:numPr>
          <w:ilvl w:val="0"/>
          <w:numId w:val="59"/>
        </w:numPr>
        <w:tabs>
          <w:tab w:val="left" w:pos="480"/>
        </w:tabs>
        <w:autoSpaceDE w:val="0"/>
        <w:autoSpaceDN w:val="0"/>
        <w:spacing w:before="201" w:after="0" w:line="245" w:lineRule="exact"/>
        <w:ind w:left="480" w:hanging="338"/>
        <w:contextualSpacing w:val="0"/>
        <w:rPr>
          <w:rFonts w:ascii="Arial" w:hAnsi="Arial" w:cs="Arial"/>
        </w:rPr>
      </w:pPr>
      <w:r w:rsidRPr="00A72713">
        <w:rPr>
          <w:rFonts w:ascii="Arial" w:hAnsi="Arial" w:cs="Arial"/>
        </w:rPr>
        <w:t>prescribers</w:t>
      </w:r>
      <w:r w:rsidRPr="00A72713">
        <w:rPr>
          <w:rFonts w:ascii="Arial" w:hAnsi="Arial" w:cs="Arial"/>
          <w:spacing w:val="-9"/>
        </w:rPr>
        <w:t xml:space="preserve"> </w:t>
      </w:r>
      <w:r w:rsidRPr="00A72713">
        <w:rPr>
          <w:rFonts w:ascii="Arial" w:hAnsi="Arial" w:cs="Arial"/>
        </w:rPr>
        <w:t>name,</w:t>
      </w:r>
      <w:r w:rsidRPr="00A72713">
        <w:rPr>
          <w:rFonts w:ascii="Arial" w:hAnsi="Arial" w:cs="Arial"/>
          <w:spacing w:val="-10"/>
        </w:rPr>
        <w:t xml:space="preserve"> </w:t>
      </w:r>
      <w:r w:rsidRPr="00A72713">
        <w:rPr>
          <w:rFonts w:ascii="Arial" w:hAnsi="Arial" w:cs="Arial"/>
        </w:rPr>
        <w:t>address,</w:t>
      </w:r>
      <w:r w:rsidRPr="00A72713">
        <w:rPr>
          <w:rFonts w:ascii="Arial" w:hAnsi="Arial" w:cs="Arial"/>
          <w:spacing w:val="-8"/>
        </w:rPr>
        <w:t xml:space="preserve"> </w:t>
      </w:r>
      <w:r w:rsidRPr="00A72713">
        <w:rPr>
          <w:rFonts w:ascii="Arial" w:hAnsi="Arial" w:cs="Arial"/>
        </w:rPr>
        <w:t>telephone</w:t>
      </w:r>
      <w:r w:rsidRPr="00A72713">
        <w:rPr>
          <w:rFonts w:ascii="Arial" w:hAnsi="Arial" w:cs="Arial"/>
          <w:spacing w:val="-8"/>
        </w:rPr>
        <w:t xml:space="preserve"> </w:t>
      </w:r>
      <w:r w:rsidRPr="00A72713">
        <w:rPr>
          <w:rFonts w:ascii="Arial" w:hAnsi="Arial" w:cs="Arial"/>
        </w:rPr>
        <w:t>number</w:t>
      </w:r>
      <w:r w:rsidRPr="00A72713">
        <w:rPr>
          <w:rFonts w:ascii="Arial" w:hAnsi="Arial" w:cs="Arial"/>
          <w:spacing w:val="-7"/>
        </w:rPr>
        <w:t xml:space="preserve"> </w:t>
      </w:r>
      <w:r w:rsidRPr="00A72713">
        <w:rPr>
          <w:rFonts w:ascii="Arial" w:hAnsi="Arial" w:cs="Arial"/>
        </w:rPr>
        <w:t>and</w:t>
      </w:r>
      <w:r w:rsidRPr="00A72713">
        <w:rPr>
          <w:rFonts w:ascii="Arial" w:hAnsi="Arial" w:cs="Arial"/>
          <w:spacing w:val="-8"/>
        </w:rPr>
        <w:t xml:space="preserve"> </w:t>
      </w:r>
      <w:r w:rsidRPr="00A72713">
        <w:rPr>
          <w:rFonts w:ascii="Arial" w:hAnsi="Arial" w:cs="Arial"/>
          <w:spacing w:val="-2"/>
        </w:rPr>
        <w:t>qualifications</w:t>
      </w:r>
    </w:p>
    <w:p w14:paraId="0FD4B903" w14:textId="77777777" w:rsidR="00F05C60" w:rsidRPr="00A72713" w:rsidRDefault="00F05C60" w:rsidP="00A72713">
      <w:pPr>
        <w:pStyle w:val="ListParagraph"/>
        <w:widowControl w:val="0"/>
        <w:numPr>
          <w:ilvl w:val="0"/>
          <w:numId w:val="59"/>
        </w:numPr>
        <w:tabs>
          <w:tab w:val="left" w:pos="480"/>
        </w:tabs>
        <w:autoSpaceDE w:val="0"/>
        <w:autoSpaceDN w:val="0"/>
        <w:spacing w:after="0" w:line="240" w:lineRule="auto"/>
        <w:ind w:left="482" w:hanging="340"/>
        <w:contextualSpacing w:val="0"/>
        <w:rPr>
          <w:rFonts w:ascii="Arial" w:hAnsi="Arial" w:cs="Arial"/>
        </w:rPr>
      </w:pPr>
      <w:r w:rsidRPr="00A72713">
        <w:rPr>
          <w:rFonts w:ascii="Arial" w:hAnsi="Arial" w:cs="Arial"/>
        </w:rPr>
        <w:t>person’s full name, address and date of birth</w:t>
      </w:r>
    </w:p>
    <w:p w14:paraId="6ECA68D3" w14:textId="77777777" w:rsidR="00F05C60" w:rsidRPr="00A72713" w:rsidRDefault="00F05C60" w:rsidP="00A72713">
      <w:pPr>
        <w:pStyle w:val="ListParagraph"/>
        <w:widowControl w:val="0"/>
        <w:numPr>
          <w:ilvl w:val="0"/>
          <w:numId w:val="59"/>
        </w:numPr>
        <w:tabs>
          <w:tab w:val="left" w:pos="480"/>
        </w:tabs>
        <w:autoSpaceDE w:val="0"/>
        <w:autoSpaceDN w:val="0"/>
        <w:spacing w:after="0" w:line="240" w:lineRule="auto"/>
        <w:ind w:left="482" w:hanging="340"/>
        <w:contextualSpacing w:val="0"/>
        <w:rPr>
          <w:rFonts w:ascii="Arial" w:hAnsi="Arial" w:cs="Arial"/>
        </w:rPr>
      </w:pPr>
      <w:r w:rsidRPr="00A72713">
        <w:rPr>
          <w:rFonts w:ascii="Arial" w:hAnsi="Arial" w:cs="Arial"/>
        </w:rPr>
        <w:t>date the prescription is written</w:t>
      </w:r>
    </w:p>
    <w:p w14:paraId="66246474" w14:textId="77777777" w:rsidR="00F05C60" w:rsidRPr="00A72713" w:rsidRDefault="00F05C60" w:rsidP="00A72713">
      <w:pPr>
        <w:pStyle w:val="ListParagraph"/>
        <w:widowControl w:val="0"/>
        <w:numPr>
          <w:ilvl w:val="0"/>
          <w:numId w:val="59"/>
        </w:numPr>
        <w:tabs>
          <w:tab w:val="left" w:pos="480"/>
        </w:tabs>
        <w:autoSpaceDE w:val="0"/>
        <w:autoSpaceDN w:val="0"/>
        <w:spacing w:after="0" w:line="240" w:lineRule="auto"/>
        <w:ind w:left="482" w:hanging="340"/>
        <w:contextualSpacing w:val="0"/>
        <w:rPr>
          <w:rFonts w:ascii="Arial" w:hAnsi="Arial" w:cs="Arial"/>
        </w:rPr>
      </w:pPr>
      <w:r w:rsidRPr="00A72713">
        <w:rPr>
          <w:rFonts w:ascii="Arial" w:hAnsi="Arial" w:cs="Arial"/>
        </w:rPr>
        <w:t>drug name in full</w:t>
      </w:r>
    </w:p>
    <w:p w14:paraId="1D2EB572" w14:textId="77777777" w:rsidR="00F05C60" w:rsidRPr="00A72713" w:rsidRDefault="00F05C60" w:rsidP="00A72713">
      <w:pPr>
        <w:pStyle w:val="ListParagraph"/>
        <w:widowControl w:val="0"/>
        <w:numPr>
          <w:ilvl w:val="0"/>
          <w:numId w:val="59"/>
        </w:numPr>
        <w:tabs>
          <w:tab w:val="left" w:pos="480"/>
        </w:tabs>
        <w:autoSpaceDE w:val="0"/>
        <w:autoSpaceDN w:val="0"/>
        <w:spacing w:after="0" w:line="240" w:lineRule="auto"/>
        <w:ind w:left="482" w:hanging="340"/>
        <w:contextualSpacing w:val="0"/>
        <w:rPr>
          <w:rFonts w:ascii="Arial" w:hAnsi="Arial" w:cs="Arial"/>
        </w:rPr>
      </w:pPr>
      <w:r w:rsidRPr="00A72713">
        <w:rPr>
          <w:rFonts w:ascii="Arial" w:hAnsi="Arial" w:cs="Arial"/>
        </w:rPr>
        <w:t>drug strength</w:t>
      </w:r>
    </w:p>
    <w:p w14:paraId="23F3A132" w14:textId="77777777" w:rsidR="00F05C60" w:rsidRPr="00A72713" w:rsidRDefault="00F05C60" w:rsidP="00A72713">
      <w:pPr>
        <w:pStyle w:val="ListParagraph"/>
        <w:widowControl w:val="0"/>
        <w:numPr>
          <w:ilvl w:val="0"/>
          <w:numId w:val="59"/>
        </w:numPr>
        <w:tabs>
          <w:tab w:val="left" w:pos="480"/>
        </w:tabs>
        <w:autoSpaceDE w:val="0"/>
        <w:autoSpaceDN w:val="0"/>
        <w:spacing w:after="0" w:line="240" w:lineRule="auto"/>
        <w:ind w:left="482" w:hanging="340"/>
        <w:contextualSpacing w:val="0"/>
        <w:rPr>
          <w:rFonts w:ascii="Arial" w:hAnsi="Arial" w:cs="Arial"/>
        </w:rPr>
      </w:pPr>
      <w:r w:rsidRPr="00A72713">
        <w:rPr>
          <w:rFonts w:ascii="Arial" w:hAnsi="Arial" w:cs="Arial"/>
        </w:rPr>
        <w:t>drug form (e.g. tablet, capsule, or mixture)</w:t>
      </w:r>
    </w:p>
    <w:p w14:paraId="547BB947" w14:textId="77777777" w:rsidR="00F05C60" w:rsidRPr="00A72713" w:rsidRDefault="00F05C60" w:rsidP="00A72713">
      <w:pPr>
        <w:pStyle w:val="ListParagraph"/>
        <w:widowControl w:val="0"/>
        <w:numPr>
          <w:ilvl w:val="0"/>
          <w:numId w:val="59"/>
        </w:numPr>
        <w:tabs>
          <w:tab w:val="left" w:pos="480"/>
        </w:tabs>
        <w:autoSpaceDE w:val="0"/>
        <w:autoSpaceDN w:val="0"/>
        <w:spacing w:after="0" w:line="240" w:lineRule="auto"/>
        <w:ind w:left="482" w:hanging="340"/>
        <w:contextualSpacing w:val="0"/>
        <w:rPr>
          <w:rFonts w:ascii="Arial" w:hAnsi="Arial" w:cs="Arial"/>
        </w:rPr>
      </w:pPr>
      <w:r w:rsidRPr="00A72713">
        <w:rPr>
          <w:rFonts w:ascii="Arial" w:hAnsi="Arial" w:cs="Arial"/>
        </w:rPr>
        <w:t>quantity of drug to be supplied</w:t>
      </w:r>
    </w:p>
    <w:p w14:paraId="297FC8E3" w14:textId="77777777" w:rsidR="00F05C60" w:rsidRPr="00A72713" w:rsidRDefault="00F05C60" w:rsidP="00A72713">
      <w:pPr>
        <w:pStyle w:val="ListParagraph"/>
        <w:widowControl w:val="0"/>
        <w:numPr>
          <w:ilvl w:val="0"/>
          <w:numId w:val="59"/>
        </w:numPr>
        <w:tabs>
          <w:tab w:val="left" w:pos="480"/>
        </w:tabs>
        <w:autoSpaceDE w:val="0"/>
        <w:autoSpaceDN w:val="0"/>
        <w:spacing w:after="0" w:line="240" w:lineRule="auto"/>
        <w:ind w:left="482" w:hanging="340"/>
        <w:contextualSpacing w:val="0"/>
        <w:rPr>
          <w:rFonts w:ascii="Arial" w:hAnsi="Arial" w:cs="Arial"/>
        </w:rPr>
      </w:pPr>
      <w:r w:rsidRPr="00A72713">
        <w:rPr>
          <w:rFonts w:ascii="Arial" w:hAnsi="Arial" w:cs="Arial"/>
        </w:rPr>
        <w:t>drug dose, route of administration, frequency, and duration of treatment (if necessary)</w:t>
      </w:r>
    </w:p>
    <w:p w14:paraId="264A7C1E" w14:textId="77777777" w:rsidR="00F05C60" w:rsidRPr="00A72713" w:rsidRDefault="00F05C60" w:rsidP="00A72713">
      <w:pPr>
        <w:pStyle w:val="ListParagraph"/>
        <w:widowControl w:val="0"/>
        <w:numPr>
          <w:ilvl w:val="0"/>
          <w:numId w:val="59"/>
        </w:numPr>
        <w:tabs>
          <w:tab w:val="left" w:pos="480"/>
        </w:tabs>
        <w:autoSpaceDE w:val="0"/>
        <w:autoSpaceDN w:val="0"/>
        <w:spacing w:after="0" w:line="240" w:lineRule="auto"/>
        <w:ind w:left="482" w:hanging="340"/>
        <w:contextualSpacing w:val="0"/>
        <w:rPr>
          <w:rFonts w:ascii="Arial" w:hAnsi="Arial" w:cs="Arial"/>
        </w:rPr>
      </w:pPr>
      <w:r w:rsidRPr="00A72713">
        <w:rPr>
          <w:rFonts w:ascii="Arial" w:hAnsi="Arial" w:cs="Arial"/>
        </w:rPr>
        <w:t>clear instructions for the person (in English) – it is not appropriate to write ‘take as directed’</w:t>
      </w:r>
    </w:p>
    <w:p w14:paraId="12884199" w14:textId="77777777" w:rsidR="00F05C60" w:rsidRPr="00A72713" w:rsidRDefault="00F05C60" w:rsidP="00A72713">
      <w:pPr>
        <w:pStyle w:val="ListParagraph"/>
        <w:widowControl w:val="0"/>
        <w:numPr>
          <w:ilvl w:val="0"/>
          <w:numId w:val="59"/>
        </w:numPr>
        <w:tabs>
          <w:tab w:val="left" w:pos="480"/>
        </w:tabs>
        <w:autoSpaceDE w:val="0"/>
        <w:autoSpaceDN w:val="0"/>
        <w:spacing w:after="0" w:line="240" w:lineRule="auto"/>
        <w:ind w:left="482" w:hanging="340"/>
        <w:contextualSpacing w:val="0"/>
        <w:rPr>
          <w:rFonts w:ascii="Arial" w:hAnsi="Arial" w:cs="Arial"/>
        </w:rPr>
      </w:pPr>
      <w:r w:rsidRPr="00A72713">
        <w:rPr>
          <w:rFonts w:ascii="Arial" w:hAnsi="Arial" w:cs="Arial"/>
        </w:rPr>
        <w:t>any further instructions necessary for the pharmacist, and</w:t>
      </w:r>
    </w:p>
    <w:p w14:paraId="2AE8FD9A" w14:textId="77777777" w:rsidR="00A72713" w:rsidRPr="00A72713" w:rsidRDefault="00F05C60" w:rsidP="00A72713">
      <w:pPr>
        <w:pStyle w:val="ListParagraph"/>
        <w:widowControl w:val="0"/>
        <w:numPr>
          <w:ilvl w:val="0"/>
          <w:numId w:val="59"/>
        </w:numPr>
        <w:tabs>
          <w:tab w:val="left" w:pos="480"/>
        </w:tabs>
        <w:autoSpaceDE w:val="0"/>
        <w:autoSpaceDN w:val="0"/>
        <w:spacing w:after="200" w:line="240" w:lineRule="auto"/>
        <w:ind w:left="482" w:hanging="340"/>
        <w:contextualSpacing w:val="0"/>
        <w:rPr>
          <w:rFonts w:ascii="Arial" w:hAnsi="Arial" w:cs="Arial"/>
        </w:rPr>
      </w:pPr>
      <w:r w:rsidRPr="00A72713">
        <w:rPr>
          <w:rFonts w:ascii="Arial" w:hAnsi="Arial" w:cs="Arial"/>
        </w:rPr>
        <w:t>the signature of the prescriber in ink.</w:t>
      </w:r>
    </w:p>
    <w:p w14:paraId="104954FD" w14:textId="3D01796B" w:rsidR="00F05C60" w:rsidRPr="00A72713" w:rsidRDefault="00F05C60" w:rsidP="00A72713">
      <w:pPr>
        <w:widowControl w:val="0"/>
        <w:tabs>
          <w:tab w:val="left" w:pos="480"/>
        </w:tabs>
        <w:autoSpaceDE w:val="0"/>
        <w:autoSpaceDN w:val="0"/>
        <w:spacing w:after="0" w:line="432" w:lineRule="auto"/>
        <w:ind w:left="120" w:right="6166" w:hanging="120"/>
        <w:rPr>
          <w:rFonts w:cs="Arial"/>
          <w:noProof/>
          <w:color w:val="007CC3"/>
        </w:rPr>
      </w:pPr>
      <w:r w:rsidRPr="00A72713">
        <w:rPr>
          <w:rFonts w:cs="Arial"/>
          <w:noProof/>
          <w:color w:val="007CC3"/>
        </w:rPr>
        <w:t>Supply of scheduled medicines</w:t>
      </w:r>
    </w:p>
    <w:p w14:paraId="684E2F8C" w14:textId="77777777" w:rsidR="00F05C60" w:rsidRDefault="00F05C60" w:rsidP="00F05C60">
      <w:pPr>
        <w:pStyle w:val="BodyText"/>
        <w:spacing w:before="15"/>
        <w:ind w:right="840"/>
      </w:pPr>
      <w:r>
        <w:t>The</w:t>
      </w:r>
      <w:r>
        <w:rPr>
          <w:spacing w:val="-6"/>
        </w:rPr>
        <w:t xml:space="preserve"> </w:t>
      </w:r>
      <w:r>
        <w:t>NMBA</w:t>
      </w:r>
      <w:r>
        <w:rPr>
          <w:spacing w:val="-5"/>
        </w:rPr>
        <w:t xml:space="preserve"> </w:t>
      </w:r>
      <w:r>
        <w:t>supports</w:t>
      </w:r>
      <w:r>
        <w:rPr>
          <w:spacing w:val="-3"/>
        </w:rPr>
        <w:t xml:space="preserve"> </w:t>
      </w:r>
      <w:r>
        <w:t>the</w:t>
      </w:r>
      <w:r>
        <w:rPr>
          <w:spacing w:val="-3"/>
        </w:rPr>
        <w:t xml:space="preserve"> </w:t>
      </w:r>
      <w:r>
        <w:t>view</w:t>
      </w:r>
      <w:r>
        <w:rPr>
          <w:spacing w:val="-5"/>
        </w:rPr>
        <w:t xml:space="preserve"> </w:t>
      </w:r>
      <w:r>
        <w:t>that</w:t>
      </w:r>
      <w:r>
        <w:rPr>
          <w:spacing w:val="-3"/>
        </w:rPr>
        <w:t xml:space="preserve"> </w:t>
      </w:r>
      <w:r>
        <w:t>the</w:t>
      </w:r>
      <w:r>
        <w:rPr>
          <w:spacing w:val="-3"/>
        </w:rPr>
        <w:t xml:space="preserve"> </w:t>
      </w:r>
      <w:r>
        <w:t>division</w:t>
      </w:r>
      <w:r>
        <w:rPr>
          <w:spacing w:val="-3"/>
        </w:rPr>
        <w:t xml:space="preserve"> </w:t>
      </w:r>
      <w:r>
        <w:t>of</w:t>
      </w:r>
      <w:r>
        <w:rPr>
          <w:spacing w:val="-5"/>
        </w:rPr>
        <w:t xml:space="preserve"> </w:t>
      </w:r>
      <w:r>
        <w:t>responsibility</w:t>
      </w:r>
      <w:r>
        <w:rPr>
          <w:spacing w:val="-4"/>
        </w:rPr>
        <w:t xml:space="preserve"> </w:t>
      </w:r>
      <w:r>
        <w:t>between a</w:t>
      </w:r>
      <w:r>
        <w:rPr>
          <w:spacing w:val="-3"/>
        </w:rPr>
        <w:t xml:space="preserve"> </w:t>
      </w:r>
      <w:r>
        <w:t>designated</w:t>
      </w:r>
      <w:r>
        <w:rPr>
          <w:spacing w:val="-6"/>
        </w:rPr>
        <w:t xml:space="preserve"> </w:t>
      </w:r>
      <w:r>
        <w:t>RN</w:t>
      </w:r>
      <w:r>
        <w:rPr>
          <w:spacing w:val="-3"/>
        </w:rPr>
        <w:t xml:space="preserve"> </w:t>
      </w:r>
      <w:r>
        <w:t>prescriber who</w:t>
      </w:r>
      <w:r>
        <w:rPr>
          <w:spacing w:val="-2"/>
        </w:rPr>
        <w:t xml:space="preserve"> </w:t>
      </w:r>
      <w:r>
        <w:t>prescribes a</w:t>
      </w:r>
      <w:r>
        <w:rPr>
          <w:spacing w:val="-2"/>
        </w:rPr>
        <w:t xml:space="preserve"> </w:t>
      </w:r>
      <w:r>
        <w:t>scheduled</w:t>
      </w:r>
      <w:r>
        <w:rPr>
          <w:spacing w:val="-1"/>
        </w:rPr>
        <w:t xml:space="preserve"> </w:t>
      </w:r>
      <w:r>
        <w:t>medicine and a</w:t>
      </w:r>
      <w:r>
        <w:rPr>
          <w:spacing w:val="-1"/>
        </w:rPr>
        <w:t xml:space="preserve"> </w:t>
      </w:r>
      <w:r>
        <w:t>pharmacist,</w:t>
      </w:r>
      <w:r>
        <w:rPr>
          <w:spacing w:val="-1"/>
        </w:rPr>
        <w:t xml:space="preserve"> </w:t>
      </w:r>
      <w:r>
        <w:t>who dispenses the scheduled</w:t>
      </w:r>
      <w:r>
        <w:rPr>
          <w:spacing w:val="-2"/>
        </w:rPr>
        <w:t xml:space="preserve"> </w:t>
      </w:r>
      <w:r>
        <w:t>medicine</w:t>
      </w:r>
      <w:r>
        <w:rPr>
          <w:spacing w:val="-1"/>
        </w:rPr>
        <w:t xml:space="preserve"> </w:t>
      </w:r>
      <w:r>
        <w:t>to the person, provides an important check designed to safeguard people. This is supported by state and territory legislation and the use of Real Time Prescribing Monitoring.</w:t>
      </w:r>
    </w:p>
    <w:p w14:paraId="1A82EC32" w14:textId="77777777" w:rsidR="00F05C60" w:rsidRDefault="00F05C60" w:rsidP="00F05C60">
      <w:pPr>
        <w:rPr>
          <w:szCs w:val="20"/>
        </w:rPr>
      </w:pPr>
      <w:r>
        <w:br w:type="page"/>
      </w:r>
    </w:p>
    <w:p w14:paraId="2BAC07F1" w14:textId="77777777" w:rsidR="00F05C60" w:rsidRDefault="00F05C60" w:rsidP="00F05C60">
      <w:pPr>
        <w:pStyle w:val="BodyText"/>
        <w:spacing w:before="201"/>
        <w:ind w:right="734"/>
      </w:pPr>
      <w:r>
        <w:lastRenderedPageBreak/>
        <w:t>The</w:t>
      </w:r>
      <w:r>
        <w:rPr>
          <w:spacing w:val="-3"/>
        </w:rPr>
        <w:t xml:space="preserve"> </w:t>
      </w:r>
      <w:r>
        <w:t>expertise</w:t>
      </w:r>
      <w:r>
        <w:rPr>
          <w:spacing w:val="-2"/>
        </w:rPr>
        <w:t xml:space="preserve"> </w:t>
      </w:r>
      <w:r>
        <w:t>of</w:t>
      </w:r>
      <w:r>
        <w:rPr>
          <w:spacing w:val="-2"/>
        </w:rPr>
        <w:t xml:space="preserve"> </w:t>
      </w:r>
      <w:r>
        <w:t>the</w:t>
      </w:r>
      <w:r>
        <w:rPr>
          <w:spacing w:val="-2"/>
        </w:rPr>
        <w:t xml:space="preserve"> </w:t>
      </w:r>
      <w:r>
        <w:t>pharmacist</w:t>
      </w:r>
      <w:r>
        <w:rPr>
          <w:spacing w:val="-2"/>
        </w:rPr>
        <w:t xml:space="preserve"> </w:t>
      </w:r>
      <w:r>
        <w:t>in counselling people is</w:t>
      </w:r>
      <w:r>
        <w:rPr>
          <w:spacing w:val="-1"/>
        </w:rPr>
        <w:t xml:space="preserve"> </w:t>
      </w:r>
      <w:r>
        <w:t>important in the</w:t>
      </w:r>
      <w:r>
        <w:rPr>
          <w:spacing w:val="-1"/>
        </w:rPr>
        <w:t xml:space="preserve"> </w:t>
      </w:r>
      <w:r>
        <w:t>follow-up</w:t>
      </w:r>
      <w:r>
        <w:rPr>
          <w:spacing w:val="-1"/>
        </w:rPr>
        <w:t xml:space="preserve"> </w:t>
      </w:r>
      <w:r>
        <w:t>care</w:t>
      </w:r>
      <w:r>
        <w:rPr>
          <w:spacing w:val="-2"/>
        </w:rPr>
        <w:t xml:space="preserve"> </w:t>
      </w:r>
      <w:r>
        <w:t>of</w:t>
      </w:r>
      <w:r>
        <w:rPr>
          <w:spacing w:val="-2"/>
        </w:rPr>
        <w:t xml:space="preserve"> </w:t>
      </w:r>
      <w:r>
        <w:t>the</w:t>
      </w:r>
      <w:r>
        <w:rPr>
          <w:spacing w:val="-1"/>
        </w:rPr>
        <w:t xml:space="preserve"> </w:t>
      </w:r>
      <w:r>
        <w:t>person. This</w:t>
      </w:r>
      <w:r>
        <w:rPr>
          <w:spacing w:val="-5"/>
        </w:rPr>
        <w:t xml:space="preserve"> </w:t>
      </w:r>
      <w:r>
        <w:t>includes</w:t>
      </w:r>
      <w:r>
        <w:rPr>
          <w:spacing w:val="-5"/>
        </w:rPr>
        <w:t xml:space="preserve"> </w:t>
      </w:r>
      <w:r>
        <w:t>checking</w:t>
      </w:r>
      <w:r>
        <w:rPr>
          <w:spacing w:val="-4"/>
        </w:rPr>
        <w:t xml:space="preserve"> </w:t>
      </w:r>
      <w:r>
        <w:t>adherence</w:t>
      </w:r>
      <w:r>
        <w:rPr>
          <w:spacing w:val="-6"/>
        </w:rPr>
        <w:t xml:space="preserve"> </w:t>
      </w:r>
      <w:r>
        <w:t>to</w:t>
      </w:r>
      <w:r>
        <w:rPr>
          <w:spacing w:val="-4"/>
        </w:rPr>
        <w:t xml:space="preserve"> </w:t>
      </w:r>
      <w:r>
        <w:t>the</w:t>
      </w:r>
      <w:r>
        <w:rPr>
          <w:spacing w:val="-4"/>
        </w:rPr>
        <w:t xml:space="preserve"> </w:t>
      </w:r>
      <w:r>
        <w:t>prescriber’s</w:t>
      </w:r>
      <w:r>
        <w:rPr>
          <w:spacing w:val="-5"/>
        </w:rPr>
        <w:t xml:space="preserve"> </w:t>
      </w:r>
      <w:r>
        <w:t>instructions,</w:t>
      </w:r>
      <w:r>
        <w:rPr>
          <w:spacing w:val="-6"/>
        </w:rPr>
        <w:t xml:space="preserve"> </w:t>
      </w:r>
      <w:r>
        <w:t>confirming</w:t>
      </w:r>
      <w:r>
        <w:rPr>
          <w:spacing w:val="-6"/>
        </w:rPr>
        <w:t xml:space="preserve"> </w:t>
      </w:r>
      <w:r>
        <w:t>administration</w:t>
      </w:r>
      <w:r>
        <w:rPr>
          <w:spacing w:val="-6"/>
        </w:rPr>
        <w:t xml:space="preserve"> </w:t>
      </w:r>
      <w:r>
        <w:t>times</w:t>
      </w:r>
      <w:r>
        <w:rPr>
          <w:spacing w:val="-5"/>
        </w:rPr>
        <w:t xml:space="preserve"> </w:t>
      </w:r>
      <w:r>
        <w:t>and techniques, screening for adverse reactions and referring back to the prescriber for further investigations or advice when required.</w:t>
      </w:r>
    </w:p>
    <w:p w14:paraId="01B970DC" w14:textId="77777777" w:rsidR="00F05C60" w:rsidRDefault="00F05C60" w:rsidP="00F05C60">
      <w:pPr>
        <w:pStyle w:val="BodyText"/>
        <w:spacing w:before="79"/>
        <w:ind w:right="734"/>
      </w:pPr>
      <w:r>
        <w:t>In</w:t>
      </w:r>
      <w:r>
        <w:rPr>
          <w:spacing w:val="-6"/>
        </w:rPr>
        <w:t xml:space="preserve"> </w:t>
      </w:r>
      <w:r>
        <w:t>circumstances</w:t>
      </w:r>
      <w:r>
        <w:rPr>
          <w:spacing w:val="-4"/>
        </w:rPr>
        <w:t xml:space="preserve"> </w:t>
      </w:r>
      <w:r>
        <w:t>where</w:t>
      </w:r>
      <w:r>
        <w:rPr>
          <w:spacing w:val="-3"/>
        </w:rPr>
        <w:t xml:space="preserve"> </w:t>
      </w:r>
      <w:r>
        <w:t>the</w:t>
      </w:r>
      <w:r>
        <w:rPr>
          <w:spacing w:val="-3"/>
        </w:rPr>
        <w:t xml:space="preserve"> </w:t>
      </w:r>
      <w:r>
        <w:t>designated</w:t>
      </w:r>
      <w:r>
        <w:rPr>
          <w:spacing w:val="-6"/>
        </w:rPr>
        <w:t xml:space="preserve"> </w:t>
      </w:r>
      <w:r>
        <w:t>RN</w:t>
      </w:r>
      <w:r>
        <w:rPr>
          <w:spacing w:val="-2"/>
        </w:rPr>
        <w:t xml:space="preserve"> </w:t>
      </w:r>
      <w:r>
        <w:t>prescriber must</w:t>
      </w:r>
      <w:r>
        <w:rPr>
          <w:spacing w:val="-5"/>
        </w:rPr>
        <w:t xml:space="preserve"> </w:t>
      </w:r>
      <w:r>
        <w:t>also</w:t>
      </w:r>
      <w:r>
        <w:rPr>
          <w:spacing w:val="-5"/>
        </w:rPr>
        <w:t xml:space="preserve"> </w:t>
      </w:r>
      <w:r>
        <w:t>supply</w:t>
      </w:r>
      <w:r>
        <w:rPr>
          <w:spacing w:val="-4"/>
        </w:rPr>
        <w:t xml:space="preserve"> </w:t>
      </w:r>
      <w:r>
        <w:t>a</w:t>
      </w:r>
      <w:r>
        <w:rPr>
          <w:spacing w:val="-6"/>
        </w:rPr>
        <w:t xml:space="preserve"> </w:t>
      </w:r>
      <w:r>
        <w:t>scheduled</w:t>
      </w:r>
      <w:r>
        <w:rPr>
          <w:spacing w:val="-6"/>
        </w:rPr>
        <w:t xml:space="preserve"> </w:t>
      </w:r>
      <w:r>
        <w:t>medicine</w:t>
      </w:r>
      <w:r>
        <w:rPr>
          <w:spacing w:val="-3"/>
        </w:rPr>
        <w:t xml:space="preserve"> </w:t>
      </w:r>
      <w:r>
        <w:t xml:space="preserve">directly to a person, the supply process must meet the labelling and record-keeping requirements of the jurisdiction in which they are practising and the endorsed RN must provide counselling about the use of the medicine, its side effects and potential interactions and if available provide a </w:t>
      </w:r>
      <w:r>
        <w:rPr>
          <w:i/>
        </w:rPr>
        <w:t>Consumer Medicines information leaflet</w:t>
      </w:r>
      <w:r>
        <w:rPr>
          <w:rStyle w:val="FootnoteReference"/>
          <w:i/>
        </w:rPr>
        <w:footnoteReference w:id="8"/>
      </w:r>
      <w:hyperlink w:anchor="_bookmark5" w:history="1">
        <w:r>
          <w:t>.</w:t>
        </w:r>
      </w:hyperlink>
    </w:p>
    <w:p w14:paraId="422B6643" w14:textId="77777777" w:rsidR="00F05C60" w:rsidRDefault="00F05C60" w:rsidP="00F05C60">
      <w:pPr>
        <w:pStyle w:val="BodyText"/>
        <w:spacing w:before="199"/>
      </w:pPr>
      <w:r>
        <w:rPr>
          <w:color w:val="0067B8"/>
        </w:rPr>
        <w:t>Working</w:t>
      </w:r>
      <w:r>
        <w:rPr>
          <w:color w:val="0067B8"/>
          <w:spacing w:val="-8"/>
        </w:rPr>
        <w:t xml:space="preserve"> </w:t>
      </w:r>
      <w:r>
        <w:rPr>
          <w:color w:val="0067B8"/>
        </w:rPr>
        <w:t>with</w:t>
      </w:r>
      <w:r>
        <w:rPr>
          <w:color w:val="0067B8"/>
          <w:spacing w:val="-7"/>
        </w:rPr>
        <w:t xml:space="preserve"> </w:t>
      </w:r>
      <w:r>
        <w:rPr>
          <w:color w:val="0067B8"/>
        </w:rPr>
        <w:t>other</w:t>
      </w:r>
      <w:r>
        <w:rPr>
          <w:color w:val="0067B8"/>
          <w:spacing w:val="-5"/>
        </w:rPr>
        <w:t xml:space="preserve"> </w:t>
      </w:r>
      <w:r>
        <w:rPr>
          <w:color w:val="0067B8"/>
          <w:spacing w:val="-2"/>
        </w:rPr>
        <w:t>practitioners</w:t>
      </w:r>
    </w:p>
    <w:p w14:paraId="15FEF6FB" w14:textId="77777777" w:rsidR="00F05C60" w:rsidRDefault="00F05C60" w:rsidP="00F05C60">
      <w:pPr>
        <w:pStyle w:val="BodyText"/>
        <w:spacing w:before="199"/>
        <w:ind w:right="776"/>
      </w:pPr>
      <w:r>
        <w:t>Inherent in the registration standard is the requirement for the designated RN prescriber, when prescribing,</w:t>
      </w:r>
      <w:r>
        <w:rPr>
          <w:spacing w:val="-2"/>
        </w:rPr>
        <w:t xml:space="preserve"> </w:t>
      </w:r>
      <w:r>
        <w:t>to work</w:t>
      </w:r>
      <w:r>
        <w:rPr>
          <w:spacing w:val="-1"/>
        </w:rPr>
        <w:t xml:space="preserve"> </w:t>
      </w:r>
      <w:r>
        <w:t>in</w:t>
      </w:r>
      <w:r>
        <w:rPr>
          <w:spacing w:val="-2"/>
        </w:rPr>
        <w:t xml:space="preserve"> </w:t>
      </w:r>
      <w:r>
        <w:t>partnership with</w:t>
      </w:r>
      <w:r>
        <w:rPr>
          <w:spacing w:val="-2"/>
        </w:rPr>
        <w:t xml:space="preserve"> </w:t>
      </w:r>
      <w:r>
        <w:t>the</w:t>
      </w:r>
      <w:r>
        <w:rPr>
          <w:spacing w:val="-2"/>
        </w:rPr>
        <w:t xml:space="preserve"> </w:t>
      </w:r>
      <w:r>
        <w:t>authorised health practitioner.</w:t>
      </w:r>
      <w:r>
        <w:rPr>
          <w:spacing w:val="-2"/>
        </w:rPr>
        <w:t xml:space="preserve"> </w:t>
      </w:r>
      <w:r>
        <w:t>To ensure</w:t>
      </w:r>
      <w:r>
        <w:rPr>
          <w:spacing w:val="-2"/>
        </w:rPr>
        <w:t xml:space="preserve"> </w:t>
      </w:r>
      <w:r>
        <w:t>that the</w:t>
      </w:r>
      <w:r>
        <w:rPr>
          <w:spacing w:val="-3"/>
        </w:rPr>
        <w:t xml:space="preserve"> </w:t>
      </w:r>
      <w:r>
        <w:t>role and scope of practice of the designated RN prescriber is well understood it is critical that there are clear lines</w:t>
      </w:r>
      <w:r>
        <w:rPr>
          <w:spacing w:val="-3"/>
        </w:rPr>
        <w:t xml:space="preserve"> </w:t>
      </w:r>
      <w:r>
        <w:t>of</w:t>
      </w:r>
      <w:r>
        <w:rPr>
          <w:spacing w:val="-4"/>
        </w:rPr>
        <w:t xml:space="preserve"> </w:t>
      </w:r>
      <w:r>
        <w:t>communication</w:t>
      </w:r>
      <w:r>
        <w:rPr>
          <w:spacing w:val="-4"/>
        </w:rPr>
        <w:t xml:space="preserve"> </w:t>
      </w:r>
      <w:r>
        <w:t>between</w:t>
      </w:r>
      <w:r>
        <w:rPr>
          <w:spacing w:val="-3"/>
        </w:rPr>
        <w:t xml:space="preserve"> </w:t>
      </w:r>
      <w:r>
        <w:t>the</w:t>
      </w:r>
      <w:r>
        <w:rPr>
          <w:spacing w:val="-1"/>
        </w:rPr>
        <w:t xml:space="preserve"> </w:t>
      </w:r>
      <w:r>
        <w:t>designated</w:t>
      </w:r>
      <w:r>
        <w:rPr>
          <w:spacing w:val="-3"/>
        </w:rPr>
        <w:t xml:space="preserve"> </w:t>
      </w:r>
      <w:r>
        <w:t>RN</w:t>
      </w:r>
      <w:r>
        <w:rPr>
          <w:spacing w:val="-4"/>
        </w:rPr>
        <w:t xml:space="preserve"> </w:t>
      </w:r>
      <w:r>
        <w:t>prescriber,</w:t>
      </w:r>
      <w:r>
        <w:rPr>
          <w:spacing w:val="-4"/>
        </w:rPr>
        <w:t xml:space="preserve"> </w:t>
      </w:r>
      <w:r>
        <w:t>the</w:t>
      </w:r>
      <w:r>
        <w:rPr>
          <w:spacing w:val="-4"/>
        </w:rPr>
        <w:t xml:space="preserve"> </w:t>
      </w:r>
      <w:r>
        <w:t>authorised</w:t>
      </w:r>
      <w:r>
        <w:rPr>
          <w:spacing w:val="-5"/>
        </w:rPr>
        <w:t xml:space="preserve"> </w:t>
      </w:r>
      <w:r>
        <w:t>health</w:t>
      </w:r>
      <w:r>
        <w:rPr>
          <w:spacing w:val="-2"/>
        </w:rPr>
        <w:t xml:space="preserve"> </w:t>
      </w:r>
      <w:r>
        <w:t>practitioner</w:t>
      </w:r>
      <w:r>
        <w:rPr>
          <w:spacing w:val="-1"/>
        </w:rPr>
        <w:t xml:space="preserve"> </w:t>
      </w:r>
      <w:r>
        <w:t>and other members of the healthcare team including pharmacists.</w:t>
      </w:r>
    </w:p>
    <w:p w14:paraId="7155AF1B" w14:textId="77777777" w:rsidR="00F05C60" w:rsidRPr="00A72713" w:rsidRDefault="00F05C60" w:rsidP="00A72713">
      <w:pPr>
        <w:pStyle w:val="Heading2"/>
        <w:spacing w:before="199"/>
        <w:rPr>
          <w:rFonts w:ascii="Arial" w:eastAsia="Cambria" w:hAnsi="Arial" w:cs="Times New Roman"/>
          <w:bCs w:val="0"/>
          <w:i w:val="0"/>
          <w:iCs w:val="0"/>
          <w:color w:val="0067B8"/>
          <w:sz w:val="20"/>
          <w:szCs w:val="24"/>
        </w:rPr>
      </w:pPr>
      <w:r w:rsidRPr="00A72713">
        <w:rPr>
          <w:rFonts w:ascii="Arial" w:eastAsia="Cambria" w:hAnsi="Arial" w:cs="Times New Roman"/>
          <w:bCs w:val="0"/>
          <w:i w:val="0"/>
          <w:iCs w:val="0"/>
          <w:color w:val="0067B8"/>
          <w:sz w:val="20"/>
          <w:szCs w:val="24"/>
        </w:rPr>
        <w:t>Important notes</w:t>
      </w:r>
    </w:p>
    <w:p w14:paraId="7F2B9A49" w14:textId="77777777" w:rsidR="00F05C60" w:rsidRDefault="00F05C60" w:rsidP="00F05C60">
      <w:pPr>
        <w:pStyle w:val="BodyText"/>
        <w:ind w:right="734"/>
      </w:pPr>
      <w:r>
        <w:t>The e</w:t>
      </w:r>
      <w:r w:rsidRPr="007D6528">
        <w:t>ndorsement</w:t>
      </w:r>
      <w:r w:rsidRPr="007D6528">
        <w:rPr>
          <w:spacing w:val="-5"/>
        </w:rPr>
        <w:t xml:space="preserve"> </w:t>
      </w:r>
      <w:r w:rsidRPr="007D6528">
        <w:rPr>
          <w:color w:val="000000"/>
        </w:rPr>
        <w:t>for</w:t>
      </w:r>
      <w:r w:rsidRPr="007D6528">
        <w:rPr>
          <w:color w:val="000000"/>
          <w:spacing w:val="-5"/>
        </w:rPr>
        <w:t xml:space="preserve"> </w:t>
      </w:r>
      <w:r w:rsidRPr="007D6528">
        <w:rPr>
          <w:color w:val="000000"/>
        </w:rPr>
        <w:t>scheduled</w:t>
      </w:r>
      <w:r w:rsidRPr="007D6528">
        <w:rPr>
          <w:color w:val="000000"/>
          <w:spacing w:val="-3"/>
        </w:rPr>
        <w:t xml:space="preserve"> </w:t>
      </w:r>
      <w:r w:rsidRPr="007D6528">
        <w:rPr>
          <w:color w:val="000000"/>
        </w:rPr>
        <w:t>medicines</w:t>
      </w:r>
      <w:r w:rsidRPr="007D6528">
        <w:rPr>
          <w:color w:val="000000"/>
          <w:spacing w:val="-2"/>
        </w:rPr>
        <w:t xml:space="preserve"> </w:t>
      </w:r>
      <w:r w:rsidRPr="007D6528">
        <w:rPr>
          <w:color w:val="000000"/>
        </w:rPr>
        <w:t>as</w:t>
      </w:r>
      <w:r w:rsidRPr="007D6528">
        <w:rPr>
          <w:color w:val="000000"/>
          <w:spacing w:val="-4"/>
        </w:rPr>
        <w:t xml:space="preserve"> </w:t>
      </w:r>
      <w:r w:rsidRPr="007D6528">
        <w:rPr>
          <w:color w:val="000000"/>
        </w:rPr>
        <w:t>a</w:t>
      </w:r>
      <w:r w:rsidRPr="007D6528">
        <w:rPr>
          <w:color w:val="000000"/>
          <w:spacing w:val="-3"/>
        </w:rPr>
        <w:t xml:space="preserve"> </w:t>
      </w:r>
      <w:r w:rsidRPr="007D6528">
        <w:rPr>
          <w:color w:val="000000"/>
        </w:rPr>
        <w:t>designated</w:t>
      </w:r>
      <w:r w:rsidRPr="007D6528">
        <w:rPr>
          <w:color w:val="000000"/>
          <w:spacing w:val="-3"/>
        </w:rPr>
        <w:t xml:space="preserve"> </w:t>
      </w:r>
      <w:r w:rsidRPr="007D6528">
        <w:rPr>
          <w:color w:val="000000"/>
        </w:rPr>
        <w:t>RN</w:t>
      </w:r>
      <w:r w:rsidRPr="007D6528">
        <w:rPr>
          <w:color w:val="000000"/>
          <w:spacing w:val="-5"/>
        </w:rPr>
        <w:t xml:space="preserve"> </w:t>
      </w:r>
      <w:r w:rsidRPr="007D6528">
        <w:rPr>
          <w:color w:val="000000"/>
        </w:rPr>
        <w:t>prescriber</w:t>
      </w:r>
      <w:r w:rsidRPr="007D6528">
        <w:rPr>
          <w:color w:val="000000"/>
          <w:spacing w:val="-1"/>
        </w:rPr>
        <w:t xml:space="preserve"> </w:t>
      </w:r>
      <w:r w:rsidRPr="007D6528">
        <w:rPr>
          <w:color w:val="000000"/>
        </w:rPr>
        <w:t>does</w:t>
      </w:r>
      <w:r w:rsidRPr="007D6528">
        <w:rPr>
          <w:color w:val="000000"/>
          <w:spacing w:val="-2"/>
        </w:rPr>
        <w:t xml:space="preserve"> </w:t>
      </w:r>
      <w:r w:rsidRPr="007D6528">
        <w:rPr>
          <w:color w:val="000000"/>
        </w:rPr>
        <w:t>not</w:t>
      </w:r>
      <w:r w:rsidRPr="007D6528">
        <w:rPr>
          <w:color w:val="000000"/>
          <w:spacing w:val="-3"/>
        </w:rPr>
        <w:t xml:space="preserve"> </w:t>
      </w:r>
      <w:r w:rsidRPr="007D6528">
        <w:rPr>
          <w:color w:val="000000"/>
        </w:rPr>
        <w:t>give</w:t>
      </w:r>
      <w:r w:rsidRPr="007D6528">
        <w:rPr>
          <w:color w:val="000000"/>
          <w:spacing w:val="-5"/>
        </w:rPr>
        <w:t xml:space="preserve"> </w:t>
      </w:r>
      <w:r w:rsidRPr="007D6528">
        <w:rPr>
          <w:color w:val="000000"/>
        </w:rPr>
        <w:t>automatic</w:t>
      </w:r>
      <w:r w:rsidRPr="007D6528">
        <w:rPr>
          <w:color w:val="000000"/>
          <w:spacing w:val="-4"/>
        </w:rPr>
        <w:t xml:space="preserve"> </w:t>
      </w:r>
      <w:r w:rsidRPr="007D6528">
        <w:rPr>
          <w:color w:val="000000"/>
        </w:rPr>
        <w:t>access</w:t>
      </w:r>
      <w:r>
        <w:rPr>
          <w:color w:val="000000"/>
        </w:rPr>
        <w:t xml:space="preserve"> to provider and prescriber numbers to provide services under the Medicare Benefits Schedule (MBS) or subsidies on the Pharmaceutical Benefits Scheme (PBS). The authorisation to access a Medicare provider number or a prescriber number remains with the Australian Government through Services Australia and is in addition to endorsement by the NMBA to practise as a designated RN prescriber.</w:t>
      </w:r>
    </w:p>
    <w:p w14:paraId="46CAEFE9" w14:textId="77777777" w:rsidR="00F05C60" w:rsidRDefault="00F05C60" w:rsidP="00F05C60">
      <w:pPr>
        <w:pStyle w:val="BodyText"/>
        <w:spacing w:before="201"/>
        <w:ind w:right="776"/>
      </w:pPr>
      <w:r>
        <w:t>Designated</w:t>
      </w:r>
      <w:r>
        <w:rPr>
          <w:spacing w:val="-4"/>
        </w:rPr>
        <w:t xml:space="preserve"> </w:t>
      </w:r>
      <w:r>
        <w:t>RN</w:t>
      </w:r>
      <w:r>
        <w:rPr>
          <w:spacing w:val="-2"/>
        </w:rPr>
        <w:t xml:space="preserve"> </w:t>
      </w:r>
      <w:r>
        <w:t>prescribers</w:t>
      </w:r>
      <w:r>
        <w:rPr>
          <w:spacing w:val="-1"/>
        </w:rPr>
        <w:t xml:space="preserve"> </w:t>
      </w:r>
      <w:r>
        <w:t>must</w:t>
      </w:r>
      <w:r>
        <w:rPr>
          <w:spacing w:val="-4"/>
        </w:rPr>
        <w:t xml:space="preserve"> </w:t>
      </w:r>
      <w:r>
        <w:t>also</w:t>
      </w:r>
      <w:r>
        <w:rPr>
          <w:spacing w:val="-4"/>
        </w:rPr>
        <w:t xml:space="preserve"> </w:t>
      </w:r>
      <w:r>
        <w:t>work</w:t>
      </w:r>
      <w:r>
        <w:rPr>
          <w:spacing w:val="-3"/>
        </w:rPr>
        <w:t xml:space="preserve"> </w:t>
      </w:r>
      <w:r>
        <w:t>within</w:t>
      </w:r>
      <w:r>
        <w:rPr>
          <w:spacing w:val="-4"/>
        </w:rPr>
        <w:t xml:space="preserve"> </w:t>
      </w:r>
      <w:r>
        <w:t>the</w:t>
      </w:r>
      <w:r>
        <w:rPr>
          <w:spacing w:val="-5"/>
        </w:rPr>
        <w:t xml:space="preserve"> </w:t>
      </w:r>
      <w:r>
        <w:t>relevant</w:t>
      </w:r>
      <w:r>
        <w:rPr>
          <w:spacing w:val="-4"/>
        </w:rPr>
        <w:t xml:space="preserve"> </w:t>
      </w:r>
      <w:r>
        <w:t>medicines</w:t>
      </w:r>
      <w:r>
        <w:rPr>
          <w:spacing w:val="-3"/>
        </w:rPr>
        <w:t xml:space="preserve"> </w:t>
      </w:r>
      <w:r>
        <w:t>and</w:t>
      </w:r>
      <w:r>
        <w:rPr>
          <w:spacing w:val="-4"/>
        </w:rPr>
        <w:t xml:space="preserve"> </w:t>
      </w:r>
      <w:r>
        <w:t>poisons</w:t>
      </w:r>
      <w:r>
        <w:rPr>
          <w:spacing w:val="-1"/>
        </w:rPr>
        <w:t xml:space="preserve"> </w:t>
      </w:r>
      <w:r>
        <w:t>legislation</w:t>
      </w:r>
      <w:r>
        <w:rPr>
          <w:spacing w:val="-3"/>
        </w:rPr>
        <w:t xml:space="preserve"> </w:t>
      </w:r>
      <w:r>
        <w:t>in</w:t>
      </w:r>
      <w:r>
        <w:rPr>
          <w:spacing w:val="-4"/>
        </w:rPr>
        <w:t xml:space="preserve"> </w:t>
      </w:r>
      <w:r>
        <w:t xml:space="preserve">their state or territory and within the remit of their prescribing relationship and clinical governance </w:t>
      </w:r>
      <w:r>
        <w:rPr>
          <w:spacing w:val="-2"/>
        </w:rPr>
        <w:t>framework.</w:t>
      </w:r>
    </w:p>
    <w:p w14:paraId="72628E31" w14:textId="77777777" w:rsidR="00F05C60" w:rsidRPr="00A72713" w:rsidRDefault="00F05C60" w:rsidP="00A72713">
      <w:pPr>
        <w:pStyle w:val="Heading2"/>
        <w:spacing w:before="199"/>
        <w:rPr>
          <w:rFonts w:ascii="Arial" w:eastAsia="Cambria" w:hAnsi="Arial" w:cs="Times New Roman"/>
          <w:bCs w:val="0"/>
          <w:i w:val="0"/>
          <w:iCs w:val="0"/>
          <w:color w:val="0067B8"/>
          <w:sz w:val="20"/>
          <w:szCs w:val="24"/>
        </w:rPr>
      </w:pPr>
      <w:r w:rsidRPr="00A72713">
        <w:rPr>
          <w:rFonts w:ascii="Arial" w:eastAsia="Cambria" w:hAnsi="Arial" w:cs="Times New Roman"/>
          <w:bCs w:val="0"/>
          <w:i w:val="0"/>
          <w:iCs w:val="0"/>
          <w:color w:val="0067B8"/>
          <w:sz w:val="20"/>
          <w:szCs w:val="24"/>
        </w:rPr>
        <w:t>Authority</w:t>
      </w:r>
    </w:p>
    <w:p w14:paraId="49F5D1C1" w14:textId="77777777" w:rsidR="00F05C60" w:rsidRDefault="00F05C60" w:rsidP="00F05C60">
      <w:pPr>
        <w:pStyle w:val="BodyText"/>
        <w:spacing w:before="199"/>
      </w:pPr>
      <w:r>
        <w:t>The</w:t>
      </w:r>
      <w:r>
        <w:rPr>
          <w:spacing w:val="-9"/>
        </w:rPr>
        <w:t xml:space="preserve"> </w:t>
      </w:r>
      <w:r>
        <w:t>NMBA</w:t>
      </w:r>
      <w:r>
        <w:rPr>
          <w:spacing w:val="-7"/>
        </w:rPr>
        <w:t xml:space="preserve"> </w:t>
      </w:r>
      <w:r>
        <w:t>has</w:t>
      </w:r>
      <w:r>
        <w:rPr>
          <w:spacing w:val="-4"/>
        </w:rPr>
        <w:t xml:space="preserve"> </w:t>
      </w:r>
      <w:r>
        <w:t>developed</w:t>
      </w:r>
      <w:r>
        <w:rPr>
          <w:spacing w:val="-8"/>
        </w:rPr>
        <w:t xml:space="preserve"> </w:t>
      </w:r>
      <w:r>
        <w:t>these</w:t>
      </w:r>
      <w:r>
        <w:rPr>
          <w:spacing w:val="-7"/>
        </w:rPr>
        <w:t xml:space="preserve"> </w:t>
      </w:r>
      <w:r>
        <w:t>guidelines</w:t>
      </w:r>
      <w:r>
        <w:rPr>
          <w:spacing w:val="-6"/>
        </w:rPr>
        <w:t xml:space="preserve"> </w:t>
      </w:r>
      <w:r>
        <w:t>under</w:t>
      </w:r>
      <w:r>
        <w:rPr>
          <w:spacing w:val="-8"/>
        </w:rPr>
        <w:t xml:space="preserve"> </w:t>
      </w:r>
      <w:r>
        <w:t>section</w:t>
      </w:r>
      <w:r>
        <w:rPr>
          <w:spacing w:val="-8"/>
        </w:rPr>
        <w:t xml:space="preserve"> </w:t>
      </w:r>
      <w:r>
        <w:t>39</w:t>
      </w:r>
      <w:r>
        <w:rPr>
          <w:spacing w:val="-7"/>
        </w:rPr>
        <w:t xml:space="preserve"> </w:t>
      </w:r>
      <w:r>
        <w:t>of</w:t>
      </w:r>
      <w:r>
        <w:rPr>
          <w:spacing w:val="-5"/>
        </w:rPr>
        <w:t xml:space="preserve"> </w:t>
      </w:r>
      <w:r>
        <w:t>the</w:t>
      </w:r>
      <w:r>
        <w:rPr>
          <w:spacing w:val="-6"/>
        </w:rPr>
        <w:t xml:space="preserve"> </w:t>
      </w:r>
      <w:r>
        <w:t>National</w:t>
      </w:r>
      <w:r>
        <w:rPr>
          <w:spacing w:val="-7"/>
        </w:rPr>
        <w:t xml:space="preserve"> </w:t>
      </w:r>
      <w:r>
        <w:rPr>
          <w:spacing w:val="-4"/>
        </w:rPr>
        <w:t>Law.</w:t>
      </w:r>
    </w:p>
    <w:p w14:paraId="767CBEF0" w14:textId="77777777" w:rsidR="00F05C60" w:rsidRDefault="00F05C60" w:rsidP="00F05C60">
      <w:pPr>
        <w:pStyle w:val="BodyText"/>
        <w:ind w:right="945"/>
      </w:pPr>
      <w:r>
        <w:t>Guidelines approved by the NMBA may be used as evidence of what constitutes appropriate professional</w:t>
      </w:r>
      <w:r>
        <w:rPr>
          <w:spacing w:val="-3"/>
        </w:rPr>
        <w:t xml:space="preserve"> </w:t>
      </w:r>
      <w:r>
        <w:t>conduct</w:t>
      </w:r>
      <w:r>
        <w:rPr>
          <w:spacing w:val="-4"/>
        </w:rPr>
        <w:t xml:space="preserve"> </w:t>
      </w:r>
      <w:r>
        <w:t>or</w:t>
      </w:r>
      <w:r>
        <w:rPr>
          <w:spacing w:val="-3"/>
        </w:rPr>
        <w:t xml:space="preserve"> </w:t>
      </w:r>
      <w:r>
        <w:t>practice</w:t>
      </w:r>
      <w:r>
        <w:rPr>
          <w:spacing w:val="-4"/>
        </w:rPr>
        <w:t xml:space="preserve"> </w:t>
      </w:r>
      <w:r>
        <w:t>in</w:t>
      </w:r>
      <w:r>
        <w:rPr>
          <w:spacing w:val="-2"/>
        </w:rPr>
        <w:t xml:space="preserve"> </w:t>
      </w:r>
      <w:r>
        <w:t>proceedings</w:t>
      </w:r>
      <w:r>
        <w:rPr>
          <w:spacing w:val="-3"/>
        </w:rPr>
        <w:t xml:space="preserve"> </w:t>
      </w:r>
      <w:r>
        <w:t>against an</w:t>
      </w:r>
      <w:r>
        <w:rPr>
          <w:spacing w:val="-5"/>
        </w:rPr>
        <w:t xml:space="preserve"> </w:t>
      </w:r>
      <w:r>
        <w:t>RN</w:t>
      </w:r>
      <w:r>
        <w:rPr>
          <w:spacing w:val="-3"/>
        </w:rPr>
        <w:t xml:space="preserve"> </w:t>
      </w:r>
      <w:r>
        <w:t>under</w:t>
      </w:r>
      <w:r>
        <w:rPr>
          <w:spacing w:val="-3"/>
        </w:rPr>
        <w:t xml:space="preserve"> </w:t>
      </w:r>
      <w:r>
        <w:t>the</w:t>
      </w:r>
      <w:r>
        <w:rPr>
          <w:spacing w:val="-4"/>
        </w:rPr>
        <w:t xml:space="preserve"> </w:t>
      </w:r>
      <w:r>
        <w:t>National</w:t>
      </w:r>
      <w:r>
        <w:rPr>
          <w:spacing w:val="-3"/>
        </w:rPr>
        <w:t xml:space="preserve"> </w:t>
      </w:r>
      <w:r>
        <w:t>Law,</w:t>
      </w:r>
      <w:r>
        <w:rPr>
          <w:spacing w:val="-2"/>
        </w:rPr>
        <w:t xml:space="preserve"> </w:t>
      </w:r>
      <w:r>
        <w:t>or</w:t>
      </w:r>
      <w:r>
        <w:rPr>
          <w:spacing w:val="-4"/>
        </w:rPr>
        <w:t xml:space="preserve"> </w:t>
      </w:r>
      <w:r>
        <w:t>a</w:t>
      </w:r>
      <w:r>
        <w:rPr>
          <w:spacing w:val="-4"/>
        </w:rPr>
        <w:t xml:space="preserve"> </w:t>
      </w:r>
      <w:r>
        <w:t>law</w:t>
      </w:r>
      <w:r>
        <w:rPr>
          <w:spacing w:val="-2"/>
        </w:rPr>
        <w:t xml:space="preserve"> </w:t>
      </w:r>
      <w:r>
        <w:t>of</w:t>
      </w:r>
      <w:r>
        <w:rPr>
          <w:spacing w:val="-4"/>
        </w:rPr>
        <w:t xml:space="preserve"> </w:t>
      </w:r>
      <w:r>
        <w:t>a co-regulatory jurisdiction.</w:t>
      </w:r>
    </w:p>
    <w:p w14:paraId="2AB5F79F" w14:textId="77777777" w:rsidR="00F05C60" w:rsidRPr="00A72713" w:rsidRDefault="00F05C60" w:rsidP="00A72713">
      <w:pPr>
        <w:pStyle w:val="Heading2"/>
        <w:spacing w:before="199"/>
        <w:rPr>
          <w:rFonts w:ascii="Arial" w:eastAsia="Cambria" w:hAnsi="Arial" w:cs="Times New Roman"/>
          <w:bCs w:val="0"/>
          <w:i w:val="0"/>
          <w:iCs w:val="0"/>
          <w:color w:val="0067B8"/>
          <w:sz w:val="20"/>
          <w:szCs w:val="24"/>
        </w:rPr>
      </w:pPr>
      <w:r w:rsidRPr="00A72713">
        <w:rPr>
          <w:rFonts w:ascii="Arial" w:eastAsia="Cambria" w:hAnsi="Arial" w:cs="Times New Roman"/>
          <w:bCs w:val="0"/>
          <w:i w:val="0"/>
          <w:iCs w:val="0"/>
          <w:color w:val="0067B8"/>
          <w:sz w:val="20"/>
          <w:szCs w:val="24"/>
        </w:rPr>
        <w:t>Definitions</w:t>
      </w:r>
    </w:p>
    <w:p w14:paraId="21E9611C" w14:textId="77777777" w:rsidR="00F05C60" w:rsidRDefault="00F05C60" w:rsidP="00A72713">
      <w:pPr>
        <w:spacing w:before="199"/>
        <w:ind w:right="734"/>
      </w:pPr>
      <w:r>
        <w:rPr>
          <w:b/>
        </w:rPr>
        <w:t xml:space="preserve">Active prescribing agreement </w:t>
      </w:r>
      <w:r>
        <w:t xml:space="preserve">means a prescribing agreement (as defined in the NMBA </w:t>
      </w:r>
      <w:r>
        <w:rPr>
          <w:i/>
        </w:rPr>
        <w:t>Guidelines for</w:t>
      </w:r>
      <w:r>
        <w:rPr>
          <w:i/>
          <w:spacing w:val="-7"/>
        </w:rPr>
        <w:t xml:space="preserve"> </w:t>
      </w:r>
      <w:r>
        <w:rPr>
          <w:i/>
        </w:rPr>
        <w:t>registered</w:t>
      </w:r>
      <w:r>
        <w:rPr>
          <w:i/>
          <w:spacing w:val="-2"/>
        </w:rPr>
        <w:t xml:space="preserve"> </w:t>
      </w:r>
      <w:r>
        <w:rPr>
          <w:i/>
        </w:rPr>
        <w:t>nurses</w:t>
      </w:r>
      <w:r>
        <w:rPr>
          <w:i/>
          <w:spacing w:val="-2"/>
        </w:rPr>
        <w:t xml:space="preserve"> </w:t>
      </w:r>
      <w:r>
        <w:rPr>
          <w:i/>
        </w:rPr>
        <w:t>applying</w:t>
      </w:r>
      <w:r>
        <w:rPr>
          <w:i/>
          <w:spacing w:val="-5"/>
        </w:rPr>
        <w:t xml:space="preserve"> </w:t>
      </w:r>
      <w:r>
        <w:rPr>
          <w:i/>
        </w:rPr>
        <w:t>for</w:t>
      </w:r>
      <w:r>
        <w:rPr>
          <w:i/>
          <w:spacing w:val="-1"/>
        </w:rPr>
        <w:t xml:space="preserve"> </w:t>
      </w:r>
      <w:r>
        <w:rPr>
          <w:i/>
        </w:rPr>
        <w:t>or</w:t>
      </w:r>
      <w:r>
        <w:rPr>
          <w:i/>
          <w:spacing w:val="-4"/>
        </w:rPr>
        <w:t xml:space="preserve"> </w:t>
      </w:r>
      <w:r>
        <w:rPr>
          <w:i/>
        </w:rPr>
        <w:t>with</w:t>
      </w:r>
      <w:r>
        <w:rPr>
          <w:i/>
          <w:spacing w:val="-4"/>
        </w:rPr>
        <w:t xml:space="preserve"> </w:t>
      </w:r>
      <w:r>
        <w:rPr>
          <w:i/>
        </w:rPr>
        <w:t>the</w:t>
      </w:r>
      <w:r>
        <w:rPr>
          <w:i/>
          <w:spacing w:val="-4"/>
        </w:rPr>
        <w:t xml:space="preserve"> </w:t>
      </w:r>
      <w:r>
        <w:rPr>
          <w:i/>
        </w:rPr>
        <w:t>endorsement</w:t>
      </w:r>
      <w:r>
        <w:rPr>
          <w:i/>
          <w:spacing w:val="-4"/>
        </w:rPr>
        <w:t xml:space="preserve"> </w:t>
      </w:r>
      <w:r>
        <w:rPr>
          <w:i/>
        </w:rPr>
        <w:t>for</w:t>
      </w:r>
      <w:r>
        <w:rPr>
          <w:i/>
          <w:spacing w:val="-4"/>
        </w:rPr>
        <w:t xml:space="preserve"> </w:t>
      </w:r>
      <w:r>
        <w:rPr>
          <w:i/>
        </w:rPr>
        <w:t>scheduled</w:t>
      </w:r>
      <w:r>
        <w:rPr>
          <w:i/>
          <w:spacing w:val="-2"/>
        </w:rPr>
        <w:t xml:space="preserve"> </w:t>
      </w:r>
      <w:r>
        <w:rPr>
          <w:i/>
        </w:rPr>
        <w:t xml:space="preserve">medicines </w:t>
      </w:r>
      <w:r>
        <w:rPr>
          <w:rFonts w:ascii="Courier New"/>
          <w:i/>
        </w:rPr>
        <w:t>-</w:t>
      </w:r>
      <w:r>
        <w:rPr>
          <w:rFonts w:ascii="Courier New"/>
          <w:i/>
          <w:spacing w:val="-65"/>
        </w:rPr>
        <w:t xml:space="preserve"> </w:t>
      </w:r>
      <w:r>
        <w:rPr>
          <w:i/>
        </w:rPr>
        <w:t>as</w:t>
      </w:r>
      <w:r>
        <w:rPr>
          <w:i/>
          <w:spacing w:val="-3"/>
        </w:rPr>
        <w:t xml:space="preserve"> </w:t>
      </w:r>
      <w:r>
        <w:rPr>
          <w:i/>
        </w:rPr>
        <w:t>a</w:t>
      </w:r>
      <w:r>
        <w:rPr>
          <w:i/>
          <w:spacing w:val="-5"/>
        </w:rPr>
        <w:t xml:space="preserve"> </w:t>
      </w:r>
      <w:r>
        <w:rPr>
          <w:i/>
        </w:rPr>
        <w:t xml:space="preserve">designated registered nurse prescriber) </w:t>
      </w:r>
      <w:r>
        <w:t xml:space="preserve">where there is a current relationship with the authorised health </w:t>
      </w:r>
      <w:r>
        <w:rPr>
          <w:spacing w:val="-2"/>
        </w:rPr>
        <w:t>practitioner.</w:t>
      </w:r>
    </w:p>
    <w:p w14:paraId="113F3A8E" w14:textId="77777777" w:rsidR="00F05C60" w:rsidRDefault="00F05C60" w:rsidP="00F05C60">
      <w:pPr>
        <w:pStyle w:val="BodyText"/>
        <w:ind w:right="776"/>
      </w:pPr>
      <w:r>
        <w:rPr>
          <w:b/>
        </w:rPr>
        <w:t>Administer</w:t>
      </w:r>
      <w:r>
        <w:rPr>
          <w:b/>
          <w:spacing w:val="-3"/>
        </w:rPr>
        <w:t xml:space="preserve"> </w:t>
      </w:r>
      <w:r>
        <w:t>a</w:t>
      </w:r>
      <w:r>
        <w:rPr>
          <w:spacing w:val="-5"/>
        </w:rPr>
        <w:t xml:space="preserve"> </w:t>
      </w:r>
      <w:r>
        <w:t>medicine</w:t>
      </w:r>
      <w:r>
        <w:rPr>
          <w:spacing w:val="-3"/>
        </w:rPr>
        <w:t xml:space="preserve"> </w:t>
      </w:r>
      <w:r>
        <w:t>means</w:t>
      </w:r>
      <w:r>
        <w:rPr>
          <w:spacing w:val="-4"/>
        </w:rPr>
        <w:t xml:space="preserve"> </w:t>
      </w:r>
      <w:r>
        <w:t>to</w:t>
      </w:r>
      <w:r>
        <w:rPr>
          <w:spacing w:val="-4"/>
        </w:rPr>
        <w:t xml:space="preserve"> </w:t>
      </w:r>
      <w:r>
        <w:t>personally</w:t>
      </w:r>
      <w:r>
        <w:rPr>
          <w:spacing w:val="-2"/>
        </w:rPr>
        <w:t xml:space="preserve"> </w:t>
      </w:r>
      <w:r>
        <w:t>apply</w:t>
      </w:r>
      <w:r>
        <w:rPr>
          <w:spacing w:val="-4"/>
        </w:rPr>
        <w:t xml:space="preserve"> </w:t>
      </w:r>
      <w:r>
        <w:t>or</w:t>
      </w:r>
      <w:r>
        <w:rPr>
          <w:spacing w:val="-5"/>
        </w:rPr>
        <w:t xml:space="preserve"> </w:t>
      </w:r>
      <w:r>
        <w:t>introduce</w:t>
      </w:r>
      <w:r>
        <w:rPr>
          <w:spacing w:val="-3"/>
        </w:rPr>
        <w:t xml:space="preserve"> </w:t>
      </w:r>
      <w:r>
        <w:t>a</w:t>
      </w:r>
      <w:r>
        <w:rPr>
          <w:spacing w:val="-5"/>
        </w:rPr>
        <w:t xml:space="preserve"> </w:t>
      </w:r>
      <w:r>
        <w:t>medicine,</w:t>
      </w:r>
      <w:r>
        <w:rPr>
          <w:spacing w:val="-5"/>
        </w:rPr>
        <w:t xml:space="preserve"> </w:t>
      </w:r>
      <w:r>
        <w:t>or</w:t>
      </w:r>
      <w:r>
        <w:rPr>
          <w:spacing w:val="-5"/>
        </w:rPr>
        <w:t xml:space="preserve"> </w:t>
      </w:r>
      <w:r>
        <w:t>personally</w:t>
      </w:r>
      <w:r>
        <w:rPr>
          <w:spacing w:val="-4"/>
        </w:rPr>
        <w:t xml:space="preserve"> </w:t>
      </w:r>
      <w:r>
        <w:t>observe</w:t>
      </w:r>
      <w:r>
        <w:rPr>
          <w:spacing w:val="-3"/>
        </w:rPr>
        <w:t xml:space="preserve"> </w:t>
      </w:r>
      <w:r>
        <w:t>its application or introduction, to the person’s body.</w:t>
      </w:r>
    </w:p>
    <w:p w14:paraId="41B602B9" w14:textId="77777777" w:rsidR="00F05C60" w:rsidRDefault="00F05C60" w:rsidP="00F05C60">
      <w:pPr>
        <w:pStyle w:val="BodyText"/>
        <w:spacing w:before="119"/>
        <w:ind w:right="796"/>
      </w:pPr>
      <w:r>
        <w:rPr>
          <w:b/>
        </w:rPr>
        <w:t xml:space="preserve">Approved units of study </w:t>
      </w:r>
      <w:r>
        <w:t>means the educational units of study to develop a registered nurse’s knowledge</w:t>
      </w:r>
      <w:r>
        <w:rPr>
          <w:spacing w:val="-3"/>
        </w:rPr>
        <w:t xml:space="preserve"> </w:t>
      </w:r>
      <w:r>
        <w:t>and</w:t>
      </w:r>
      <w:r>
        <w:rPr>
          <w:spacing w:val="-5"/>
        </w:rPr>
        <w:t xml:space="preserve"> </w:t>
      </w:r>
      <w:r>
        <w:t>skills</w:t>
      </w:r>
      <w:r>
        <w:rPr>
          <w:spacing w:val="-4"/>
        </w:rPr>
        <w:t xml:space="preserve"> </w:t>
      </w:r>
      <w:r>
        <w:t>in</w:t>
      </w:r>
      <w:r>
        <w:rPr>
          <w:spacing w:val="-3"/>
        </w:rPr>
        <w:t xml:space="preserve"> </w:t>
      </w:r>
      <w:r>
        <w:t>prescribing</w:t>
      </w:r>
      <w:r>
        <w:rPr>
          <w:spacing w:val="-4"/>
        </w:rPr>
        <w:t xml:space="preserve"> </w:t>
      </w:r>
      <w:r>
        <w:t>medicines</w:t>
      </w:r>
      <w:r>
        <w:rPr>
          <w:spacing w:val="-4"/>
        </w:rPr>
        <w:t xml:space="preserve"> </w:t>
      </w:r>
      <w:r>
        <w:t>that</w:t>
      </w:r>
      <w:r>
        <w:rPr>
          <w:spacing w:val="-5"/>
        </w:rPr>
        <w:t xml:space="preserve"> </w:t>
      </w:r>
      <w:r>
        <w:t>has</w:t>
      </w:r>
      <w:r>
        <w:rPr>
          <w:spacing w:val="-4"/>
        </w:rPr>
        <w:t xml:space="preserve"> </w:t>
      </w:r>
      <w:r>
        <w:t>been</w:t>
      </w:r>
      <w:r>
        <w:rPr>
          <w:spacing w:val="-5"/>
        </w:rPr>
        <w:t xml:space="preserve"> </w:t>
      </w:r>
      <w:r>
        <w:t>accredited</w:t>
      </w:r>
      <w:r>
        <w:rPr>
          <w:spacing w:val="-4"/>
        </w:rPr>
        <w:t xml:space="preserve"> </w:t>
      </w:r>
      <w:r>
        <w:t>by</w:t>
      </w:r>
      <w:r>
        <w:rPr>
          <w:spacing w:val="-4"/>
        </w:rPr>
        <w:t xml:space="preserve"> </w:t>
      </w:r>
      <w:r>
        <w:t>the</w:t>
      </w:r>
      <w:r>
        <w:rPr>
          <w:spacing w:val="-3"/>
        </w:rPr>
        <w:t xml:space="preserve"> </w:t>
      </w:r>
      <w:r>
        <w:t>Australian</w:t>
      </w:r>
      <w:r>
        <w:rPr>
          <w:spacing w:val="-5"/>
        </w:rPr>
        <w:t xml:space="preserve"> </w:t>
      </w:r>
      <w:r>
        <w:t>Nursing</w:t>
      </w:r>
      <w:r>
        <w:rPr>
          <w:spacing w:val="-6"/>
        </w:rPr>
        <w:t xml:space="preserve"> </w:t>
      </w:r>
      <w:r>
        <w:t>and Midwifery Accreditation Council (ANMAC) and approved by the NMBA under section 49(1) of the National Law for the purpose of enabling the RN to seek endorsement, under section 94 of the National Law, to prescribe Schedule 2, 3, 4 and 8 medicines, in accordance with relevant state and territory legislation.</w:t>
      </w:r>
    </w:p>
    <w:p w14:paraId="7E934254" w14:textId="77777777" w:rsidR="00F05C60" w:rsidRDefault="00F05C60" w:rsidP="00F05C60">
      <w:pPr>
        <w:rPr>
          <w:b/>
          <w:szCs w:val="20"/>
        </w:rPr>
      </w:pPr>
      <w:r>
        <w:rPr>
          <w:b/>
        </w:rPr>
        <w:br w:type="page"/>
      </w:r>
    </w:p>
    <w:p w14:paraId="72648986" w14:textId="77777777" w:rsidR="00F05C60" w:rsidRDefault="00F05C60" w:rsidP="00F05C60">
      <w:pPr>
        <w:pStyle w:val="BodyText"/>
        <w:spacing w:before="202"/>
        <w:ind w:right="776"/>
      </w:pPr>
      <w:r>
        <w:rPr>
          <w:b/>
        </w:rPr>
        <w:lastRenderedPageBreak/>
        <w:t xml:space="preserve">Asynchronous prescribing </w:t>
      </w:r>
      <w:r>
        <w:t>is prescribing that does not take place in the context of a real-time continuous</w:t>
      </w:r>
      <w:r>
        <w:rPr>
          <w:spacing w:val="-4"/>
        </w:rPr>
        <w:t xml:space="preserve"> </w:t>
      </w:r>
      <w:r>
        <w:t>consultation</w:t>
      </w:r>
      <w:r>
        <w:rPr>
          <w:spacing w:val="-4"/>
        </w:rPr>
        <w:t xml:space="preserve"> </w:t>
      </w:r>
      <w:r>
        <w:t>and</w:t>
      </w:r>
      <w:r>
        <w:rPr>
          <w:spacing w:val="-5"/>
        </w:rPr>
        <w:t xml:space="preserve"> </w:t>
      </w:r>
      <w:r>
        <w:t>is</w:t>
      </w:r>
      <w:r>
        <w:rPr>
          <w:spacing w:val="-4"/>
        </w:rPr>
        <w:t xml:space="preserve"> </w:t>
      </w:r>
      <w:r>
        <w:t>usually</w:t>
      </w:r>
      <w:r>
        <w:rPr>
          <w:spacing w:val="-4"/>
        </w:rPr>
        <w:t xml:space="preserve"> </w:t>
      </w:r>
      <w:r>
        <w:t>based</w:t>
      </w:r>
      <w:r>
        <w:rPr>
          <w:spacing w:val="-3"/>
        </w:rPr>
        <w:t xml:space="preserve"> </w:t>
      </w:r>
      <w:r>
        <w:t>on</w:t>
      </w:r>
      <w:r>
        <w:rPr>
          <w:spacing w:val="-4"/>
        </w:rPr>
        <w:t xml:space="preserve"> </w:t>
      </w:r>
      <w:r>
        <w:t>the</w:t>
      </w:r>
      <w:r>
        <w:rPr>
          <w:spacing w:val="-3"/>
        </w:rPr>
        <w:t xml:space="preserve"> </w:t>
      </w:r>
      <w:r>
        <w:t>patient</w:t>
      </w:r>
      <w:r>
        <w:rPr>
          <w:spacing w:val="-5"/>
        </w:rPr>
        <w:t xml:space="preserve"> </w:t>
      </w:r>
      <w:r>
        <w:t>completing</w:t>
      </w:r>
      <w:r>
        <w:rPr>
          <w:spacing w:val="-4"/>
        </w:rPr>
        <w:t xml:space="preserve"> </w:t>
      </w:r>
      <w:r>
        <w:t>a</w:t>
      </w:r>
      <w:r>
        <w:rPr>
          <w:spacing w:val="-5"/>
        </w:rPr>
        <w:t xml:space="preserve"> </w:t>
      </w:r>
      <w:r>
        <w:t>health</w:t>
      </w:r>
      <w:r>
        <w:rPr>
          <w:spacing w:val="-5"/>
        </w:rPr>
        <w:t xml:space="preserve"> </w:t>
      </w:r>
      <w:r>
        <w:t>questionnaire</w:t>
      </w:r>
      <w:r>
        <w:rPr>
          <w:spacing w:val="-5"/>
        </w:rPr>
        <w:t xml:space="preserve"> </w:t>
      </w:r>
      <w:r>
        <w:t xml:space="preserve">without speaking to the prescriber. </w:t>
      </w:r>
    </w:p>
    <w:p w14:paraId="15FCC102" w14:textId="77777777" w:rsidR="00F05C60" w:rsidRDefault="00F05C60" w:rsidP="00F05C60">
      <w:pPr>
        <w:pStyle w:val="BodyText"/>
        <w:spacing w:before="198"/>
        <w:ind w:right="776"/>
      </w:pPr>
      <w:r>
        <w:rPr>
          <w:b/>
        </w:rPr>
        <w:t xml:space="preserve">Authorised health practitioner </w:t>
      </w:r>
      <w:r>
        <w:t>means a registered health practitioner who is an authorised autonomous</w:t>
      </w:r>
      <w:r>
        <w:rPr>
          <w:spacing w:val="-3"/>
        </w:rPr>
        <w:t xml:space="preserve"> </w:t>
      </w:r>
      <w:r>
        <w:t>prescriber,</w:t>
      </w:r>
      <w:r>
        <w:rPr>
          <w:spacing w:val="-4"/>
        </w:rPr>
        <w:t xml:space="preserve"> </w:t>
      </w:r>
      <w:r>
        <w:t>for</w:t>
      </w:r>
      <w:r>
        <w:rPr>
          <w:spacing w:val="-1"/>
        </w:rPr>
        <w:t xml:space="preserve"> </w:t>
      </w:r>
      <w:r>
        <w:t>example</w:t>
      </w:r>
      <w:r>
        <w:rPr>
          <w:spacing w:val="-2"/>
        </w:rPr>
        <w:t xml:space="preserve"> </w:t>
      </w:r>
      <w:r>
        <w:t>a</w:t>
      </w:r>
      <w:r>
        <w:rPr>
          <w:spacing w:val="-4"/>
        </w:rPr>
        <w:t xml:space="preserve"> </w:t>
      </w:r>
      <w:r>
        <w:t>medical</w:t>
      </w:r>
      <w:r>
        <w:rPr>
          <w:spacing w:val="-5"/>
        </w:rPr>
        <w:t xml:space="preserve"> </w:t>
      </w:r>
      <w:r>
        <w:t>practitioner</w:t>
      </w:r>
      <w:r>
        <w:rPr>
          <w:spacing w:val="-3"/>
        </w:rPr>
        <w:t xml:space="preserve"> </w:t>
      </w:r>
      <w:r>
        <w:t>or</w:t>
      </w:r>
      <w:r>
        <w:rPr>
          <w:spacing w:val="-4"/>
        </w:rPr>
        <w:t xml:space="preserve"> </w:t>
      </w:r>
      <w:r>
        <w:t>a</w:t>
      </w:r>
      <w:r>
        <w:rPr>
          <w:spacing w:val="-2"/>
        </w:rPr>
        <w:t xml:space="preserve"> </w:t>
      </w:r>
      <w:r>
        <w:t>nurse</w:t>
      </w:r>
      <w:r>
        <w:rPr>
          <w:spacing w:val="-4"/>
        </w:rPr>
        <w:t xml:space="preserve"> </w:t>
      </w:r>
      <w:r>
        <w:t>practitioner.</w:t>
      </w:r>
      <w:r>
        <w:rPr>
          <w:spacing w:val="-2"/>
        </w:rPr>
        <w:t xml:space="preserve"> </w:t>
      </w:r>
      <w:r>
        <w:t>More</w:t>
      </w:r>
      <w:r>
        <w:rPr>
          <w:spacing w:val="-4"/>
        </w:rPr>
        <w:t xml:space="preserve"> </w:t>
      </w:r>
      <w:r>
        <w:t>than</w:t>
      </w:r>
      <w:r>
        <w:rPr>
          <w:spacing w:val="-2"/>
        </w:rPr>
        <w:t xml:space="preserve"> </w:t>
      </w:r>
      <w:r>
        <w:t>one authorised health practitioner may work with the designated RN prescriber.</w:t>
      </w:r>
    </w:p>
    <w:p w14:paraId="1C852FC9" w14:textId="77777777" w:rsidR="00F05C60" w:rsidRDefault="00F05C60" w:rsidP="00F05C60">
      <w:pPr>
        <w:pStyle w:val="BodyText"/>
        <w:spacing w:before="79"/>
        <w:ind w:right="776"/>
      </w:pPr>
      <w:r>
        <w:rPr>
          <w:b/>
        </w:rPr>
        <w:t xml:space="preserve">Clinical mentorship </w:t>
      </w:r>
      <w:r>
        <w:t>is a structured partnership between the authorised health practitioner and the designated RN prescriber, that includes collaboration and personal professional development. It differs</w:t>
      </w:r>
      <w:r>
        <w:rPr>
          <w:spacing w:val="-2"/>
        </w:rPr>
        <w:t xml:space="preserve"> </w:t>
      </w:r>
      <w:r>
        <w:t>from</w:t>
      </w:r>
      <w:r>
        <w:rPr>
          <w:spacing w:val="-4"/>
        </w:rPr>
        <w:t xml:space="preserve"> </w:t>
      </w:r>
      <w:r>
        <w:t>clinical</w:t>
      </w:r>
      <w:r>
        <w:rPr>
          <w:spacing w:val="-5"/>
        </w:rPr>
        <w:t xml:space="preserve"> </w:t>
      </w:r>
      <w:r>
        <w:t>supervision</w:t>
      </w:r>
      <w:r>
        <w:rPr>
          <w:spacing w:val="-5"/>
        </w:rPr>
        <w:t xml:space="preserve"> </w:t>
      </w:r>
      <w:r>
        <w:t>which</w:t>
      </w:r>
      <w:r>
        <w:rPr>
          <w:spacing w:val="-1"/>
        </w:rPr>
        <w:t xml:space="preserve"> </w:t>
      </w:r>
      <w:r>
        <w:t>tends</w:t>
      </w:r>
      <w:r>
        <w:rPr>
          <w:spacing w:val="-3"/>
        </w:rPr>
        <w:t xml:space="preserve"> </w:t>
      </w:r>
      <w:r>
        <w:t>to</w:t>
      </w:r>
      <w:r>
        <w:rPr>
          <w:spacing w:val="-4"/>
        </w:rPr>
        <w:t xml:space="preserve"> </w:t>
      </w:r>
      <w:r>
        <w:t>be</w:t>
      </w:r>
      <w:r>
        <w:rPr>
          <w:spacing w:val="-4"/>
        </w:rPr>
        <w:t xml:space="preserve"> </w:t>
      </w:r>
      <w:r>
        <w:t>more</w:t>
      </w:r>
      <w:r>
        <w:rPr>
          <w:spacing w:val="-4"/>
        </w:rPr>
        <w:t xml:space="preserve"> </w:t>
      </w:r>
      <w:r>
        <w:t>task</w:t>
      </w:r>
      <w:r>
        <w:rPr>
          <w:spacing w:val="-3"/>
        </w:rPr>
        <w:t xml:space="preserve"> </w:t>
      </w:r>
      <w:r>
        <w:t>oriented</w:t>
      </w:r>
      <w:r>
        <w:rPr>
          <w:spacing w:val="-2"/>
        </w:rPr>
        <w:t xml:space="preserve"> </w:t>
      </w:r>
      <w:r>
        <w:t>and</w:t>
      </w:r>
      <w:r>
        <w:rPr>
          <w:spacing w:val="-2"/>
        </w:rPr>
        <w:t xml:space="preserve"> </w:t>
      </w:r>
      <w:r>
        <w:t>involves</w:t>
      </w:r>
      <w:r>
        <w:rPr>
          <w:spacing w:val="-1"/>
        </w:rPr>
        <w:t xml:space="preserve"> </w:t>
      </w:r>
      <w:r>
        <w:t>an</w:t>
      </w:r>
      <w:r>
        <w:rPr>
          <w:spacing w:val="-5"/>
        </w:rPr>
        <w:t xml:space="preserve"> </w:t>
      </w:r>
      <w:r>
        <w:t>assessment</w:t>
      </w:r>
      <w:r>
        <w:rPr>
          <w:spacing w:val="-1"/>
        </w:rPr>
        <w:t xml:space="preserve"> </w:t>
      </w:r>
      <w:r>
        <w:t xml:space="preserve">of </w:t>
      </w:r>
      <w:r>
        <w:rPr>
          <w:spacing w:val="-2"/>
        </w:rPr>
        <w:t>competence.</w:t>
      </w:r>
    </w:p>
    <w:p w14:paraId="3C87057D" w14:textId="77777777" w:rsidR="00F05C60" w:rsidRDefault="00F05C60" w:rsidP="00F05C60">
      <w:pPr>
        <w:pStyle w:val="BodyText"/>
        <w:spacing w:before="198"/>
        <w:ind w:right="763"/>
      </w:pPr>
      <w:r>
        <w:rPr>
          <w:b/>
        </w:rPr>
        <w:t xml:space="preserve">Designated registered nurse prescriber </w:t>
      </w:r>
      <w:r>
        <w:t>means an RN with an endorsement for scheduled medicines</w:t>
      </w:r>
      <w:r>
        <w:rPr>
          <w:spacing w:val="-4"/>
        </w:rPr>
        <w:t xml:space="preserve"> </w:t>
      </w:r>
      <w:r>
        <w:t>who</w:t>
      </w:r>
      <w:r>
        <w:rPr>
          <w:spacing w:val="-3"/>
        </w:rPr>
        <w:t xml:space="preserve"> </w:t>
      </w:r>
      <w:r>
        <w:t>undertakes</w:t>
      </w:r>
      <w:r>
        <w:rPr>
          <w:spacing w:val="-2"/>
        </w:rPr>
        <w:t xml:space="preserve"> </w:t>
      </w:r>
      <w:r>
        <w:t>prescribing</w:t>
      </w:r>
      <w:r>
        <w:rPr>
          <w:spacing w:val="-5"/>
        </w:rPr>
        <w:t xml:space="preserve"> </w:t>
      </w:r>
      <w:r>
        <w:t>within</w:t>
      </w:r>
      <w:r>
        <w:rPr>
          <w:spacing w:val="-5"/>
        </w:rPr>
        <w:t xml:space="preserve"> </w:t>
      </w:r>
      <w:r>
        <w:t>their</w:t>
      </w:r>
      <w:r>
        <w:rPr>
          <w:spacing w:val="-2"/>
        </w:rPr>
        <w:t xml:space="preserve"> </w:t>
      </w:r>
      <w:r>
        <w:t>level</w:t>
      </w:r>
      <w:r>
        <w:rPr>
          <w:spacing w:val="-6"/>
        </w:rPr>
        <w:t xml:space="preserve"> </w:t>
      </w:r>
      <w:r>
        <w:t>of</w:t>
      </w:r>
      <w:r>
        <w:rPr>
          <w:spacing w:val="-5"/>
        </w:rPr>
        <w:t xml:space="preserve"> </w:t>
      </w:r>
      <w:r>
        <w:t>competence</w:t>
      </w:r>
      <w:r>
        <w:rPr>
          <w:spacing w:val="-3"/>
        </w:rPr>
        <w:t xml:space="preserve"> </w:t>
      </w:r>
      <w:r>
        <w:t>and</w:t>
      </w:r>
      <w:r>
        <w:rPr>
          <w:spacing w:val="-5"/>
        </w:rPr>
        <w:t xml:space="preserve"> </w:t>
      </w:r>
      <w:r>
        <w:t>scope</w:t>
      </w:r>
      <w:r>
        <w:rPr>
          <w:spacing w:val="-3"/>
        </w:rPr>
        <w:t xml:space="preserve"> </w:t>
      </w:r>
      <w:r>
        <w:t>of</w:t>
      </w:r>
      <w:r>
        <w:rPr>
          <w:spacing w:val="-5"/>
        </w:rPr>
        <w:t xml:space="preserve"> </w:t>
      </w:r>
      <w:r>
        <w:t>practice together with an authorised health practitioner. The designated RN prescriber is responsible and accountable for prescribing within their scope of practice and authorisation. The designated RN prescriber has an authorisation to prescribe medicines that is determined by legislation, will</w:t>
      </w:r>
      <w:r>
        <w:rPr>
          <w:spacing w:val="-2"/>
        </w:rPr>
        <w:t xml:space="preserve"> </w:t>
      </w:r>
      <w:r>
        <w:t>meet the requirements of the NMBA related to the endorsement and policies of the jurisdiction, employer or health service.</w:t>
      </w:r>
    </w:p>
    <w:p w14:paraId="22EA7397" w14:textId="77777777" w:rsidR="00F05C60" w:rsidRDefault="00F05C60" w:rsidP="00F05C60">
      <w:pPr>
        <w:pStyle w:val="BodyText"/>
        <w:spacing w:before="202"/>
        <w:ind w:right="730"/>
      </w:pPr>
      <w:r>
        <w:rPr>
          <w:b/>
        </w:rPr>
        <w:t>Medicare</w:t>
      </w:r>
      <w:r>
        <w:rPr>
          <w:b/>
          <w:spacing w:val="-2"/>
        </w:rPr>
        <w:t xml:space="preserve"> </w:t>
      </w:r>
      <w:r>
        <w:rPr>
          <w:b/>
        </w:rPr>
        <w:t>Benefits</w:t>
      </w:r>
      <w:r>
        <w:rPr>
          <w:b/>
          <w:spacing w:val="-2"/>
        </w:rPr>
        <w:t xml:space="preserve"> </w:t>
      </w:r>
      <w:r>
        <w:rPr>
          <w:b/>
        </w:rPr>
        <w:t>Schedule</w:t>
      </w:r>
      <w:r>
        <w:rPr>
          <w:b/>
          <w:spacing w:val="-5"/>
        </w:rPr>
        <w:t xml:space="preserve"> </w:t>
      </w:r>
      <w:r>
        <w:rPr>
          <w:b/>
        </w:rPr>
        <w:t>(MBS)</w:t>
      </w:r>
      <w:r>
        <w:rPr>
          <w:b/>
          <w:spacing w:val="-1"/>
        </w:rPr>
        <w:t xml:space="preserve"> </w:t>
      </w:r>
      <w:r>
        <w:t>is</w:t>
      </w:r>
      <w:r>
        <w:rPr>
          <w:spacing w:val="-3"/>
        </w:rPr>
        <w:t xml:space="preserve"> </w:t>
      </w:r>
      <w:r>
        <w:t>a</w:t>
      </w:r>
      <w:r>
        <w:rPr>
          <w:spacing w:val="-5"/>
        </w:rPr>
        <w:t xml:space="preserve"> </w:t>
      </w:r>
      <w:r>
        <w:t>component</w:t>
      </w:r>
      <w:r>
        <w:rPr>
          <w:spacing w:val="-2"/>
        </w:rPr>
        <w:t xml:space="preserve"> </w:t>
      </w:r>
      <w:r>
        <w:t>of</w:t>
      </w:r>
      <w:r>
        <w:rPr>
          <w:spacing w:val="-4"/>
        </w:rPr>
        <w:t xml:space="preserve"> </w:t>
      </w:r>
      <w:r>
        <w:t>the</w:t>
      </w:r>
      <w:r>
        <w:rPr>
          <w:spacing w:val="-4"/>
        </w:rPr>
        <w:t xml:space="preserve"> </w:t>
      </w:r>
      <w:r>
        <w:t>Australian</w:t>
      </w:r>
      <w:r>
        <w:rPr>
          <w:spacing w:val="-3"/>
        </w:rPr>
        <w:t xml:space="preserve"> </w:t>
      </w:r>
      <w:r>
        <w:t>Medicare</w:t>
      </w:r>
      <w:r>
        <w:rPr>
          <w:spacing w:val="-2"/>
        </w:rPr>
        <w:t xml:space="preserve"> </w:t>
      </w:r>
      <w:r>
        <w:t>program</w:t>
      </w:r>
      <w:r>
        <w:rPr>
          <w:spacing w:val="-2"/>
        </w:rPr>
        <w:t xml:space="preserve"> </w:t>
      </w:r>
      <w:r>
        <w:t>that</w:t>
      </w:r>
      <w:r>
        <w:rPr>
          <w:spacing w:val="-2"/>
        </w:rPr>
        <w:t xml:space="preserve"> </w:t>
      </w:r>
      <w:r>
        <w:t>(as</w:t>
      </w:r>
      <w:r>
        <w:rPr>
          <w:spacing w:val="-3"/>
        </w:rPr>
        <w:t xml:space="preserve"> </w:t>
      </w:r>
      <w:r>
        <w:t>of</w:t>
      </w:r>
      <w:r>
        <w:rPr>
          <w:spacing w:val="-2"/>
        </w:rPr>
        <w:t xml:space="preserve"> </w:t>
      </w:r>
      <w:r>
        <w:t>1 August 2020) lists more than 6,000 eligible private medical services for which subsidies are provided to health consumers. Subsidies for clinically relevant services provided by MBS-eligible health professionals, including NPs, take the form of ‘Medicare benefits’ paid to consumers.</w:t>
      </w:r>
    </w:p>
    <w:p w14:paraId="17611FE8" w14:textId="77777777" w:rsidR="00F05C60" w:rsidRDefault="00F05C60" w:rsidP="00F05C60">
      <w:pPr>
        <w:pStyle w:val="BodyText"/>
        <w:spacing w:before="199"/>
        <w:ind w:right="776"/>
      </w:pPr>
      <w:r>
        <w:rPr>
          <w:b/>
        </w:rPr>
        <w:t>Ministerial</w:t>
      </w:r>
      <w:r>
        <w:rPr>
          <w:b/>
          <w:spacing w:val="-2"/>
        </w:rPr>
        <w:t xml:space="preserve"> </w:t>
      </w:r>
      <w:r>
        <w:rPr>
          <w:b/>
        </w:rPr>
        <w:t>Council</w:t>
      </w:r>
      <w:r>
        <w:rPr>
          <w:b/>
          <w:spacing w:val="-3"/>
        </w:rPr>
        <w:t xml:space="preserve"> </w:t>
      </w:r>
      <w:r>
        <w:t>means</w:t>
      </w:r>
      <w:r>
        <w:rPr>
          <w:spacing w:val="-3"/>
        </w:rPr>
        <w:t xml:space="preserve"> </w:t>
      </w:r>
      <w:r>
        <w:t>the</w:t>
      </w:r>
      <w:r>
        <w:rPr>
          <w:spacing w:val="-4"/>
        </w:rPr>
        <w:t xml:space="preserve"> </w:t>
      </w:r>
      <w:r>
        <w:t>COAG</w:t>
      </w:r>
      <w:r>
        <w:rPr>
          <w:spacing w:val="-3"/>
        </w:rPr>
        <w:t xml:space="preserve"> </w:t>
      </w:r>
      <w:r>
        <w:t>Health</w:t>
      </w:r>
      <w:r>
        <w:rPr>
          <w:spacing w:val="-4"/>
        </w:rPr>
        <w:t xml:space="preserve"> </w:t>
      </w:r>
      <w:r>
        <w:t>Council,</w:t>
      </w:r>
      <w:r>
        <w:rPr>
          <w:spacing w:val="-2"/>
        </w:rPr>
        <w:t xml:space="preserve"> </w:t>
      </w:r>
      <w:r>
        <w:t>or</w:t>
      </w:r>
      <w:r>
        <w:rPr>
          <w:spacing w:val="-4"/>
        </w:rPr>
        <w:t xml:space="preserve"> </w:t>
      </w:r>
      <w:r>
        <w:t>a</w:t>
      </w:r>
      <w:r>
        <w:rPr>
          <w:spacing w:val="-4"/>
        </w:rPr>
        <w:t xml:space="preserve"> </w:t>
      </w:r>
      <w:r>
        <w:t>successor</w:t>
      </w:r>
      <w:r>
        <w:rPr>
          <w:spacing w:val="-4"/>
        </w:rPr>
        <w:t xml:space="preserve"> </w:t>
      </w:r>
      <w:r>
        <w:t>of</w:t>
      </w:r>
      <w:r>
        <w:rPr>
          <w:spacing w:val="-4"/>
        </w:rPr>
        <w:t xml:space="preserve"> </w:t>
      </w:r>
      <w:r>
        <w:t>the</w:t>
      </w:r>
      <w:r>
        <w:rPr>
          <w:spacing w:val="-4"/>
        </w:rPr>
        <w:t xml:space="preserve"> </w:t>
      </w:r>
      <w:r>
        <w:t>Council</w:t>
      </w:r>
      <w:r>
        <w:rPr>
          <w:spacing w:val="-5"/>
        </w:rPr>
        <w:t xml:space="preserve"> </w:t>
      </w:r>
      <w:r>
        <w:t>by</w:t>
      </w:r>
      <w:r>
        <w:rPr>
          <w:spacing w:val="-3"/>
        </w:rPr>
        <w:t xml:space="preserve"> </w:t>
      </w:r>
      <w:r>
        <w:t>whatever name</w:t>
      </w:r>
      <w:r>
        <w:rPr>
          <w:spacing w:val="-1"/>
        </w:rPr>
        <w:t xml:space="preserve"> </w:t>
      </w:r>
      <w:r>
        <w:t>called,</w:t>
      </w:r>
      <w:r>
        <w:rPr>
          <w:spacing w:val="-3"/>
        </w:rPr>
        <w:t xml:space="preserve"> </w:t>
      </w:r>
      <w:r>
        <w:t>constituted</w:t>
      </w:r>
      <w:r>
        <w:rPr>
          <w:spacing w:val="-3"/>
        </w:rPr>
        <w:t xml:space="preserve"> </w:t>
      </w:r>
      <w:r>
        <w:t>by ministers</w:t>
      </w:r>
      <w:r>
        <w:rPr>
          <w:spacing w:val="-1"/>
        </w:rPr>
        <w:t xml:space="preserve"> </w:t>
      </w:r>
      <w:r>
        <w:t>of</w:t>
      </w:r>
      <w:r>
        <w:rPr>
          <w:spacing w:val="-1"/>
        </w:rPr>
        <w:t xml:space="preserve"> </w:t>
      </w:r>
      <w:r>
        <w:t>the</w:t>
      </w:r>
      <w:r>
        <w:rPr>
          <w:spacing w:val="-2"/>
        </w:rPr>
        <w:t xml:space="preserve"> </w:t>
      </w:r>
      <w:r>
        <w:t>governments</w:t>
      </w:r>
      <w:r>
        <w:rPr>
          <w:spacing w:val="-2"/>
        </w:rPr>
        <w:t xml:space="preserve"> </w:t>
      </w:r>
      <w:r>
        <w:t>of</w:t>
      </w:r>
      <w:r>
        <w:rPr>
          <w:spacing w:val="-3"/>
        </w:rPr>
        <w:t xml:space="preserve"> </w:t>
      </w:r>
      <w:r>
        <w:t>the</w:t>
      </w:r>
      <w:r>
        <w:rPr>
          <w:spacing w:val="-3"/>
        </w:rPr>
        <w:t xml:space="preserve"> </w:t>
      </w:r>
      <w:r>
        <w:t>participating</w:t>
      </w:r>
      <w:r>
        <w:rPr>
          <w:spacing w:val="-1"/>
        </w:rPr>
        <w:t xml:space="preserve"> </w:t>
      </w:r>
      <w:r>
        <w:t>jurisdictions</w:t>
      </w:r>
      <w:r>
        <w:rPr>
          <w:spacing w:val="-2"/>
        </w:rPr>
        <w:t xml:space="preserve"> </w:t>
      </w:r>
      <w:r>
        <w:t>and</w:t>
      </w:r>
      <w:r>
        <w:rPr>
          <w:spacing w:val="-3"/>
        </w:rPr>
        <w:t xml:space="preserve"> </w:t>
      </w:r>
      <w:r>
        <w:t>the Commonwealth with portfolio responsibility for health.</w:t>
      </w:r>
      <w:r>
        <w:rPr>
          <w:spacing w:val="40"/>
        </w:rPr>
        <w:t xml:space="preserve"> </w:t>
      </w:r>
      <w:r w:rsidRPr="001846DE">
        <w:t>The</w:t>
      </w:r>
      <w:r>
        <w:t xml:space="preserve"> Health Ministers’ Meeting is the current </w:t>
      </w:r>
      <w:r>
        <w:rPr>
          <w:spacing w:val="-2"/>
        </w:rPr>
        <w:t>successor.</w:t>
      </w:r>
    </w:p>
    <w:p w14:paraId="0411B5AA" w14:textId="77777777" w:rsidR="00F05C60" w:rsidRDefault="00F05C60" w:rsidP="00F05C60">
      <w:pPr>
        <w:pStyle w:val="BodyText"/>
        <w:spacing w:before="201"/>
        <w:ind w:right="776"/>
      </w:pPr>
      <w:r>
        <w:rPr>
          <w:b/>
        </w:rPr>
        <w:t>National</w:t>
      </w:r>
      <w:r>
        <w:rPr>
          <w:b/>
          <w:spacing w:val="-4"/>
        </w:rPr>
        <w:t xml:space="preserve"> </w:t>
      </w:r>
      <w:r>
        <w:rPr>
          <w:b/>
        </w:rPr>
        <w:t xml:space="preserve">Law </w:t>
      </w:r>
      <w:r>
        <w:t>means</w:t>
      </w:r>
      <w:r>
        <w:rPr>
          <w:spacing w:val="-3"/>
        </w:rPr>
        <w:t xml:space="preserve"> </w:t>
      </w:r>
      <w:r>
        <w:t>the</w:t>
      </w:r>
      <w:r>
        <w:rPr>
          <w:spacing w:val="-2"/>
        </w:rPr>
        <w:t xml:space="preserve"> </w:t>
      </w:r>
      <w:r>
        <w:t>Health</w:t>
      </w:r>
      <w:r>
        <w:rPr>
          <w:spacing w:val="-4"/>
        </w:rPr>
        <w:t xml:space="preserve"> </w:t>
      </w:r>
      <w:r>
        <w:t>Practitioner</w:t>
      </w:r>
      <w:r>
        <w:rPr>
          <w:spacing w:val="-4"/>
        </w:rPr>
        <w:t xml:space="preserve"> </w:t>
      </w:r>
      <w:r>
        <w:t>Regulation</w:t>
      </w:r>
      <w:r>
        <w:rPr>
          <w:spacing w:val="-4"/>
        </w:rPr>
        <w:t xml:space="preserve"> </w:t>
      </w:r>
      <w:r>
        <w:t>National</w:t>
      </w:r>
      <w:r>
        <w:rPr>
          <w:spacing w:val="-3"/>
        </w:rPr>
        <w:t xml:space="preserve"> </w:t>
      </w:r>
      <w:r>
        <w:t>Law</w:t>
      </w:r>
      <w:r>
        <w:rPr>
          <w:spacing w:val="-2"/>
        </w:rPr>
        <w:t xml:space="preserve"> </w:t>
      </w:r>
      <w:r>
        <w:t>as</w:t>
      </w:r>
      <w:r>
        <w:rPr>
          <w:spacing w:val="-3"/>
        </w:rPr>
        <w:t xml:space="preserve"> </w:t>
      </w:r>
      <w:r>
        <w:t>in</w:t>
      </w:r>
      <w:r>
        <w:rPr>
          <w:spacing w:val="-4"/>
        </w:rPr>
        <w:t xml:space="preserve"> </w:t>
      </w:r>
      <w:r>
        <w:t>force</w:t>
      </w:r>
      <w:r>
        <w:rPr>
          <w:spacing w:val="-2"/>
        </w:rPr>
        <w:t xml:space="preserve"> </w:t>
      </w:r>
      <w:r>
        <w:t>in</w:t>
      </w:r>
      <w:r>
        <w:rPr>
          <w:spacing w:val="-4"/>
        </w:rPr>
        <w:t xml:space="preserve"> </w:t>
      </w:r>
      <w:r>
        <w:t>each</w:t>
      </w:r>
      <w:r>
        <w:rPr>
          <w:spacing w:val="-4"/>
        </w:rPr>
        <w:t xml:space="preserve"> </w:t>
      </w:r>
      <w:r>
        <w:t>state</w:t>
      </w:r>
      <w:r>
        <w:rPr>
          <w:spacing w:val="-3"/>
        </w:rPr>
        <w:t xml:space="preserve"> </w:t>
      </w:r>
      <w:r>
        <w:t xml:space="preserve">and </w:t>
      </w:r>
      <w:r>
        <w:rPr>
          <w:spacing w:val="-2"/>
        </w:rPr>
        <w:t>territory.</w:t>
      </w:r>
    </w:p>
    <w:p w14:paraId="3672FEF2" w14:textId="77777777" w:rsidR="00F05C60" w:rsidRDefault="00F05C60" w:rsidP="00F05C60">
      <w:pPr>
        <w:pStyle w:val="BodyText"/>
        <w:ind w:right="796"/>
      </w:pPr>
      <w:r>
        <w:rPr>
          <w:b/>
        </w:rPr>
        <w:t>Person</w:t>
      </w:r>
      <w:r>
        <w:rPr>
          <w:b/>
          <w:spacing w:val="-4"/>
        </w:rPr>
        <w:t xml:space="preserve"> </w:t>
      </w:r>
      <w:r>
        <w:rPr>
          <w:b/>
        </w:rPr>
        <w:t>or</w:t>
      </w:r>
      <w:r>
        <w:rPr>
          <w:b/>
          <w:spacing w:val="-5"/>
        </w:rPr>
        <w:t xml:space="preserve"> </w:t>
      </w:r>
      <w:r>
        <w:rPr>
          <w:b/>
        </w:rPr>
        <w:t>people</w:t>
      </w:r>
      <w:r>
        <w:rPr>
          <w:b/>
          <w:spacing w:val="-4"/>
        </w:rPr>
        <w:t xml:space="preserve"> </w:t>
      </w:r>
      <w:r>
        <w:t>refers</w:t>
      </w:r>
      <w:r>
        <w:rPr>
          <w:spacing w:val="-3"/>
        </w:rPr>
        <w:t xml:space="preserve"> </w:t>
      </w:r>
      <w:r>
        <w:t>to</w:t>
      </w:r>
      <w:r>
        <w:rPr>
          <w:spacing w:val="-3"/>
        </w:rPr>
        <w:t xml:space="preserve"> </w:t>
      </w:r>
      <w:r>
        <w:t>those</w:t>
      </w:r>
      <w:r>
        <w:rPr>
          <w:spacing w:val="-3"/>
        </w:rPr>
        <w:t xml:space="preserve"> </w:t>
      </w:r>
      <w:r>
        <w:t>individuals</w:t>
      </w:r>
      <w:r>
        <w:rPr>
          <w:spacing w:val="-4"/>
        </w:rPr>
        <w:t xml:space="preserve"> </w:t>
      </w:r>
      <w:r>
        <w:t>who</w:t>
      </w:r>
      <w:r>
        <w:rPr>
          <w:spacing w:val="-3"/>
        </w:rPr>
        <w:t xml:space="preserve"> </w:t>
      </w:r>
      <w:r>
        <w:t>have</w:t>
      </w:r>
      <w:r>
        <w:rPr>
          <w:spacing w:val="-3"/>
        </w:rPr>
        <w:t xml:space="preserve"> </w:t>
      </w:r>
      <w:r>
        <w:t>entered</w:t>
      </w:r>
      <w:r>
        <w:rPr>
          <w:spacing w:val="-5"/>
        </w:rPr>
        <w:t xml:space="preserve"> </w:t>
      </w:r>
      <w:r>
        <w:t>into</w:t>
      </w:r>
      <w:r>
        <w:rPr>
          <w:spacing w:val="-4"/>
        </w:rPr>
        <w:t xml:space="preserve"> </w:t>
      </w:r>
      <w:r>
        <w:t>a</w:t>
      </w:r>
      <w:r>
        <w:rPr>
          <w:spacing w:val="-5"/>
        </w:rPr>
        <w:t xml:space="preserve"> </w:t>
      </w:r>
      <w:r>
        <w:t>therapeutic</w:t>
      </w:r>
      <w:r>
        <w:rPr>
          <w:spacing w:val="-4"/>
        </w:rPr>
        <w:t xml:space="preserve"> </w:t>
      </w:r>
      <w:r>
        <w:t>and/or</w:t>
      </w:r>
      <w:r>
        <w:rPr>
          <w:spacing w:val="-5"/>
        </w:rPr>
        <w:t xml:space="preserve"> </w:t>
      </w:r>
      <w:r>
        <w:t>professional relationship with a nurse. These individuals will sometimes be healthcare consumers, at other times they may be colleagues or students, this will vary depending on who is the focus of practice at the time. Therefore, the words person or people include all the patients, clients, consumers, families, carers,</w:t>
      </w:r>
      <w:r>
        <w:rPr>
          <w:spacing w:val="-1"/>
        </w:rPr>
        <w:t xml:space="preserve"> </w:t>
      </w:r>
      <w:r>
        <w:t>groups and/or</w:t>
      </w:r>
      <w:r>
        <w:rPr>
          <w:spacing w:val="-1"/>
        </w:rPr>
        <w:t xml:space="preserve"> </w:t>
      </w:r>
      <w:r>
        <w:t>communities,</w:t>
      </w:r>
      <w:r>
        <w:rPr>
          <w:spacing w:val="-1"/>
        </w:rPr>
        <w:t xml:space="preserve"> </w:t>
      </w:r>
      <w:r>
        <w:t>however</w:t>
      </w:r>
      <w:r>
        <w:rPr>
          <w:spacing w:val="-1"/>
        </w:rPr>
        <w:t xml:space="preserve"> </w:t>
      </w:r>
      <w:r>
        <w:t>named,</w:t>
      </w:r>
      <w:r>
        <w:rPr>
          <w:spacing w:val="-1"/>
        </w:rPr>
        <w:t xml:space="preserve"> </w:t>
      </w:r>
      <w:r>
        <w:t>that</w:t>
      </w:r>
      <w:r>
        <w:rPr>
          <w:spacing w:val="-1"/>
        </w:rPr>
        <w:t xml:space="preserve"> </w:t>
      </w:r>
      <w:r>
        <w:t>are within</w:t>
      </w:r>
      <w:r>
        <w:rPr>
          <w:spacing w:val="-1"/>
        </w:rPr>
        <w:t xml:space="preserve"> </w:t>
      </w:r>
      <w:r>
        <w:t>the</w:t>
      </w:r>
      <w:r>
        <w:rPr>
          <w:spacing w:val="-1"/>
        </w:rPr>
        <w:t xml:space="preserve"> </w:t>
      </w:r>
      <w:r>
        <w:t>nurse’s scope</w:t>
      </w:r>
      <w:r>
        <w:rPr>
          <w:spacing w:val="-1"/>
        </w:rPr>
        <w:t xml:space="preserve"> </w:t>
      </w:r>
      <w:r>
        <w:t>and</w:t>
      </w:r>
      <w:r>
        <w:rPr>
          <w:spacing w:val="-2"/>
        </w:rPr>
        <w:t xml:space="preserve"> </w:t>
      </w:r>
      <w:r>
        <w:t>context</w:t>
      </w:r>
      <w:r>
        <w:rPr>
          <w:spacing w:val="-1"/>
        </w:rPr>
        <w:t xml:space="preserve"> </w:t>
      </w:r>
      <w:r>
        <w:t xml:space="preserve">of </w:t>
      </w:r>
      <w:r>
        <w:rPr>
          <w:spacing w:val="-2"/>
        </w:rPr>
        <w:t>practice.</w:t>
      </w:r>
    </w:p>
    <w:p w14:paraId="74AB48A0" w14:textId="77777777" w:rsidR="00F05C60" w:rsidRDefault="00F05C60" w:rsidP="00F05C60">
      <w:pPr>
        <w:pStyle w:val="BodyText"/>
        <w:ind w:right="1368"/>
        <w:jc w:val="both"/>
      </w:pPr>
      <w:r>
        <w:rPr>
          <w:b/>
        </w:rPr>
        <w:t>Pharmaceutical</w:t>
      </w:r>
      <w:r>
        <w:rPr>
          <w:b/>
          <w:spacing w:val="-5"/>
        </w:rPr>
        <w:t xml:space="preserve"> </w:t>
      </w:r>
      <w:r>
        <w:rPr>
          <w:b/>
        </w:rPr>
        <w:t>Benefits</w:t>
      </w:r>
      <w:r>
        <w:rPr>
          <w:b/>
          <w:spacing w:val="-3"/>
        </w:rPr>
        <w:t xml:space="preserve"> </w:t>
      </w:r>
      <w:r>
        <w:rPr>
          <w:b/>
        </w:rPr>
        <w:t>Scheme</w:t>
      </w:r>
      <w:r>
        <w:rPr>
          <w:b/>
          <w:spacing w:val="-3"/>
        </w:rPr>
        <w:t xml:space="preserve"> </w:t>
      </w:r>
      <w:r>
        <w:rPr>
          <w:b/>
        </w:rPr>
        <w:t>(PBS)</w:t>
      </w:r>
      <w:r>
        <w:rPr>
          <w:b/>
          <w:spacing w:val="-4"/>
        </w:rPr>
        <w:t xml:space="preserve"> </w:t>
      </w:r>
      <w:r>
        <w:t>is</w:t>
      </w:r>
      <w:r>
        <w:rPr>
          <w:spacing w:val="-2"/>
        </w:rPr>
        <w:t xml:space="preserve"> </w:t>
      </w:r>
      <w:r>
        <w:t>an</w:t>
      </w:r>
      <w:r>
        <w:rPr>
          <w:spacing w:val="-4"/>
        </w:rPr>
        <w:t xml:space="preserve"> </w:t>
      </w:r>
      <w:r>
        <w:t>Australian</w:t>
      </w:r>
      <w:r>
        <w:rPr>
          <w:spacing w:val="-6"/>
        </w:rPr>
        <w:t xml:space="preserve"> </w:t>
      </w:r>
      <w:r>
        <w:t>Government</w:t>
      </w:r>
      <w:r>
        <w:rPr>
          <w:spacing w:val="-5"/>
        </w:rPr>
        <w:t xml:space="preserve"> </w:t>
      </w:r>
      <w:r>
        <w:t>program</w:t>
      </w:r>
      <w:r>
        <w:rPr>
          <w:spacing w:val="-3"/>
        </w:rPr>
        <w:t xml:space="preserve"> </w:t>
      </w:r>
      <w:r>
        <w:t>that</w:t>
      </w:r>
      <w:r>
        <w:rPr>
          <w:spacing w:val="-5"/>
        </w:rPr>
        <w:t xml:space="preserve"> </w:t>
      </w:r>
      <w:r>
        <w:t>creates</w:t>
      </w:r>
      <w:r>
        <w:rPr>
          <w:spacing w:val="-4"/>
        </w:rPr>
        <w:t xml:space="preserve"> </w:t>
      </w:r>
      <w:r>
        <w:t>a schedule</w:t>
      </w:r>
      <w:r>
        <w:rPr>
          <w:spacing w:val="-1"/>
        </w:rPr>
        <w:t xml:space="preserve"> </w:t>
      </w:r>
      <w:r>
        <w:t>of all</w:t>
      </w:r>
      <w:r>
        <w:rPr>
          <w:spacing w:val="-2"/>
        </w:rPr>
        <w:t xml:space="preserve"> </w:t>
      </w:r>
      <w:r>
        <w:t>the</w:t>
      </w:r>
      <w:r>
        <w:rPr>
          <w:spacing w:val="-1"/>
        </w:rPr>
        <w:t xml:space="preserve"> </w:t>
      </w:r>
      <w:r>
        <w:t>medicines available</w:t>
      </w:r>
      <w:r>
        <w:rPr>
          <w:spacing w:val="-1"/>
        </w:rPr>
        <w:t xml:space="preserve"> </w:t>
      </w:r>
      <w:r>
        <w:t>to</w:t>
      </w:r>
      <w:r>
        <w:rPr>
          <w:spacing w:val="-1"/>
        </w:rPr>
        <w:t xml:space="preserve"> </w:t>
      </w:r>
      <w:r>
        <w:t>be</w:t>
      </w:r>
      <w:r>
        <w:rPr>
          <w:spacing w:val="-1"/>
        </w:rPr>
        <w:t xml:space="preserve"> </w:t>
      </w:r>
      <w:r>
        <w:t>dispensed</w:t>
      </w:r>
      <w:r>
        <w:rPr>
          <w:spacing w:val="-1"/>
        </w:rPr>
        <w:t xml:space="preserve"> </w:t>
      </w:r>
      <w:r>
        <w:t>to health</w:t>
      </w:r>
      <w:r>
        <w:rPr>
          <w:spacing w:val="-2"/>
        </w:rPr>
        <w:t xml:space="preserve"> </w:t>
      </w:r>
      <w:r>
        <w:t>consumers at</w:t>
      </w:r>
      <w:r>
        <w:rPr>
          <w:spacing w:val="-1"/>
        </w:rPr>
        <w:t xml:space="preserve"> </w:t>
      </w:r>
      <w:r>
        <w:t>a government- subsidised price.</w:t>
      </w:r>
    </w:p>
    <w:p w14:paraId="6A0E2399" w14:textId="77777777" w:rsidR="00F05C60" w:rsidRDefault="00F05C60" w:rsidP="00F05C60">
      <w:pPr>
        <w:pStyle w:val="BodyText"/>
        <w:ind w:right="840"/>
      </w:pPr>
      <w:r>
        <w:rPr>
          <w:b/>
        </w:rPr>
        <w:t xml:space="preserve">Prescribe a medicine </w:t>
      </w:r>
      <w:r>
        <w:t>for the purpose of this endorsement means to authorise the supply and/or administration</w:t>
      </w:r>
      <w:r>
        <w:rPr>
          <w:spacing w:val="-4"/>
        </w:rPr>
        <w:t xml:space="preserve"> </w:t>
      </w:r>
      <w:r>
        <w:t>of</w:t>
      </w:r>
      <w:r>
        <w:rPr>
          <w:spacing w:val="-2"/>
        </w:rPr>
        <w:t xml:space="preserve"> </w:t>
      </w:r>
      <w:r>
        <w:t>a</w:t>
      </w:r>
      <w:r>
        <w:rPr>
          <w:spacing w:val="-2"/>
        </w:rPr>
        <w:t xml:space="preserve"> </w:t>
      </w:r>
      <w:r>
        <w:t>medicine</w:t>
      </w:r>
      <w:r>
        <w:rPr>
          <w:spacing w:val="-4"/>
        </w:rPr>
        <w:t xml:space="preserve"> </w:t>
      </w:r>
      <w:r>
        <w:t>to</w:t>
      </w:r>
      <w:r>
        <w:rPr>
          <w:spacing w:val="-2"/>
        </w:rPr>
        <w:t xml:space="preserve"> </w:t>
      </w:r>
      <w:r>
        <w:t>a</w:t>
      </w:r>
      <w:r>
        <w:rPr>
          <w:spacing w:val="-1"/>
        </w:rPr>
        <w:t xml:space="preserve"> </w:t>
      </w:r>
      <w:r>
        <w:t>person</w:t>
      </w:r>
      <w:r>
        <w:rPr>
          <w:spacing w:val="-2"/>
        </w:rPr>
        <w:t xml:space="preserve"> </w:t>
      </w:r>
      <w:r>
        <w:t>(for</w:t>
      </w:r>
      <w:r>
        <w:rPr>
          <w:spacing w:val="-4"/>
        </w:rPr>
        <w:t xml:space="preserve"> </w:t>
      </w:r>
      <w:r>
        <w:t>example,</w:t>
      </w:r>
      <w:r>
        <w:rPr>
          <w:spacing w:val="-2"/>
        </w:rPr>
        <w:t xml:space="preserve"> </w:t>
      </w:r>
      <w:r>
        <w:t>a</w:t>
      </w:r>
      <w:r>
        <w:rPr>
          <w:spacing w:val="-4"/>
        </w:rPr>
        <w:t xml:space="preserve"> </w:t>
      </w:r>
      <w:r>
        <w:t>nurse</w:t>
      </w:r>
      <w:r>
        <w:rPr>
          <w:spacing w:val="-4"/>
        </w:rPr>
        <w:t xml:space="preserve"> </w:t>
      </w:r>
      <w:r>
        <w:t>who</w:t>
      </w:r>
      <w:r>
        <w:rPr>
          <w:spacing w:val="-5"/>
        </w:rPr>
        <w:t xml:space="preserve"> </w:t>
      </w:r>
      <w:r>
        <w:t>writes</w:t>
      </w:r>
      <w:r>
        <w:rPr>
          <w:spacing w:val="-3"/>
        </w:rPr>
        <w:t xml:space="preserve"> </w:t>
      </w:r>
      <w:r>
        <w:t>a</w:t>
      </w:r>
      <w:r>
        <w:rPr>
          <w:spacing w:val="-2"/>
        </w:rPr>
        <w:t xml:space="preserve"> </w:t>
      </w:r>
      <w:r>
        <w:t>prescription</w:t>
      </w:r>
      <w:r>
        <w:rPr>
          <w:spacing w:val="-3"/>
        </w:rPr>
        <w:t xml:space="preserve"> </w:t>
      </w:r>
      <w:r>
        <w:t>for</w:t>
      </w:r>
      <w:r>
        <w:rPr>
          <w:spacing w:val="-4"/>
        </w:rPr>
        <w:t xml:space="preserve"> </w:t>
      </w:r>
      <w:r>
        <w:t>a person to be dispensed by a pharmacist is exercising their authority to prescribe) – it also includes de- prescribing of medicines.</w:t>
      </w:r>
    </w:p>
    <w:p w14:paraId="3B789FFD" w14:textId="77777777" w:rsidR="00F05C60" w:rsidRDefault="00F05C60" w:rsidP="00F05C60">
      <w:pPr>
        <w:pStyle w:val="BodyText"/>
        <w:spacing w:before="201"/>
        <w:ind w:right="1379"/>
        <w:jc w:val="both"/>
      </w:pPr>
      <w:r>
        <w:rPr>
          <w:b/>
        </w:rPr>
        <w:t>Prescribing</w:t>
      </w:r>
      <w:r>
        <w:rPr>
          <w:b/>
          <w:spacing w:val="-4"/>
        </w:rPr>
        <w:t xml:space="preserve"> </w:t>
      </w:r>
      <w:r>
        <w:rPr>
          <w:b/>
        </w:rPr>
        <w:t>agreement</w:t>
      </w:r>
      <w:r>
        <w:rPr>
          <w:b/>
          <w:spacing w:val="-2"/>
        </w:rPr>
        <w:t xml:space="preserve"> </w:t>
      </w:r>
      <w:r>
        <w:t>is</w:t>
      </w:r>
      <w:r>
        <w:rPr>
          <w:spacing w:val="-2"/>
        </w:rPr>
        <w:t xml:space="preserve"> </w:t>
      </w:r>
      <w:r>
        <w:t>a</w:t>
      </w:r>
      <w:r>
        <w:rPr>
          <w:spacing w:val="-5"/>
        </w:rPr>
        <w:t xml:space="preserve"> </w:t>
      </w:r>
      <w:r>
        <w:t>written</w:t>
      </w:r>
      <w:r>
        <w:rPr>
          <w:spacing w:val="-6"/>
        </w:rPr>
        <w:t xml:space="preserve"> </w:t>
      </w:r>
      <w:r>
        <w:t>agreement</w:t>
      </w:r>
      <w:r>
        <w:rPr>
          <w:spacing w:val="-5"/>
        </w:rPr>
        <w:t xml:space="preserve"> </w:t>
      </w:r>
      <w:r>
        <w:t>between</w:t>
      </w:r>
      <w:r>
        <w:rPr>
          <w:spacing w:val="-6"/>
        </w:rPr>
        <w:t xml:space="preserve"> </w:t>
      </w:r>
      <w:r>
        <w:t>the</w:t>
      </w:r>
      <w:r>
        <w:rPr>
          <w:spacing w:val="-5"/>
        </w:rPr>
        <w:t xml:space="preserve"> </w:t>
      </w:r>
      <w:r>
        <w:t>designated</w:t>
      </w:r>
      <w:r>
        <w:rPr>
          <w:spacing w:val="-5"/>
        </w:rPr>
        <w:t xml:space="preserve"> </w:t>
      </w:r>
      <w:r>
        <w:t>RN</w:t>
      </w:r>
      <w:r>
        <w:rPr>
          <w:spacing w:val="-3"/>
        </w:rPr>
        <w:t xml:space="preserve"> </w:t>
      </w:r>
      <w:r>
        <w:t>prescriber</w:t>
      </w:r>
      <w:r>
        <w:rPr>
          <w:spacing w:val="-4"/>
        </w:rPr>
        <w:t xml:space="preserve"> </w:t>
      </w:r>
      <w:r>
        <w:t>and</w:t>
      </w:r>
      <w:r>
        <w:rPr>
          <w:spacing w:val="-5"/>
        </w:rPr>
        <w:t xml:space="preserve"> </w:t>
      </w:r>
      <w:r>
        <w:t>the authorised health practitioner and approved by the health organisation/service or employer.</w:t>
      </w:r>
    </w:p>
    <w:p w14:paraId="1D9E8CF8" w14:textId="77777777" w:rsidR="00F05C60" w:rsidRDefault="00F05C60" w:rsidP="00F05C60">
      <w:pPr>
        <w:spacing w:before="119"/>
        <w:ind w:left="120" w:right="776"/>
      </w:pPr>
      <w:r>
        <w:rPr>
          <w:b/>
        </w:rPr>
        <w:t>Scheduled</w:t>
      </w:r>
      <w:r>
        <w:rPr>
          <w:b/>
          <w:spacing w:val="-5"/>
        </w:rPr>
        <w:t xml:space="preserve"> </w:t>
      </w:r>
      <w:r>
        <w:rPr>
          <w:b/>
        </w:rPr>
        <w:t>medicine</w:t>
      </w:r>
      <w:r>
        <w:rPr>
          <w:b/>
          <w:spacing w:val="-4"/>
        </w:rPr>
        <w:t xml:space="preserve"> </w:t>
      </w:r>
      <w:r>
        <w:t>means</w:t>
      </w:r>
      <w:r>
        <w:rPr>
          <w:spacing w:val="-4"/>
        </w:rPr>
        <w:t xml:space="preserve"> </w:t>
      </w:r>
      <w:r>
        <w:t>a</w:t>
      </w:r>
      <w:r>
        <w:rPr>
          <w:spacing w:val="-6"/>
        </w:rPr>
        <w:t xml:space="preserve"> </w:t>
      </w:r>
      <w:r>
        <w:t>substance</w:t>
      </w:r>
      <w:r>
        <w:rPr>
          <w:spacing w:val="-5"/>
        </w:rPr>
        <w:t xml:space="preserve"> </w:t>
      </w:r>
      <w:r>
        <w:t>included</w:t>
      </w:r>
      <w:r>
        <w:rPr>
          <w:spacing w:val="-4"/>
        </w:rPr>
        <w:t xml:space="preserve"> </w:t>
      </w:r>
      <w:r>
        <w:t>in</w:t>
      </w:r>
      <w:r>
        <w:rPr>
          <w:spacing w:val="-3"/>
        </w:rPr>
        <w:t xml:space="preserve"> </w:t>
      </w:r>
      <w:r>
        <w:t>a</w:t>
      </w:r>
      <w:r>
        <w:rPr>
          <w:spacing w:val="-5"/>
        </w:rPr>
        <w:t xml:space="preserve"> </w:t>
      </w:r>
      <w:r>
        <w:t>schedule</w:t>
      </w:r>
      <w:r>
        <w:rPr>
          <w:spacing w:val="-5"/>
        </w:rPr>
        <w:t xml:space="preserve"> </w:t>
      </w:r>
      <w:r>
        <w:t>to</w:t>
      </w:r>
      <w:r>
        <w:rPr>
          <w:spacing w:val="-5"/>
        </w:rPr>
        <w:t xml:space="preserve"> </w:t>
      </w:r>
      <w:r>
        <w:t>the</w:t>
      </w:r>
      <w:r>
        <w:rPr>
          <w:spacing w:val="-5"/>
        </w:rPr>
        <w:t xml:space="preserve"> </w:t>
      </w:r>
      <w:r>
        <w:t>current</w:t>
      </w:r>
      <w:r>
        <w:rPr>
          <w:spacing w:val="-3"/>
        </w:rPr>
        <w:t xml:space="preserve"> </w:t>
      </w:r>
      <w:r>
        <w:t>Poisons</w:t>
      </w:r>
      <w:r>
        <w:rPr>
          <w:spacing w:val="-2"/>
        </w:rPr>
        <w:t xml:space="preserve"> </w:t>
      </w:r>
      <w:r>
        <w:t xml:space="preserve">Standard within the meaning of the </w:t>
      </w:r>
      <w:r>
        <w:rPr>
          <w:i/>
        </w:rPr>
        <w:t xml:space="preserve">Therapeutic Goods Act 1989 </w:t>
      </w:r>
      <w:r>
        <w:t>(Cth).</w:t>
      </w:r>
    </w:p>
    <w:p w14:paraId="6692DAB0" w14:textId="77777777" w:rsidR="00F05C60" w:rsidRDefault="00F05C60" w:rsidP="00F05C60">
      <w:pPr>
        <w:pStyle w:val="BodyText"/>
        <w:spacing w:before="121"/>
        <w:ind w:right="844"/>
      </w:pPr>
      <w:r>
        <w:rPr>
          <w:b/>
        </w:rPr>
        <w:t>Sole</w:t>
      </w:r>
      <w:r>
        <w:rPr>
          <w:b/>
          <w:spacing w:val="-5"/>
        </w:rPr>
        <w:t xml:space="preserve"> </w:t>
      </w:r>
      <w:r>
        <w:rPr>
          <w:b/>
        </w:rPr>
        <w:t>practitioner</w:t>
      </w:r>
      <w:r>
        <w:rPr>
          <w:b/>
          <w:spacing w:val="-4"/>
        </w:rPr>
        <w:t xml:space="preserve"> </w:t>
      </w:r>
      <w:r>
        <w:rPr>
          <w:b/>
        </w:rPr>
        <w:t>or</w:t>
      </w:r>
      <w:r>
        <w:rPr>
          <w:b/>
          <w:spacing w:val="-4"/>
        </w:rPr>
        <w:t xml:space="preserve"> </w:t>
      </w:r>
      <w:r>
        <w:rPr>
          <w:b/>
        </w:rPr>
        <w:t>individual</w:t>
      </w:r>
      <w:r>
        <w:rPr>
          <w:b/>
          <w:spacing w:val="-4"/>
        </w:rPr>
        <w:t xml:space="preserve"> </w:t>
      </w:r>
      <w:r>
        <w:rPr>
          <w:b/>
        </w:rPr>
        <w:t>working</w:t>
      </w:r>
      <w:r>
        <w:rPr>
          <w:b/>
          <w:spacing w:val="-3"/>
        </w:rPr>
        <w:t xml:space="preserve"> </w:t>
      </w:r>
      <w:r>
        <w:rPr>
          <w:b/>
        </w:rPr>
        <w:t>in</w:t>
      </w:r>
      <w:r>
        <w:rPr>
          <w:b/>
          <w:spacing w:val="-4"/>
        </w:rPr>
        <w:t xml:space="preserve"> </w:t>
      </w:r>
      <w:r>
        <w:rPr>
          <w:b/>
        </w:rPr>
        <w:t>private</w:t>
      </w:r>
      <w:r>
        <w:rPr>
          <w:b/>
          <w:spacing w:val="-4"/>
        </w:rPr>
        <w:t xml:space="preserve"> </w:t>
      </w:r>
      <w:r>
        <w:rPr>
          <w:b/>
        </w:rPr>
        <w:t xml:space="preserve">practice </w:t>
      </w:r>
      <w:r>
        <w:t>means</w:t>
      </w:r>
      <w:r>
        <w:rPr>
          <w:spacing w:val="-3"/>
        </w:rPr>
        <w:t xml:space="preserve"> </w:t>
      </w:r>
      <w:r>
        <w:t>the</w:t>
      </w:r>
      <w:r>
        <w:rPr>
          <w:spacing w:val="-3"/>
        </w:rPr>
        <w:t xml:space="preserve"> </w:t>
      </w:r>
      <w:r>
        <w:t>RN</w:t>
      </w:r>
      <w:r>
        <w:rPr>
          <w:spacing w:val="-1"/>
        </w:rPr>
        <w:t xml:space="preserve"> </w:t>
      </w:r>
      <w:r>
        <w:t>is</w:t>
      </w:r>
      <w:r>
        <w:rPr>
          <w:spacing w:val="-3"/>
        </w:rPr>
        <w:t xml:space="preserve"> </w:t>
      </w:r>
      <w:r>
        <w:t>working</w:t>
      </w:r>
      <w:r>
        <w:rPr>
          <w:spacing w:val="-5"/>
        </w:rPr>
        <w:t xml:space="preserve"> </w:t>
      </w:r>
      <w:r>
        <w:t>in</w:t>
      </w:r>
      <w:r>
        <w:rPr>
          <w:spacing w:val="-4"/>
        </w:rPr>
        <w:t xml:space="preserve"> </w:t>
      </w:r>
      <w:r>
        <w:t>a</w:t>
      </w:r>
      <w:r>
        <w:rPr>
          <w:spacing w:val="-3"/>
        </w:rPr>
        <w:t xml:space="preserve"> </w:t>
      </w:r>
      <w:r>
        <w:t>business owned solely by the RN or in a partnership or collective; or where an RN or is employed (full-time or part-time) by a company that is owned solely by the RN, or that is owned solely by RNs, where the only directors of that company are registered nurses.</w:t>
      </w:r>
    </w:p>
    <w:p w14:paraId="2ADC6E8D" w14:textId="77777777" w:rsidR="00F05C60" w:rsidRDefault="00F05C60" w:rsidP="00F05C60">
      <w:pPr>
        <w:pStyle w:val="BodyText"/>
        <w:spacing w:before="201"/>
        <w:ind w:right="776"/>
      </w:pPr>
      <w:r>
        <w:rPr>
          <w:b/>
        </w:rPr>
        <w:t xml:space="preserve">Supply </w:t>
      </w:r>
      <w:r>
        <w:t>a medicine means to provide a medicine to a person for their later use or administration (for example,</w:t>
      </w:r>
      <w:r>
        <w:rPr>
          <w:spacing w:val="-2"/>
        </w:rPr>
        <w:t xml:space="preserve"> </w:t>
      </w:r>
      <w:r>
        <w:t>a</w:t>
      </w:r>
      <w:r>
        <w:rPr>
          <w:spacing w:val="-4"/>
        </w:rPr>
        <w:t xml:space="preserve"> </w:t>
      </w:r>
      <w:r>
        <w:t>nurse</w:t>
      </w:r>
      <w:r>
        <w:rPr>
          <w:spacing w:val="-4"/>
        </w:rPr>
        <w:t xml:space="preserve"> </w:t>
      </w:r>
      <w:r>
        <w:t>in</w:t>
      </w:r>
      <w:r>
        <w:rPr>
          <w:spacing w:val="-2"/>
        </w:rPr>
        <w:t xml:space="preserve"> </w:t>
      </w:r>
      <w:r>
        <w:t>a</w:t>
      </w:r>
      <w:r>
        <w:rPr>
          <w:spacing w:val="-4"/>
        </w:rPr>
        <w:t xml:space="preserve"> </w:t>
      </w:r>
      <w:r>
        <w:t>hospital</w:t>
      </w:r>
      <w:r>
        <w:rPr>
          <w:spacing w:val="-3"/>
        </w:rPr>
        <w:t xml:space="preserve"> </w:t>
      </w:r>
      <w:r>
        <w:t>in</w:t>
      </w:r>
      <w:r>
        <w:rPr>
          <w:spacing w:val="-2"/>
        </w:rPr>
        <w:t xml:space="preserve"> </w:t>
      </w:r>
      <w:r>
        <w:t>a</w:t>
      </w:r>
      <w:r>
        <w:rPr>
          <w:spacing w:val="-4"/>
        </w:rPr>
        <w:t xml:space="preserve"> </w:t>
      </w:r>
      <w:r>
        <w:t>rural</w:t>
      </w:r>
      <w:r>
        <w:rPr>
          <w:spacing w:val="-3"/>
        </w:rPr>
        <w:t xml:space="preserve"> </w:t>
      </w:r>
      <w:r>
        <w:t>and</w:t>
      </w:r>
      <w:r>
        <w:rPr>
          <w:spacing w:val="-4"/>
        </w:rPr>
        <w:t xml:space="preserve"> </w:t>
      </w:r>
      <w:r>
        <w:t>remote</w:t>
      </w:r>
      <w:r>
        <w:rPr>
          <w:spacing w:val="-3"/>
        </w:rPr>
        <w:t xml:space="preserve"> </w:t>
      </w:r>
      <w:r>
        <w:t>area</w:t>
      </w:r>
      <w:r>
        <w:rPr>
          <w:spacing w:val="-4"/>
        </w:rPr>
        <w:t xml:space="preserve"> </w:t>
      </w:r>
      <w:r>
        <w:t>who</w:t>
      </w:r>
      <w:r>
        <w:rPr>
          <w:spacing w:val="-4"/>
        </w:rPr>
        <w:t xml:space="preserve"> </w:t>
      </w:r>
      <w:r>
        <w:t>is</w:t>
      </w:r>
      <w:r>
        <w:rPr>
          <w:spacing w:val="-1"/>
        </w:rPr>
        <w:t xml:space="preserve"> </w:t>
      </w:r>
      <w:r>
        <w:t>authorised</w:t>
      </w:r>
      <w:r>
        <w:rPr>
          <w:spacing w:val="-2"/>
        </w:rPr>
        <w:t xml:space="preserve"> </w:t>
      </w:r>
      <w:r>
        <w:t>to</w:t>
      </w:r>
      <w:r>
        <w:rPr>
          <w:spacing w:val="-5"/>
        </w:rPr>
        <w:t xml:space="preserve"> </w:t>
      </w:r>
      <w:r>
        <w:t>supply</w:t>
      </w:r>
      <w:r>
        <w:rPr>
          <w:spacing w:val="-3"/>
        </w:rPr>
        <w:t xml:space="preserve"> </w:t>
      </w:r>
      <w:r>
        <w:t>a</w:t>
      </w:r>
      <w:r>
        <w:rPr>
          <w:spacing w:val="-2"/>
        </w:rPr>
        <w:t xml:space="preserve"> </w:t>
      </w:r>
      <w:r>
        <w:t>medicine</w:t>
      </w:r>
      <w:r>
        <w:rPr>
          <w:spacing w:val="-4"/>
        </w:rPr>
        <w:t xml:space="preserve"> </w:t>
      </w:r>
      <w:r>
        <w:t>to</w:t>
      </w:r>
      <w:r>
        <w:rPr>
          <w:spacing w:val="-2"/>
        </w:rPr>
        <w:t xml:space="preserve"> </w:t>
      </w:r>
      <w:r>
        <w:t>a person to take home for self-administration is exercising their authority to supply).</w:t>
      </w:r>
    </w:p>
    <w:p w14:paraId="6589DE2E" w14:textId="77777777" w:rsidR="00F05C60" w:rsidRDefault="00F05C60" w:rsidP="00F05C60">
      <w:pPr>
        <w:pStyle w:val="BodyText"/>
        <w:jc w:val="both"/>
      </w:pPr>
      <w:r>
        <w:lastRenderedPageBreak/>
        <w:t>The</w:t>
      </w:r>
      <w:r>
        <w:rPr>
          <w:spacing w:val="-10"/>
        </w:rPr>
        <w:t xml:space="preserve"> </w:t>
      </w:r>
      <w:r>
        <w:t>terms</w:t>
      </w:r>
      <w:r>
        <w:rPr>
          <w:spacing w:val="-5"/>
        </w:rPr>
        <w:t xml:space="preserve"> </w:t>
      </w:r>
      <w:r>
        <w:t>‘</w:t>
      </w:r>
      <w:r w:rsidRPr="008F0A62">
        <w:rPr>
          <w:b/>
          <w:bCs/>
        </w:rPr>
        <w:t>obtain</w:t>
      </w:r>
      <w:r>
        <w:t>’</w:t>
      </w:r>
      <w:r>
        <w:rPr>
          <w:spacing w:val="-7"/>
        </w:rPr>
        <w:t xml:space="preserve"> </w:t>
      </w:r>
      <w:r>
        <w:t>and</w:t>
      </w:r>
      <w:r>
        <w:rPr>
          <w:spacing w:val="-8"/>
        </w:rPr>
        <w:t xml:space="preserve"> </w:t>
      </w:r>
      <w:r>
        <w:t>‘</w:t>
      </w:r>
      <w:r w:rsidRPr="008F0A62">
        <w:rPr>
          <w:b/>
          <w:bCs/>
        </w:rPr>
        <w:t>possess</w:t>
      </w:r>
      <w:r>
        <w:t>’</w:t>
      </w:r>
      <w:r>
        <w:rPr>
          <w:spacing w:val="-9"/>
        </w:rPr>
        <w:t xml:space="preserve"> </w:t>
      </w:r>
      <w:r>
        <w:t>should</w:t>
      </w:r>
      <w:r>
        <w:rPr>
          <w:spacing w:val="-9"/>
        </w:rPr>
        <w:t xml:space="preserve"> </w:t>
      </w:r>
      <w:r>
        <w:t>be</w:t>
      </w:r>
      <w:r>
        <w:rPr>
          <w:spacing w:val="-6"/>
        </w:rPr>
        <w:t xml:space="preserve"> </w:t>
      </w:r>
      <w:r>
        <w:t>given</w:t>
      </w:r>
      <w:r>
        <w:rPr>
          <w:spacing w:val="-9"/>
        </w:rPr>
        <w:t xml:space="preserve"> </w:t>
      </w:r>
      <w:r>
        <w:t>their</w:t>
      </w:r>
      <w:r>
        <w:rPr>
          <w:spacing w:val="-6"/>
        </w:rPr>
        <w:t xml:space="preserve"> </w:t>
      </w:r>
      <w:r>
        <w:t>ordinary</w:t>
      </w:r>
      <w:r>
        <w:rPr>
          <w:spacing w:val="-6"/>
        </w:rPr>
        <w:t xml:space="preserve"> </w:t>
      </w:r>
      <w:r>
        <w:t>dictionary</w:t>
      </w:r>
      <w:r>
        <w:rPr>
          <w:spacing w:val="-6"/>
        </w:rPr>
        <w:t xml:space="preserve"> </w:t>
      </w:r>
      <w:r>
        <w:rPr>
          <w:spacing w:val="-2"/>
        </w:rPr>
        <w:t>meaning.</w:t>
      </w:r>
    </w:p>
    <w:p w14:paraId="751D6512" w14:textId="77777777" w:rsidR="00F05C60" w:rsidRDefault="00F05C60" w:rsidP="00F05C60">
      <w:pPr>
        <w:pStyle w:val="BodyText"/>
        <w:ind w:right="776"/>
      </w:pPr>
      <w:r>
        <w:rPr>
          <w:u w:val="single"/>
        </w:rPr>
        <w:t>Note</w:t>
      </w:r>
      <w:r>
        <w:t>:</w:t>
      </w:r>
      <w:r>
        <w:rPr>
          <w:spacing w:val="-4"/>
        </w:rPr>
        <w:t xml:space="preserve"> </w:t>
      </w:r>
      <w:r>
        <w:t>The</w:t>
      </w:r>
      <w:r>
        <w:rPr>
          <w:spacing w:val="-5"/>
        </w:rPr>
        <w:t xml:space="preserve"> </w:t>
      </w:r>
      <w:r>
        <w:t>NMBA</w:t>
      </w:r>
      <w:r>
        <w:rPr>
          <w:spacing w:val="-4"/>
        </w:rPr>
        <w:t xml:space="preserve"> </w:t>
      </w:r>
      <w:r>
        <w:t>and</w:t>
      </w:r>
      <w:r>
        <w:rPr>
          <w:spacing w:val="-5"/>
        </w:rPr>
        <w:t xml:space="preserve"> </w:t>
      </w:r>
      <w:r>
        <w:t>the</w:t>
      </w:r>
      <w:r>
        <w:rPr>
          <w:spacing w:val="-3"/>
        </w:rPr>
        <w:t xml:space="preserve"> </w:t>
      </w:r>
      <w:r>
        <w:t>Australian</w:t>
      </w:r>
      <w:r>
        <w:rPr>
          <w:spacing w:val="-5"/>
        </w:rPr>
        <w:t xml:space="preserve"> </w:t>
      </w:r>
      <w:r>
        <w:t>Health</w:t>
      </w:r>
      <w:r>
        <w:rPr>
          <w:spacing w:val="-2"/>
        </w:rPr>
        <w:t xml:space="preserve"> </w:t>
      </w:r>
      <w:r>
        <w:t>Practitioner</w:t>
      </w:r>
      <w:r>
        <w:rPr>
          <w:spacing w:val="-3"/>
        </w:rPr>
        <w:t xml:space="preserve"> </w:t>
      </w:r>
      <w:r>
        <w:t>Regulation</w:t>
      </w:r>
      <w:r>
        <w:rPr>
          <w:spacing w:val="-2"/>
        </w:rPr>
        <w:t xml:space="preserve"> </w:t>
      </w:r>
      <w:r>
        <w:t>Agency</w:t>
      </w:r>
      <w:r>
        <w:rPr>
          <w:spacing w:val="-3"/>
        </w:rPr>
        <w:t xml:space="preserve"> </w:t>
      </w:r>
      <w:r>
        <w:t>(Ahpra)</w:t>
      </w:r>
      <w:r>
        <w:rPr>
          <w:spacing w:val="-3"/>
        </w:rPr>
        <w:t xml:space="preserve"> </w:t>
      </w:r>
      <w:r>
        <w:t>operate</w:t>
      </w:r>
      <w:r>
        <w:rPr>
          <w:spacing w:val="-2"/>
        </w:rPr>
        <w:t xml:space="preserve"> </w:t>
      </w:r>
      <w:r>
        <w:t>in</w:t>
      </w:r>
      <w:r>
        <w:rPr>
          <w:spacing w:val="-4"/>
        </w:rPr>
        <w:t xml:space="preserve"> </w:t>
      </w:r>
      <w:r>
        <w:t>a</w:t>
      </w:r>
      <w:r>
        <w:rPr>
          <w:spacing w:val="-2"/>
        </w:rPr>
        <w:t xml:space="preserve"> </w:t>
      </w:r>
      <w:r>
        <w:t>co- regulatory model in some jurisdictions and may not be the only entities involved in undertaking assessment related to a notification. In co-regulatory definitions these terms may be described differently but have the same intent.</w:t>
      </w:r>
    </w:p>
    <w:p w14:paraId="03BB65FE" w14:textId="3CBEE0AC" w:rsidR="00BC2458" w:rsidRDefault="00BC2458">
      <w:pPr>
        <w:spacing w:after="0"/>
      </w:pPr>
      <w:bookmarkStart w:id="251" w:name="_bookmark6"/>
      <w:bookmarkEnd w:id="251"/>
      <w:r>
        <w:br w:type="page"/>
      </w:r>
    </w:p>
    <w:p w14:paraId="01BE0B91" w14:textId="77777777" w:rsidR="00F05C60" w:rsidRDefault="00F05C60" w:rsidP="00F05C60">
      <w:pPr>
        <w:spacing w:line="229" w:lineRule="exact"/>
        <w:sectPr w:rsidR="00F05C60" w:rsidSect="000B2928">
          <w:pgSz w:w="11900" w:h="16850"/>
          <w:pgMar w:top="1360" w:right="700" w:bottom="1120" w:left="1320" w:header="0" w:footer="510" w:gutter="0"/>
          <w:cols w:space="720"/>
          <w:docGrid w:linePitch="299"/>
        </w:sectPr>
      </w:pPr>
    </w:p>
    <w:p w14:paraId="47447DE4" w14:textId="77777777" w:rsidR="00F05C60" w:rsidRDefault="00F05C60" w:rsidP="00F05C60">
      <w:pPr>
        <w:spacing w:before="79"/>
        <w:ind w:left="120"/>
        <w:rPr>
          <w:b/>
        </w:rPr>
      </w:pPr>
      <w:r>
        <w:rPr>
          <w:b/>
          <w:color w:val="0067B8"/>
        </w:rPr>
        <w:lastRenderedPageBreak/>
        <w:t>Attachment</w:t>
      </w:r>
      <w:r>
        <w:rPr>
          <w:b/>
          <w:color w:val="0067B8"/>
          <w:spacing w:val="-15"/>
        </w:rPr>
        <w:t xml:space="preserve"> </w:t>
      </w:r>
      <w:r>
        <w:rPr>
          <w:b/>
          <w:color w:val="0067B8"/>
          <w:spacing w:val="-10"/>
        </w:rPr>
        <w:t>1</w:t>
      </w:r>
    </w:p>
    <w:p w14:paraId="3D946E49" w14:textId="19CD7980" w:rsidR="00F05C60" w:rsidRDefault="00F05C60" w:rsidP="00F05C60">
      <w:pPr>
        <w:ind w:left="119"/>
        <w:rPr>
          <w:b/>
        </w:rPr>
      </w:pPr>
      <w:r>
        <w:rPr>
          <w:b/>
        </w:rPr>
        <w:t>Evidence</w:t>
      </w:r>
      <w:r>
        <w:rPr>
          <w:b/>
          <w:spacing w:val="-9"/>
        </w:rPr>
        <w:t xml:space="preserve"> </w:t>
      </w:r>
      <w:r>
        <w:rPr>
          <w:b/>
        </w:rPr>
        <w:t>model</w:t>
      </w:r>
      <w:r>
        <w:rPr>
          <w:b/>
          <w:spacing w:val="-8"/>
        </w:rPr>
        <w:t xml:space="preserve"> </w:t>
      </w:r>
      <w:r>
        <w:rPr>
          <w:b/>
        </w:rPr>
        <w:t>for</w:t>
      </w:r>
      <w:r>
        <w:rPr>
          <w:b/>
          <w:spacing w:val="-7"/>
        </w:rPr>
        <w:t xml:space="preserve"> </w:t>
      </w:r>
      <w:r>
        <w:rPr>
          <w:b/>
        </w:rPr>
        <w:t>registered</w:t>
      </w:r>
      <w:r>
        <w:rPr>
          <w:b/>
          <w:spacing w:val="-8"/>
        </w:rPr>
        <w:t xml:space="preserve"> </w:t>
      </w:r>
      <w:r>
        <w:rPr>
          <w:b/>
        </w:rPr>
        <w:t>nurses</w:t>
      </w:r>
      <w:r>
        <w:rPr>
          <w:b/>
          <w:spacing w:val="-6"/>
        </w:rPr>
        <w:t xml:space="preserve"> </w:t>
      </w:r>
      <w:r>
        <w:rPr>
          <w:b/>
        </w:rPr>
        <w:t>applying</w:t>
      </w:r>
      <w:r>
        <w:rPr>
          <w:b/>
          <w:spacing w:val="-7"/>
        </w:rPr>
        <w:t xml:space="preserve"> </w:t>
      </w:r>
      <w:r>
        <w:rPr>
          <w:b/>
        </w:rPr>
        <w:t>for</w:t>
      </w:r>
      <w:r>
        <w:rPr>
          <w:b/>
          <w:spacing w:val="-2"/>
        </w:rPr>
        <w:t xml:space="preserve"> </w:t>
      </w:r>
      <w:r>
        <w:rPr>
          <w:b/>
        </w:rPr>
        <w:t>endorsement</w:t>
      </w:r>
      <w:r>
        <w:rPr>
          <w:b/>
          <w:spacing w:val="-7"/>
        </w:rPr>
        <w:t xml:space="preserve"> </w:t>
      </w:r>
      <w:r>
        <w:rPr>
          <w:b/>
        </w:rPr>
        <w:t>for</w:t>
      </w:r>
      <w:r>
        <w:rPr>
          <w:b/>
          <w:spacing w:val="-7"/>
        </w:rPr>
        <w:t xml:space="preserve"> </w:t>
      </w:r>
      <w:r>
        <w:rPr>
          <w:b/>
        </w:rPr>
        <w:t>scheduled</w:t>
      </w:r>
      <w:r>
        <w:rPr>
          <w:b/>
          <w:spacing w:val="-8"/>
        </w:rPr>
        <w:t xml:space="preserve"> </w:t>
      </w:r>
      <w:r>
        <w:rPr>
          <w:b/>
        </w:rPr>
        <w:t>medicines</w:t>
      </w:r>
      <w:r>
        <w:rPr>
          <w:b/>
          <w:spacing w:val="-6"/>
        </w:rPr>
        <w:t xml:space="preserve"> </w:t>
      </w:r>
      <w:r>
        <w:rPr>
          <w:b/>
          <w:spacing w:val="-10"/>
        </w:rPr>
        <w:t xml:space="preserve">− </w:t>
      </w:r>
      <w:r>
        <w:rPr>
          <w:b/>
        </w:rPr>
        <w:t>designated</w:t>
      </w:r>
      <w:r>
        <w:rPr>
          <w:b/>
          <w:spacing w:val="-7"/>
        </w:rPr>
        <w:t xml:space="preserve"> </w:t>
      </w:r>
      <w:r>
        <w:rPr>
          <w:b/>
        </w:rPr>
        <w:t>registered</w:t>
      </w:r>
      <w:r>
        <w:rPr>
          <w:b/>
          <w:spacing w:val="-9"/>
        </w:rPr>
        <w:t xml:space="preserve"> </w:t>
      </w:r>
      <w:r>
        <w:rPr>
          <w:b/>
        </w:rPr>
        <w:t>nurse</w:t>
      </w:r>
      <w:r>
        <w:rPr>
          <w:b/>
          <w:spacing w:val="-9"/>
        </w:rPr>
        <w:t xml:space="preserve"> </w:t>
      </w:r>
      <w:r>
        <w:rPr>
          <w:b/>
        </w:rPr>
        <w:t>(RN)</w:t>
      </w:r>
      <w:r>
        <w:rPr>
          <w:b/>
          <w:spacing w:val="-8"/>
        </w:rPr>
        <w:t xml:space="preserve"> </w:t>
      </w:r>
      <w:r>
        <w:rPr>
          <w:b/>
          <w:spacing w:val="-2"/>
        </w:rPr>
        <w:t>prescriber</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4984"/>
      </w:tblGrid>
      <w:tr w:rsidR="00F05C60" w14:paraId="100218EC" w14:textId="77777777" w:rsidTr="009B6451">
        <w:trPr>
          <w:trHeight w:val="448"/>
        </w:trPr>
        <w:tc>
          <w:tcPr>
            <w:tcW w:w="3829" w:type="dxa"/>
            <w:shd w:val="clear" w:color="auto" w:fill="00AFEF"/>
          </w:tcPr>
          <w:p w14:paraId="7AD78276" w14:textId="77777777" w:rsidR="00F05C60" w:rsidRDefault="00F05C60" w:rsidP="009B6451">
            <w:pPr>
              <w:pStyle w:val="TableParagraph"/>
              <w:rPr>
                <w:b/>
                <w:sz w:val="18"/>
              </w:rPr>
            </w:pPr>
            <w:r>
              <w:rPr>
                <w:b/>
                <w:color w:val="FFFFFF"/>
                <w:spacing w:val="-2"/>
                <w:sz w:val="18"/>
              </w:rPr>
              <w:t>Requirement</w:t>
            </w:r>
          </w:p>
        </w:tc>
        <w:tc>
          <w:tcPr>
            <w:tcW w:w="4984" w:type="dxa"/>
            <w:shd w:val="clear" w:color="auto" w:fill="00AFEF"/>
          </w:tcPr>
          <w:p w14:paraId="38B4ED58" w14:textId="77777777" w:rsidR="00F05C60" w:rsidRDefault="00F05C60" w:rsidP="009B6451">
            <w:pPr>
              <w:pStyle w:val="TableParagraph"/>
              <w:rPr>
                <w:b/>
                <w:sz w:val="18"/>
              </w:rPr>
            </w:pPr>
            <w:r>
              <w:rPr>
                <w:b/>
                <w:color w:val="FFFFFF"/>
                <w:spacing w:val="-2"/>
                <w:sz w:val="18"/>
              </w:rPr>
              <w:t>Evidence</w:t>
            </w:r>
          </w:p>
        </w:tc>
      </w:tr>
      <w:tr w:rsidR="00F05C60" w14:paraId="4C84F5FC" w14:textId="77777777" w:rsidTr="009B6451">
        <w:trPr>
          <w:trHeight w:val="1727"/>
        </w:trPr>
        <w:tc>
          <w:tcPr>
            <w:tcW w:w="3829" w:type="dxa"/>
          </w:tcPr>
          <w:p w14:paraId="3B82C1F1" w14:textId="77777777" w:rsidR="00F05C60" w:rsidRDefault="00F05C60" w:rsidP="009B6451">
            <w:pPr>
              <w:pStyle w:val="TableParagraph"/>
              <w:spacing w:before="118"/>
              <w:ind w:right="65"/>
              <w:rPr>
                <w:sz w:val="17"/>
              </w:rPr>
            </w:pPr>
            <w:r>
              <w:rPr>
                <w:sz w:val="17"/>
              </w:rPr>
              <w:t>Current general registration as an RN in Australia</w:t>
            </w:r>
            <w:r>
              <w:rPr>
                <w:spacing w:val="-7"/>
                <w:sz w:val="17"/>
              </w:rPr>
              <w:t xml:space="preserve"> </w:t>
            </w:r>
            <w:r>
              <w:rPr>
                <w:sz w:val="17"/>
              </w:rPr>
              <w:t>with</w:t>
            </w:r>
            <w:r>
              <w:rPr>
                <w:spacing w:val="-7"/>
                <w:sz w:val="17"/>
              </w:rPr>
              <w:t xml:space="preserve"> </w:t>
            </w:r>
            <w:r>
              <w:rPr>
                <w:sz w:val="17"/>
              </w:rPr>
              <w:t>no</w:t>
            </w:r>
            <w:r>
              <w:rPr>
                <w:spacing w:val="-5"/>
                <w:sz w:val="17"/>
              </w:rPr>
              <w:t xml:space="preserve"> </w:t>
            </w:r>
            <w:r>
              <w:rPr>
                <w:sz w:val="17"/>
              </w:rPr>
              <w:t>conditions</w:t>
            </w:r>
            <w:r>
              <w:rPr>
                <w:spacing w:val="-7"/>
                <w:sz w:val="17"/>
              </w:rPr>
              <w:t xml:space="preserve"> </w:t>
            </w:r>
            <w:r>
              <w:rPr>
                <w:sz w:val="17"/>
              </w:rPr>
              <w:t>or</w:t>
            </w:r>
            <w:r>
              <w:rPr>
                <w:spacing w:val="-7"/>
                <w:sz w:val="17"/>
              </w:rPr>
              <w:t xml:space="preserve"> </w:t>
            </w:r>
            <w:r>
              <w:rPr>
                <w:sz w:val="17"/>
              </w:rPr>
              <w:t>undertakings</w:t>
            </w:r>
            <w:r>
              <w:rPr>
                <w:spacing w:val="-7"/>
                <w:sz w:val="17"/>
              </w:rPr>
              <w:t xml:space="preserve"> </w:t>
            </w:r>
            <w:r>
              <w:rPr>
                <w:sz w:val="17"/>
              </w:rPr>
              <w:t>on registration relevant to the endorsement.</w:t>
            </w:r>
          </w:p>
        </w:tc>
        <w:tc>
          <w:tcPr>
            <w:tcW w:w="4984" w:type="dxa"/>
          </w:tcPr>
          <w:p w14:paraId="22571AD6" w14:textId="77777777" w:rsidR="00F05C60" w:rsidRDefault="00F05C60" w:rsidP="009B6451">
            <w:pPr>
              <w:pStyle w:val="TableParagraph"/>
              <w:spacing w:before="118"/>
              <w:ind w:right="143"/>
              <w:rPr>
                <w:sz w:val="17"/>
              </w:rPr>
            </w:pPr>
            <w:r>
              <w:rPr>
                <w:sz w:val="17"/>
              </w:rPr>
              <w:t>An</w:t>
            </w:r>
            <w:r>
              <w:rPr>
                <w:spacing w:val="-3"/>
                <w:sz w:val="17"/>
              </w:rPr>
              <w:t xml:space="preserve"> </w:t>
            </w:r>
            <w:r>
              <w:rPr>
                <w:sz w:val="17"/>
              </w:rPr>
              <w:t>applicant</w:t>
            </w:r>
            <w:r>
              <w:rPr>
                <w:spacing w:val="-3"/>
                <w:sz w:val="17"/>
              </w:rPr>
              <w:t xml:space="preserve"> </w:t>
            </w:r>
            <w:r>
              <w:rPr>
                <w:sz w:val="17"/>
              </w:rPr>
              <w:t>who</w:t>
            </w:r>
            <w:r>
              <w:rPr>
                <w:spacing w:val="-5"/>
                <w:sz w:val="17"/>
              </w:rPr>
              <w:t xml:space="preserve"> </w:t>
            </w:r>
            <w:r>
              <w:rPr>
                <w:sz w:val="17"/>
              </w:rPr>
              <w:t>is</w:t>
            </w:r>
            <w:r>
              <w:rPr>
                <w:spacing w:val="-5"/>
                <w:sz w:val="17"/>
              </w:rPr>
              <w:t xml:space="preserve"> </w:t>
            </w:r>
            <w:r>
              <w:rPr>
                <w:sz w:val="17"/>
              </w:rPr>
              <w:t>currently</w:t>
            </w:r>
            <w:r>
              <w:rPr>
                <w:spacing w:val="-5"/>
                <w:sz w:val="17"/>
              </w:rPr>
              <w:t xml:space="preserve"> </w:t>
            </w:r>
            <w:r>
              <w:rPr>
                <w:sz w:val="17"/>
              </w:rPr>
              <w:t>registered</w:t>
            </w:r>
            <w:r>
              <w:rPr>
                <w:spacing w:val="-3"/>
                <w:sz w:val="17"/>
              </w:rPr>
              <w:t xml:space="preserve"> </w:t>
            </w:r>
            <w:r>
              <w:rPr>
                <w:sz w:val="17"/>
              </w:rPr>
              <w:t>with</w:t>
            </w:r>
            <w:r>
              <w:rPr>
                <w:spacing w:val="-5"/>
                <w:sz w:val="17"/>
              </w:rPr>
              <w:t xml:space="preserve"> </w:t>
            </w:r>
            <w:r>
              <w:rPr>
                <w:sz w:val="17"/>
              </w:rPr>
              <w:t>the</w:t>
            </w:r>
            <w:r>
              <w:rPr>
                <w:spacing w:val="-3"/>
                <w:sz w:val="17"/>
              </w:rPr>
              <w:t xml:space="preserve"> </w:t>
            </w:r>
            <w:r>
              <w:rPr>
                <w:sz w:val="17"/>
              </w:rPr>
              <w:t>NMBA</w:t>
            </w:r>
            <w:r>
              <w:rPr>
                <w:spacing w:val="-7"/>
                <w:sz w:val="17"/>
              </w:rPr>
              <w:t xml:space="preserve"> </w:t>
            </w:r>
            <w:r>
              <w:rPr>
                <w:sz w:val="17"/>
              </w:rPr>
              <w:t>as</w:t>
            </w:r>
            <w:r>
              <w:rPr>
                <w:spacing w:val="-5"/>
                <w:sz w:val="17"/>
              </w:rPr>
              <w:t xml:space="preserve"> </w:t>
            </w:r>
            <w:r>
              <w:rPr>
                <w:sz w:val="17"/>
              </w:rPr>
              <w:t xml:space="preserve">an RN and whose registration does not have any conditions or undertakings imposed on their registration relevant to the </w:t>
            </w:r>
            <w:r>
              <w:rPr>
                <w:spacing w:val="-2"/>
                <w:sz w:val="17"/>
              </w:rPr>
              <w:t>endorsement.</w:t>
            </w:r>
          </w:p>
          <w:p w14:paraId="02AD46E2" w14:textId="77777777" w:rsidR="00F05C60" w:rsidRDefault="00F05C60" w:rsidP="009B6451">
            <w:pPr>
              <w:pStyle w:val="TableParagraph"/>
              <w:spacing w:before="121"/>
              <w:ind w:right="143"/>
              <w:rPr>
                <w:sz w:val="17"/>
              </w:rPr>
            </w:pPr>
            <w:r>
              <w:rPr>
                <w:sz w:val="17"/>
              </w:rPr>
              <w:t>Evidence would be a current registration as reflected on the National</w:t>
            </w:r>
            <w:r>
              <w:rPr>
                <w:spacing w:val="-7"/>
                <w:sz w:val="17"/>
              </w:rPr>
              <w:t xml:space="preserve"> </w:t>
            </w:r>
            <w:r>
              <w:rPr>
                <w:sz w:val="17"/>
              </w:rPr>
              <w:t>register</w:t>
            </w:r>
            <w:r>
              <w:rPr>
                <w:spacing w:val="-6"/>
                <w:sz w:val="17"/>
              </w:rPr>
              <w:t xml:space="preserve"> </w:t>
            </w:r>
            <w:r>
              <w:rPr>
                <w:sz w:val="17"/>
              </w:rPr>
              <w:t>of</w:t>
            </w:r>
            <w:r>
              <w:rPr>
                <w:spacing w:val="-7"/>
                <w:sz w:val="17"/>
              </w:rPr>
              <w:t xml:space="preserve"> </w:t>
            </w:r>
            <w:r>
              <w:rPr>
                <w:sz w:val="17"/>
              </w:rPr>
              <w:t>nurses</w:t>
            </w:r>
            <w:r>
              <w:rPr>
                <w:spacing w:val="-4"/>
                <w:sz w:val="17"/>
              </w:rPr>
              <w:t xml:space="preserve"> </w:t>
            </w:r>
            <w:r>
              <w:rPr>
                <w:sz w:val="17"/>
              </w:rPr>
              <w:t>with</w:t>
            </w:r>
            <w:r>
              <w:rPr>
                <w:spacing w:val="-8"/>
                <w:sz w:val="17"/>
              </w:rPr>
              <w:t xml:space="preserve"> </w:t>
            </w:r>
            <w:r>
              <w:rPr>
                <w:sz w:val="17"/>
              </w:rPr>
              <w:t>no</w:t>
            </w:r>
            <w:r>
              <w:rPr>
                <w:spacing w:val="-6"/>
                <w:sz w:val="17"/>
              </w:rPr>
              <w:t xml:space="preserve"> </w:t>
            </w:r>
            <w:r>
              <w:rPr>
                <w:sz w:val="17"/>
              </w:rPr>
              <w:t>conditions</w:t>
            </w:r>
            <w:r>
              <w:rPr>
                <w:spacing w:val="-4"/>
                <w:sz w:val="17"/>
              </w:rPr>
              <w:t xml:space="preserve"> </w:t>
            </w:r>
            <w:r>
              <w:rPr>
                <w:sz w:val="17"/>
              </w:rPr>
              <w:t>or</w:t>
            </w:r>
            <w:r>
              <w:rPr>
                <w:spacing w:val="-6"/>
                <w:sz w:val="17"/>
              </w:rPr>
              <w:t xml:space="preserve"> </w:t>
            </w:r>
            <w:r>
              <w:rPr>
                <w:sz w:val="17"/>
              </w:rPr>
              <w:t>undertakings on the registration relevant to the endorsement.</w:t>
            </w:r>
          </w:p>
        </w:tc>
      </w:tr>
      <w:tr w:rsidR="00F05C60" w14:paraId="38F7C0BC" w14:textId="77777777" w:rsidTr="009B6451">
        <w:trPr>
          <w:trHeight w:val="5635"/>
        </w:trPr>
        <w:tc>
          <w:tcPr>
            <w:tcW w:w="3829" w:type="dxa"/>
          </w:tcPr>
          <w:p w14:paraId="23DDB2FF" w14:textId="77777777" w:rsidR="00F05C60" w:rsidRDefault="00F05C60" w:rsidP="009B6451">
            <w:pPr>
              <w:pStyle w:val="TableParagraph"/>
              <w:ind w:right="309"/>
              <w:rPr>
                <w:sz w:val="17"/>
              </w:rPr>
            </w:pPr>
            <w:r>
              <w:rPr>
                <w:sz w:val="17"/>
              </w:rPr>
              <w:t>The equivalent of three years’ (5,000 hours) full-time post initial registration clinical experience</w:t>
            </w:r>
            <w:r>
              <w:rPr>
                <w:spacing w:val="-6"/>
                <w:sz w:val="17"/>
              </w:rPr>
              <w:t xml:space="preserve"> </w:t>
            </w:r>
            <w:r>
              <w:rPr>
                <w:sz w:val="17"/>
              </w:rPr>
              <w:t>within</w:t>
            </w:r>
            <w:r>
              <w:rPr>
                <w:spacing w:val="-5"/>
                <w:sz w:val="17"/>
              </w:rPr>
              <w:t xml:space="preserve"> </w:t>
            </w:r>
            <w:r>
              <w:rPr>
                <w:sz w:val="17"/>
              </w:rPr>
              <w:t>the</w:t>
            </w:r>
            <w:r>
              <w:rPr>
                <w:spacing w:val="-5"/>
                <w:sz w:val="17"/>
              </w:rPr>
              <w:t xml:space="preserve"> </w:t>
            </w:r>
            <w:r>
              <w:rPr>
                <w:sz w:val="17"/>
              </w:rPr>
              <w:t>past</w:t>
            </w:r>
            <w:r>
              <w:rPr>
                <w:spacing w:val="-7"/>
                <w:sz w:val="17"/>
              </w:rPr>
              <w:t xml:space="preserve"> </w:t>
            </w:r>
            <w:r>
              <w:rPr>
                <w:sz w:val="17"/>
              </w:rPr>
              <w:t>six</w:t>
            </w:r>
            <w:r>
              <w:rPr>
                <w:spacing w:val="-6"/>
                <w:sz w:val="17"/>
              </w:rPr>
              <w:t xml:space="preserve"> </w:t>
            </w:r>
            <w:r>
              <w:rPr>
                <w:sz w:val="17"/>
              </w:rPr>
              <w:t>years,</w:t>
            </w:r>
            <w:r>
              <w:rPr>
                <w:spacing w:val="-7"/>
                <w:sz w:val="17"/>
              </w:rPr>
              <w:t xml:space="preserve"> </w:t>
            </w:r>
            <w:r>
              <w:rPr>
                <w:sz w:val="17"/>
              </w:rPr>
              <w:t>from</w:t>
            </w:r>
            <w:r>
              <w:rPr>
                <w:spacing w:val="-6"/>
                <w:sz w:val="17"/>
              </w:rPr>
              <w:t xml:space="preserve"> </w:t>
            </w:r>
            <w:r>
              <w:rPr>
                <w:sz w:val="17"/>
              </w:rPr>
              <w:t xml:space="preserve">the date when the complete application seeking endorsement for scheduled medicines as a designated RN prescriber is received by the </w:t>
            </w:r>
            <w:r>
              <w:rPr>
                <w:spacing w:val="-2"/>
                <w:sz w:val="17"/>
              </w:rPr>
              <w:t>NMBA.</w:t>
            </w:r>
          </w:p>
        </w:tc>
        <w:tc>
          <w:tcPr>
            <w:tcW w:w="4984" w:type="dxa"/>
          </w:tcPr>
          <w:p w14:paraId="0B28A114" w14:textId="77777777" w:rsidR="00F05C60" w:rsidRDefault="00F05C60" w:rsidP="009B6451">
            <w:pPr>
              <w:pStyle w:val="TableParagraph"/>
              <w:spacing w:before="0"/>
              <w:ind w:right="121"/>
              <w:rPr>
                <w:sz w:val="17"/>
              </w:rPr>
            </w:pPr>
            <w:r>
              <w:rPr>
                <w:sz w:val="17"/>
              </w:rPr>
              <w:t>It</w:t>
            </w:r>
            <w:r>
              <w:rPr>
                <w:spacing w:val="-3"/>
                <w:sz w:val="17"/>
              </w:rPr>
              <w:t xml:space="preserve"> </w:t>
            </w:r>
            <w:r>
              <w:rPr>
                <w:sz w:val="17"/>
              </w:rPr>
              <w:t>is</w:t>
            </w:r>
            <w:r>
              <w:rPr>
                <w:spacing w:val="-3"/>
                <w:sz w:val="17"/>
              </w:rPr>
              <w:t xml:space="preserve"> </w:t>
            </w:r>
            <w:r>
              <w:rPr>
                <w:sz w:val="17"/>
              </w:rPr>
              <w:t>likely</w:t>
            </w:r>
            <w:r>
              <w:rPr>
                <w:spacing w:val="-3"/>
                <w:sz w:val="17"/>
              </w:rPr>
              <w:t xml:space="preserve"> </w:t>
            </w:r>
            <w:r>
              <w:rPr>
                <w:sz w:val="17"/>
              </w:rPr>
              <w:t>that</w:t>
            </w:r>
            <w:r>
              <w:rPr>
                <w:spacing w:val="-6"/>
                <w:sz w:val="17"/>
              </w:rPr>
              <w:t xml:space="preserve"> </w:t>
            </w:r>
            <w:r>
              <w:rPr>
                <w:sz w:val="17"/>
              </w:rPr>
              <w:t>some</w:t>
            </w:r>
            <w:r>
              <w:rPr>
                <w:spacing w:val="-5"/>
                <w:sz w:val="17"/>
              </w:rPr>
              <w:t xml:space="preserve"> </w:t>
            </w:r>
            <w:r>
              <w:rPr>
                <w:sz w:val="17"/>
              </w:rPr>
              <w:t>of</w:t>
            </w:r>
            <w:r>
              <w:rPr>
                <w:spacing w:val="-6"/>
                <w:sz w:val="17"/>
              </w:rPr>
              <w:t xml:space="preserve"> </w:t>
            </w:r>
            <w:r>
              <w:rPr>
                <w:sz w:val="17"/>
              </w:rPr>
              <w:t>the</w:t>
            </w:r>
            <w:r>
              <w:rPr>
                <w:spacing w:val="-5"/>
                <w:sz w:val="17"/>
              </w:rPr>
              <w:t xml:space="preserve"> </w:t>
            </w:r>
            <w:r>
              <w:rPr>
                <w:sz w:val="17"/>
              </w:rPr>
              <w:t>clinical</w:t>
            </w:r>
            <w:r>
              <w:rPr>
                <w:spacing w:val="-6"/>
                <w:sz w:val="17"/>
              </w:rPr>
              <w:t xml:space="preserve"> </w:t>
            </w:r>
            <w:r>
              <w:rPr>
                <w:sz w:val="17"/>
              </w:rPr>
              <w:t>experience,</w:t>
            </w:r>
            <w:r>
              <w:rPr>
                <w:spacing w:val="-6"/>
                <w:sz w:val="17"/>
              </w:rPr>
              <w:t xml:space="preserve"> </w:t>
            </w:r>
            <w:r>
              <w:rPr>
                <w:sz w:val="17"/>
              </w:rPr>
              <w:t>knowledge,</w:t>
            </w:r>
            <w:r>
              <w:rPr>
                <w:spacing w:val="-6"/>
                <w:sz w:val="17"/>
              </w:rPr>
              <w:t xml:space="preserve"> </w:t>
            </w:r>
            <w:r>
              <w:rPr>
                <w:sz w:val="17"/>
              </w:rPr>
              <w:t>skills and attributes of the RNs seeking endorsement will be in a specific area of practice to prescribe – this may include formal postgraduate qualifications relevant to the area in which the</w:t>
            </w:r>
            <w:r>
              <w:rPr>
                <w:spacing w:val="40"/>
                <w:sz w:val="17"/>
              </w:rPr>
              <w:t xml:space="preserve"> </w:t>
            </w:r>
            <w:r>
              <w:rPr>
                <w:sz w:val="17"/>
              </w:rPr>
              <w:t>RN practises.</w:t>
            </w:r>
          </w:p>
          <w:p w14:paraId="30B837D6" w14:textId="77777777" w:rsidR="00F05C60" w:rsidRDefault="00F05C60" w:rsidP="009B6451">
            <w:pPr>
              <w:pStyle w:val="TableParagraph"/>
              <w:spacing w:before="118"/>
              <w:ind w:right="638"/>
              <w:jc w:val="both"/>
              <w:rPr>
                <w:sz w:val="17"/>
              </w:rPr>
            </w:pPr>
            <w:r>
              <w:rPr>
                <w:sz w:val="17"/>
              </w:rPr>
              <w:t>To</w:t>
            </w:r>
            <w:r>
              <w:rPr>
                <w:spacing w:val="-3"/>
                <w:sz w:val="17"/>
              </w:rPr>
              <w:t xml:space="preserve"> </w:t>
            </w:r>
            <w:r>
              <w:rPr>
                <w:sz w:val="17"/>
              </w:rPr>
              <w:t>apply</w:t>
            </w:r>
            <w:r>
              <w:rPr>
                <w:spacing w:val="-5"/>
                <w:sz w:val="17"/>
              </w:rPr>
              <w:t xml:space="preserve"> </w:t>
            </w:r>
            <w:r>
              <w:rPr>
                <w:sz w:val="17"/>
              </w:rPr>
              <w:t>for</w:t>
            </w:r>
            <w:r>
              <w:rPr>
                <w:spacing w:val="-5"/>
                <w:sz w:val="17"/>
              </w:rPr>
              <w:t xml:space="preserve"> </w:t>
            </w:r>
            <w:r>
              <w:rPr>
                <w:sz w:val="17"/>
              </w:rPr>
              <w:t>endorsement,</w:t>
            </w:r>
            <w:r>
              <w:rPr>
                <w:spacing w:val="-6"/>
                <w:sz w:val="17"/>
              </w:rPr>
              <w:t xml:space="preserve"> </w:t>
            </w:r>
            <w:r>
              <w:rPr>
                <w:sz w:val="17"/>
              </w:rPr>
              <w:t>create</w:t>
            </w:r>
            <w:r>
              <w:rPr>
                <w:spacing w:val="-5"/>
                <w:sz w:val="17"/>
              </w:rPr>
              <w:t xml:space="preserve"> </w:t>
            </w:r>
            <w:r>
              <w:rPr>
                <w:sz w:val="17"/>
              </w:rPr>
              <w:t>or</w:t>
            </w:r>
            <w:r>
              <w:rPr>
                <w:spacing w:val="-5"/>
                <w:sz w:val="17"/>
              </w:rPr>
              <w:t xml:space="preserve"> </w:t>
            </w:r>
            <w:r>
              <w:rPr>
                <w:sz w:val="17"/>
              </w:rPr>
              <w:t>log</w:t>
            </w:r>
            <w:r>
              <w:rPr>
                <w:spacing w:val="-5"/>
                <w:sz w:val="17"/>
              </w:rPr>
              <w:t xml:space="preserve"> </w:t>
            </w:r>
            <w:r>
              <w:rPr>
                <w:sz w:val="17"/>
              </w:rPr>
              <w:t>in</w:t>
            </w:r>
            <w:r>
              <w:rPr>
                <w:spacing w:val="-5"/>
                <w:sz w:val="17"/>
              </w:rPr>
              <w:t xml:space="preserve"> </w:t>
            </w:r>
            <w:r>
              <w:rPr>
                <w:sz w:val="17"/>
              </w:rPr>
              <w:t>to</w:t>
            </w:r>
            <w:r>
              <w:rPr>
                <w:spacing w:val="-5"/>
                <w:sz w:val="17"/>
              </w:rPr>
              <w:t xml:space="preserve"> </w:t>
            </w:r>
            <w:r>
              <w:rPr>
                <w:sz w:val="17"/>
              </w:rPr>
              <w:t xml:space="preserve">your </w:t>
            </w:r>
            <w:hyperlink r:id="rId78">
              <w:r>
                <w:rPr>
                  <w:color w:val="0000FF"/>
                  <w:sz w:val="17"/>
                  <w:u w:val="single" w:color="0000FF"/>
                </w:rPr>
                <w:t>Ahpra</w:t>
              </w:r>
            </w:hyperlink>
            <w:r>
              <w:rPr>
                <w:color w:val="0000FF"/>
                <w:sz w:val="17"/>
              </w:rPr>
              <w:t xml:space="preserve"> </w:t>
            </w:r>
            <w:hyperlink r:id="rId79">
              <w:r>
                <w:rPr>
                  <w:color w:val="0000FF"/>
                  <w:sz w:val="17"/>
                  <w:u w:val="single" w:color="0000FF"/>
                </w:rPr>
                <w:t>practitioner</w:t>
              </w:r>
              <w:r>
                <w:rPr>
                  <w:color w:val="0000FF"/>
                  <w:spacing w:val="-3"/>
                  <w:sz w:val="17"/>
                  <w:u w:val="single" w:color="0000FF"/>
                </w:rPr>
                <w:t xml:space="preserve"> </w:t>
              </w:r>
              <w:r>
                <w:rPr>
                  <w:color w:val="0000FF"/>
                  <w:sz w:val="17"/>
                  <w:u w:val="single" w:color="0000FF"/>
                </w:rPr>
                <w:t>portal</w:t>
              </w:r>
            </w:hyperlink>
            <w:r>
              <w:rPr>
                <w:color w:val="0000FF"/>
                <w:spacing w:val="-3"/>
                <w:sz w:val="17"/>
              </w:rPr>
              <w:t xml:space="preserve"> </w:t>
            </w:r>
            <w:r>
              <w:rPr>
                <w:sz w:val="17"/>
              </w:rPr>
              <w:t>and</w:t>
            </w:r>
            <w:r>
              <w:rPr>
                <w:spacing w:val="-5"/>
                <w:sz w:val="17"/>
              </w:rPr>
              <w:t xml:space="preserve"> </w:t>
            </w:r>
            <w:r>
              <w:rPr>
                <w:sz w:val="17"/>
              </w:rPr>
              <w:t>start</w:t>
            </w:r>
            <w:r>
              <w:rPr>
                <w:spacing w:val="-6"/>
                <w:sz w:val="17"/>
              </w:rPr>
              <w:t xml:space="preserve"> </w:t>
            </w:r>
            <w:r>
              <w:rPr>
                <w:sz w:val="17"/>
              </w:rPr>
              <w:t>an</w:t>
            </w:r>
            <w:r>
              <w:rPr>
                <w:spacing w:val="-5"/>
                <w:sz w:val="17"/>
              </w:rPr>
              <w:t xml:space="preserve"> </w:t>
            </w:r>
            <w:r>
              <w:rPr>
                <w:sz w:val="17"/>
              </w:rPr>
              <w:t>application.</w:t>
            </w:r>
            <w:r>
              <w:rPr>
                <w:spacing w:val="-3"/>
                <w:sz w:val="17"/>
              </w:rPr>
              <w:t xml:space="preserve"> </w:t>
            </w:r>
            <w:r>
              <w:rPr>
                <w:sz w:val="17"/>
              </w:rPr>
              <w:t>The</w:t>
            </w:r>
            <w:r>
              <w:rPr>
                <w:spacing w:val="-5"/>
                <w:sz w:val="17"/>
              </w:rPr>
              <w:t xml:space="preserve"> </w:t>
            </w:r>
            <w:r>
              <w:rPr>
                <w:sz w:val="17"/>
              </w:rPr>
              <w:t>following information needs to be entered</w:t>
            </w:r>
          </w:p>
          <w:p w14:paraId="2642CFBB" w14:textId="77777777" w:rsidR="00F05C60" w:rsidRDefault="00F05C60" w:rsidP="00F05C60">
            <w:pPr>
              <w:pStyle w:val="TableParagraph"/>
              <w:numPr>
                <w:ilvl w:val="0"/>
                <w:numId w:val="57"/>
              </w:numPr>
              <w:tabs>
                <w:tab w:val="left" w:pos="463"/>
              </w:tabs>
              <w:spacing w:before="122"/>
              <w:ind w:left="463" w:hanging="356"/>
              <w:rPr>
                <w:sz w:val="17"/>
              </w:rPr>
            </w:pPr>
            <w:r>
              <w:rPr>
                <w:color w:val="252525"/>
                <w:sz w:val="17"/>
              </w:rPr>
              <w:t>Work</w:t>
            </w:r>
            <w:r>
              <w:rPr>
                <w:color w:val="252525"/>
                <w:spacing w:val="-4"/>
                <w:sz w:val="17"/>
              </w:rPr>
              <w:t xml:space="preserve"> </w:t>
            </w:r>
            <w:r>
              <w:rPr>
                <w:color w:val="252525"/>
                <w:sz w:val="17"/>
              </w:rPr>
              <w:t>practice</w:t>
            </w:r>
            <w:r>
              <w:rPr>
                <w:color w:val="252525"/>
                <w:spacing w:val="-4"/>
                <w:sz w:val="17"/>
              </w:rPr>
              <w:t xml:space="preserve"> </w:t>
            </w:r>
            <w:r>
              <w:rPr>
                <w:color w:val="252525"/>
                <w:sz w:val="17"/>
              </w:rPr>
              <w:t>history</w:t>
            </w:r>
            <w:r>
              <w:rPr>
                <w:color w:val="252525"/>
                <w:spacing w:val="-4"/>
                <w:sz w:val="17"/>
              </w:rPr>
              <w:t xml:space="preserve"> </w:t>
            </w:r>
            <w:r>
              <w:rPr>
                <w:color w:val="252525"/>
                <w:spacing w:val="-2"/>
                <w:sz w:val="17"/>
              </w:rPr>
              <w:t>detailing:</w:t>
            </w:r>
          </w:p>
          <w:p w14:paraId="6C27FB3E" w14:textId="77777777" w:rsidR="00F05C60" w:rsidRDefault="00F05C60" w:rsidP="00F05C60">
            <w:pPr>
              <w:pStyle w:val="TableParagraph"/>
              <w:numPr>
                <w:ilvl w:val="1"/>
                <w:numId w:val="57"/>
              </w:numPr>
              <w:tabs>
                <w:tab w:val="left" w:pos="825"/>
              </w:tabs>
              <w:ind w:right="565"/>
              <w:rPr>
                <w:sz w:val="17"/>
              </w:rPr>
            </w:pPr>
            <w:r>
              <w:rPr>
                <w:sz w:val="17"/>
              </w:rPr>
              <w:t>evidence</w:t>
            </w:r>
            <w:r>
              <w:rPr>
                <w:spacing w:val="-6"/>
                <w:sz w:val="17"/>
              </w:rPr>
              <w:t xml:space="preserve"> </w:t>
            </w:r>
            <w:r>
              <w:rPr>
                <w:sz w:val="17"/>
              </w:rPr>
              <w:t>of</w:t>
            </w:r>
            <w:r>
              <w:rPr>
                <w:spacing w:val="-7"/>
                <w:sz w:val="17"/>
              </w:rPr>
              <w:t xml:space="preserve"> </w:t>
            </w:r>
            <w:r>
              <w:rPr>
                <w:sz w:val="17"/>
              </w:rPr>
              <w:t>employment,</w:t>
            </w:r>
            <w:r>
              <w:rPr>
                <w:spacing w:val="-7"/>
                <w:sz w:val="17"/>
              </w:rPr>
              <w:t xml:space="preserve"> </w:t>
            </w:r>
            <w:r>
              <w:rPr>
                <w:sz w:val="17"/>
              </w:rPr>
              <w:t>clearly</w:t>
            </w:r>
            <w:r>
              <w:rPr>
                <w:spacing w:val="-6"/>
                <w:sz w:val="17"/>
              </w:rPr>
              <w:t xml:space="preserve"> </w:t>
            </w:r>
            <w:r>
              <w:rPr>
                <w:sz w:val="17"/>
              </w:rPr>
              <w:t>noting</w:t>
            </w:r>
            <w:r>
              <w:rPr>
                <w:spacing w:val="-6"/>
                <w:sz w:val="17"/>
              </w:rPr>
              <w:t xml:space="preserve"> </w:t>
            </w:r>
            <w:r>
              <w:rPr>
                <w:sz w:val="17"/>
              </w:rPr>
              <w:t>title</w:t>
            </w:r>
            <w:r>
              <w:rPr>
                <w:spacing w:val="-6"/>
                <w:sz w:val="17"/>
              </w:rPr>
              <w:t xml:space="preserve"> </w:t>
            </w:r>
            <w:r>
              <w:rPr>
                <w:sz w:val="17"/>
              </w:rPr>
              <w:t>and description of all clinical nursing practice with sufficient</w:t>
            </w:r>
            <w:r>
              <w:rPr>
                <w:spacing w:val="-8"/>
                <w:sz w:val="17"/>
              </w:rPr>
              <w:t xml:space="preserve"> </w:t>
            </w:r>
            <w:r>
              <w:rPr>
                <w:sz w:val="17"/>
              </w:rPr>
              <w:t>detail</w:t>
            </w:r>
            <w:r>
              <w:rPr>
                <w:spacing w:val="-8"/>
                <w:sz w:val="17"/>
              </w:rPr>
              <w:t xml:space="preserve"> </w:t>
            </w:r>
            <w:r>
              <w:rPr>
                <w:sz w:val="17"/>
              </w:rPr>
              <w:t>to</w:t>
            </w:r>
            <w:r>
              <w:rPr>
                <w:spacing w:val="-7"/>
                <w:sz w:val="17"/>
              </w:rPr>
              <w:t xml:space="preserve"> </w:t>
            </w:r>
            <w:r>
              <w:rPr>
                <w:sz w:val="17"/>
              </w:rPr>
              <w:t>determine</w:t>
            </w:r>
            <w:r>
              <w:rPr>
                <w:spacing w:val="-4"/>
                <w:sz w:val="17"/>
              </w:rPr>
              <w:t xml:space="preserve"> </w:t>
            </w:r>
            <w:r>
              <w:rPr>
                <w:sz w:val="17"/>
              </w:rPr>
              <w:t>three</w:t>
            </w:r>
            <w:r>
              <w:rPr>
                <w:spacing w:val="-7"/>
                <w:sz w:val="17"/>
              </w:rPr>
              <w:t xml:space="preserve"> </w:t>
            </w:r>
            <w:r>
              <w:rPr>
                <w:sz w:val="17"/>
              </w:rPr>
              <w:t>years’</w:t>
            </w:r>
            <w:r>
              <w:rPr>
                <w:spacing w:val="-6"/>
                <w:sz w:val="17"/>
              </w:rPr>
              <w:t xml:space="preserve"> </w:t>
            </w:r>
            <w:r>
              <w:rPr>
                <w:sz w:val="17"/>
              </w:rPr>
              <w:t>(5,000 hours) full-time post initial registration clinical experience, and</w:t>
            </w:r>
          </w:p>
          <w:p w14:paraId="54DE7035" w14:textId="77777777" w:rsidR="00F05C60" w:rsidRDefault="00F05C60" w:rsidP="00F05C60">
            <w:pPr>
              <w:pStyle w:val="TableParagraph"/>
              <w:numPr>
                <w:ilvl w:val="1"/>
                <w:numId w:val="57"/>
              </w:numPr>
              <w:tabs>
                <w:tab w:val="left" w:pos="825"/>
              </w:tabs>
              <w:rPr>
                <w:sz w:val="17"/>
              </w:rPr>
            </w:pPr>
            <w:r>
              <w:rPr>
                <w:sz w:val="17"/>
              </w:rPr>
              <w:t>details</w:t>
            </w:r>
            <w:r>
              <w:rPr>
                <w:spacing w:val="-5"/>
                <w:sz w:val="17"/>
              </w:rPr>
              <w:t xml:space="preserve"> </w:t>
            </w:r>
            <w:r>
              <w:rPr>
                <w:sz w:val="17"/>
              </w:rPr>
              <w:t>of</w:t>
            </w:r>
            <w:r>
              <w:rPr>
                <w:spacing w:val="-5"/>
                <w:sz w:val="17"/>
              </w:rPr>
              <w:t xml:space="preserve"> </w:t>
            </w:r>
            <w:r>
              <w:rPr>
                <w:sz w:val="17"/>
              </w:rPr>
              <w:t>education</w:t>
            </w:r>
            <w:r>
              <w:rPr>
                <w:spacing w:val="-3"/>
                <w:sz w:val="17"/>
              </w:rPr>
              <w:t xml:space="preserve"> </w:t>
            </w:r>
            <w:r>
              <w:rPr>
                <w:sz w:val="17"/>
              </w:rPr>
              <w:t>and</w:t>
            </w:r>
            <w:r>
              <w:rPr>
                <w:spacing w:val="-4"/>
                <w:sz w:val="17"/>
              </w:rPr>
              <w:t xml:space="preserve"> </w:t>
            </w:r>
            <w:r>
              <w:rPr>
                <w:sz w:val="17"/>
              </w:rPr>
              <w:t>professional</w:t>
            </w:r>
            <w:r>
              <w:rPr>
                <w:spacing w:val="-5"/>
                <w:sz w:val="17"/>
              </w:rPr>
              <w:t xml:space="preserve"> </w:t>
            </w:r>
            <w:r>
              <w:rPr>
                <w:spacing w:val="-2"/>
                <w:sz w:val="17"/>
              </w:rPr>
              <w:t>activities</w:t>
            </w:r>
          </w:p>
          <w:p w14:paraId="748396AA" w14:textId="77777777" w:rsidR="00F05C60" w:rsidRDefault="00F05C60" w:rsidP="00F05C60">
            <w:pPr>
              <w:pStyle w:val="TableParagraph"/>
              <w:numPr>
                <w:ilvl w:val="0"/>
                <w:numId w:val="57"/>
              </w:numPr>
              <w:tabs>
                <w:tab w:val="left" w:pos="463"/>
                <w:tab w:val="left" w:pos="465"/>
              </w:tabs>
              <w:spacing w:before="118"/>
              <w:ind w:right="399"/>
              <w:rPr>
                <w:sz w:val="17"/>
              </w:rPr>
            </w:pPr>
            <w:r>
              <w:rPr>
                <w:rFonts w:ascii="Calibri" w:hAnsi="Calibri"/>
                <w:color w:val="252525"/>
                <w:sz w:val="17"/>
              </w:rPr>
              <w:t>Upload</w:t>
            </w:r>
            <w:r>
              <w:rPr>
                <w:rFonts w:ascii="Calibri" w:hAnsi="Calibri"/>
                <w:color w:val="252525"/>
                <w:spacing w:val="-5"/>
                <w:sz w:val="17"/>
              </w:rPr>
              <w:t xml:space="preserve"> </w:t>
            </w:r>
            <w:r>
              <w:rPr>
                <w:color w:val="252525"/>
                <w:sz w:val="17"/>
              </w:rPr>
              <w:t>certified</w:t>
            </w:r>
            <w:r>
              <w:rPr>
                <w:color w:val="252525"/>
                <w:spacing w:val="-4"/>
                <w:sz w:val="17"/>
              </w:rPr>
              <w:t xml:space="preserve"> </w:t>
            </w:r>
            <w:r>
              <w:rPr>
                <w:color w:val="252525"/>
                <w:sz w:val="17"/>
              </w:rPr>
              <w:t>copies</w:t>
            </w:r>
            <w:r>
              <w:rPr>
                <w:color w:val="252525"/>
                <w:spacing w:val="-6"/>
                <w:sz w:val="17"/>
              </w:rPr>
              <w:t xml:space="preserve"> </w:t>
            </w:r>
            <w:r>
              <w:rPr>
                <w:color w:val="252525"/>
                <w:sz w:val="17"/>
              </w:rPr>
              <w:t>of</w:t>
            </w:r>
            <w:r>
              <w:rPr>
                <w:color w:val="252525"/>
                <w:spacing w:val="-7"/>
                <w:sz w:val="17"/>
              </w:rPr>
              <w:t xml:space="preserve"> </w:t>
            </w:r>
            <w:r>
              <w:rPr>
                <w:color w:val="252525"/>
                <w:sz w:val="17"/>
              </w:rPr>
              <w:t>statement(s)</w:t>
            </w:r>
            <w:r>
              <w:rPr>
                <w:color w:val="252525"/>
                <w:spacing w:val="-6"/>
                <w:sz w:val="17"/>
              </w:rPr>
              <w:t xml:space="preserve"> </w:t>
            </w:r>
            <w:r>
              <w:rPr>
                <w:color w:val="252525"/>
                <w:sz w:val="17"/>
              </w:rPr>
              <w:t>of</w:t>
            </w:r>
            <w:r>
              <w:rPr>
                <w:color w:val="252525"/>
                <w:spacing w:val="-7"/>
                <w:sz w:val="17"/>
              </w:rPr>
              <w:t xml:space="preserve"> </w:t>
            </w:r>
            <w:r>
              <w:rPr>
                <w:color w:val="252525"/>
                <w:sz w:val="17"/>
              </w:rPr>
              <w:t>service</w:t>
            </w:r>
            <w:r>
              <w:rPr>
                <w:color w:val="252525"/>
                <w:spacing w:val="-4"/>
                <w:sz w:val="17"/>
              </w:rPr>
              <w:t xml:space="preserve"> </w:t>
            </w:r>
            <w:r>
              <w:rPr>
                <w:color w:val="252525"/>
                <w:sz w:val="17"/>
              </w:rPr>
              <w:t>which support the applicant’s 5,000 hours clinical nursing practice within the past six years.</w:t>
            </w:r>
          </w:p>
          <w:p w14:paraId="7737E9CC" w14:textId="77777777" w:rsidR="00F05C60" w:rsidRDefault="00F05C60" w:rsidP="009B6451">
            <w:pPr>
              <w:pStyle w:val="TableParagraph"/>
              <w:spacing w:before="122"/>
              <w:ind w:left="465"/>
              <w:rPr>
                <w:sz w:val="17"/>
              </w:rPr>
            </w:pPr>
            <w:r>
              <w:rPr>
                <w:sz w:val="17"/>
              </w:rPr>
              <w:t>The</w:t>
            </w:r>
            <w:r>
              <w:rPr>
                <w:spacing w:val="-4"/>
                <w:sz w:val="17"/>
              </w:rPr>
              <w:t xml:space="preserve"> </w:t>
            </w:r>
            <w:r>
              <w:rPr>
                <w:sz w:val="17"/>
              </w:rPr>
              <w:t>statement(s)</w:t>
            </w:r>
            <w:r>
              <w:rPr>
                <w:spacing w:val="-4"/>
                <w:sz w:val="17"/>
              </w:rPr>
              <w:t xml:space="preserve"> </w:t>
            </w:r>
            <w:r>
              <w:rPr>
                <w:sz w:val="17"/>
              </w:rPr>
              <w:t>of</w:t>
            </w:r>
            <w:r>
              <w:rPr>
                <w:spacing w:val="-5"/>
                <w:sz w:val="17"/>
              </w:rPr>
              <w:t xml:space="preserve"> </w:t>
            </w:r>
            <w:r>
              <w:rPr>
                <w:sz w:val="17"/>
              </w:rPr>
              <w:t>service</w:t>
            </w:r>
            <w:r>
              <w:rPr>
                <w:spacing w:val="-1"/>
                <w:sz w:val="17"/>
              </w:rPr>
              <w:t xml:space="preserve"> </w:t>
            </w:r>
            <w:r>
              <w:rPr>
                <w:spacing w:val="-4"/>
                <w:sz w:val="17"/>
              </w:rPr>
              <w:t>must:</w:t>
            </w:r>
          </w:p>
          <w:p w14:paraId="371122A2" w14:textId="77777777" w:rsidR="00F05C60" w:rsidRDefault="00F05C60" w:rsidP="00F05C60">
            <w:pPr>
              <w:pStyle w:val="TableParagraph"/>
              <w:numPr>
                <w:ilvl w:val="1"/>
                <w:numId w:val="57"/>
              </w:numPr>
              <w:tabs>
                <w:tab w:val="left" w:pos="825"/>
              </w:tabs>
              <w:rPr>
                <w:sz w:val="17"/>
              </w:rPr>
            </w:pPr>
            <w:r>
              <w:rPr>
                <w:sz w:val="17"/>
              </w:rPr>
              <w:t>be</w:t>
            </w:r>
            <w:r>
              <w:rPr>
                <w:spacing w:val="-3"/>
                <w:sz w:val="17"/>
              </w:rPr>
              <w:t xml:space="preserve"> </w:t>
            </w:r>
            <w:r>
              <w:rPr>
                <w:sz w:val="17"/>
              </w:rPr>
              <w:t>on</w:t>
            </w:r>
            <w:r>
              <w:rPr>
                <w:spacing w:val="-2"/>
                <w:sz w:val="17"/>
              </w:rPr>
              <w:t xml:space="preserve"> </w:t>
            </w:r>
            <w:r>
              <w:rPr>
                <w:sz w:val="17"/>
              </w:rPr>
              <w:t>your</w:t>
            </w:r>
            <w:r>
              <w:rPr>
                <w:spacing w:val="-3"/>
                <w:sz w:val="17"/>
              </w:rPr>
              <w:t xml:space="preserve"> </w:t>
            </w:r>
            <w:r>
              <w:rPr>
                <w:sz w:val="17"/>
              </w:rPr>
              <w:t>employer’s</w:t>
            </w:r>
            <w:r>
              <w:rPr>
                <w:spacing w:val="-2"/>
                <w:sz w:val="17"/>
              </w:rPr>
              <w:t xml:space="preserve"> letterhead</w:t>
            </w:r>
          </w:p>
          <w:p w14:paraId="276A6D81" w14:textId="77777777" w:rsidR="00F05C60" w:rsidRDefault="00F05C60" w:rsidP="00F05C60">
            <w:pPr>
              <w:pStyle w:val="TableParagraph"/>
              <w:numPr>
                <w:ilvl w:val="1"/>
                <w:numId w:val="57"/>
              </w:numPr>
              <w:tabs>
                <w:tab w:val="left" w:pos="825"/>
              </w:tabs>
              <w:spacing w:before="118"/>
              <w:ind w:right="437"/>
              <w:rPr>
                <w:sz w:val="17"/>
              </w:rPr>
            </w:pPr>
            <w:r>
              <w:rPr>
                <w:sz w:val="17"/>
              </w:rPr>
              <w:t>be</w:t>
            </w:r>
            <w:r>
              <w:rPr>
                <w:spacing w:val="-5"/>
                <w:sz w:val="17"/>
              </w:rPr>
              <w:t xml:space="preserve"> </w:t>
            </w:r>
            <w:r>
              <w:rPr>
                <w:sz w:val="17"/>
              </w:rPr>
              <w:t>dated</w:t>
            </w:r>
            <w:r>
              <w:rPr>
                <w:spacing w:val="-5"/>
                <w:sz w:val="17"/>
              </w:rPr>
              <w:t xml:space="preserve"> </w:t>
            </w:r>
            <w:r>
              <w:rPr>
                <w:sz w:val="17"/>
              </w:rPr>
              <w:t>and</w:t>
            </w:r>
            <w:r>
              <w:rPr>
                <w:spacing w:val="-5"/>
                <w:sz w:val="17"/>
              </w:rPr>
              <w:t xml:space="preserve"> </w:t>
            </w:r>
            <w:r>
              <w:rPr>
                <w:sz w:val="17"/>
              </w:rPr>
              <w:t>signed</w:t>
            </w:r>
            <w:r>
              <w:rPr>
                <w:spacing w:val="-5"/>
                <w:sz w:val="17"/>
              </w:rPr>
              <w:t xml:space="preserve"> </w:t>
            </w:r>
            <w:r>
              <w:rPr>
                <w:sz w:val="17"/>
              </w:rPr>
              <w:t>by</w:t>
            </w:r>
            <w:r>
              <w:rPr>
                <w:spacing w:val="-5"/>
                <w:sz w:val="17"/>
              </w:rPr>
              <w:t xml:space="preserve"> </w:t>
            </w:r>
            <w:r>
              <w:rPr>
                <w:sz w:val="17"/>
              </w:rPr>
              <w:t>the</w:t>
            </w:r>
            <w:r>
              <w:rPr>
                <w:spacing w:val="-5"/>
                <w:sz w:val="17"/>
              </w:rPr>
              <w:t xml:space="preserve"> </w:t>
            </w:r>
            <w:r>
              <w:rPr>
                <w:sz w:val="17"/>
              </w:rPr>
              <w:t>Director</w:t>
            </w:r>
            <w:r>
              <w:rPr>
                <w:spacing w:val="-5"/>
                <w:sz w:val="17"/>
              </w:rPr>
              <w:t xml:space="preserve"> </w:t>
            </w:r>
            <w:r>
              <w:rPr>
                <w:sz w:val="17"/>
              </w:rPr>
              <w:t>of</w:t>
            </w:r>
            <w:r>
              <w:rPr>
                <w:spacing w:val="-4"/>
                <w:sz w:val="17"/>
              </w:rPr>
              <w:t xml:space="preserve"> </w:t>
            </w:r>
            <w:r>
              <w:rPr>
                <w:sz w:val="17"/>
              </w:rPr>
              <w:t>Nursing</w:t>
            </w:r>
            <w:r>
              <w:rPr>
                <w:spacing w:val="-5"/>
                <w:sz w:val="17"/>
              </w:rPr>
              <w:t xml:space="preserve"> </w:t>
            </w:r>
            <w:r>
              <w:rPr>
                <w:sz w:val="17"/>
              </w:rPr>
              <w:t xml:space="preserve">or equivalent. Self-employed nurses may provide a </w:t>
            </w:r>
            <w:hyperlink r:id="rId80">
              <w:r>
                <w:rPr>
                  <w:sz w:val="17"/>
                </w:rPr>
                <w:t>statutory declaration</w:t>
              </w:r>
            </w:hyperlink>
            <w:r>
              <w:rPr>
                <w:sz w:val="17"/>
              </w:rPr>
              <w:t xml:space="preserve"> as their proof of service</w:t>
            </w:r>
          </w:p>
        </w:tc>
      </w:tr>
      <w:tr w:rsidR="00F05C60" w14:paraId="4EF6B242" w14:textId="77777777" w:rsidTr="009B6451">
        <w:trPr>
          <w:trHeight w:val="3067"/>
        </w:trPr>
        <w:tc>
          <w:tcPr>
            <w:tcW w:w="3829" w:type="dxa"/>
          </w:tcPr>
          <w:p w14:paraId="13A9C218" w14:textId="77777777" w:rsidR="00F05C60" w:rsidRDefault="00F05C60" w:rsidP="009B6451">
            <w:pPr>
              <w:pStyle w:val="TableParagraph"/>
              <w:spacing w:before="121"/>
              <w:rPr>
                <w:sz w:val="17"/>
              </w:rPr>
            </w:pPr>
            <w:r>
              <w:rPr>
                <w:sz w:val="17"/>
              </w:rPr>
              <w:t>Successful</w:t>
            </w:r>
            <w:r>
              <w:rPr>
                <w:spacing w:val="-7"/>
                <w:sz w:val="17"/>
              </w:rPr>
              <w:t xml:space="preserve"> </w:t>
            </w:r>
            <w:r>
              <w:rPr>
                <w:sz w:val="17"/>
              </w:rPr>
              <w:t>completion</w:t>
            </w:r>
            <w:r>
              <w:rPr>
                <w:spacing w:val="-5"/>
                <w:sz w:val="17"/>
              </w:rPr>
              <w:t xml:space="preserve"> of:</w:t>
            </w:r>
          </w:p>
          <w:p w14:paraId="7287C55E" w14:textId="77777777" w:rsidR="00F05C60" w:rsidRDefault="00F05C60" w:rsidP="00F05C60">
            <w:pPr>
              <w:pStyle w:val="TableParagraph"/>
              <w:numPr>
                <w:ilvl w:val="0"/>
                <w:numId w:val="56"/>
              </w:numPr>
              <w:tabs>
                <w:tab w:val="left" w:pos="465"/>
              </w:tabs>
              <w:ind w:right="112"/>
              <w:rPr>
                <w:sz w:val="17"/>
              </w:rPr>
            </w:pPr>
            <w:r>
              <w:rPr>
                <w:sz w:val="17"/>
              </w:rPr>
              <w:t>NMBA-approved units of study leading to endorsement</w:t>
            </w:r>
            <w:r>
              <w:rPr>
                <w:spacing w:val="-7"/>
                <w:sz w:val="17"/>
              </w:rPr>
              <w:t xml:space="preserve"> </w:t>
            </w:r>
            <w:r>
              <w:rPr>
                <w:sz w:val="17"/>
              </w:rPr>
              <w:t>for</w:t>
            </w:r>
            <w:r>
              <w:rPr>
                <w:spacing w:val="-9"/>
                <w:sz w:val="17"/>
              </w:rPr>
              <w:t xml:space="preserve"> </w:t>
            </w:r>
            <w:r>
              <w:rPr>
                <w:sz w:val="17"/>
              </w:rPr>
              <w:t>scheduled</w:t>
            </w:r>
            <w:r>
              <w:rPr>
                <w:spacing w:val="-7"/>
                <w:sz w:val="17"/>
              </w:rPr>
              <w:t xml:space="preserve"> </w:t>
            </w:r>
            <w:r>
              <w:rPr>
                <w:sz w:val="17"/>
              </w:rPr>
              <w:t>medicines</w:t>
            </w:r>
            <w:r>
              <w:rPr>
                <w:spacing w:val="-9"/>
                <w:sz w:val="17"/>
              </w:rPr>
              <w:t xml:space="preserve"> </w:t>
            </w:r>
            <w:r>
              <w:rPr>
                <w:sz w:val="17"/>
              </w:rPr>
              <w:t>as</w:t>
            </w:r>
            <w:r>
              <w:rPr>
                <w:spacing w:val="-9"/>
                <w:sz w:val="17"/>
              </w:rPr>
              <w:t xml:space="preserve"> </w:t>
            </w:r>
            <w:r>
              <w:rPr>
                <w:sz w:val="17"/>
              </w:rPr>
              <w:t>a designated RN prescriber, or</w:t>
            </w:r>
          </w:p>
          <w:p w14:paraId="5DAB9F42" w14:textId="77777777" w:rsidR="00F05C60" w:rsidRDefault="00F05C60" w:rsidP="00F05C60">
            <w:pPr>
              <w:pStyle w:val="TableParagraph"/>
              <w:numPr>
                <w:ilvl w:val="0"/>
                <w:numId w:val="56"/>
              </w:numPr>
              <w:tabs>
                <w:tab w:val="left" w:pos="465"/>
              </w:tabs>
              <w:ind w:right="112"/>
              <w:rPr>
                <w:sz w:val="17"/>
              </w:rPr>
            </w:pPr>
            <w:r>
              <w:rPr>
                <w:sz w:val="17"/>
              </w:rPr>
              <w:t>units of study that are equivalent to the NMBA-approved units of study leading to endorsement</w:t>
            </w:r>
            <w:r>
              <w:rPr>
                <w:spacing w:val="-7"/>
                <w:sz w:val="17"/>
              </w:rPr>
              <w:t xml:space="preserve"> </w:t>
            </w:r>
            <w:r>
              <w:rPr>
                <w:sz w:val="17"/>
              </w:rPr>
              <w:t>for</w:t>
            </w:r>
            <w:r>
              <w:rPr>
                <w:spacing w:val="-9"/>
                <w:sz w:val="17"/>
              </w:rPr>
              <w:t xml:space="preserve"> </w:t>
            </w:r>
            <w:r>
              <w:rPr>
                <w:sz w:val="17"/>
              </w:rPr>
              <w:t>scheduled</w:t>
            </w:r>
            <w:r>
              <w:rPr>
                <w:spacing w:val="-7"/>
                <w:sz w:val="17"/>
              </w:rPr>
              <w:t xml:space="preserve"> </w:t>
            </w:r>
            <w:r>
              <w:rPr>
                <w:sz w:val="17"/>
              </w:rPr>
              <w:t>medicines</w:t>
            </w:r>
            <w:r>
              <w:rPr>
                <w:spacing w:val="-9"/>
                <w:sz w:val="17"/>
              </w:rPr>
              <w:t xml:space="preserve"> </w:t>
            </w:r>
            <w:r>
              <w:rPr>
                <w:sz w:val="17"/>
              </w:rPr>
              <w:t>as</w:t>
            </w:r>
            <w:r>
              <w:rPr>
                <w:spacing w:val="-9"/>
                <w:sz w:val="17"/>
              </w:rPr>
              <w:t xml:space="preserve"> </w:t>
            </w:r>
            <w:r>
              <w:rPr>
                <w:sz w:val="17"/>
              </w:rPr>
              <w:t>a designated RN prescriber.</w:t>
            </w:r>
          </w:p>
        </w:tc>
        <w:tc>
          <w:tcPr>
            <w:tcW w:w="4984" w:type="dxa"/>
          </w:tcPr>
          <w:p w14:paraId="1C098769" w14:textId="77777777" w:rsidR="00F05C60" w:rsidRDefault="00F05C60" w:rsidP="009B6451">
            <w:pPr>
              <w:pStyle w:val="TableParagraph"/>
              <w:spacing w:before="121"/>
              <w:rPr>
                <w:sz w:val="17"/>
              </w:rPr>
            </w:pPr>
            <w:r>
              <w:rPr>
                <w:sz w:val="17"/>
              </w:rPr>
              <w:t>The NMBA has two pathways that fulfil the education requirements</w:t>
            </w:r>
            <w:r>
              <w:rPr>
                <w:spacing w:val="-5"/>
                <w:sz w:val="17"/>
              </w:rPr>
              <w:t xml:space="preserve"> </w:t>
            </w:r>
            <w:r>
              <w:rPr>
                <w:sz w:val="17"/>
              </w:rPr>
              <w:t>for</w:t>
            </w:r>
            <w:r>
              <w:rPr>
                <w:spacing w:val="-7"/>
                <w:sz w:val="17"/>
              </w:rPr>
              <w:t xml:space="preserve"> </w:t>
            </w:r>
            <w:r>
              <w:rPr>
                <w:sz w:val="17"/>
              </w:rPr>
              <w:t>endorsement</w:t>
            </w:r>
            <w:r>
              <w:rPr>
                <w:spacing w:val="-7"/>
                <w:sz w:val="17"/>
              </w:rPr>
              <w:t xml:space="preserve"> </w:t>
            </w:r>
            <w:r>
              <w:rPr>
                <w:sz w:val="17"/>
              </w:rPr>
              <w:t>for</w:t>
            </w:r>
            <w:r>
              <w:rPr>
                <w:spacing w:val="-7"/>
                <w:sz w:val="17"/>
              </w:rPr>
              <w:t xml:space="preserve"> </w:t>
            </w:r>
            <w:r>
              <w:rPr>
                <w:sz w:val="17"/>
              </w:rPr>
              <w:t>scheduled</w:t>
            </w:r>
            <w:r>
              <w:rPr>
                <w:spacing w:val="-7"/>
                <w:sz w:val="17"/>
              </w:rPr>
              <w:t xml:space="preserve"> </w:t>
            </w:r>
            <w:r>
              <w:rPr>
                <w:sz w:val="17"/>
              </w:rPr>
              <w:t>medicines</w:t>
            </w:r>
            <w:r>
              <w:rPr>
                <w:spacing w:val="-7"/>
                <w:sz w:val="17"/>
              </w:rPr>
              <w:t xml:space="preserve"> </w:t>
            </w:r>
            <w:r>
              <w:rPr>
                <w:sz w:val="17"/>
              </w:rPr>
              <w:t>as</w:t>
            </w:r>
            <w:r>
              <w:rPr>
                <w:spacing w:val="-7"/>
                <w:sz w:val="17"/>
              </w:rPr>
              <w:t xml:space="preserve"> </w:t>
            </w:r>
            <w:r>
              <w:rPr>
                <w:sz w:val="17"/>
              </w:rPr>
              <w:t>a designated RN prescriber.</w:t>
            </w:r>
          </w:p>
          <w:p w14:paraId="349C9838" w14:textId="77777777" w:rsidR="00F05C60" w:rsidRDefault="00F05C60" w:rsidP="009B6451">
            <w:pPr>
              <w:pStyle w:val="TableParagraph"/>
              <w:rPr>
                <w:b/>
                <w:sz w:val="17"/>
              </w:rPr>
            </w:pPr>
            <w:r>
              <w:rPr>
                <w:b/>
                <w:sz w:val="17"/>
              </w:rPr>
              <w:t>Pathway</w:t>
            </w:r>
            <w:r>
              <w:rPr>
                <w:b/>
                <w:spacing w:val="-5"/>
                <w:sz w:val="17"/>
              </w:rPr>
              <w:t xml:space="preserve"> </w:t>
            </w:r>
            <w:r>
              <w:rPr>
                <w:b/>
                <w:spacing w:val="-10"/>
                <w:sz w:val="17"/>
              </w:rPr>
              <w:t>1</w:t>
            </w:r>
          </w:p>
          <w:p w14:paraId="76886459" w14:textId="77777777" w:rsidR="00F05C60" w:rsidRDefault="00F05C60" w:rsidP="009B6451">
            <w:pPr>
              <w:pStyle w:val="TableParagraph"/>
              <w:spacing w:before="120"/>
              <w:rPr>
                <w:sz w:val="17"/>
              </w:rPr>
            </w:pPr>
            <w:r>
              <w:rPr>
                <w:sz w:val="17"/>
              </w:rPr>
              <w:t>Evidence</w:t>
            </w:r>
            <w:r>
              <w:rPr>
                <w:spacing w:val="-5"/>
                <w:sz w:val="17"/>
              </w:rPr>
              <w:t xml:space="preserve"> </w:t>
            </w:r>
            <w:r>
              <w:rPr>
                <w:sz w:val="17"/>
              </w:rPr>
              <w:t>of</w:t>
            </w:r>
            <w:r>
              <w:rPr>
                <w:spacing w:val="-6"/>
                <w:sz w:val="17"/>
              </w:rPr>
              <w:t xml:space="preserve"> </w:t>
            </w:r>
            <w:r>
              <w:rPr>
                <w:sz w:val="17"/>
              </w:rPr>
              <w:t>successful</w:t>
            </w:r>
            <w:r>
              <w:rPr>
                <w:spacing w:val="-6"/>
                <w:sz w:val="17"/>
              </w:rPr>
              <w:t xml:space="preserve"> </w:t>
            </w:r>
            <w:r>
              <w:rPr>
                <w:sz w:val="17"/>
              </w:rPr>
              <w:t>completion</w:t>
            </w:r>
            <w:r>
              <w:rPr>
                <w:spacing w:val="-5"/>
                <w:sz w:val="17"/>
              </w:rPr>
              <w:t xml:space="preserve"> </w:t>
            </w:r>
            <w:r>
              <w:rPr>
                <w:sz w:val="17"/>
              </w:rPr>
              <w:t>of</w:t>
            </w:r>
            <w:r>
              <w:rPr>
                <w:spacing w:val="-6"/>
                <w:sz w:val="17"/>
              </w:rPr>
              <w:t xml:space="preserve"> </w:t>
            </w:r>
            <w:r>
              <w:rPr>
                <w:sz w:val="17"/>
              </w:rPr>
              <w:t>NMBA-approved</w:t>
            </w:r>
            <w:r>
              <w:rPr>
                <w:spacing w:val="-5"/>
                <w:sz w:val="17"/>
              </w:rPr>
              <w:t xml:space="preserve"> </w:t>
            </w:r>
            <w:r>
              <w:rPr>
                <w:sz w:val="17"/>
              </w:rPr>
              <w:t>units</w:t>
            </w:r>
            <w:r>
              <w:rPr>
                <w:spacing w:val="-5"/>
                <w:sz w:val="17"/>
              </w:rPr>
              <w:t xml:space="preserve"> </w:t>
            </w:r>
            <w:r>
              <w:rPr>
                <w:sz w:val="17"/>
              </w:rPr>
              <w:t>of study leading to endorsement for scheduled medicines as a designated RN prescriber</w:t>
            </w:r>
          </w:p>
          <w:p w14:paraId="697E9986" w14:textId="77777777" w:rsidR="00F05C60" w:rsidRDefault="00F05C60" w:rsidP="009B6451">
            <w:pPr>
              <w:pStyle w:val="TableParagraph"/>
              <w:spacing w:before="121"/>
              <w:rPr>
                <w:b/>
                <w:sz w:val="17"/>
              </w:rPr>
            </w:pPr>
            <w:r>
              <w:rPr>
                <w:b/>
                <w:sz w:val="17"/>
              </w:rPr>
              <w:t>Pathway</w:t>
            </w:r>
            <w:r>
              <w:rPr>
                <w:b/>
                <w:spacing w:val="-5"/>
                <w:sz w:val="17"/>
              </w:rPr>
              <w:t xml:space="preserve"> </w:t>
            </w:r>
            <w:r>
              <w:rPr>
                <w:b/>
                <w:spacing w:val="-10"/>
                <w:sz w:val="17"/>
              </w:rPr>
              <w:t>2</w:t>
            </w:r>
          </w:p>
          <w:p w14:paraId="38D498CD" w14:textId="77777777" w:rsidR="00F05C60" w:rsidRDefault="00F05C60" w:rsidP="009B6451">
            <w:pPr>
              <w:pStyle w:val="TableParagraph"/>
              <w:rPr>
                <w:sz w:val="17"/>
              </w:rPr>
            </w:pPr>
            <w:r>
              <w:rPr>
                <w:sz w:val="17"/>
              </w:rPr>
              <w:t>Evidence</w:t>
            </w:r>
            <w:r>
              <w:rPr>
                <w:spacing w:val="-5"/>
                <w:sz w:val="17"/>
              </w:rPr>
              <w:t xml:space="preserve"> </w:t>
            </w:r>
            <w:r>
              <w:rPr>
                <w:sz w:val="17"/>
              </w:rPr>
              <w:t>of</w:t>
            </w:r>
            <w:r>
              <w:rPr>
                <w:spacing w:val="-6"/>
                <w:sz w:val="17"/>
              </w:rPr>
              <w:t xml:space="preserve"> </w:t>
            </w:r>
            <w:r>
              <w:rPr>
                <w:sz w:val="17"/>
              </w:rPr>
              <w:t>successful</w:t>
            </w:r>
            <w:r>
              <w:rPr>
                <w:spacing w:val="-6"/>
                <w:sz w:val="17"/>
              </w:rPr>
              <w:t xml:space="preserve"> </w:t>
            </w:r>
            <w:r>
              <w:rPr>
                <w:sz w:val="17"/>
              </w:rPr>
              <w:t>completion</w:t>
            </w:r>
            <w:r>
              <w:rPr>
                <w:spacing w:val="-5"/>
                <w:sz w:val="17"/>
              </w:rPr>
              <w:t xml:space="preserve"> </w:t>
            </w:r>
            <w:r>
              <w:rPr>
                <w:sz w:val="17"/>
              </w:rPr>
              <w:t>of</w:t>
            </w:r>
            <w:r>
              <w:rPr>
                <w:spacing w:val="-6"/>
                <w:sz w:val="17"/>
              </w:rPr>
              <w:t xml:space="preserve"> </w:t>
            </w:r>
            <w:r>
              <w:rPr>
                <w:sz w:val="17"/>
              </w:rPr>
              <w:t>units</w:t>
            </w:r>
            <w:r>
              <w:rPr>
                <w:spacing w:val="-5"/>
                <w:sz w:val="17"/>
              </w:rPr>
              <w:t xml:space="preserve"> </w:t>
            </w:r>
            <w:r>
              <w:rPr>
                <w:sz w:val="17"/>
              </w:rPr>
              <w:t>of</w:t>
            </w:r>
            <w:r>
              <w:rPr>
                <w:spacing w:val="-6"/>
                <w:sz w:val="17"/>
              </w:rPr>
              <w:t xml:space="preserve"> </w:t>
            </w:r>
            <w:r>
              <w:rPr>
                <w:sz w:val="17"/>
              </w:rPr>
              <w:t>study</w:t>
            </w:r>
            <w:r>
              <w:rPr>
                <w:spacing w:val="-5"/>
                <w:sz w:val="17"/>
              </w:rPr>
              <w:t xml:space="preserve"> </w:t>
            </w:r>
            <w:r>
              <w:rPr>
                <w:sz w:val="17"/>
              </w:rPr>
              <w:t>that</w:t>
            </w:r>
            <w:r>
              <w:rPr>
                <w:spacing w:val="-3"/>
                <w:sz w:val="17"/>
              </w:rPr>
              <w:t xml:space="preserve"> </w:t>
            </w:r>
            <w:r>
              <w:rPr>
                <w:sz w:val="17"/>
              </w:rPr>
              <w:t>are equivalent to the NMBA-approved units of study leading to endorsement for scheduled medicines as a designated RN prescriber as determined by the NMBA.</w:t>
            </w:r>
          </w:p>
        </w:tc>
      </w:tr>
    </w:tbl>
    <w:p w14:paraId="69217A3F" w14:textId="77777777" w:rsidR="00F05C60" w:rsidRDefault="00F05C60" w:rsidP="00F05C60">
      <w:pPr>
        <w:spacing w:before="200"/>
        <w:ind w:left="120"/>
        <w:rPr>
          <w:b/>
        </w:rPr>
      </w:pPr>
      <w:r>
        <w:rPr>
          <w:b/>
          <w:color w:val="0067B8"/>
        </w:rPr>
        <w:t>Submit</w:t>
      </w:r>
      <w:r>
        <w:rPr>
          <w:b/>
          <w:color w:val="0067B8"/>
          <w:spacing w:val="-9"/>
        </w:rPr>
        <w:t xml:space="preserve"> </w:t>
      </w:r>
      <w:r>
        <w:rPr>
          <w:b/>
          <w:color w:val="0067B8"/>
        </w:rPr>
        <w:t>relevant</w:t>
      </w:r>
      <w:r>
        <w:rPr>
          <w:b/>
          <w:color w:val="0067B8"/>
          <w:spacing w:val="-8"/>
        </w:rPr>
        <w:t xml:space="preserve"> </w:t>
      </w:r>
      <w:r>
        <w:rPr>
          <w:b/>
          <w:color w:val="0067B8"/>
          <w:spacing w:val="-2"/>
        </w:rPr>
        <w:t>information</w:t>
      </w:r>
    </w:p>
    <w:p w14:paraId="445BAEC9" w14:textId="77777777" w:rsidR="00F05C60" w:rsidRDefault="00F05C60" w:rsidP="00F05C60">
      <w:pPr>
        <w:pStyle w:val="BodyText"/>
        <w:ind w:left="142" w:right="776"/>
      </w:pPr>
      <w:r>
        <w:t>All</w:t>
      </w:r>
      <w:r>
        <w:rPr>
          <w:spacing w:val="-6"/>
        </w:rPr>
        <w:t xml:space="preserve"> </w:t>
      </w:r>
      <w:r>
        <w:t>official</w:t>
      </w:r>
      <w:r>
        <w:rPr>
          <w:spacing w:val="-4"/>
        </w:rPr>
        <w:t xml:space="preserve"> </w:t>
      </w:r>
      <w:r>
        <w:t>documents</w:t>
      </w:r>
      <w:r>
        <w:rPr>
          <w:spacing w:val="-4"/>
        </w:rPr>
        <w:t xml:space="preserve"> </w:t>
      </w:r>
      <w:r>
        <w:t>such</w:t>
      </w:r>
      <w:r>
        <w:rPr>
          <w:spacing w:val="-3"/>
        </w:rPr>
        <w:t xml:space="preserve"> </w:t>
      </w:r>
      <w:r>
        <w:t>as</w:t>
      </w:r>
      <w:r>
        <w:rPr>
          <w:spacing w:val="-4"/>
        </w:rPr>
        <w:t xml:space="preserve"> </w:t>
      </w:r>
      <w:r>
        <w:t>certificates,</w:t>
      </w:r>
      <w:r>
        <w:rPr>
          <w:spacing w:val="-5"/>
        </w:rPr>
        <w:t xml:space="preserve"> </w:t>
      </w:r>
      <w:r>
        <w:t>transcripts</w:t>
      </w:r>
      <w:r>
        <w:rPr>
          <w:spacing w:val="-4"/>
        </w:rPr>
        <w:t xml:space="preserve"> </w:t>
      </w:r>
      <w:r>
        <w:t>and</w:t>
      </w:r>
      <w:r>
        <w:rPr>
          <w:spacing w:val="-6"/>
        </w:rPr>
        <w:t xml:space="preserve"> </w:t>
      </w:r>
      <w:r>
        <w:t>statement</w:t>
      </w:r>
      <w:r>
        <w:rPr>
          <w:spacing w:val="-5"/>
        </w:rPr>
        <w:t xml:space="preserve"> </w:t>
      </w:r>
      <w:r>
        <w:t>of</w:t>
      </w:r>
      <w:r>
        <w:rPr>
          <w:spacing w:val="-3"/>
        </w:rPr>
        <w:t xml:space="preserve"> </w:t>
      </w:r>
      <w:r>
        <w:t>service</w:t>
      </w:r>
      <w:r>
        <w:rPr>
          <w:spacing w:val="-5"/>
        </w:rPr>
        <w:t xml:space="preserve"> </w:t>
      </w:r>
      <w:r>
        <w:t>(including</w:t>
      </w:r>
      <w:r>
        <w:rPr>
          <w:spacing w:val="-3"/>
        </w:rPr>
        <w:t xml:space="preserve"> </w:t>
      </w:r>
      <w:r>
        <w:t>those</w:t>
      </w:r>
      <w:r>
        <w:rPr>
          <w:spacing w:val="-3"/>
        </w:rPr>
        <w:t xml:space="preserve"> </w:t>
      </w:r>
      <w:r>
        <w:t xml:space="preserve">that support claims in the work practice history), letters from employers must be </w:t>
      </w:r>
      <w:r>
        <w:rPr>
          <w:b/>
        </w:rPr>
        <w:t>certified copies</w:t>
      </w:r>
      <w:r>
        <w:t>.</w:t>
      </w:r>
    </w:p>
    <w:p w14:paraId="0C4D1E14" w14:textId="77777777" w:rsidR="00F05C60" w:rsidRDefault="00F05C60" w:rsidP="00F05C60">
      <w:pPr>
        <w:pStyle w:val="BodyText"/>
        <w:spacing w:before="203"/>
        <w:ind w:left="142"/>
      </w:pPr>
      <w:r>
        <w:t>Further</w:t>
      </w:r>
      <w:r>
        <w:rPr>
          <w:spacing w:val="-8"/>
        </w:rPr>
        <w:t xml:space="preserve"> </w:t>
      </w:r>
      <w:r>
        <w:t>information</w:t>
      </w:r>
      <w:r>
        <w:rPr>
          <w:spacing w:val="-9"/>
        </w:rPr>
        <w:t xml:space="preserve"> </w:t>
      </w:r>
      <w:r>
        <w:t>regarding</w:t>
      </w:r>
      <w:r>
        <w:rPr>
          <w:spacing w:val="-8"/>
        </w:rPr>
        <w:t xml:space="preserve"> </w:t>
      </w:r>
      <w:r>
        <w:t>the</w:t>
      </w:r>
      <w:r>
        <w:rPr>
          <w:spacing w:val="-8"/>
        </w:rPr>
        <w:t xml:space="preserve"> </w:t>
      </w:r>
      <w:r>
        <w:t>certifying</w:t>
      </w:r>
      <w:r>
        <w:rPr>
          <w:spacing w:val="-6"/>
        </w:rPr>
        <w:t xml:space="preserve"> </w:t>
      </w:r>
      <w:r>
        <w:t>of</w:t>
      </w:r>
      <w:r>
        <w:rPr>
          <w:spacing w:val="-6"/>
        </w:rPr>
        <w:t xml:space="preserve"> </w:t>
      </w:r>
      <w:r>
        <w:t>documents</w:t>
      </w:r>
      <w:r>
        <w:rPr>
          <w:spacing w:val="-7"/>
        </w:rPr>
        <w:t xml:space="preserve"> </w:t>
      </w:r>
      <w:r>
        <w:t>is</w:t>
      </w:r>
      <w:r>
        <w:rPr>
          <w:spacing w:val="-6"/>
        </w:rPr>
        <w:t xml:space="preserve"> </w:t>
      </w:r>
      <w:r>
        <w:t>available</w:t>
      </w:r>
      <w:r>
        <w:rPr>
          <w:spacing w:val="-2"/>
        </w:rPr>
        <w:t xml:space="preserve"> </w:t>
      </w:r>
      <w:r>
        <w:t>on</w:t>
      </w:r>
      <w:r>
        <w:rPr>
          <w:spacing w:val="-6"/>
        </w:rPr>
        <w:t xml:space="preserve"> </w:t>
      </w:r>
      <w:r>
        <w:t>the</w:t>
      </w:r>
      <w:r>
        <w:rPr>
          <w:spacing w:val="-5"/>
        </w:rPr>
        <w:t xml:space="preserve"> </w:t>
      </w:r>
      <w:hyperlink r:id="rId81">
        <w:r>
          <w:rPr>
            <w:color w:val="0000FF"/>
            <w:u w:val="single" w:color="0000FF"/>
          </w:rPr>
          <w:t>Ahpra</w:t>
        </w:r>
        <w:r>
          <w:rPr>
            <w:color w:val="0000FF"/>
            <w:spacing w:val="-7"/>
            <w:u w:val="single" w:color="0000FF"/>
          </w:rPr>
          <w:t xml:space="preserve"> </w:t>
        </w:r>
        <w:r>
          <w:rPr>
            <w:color w:val="0000FF"/>
            <w:spacing w:val="-2"/>
            <w:u w:val="single" w:color="0000FF"/>
          </w:rPr>
          <w:t>website</w:t>
        </w:r>
      </w:hyperlink>
      <w:r>
        <w:br w:type="page"/>
      </w:r>
    </w:p>
    <w:p w14:paraId="05879C91" w14:textId="77777777" w:rsidR="00F05C60" w:rsidRPr="00581220" w:rsidRDefault="00F05C60" w:rsidP="00F05C60">
      <w:pPr>
        <w:pStyle w:val="AHPRASubheading"/>
        <w:rPr>
          <w:rFonts w:cs="Arial"/>
          <w:szCs w:val="20"/>
        </w:rPr>
      </w:pPr>
      <w:r w:rsidRPr="00581220">
        <w:rPr>
          <w:rFonts w:cs="Arial"/>
          <w:szCs w:val="20"/>
        </w:rPr>
        <w:lastRenderedPageBreak/>
        <w:t>Document history</w:t>
      </w:r>
    </w:p>
    <w:p w14:paraId="3E8E1C1A" w14:textId="77777777" w:rsidR="00F05C60" w:rsidRPr="00581220" w:rsidRDefault="00F05C60" w:rsidP="00F05C60">
      <w:pPr>
        <w:pStyle w:val="AHPRASubheading"/>
        <w:rPr>
          <w:rFonts w:cs="Arial"/>
          <w:b w:val="0"/>
          <w:bCs/>
          <w:color w:val="auto"/>
          <w:szCs w:val="20"/>
        </w:rPr>
      </w:pPr>
      <w:r w:rsidRPr="00581220">
        <w:rPr>
          <w:rFonts w:cs="Arial"/>
          <w:color w:val="auto"/>
          <w:szCs w:val="20"/>
        </w:rPr>
        <w:t>Approved by:</w:t>
      </w:r>
      <w:r w:rsidRPr="00581220">
        <w:rPr>
          <w:rFonts w:cs="Arial"/>
          <w:color w:val="auto"/>
          <w:szCs w:val="20"/>
        </w:rPr>
        <w:tab/>
      </w:r>
      <w:r w:rsidRPr="00581220">
        <w:rPr>
          <w:rFonts w:cs="Arial"/>
          <w:color w:val="auto"/>
          <w:szCs w:val="20"/>
        </w:rPr>
        <w:tab/>
      </w:r>
      <w:r w:rsidRPr="00581220">
        <w:rPr>
          <w:rFonts w:cs="Arial"/>
          <w:b w:val="0"/>
          <w:bCs/>
          <w:color w:val="auto"/>
          <w:szCs w:val="20"/>
        </w:rPr>
        <w:t>Nursing and Midwifery Board of Australia</w:t>
      </w:r>
    </w:p>
    <w:p w14:paraId="6CD8D87A" w14:textId="77777777" w:rsidR="00F05C60" w:rsidRPr="00581220" w:rsidRDefault="00F05C60" w:rsidP="00F05C60">
      <w:pPr>
        <w:pStyle w:val="AHPRASubheading"/>
        <w:rPr>
          <w:rFonts w:cs="Arial"/>
          <w:b w:val="0"/>
          <w:bCs/>
          <w:color w:val="auto"/>
          <w:szCs w:val="20"/>
        </w:rPr>
      </w:pPr>
      <w:r w:rsidRPr="00581220">
        <w:rPr>
          <w:rFonts w:cs="Arial"/>
          <w:color w:val="auto"/>
          <w:szCs w:val="20"/>
        </w:rPr>
        <w:t>Date commenced:</w:t>
      </w:r>
      <w:r w:rsidRPr="00581220">
        <w:rPr>
          <w:rFonts w:cs="Arial"/>
          <w:color w:val="auto"/>
          <w:szCs w:val="20"/>
        </w:rPr>
        <w:tab/>
      </w:r>
      <w:r>
        <w:rPr>
          <w:rFonts w:cs="Arial"/>
          <w:b w:val="0"/>
          <w:bCs/>
          <w:color w:val="auto"/>
          <w:szCs w:val="20"/>
        </w:rPr>
        <w:t>September 2025</w:t>
      </w:r>
    </w:p>
    <w:p w14:paraId="55F5A1A7" w14:textId="77777777" w:rsidR="00F05C60" w:rsidRPr="00581220" w:rsidRDefault="00F05C60" w:rsidP="00F05C60">
      <w:pPr>
        <w:pStyle w:val="AHPRASubheading"/>
        <w:rPr>
          <w:rFonts w:cs="Arial"/>
          <w:color w:val="auto"/>
          <w:szCs w:val="20"/>
        </w:rPr>
      </w:pPr>
      <w:r w:rsidRPr="00581220">
        <w:rPr>
          <w:rFonts w:cs="Arial"/>
          <w:color w:val="auto"/>
          <w:szCs w:val="20"/>
        </w:rPr>
        <w:t>Next review due:</w:t>
      </w:r>
      <w:r w:rsidRPr="00581220">
        <w:rPr>
          <w:rFonts w:cs="Arial"/>
          <w:color w:val="auto"/>
          <w:szCs w:val="20"/>
        </w:rPr>
        <w:tab/>
      </w:r>
      <w:r>
        <w:rPr>
          <w:rFonts w:cs="Arial"/>
          <w:b w:val="0"/>
          <w:bCs/>
          <w:color w:val="auto"/>
          <w:szCs w:val="20"/>
        </w:rPr>
        <w:t>September 2028</w:t>
      </w:r>
    </w:p>
    <w:p w14:paraId="4B475BB5" w14:textId="77777777" w:rsidR="00F05C60" w:rsidRPr="00581220" w:rsidRDefault="00F05C60" w:rsidP="00F05C60">
      <w:pPr>
        <w:pStyle w:val="AHPRASubheading"/>
        <w:rPr>
          <w:rFonts w:cs="Arial"/>
          <w:color w:val="auto"/>
          <w:szCs w:val="20"/>
        </w:rPr>
      </w:pPr>
      <w:r w:rsidRPr="00581220">
        <w:rPr>
          <w:rFonts w:cs="Arial"/>
          <w:color w:val="auto"/>
          <w:szCs w:val="20"/>
        </w:rPr>
        <w:t>Policy history:</w:t>
      </w:r>
      <w:r w:rsidRPr="00581220">
        <w:rPr>
          <w:rFonts w:cs="Arial"/>
          <w:color w:val="auto"/>
          <w:szCs w:val="20"/>
        </w:rPr>
        <w:tab/>
      </w:r>
      <w:r w:rsidRPr="00581220">
        <w:rPr>
          <w:rFonts w:cs="Arial"/>
          <w:color w:val="auto"/>
          <w:szCs w:val="20"/>
        </w:rPr>
        <w:tab/>
      </w:r>
      <w:r w:rsidRPr="00581220">
        <w:rPr>
          <w:rFonts w:cs="Arial"/>
          <w:b w:val="0"/>
          <w:bCs/>
          <w:color w:val="auto"/>
          <w:szCs w:val="20"/>
        </w:rPr>
        <w:t xml:space="preserve">Is this a new policy? </w:t>
      </w:r>
      <w:r>
        <w:rPr>
          <w:rFonts w:cs="Arial"/>
          <w:color w:val="auto"/>
          <w:szCs w:val="20"/>
        </w:rPr>
        <w:t>Y</w:t>
      </w:r>
    </w:p>
    <w:p w14:paraId="0B961901" w14:textId="77777777" w:rsidR="00F05C60" w:rsidRPr="00581220" w:rsidRDefault="00F05C60" w:rsidP="00F05C60">
      <w:pPr>
        <w:pStyle w:val="AHPRASubheading"/>
        <w:rPr>
          <w:rFonts w:cs="Arial"/>
          <w:b w:val="0"/>
          <w:bCs/>
          <w:color w:val="auto"/>
          <w:szCs w:val="20"/>
        </w:rPr>
      </w:pPr>
      <w:r w:rsidRPr="00581220">
        <w:rPr>
          <w:rFonts w:cs="Arial"/>
          <w:b w:val="0"/>
          <w:bCs/>
          <w:color w:val="auto"/>
          <w:szCs w:val="20"/>
        </w:rPr>
        <w:tab/>
      </w:r>
      <w:r w:rsidRPr="00581220">
        <w:rPr>
          <w:rFonts w:cs="Arial"/>
          <w:b w:val="0"/>
          <w:bCs/>
          <w:color w:val="auto"/>
          <w:szCs w:val="20"/>
        </w:rPr>
        <w:tab/>
      </w:r>
      <w:r w:rsidRPr="00581220">
        <w:rPr>
          <w:rFonts w:cs="Arial"/>
          <w:b w:val="0"/>
          <w:bCs/>
          <w:color w:val="auto"/>
          <w:szCs w:val="20"/>
        </w:rPr>
        <w:tab/>
        <w:t xml:space="preserve">Does this policy amend or update an existing policy? </w:t>
      </w:r>
      <w:r>
        <w:rPr>
          <w:rFonts w:cs="Arial"/>
          <w:color w:val="auto"/>
          <w:szCs w:val="20"/>
        </w:rPr>
        <w:t>N</w:t>
      </w:r>
    </w:p>
    <w:p w14:paraId="184A0492" w14:textId="77777777" w:rsidR="00F05C60" w:rsidRPr="00581220" w:rsidRDefault="00F05C60" w:rsidP="00F05C60">
      <w:pPr>
        <w:pStyle w:val="AHPRASubheading"/>
        <w:rPr>
          <w:rFonts w:cs="Arial"/>
          <w:b w:val="0"/>
          <w:bCs/>
          <w:color w:val="auto"/>
          <w:szCs w:val="20"/>
        </w:rPr>
      </w:pPr>
      <w:r w:rsidRPr="00581220">
        <w:rPr>
          <w:rFonts w:cs="Arial"/>
          <w:b w:val="0"/>
          <w:bCs/>
          <w:color w:val="auto"/>
          <w:szCs w:val="20"/>
        </w:rPr>
        <w:tab/>
      </w:r>
      <w:r w:rsidRPr="00581220">
        <w:rPr>
          <w:rFonts w:cs="Arial"/>
          <w:b w:val="0"/>
          <w:bCs/>
          <w:color w:val="auto"/>
          <w:szCs w:val="20"/>
        </w:rPr>
        <w:tab/>
      </w:r>
      <w:r w:rsidRPr="00581220">
        <w:rPr>
          <w:rFonts w:cs="Arial"/>
          <w:b w:val="0"/>
          <w:bCs/>
          <w:color w:val="auto"/>
          <w:szCs w:val="20"/>
        </w:rPr>
        <w:tab/>
        <w:t xml:space="preserve">If so which version </w:t>
      </w:r>
      <w:r>
        <w:rPr>
          <w:rFonts w:cs="Arial"/>
          <w:color w:val="auto"/>
          <w:szCs w:val="20"/>
        </w:rPr>
        <w:t>v1.0</w:t>
      </w:r>
    </w:p>
    <w:p w14:paraId="6A9E1A45" w14:textId="77777777" w:rsidR="00F05C60" w:rsidRPr="003B27FE" w:rsidRDefault="00F05C60" w:rsidP="00F05C60">
      <w:pPr>
        <w:pStyle w:val="AHPRASubheading"/>
        <w:rPr>
          <w:rFonts w:cs="Arial"/>
          <w:color w:val="auto"/>
          <w:szCs w:val="20"/>
        </w:rPr>
      </w:pPr>
      <w:r w:rsidRPr="00581220">
        <w:rPr>
          <w:rFonts w:cs="Arial"/>
          <w:b w:val="0"/>
          <w:bCs/>
          <w:color w:val="auto"/>
          <w:szCs w:val="20"/>
        </w:rPr>
        <w:tab/>
      </w:r>
      <w:r w:rsidRPr="00581220">
        <w:rPr>
          <w:rFonts w:cs="Arial"/>
          <w:b w:val="0"/>
          <w:bCs/>
          <w:color w:val="auto"/>
          <w:szCs w:val="20"/>
        </w:rPr>
        <w:tab/>
      </w:r>
      <w:r w:rsidRPr="00581220">
        <w:rPr>
          <w:rFonts w:cs="Arial"/>
          <w:b w:val="0"/>
          <w:bCs/>
          <w:color w:val="auto"/>
          <w:szCs w:val="20"/>
        </w:rPr>
        <w:tab/>
        <w:t xml:space="preserve">Does this policy replace another policy with a different title? </w:t>
      </w:r>
      <w:r w:rsidRPr="00581220">
        <w:rPr>
          <w:rFonts w:cs="Arial"/>
          <w:color w:val="auto"/>
          <w:szCs w:val="20"/>
        </w:rPr>
        <w:t>N</w:t>
      </w:r>
    </w:p>
    <w:tbl>
      <w:tblPr>
        <w:tblStyle w:val="AHPRATable1"/>
        <w:tblW w:w="495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20" w:firstRow="1" w:lastRow="0" w:firstColumn="0" w:lastColumn="0" w:noHBand="0" w:noVBand="1"/>
      </w:tblPr>
      <w:tblGrid>
        <w:gridCol w:w="1890"/>
        <w:gridCol w:w="1369"/>
        <w:gridCol w:w="5661"/>
      </w:tblGrid>
      <w:tr w:rsidR="00F05C60" w:rsidRPr="00581220" w14:paraId="162DC0EB" w14:textId="77777777" w:rsidTr="009B6451">
        <w:trPr>
          <w:cnfStyle w:val="100000000000" w:firstRow="1" w:lastRow="0" w:firstColumn="0" w:lastColumn="0" w:oddVBand="0" w:evenVBand="0" w:oddHBand="0" w:evenHBand="0" w:firstRowFirstColumn="0" w:firstRowLastColumn="0" w:lastRowFirstColumn="0" w:lastRowLastColumn="0"/>
          <w:trHeight w:val="431"/>
        </w:trPr>
        <w:tc>
          <w:tcPr>
            <w:tcW w:w="1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DC3"/>
            <w:hideMark/>
          </w:tcPr>
          <w:p w14:paraId="4E62C2F9" w14:textId="77777777" w:rsidR="00F05C60" w:rsidRPr="00581220" w:rsidRDefault="00F05C60" w:rsidP="009B6451">
            <w:pPr>
              <w:pStyle w:val="AHPRASubheading"/>
              <w:rPr>
                <w:rFonts w:cs="Arial"/>
                <w:color w:val="FFFFFF" w:themeColor="background1"/>
                <w:szCs w:val="20"/>
                <w:lang w:val="en-US"/>
              </w:rPr>
            </w:pPr>
            <w:r w:rsidRPr="00581220">
              <w:rPr>
                <w:rFonts w:cs="Arial"/>
                <w:color w:val="FFFFFF" w:themeColor="background1"/>
                <w:szCs w:val="20"/>
                <w:lang w:val="en-US"/>
              </w:rPr>
              <w:t>Approval date</w:t>
            </w:r>
          </w:p>
        </w:tc>
        <w:tc>
          <w:tcPr>
            <w:tcW w:w="1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DC3"/>
            <w:hideMark/>
          </w:tcPr>
          <w:p w14:paraId="3DDEB89A" w14:textId="77777777" w:rsidR="00F05C60" w:rsidRPr="00581220" w:rsidRDefault="00F05C60" w:rsidP="009B6451">
            <w:pPr>
              <w:pStyle w:val="AHPRASubheading"/>
              <w:rPr>
                <w:rFonts w:cs="Arial"/>
                <w:color w:val="FFFFFF" w:themeColor="background1"/>
                <w:szCs w:val="20"/>
                <w:lang w:val="en-US"/>
              </w:rPr>
            </w:pPr>
            <w:r w:rsidRPr="00581220">
              <w:rPr>
                <w:rFonts w:cs="Arial"/>
                <w:color w:val="FFFFFF" w:themeColor="background1"/>
                <w:szCs w:val="20"/>
                <w:lang w:val="en-US"/>
              </w:rPr>
              <w:t>Version</w:t>
            </w:r>
          </w:p>
        </w:tc>
        <w:tc>
          <w:tcPr>
            <w:tcW w:w="59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DC3"/>
            <w:hideMark/>
          </w:tcPr>
          <w:p w14:paraId="245CC63C" w14:textId="77777777" w:rsidR="00F05C60" w:rsidRPr="00581220" w:rsidRDefault="00F05C60" w:rsidP="009B6451">
            <w:pPr>
              <w:pStyle w:val="AHPRASubheading"/>
              <w:rPr>
                <w:rFonts w:cs="Arial"/>
                <w:color w:val="FFFFFF" w:themeColor="background1"/>
                <w:szCs w:val="20"/>
                <w:lang w:val="en-US"/>
              </w:rPr>
            </w:pPr>
            <w:r w:rsidRPr="00581220">
              <w:rPr>
                <w:rFonts w:cs="Arial"/>
                <w:color w:val="FFFFFF" w:themeColor="background1"/>
                <w:szCs w:val="20"/>
                <w:lang w:val="en-US"/>
              </w:rPr>
              <w:t>Reason for change</w:t>
            </w:r>
          </w:p>
        </w:tc>
      </w:tr>
      <w:tr w:rsidR="00F05C60" w:rsidRPr="00581220" w14:paraId="5287FD44" w14:textId="77777777" w:rsidTr="009B6451">
        <w:trPr>
          <w:cnfStyle w:val="000000100000" w:firstRow="0" w:lastRow="0" w:firstColumn="0" w:lastColumn="0" w:oddVBand="0" w:evenVBand="0" w:oddHBand="1" w:evenHBand="0" w:firstRowFirstColumn="0" w:firstRowLastColumn="0" w:lastRowFirstColumn="0" w:lastRowLastColumn="0"/>
          <w:trHeight w:val="528"/>
        </w:trPr>
        <w:tc>
          <w:tcPr>
            <w:tcW w:w="1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744EB808" w14:textId="77777777" w:rsidR="00F05C60" w:rsidRPr="00581220" w:rsidRDefault="00F05C60" w:rsidP="009B6451">
            <w:pPr>
              <w:pStyle w:val="AHPRAtabletext"/>
              <w:rPr>
                <w:lang w:val="en-US"/>
              </w:rPr>
            </w:pPr>
            <w:r>
              <w:t>May 2025</w:t>
            </w:r>
          </w:p>
        </w:tc>
        <w:tc>
          <w:tcPr>
            <w:tcW w:w="1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0AF701BF" w14:textId="77777777" w:rsidR="00F05C60" w:rsidRPr="00581220" w:rsidRDefault="00F05C60" w:rsidP="009B6451">
            <w:pPr>
              <w:pStyle w:val="AHPRAtabletext"/>
              <w:rPr>
                <w:lang w:val="en-US"/>
              </w:rPr>
            </w:pPr>
            <w:r>
              <w:t>v1.0</w:t>
            </w:r>
          </w:p>
        </w:tc>
        <w:tc>
          <w:tcPr>
            <w:tcW w:w="59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410AB329" w14:textId="77777777" w:rsidR="00F05C60" w:rsidRPr="00394779" w:rsidRDefault="00F05C60" w:rsidP="009B6451">
            <w:pPr>
              <w:pStyle w:val="AHPRAtabletext"/>
              <w:rPr>
                <w:lang w:val="en-US"/>
              </w:rPr>
            </w:pPr>
            <w:r w:rsidRPr="00394779">
              <w:t>Advance copy</w:t>
            </w:r>
          </w:p>
        </w:tc>
      </w:tr>
      <w:tr w:rsidR="00F05C60" w:rsidRPr="00581220" w14:paraId="1BC79082" w14:textId="77777777" w:rsidTr="009B6451">
        <w:trPr>
          <w:cnfStyle w:val="000000010000" w:firstRow="0" w:lastRow="0" w:firstColumn="0" w:lastColumn="0" w:oddVBand="0" w:evenVBand="0" w:oddHBand="0" w:evenHBand="1" w:firstRowFirstColumn="0" w:firstRowLastColumn="0" w:lastRowFirstColumn="0" w:lastRowLastColumn="0"/>
          <w:trHeight w:val="528"/>
        </w:trPr>
        <w:tc>
          <w:tcPr>
            <w:tcW w:w="1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60BFD95" w14:textId="77777777" w:rsidR="00F05C60" w:rsidRDefault="00F05C60" w:rsidP="009B6451">
            <w:pPr>
              <w:pStyle w:val="AHPRAtabletext"/>
            </w:pPr>
            <w:r>
              <w:t>September 2025</w:t>
            </w:r>
          </w:p>
        </w:tc>
        <w:tc>
          <w:tcPr>
            <w:tcW w:w="14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50C1BD6" w14:textId="77777777" w:rsidR="00F05C60" w:rsidRDefault="00F05C60" w:rsidP="009B6451">
            <w:pPr>
              <w:pStyle w:val="AHPRAtabletext"/>
            </w:pPr>
            <w:r>
              <w:t>v1.1</w:t>
            </w:r>
          </w:p>
        </w:tc>
        <w:tc>
          <w:tcPr>
            <w:tcW w:w="59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C94D15C" w14:textId="77777777" w:rsidR="00F05C60" w:rsidRPr="00394779" w:rsidRDefault="00F05C60" w:rsidP="00F05C60">
            <w:pPr>
              <w:pStyle w:val="AHPRAtabletext"/>
              <w:numPr>
                <w:ilvl w:val="0"/>
                <w:numId w:val="63"/>
              </w:numPr>
              <w:spacing w:before="120"/>
              <w:ind w:left="426" w:hanging="284"/>
            </w:pPr>
            <w:r>
              <w:t>Editorial changes to reflect document has now taken effect</w:t>
            </w:r>
          </w:p>
          <w:p w14:paraId="0430907D" w14:textId="77777777" w:rsidR="00F05C60" w:rsidRDefault="00F05C60" w:rsidP="00F05C60">
            <w:pPr>
              <w:pStyle w:val="AHPRAtabletext"/>
              <w:numPr>
                <w:ilvl w:val="0"/>
                <w:numId w:val="63"/>
              </w:numPr>
              <w:ind w:left="424" w:hanging="284"/>
            </w:pPr>
            <w:r>
              <w:t>Editorial changes to provide c</w:t>
            </w:r>
            <w:r w:rsidRPr="00394779">
              <w:t xml:space="preserve">larity </w:t>
            </w:r>
            <w:r>
              <w:t xml:space="preserve">that </w:t>
            </w:r>
            <w:r w:rsidRPr="00394779">
              <w:t xml:space="preserve">the endorsement </w:t>
            </w:r>
            <w:r>
              <w:t>is for</w:t>
            </w:r>
            <w:r w:rsidRPr="00394779">
              <w:t xml:space="preserve"> scheduled medicines</w:t>
            </w:r>
          </w:p>
          <w:p w14:paraId="5623CB9F" w14:textId="77777777" w:rsidR="00F05C60" w:rsidRDefault="00F05C60" w:rsidP="00F05C60">
            <w:pPr>
              <w:pStyle w:val="AHPRAtabletext"/>
              <w:numPr>
                <w:ilvl w:val="0"/>
                <w:numId w:val="63"/>
              </w:numPr>
              <w:ind w:left="424" w:hanging="284"/>
            </w:pPr>
            <w:r>
              <w:t>Inclusion of additional information regarding professional development</w:t>
            </w:r>
          </w:p>
          <w:p w14:paraId="36478627" w14:textId="77777777" w:rsidR="00F05C60" w:rsidRPr="000B01A2" w:rsidRDefault="00F05C60" w:rsidP="00F05C60">
            <w:pPr>
              <w:pStyle w:val="AHPRAtabletext"/>
              <w:numPr>
                <w:ilvl w:val="0"/>
                <w:numId w:val="63"/>
              </w:numPr>
              <w:ind w:left="424" w:hanging="284"/>
            </w:pPr>
            <w:r w:rsidRPr="006333A6">
              <w:t xml:space="preserve">Deletion of </w:t>
            </w:r>
            <w:r w:rsidRPr="000B01A2">
              <w:rPr>
                <w:i/>
                <w:iCs/>
              </w:rPr>
              <w:t xml:space="preserve">Attachment 2 </w:t>
            </w:r>
            <w:r w:rsidRPr="000B01A2">
              <w:rPr>
                <w:i/>
                <w:iCs/>
              </w:rPr>
              <w:sym w:font="Symbol" w:char="F02D"/>
            </w:r>
            <w:r w:rsidRPr="000B01A2">
              <w:rPr>
                <w:i/>
                <w:iCs/>
              </w:rPr>
              <w:t>Designated registered nurse prescribers who are working as sole practitioners or working in private practice</w:t>
            </w:r>
            <w:r w:rsidRPr="006333A6">
              <w:t xml:space="preserve"> due to duplication of information within guidelines and inserted new section </w:t>
            </w:r>
            <w:r w:rsidRPr="000B01A2">
              <w:rPr>
                <w:i/>
                <w:iCs/>
              </w:rPr>
              <w:t>For</w:t>
            </w:r>
            <w:r w:rsidRPr="000B01A2">
              <w:rPr>
                <w:i/>
                <w:iCs/>
                <w:spacing w:val="-4"/>
              </w:rPr>
              <w:t xml:space="preserve"> </w:t>
            </w:r>
            <w:r w:rsidRPr="000B01A2">
              <w:rPr>
                <w:i/>
                <w:iCs/>
              </w:rPr>
              <w:t>RNs</w:t>
            </w:r>
            <w:r w:rsidRPr="000B01A2">
              <w:rPr>
                <w:i/>
                <w:iCs/>
                <w:spacing w:val="-4"/>
              </w:rPr>
              <w:t xml:space="preserve"> </w:t>
            </w:r>
            <w:r w:rsidRPr="000B01A2">
              <w:rPr>
                <w:i/>
                <w:iCs/>
              </w:rPr>
              <w:t>working</w:t>
            </w:r>
            <w:r w:rsidRPr="000B01A2">
              <w:rPr>
                <w:i/>
                <w:iCs/>
                <w:spacing w:val="-3"/>
              </w:rPr>
              <w:t xml:space="preserve"> </w:t>
            </w:r>
            <w:r w:rsidRPr="000B01A2">
              <w:rPr>
                <w:i/>
                <w:iCs/>
              </w:rPr>
              <w:t>as</w:t>
            </w:r>
            <w:r w:rsidRPr="000B01A2">
              <w:rPr>
                <w:i/>
                <w:iCs/>
                <w:spacing w:val="-4"/>
              </w:rPr>
              <w:t xml:space="preserve"> </w:t>
            </w:r>
            <w:r w:rsidRPr="000B01A2">
              <w:rPr>
                <w:i/>
                <w:iCs/>
              </w:rPr>
              <w:t>a</w:t>
            </w:r>
            <w:r w:rsidRPr="000B01A2">
              <w:rPr>
                <w:i/>
                <w:iCs/>
                <w:spacing w:val="-3"/>
              </w:rPr>
              <w:t xml:space="preserve"> </w:t>
            </w:r>
            <w:r w:rsidRPr="000B01A2">
              <w:rPr>
                <w:i/>
                <w:iCs/>
              </w:rPr>
              <w:t>sole</w:t>
            </w:r>
            <w:r w:rsidRPr="000B01A2">
              <w:rPr>
                <w:i/>
                <w:iCs/>
                <w:spacing w:val="-4"/>
              </w:rPr>
              <w:t xml:space="preserve"> </w:t>
            </w:r>
            <w:r w:rsidRPr="000B01A2">
              <w:rPr>
                <w:i/>
                <w:iCs/>
              </w:rPr>
              <w:t>practitioner,</w:t>
            </w:r>
            <w:r w:rsidRPr="000B01A2">
              <w:rPr>
                <w:i/>
                <w:iCs/>
                <w:spacing w:val="-4"/>
              </w:rPr>
              <w:t xml:space="preserve"> </w:t>
            </w:r>
            <w:r w:rsidRPr="000B01A2">
              <w:rPr>
                <w:i/>
                <w:iCs/>
              </w:rPr>
              <w:t>individuals</w:t>
            </w:r>
            <w:r w:rsidRPr="000B01A2">
              <w:rPr>
                <w:i/>
                <w:iCs/>
                <w:spacing w:val="-2"/>
              </w:rPr>
              <w:t xml:space="preserve"> </w:t>
            </w:r>
            <w:r w:rsidRPr="000B01A2">
              <w:rPr>
                <w:i/>
                <w:iCs/>
              </w:rPr>
              <w:t>in</w:t>
            </w:r>
            <w:r w:rsidRPr="000B01A2">
              <w:rPr>
                <w:i/>
                <w:iCs/>
                <w:spacing w:val="-4"/>
              </w:rPr>
              <w:t xml:space="preserve"> </w:t>
            </w:r>
            <w:r w:rsidRPr="000B01A2">
              <w:rPr>
                <w:i/>
                <w:iCs/>
              </w:rPr>
              <w:t>private</w:t>
            </w:r>
            <w:r w:rsidRPr="000B01A2">
              <w:rPr>
                <w:i/>
                <w:iCs/>
                <w:spacing w:val="-4"/>
              </w:rPr>
              <w:t xml:space="preserve"> </w:t>
            </w:r>
            <w:r w:rsidRPr="000B01A2">
              <w:rPr>
                <w:i/>
                <w:iCs/>
              </w:rPr>
              <w:t>practice or</w:t>
            </w:r>
            <w:r w:rsidRPr="000B01A2">
              <w:rPr>
                <w:i/>
                <w:iCs/>
                <w:spacing w:val="-4"/>
              </w:rPr>
              <w:t xml:space="preserve"> </w:t>
            </w:r>
            <w:r w:rsidRPr="000B01A2">
              <w:rPr>
                <w:i/>
                <w:iCs/>
              </w:rPr>
              <w:t>in</w:t>
            </w:r>
            <w:r w:rsidRPr="000B01A2">
              <w:rPr>
                <w:i/>
                <w:iCs/>
                <w:spacing w:val="-1"/>
              </w:rPr>
              <w:t xml:space="preserve"> </w:t>
            </w:r>
            <w:r w:rsidRPr="000B01A2">
              <w:rPr>
                <w:i/>
                <w:iCs/>
              </w:rPr>
              <w:t>a</w:t>
            </w:r>
            <w:r w:rsidRPr="000B01A2">
              <w:rPr>
                <w:i/>
                <w:iCs/>
                <w:spacing w:val="-2"/>
              </w:rPr>
              <w:t xml:space="preserve"> </w:t>
            </w:r>
            <w:r w:rsidRPr="000B01A2">
              <w:rPr>
                <w:i/>
                <w:iCs/>
              </w:rPr>
              <w:t>primary</w:t>
            </w:r>
            <w:r w:rsidRPr="000B01A2">
              <w:rPr>
                <w:i/>
                <w:iCs/>
                <w:spacing w:val="-4"/>
              </w:rPr>
              <w:t xml:space="preserve"> </w:t>
            </w:r>
            <w:r w:rsidRPr="000B01A2">
              <w:rPr>
                <w:i/>
                <w:iCs/>
              </w:rPr>
              <w:t>health care setting</w:t>
            </w:r>
            <w:r w:rsidRPr="006333A6">
              <w:t xml:space="preserve"> at top of page 5</w:t>
            </w:r>
          </w:p>
          <w:p w14:paraId="70F25584" w14:textId="77777777" w:rsidR="00F05C60" w:rsidRPr="00394779" w:rsidRDefault="00F05C60" w:rsidP="00F05C60">
            <w:pPr>
              <w:pStyle w:val="AHPRAtabletext"/>
              <w:numPr>
                <w:ilvl w:val="0"/>
                <w:numId w:val="63"/>
              </w:numPr>
              <w:spacing w:after="120"/>
              <w:ind w:left="426" w:hanging="284"/>
            </w:pPr>
            <w:r w:rsidRPr="000A687A">
              <w:rPr>
                <w:bCs/>
                <w:lang w:val="en-US"/>
              </w:rPr>
              <w:t>Document history table inserted</w:t>
            </w:r>
            <w:r>
              <w:t xml:space="preserve"> </w:t>
            </w:r>
          </w:p>
        </w:tc>
      </w:tr>
    </w:tbl>
    <w:p w14:paraId="51FF7FE6" w14:textId="77777777" w:rsidR="00F05C60" w:rsidRDefault="00F05C60" w:rsidP="00F05C60">
      <w:pPr>
        <w:pStyle w:val="BodyText"/>
        <w:spacing w:before="203"/>
      </w:pPr>
    </w:p>
    <w:p w14:paraId="74FB30AD" w14:textId="77777777" w:rsidR="00F05C60" w:rsidRDefault="00F05C60" w:rsidP="00216AB8">
      <w:pPr>
        <w:pStyle w:val="AHPRADocumenttitle"/>
        <w:tabs>
          <w:tab w:val="left" w:pos="5560"/>
        </w:tabs>
        <w:spacing w:after="240"/>
        <w:sectPr w:rsidR="00F05C60" w:rsidSect="009A5B0D">
          <w:headerReference w:type="even" r:id="rId82"/>
          <w:headerReference w:type="first" r:id="rId83"/>
          <w:footerReference w:type="first" r:id="rId84"/>
          <w:pgSz w:w="11900" w:h="16840"/>
          <w:pgMar w:top="1440" w:right="1440" w:bottom="1440" w:left="1440" w:header="284" w:footer="567" w:gutter="0"/>
          <w:cols w:space="708"/>
          <w:titlePg/>
          <w:docGrid w:linePitch="326"/>
        </w:sectPr>
      </w:pPr>
    </w:p>
    <w:p w14:paraId="06C837F9" w14:textId="77777777" w:rsidR="008D1CD8" w:rsidRDefault="008D1CD8" w:rsidP="00216AB8">
      <w:pPr>
        <w:pStyle w:val="AHPRADocumenttitle"/>
        <w:tabs>
          <w:tab w:val="left" w:pos="5560"/>
        </w:tabs>
        <w:spacing w:after="240"/>
      </w:pPr>
    </w:p>
    <w:bookmarkStart w:id="252" w:name="_Toc164692769"/>
    <w:p w14:paraId="779ED335" w14:textId="457AE10B" w:rsidR="008D1CD8" w:rsidRPr="003F0237" w:rsidRDefault="008D1CD8" w:rsidP="00C37843">
      <w:pPr>
        <w:pStyle w:val="AHPRADocumenttitle"/>
        <w:spacing w:after="480"/>
      </w:pPr>
      <w:r w:rsidRPr="003F0237">
        <w:rPr>
          <w:noProof/>
          <w:lang w:eastAsia="en-AU"/>
        </w:rPr>
        <mc:AlternateContent>
          <mc:Choice Requires="wps">
            <w:drawing>
              <wp:anchor distT="4294967294" distB="4294967294" distL="114300" distR="114300" simplePos="0" relativeHeight="251658284" behindDoc="0" locked="0" layoutInCell="1" allowOverlap="1" wp14:anchorId="2614C82F" wp14:editId="1568A4FF">
                <wp:simplePos x="0" y="0"/>
                <wp:positionH relativeFrom="page">
                  <wp:posOffset>0</wp:posOffset>
                </wp:positionH>
                <wp:positionV relativeFrom="paragraph">
                  <wp:posOffset>433070</wp:posOffset>
                </wp:positionV>
                <wp:extent cx="4140000" cy="0"/>
                <wp:effectExtent l="0" t="0" r="0" b="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77EA74" id="Straight Arrow Connector 55" o:spid="_x0000_s1026" type="#_x0000_t32" style="position:absolute;margin-left:0;margin-top:34.1pt;width:326pt;height:0;z-index:2516582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">
                <w10:wrap anchorx="page"/>
              </v:shape>
            </w:pict>
          </mc:Fallback>
        </mc:AlternateContent>
      </w:r>
      <w:r w:rsidR="0074207D" w:rsidRPr="003F0237">
        <w:t>Previous consultation by the NMBA</w:t>
      </w:r>
      <w:bookmarkEnd w:id="252"/>
    </w:p>
    <w:p w14:paraId="0EA26FF7" w14:textId="77777777" w:rsidR="003F0237" w:rsidRPr="003F0237" w:rsidRDefault="003F0237" w:rsidP="003F0237">
      <w:pPr>
        <w:pStyle w:val="AHPRAbody"/>
      </w:pPr>
    </w:p>
    <w:tbl>
      <w:tblPr>
        <w:tblStyle w:val="TableGrid"/>
        <w:tblW w:w="9632" w:type="dxa"/>
        <w:tblLook w:val="04A0" w:firstRow="1" w:lastRow="0" w:firstColumn="1" w:lastColumn="0" w:noHBand="0" w:noVBand="1"/>
      </w:tblPr>
      <w:tblGrid>
        <w:gridCol w:w="1555"/>
        <w:gridCol w:w="2551"/>
        <w:gridCol w:w="5526"/>
      </w:tblGrid>
      <w:tr w:rsidR="0000631B" w:rsidRPr="002C2C03" w14:paraId="5DEC18EB" w14:textId="77777777" w:rsidTr="009A5B0D">
        <w:trPr>
          <w:tblHeader/>
        </w:trPr>
        <w:tc>
          <w:tcPr>
            <w:tcW w:w="1555" w:type="dxa"/>
            <w:tcBorders>
              <w:bottom w:val="single" w:sz="4" w:space="0" w:color="auto"/>
            </w:tcBorders>
            <w:shd w:val="clear" w:color="auto" w:fill="C6D9F1" w:themeFill="text2" w:themeFillTint="33"/>
          </w:tcPr>
          <w:p w14:paraId="4931B18E" w14:textId="77777777" w:rsidR="0000631B" w:rsidRPr="002C2C03" w:rsidRDefault="0000631B" w:rsidP="00216AB8">
            <w:pPr>
              <w:spacing w:after="120"/>
              <w:outlineLvl w:val="0"/>
              <w:rPr>
                <w:rFonts w:cs="Arial"/>
                <w:b/>
                <w:sz w:val="18"/>
                <w:szCs w:val="18"/>
              </w:rPr>
            </w:pPr>
            <w:r w:rsidRPr="002C2C03">
              <w:rPr>
                <w:rFonts w:cs="Arial"/>
                <w:b/>
                <w:sz w:val="18"/>
                <w:szCs w:val="18"/>
              </w:rPr>
              <w:t>Date</w:t>
            </w:r>
          </w:p>
        </w:tc>
        <w:tc>
          <w:tcPr>
            <w:tcW w:w="2551" w:type="dxa"/>
            <w:tcBorders>
              <w:bottom w:val="single" w:sz="4" w:space="0" w:color="auto"/>
            </w:tcBorders>
            <w:shd w:val="clear" w:color="auto" w:fill="C6D9F1" w:themeFill="text2" w:themeFillTint="33"/>
          </w:tcPr>
          <w:p w14:paraId="12756117" w14:textId="77777777" w:rsidR="0000631B" w:rsidRPr="002C2C03" w:rsidRDefault="0000631B" w:rsidP="00216AB8">
            <w:pPr>
              <w:spacing w:after="120"/>
              <w:outlineLvl w:val="0"/>
              <w:rPr>
                <w:rFonts w:cs="Arial"/>
                <w:b/>
                <w:sz w:val="18"/>
                <w:szCs w:val="18"/>
              </w:rPr>
            </w:pPr>
            <w:r w:rsidRPr="002C2C03">
              <w:rPr>
                <w:rFonts w:cs="Arial"/>
                <w:b/>
                <w:sz w:val="18"/>
                <w:szCs w:val="18"/>
              </w:rPr>
              <w:t>Event</w:t>
            </w:r>
          </w:p>
        </w:tc>
        <w:tc>
          <w:tcPr>
            <w:tcW w:w="5526" w:type="dxa"/>
            <w:tcBorders>
              <w:bottom w:val="single" w:sz="4" w:space="0" w:color="auto"/>
            </w:tcBorders>
            <w:shd w:val="clear" w:color="auto" w:fill="C6D9F1" w:themeFill="text2" w:themeFillTint="33"/>
          </w:tcPr>
          <w:p w14:paraId="3C1A744A" w14:textId="77777777" w:rsidR="0000631B" w:rsidRPr="002C2C03" w:rsidRDefault="0000631B" w:rsidP="00216AB8">
            <w:pPr>
              <w:spacing w:after="120"/>
              <w:outlineLvl w:val="0"/>
              <w:rPr>
                <w:rFonts w:cs="Arial"/>
                <w:b/>
                <w:sz w:val="18"/>
                <w:szCs w:val="18"/>
              </w:rPr>
            </w:pPr>
            <w:r w:rsidRPr="002C2C03">
              <w:rPr>
                <w:rFonts w:cs="Arial"/>
                <w:b/>
                <w:sz w:val="18"/>
                <w:szCs w:val="18"/>
              </w:rPr>
              <w:t>Overview and outcomes</w:t>
            </w:r>
          </w:p>
        </w:tc>
      </w:tr>
      <w:tr w:rsidR="0000631B" w:rsidRPr="002C2C03" w14:paraId="0936C567" w14:textId="77777777" w:rsidTr="009A5B0D">
        <w:tc>
          <w:tcPr>
            <w:tcW w:w="1555" w:type="dxa"/>
            <w:tcBorders>
              <w:top w:val="nil"/>
              <w:bottom w:val="single" w:sz="4" w:space="0" w:color="auto"/>
            </w:tcBorders>
            <w:shd w:val="clear" w:color="auto" w:fill="auto"/>
          </w:tcPr>
          <w:p w14:paraId="4584C7A3"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2010</w:t>
            </w:r>
          </w:p>
        </w:tc>
        <w:tc>
          <w:tcPr>
            <w:tcW w:w="2551" w:type="dxa"/>
            <w:tcBorders>
              <w:top w:val="nil"/>
              <w:bottom w:val="single" w:sz="4" w:space="0" w:color="auto"/>
            </w:tcBorders>
            <w:shd w:val="clear" w:color="auto" w:fill="auto"/>
          </w:tcPr>
          <w:p w14:paraId="11EB9102"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Commencement of the approved RIPEN standard</w:t>
            </w:r>
          </w:p>
        </w:tc>
        <w:tc>
          <w:tcPr>
            <w:tcW w:w="5526" w:type="dxa"/>
            <w:tcBorders>
              <w:top w:val="nil"/>
              <w:bottom w:val="single" w:sz="4" w:space="0" w:color="auto"/>
            </w:tcBorders>
            <w:shd w:val="clear" w:color="auto" w:fill="auto"/>
          </w:tcPr>
          <w:p w14:paraId="1526B692"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Ministerial Council in accordance with section 14 of the National Law, approves the NMBA’s proposal for an endorsement in relation to scheduled medicines for registered nurses (rural and isolated practice)</w:t>
            </w:r>
          </w:p>
        </w:tc>
      </w:tr>
      <w:tr w:rsidR="0000631B" w:rsidRPr="002C2C03" w14:paraId="2E7A05A2" w14:textId="77777777" w:rsidTr="009A5B0D">
        <w:tc>
          <w:tcPr>
            <w:tcW w:w="1555" w:type="dxa"/>
            <w:tcBorders>
              <w:top w:val="nil"/>
              <w:bottom w:val="single" w:sz="4" w:space="0" w:color="auto"/>
            </w:tcBorders>
            <w:shd w:val="clear" w:color="auto" w:fill="auto"/>
          </w:tcPr>
          <w:p w14:paraId="153FA30A"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Sep–Nov 2013</w:t>
            </w:r>
          </w:p>
        </w:tc>
        <w:tc>
          <w:tcPr>
            <w:tcW w:w="2551" w:type="dxa"/>
            <w:tcBorders>
              <w:top w:val="nil"/>
              <w:bottom w:val="single" w:sz="4" w:space="0" w:color="auto"/>
            </w:tcBorders>
            <w:shd w:val="clear" w:color="auto" w:fill="auto"/>
          </w:tcPr>
          <w:p w14:paraId="455E66F6"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Public consultation:</w:t>
            </w:r>
          </w:p>
          <w:p w14:paraId="51A0CB46" w14:textId="77777777" w:rsidR="0000631B" w:rsidRPr="002C2C03" w:rsidRDefault="0000631B" w:rsidP="00216AB8">
            <w:pPr>
              <w:spacing w:after="120"/>
              <w:outlineLvl w:val="0"/>
              <w:rPr>
                <w:rFonts w:cs="Arial"/>
                <w:color w:val="000000" w:themeColor="text1"/>
                <w:sz w:val="18"/>
                <w:szCs w:val="18"/>
              </w:rPr>
            </w:pPr>
            <w:r w:rsidRPr="002C2C03">
              <w:rPr>
                <w:rFonts w:cs="Arial"/>
                <w:sz w:val="18"/>
                <w:szCs w:val="18"/>
              </w:rPr>
              <w:t>Proposed registration standard for endorsement of registered nurses and/or midwives to supply and administer scheduled medicines under protocol</w:t>
            </w:r>
          </w:p>
        </w:tc>
        <w:tc>
          <w:tcPr>
            <w:tcW w:w="5526" w:type="dxa"/>
            <w:tcBorders>
              <w:top w:val="nil"/>
              <w:bottom w:val="single" w:sz="4" w:space="0" w:color="auto"/>
            </w:tcBorders>
            <w:shd w:val="clear" w:color="auto" w:fill="auto"/>
          </w:tcPr>
          <w:p w14:paraId="20A32974"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The NMBA proposed to expand RIPEN to include midwives and to enable RNs other than those working in rural and isolated practice areas to be able to supply medicines under protocol. Feedback on the proposal was mixed and indicated that this endorsement was no longer required as the poisons legislation and associated policies in most jurisdictions facilitated the safe supply of medicines under protocol by RNs working in health services.</w:t>
            </w:r>
          </w:p>
        </w:tc>
      </w:tr>
      <w:tr w:rsidR="0000631B" w:rsidRPr="002C2C03" w14:paraId="547CB193" w14:textId="77777777" w:rsidTr="009A5B0D">
        <w:tc>
          <w:tcPr>
            <w:tcW w:w="1555" w:type="dxa"/>
            <w:tcBorders>
              <w:top w:val="nil"/>
              <w:bottom w:val="single" w:sz="4" w:space="0" w:color="auto"/>
            </w:tcBorders>
            <w:shd w:val="clear" w:color="auto" w:fill="auto"/>
          </w:tcPr>
          <w:p w14:paraId="1A36DE10"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Apr–Jun 2015</w:t>
            </w:r>
          </w:p>
        </w:tc>
        <w:tc>
          <w:tcPr>
            <w:tcW w:w="2551" w:type="dxa"/>
            <w:tcBorders>
              <w:top w:val="nil"/>
              <w:bottom w:val="single" w:sz="4" w:space="0" w:color="auto"/>
            </w:tcBorders>
            <w:shd w:val="clear" w:color="auto" w:fill="auto"/>
          </w:tcPr>
          <w:p w14:paraId="45F1C6DB"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Preliminary consultation</w:t>
            </w:r>
          </w:p>
          <w:p w14:paraId="67669E7E"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Discontinuation of the RIPEN standard</w:t>
            </w:r>
          </w:p>
        </w:tc>
        <w:tc>
          <w:tcPr>
            <w:tcW w:w="5526" w:type="dxa"/>
            <w:tcBorders>
              <w:top w:val="nil"/>
              <w:bottom w:val="single" w:sz="4" w:space="0" w:color="auto"/>
            </w:tcBorders>
            <w:shd w:val="clear" w:color="auto" w:fill="auto"/>
          </w:tcPr>
          <w:p w14:paraId="66DB26EE" w14:textId="77777777" w:rsidR="0000631B" w:rsidRPr="002C2C03" w:rsidRDefault="0000631B" w:rsidP="00216AB8">
            <w:pPr>
              <w:spacing w:after="0"/>
              <w:outlineLvl w:val="0"/>
              <w:rPr>
                <w:rFonts w:cs="Arial"/>
                <w:color w:val="000000" w:themeColor="text1"/>
                <w:sz w:val="18"/>
                <w:szCs w:val="18"/>
              </w:rPr>
            </w:pPr>
            <w:r w:rsidRPr="002C2C03">
              <w:rPr>
                <w:rFonts w:cs="Arial"/>
                <w:color w:val="000000" w:themeColor="text1"/>
                <w:sz w:val="18"/>
                <w:szCs w:val="18"/>
              </w:rPr>
              <w:t xml:space="preserve">The NMBA consults on two options: </w:t>
            </w:r>
          </w:p>
          <w:p w14:paraId="00716C87" w14:textId="77777777" w:rsidR="0000631B" w:rsidRPr="002C2C03" w:rsidRDefault="0000631B" w:rsidP="00F842D7">
            <w:pPr>
              <w:numPr>
                <w:ilvl w:val="0"/>
                <w:numId w:val="39"/>
              </w:numPr>
              <w:spacing w:before="200" w:after="0"/>
              <w:ind w:left="0" w:hanging="357"/>
              <w:outlineLvl w:val="0"/>
              <w:rPr>
                <w:rFonts w:cs="Arial"/>
                <w:color w:val="000000" w:themeColor="text1"/>
                <w:sz w:val="18"/>
                <w:szCs w:val="18"/>
              </w:rPr>
            </w:pPr>
            <w:r w:rsidRPr="002C2C03">
              <w:rPr>
                <w:rFonts w:cs="Arial"/>
                <w:color w:val="000000" w:themeColor="text1"/>
                <w:sz w:val="18"/>
                <w:szCs w:val="18"/>
              </w:rPr>
              <w:t>Option 1 to maintain the status quo,</w:t>
            </w:r>
          </w:p>
          <w:p w14:paraId="1A5D3862" w14:textId="77777777" w:rsidR="0000631B" w:rsidRPr="002C2C03" w:rsidRDefault="0000631B" w:rsidP="00F842D7">
            <w:pPr>
              <w:numPr>
                <w:ilvl w:val="0"/>
                <w:numId w:val="39"/>
              </w:numPr>
              <w:spacing w:before="200" w:after="120"/>
              <w:ind w:left="0" w:hanging="357"/>
              <w:outlineLvl w:val="0"/>
              <w:rPr>
                <w:rFonts w:cs="Arial"/>
                <w:color w:val="000000" w:themeColor="text1"/>
                <w:sz w:val="18"/>
                <w:szCs w:val="18"/>
              </w:rPr>
            </w:pPr>
            <w:r w:rsidRPr="002C2C03">
              <w:rPr>
                <w:rFonts w:cs="Arial"/>
                <w:color w:val="000000" w:themeColor="text1"/>
                <w:sz w:val="18"/>
                <w:szCs w:val="18"/>
              </w:rPr>
              <w:t xml:space="preserve">Option 2 (preferred) to discontinue the registration standard. </w:t>
            </w:r>
          </w:p>
          <w:p w14:paraId="0548CA11"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Six responses to this consultation were received. The feedback from this consultation was used to decide whether to further revise the consultation paper before, or after, public consultation.</w:t>
            </w:r>
          </w:p>
        </w:tc>
      </w:tr>
      <w:tr w:rsidR="0000631B" w:rsidRPr="002C2C03" w14:paraId="6D236E0F" w14:textId="77777777" w:rsidTr="009A5B0D">
        <w:tc>
          <w:tcPr>
            <w:tcW w:w="1555" w:type="dxa"/>
            <w:tcBorders>
              <w:top w:val="nil"/>
              <w:bottom w:val="single" w:sz="4" w:space="0" w:color="auto"/>
            </w:tcBorders>
            <w:shd w:val="clear" w:color="auto" w:fill="auto"/>
          </w:tcPr>
          <w:p w14:paraId="4EB529DC"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Dec 2015–Feb 2016</w:t>
            </w:r>
          </w:p>
        </w:tc>
        <w:tc>
          <w:tcPr>
            <w:tcW w:w="2551" w:type="dxa"/>
            <w:tcBorders>
              <w:top w:val="nil"/>
              <w:bottom w:val="single" w:sz="4" w:space="0" w:color="auto"/>
            </w:tcBorders>
            <w:shd w:val="clear" w:color="auto" w:fill="auto"/>
          </w:tcPr>
          <w:p w14:paraId="1713A9CD" w14:textId="77777777" w:rsidR="0000631B" w:rsidRPr="002C2C03" w:rsidRDefault="0000631B" w:rsidP="00216AB8">
            <w:pPr>
              <w:spacing w:after="120"/>
              <w:outlineLvl w:val="0"/>
              <w:rPr>
                <w:rFonts w:cs="Arial"/>
                <w:color w:val="000000" w:themeColor="text1"/>
                <w:sz w:val="18"/>
                <w:szCs w:val="18"/>
              </w:rPr>
            </w:pPr>
            <w:r w:rsidRPr="002C2C03">
              <w:rPr>
                <w:rFonts w:cs="Arial"/>
                <w:b/>
                <w:color w:val="000000" w:themeColor="text1"/>
                <w:sz w:val="18"/>
                <w:szCs w:val="18"/>
              </w:rPr>
              <w:t>Public consultation:</w:t>
            </w:r>
          </w:p>
          <w:p w14:paraId="6865DEE2"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Discontinuation of the RIPEN Standard (Option 2)</w:t>
            </w:r>
          </w:p>
        </w:tc>
        <w:tc>
          <w:tcPr>
            <w:tcW w:w="5526" w:type="dxa"/>
            <w:tcBorders>
              <w:top w:val="nil"/>
              <w:bottom w:val="single" w:sz="4" w:space="0" w:color="auto"/>
            </w:tcBorders>
            <w:shd w:val="clear" w:color="auto" w:fill="auto"/>
          </w:tcPr>
          <w:p w14:paraId="272473E5" w14:textId="77777777" w:rsidR="0000631B" w:rsidRPr="002C2C03" w:rsidRDefault="0000631B" w:rsidP="00216AB8">
            <w:pPr>
              <w:spacing w:after="120"/>
              <w:outlineLvl w:val="0"/>
              <w:rPr>
                <w:rFonts w:cs="Arial"/>
                <w:sz w:val="18"/>
                <w:szCs w:val="18"/>
              </w:rPr>
            </w:pPr>
            <w:r w:rsidRPr="002C2C03">
              <w:rPr>
                <w:rFonts w:cs="Arial"/>
                <w:sz w:val="18"/>
                <w:szCs w:val="18"/>
              </w:rPr>
              <w:t>The overwhelming responses to the public consultation came from individuals and organisations in Queensland and Victoria, with very limited numbers of responses from national organisations nor from other jurisdictions. General feedback on the proposal was mixed and highlighted that, in fact, there remained little need for the standard. The majority of jurisdictions have relevant legislation and or policy to enable registered nurses to obtain, supply and administer scheduled medicines in accordance with protocols.</w:t>
            </w:r>
          </w:p>
          <w:p w14:paraId="3C7EF255"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While the majority of jurisdictions were not opposed to discontinuing the standard, two jurisdictions relied heavily on RIPEN and therefore its withdrawal did not receive unanimous support.</w:t>
            </w:r>
          </w:p>
        </w:tc>
      </w:tr>
      <w:tr w:rsidR="0000631B" w:rsidRPr="002C2C03" w14:paraId="513DC3CD" w14:textId="77777777" w:rsidTr="009A5B0D">
        <w:tc>
          <w:tcPr>
            <w:tcW w:w="1555" w:type="dxa"/>
            <w:tcBorders>
              <w:bottom w:val="single" w:sz="4" w:space="0" w:color="auto"/>
            </w:tcBorders>
            <w:shd w:val="clear" w:color="auto" w:fill="auto"/>
          </w:tcPr>
          <w:p w14:paraId="034224B9"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July 2016</w:t>
            </w:r>
          </w:p>
        </w:tc>
        <w:tc>
          <w:tcPr>
            <w:tcW w:w="2551" w:type="dxa"/>
            <w:tcBorders>
              <w:bottom w:val="single" w:sz="4" w:space="0" w:color="auto"/>
            </w:tcBorders>
            <w:shd w:val="clear" w:color="auto" w:fill="auto"/>
          </w:tcPr>
          <w:p w14:paraId="1B8776A5"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Exploratory literature review</w:t>
            </w:r>
          </w:p>
        </w:tc>
        <w:tc>
          <w:tcPr>
            <w:tcW w:w="5526" w:type="dxa"/>
            <w:tcBorders>
              <w:bottom w:val="single" w:sz="4" w:space="0" w:color="auto"/>
            </w:tcBorders>
            <w:shd w:val="clear" w:color="auto" w:fill="auto"/>
          </w:tcPr>
          <w:p w14:paraId="36DF5C94"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Comprehensive review of evidence-based research associated with medication prescribing and models of medication management by registered nurses and midwives.</w:t>
            </w:r>
          </w:p>
          <w:p w14:paraId="31EF72EE"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International literature review reveals that patients report high levels of acceptability of RN prescribing with evidence that some patients express a preference for nurse prescribing. RNs and midwife prescribers report increased job satisfaction and role autonomy from being granted the authority to prescribe.</w:t>
            </w:r>
            <w:r w:rsidRPr="002C2C03">
              <w:rPr>
                <w:rFonts w:cs="Arial"/>
                <w:sz w:val="18"/>
                <w:szCs w:val="18"/>
              </w:rPr>
              <w:t xml:space="preserve"> </w:t>
            </w:r>
          </w:p>
          <w:p w14:paraId="4A18F425"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The review of related legislation in each jurisdiction reveals that while NP and midwife prescribing is autonomous, different mechanisms are in place to facilitate such prescribing.</w:t>
            </w:r>
          </w:p>
          <w:p w14:paraId="3A5B078F"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Recommendations include the development of a nationally accredited postgraduate RN prescribing curriculum aimed at developing RN competence to prescribe within specialist practice, or well-defined contexts of practice, as defined by the HPPP model 2 (prescribing under supervision).</w:t>
            </w:r>
          </w:p>
        </w:tc>
      </w:tr>
      <w:tr w:rsidR="0000631B" w:rsidRPr="002C2C03" w14:paraId="543469D0" w14:textId="77777777" w:rsidTr="009A5B0D">
        <w:tc>
          <w:tcPr>
            <w:tcW w:w="1555" w:type="dxa"/>
            <w:tcBorders>
              <w:bottom w:val="single" w:sz="4" w:space="0" w:color="auto"/>
            </w:tcBorders>
            <w:shd w:val="clear" w:color="auto" w:fill="auto"/>
          </w:tcPr>
          <w:p w14:paraId="498D7AEB"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lastRenderedPageBreak/>
              <w:t>Oct 2016</w:t>
            </w:r>
          </w:p>
        </w:tc>
        <w:tc>
          <w:tcPr>
            <w:tcW w:w="2551" w:type="dxa"/>
            <w:tcBorders>
              <w:bottom w:val="single" w:sz="4" w:space="0" w:color="auto"/>
            </w:tcBorders>
            <w:shd w:val="clear" w:color="auto" w:fill="auto"/>
          </w:tcPr>
          <w:p w14:paraId="53B17558" w14:textId="77777777" w:rsidR="0000631B" w:rsidRPr="002C2C03" w:rsidRDefault="0000631B" w:rsidP="00216AB8">
            <w:pPr>
              <w:spacing w:after="120"/>
              <w:outlineLvl w:val="0"/>
              <w:rPr>
                <w:rFonts w:cs="Arial"/>
                <w:color w:val="000000" w:themeColor="text1"/>
                <w:sz w:val="18"/>
                <w:szCs w:val="18"/>
              </w:rPr>
            </w:pPr>
            <w:r w:rsidRPr="002C2C03">
              <w:rPr>
                <w:rFonts w:cs="Arial"/>
                <w:b/>
                <w:color w:val="000000" w:themeColor="text1"/>
                <w:sz w:val="18"/>
                <w:szCs w:val="18"/>
              </w:rPr>
              <w:t>Intermediary measures</w:t>
            </w:r>
            <w:r w:rsidRPr="002C2C03">
              <w:rPr>
                <w:rFonts w:cs="Arial"/>
                <w:color w:val="000000" w:themeColor="text1"/>
                <w:sz w:val="18"/>
                <w:szCs w:val="18"/>
              </w:rPr>
              <w:t xml:space="preserve"> for expiry of RIPEN standard put in place</w:t>
            </w:r>
          </w:p>
        </w:tc>
        <w:tc>
          <w:tcPr>
            <w:tcW w:w="5526" w:type="dxa"/>
            <w:tcBorders>
              <w:bottom w:val="single" w:sz="4" w:space="0" w:color="auto"/>
            </w:tcBorders>
            <w:shd w:val="clear" w:color="auto" w:fill="auto"/>
          </w:tcPr>
          <w:p w14:paraId="59EF80FE" w14:textId="77777777" w:rsidR="0000631B" w:rsidRPr="002C2C03" w:rsidRDefault="0000631B" w:rsidP="00216AB8">
            <w:pPr>
              <w:spacing w:after="120"/>
              <w:outlineLvl w:val="0"/>
              <w:rPr>
                <w:rFonts w:cs="Arial"/>
                <w:sz w:val="18"/>
                <w:szCs w:val="18"/>
              </w:rPr>
            </w:pPr>
            <w:r w:rsidRPr="002C2C03">
              <w:rPr>
                <w:rFonts w:cs="Arial"/>
                <w:sz w:val="18"/>
                <w:szCs w:val="18"/>
              </w:rPr>
              <w:t>The Health Workforce Principal Committee (HWPC) recommends to the NMBA that the RIPEN standard be continued for two more years to enable the NMBA to work with the two jurisdictions (Queensland and Victoria) to develop a workable solution. HWPC also recommended that the NMBA work together with the Australian and New Zealand Council of Chief Nursing and Midwifery Officers (ANZCCNMO) to explore models of prescribing with or without protocol to determine a model for an endorsement to prescribing scheduled medicines for RNs.</w:t>
            </w:r>
          </w:p>
        </w:tc>
      </w:tr>
      <w:tr w:rsidR="0000631B" w:rsidRPr="002C2C03" w14:paraId="4F3344A9" w14:textId="77777777" w:rsidTr="009A5B0D">
        <w:tc>
          <w:tcPr>
            <w:tcW w:w="1555" w:type="dxa"/>
            <w:tcBorders>
              <w:bottom w:val="nil"/>
            </w:tcBorders>
            <w:shd w:val="clear" w:color="auto" w:fill="auto"/>
          </w:tcPr>
          <w:p w14:paraId="79CC2CB9"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March 2017</w:t>
            </w:r>
          </w:p>
        </w:tc>
        <w:tc>
          <w:tcPr>
            <w:tcW w:w="2551" w:type="dxa"/>
            <w:tcBorders>
              <w:bottom w:val="nil"/>
            </w:tcBorders>
            <w:shd w:val="clear" w:color="auto" w:fill="auto"/>
          </w:tcPr>
          <w:p w14:paraId="28DC9F15" w14:textId="77777777" w:rsidR="0000631B" w:rsidRPr="002C2C03" w:rsidRDefault="0000631B" w:rsidP="00216AB8">
            <w:pPr>
              <w:spacing w:after="120"/>
              <w:outlineLvl w:val="0"/>
              <w:rPr>
                <w:rFonts w:cs="Arial"/>
                <w:color w:val="000000" w:themeColor="text1"/>
                <w:sz w:val="18"/>
                <w:szCs w:val="18"/>
              </w:rPr>
            </w:pPr>
            <w:r w:rsidRPr="002C2C03">
              <w:rPr>
                <w:rFonts w:cs="Arial"/>
                <w:b/>
                <w:color w:val="000000" w:themeColor="text1"/>
                <w:sz w:val="18"/>
                <w:szCs w:val="18"/>
              </w:rPr>
              <w:t>Nurse and Midwife Prescribing Symposium</w:t>
            </w:r>
            <w:r w:rsidRPr="002C2C03">
              <w:rPr>
                <w:rFonts w:cs="Arial"/>
                <w:color w:val="000000" w:themeColor="text1"/>
                <w:sz w:val="18"/>
                <w:szCs w:val="18"/>
              </w:rPr>
              <w:t xml:space="preserve"> (Canberra)</w:t>
            </w:r>
          </w:p>
        </w:tc>
        <w:tc>
          <w:tcPr>
            <w:tcW w:w="5526" w:type="dxa"/>
            <w:tcBorders>
              <w:bottom w:val="nil"/>
            </w:tcBorders>
            <w:shd w:val="clear" w:color="auto" w:fill="auto"/>
          </w:tcPr>
          <w:p w14:paraId="32CFB56E"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National symposium organised by the Commonwealth Chief Nursing and Midwifery Officer (Australian Government Department of Health), designed to explore the potential for nurse/midwife prescribing in the Australian context.</w:t>
            </w:r>
          </w:p>
          <w:p w14:paraId="65701DC4" w14:textId="77777777" w:rsidR="0000631B" w:rsidRPr="002C2C03" w:rsidRDefault="0000631B" w:rsidP="00216AB8">
            <w:pPr>
              <w:spacing w:after="120"/>
              <w:outlineLvl w:val="0"/>
              <w:rPr>
                <w:color w:val="000000" w:themeColor="text1"/>
                <w:sz w:val="18"/>
                <w:szCs w:val="18"/>
              </w:rPr>
            </w:pPr>
            <w:r w:rsidRPr="002C2C03">
              <w:rPr>
                <w:color w:val="000000" w:themeColor="text1"/>
                <w:sz w:val="18"/>
                <w:szCs w:val="18"/>
              </w:rPr>
              <w:t xml:space="preserve">Overarching support for future models of RN/midwife prescribing to adopt an autonomous and a supervised approach rather than a single approach. Less support evident for an alternative outside of these models such as structured prescribing arrangement (HPPP model 3). </w:t>
            </w:r>
          </w:p>
          <w:p w14:paraId="1932DC1F"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Majority of respondents also feel that the common use of protocols currently in place across the majority of jurisdictions would be adequately governed through relevant jurisdictional policy or legislation without need for additional regulation by the NMBA.</w:t>
            </w:r>
          </w:p>
        </w:tc>
      </w:tr>
      <w:tr w:rsidR="0000631B" w:rsidRPr="002C2C03" w14:paraId="1156A0A2" w14:textId="77777777" w:rsidTr="009A5B0D">
        <w:tc>
          <w:tcPr>
            <w:tcW w:w="1555" w:type="dxa"/>
            <w:tcBorders>
              <w:bottom w:val="nil"/>
            </w:tcBorders>
            <w:shd w:val="clear" w:color="auto" w:fill="auto"/>
          </w:tcPr>
          <w:p w14:paraId="7CDDF875"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Aug 2017</w:t>
            </w:r>
          </w:p>
        </w:tc>
        <w:tc>
          <w:tcPr>
            <w:tcW w:w="2551" w:type="dxa"/>
            <w:tcBorders>
              <w:bottom w:val="nil"/>
            </w:tcBorders>
            <w:shd w:val="clear" w:color="auto" w:fill="auto"/>
          </w:tcPr>
          <w:p w14:paraId="6A91A460"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Establishment of the ANZCCNMO/NMBA Prescribing Working Group</w:t>
            </w:r>
          </w:p>
        </w:tc>
        <w:tc>
          <w:tcPr>
            <w:tcW w:w="5526" w:type="dxa"/>
            <w:tcBorders>
              <w:bottom w:val="nil"/>
            </w:tcBorders>
            <w:shd w:val="clear" w:color="auto" w:fill="auto"/>
          </w:tcPr>
          <w:p w14:paraId="705BEB16"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 xml:space="preserve">Representatives from the </w:t>
            </w:r>
            <w:r w:rsidRPr="002C2C03">
              <w:rPr>
                <w:rFonts w:cs="Arial"/>
                <w:sz w:val="18"/>
                <w:szCs w:val="18"/>
              </w:rPr>
              <w:t xml:space="preserve">Australian and New Zealand Council of Chief Nursing and Midwifery Officers (ANZCCNMO) and NMBA formed this working group. </w:t>
            </w:r>
          </w:p>
        </w:tc>
      </w:tr>
      <w:tr w:rsidR="0000631B" w:rsidRPr="002C2C03" w14:paraId="4B3BFF39" w14:textId="77777777" w:rsidTr="009A5B0D">
        <w:tc>
          <w:tcPr>
            <w:tcW w:w="1555" w:type="dxa"/>
            <w:tcBorders>
              <w:bottom w:val="nil"/>
            </w:tcBorders>
            <w:shd w:val="clear" w:color="auto" w:fill="auto"/>
          </w:tcPr>
          <w:p w14:paraId="435D2139"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Oct 2017</w:t>
            </w:r>
          </w:p>
        </w:tc>
        <w:tc>
          <w:tcPr>
            <w:tcW w:w="2551" w:type="dxa"/>
            <w:tcBorders>
              <w:bottom w:val="nil"/>
            </w:tcBorders>
            <w:shd w:val="clear" w:color="auto" w:fill="auto"/>
          </w:tcPr>
          <w:p w14:paraId="66D04E4A"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Public consultation:</w:t>
            </w:r>
          </w:p>
          <w:p w14:paraId="60584AC4"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Registered nurse and midwife prescribing – Discussion paper</w:t>
            </w:r>
          </w:p>
        </w:tc>
        <w:tc>
          <w:tcPr>
            <w:tcW w:w="5526" w:type="dxa"/>
            <w:tcBorders>
              <w:bottom w:val="nil"/>
            </w:tcBorders>
            <w:shd w:val="clear" w:color="auto" w:fill="auto"/>
          </w:tcPr>
          <w:p w14:paraId="363931E5"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Wide-ranging public consultation exploring the possibility of RN and midwife prescribing rights. 62 responses mostly from organisations (n=40). Majority of respondents supported either autonomous and/or prescribing under supervised/designated prescribing.</w:t>
            </w:r>
          </w:p>
        </w:tc>
      </w:tr>
      <w:tr w:rsidR="0000631B" w:rsidRPr="002C2C03" w14:paraId="51CF8B6E" w14:textId="77777777" w:rsidTr="009A5B0D">
        <w:tc>
          <w:tcPr>
            <w:tcW w:w="1555" w:type="dxa"/>
            <w:tcBorders>
              <w:bottom w:val="nil"/>
            </w:tcBorders>
            <w:shd w:val="clear" w:color="auto" w:fill="auto"/>
          </w:tcPr>
          <w:p w14:paraId="57BB1029"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Apr 2018</w:t>
            </w:r>
          </w:p>
        </w:tc>
        <w:tc>
          <w:tcPr>
            <w:tcW w:w="2551" w:type="dxa"/>
            <w:tcBorders>
              <w:bottom w:val="nil"/>
            </w:tcBorders>
            <w:shd w:val="clear" w:color="auto" w:fill="auto"/>
          </w:tcPr>
          <w:p w14:paraId="3E67E8A9"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Preliminary consultation:</w:t>
            </w:r>
          </w:p>
          <w:p w14:paraId="33556739"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Proposed registration standard: Endorsement for scheduled medicines for registered nurses prescribing in partnership</w:t>
            </w:r>
          </w:p>
        </w:tc>
        <w:tc>
          <w:tcPr>
            <w:tcW w:w="5526" w:type="dxa"/>
            <w:tcBorders>
              <w:bottom w:val="nil"/>
            </w:tcBorders>
            <w:shd w:val="clear" w:color="auto" w:fill="auto"/>
          </w:tcPr>
          <w:p w14:paraId="6E65C8A6"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The feedback from this consultation was used to decide whether to further revise the consultation paper before, or after, public consultation</w:t>
            </w:r>
          </w:p>
        </w:tc>
      </w:tr>
      <w:tr w:rsidR="0000631B" w:rsidRPr="002C2C03" w14:paraId="02D68184" w14:textId="77777777" w:rsidTr="009A5B0D">
        <w:tc>
          <w:tcPr>
            <w:tcW w:w="1555" w:type="dxa"/>
            <w:tcBorders>
              <w:bottom w:val="nil"/>
            </w:tcBorders>
            <w:shd w:val="clear" w:color="auto" w:fill="auto"/>
          </w:tcPr>
          <w:p w14:paraId="2224D002"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Jul–Sep 2018</w:t>
            </w:r>
          </w:p>
        </w:tc>
        <w:tc>
          <w:tcPr>
            <w:tcW w:w="2551" w:type="dxa"/>
            <w:tcBorders>
              <w:bottom w:val="nil"/>
            </w:tcBorders>
            <w:shd w:val="clear" w:color="auto" w:fill="auto"/>
          </w:tcPr>
          <w:p w14:paraId="794C966B"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Public consultation:</w:t>
            </w:r>
          </w:p>
          <w:p w14:paraId="0A3381D5"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Proposed registration standard: Endorsement for scheduled medicines for registered nurses prescribing in partnership</w:t>
            </w:r>
          </w:p>
          <w:p w14:paraId="75087EB3" w14:textId="77777777" w:rsidR="0000631B" w:rsidRPr="002C2C03" w:rsidRDefault="0000631B" w:rsidP="00216AB8">
            <w:pPr>
              <w:spacing w:after="120"/>
              <w:outlineLvl w:val="0"/>
              <w:rPr>
                <w:rFonts w:cs="Arial"/>
                <w:i/>
                <w:color w:val="000000" w:themeColor="text1"/>
                <w:sz w:val="18"/>
                <w:szCs w:val="18"/>
              </w:rPr>
            </w:pPr>
          </w:p>
        </w:tc>
        <w:tc>
          <w:tcPr>
            <w:tcW w:w="5526" w:type="dxa"/>
            <w:tcBorders>
              <w:bottom w:val="nil"/>
            </w:tcBorders>
            <w:shd w:val="clear" w:color="auto" w:fill="auto"/>
          </w:tcPr>
          <w:p w14:paraId="61F18D50"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During the consultation period the NMBA held 11 information forums across all jurisdictions to engage and inform stakeholders regarding the public consultation process and provide an opportunity for feedback. Feedback could be provided either via a detailed written submission or via an online.</w:t>
            </w:r>
          </w:p>
          <w:p w14:paraId="0AC732AC"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2,218 respondents completed the online survey as individuals while 37 responses were on behalf of an organisation.</w:t>
            </w:r>
          </w:p>
          <w:p w14:paraId="16EFA696"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There was strong overall support for the proposal standard from both the written submissions and online survey responses (87.6% of online survey).</w:t>
            </w:r>
          </w:p>
        </w:tc>
      </w:tr>
      <w:tr w:rsidR="0000631B" w:rsidRPr="002C2C03" w14:paraId="1F342358" w14:textId="77777777" w:rsidTr="009A5B0D">
        <w:tc>
          <w:tcPr>
            <w:tcW w:w="1555" w:type="dxa"/>
            <w:tcBorders>
              <w:bottom w:val="single" w:sz="4" w:space="0" w:color="auto"/>
            </w:tcBorders>
            <w:shd w:val="clear" w:color="auto" w:fill="auto"/>
          </w:tcPr>
          <w:p w14:paraId="7A336131"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t>March 2019</w:t>
            </w:r>
          </w:p>
        </w:tc>
        <w:tc>
          <w:tcPr>
            <w:tcW w:w="2551" w:type="dxa"/>
            <w:tcBorders>
              <w:bottom w:val="single" w:sz="4" w:space="0" w:color="auto"/>
            </w:tcBorders>
            <w:shd w:val="clear" w:color="auto" w:fill="auto"/>
          </w:tcPr>
          <w:p w14:paraId="20249682" w14:textId="77777777" w:rsidR="0000631B" w:rsidRPr="002C2C03" w:rsidRDefault="0000631B" w:rsidP="00216AB8">
            <w:pPr>
              <w:spacing w:after="120"/>
              <w:outlineLvl w:val="0"/>
              <w:rPr>
                <w:rFonts w:cs="Arial"/>
                <w:color w:val="000000" w:themeColor="text1"/>
                <w:sz w:val="18"/>
                <w:szCs w:val="18"/>
              </w:rPr>
            </w:pPr>
            <w:r w:rsidRPr="002C2C03">
              <w:rPr>
                <w:rFonts w:cs="Arial"/>
                <w:b/>
                <w:color w:val="000000" w:themeColor="text1"/>
                <w:sz w:val="18"/>
                <w:szCs w:val="18"/>
              </w:rPr>
              <w:t>Profession-specific consultation</w:t>
            </w:r>
            <w:r w:rsidRPr="002C2C03">
              <w:rPr>
                <w:rFonts w:cs="Arial"/>
                <w:color w:val="000000" w:themeColor="text1"/>
                <w:sz w:val="18"/>
                <w:szCs w:val="18"/>
              </w:rPr>
              <w:t>:</w:t>
            </w:r>
          </w:p>
          <w:p w14:paraId="36AEAD74"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Australian Medical Association (AMA)</w:t>
            </w:r>
          </w:p>
          <w:p w14:paraId="664105C4"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Royal Australian College of General Practitioners (RACGP)</w:t>
            </w:r>
          </w:p>
        </w:tc>
        <w:tc>
          <w:tcPr>
            <w:tcW w:w="5526" w:type="dxa"/>
            <w:tcBorders>
              <w:bottom w:val="single" w:sz="4" w:space="0" w:color="auto"/>
            </w:tcBorders>
            <w:shd w:val="clear" w:color="auto" w:fill="auto"/>
          </w:tcPr>
          <w:p w14:paraId="67872D1B"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The AMA supported the changes that are being proposed by the NMBA, including improved clarity of the relationship between the RN and the autonomous prescriber, change to 3 years post registration experience, more detail about the governance framework and stricter guidance about prescribing S8 medicines.</w:t>
            </w:r>
          </w:p>
          <w:p w14:paraId="47DA5D25"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The key issue of concern for the RACGP was the ability for the endorsed RN to work in partnership with a nurse practitioner as this would mean that a patient would potentially not have any interaction with a medical practitioner.</w:t>
            </w:r>
          </w:p>
        </w:tc>
      </w:tr>
      <w:tr w:rsidR="0000631B" w:rsidRPr="002C2C03" w14:paraId="571876BA" w14:textId="77777777" w:rsidTr="009A5B0D">
        <w:tc>
          <w:tcPr>
            <w:tcW w:w="1555" w:type="dxa"/>
            <w:tcBorders>
              <w:bottom w:val="single" w:sz="4" w:space="0" w:color="auto"/>
            </w:tcBorders>
            <w:shd w:val="clear" w:color="auto" w:fill="auto"/>
          </w:tcPr>
          <w:p w14:paraId="2E3CA4B6" w14:textId="77777777" w:rsidR="0000631B" w:rsidRPr="002C2C03" w:rsidRDefault="0000631B" w:rsidP="00216AB8">
            <w:pPr>
              <w:spacing w:after="120"/>
              <w:outlineLvl w:val="0"/>
              <w:rPr>
                <w:rFonts w:cs="Arial"/>
                <w:b/>
                <w:color w:val="000000" w:themeColor="text1"/>
                <w:sz w:val="18"/>
                <w:szCs w:val="18"/>
              </w:rPr>
            </w:pPr>
            <w:r w:rsidRPr="002C2C03">
              <w:rPr>
                <w:rFonts w:cs="Arial"/>
                <w:b/>
                <w:color w:val="000000" w:themeColor="text1"/>
                <w:sz w:val="18"/>
                <w:szCs w:val="18"/>
              </w:rPr>
              <w:lastRenderedPageBreak/>
              <w:t>Apr 2019</w:t>
            </w:r>
          </w:p>
        </w:tc>
        <w:tc>
          <w:tcPr>
            <w:tcW w:w="2551" w:type="dxa"/>
            <w:tcBorders>
              <w:bottom w:val="single" w:sz="4" w:space="0" w:color="auto"/>
            </w:tcBorders>
            <w:shd w:val="clear" w:color="auto" w:fill="auto"/>
          </w:tcPr>
          <w:p w14:paraId="6787A75E" w14:textId="77777777" w:rsidR="0000631B" w:rsidRPr="002C2C03" w:rsidRDefault="0000631B" w:rsidP="00216AB8">
            <w:pPr>
              <w:spacing w:after="120"/>
              <w:outlineLvl w:val="0"/>
              <w:rPr>
                <w:rFonts w:cs="Arial"/>
                <w:color w:val="000000" w:themeColor="text1"/>
                <w:sz w:val="18"/>
                <w:szCs w:val="18"/>
              </w:rPr>
            </w:pPr>
            <w:r w:rsidRPr="002C2C03">
              <w:rPr>
                <w:rFonts w:cs="Arial"/>
                <w:b/>
                <w:color w:val="000000" w:themeColor="text1"/>
                <w:sz w:val="18"/>
                <w:szCs w:val="18"/>
              </w:rPr>
              <w:t>Stakeholder forum</w:t>
            </w:r>
            <w:r w:rsidRPr="002C2C03">
              <w:rPr>
                <w:rFonts w:cs="Arial"/>
                <w:color w:val="000000" w:themeColor="text1"/>
                <w:sz w:val="18"/>
                <w:szCs w:val="18"/>
              </w:rPr>
              <w:t xml:space="preserve"> post public consultation</w:t>
            </w:r>
          </w:p>
          <w:p w14:paraId="5A2CA567" w14:textId="77777777" w:rsidR="0000631B" w:rsidRPr="002C2C03" w:rsidRDefault="0000631B" w:rsidP="00216AB8">
            <w:pPr>
              <w:spacing w:after="120"/>
              <w:outlineLvl w:val="0"/>
              <w:rPr>
                <w:rFonts w:cs="Arial"/>
                <w:color w:val="000000" w:themeColor="text1"/>
                <w:sz w:val="18"/>
                <w:szCs w:val="18"/>
              </w:rPr>
            </w:pPr>
            <w:r w:rsidRPr="002C2C03">
              <w:rPr>
                <w:rFonts w:cs="Arial"/>
                <w:color w:val="000000" w:themeColor="text1"/>
                <w:sz w:val="18"/>
                <w:szCs w:val="18"/>
              </w:rPr>
              <w:t>Endorsement for scheduled medicines − designated registered nurse prescriber</w:t>
            </w:r>
          </w:p>
        </w:tc>
        <w:tc>
          <w:tcPr>
            <w:tcW w:w="5526" w:type="dxa"/>
            <w:tcBorders>
              <w:bottom w:val="single" w:sz="4" w:space="0" w:color="auto"/>
            </w:tcBorders>
            <w:shd w:val="clear" w:color="auto" w:fill="auto"/>
          </w:tcPr>
          <w:p w14:paraId="7DD23B9A" w14:textId="77777777" w:rsidR="0000631B" w:rsidRPr="002C2C03" w:rsidRDefault="0000631B" w:rsidP="00216AB8">
            <w:pPr>
              <w:spacing w:after="120"/>
              <w:outlineLvl w:val="0"/>
              <w:rPr>
                <w:rFonts w:cs="Arial"/>
                <w:sz w:val="18"/>
                <w:szCs w:val="18"/>
              </w:rPr>
            </w:pPr>
            <w:r w:rsidRPr="002C2C03">
              <w:rPr>
                <w:rFonts w:cs="Arial"/>
                <w:color w:val="000000" w:themeColor="text1"/>
                <w:sz w:val="18"/>
                <w:szCs w:val="18"/>
              </w:rPr>
              <w:t>This session provided</w:t>
            </w:r>
            <w:r w:rsidRPr="002C2C03">
              <w:rPr>
                <w:rFonts w:cs="Arial"/>
                <w:sz w:val="18"/>
                <w:szCs w:val="18"/>
              </w:rPr>
              <w:t xml:space="preserve"> key stakeholders with an update from the ANZCCNMO/NMBA Prescribing Working Group and feedback following the public consultation on the proposed endorsement for scheduled medicines.</w:t>
            </w:r>
          </w:p>
          <w:p w14:paraId="05458553" w14:textId="77777777" w:rsidR="0000631B" w:rsidRPr="002C2C03" w:rsidRDefault="0000631B" w:rsidP="00216AB8">
            <w:pPr>
              <w:spacing w:after="120"/>
              <w:outlineLvl w:val="0"/>
              <w:rPr>
                <w:rFonts w:cs="Arial"/>
                <w:sz w:val="18"/>
                <w:szCs w:val="18"/>
              </w:rPr>
            </w:pPr>
            <w:r w:rsidRPr="002C2C03">
              <w:rPr>
                <w:rFonts w:cs="Arial"/>
                <w:sz w:val="18"/>
                <w:szCs w:val="18"/>
              </w:rPr>
              <w:t>Key stakeholders were informed about the changes to the proposed registration standard and guidelines documents following public consultation feedback.</w:t>
            </w:r>
          </w:p>
        </w:tc>
      </w:tr>
      <w:tr w:rsidR="0000631B" w:rsidRPr="002C2C03" w14:paraId="0BF61805" w14:textId="77777777" w:rsidTr="009A5B0D">
        <w:tc>
          <w:tcPr>
            <w:tcW w:w="1555" w:type="dxa"/>
            <w:tcBorders>
              <w:bottom w:val="single" w:sz="4" w:space="0" w:color="auto"/>
            </w:tcBorders>
            <w:shd w:val="clear" w:color="auto" w:fill="auto"/>
          </w:tcPr>
          <w:p w14:paraId="608F928A" w14:textId="77777777" w:rsidR="0000631B" w:rsidRPr="002C2C03" w:rsidRDefault="0000631B" w:rsidP="00216AB8">
            <w:pPr>
              <w:spacing w:after="120"/>
              <w:outlineLvl w:val="0"/>
              <w:rPr>
                <w:rFonts w:cs="Arial"/>
                <w:b/>
                <w:sz w:val="18"/>
                <w:szCs w:val="18"/>
              </w:rPr>
            </w:pPr>
            <w:r w:rsidRPr="002C2C03">
              <w:rPr>
                <w:rFonts w:cs="Arial"/>
                <w:b/>
                <w:sz w:val="18"/>
                <w:szCs w:val="18"/>
              </w:rPr>
              <w:t>June 2019</w:t>
            </w:r>
          </w:p>
        </w:tc>
        <w:tc>
          <w:tcPr>
            <w:tcW w:w="2551" w:type="dxa"/>
            <w:tcBorders>
              <w:bottom w:val="single" w:sz="4" w:space="0" w:color="auto"/>
            </w:tcBorders>
            <w:shd w:val="clear" w:color="auto" w:fill="auto"/>
          </w:tcPr>
          <w:p w14:paraId="7EF59138" w14:textId="77777777" w:rsidR="0000631B" w:rsidRPr="002C2C03" w:rsidRDefault="0000631B" w:rsidP="00216AB8">
            <w:pPr>
              <w:spacing w:after="120"/>
              <w:outlineLvl w:val="0"/>
              <w:rPr>
                <w:rFonts w:cs="Arial"/>
                <w:b/>
                <w:sz w:val="18"/>
                <w:szCs w:val="18"/>
              </w:rPr>
            </w:pPr>
            <w:r w:rsidRPr="002C2C03">
              <w:rPr>
                <w:rFonts w:cs="Arial"/>
                <w:b/>
                <w:sz w:val="18"/>
                <w:szCs w:val="18"/>
              </w:rPr>
              <w:t xml:space="preserve">Consideration of proposed registration standard by </w:t>
            </w:r>
            <w:r w:rsidRPr="002C2C03">
              <w:rPr>
                <w:rFonts w:cs="Arial"/>
                <w:sz w:val="18"/>
                <w:szCs w:val="18"/>
              </w:rPr>
              <w:t>Ahpra Scheduled Medicines Expert Committee</w:t>
            </w:r>
          </w:p>
          <w:p w14:paraId="2DD1106C" w14:textId="77777777" w:rsidR="0000631B" w:rsidRPr="002C2C03" w:rsidRDefault="0000631B" w:rsidP="00216AB8">
            <w:pPr>
              <w:spacing w:after="120"/>
              <w:outlineLvl w:val="0"/>
              <w:rPr>
                <w:rFonts w:cs="Arial"/>
                <w:sz w:val="18"/>
                <w:szCs w:val="18"/>
              </w:rPr>
            </w:pPr>
            <w:r w:rsidRPr="002C2C03">
              <w:rPr>
                <w:rFonts w:cs="Arial"/>
                <w:color w:val="000000" w:themeColor="text1"/>
                <w:sz w:val="18"/>
                <w:szCs w:val="18"/>
              </w:rPr>
              <w:t>Endorsement for scheduled medicines − designated registered nurse prescriber</w:t>
            </w:r>
          </w:p>
        </w:tc>
        <w:tc>
          <w:tcPr>
            <w:tcW w:w="5526" w:type="dxa"/>
            <w:tcBorders>
              <w:bottom w:val="single" w:sz="4" w:space="0" w:color="auto"/>
            </w:tcBorders>
            <w:shd w:val="clear" w:color="auto" w:fill="auto"/>
          </w:tcPr>
          <w:p w14:paraId="486FDB79" w14:textId="77777777" w:rsidR="0000631B" w:rsidRPr="002C2C03" w:rsidRDefault="0000631B" w:rsidP="00216AB8">
            <w:pPr>
              <w:spacing w:after="120"/>
              <w:outlineLvl w:val="0"/>
              <w:rPr>
                <w:rFonts w:cs="Arial"/>
                <w:sz w:val="18"/>
                <w:szCs w:val="18"/>
              </w:rPr>
            </w:pPr>
            <w:r w:rsidRPr="002C2C03">
              <w:rPr>
                <w:rFonts w:cs="Arial"/>
                <w:sz w:val="18"/>
                <w:szCs w:val="18"/>
              </w:rPr>
              <w:t>The role of the Scheduled Medicines Expert Committee (SMEC) within Ahpra is to advise National Boards on:</w:t>
            </w:r>
          </w:p>
          <w:p w14:paraId="06437B71" w14:textId="77777777" w:rsidR="0000631B" w:rsidRPr="002C2C03" w:rsidRDefault="0000631B" w:rsidP="00F842D7">
            <w:pPr>
              <w:numPr>
                <w:ilvl w:val="0"/>
                <w:numId w:val="38"/>
              </w:numPr>
              <w:spacing w:before="200" w:after="0"/>
              <w:ind w:left="0" w:hanging="357"/>
              <w:outlineLvl w:val="0"/>
              <w:rPr>
                <w:rFonts w:cs="Arial"/>
                <w:sz w:val="18"/>
                <w:szCs w:val="18"/>
              </w:rPr>
            </w:pPr>
            <w:r w:rsidRPr="002C2C03">
              <w:rPr>
                <w:rFonts w:cs="Arial"/>
                <w:sz w:val="18"/>
                <w:szCs w:val="18"/>
              </w:rPr>
              <w:t>the use of scheduled medicines generally, and</w:t>
            </w:r>
          </w:p>
          <w:p w14:paraId="65E3404B" w14:textId="77777777" w:rsidR="0000631B" w:rsidRPr="002C2C03" w:rsidRDefault="0000631B" w:rsidP="00F842D7">
            <w:pPr>
              <w:numPr>
                <w:ilvl w:val="0"/>
                <w:numId w:val="38"/>
              </w:numPr>
              <w:spacing w:before="200" w:after="120"/>
              <w:ind w:left="0"/>
              <w:outlineLvl w:val="0"/>
              <w:rPr>
                <w:rFonts w:cs="Arial"/>
                <w:sz w:val="18"/>
                <w:szCs w:val="18"/>
              </w:rPr>
            </w:pPr>
            <w:r w:rsidRPr="002C2C03">
              <w:rPr>
                <w:rFonts w:cs="Arial"/>
                <w:sz w:val="18"/>
                <w:szCs w:val="18"/>
              </w:rPr>
              <w:t>matters relevant to a National Board’s proposal for a new scheduled medicines endorsement or an amendment to an existing scheduled medicines endorsement.</w:t>
            </w:r>
          </w:p>
          <w:p w14:paraId="5A265775" w14:textId="77777777" w:rsidR="0000631B" w:rsidRPr="002C2C03" w:rsidRDefault="0000631B" w:rsidP="00216AB8">
            <w:pPr>
              <w:spacing w:after="120"/>
              <w:outlineLvl w:val="0"/>
              <w:rPr>
                <w:rFonts w:cs="Arial"/>
                <w:sz w:val="18"/>
                <w:szCs w:val="18"/>
              </w:rPr>
            </w:pPr>
            <w:r w:rsidRPr="002C2C03">
              <w:rPr>
                <w:rFonts w:cs="Arial"/>
                <w:sz w:val="18"/>
                <w:szCs w:val="18"/>
              </w:rPr>
              <w:t>The SMEC was supportive of the NMBA’s proposed registration standard guidelines and provided feedback to improve minor elements of both the submission paper, registration standard and guidelines.</w:t>
            </w:r>
          </w:p>
        </w:tc>
      </w:tr>
      <w:tr w:rsidR="0000631B" w:rsidRPr="002C2C03" w14:paraId="3C7273EE" w14:textId="77777777" w:rsidTr="009A5B0D">
        <w:tc>
          <w:tcPr>
            <w:tcW w:w="1555" w:type="dxa"/>
            <w:tcBorders>
              <w:bottom w:val="single" w:sz="4" w:space="0" w:color="auto"/>
            </w:tcBorders>
            <w:shd w:val="clear" w:color="auto" w:fill="auto"/>
          </w:tcPr>
          <w:p w14:paraId="7B043C99" w14:textId="77777777" w:rsidR="0000631B" w:rsidRPr="002C2C03" w:rsidRDefault="0000631B" w:rsidP="00216AB8">
            <w:pPr>
              <w:spacing w:after="120"/>
              <w:outlineLvl w:val="0"/>
              <w:rPr>
                <w:rFonts w:cs="Arial"/>
                <w:b/>
                <w:sz w:val="18"/>
                <w:szCs w:val="18"/>
              </w:rPr>
            </w:pPr>
            <w:r w:rsidRPr="002C2C03">
              <w:rPr>
                <w:rFonts w:cs="Arial"/>
                <w:b/>
                <w:sz w:val="18"/>
                <w:szCs w:val="18"/>
              </w:rPr>
              <w:t>Jul 2019</w:t>
            </w:r>
          </w:p>
        </w:tc>
        <w:tc>
          <w:tcPr>
            <w:tcW w:w="2551" w:type="dxa"/>
            <w:tcBorders>
              <w:bottom w:val="single" w:sz="4" w:space="0" w:color="auto"/>
            </w:tcBorders>
            <w:shd w:val="clear" w:color="auto" w:fill="auto"/>
          </w:tcPr>
          <w:p w14:paraId="6C95B00B" w14:textId="77777777" w:rsidR="0000631B" w:rsidRPr="002C2C03" w:rsidRDefault="0000631B" w:rsidP="00216AB8">
            <w:pPr>
              <w:spacing w:after="120"/>
              <w:outlineLvl w:val="0"/>
              <w:rPr>
                <w:rFonts w:cs="Arial"/>
                <w:sz w:val="18"/>
                <w:szCs w:val="18"/>
              </w:rPr>
            </w:pPr>
            <w:r w:rsidRPr="002C2C03">
              <w:rPr>
                <w:rFonts w:cs="Arial"/>
                <w:b/>
                <w:sz w:val="18"/>
                <w:szCs w:val="18"/>
              </w:rPr>
              <w:t xml:space="preserve">Consideration by: </w:t>
            </w:r>
            <w:r w:rsidRPr="002C2C03">
              <w:rPr>
                <w:rFonts w:cs="Arial"/>
                <w:sz w:val="18"/>
                <w:szCs w:val="18"/>
              </w:rPr>
              <w:t>Jurisdictional Advisory Committee</w:t>
            </w:r>
          </w:p>
          <w:p w14:paraId="458F7694" w14:textId="77777777" w:rsidR="0000631B" w:rsidRPr="002C2C03" w:rsidRDefault="0000631B" w:rsidP="00216AB8">
            <w:pPr>
              <w:spacing w:after="120"/>
              <w:outlineLvl w:val="0"/>
              <w:rPr>
                <w:rFonts w:cs="Arial"/>
                <w:b/>
                <w:sz w:val="18"/>
                <w:szCs w:val="18"/>
              </w:rPr>
            </w:pPr>
            <w:r w:rsidRPr="002C2C03">
              <w:rPr>
                <w:rFonts w:cs="Arial"/>
                <w:color w:val="000000" w:themeColor="text1"/>
                <w:sz w:val="18"/>
                <w:szCs w:val="18"/>
              </w:rPr>
              <w:t>Endorsement for scheduled medicines − designated registered nurse prescriber</w:t>
            </w:r>
          </w:p>
        </w:tc>
        <w:tc>
          <w:tcPr>
            <w:tcW w:w="5526" w:type="dxa"/>
            <w:tcBorders>
              <w:bottom w:val="single" w:sz="4" w:space="0" w:color="auto"/>
            </w:tcBorders>
            <w:shd w:val="clear" w:color="auto" w:fill="auto"/>
          </w:tcPr>
          <w:p w14:paraId="2BC4EADA" w14:textId="77777777" w:rsidR="0000631B" w:rsidRPr="002C2C03" w:rsidRDefault="0000631B" w:rsidP="00216AB8">
            <w:pPr>
              <w:spacing w:after="120"/>
              <w:outlineLvl w:val="0"/>
              <w:rPr>
                <w:rFonts w:cs="Arial"/>
                <w:sz w:val="18"/>
                <w:szCs w:val="18"/>
              </w:rPr>
            </w:pPr>
            <w:r w:rsidRPr="002C2C03">
              <w:rPr>
                <w:rFonts w:cs="Arial"/>
                <w:sz w:val="18"/>
                <w:szCs w:val="18"/>
              </w:rPr>
              <w:t>a majority of states and territories expressed in principle support for the proposal. Two jurisdictions expressed some concerns. There was common agreement across all jurisdictions regarding the need for a further risk assessment. One jurisdiction proposed that the NMBA stipulates that a risk analysis should be undertaken in order to understand the risks and benefits related to patient safety where RN prescribing is related to schedule 8 medicines.</w:t>
            </w:r>
          </w:p>
        </w:tc>
      </w:tr>
      <w:tr w:rsidR="0000631B" w:rsidRPr="002C2C03" w14:paraId="49046A80" w14:textId="77777777" w:rsidTr="009A5B0D">
        <w:tc>
          <w:tcPr>
            <w:tcW w:w="1555" w:type="dxa"/>
            <w:tcBorders>
              <w:bottom w:val="single" w:sz="4" w:space="0" w:color="auto"/>
            </w:tcBorders>
            <w:shd w:val="clear" w:color="auto" w:fill="auto"/>
          </w:tcPr>
          <w:p w14:paraId="0DD636EC" w14:textId="77777777" w:rsidR="0000631B" w:rsidRPr="002C2C03" w:rsidRDefault="0000631B" w:rsidP="00216AB8">
            <w:pPr>
              <w:spacing w:after="120"/>
              <w:outlineLvl w:val="0"/>
              <w:rPr>
                <w:rFonts w:cs="Arial"/>
                <w:b/>
                <w:sz w:val="18"/>
                <w:szCs w:val="18"/>
              </w:rPr>
            </w:pPr>
            <w:r w:rsidRPr="002C2C03">
              <w:rPr>
                <w:rFonts w:cs="Arial"/>
                <w:b/>
                <w:sz w:val="18"/>
                <w:szCs w:val="18"/>
              </w:rPr>
              <w:t>Aug 2019</w:t>
            </w:r>
          </w:p>
        </w:tc>
        <w:tc>
          <w:tcPr>
            <w:tcW w:w="2551" w:type="dxa"/>
            <w:tcBorders>
              <w:bottom w:val="single" w:sz="4" w:space="0" w:color="auto"/>
            </w:tcBorders>
            <w:shd w:val="clear" w:color="auto" w:fill="auto"/>
          </w:tcPr>
          <w:p w14:paraId="6E05BDD2" w14:textId="77777777" w:rsidR="0000631B" w:rsidRPr="002C2C03" w:rsidRDefault="0000631B" w:rsidP="00216AB8">
            <w:pPr>
              <w:spacing w:after="120"/>
              <w:outlineLvl w:val="0"/>
              <w:rPr>
                <w:rFonts w:cs="Arial"/>
                <w:b/>
                <w:sz w:val="18"/>
                <w:szCs w:val="18"/>
              </w:rPr>
            </w:pPr>
            <w:r w:rsidRPr="002C2C03">
              <w:rPr>
                <w:rFonts w:cs="Arial"/>
                <w:b/>
                <w:sz w:val="18"/>
                <w:szCs w:val="18"/>
              </w:rPr>
              <w:t>Consideration by:</w:t>
            </w:r>
            <w:r w:rsidRPr="002C2C03">
              <w:rPr>
                <w:rFonts w:cs="Arial"/>
                <w:sz w:val="18"/>
                <w:szCs w:val="18"/>
              </w:rPr>
              <w:br/>
              <w:t>Scheduled Medicines Subcommittee (HSPC)</w:t>
            </w:r>
          </w:p>
          <w:p w14:paraId="6D500311" w14:textId="77777777" w:rsidR="0000631B" w:rsidRPr="002C2C03" w:rsidRDefault="0000631B" w:rsidP="00216AB8">
            <w:pPr>
              <w:spacing w:after="120"/>
              <w:outlineLvl w:val="0"/>
              <w:rPr>
                <w:rFonts w:cs="Arial"/>
                <w:b/>
                <w:sz w:val="18"/>
                <w:szCs w:val="18"/>
              </w:rPr>
            </w:pPr>
            <w:r w:rsidRPr="002C2C03">
              <w:rPr>
                <w:rFonts w:cs="Arial"/>
                <w:color w:val="000000" w:themeColor="text1"/>
                <w:sz w:val="18"/>
                <w:szCs w:val="18"/>
              </w:rPr>
              <w:t>Endorsement for scheduled medicines − designated registered nurse prescriber</w:t>
            </w:r>
          </w:p>
        </w:tc>
        <w:tc>
          <w:tcPr>
            <w:tcW w:w="5526" w:type="dxa"/>
            <w:tcBorders>
              <w:bottom w:val="single" w:sz="4" w:space="0" w:color="auto"/>
            </w:tcBorders>
            <w:shd w:val="clear" w:color="auto" w:fill="auto"/>
          </w:tcPr>
          <w:p w14:paraId="3192A507" w14:textId="77777777" w:rsidR="0000631B" w:rsidRPr="002C2C03" w:rsidRDefault="0000631B" w:rsidP="00216AB8">
            <w:pPr>
              <w:spacing w:after="120"/>
              <w:outlineLvl w:val="0"/>
              <w:rPr>
                <w:rFonts w:cs="Arial"/>
                <w:sz w:val="18"/>
                <w:szCs w:val="18"/>
              </w:rPr>
            </w:pPr>
            <w:r w:rsidRPr="002C2C03">
              <w:rPr>
                <w:rFonts w:cs="Arial"/>
                <w:sz w:val="18"/>
                <w:szCs w:val="18"/>
              </w:rPr>
              <w:t xml:space="preserve">Subcommittee was formed originally as a subcommittee of the Health Workforce Principal Committee (HWPC) of AHMAC, to address the need for and feasibility of a joint jurisdictional process for approving nationally consistent scheduled medicines authorities for the registered and unregistered health professions. With the dissolution of the HWPC as an AHMAC </w:t>
            </w:r>
            <w:r>
              <w:rPr>
                <w:rFonts w:cs="Arial"/>
                <w:sz w:val="18"/>
                <w:szCs w:val="18"/>
              </w:rPr>
              <w:t>P</w:t>
            </w:r>
            <w:r w:rsidRPr="002C2C03">
              <w:rPr>
                <w:rFonts w:cs="Arial"/>
                <w:sz w:val="18"/>
                <w:szCs w:val="18"/>
              </w:rPr>
              <w:t>rincip</w:t>
            </w:r>
            <w:r>
              <w:rPr>
                <w:rFonts w:cs="Arial"/>
                <w:sz w:val="18"/>
                <w:szCs w:val="18"/>
              </w:rPr>
              <w:t>al</w:t>
            </w:r>
            <w:r w:rsidRPr="002C2C03">
              <w:rPr>
                <w:rFonts w:cs="Arial"/>
                <w:sz w:val="18"/>
                <w:szCs w:val="18"/>
              </w:rPr>
              <w:t xml:space="preserve"> </w:t>
            </w:r>
            <w:r>
              <w:rPr>
                <w:rFonts w:cs="Arial"/>
                <w:sz w:val="18"/>
                <w:szCs w:val="18"/>
              </w:rPr>
              <w:t>C</w:t>
            </w:r>
            <w:r w:rsidRPr="002C2C03">
              <w:rPr>
                <w:rFonts w:cs="Arial"/>
                <w:sz w:val="18"/>
                <w:szCs w:val="18"/>
              </w:rPr>
              <w:t>ommittee, the subcommittee continues under the auspices of the Health Services Principal Committee (HSPC).</w:t>
            </w:r>
          </w:p>
          <w:p w14:paraId="61D1CF23" w14:textId="77777777" w:rsidR="0000631B" w:rsidRPr="002C2C03" w:rsidRDefault="0000631B" w:rsidP="00216AB8">
            <w:pPr>
              <w:spacing w:after="120"/>
              <w:outlineLvl w:val="0"/>
              <w:rPr>
                <w:rFonts w:cs="Arial"/>
                <w:b/>
                <w:sz w:val="18"/>
                <w:szCs w:val="18"/>
              </w:rPr>
            </w:pPr>
            <w:r w:rsidRPr="002C2C03">
              <w:rPr>
                <w:rFonts w:cs="Arial"/>
                <w:sz w:val="18"/>
                <w:szCs w:val="18"/>
              </w:rPr>
              <w:t>There was broad support for the standard where there are service gaps that would be best addressed through this model but suggested there was inadequate consideration and detail about the partnership arrangements.</w:t>
            </w:r>
            <w:r w:rsidRPr="002C2C03">
              <w:rPr>
                <w:rFonts w:cs="Arial"/>
                <w:b/>
                <w:sz w:val="18"/>
                <w:szCs w:val="18"/>
              </w:rPr>
              <w:t xml:space="preserve"> </w:t>
            </w:r>
          </w:p>
        </w:tc>
      </w:tr>
    </w:tbl>
    <w:p w14:paraId="6DF8830D" w14:textId="28E1A7E3" w:rsidR="00817083" w:rsidRDefault="00817083" w:rsidP="00216AB8">
      <w:pPr>
        <w:pStyle w:val="AHPRAbody"/>
        <w:spacing w:after="0"/>
        <w:outlineLvl w:val="0"/>
      </w:pPr>
    </w:p>
    <w:sectPr w:rsidR="00817083" w:rsidSect="009A5B0D">
      <w:headerReference w:type="first" r:id="rId85"/>
      <w:pgSz w:w="11900" w:h="16840"/>
      <w:pgMar w:top="1440" w:right="1440" w:bottom="1440" w:left="1440" w:header="284"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2ABC8" w14:textId="77777777" w:rsidR="00AF325E" w:rsidRDefault="00AF325E" w:rsidP="00FC2881">
      <w:pPr>
        <w:spacing w:after="0"/>
      </w:pPr>
      <w:r>
        <w:separator/>
      </w:r>
    </w:p>
    <w:p w14:paraId="5BC4D805" w14:textId="77777777" w:rsidR="00AF325E" w:rsidRDefault="00AF325E"/>
  </w:endnote>
  <w:endnote w:type="continuationSeparator" w:id="0">
    <w:p w14:paraId="7CFD49C3" w14:textId="77777777" w:rsidR="00AF325E" w:rsidRDefault="00AF325E" w:rsidP="00FC2881">
      <w:pPr>
        <w:spacing w:after="0"/>
      </w:pPr>
      <w:r>
        <w:continuationSeparator/>
      </w:r>
    </w:p>
    <w:p w14:paraId="1C03A624" w14:textId="77777777" w:rsidR="00AF325E" w:rsidRDefault="00AF325E"/>
  </w:endnote>
  <w:endnote w:type="continuationNotice" w:id="1">
    <w:p w14:paraId="2F89EF64" w14:textId="77777777" w:rsidR="00AF325E" w:rsidRDefault="00AF32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Montserrat">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4D3E" w14:textId="77777777" w:rsidR="00717F43" w:rsidRDefault="00717F43" w:rsidP="00FC2881">
    <w:pPr>
      <w:pStyle w:val="AHPRAfootnote"/>
      <w:framePr w:wrap="around" w:vAnchor="text" w:hAnchor="margin" w:xAlign="right" w:y="1"/>
    </w:pPr>
    <w:r>
      <w:fldChar w:fldCharType="begin"/>
    </w:r>
    <w:r>
      <w:instrText xml:space="preserve">PAGE  </w:instrText>
    </w:r>
    <w:r>
      <w:fldChar w:fldCharType="end"/>
    </w:r>
  </w:p>
  <w:p w14:paraId="04F7315F" w14:textId="77777777" w:rsidR="00717F43" w:rsidRDefault="00717F43" w:rsidP="00FC2881">
    <w:pPr>
      <w:pStyle w:val="AHPRAfootnote"/>
      <w:ind w:right="360"/>
    </w:pPr>
  </w:p>
  <w:p w14:paraId="1A2DC7EE" w14:textId="77777777" w:rsidR="00717F43" w:rsidRDefault="00717F4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68353" w14:textId="77777777" w:rsidR="00717F43" w:rsidRPr="00DC4AAF" w:rsidRDefault="00717F43" w:rsidP="0020385C">
    <w:pPr>
      <w:pStyle w:val="Footer"/>
      <w:rPr>
        <w:sz w:val="18"/>
        <w:szCs w:val="18"/>
      </w:rPr>
    </w:pPr>
    <w:r>
      <w:rPr>
        <w:rFonts w:cs="Arial"/>
        <w:color w:val="5F6062"/>
        <w:sz w:val="18"/>
        <w:szCs w:val="18"/>
      </w:rPr>
      <w:t xml:space="preserve">Decision </w:t>
    </w:r>
    <w:r w:rsidRPr="00DC4AAF">
      <w:rPr>
        <w:rFonts w:cs="Arial"/>
        <w:color w:val="5F6062"/>
        <w:sz w:val="18"/>
        <w:szCs w:val="18"/>
      </w:rPr>
      <w:t>regulation impact statement: Registration standard: Endorsement for scheduled medicines – designated registered nurse prescriber</w:t>
    </w:r>
  </w:p>
  <w:p w14:paraId="16C45226" w14:textId="19D17A65" w:rsidR="00717F43" w:rsidRPr="0020385C" w:rsidRDefault="00AF325E" w:rsidP="0020385C">
    <w:pPr>
      <w:pStyle w:val="AHPRApagenumber"/>
    </w:pPr>
    <w:sdt>
      <w:sdtPr>
        <w:id w:val="1507792717"/>
        <w:docPartObj>
          <w:docPartGallery w:val="Page Numbers (Top of Page)"/>
          <w:docPartUnique/>
        </w:docPartObj>
      </w:sdtPr>
      <w:sdtEndPr/>
      <w:sdtContent>
        <w:r w:rsidR="00717F43" w:rsidRPr="000E7E28">
          <w:t xml:space="preserve">Page </w:t>
        </w:r>
        <w:r w:rsidR="00717F43">
          <w:fldChar w:fldCharType="begin"/>
        </w:r>
        <w:r w:rsidR="00717F43">
          <w:instrText xml:space="preserve"> PAGE </w:instrText>
        </w:r>
        <w:r w:rsidR="00717F43">
          <w:fldChar w:fldCharType="separate"/>
        </w:r>
        <w:r w:rsidR="007D53A4">
          <w:rPr>
            <w:noProof/>
          </w:rPr>
          <w:t>2</w:t>
        </w:r>
        <w:r w:rsidR="00717F43">
          <w:rPr>
            <w:noProof/>
          </w:rPr>
          <w:fldChar w:fldCharType="end"/>
        </w:r>
        <w:r w:rsidR="00717F43" w:rsidRPr="000E7E28">
          <w:t xml:space="preserve"> of </w:t>
        </w:r>
        <w:r w:rsidR="00717F43">
          <w:fldChar w:fldCharType="begin"/>
        </w:r>
        <w:r w:rsidR="00717F43">
          <w:instrText xml:space="preserve"> NUMPAGES  </w:instrText>
        </w:r>
        <w:r w:rsidR="00717F43">
          <w:fldChar w:fldCharType="separate"/>
        </w:r>
        <w:r w:rsidR="007D53A4">
          <w:rPr>
            <w:noProof/>
          </w:rPr>
          <w:t>3</w:t>
        </w:r>
        <w:r w:rsidR="00717F4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C6E4E" w14:textId="77777777" w:rsidR="00717F43" w:rsidRPr="00DC4AAF" w:rsidRDefault="00717F43" w:rsidP="0020385C">
    <w:pPr>
      <w:pStyle w:val="Footer"/>
      <w:rPr>
        <w:sz w:val="18"/>
        <w:szCs w:val="18"/>
      </w:rPr>
    </w:pPr>
    <w:r>
      <w:rPr>
        <w:rFonts w:cs="Arial"/>
        <w:color w:val="5F6062"/>
        <w:sz w:val="18"/>
        <w:szCs w:val="18"/>
      </w:rPr>
      <w:t xml:space="preserve">Decision </w:t>
    </w:r>
    <w:r w:rsidRPr="00DC4AAF">
      <w:rPr>
        <w:rFonts w:cs="Arial"/>
        <w:color w:val="5F6062"/>
        <w:sz w:val="18"/>
        <w:szCs w:val="18"/>
      </w:rPr>
      <w:t>regulation impact statement: Registration standard: Endorsement for scheduled medicines – designated registered nurse prescriber</w:t>
    </w:r>
  </w:p>
  <w:p w14:paraId="0B7D48A7" w14:textId="0BB52609" w:rsidR="00717F43" w:rsidRPr="0020385C" w:rsidRDefault="00AF325E" w:rsidP="0020385C">
    <w:pPr>
      <w:pStyle w:val="AHPRApagenumber"/>
    </w:pPr>
    <w:sdt>
      <w:sdtPr>
        <w:id w:val="-522327429"/>
        <w:docPartObj>
          <w:docPartGallery w:val="Page Numbers (Top of Page)"/>
          <w:docPartUnique/>
        </w:docPartObj>
      </w:sdtPr>
      <w:sdtEndPr/>
      <w:sdtContent>
        <w:r w:rsidR="00717F43" w:rsidRPr="000E7E28">
          <w:t xml:space="preserve">Page </w:t>
        </w:r>
        <w:r w:rsidR="00717F43">
          <w:fldChar w:fldCharType="begin"/>
        </w:r>
        <w:r w:rsidR="00717F43">
          <w:instrText xml:space="preserve"> PAGE </w:instrText>
        </w:r>
        <w:r w:rsidR="00717F43">
          <w:fldChar w:fldCharType="separate"/>
        </w:r>
        <w:r w:rsidR="007D53A4">
          <w:rPr>
            <w:noProof/>
          </w:rPr>
          <w:t>1</w:t>
        </w:r>
        <w:r w:rsidR="00717F43">
          <w:rPr>
            <w:noProof/>
          </w:rPr>
          <w:fldChar w:fldCharType="end"/>
        </w:r>
        <w:r w:rsidR="00717F43" w:rsidRPr="000E7E28">
          <w:t xml:space="preserve"> of </w:t>
        </w:r>
        <w:r w:rsidR="00717F43">
          <w:fldChar w:fldCharType="begin"/>
        </w:r>
        <w:r w:rsidR="00717F43">
          <w:instrText xml:space="preserve"> NUMPAGES  </w:instrText>
        </w:r>
        <w:r w:rsidR="00717F43">
          <w:fldChar w:fldCharType="separate"/>
        </w:r>
        <w:r w:rsidR="007D53A4">
          <w:rPr>
            <w:noProof/>
          </w:rPr>
          <w:t>89</w:t>
        </w:r>
        <w:r w:rsidR="00717F43">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71ED" w14:textId="77777777" w:rsidR="00B55649" w:rsidRPr="00DC4AAF" w:rsidRDefault="00B55649" w:rsidP="00B55649">
    <w:pPr>
      <w:pStyle w:val="Footer"/>
      <w:rPr>
        <w:sz w:val="18"/>
        <w:szCs w:val="18"/>
      </w:rPr>
    </w:pPr>
    <w:r>
      <w:rPr>
        <w:rFonts w:cs="Arial"/>
        <w:color w:val="5F6062"/>
        <w:sz w:val="18"/>
        <w:szCs w:val="18"/>
      </w:rPr>
      <w:t xml:space="preserve">Decision </w:t>
    </w:r>
    <w:r w:rsidRPr="00DC4AAF">
      <w:rPr>
        <w:rFonts w:cs="Arial"/>
        <w:color w:val="5F6062"/>
        <w:sz w:val="18"/>
        <w:szCs w:val="18"/>
      </w:rPr>
      <w:t>regulation impact statement: Registration standard: Endorsement for scheduled medicines – designated registered nurse prescriber</w:t>
    </w:r>
  </w:p>
  <w:p w14:paraId="3E1CA4CE" w14:textId="367CE44C" w:rsidR="00F05C60" w:rsidRPr="00B55649" w:rsidRDefault="00AF325E" w:rsidP="00B55649">
    <w:pPr>
      <w:pStyle w:val="AHPRApagenumber"/>
    </w:pPr>
    <w:sdt>
      <w:sdtPr>
        <w:id w:val="-1109888578"/>
        <w:docPartObj>
          <w:docPartGallery w:val="Page Numbers (Top of Page)"/>
          <w:docPartUnique/>
        </w:docPartObj>
      </w:sdtPr>
      <w:sdtEndPr/>
      <w:sdtContent>
        <w:r w:rsidR="00B55649" w:rsidRPr="000E7E28">
          <w:t xml:space="preserve">Page </w:t>
        </w:r>
        <w:r w:rsidR="00B55649">
          <w:fldChar w:fldCharType="begin"/>
        </w:r>
        <w:r w:rsidR="00B55649">
          <w:instrText xml:space="preserve"> PAGE </w:instrText>
        </w:r>
        <w:r w:rsidR="00B55649">
          <w:fldChar w:fldCharType="separate"/>
        </w:r>
        <w:r w:rsidR="006D53B0">
          <w:rPr>
            <w:noProof/>
          </w:rPr>
          <w:t>89</w:t>
        </w:r>
        <w:r w:rsidR="00B55649">
          <w:rPr>
            <w:noProof/>
          </w:rPr>
          <w:fldChar w:fldCharType="end"/>
        </w:r>
        <w:r w:rsidR="00B55649" w:rsidRPr="000E7E28">
          <w:t xml:space="preserve"> of </w:t>
        </w:r>
        <w:r w:rsidR="00B55649">
          <w:fldChar w:fldCharType="begin"/>
        </w:r>
        <w:r w:rsidR="00B55649">
          <w:instrText xml:space="preserve"> NUMPAGES  </w:instrText>
        </w:r>
        <w:r w:rsidR="00B55649">
          <w:fldChar w:fldCharType="separate"/>
        </w:r>
        <w:r w:rsidR="006D53B0">
          <w:rPr>
            <w:noProof/>
          </w:rPr>
          <w:t>89</w:t>
        </w:r>
        <w:r w:rsidR="00B55649">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E87F1" w14:textId="77777777" w:rsidR="00F05C60" w:rsidRPr="002F134A" w:rsidRDefault="00F05C60" w:rsidP="00154E31">
    <w:pPr>
      <w:spacing w:before="360" w:after="360"/>
      <w:ind w:left="426" w:right="1091" w:hanging="284"/>
      <w:jc w:val="center"/>
      <w:rPr>
        <w:color w:val="5F6062"/>
        <w:sz w:val="18"/>
        <w:szCs w:val="18"/>
      </w:rPr>
    </w:pPr>
    <w:r w:rsidRPr="002F134A">
      <w:rPr>
        <w:noProof/>
        <w:color w:val="5F6062"/>
        <w:sz w:val="18"/>
        <w:szCs w:val="18"/>
        <w:lang w:eastAsia="en-AU"/>
      </w:rPr>
      <mc:AlternateContent>
        <mc:Choice Requires="wps">
          <w:drawing>
            <wp:anchor distT="0" distB="0" distL="114300" distR="114300" simplePos="0" relativeHeight="251657216" behindDoc="1" locked="0" layoutInCell="1" allowOverlap="1" wp14:anchorId="57951D7D" wp14:editId="794CAB4E">
              <wp:simplePos x="0" y="0"/>
              <wp:positionH relativeFrom="column">
                <wp:posOffset>0</wp:posOffset>
              </wp:positionH>
              <wp:positionV relativeFrom="paragraph">
                <wp:posOffset>69215</wp:posOffset>
              </wp:positionV>
              <wp:extent cx="5772150" cy="695325"/>
              <wp:effectExtent l="0" t="0" r="0" b="9525"/>
              <wp:wrapNone/>
              <wp:docPr id="27572406" name="Rectangle: Rounded Corners 1"/>
              <wp:cNvGraphicFramePr/>
              <a:graphic xmlns:a="http://schemas.openxmlformats.org/drawingml/2006/main">
                <a:graphicData uri="http://schemas.microsoft.com/office/word/2010/wordprocessingShape">
                  <wps:wsp>
                    <wps:cNvSpPr/>
                    <wps:spPr>
                      <a:xfrm>
                        <a:off x="0" y="0"/>
                        <a:ext cx="5772150" cy="695325"/>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004F1B" id="Rectangle: Rounded Corners 1" o:spid="_x0000_s1026" style="position:absolute;margin-left:0;margin-top:5.45pt;width:454.5pt;height:54.7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" fillcolor="#f2f2f2 [3052]" stroked="f" strokeweight="2pt"/>
          </w:pict>
        </mc:Fallback>
      </mc:AlternateContent>
    </w:r>
    <w:r w:rsidRPr="002F134A">
      <w:rPr>
        <w:color w:val="5F6062"/>
        <w:sz w:val="18"/>
        <w:szCs w:val="18"/>
      </w:rPr>
      <w:t xml:space="preserve">Ahpra and the National Boards acknowledge the Traditional Owners of Country throughout Australia </w:t>
    </w:r>
    <w:r w:rsidRPr="006F77B2">
      <w:rPr>
        <w:color w:val="5F6062"/>
        <w:sz w:val="18"/>
        <w:szCs w:val="18"/>
      </w:rPr>
      <w:br/>
    </w:r>
    <w:r w:rsidRPr="002F134A">
      <w:rPr>
        <w:color w:val="5F6062"/>
        <w:sz w:val="18"/>
        <w:szCs w:val="18"/>
      </w:rPr>
      <w:t xml:space="preserve">and their continuing connection to lands, waters and communities. We pay our respects to </w:t>
    </w:r>
    <w:r>
      <w:rPr>
        <w:color w:val="5F6062"/>
        <w:sz w:val="18"/>
        <w:szCs w:val="18"/>
      </w:rPr>
      <w:br/>
    </w:r>
    <w:r w:rsidRPr="002F134A">
      <w:rPr>
        <w:color w:val="5F6062"/>
        <w:sz w:val="18"/>
        <w:szCs w:val="18"/>
      </w:rPr>
      <w:t>Aboriginal and Torres Strait Islander cultures and Elders past and present.</w:t>
    </w:r>
  </w:p>
  <w:p w14:paraId="7E51E71D" w14:textId="77777777" w:rsidR="00F05C60" w:rsidRDefault="00F05C60" w:rsidP="000615C4">
    <w:pPr>
      <w:spacing w:before="240" w:after="0"/>
      <w:ind w:left="2688" w:right="3300" w:hanging="6"/>
      <w:jc w:val="center"/>
      <w:rPr>
        <w:sz w:val="18"/>
      </w:rPr>
    </w:pPr>
    <w:r>
      <w:rPr>
        <w:color w:val="5F5F61"/>
        <w:sz w:val="18"/>
      </w:rPr>
      <w:t>Nursing and Midwifery Board of Australia Australian</w:t>
    </w:r>
    <w:r>
      <w:rPr>
        <w:color w:val="5F5F61"/>
        <w:spacing w:val="-10"/>
        <w:sz w:val="18"/>
      </w:rPr>
      <w:t xml:space="preserve"> </w:t>
    </w:r>
    <w:r>
      <w:rPr>
        <w:color w:val="5F5F61"/>
        <w:sz w:val="18"/>
      </w:rPr>
      <w:t>Health</w:t>
    </w:r>
    <w:r>
      <w:rPr>
        <w:color w:val="5F5F61"/>
        <w:spacing w:val="-8"/>
        <w:sz w:val="18"/>
      </w:rPr>
      <w:t xml:space="preserve"> </w:t>
    </w:r>
    <w:r>
      <w:rPr>
        <w:color w:val="5F5F61"/>
        <w:sz w:val="18"/>
      </w:rPr>
      <w:t>Practitioner</w:t>
    </w:r>
    <w:r>
      <w:rPr>
        <w:color w:val="5F5F61"/>
        <w:spacing w:val="-8"/>
        <w:sz w:val="18"/>
      </w:rPr>
      <w:t xml:space="preserve"> </w:t>
    </w:r>
    <w:r>
      <w:rPr>
        <w:color w:val="5F5F61"/>
        <w:sz w:val="18"/>
      </w:rPr>
      <w:t>Regulation</w:t>
    </w:r>
    <w:r>
      <w:rPr>
        <w:color w:val="5F5F61"/>
        <w:spacing w:val="-10"/>
        <w:sz w:val="18"/>
      </w:rPr>
      <w:t xml:space="preserve"> </w:t>
    </w:r>
    <w:r>
      <w:rPr>
        <w:color w:val="5F5F61"/>
        <w:sz w:val="18"/>
      </w:rPr>
      <w:t>Agency</w:t>
    </w:r>
  </w:p>
  <w:p w14:paraId="271C3714" w14:textId="77777777" w:rsidR="00F05C60" w:rsidRPr="00D67D4B" w:rsidRDefault="00F05C60" w:rsidP="00D67D4B">
    <w:pPr>
      <w:tabs>
        <w:tab w:val="left" w:pos="2813"/>
        <w:tab w:val="left" w:pos="5562"/>
      </w:tabs>
      <w:spacing w:before="3"/>
      <w:ind w:right="615"/>
      <w:jc w:val="center"/>
      <w:rPr>
        <w:sz w:val="16"/>
      </w:rPr>
    </w:pPr>
    <w:r>
      <w:rPr>
        <w:color w:val="0067B8"/>
        <w:sz w:val="16"/>
      </w:rPr>
      <w:t>GPO</w:t>
    </w:r>
    <w:r>
      <w:rPr>
        <w:color w:val="0067B8"/>
        <w:spacing w:val="-7"/>
        <w:sz w:val="16"/>
      </w:rPr>
      <w:t xml:space="preserve"> </w:t>
    </w:r>
    <w:r>
      <w:rPr>
        <w:color w:val="0067B8"/>
        <w:sz w:val="16"/>
      </w:rPr>
      <w:t>Box</w:t>
    </w:r>
    <w:r>
      <w:rPr>
        <w:color w:val="0067B8"/>
        <w:spacing w:val="-4"/>
        <w:sz w:val="16"/>
      </w:rPr>
      <w:t xml:space="preserve"> </w:t>
    </w:r>
    <w:r>
      <w:rPr>
        <w:color w:val="0067B8"/>
        <w:sz w:val="16"/>
      </w:rPr>
      <w:t>9958</w:t>
    </w:r>
    <w:r>
      <w:rPr>
        <w:color w:val="0067B8"/>
        <w:spacing w:val="-3"/>
        <w:sz w:val="16"/>
      </w:rPr>
      <w:t xml:space="preserve"> </w:t>
    </w:r>
    <w:r>
      <w:rPr>
        <w:color w:val="0067B8"/>
        <w:sz w:val="16"/>
      </w:rPr>
      <w:t>Melbourne</w:t>
    </w:r>
    <w:r>
      <w:rPr>
        <w:color w:val="0067B8"/>
        <w:spacing w:val="-3"/>
        <w:sz w:val="16"/>
      </w:rPr>
      <w:t xml:space="preserve"> </w:t>
    </w:r>
    <w:r>
      <w:rPr>
        <w:color w:val="0067B8"/>
        <w:sz w:val="16"/>
      </w:rPr>
      <w:t>VIC</w:t>
    </w:r>
    <w:r>
      <w:rPr>
        <w:color w:val="0067B8"/>
        <w:spacing w:val="-5"/>
        <w:sz w:val="16"/>
      </w:rPr>
      <w:t xml:space="preserve"> </w:t>
    </w:r>
    <w:r>
      <w:rPr>
        <w:color w:val="0067B8"/>
        <w:spacing w:val="-4"/>
        <w:sz w:val="16"/>
      </w:rPr>
      <w:t>3001</w:t>
    </w:r>
    <w:r>
      <w:rPr>
        <w:color w:val="0067B8"/>
        <w:sz w:val="16"/>
      </w:rPr>
      <w:tab/>
    </w:r>
    <w:hyperlink r:id="rId1">
      <w:r>
        <w:rPr>
          <w:color w:val="279988"/>
          <w:spacing w:val="-2"/>
          <w:sz w:val="16"/>
        </w:rPr>
        <w:t>www.nursingmidwiferyboard.gov.au</w:t>
      </w:r>
    </w:hyperlink>
    <w:r>
      <w:rPr>
        <w:color w:val="279988"/>
        <w:sz w:val="16"/>
      </w:rPr>
      <w:tab/>
    </w:r>
    <w:r>
      <w:rPr>
        <w:color w:val="0067B8"/>
        <w:sz w:val="16"/>
      </w:rPr>
      <w:t>1300</w:t>
    </w:r>
    <w:r>
      <w:rPr>
        <w:color w:val="0067B8"/>
        <w:spacing w:val="-3"/>
        <w:sz w:val="16"/>
      </w:rPr>
      <w:t xml:space="preserve"> </w:t>
    </w:r>
    <w:r>
      <w:rPr>
        <w:color w:val="0067B8"/>
        <w:sz w:val="16"/>
      </w:rPr>
      <w:t>419</w:t>
    </w:r>
    <w:r>
      <w:rPr>
        <w:color w:val="0067B8"/>
        <w:spacing w:val="-5"/>
        <w:sz w:val="16"/>
      </w:rPr>
      <w:t xml:space="preserve"> 495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1CB8" w14:textId="77777777" w:rsidR="00717F43" w:rsidRPr="00DC4AAF" w:rsidRDefault="00717F43" w:rsidP="006651F4">
    <w:pPr>
      <w:pStyle w:val="Footer"/>
      <w:rPr>
        <w:sz w:val="18"/>
        <w:szCs w:val="18"/>
      </w:rPr>
    </w:pPr>
    <w:r>
      <w:rPr>
        <w:rFonts w:cs="Arial"/>
        <w:color w:val="5F6062"/>
        <w:sz w:val="18"/>
        <w:szCs w:val="18"/>
      </w:rPr>
      <w:t xml:space="preserve">Decision </w:t>
    </w:r>
    <w:r w:rsidRPr="00DC4AAF">
      <w:rPr>
        <w:rFonts w:cs="Arial"/>
        <w:color w:val="5F6062"/>
        <w:sz w:val="18"/>
        <w:szCs w:val="18"/>
      </w:rPr>
      <w:t>regulation impact statement: Registration standard: Endorsement for scheduled medicines – designated registered nurse prescriber</w:t>
    </w:r>
  </w:p>
  <w:p w14:paraId="7737101F" w14:textId="4AECFBE0" w:rsidR="00717F43" w:rsidRPr="005D3406" w:rsidRDefault="00AF325E" w:rsidP="006651F4">
    <w:pPr>
      <w:pStyle w:val="AHPRApagenumber"/>
    </w:pPr>
    <w:sdt>
      <w:sdtPr>
        <w:id w:val="2040619776"/>
        <w:docPartObj>
          <w:docPartGallery w:val="Page Numbers (Top of Page)"/>
          <w:docPartUnique/>
        </w:docPartObj>
      </w:sdtPr>
      <w:sdtEndPr/>
      <w:sdtContent>
        <w:r w:rsidR="00717F43" w:rsidRPr="000E7E28">
          <w:t xml:space="preserve">Page </w:t>
        </w:r>
        <w:r w:rsidR="00717F43">
          <w:fldChar w:fldCharType="begin"/>
        </w:r>
        <w:r w:rsidR="00717F43">
          <w:instrText xml:space="preserve"> PAGE </w:instrText>
        </w:r>
        <w:r w:rsidR="00717F43">
          <w:fldChar w:fldCharType="separate"/>
        </w:r>
        <w:r w:rsidR="006D53B0">
          <w:rPr>
            <w:noProof/>
          </w:rPr>
          <w:t>87</w:t>
        </w:r>
        <w:r w:rsidR="00717F43">
          <w:rPr>
            <w:noProof/>
          </w:rPr>
          <w:fldChar w:fldCharType="end"/>
        </w:r>
        <w:r w:rsidR="00717F43" w:rsidRPr="000E7E28">
          <w:t xml:space="preserve"> of </w:t>
        </w:r>
        <w:r w:rsidR="00717F43">
          <w:fldChar w:fldCharType="begin"/>
        </w:r>
        <w:r w:rsidR="00717F43">
          <w:instrText xml:space="preserve"> NUMPAGES  </w:instrText>
        </w:r>
        <w:r w:rsidR="00717F43">
          <w:fldChar w:fldCharType="separate"/>
        </w:r>
        <w:r w:rsidR="006D53B0">
          <w:rPr>
            <w:noProof/>
          </w:rPr>
          <w:t>87</w:t>
        </w:r>
        <w:r w:rsidR="00717F4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2445E" w14:textId="77777777" w:rsidR="00AF325E" w:rsidRDefault="00AF325E" w:rsidP="000E7E28">
      <w:pPr>
        <w:spacing w:after="0"/>
      </w:pPr>
      <w:r>
        <w:separator/>
      </w:r>
    </w:p>
  </w:footnote>
  <w:footnote w:type="continuationSeparator" w:id="0">
    <w:p w14:paraId="15387241" w14:textId="77777777" w:rsidR="00AF325E" w:rsidRDefault="00AF325E" w:rsidP="00FC2881">
      <w:pPr>
        <w:spacing w:after="0"/>
      </w:pPr>
      <w:r>
        <w:continuationSeparator/>
      </w:r>
    </w:p>
    <w:p w14:paraId="3183F4F1" w14:textId="77777777" w:rsidR="00AF325E" w:rsidRDefault="00AF325E"/>
  </w:footnote>
  <w:footnote w:type="continuationNotice" w:id="1">
    <w:p w14:paraId="15294137" w14:textId="77777777" w:rsidR="00AF325E" w:rsidRDefault="00AF325E">
      <w:pPr>
        <w:spacing w:after="0"/>
      </w:pPr>
    </w:p>
  </w:footnote>
  <w:footnote w:id="2">
    <w:p w14:paraId="177328D6" w14:textId="77777777" w:rsidR="00BF7BD5" w:rsidRDefault="00BF7BD5" w:rsidP="00BF7BD5">
      <w:pPr>
        <w:pStyle w:val="FootnoteText"/>
        <w:tabs>
          <w:tab w:val="left" w:pos="7088"/>
        </w:tabs>
      </w:pPr>
      <w:r>
        <w:rPr>
          <w:rStyle w:val="FootnoteReference"/>
        </w:rPr>
        <w:t>1</w:t>
      </w:r>
      <w:r>
        <w:t xml:space="preserve"> </w:t>
      </w:r>
      <w:r w:rsidRPr="00B71607">
        <w:rPr>
          <w:sz w:val="16"/>
          <w:szCs w:val="18"/>
          <w:lang w:val="en-US"/>
        </w:rPr>
        <w:t>Applications for endorsement may be made by registered nurses who hold registration with the NMBA or persons that are in the process of applying for registration as a registered nurse with the NMBA. Registration as a registered nurse must be granted before the endorsement can be granted</w:t>
      </w:r>
    </w:p>
  </w:footnote>
  <w:footnote w:id="3">
    <w:p w14:paraId="40ACA026" w14:textId="77777777" w:rsidR="00F05C60" w:rsidRPr="00A344FF" w:rsidRDefault="00F05C60" w:rsidP="00F05C60">
      <w:pPr>
        <w:pStyle w:val="FootnoteText"/>
        <w:tabs>
          <w:tab w:val="left" w:pos="9498"/>
        </w:tabs>
        <w:ind w:left="142" w:right="382" w:hanging="142"/>
      </w:pPr>
      <w:r>
        <w:rPr>
          <w:rStyle w:val="FootnoteReference"/>
        </w:rPr>
        <w:footnoteRef/>
      </w:r>
      <w:r>
        <w:t xml:space="preserve"> </w:t>
      </w:r>
      <w:r>
        <w:rPr>
          <w:sz w:val="16"/>
        </w:rPr>
        <w:t>An</w:t>
      </w:r>
      <w:r>
        <w:rPr>
          <w:spacing w:val="-2"/>
          <w:sz w:val="16"/>
        </w:rPr>
        <w:t xml:space="preserve"> </w:t>
      </w:r>
      <w:r>
        <w:rPr>
          <w:sz w:val="16"/>
        </w:rPr>
        <w:t>authorised</w:t>
      </w:r>
      <w:r>
        <w:rPr>
          <w:spacing w:val="-2"/>
          <w:sz w:val="16"/>
        </w:rPr>
        <w:t xml:space="preserve"> </w:t>
      </w:r>
      <w:r>
        <w:rPr>
          <w:sz w:val="16"/>
        </w:rPr>
        <w:t>health</w:t>
      </w:r>
      <w:r>
        <w:rPr>
          <w:spacing w:val="-5"/>
          <w:sz w:val="16"/>
        </w:rPr>
        <w:t xml:space="preserve"> </w:t>
      </w:r>
      <w:r>
        <w:rPr>
          <w:sz w:val="16"/>
        </w:rPr>
        <w:t>practitioner</w:t>
      </w:r>
      <w:r>
        <w:rPr>
          <w:spacing w:val="-4"/>
          <w:sz w:val="16"/>
        </w:rPr>
        <w:t xml:space="preserve"> </w:t>
      </w:r>
      <w:r>
        <w:rPr>
          <w:sz w:val="16"/>
        </w:rPr>
        <w:t>is a</w:t>
      </w:r>
      <w:r>
        <w:rPr>
          <w:spacing w:val="-5"/>
          <w:sz w:val="16"/>
        </w:rPr>
        <w:t xml:space="preserve"> </w:t>
      </w:r>
      <w:r>
        <w:rPr>
          <w:sz w:val="16"/>
        </w:rPr>
        <w:t>registered</w:t>
      </w:r>
      <w:r>
        <w:rPr>
          <w:spacing w:val="-2"/>
          <w:sz w:val="16"/>
        </w:rPr>
        <w:t xml:space="preserve"> </w:t>
      </w:r>
      <w:r>
        <w:rPr>
          <w:sz w:val="16"/>
        </w:rPr>
        <w:t>health</w:t>
      </w:r>
      <w:r>
        <w:rPr>
          <w:spacing w:val="-2"/>
          <w:sz w:val="16"/>
        </w:rPr>
        <w:t xml:space="preserve"> </w:t>
      </w:r>
      <w:r>
        <w:rPr>
          <w:sz w:val="16"/>
        </w:rPr>
        <w:t>practitioner</w:t>
      </w:r>
      <w:r>
        <w:rPr>
          <w:spacing w:val="-2"/>
          <w:sz w:val="16"/>
        </w:rPr>
        <w:t xml:space="preserve"> </w:t>
      </w:r>
      <w:r>
        <w:rPr>
          <w:sz w:val="16"/>
        </w:rPr>
        <w:t>who</w:t>
      </w:r>
      <w:r>
        <w:rPr>
          <w:spacing w:val="-2"/>
          <w:sz w:val="16"/>
        </w:rPr>
        <w:t xml:space="preserve"> </w:t>
      </w:r>
      <w:r>
        <w:rPr>
          <w:sz w:val="16"/>
        </w:rPr>
        <w:t>is</w:t>
      </w:r>
      <w:r>
        <w:rPr>
          <w:spacing w:val="-2"/>
          <w:sz w:val="16"/>
        </w:rPr>
        <w:t xml:space="preserve"> </w:t>
      </w:r>
      <w:r>
        <w:rPr>
          <w:sz w:val="16"/>
        </w:rPr>
        <w:t>an</w:t>
      </w:r>
      <w:r>
        <w:rPr>
          <w:spacing w:val="-2"/>
          <w:sz w:val="16"/>
        </w:rPr>
        <w:t xml:space="preserve"> </w:t>
      </w:r>
      <w:r>
        <w:rPr>
          <w:sz w:val="16"/>
        </w:rPr>
        <w:t>authorised</w:t>
      </w:r>
      <w:r>
        <w:rPr>
          <w:spacing w:val="-2"/>
          <w:sz w:val="16"/>
        </w:rPr>
        <w:t xml:space="preserve"> </w:t>
      </w:r>
      <w:r>
        <w:rPr>
          <w:sz w:val="16"/>
        </w:rPr>
        <w:t>autonomous</w:t>
      </w:r>
      <w:r>
        <w:rPr>
          <w:spacing w:val="-3"/>
          <w:sz w:val="16"/>
        </w:rPr>
        <w:t xml:space="preserve"> </w:t>
      </w:r>
      <w:r>
        <w:rPr>
          <w:sz w:val="16"/>
        </w:rPr>
        <w:t>prescriber</w:t>
      </w:r>
      <w:r>
        <w:rPr>
          <w:spacing w:val="-4"/>
          <w:sz w:val="16"/>
        </w:rPr>
        <w:t xml:space="preserve"> </w:t>
      </w:r>
      <w:r>
        <w:rPr>
          <w:sz w:val="16"/>
        </w:rPr>
        <w:t>for</w:t>
      </w:r>
      <w:r>
        <w:rPr>
          <w:spacing w:val="-2"/>
          <w:sz w:val="16"/>
        </w:rPr>
        <w:t xml:space="preserve"> </w:t>
      </w:r>
      <w:r>
        <w:rPr>
          <w:sz w:val="16"/>
        </w:rPr>
        <w:t>example</w:t>
      </w:r>
      <w:r>
        <w:rPr>
          <w:spacing w:val="-2"/>
          <w:sz w:val="16"/>
        </w:rPr>
        <w:t xml:space="preserve"> </w:t>
      </w:r>
      <w:r>
        <w:rPr>
          <w:sz w:val="16"/>
        </w:rPr>
        <w:t>a medical practitioner or a nurse practitioner (more than one authorised health practitioner may work with the designated registered nurse prescriber).</w:t>
      </w:r>
    </w:p>
  </w:footnote>
  <w:footnote w:id="4">
    <w:p w14:paraId="3988AA4C" w14:textId="77777777" w:rsidR="00F05C60" w:rsidRPr="00C173B0" w:rsidRDefault="00F05C60" w:rsidP="00F05C60">
      <w:pPr>
        <w:spacing w:after="360" w:line="245" w:lineRule="auto"/>
        <w:ind w:left="119" w:right="777" w:hanging="119"/>
      </w:pPr>
      <w:r>
        <w:rPr>
          <w:rStyle w:val="FootnoteReference"/>
        </w:rPr>
        <w:footnoteRef/>
      </w:r>
      <w:r>
        <w:t xml:space="preserve"> </w:t>
      </w:r>
      <w:r>
        <w:rPr>
          <w:sz w:val="16"/>
        </w:rPr>
        <w:t>Applications</w:t>
      </w:r>
      <w:r>
        <w:rPr>
          <w:spacing w:val="-3"/>
          <w:sz w:val="16"/>
        </w:rPr>
        <w:t xml:space="preserve"> </w:t>
      </w:r>
      <w:r>
        <w:rPr>
          <w:sz w:val="16"/>
        </w:rPr>
        <w:t>for</w:t>
      </w:r>
      <w:r>
        <w:rPr>
          <w:spacing w:val="-2"/>
          <w:sz w:val="16"/>
        </w:rPr>
        <w:t xml:space="preserve"> </w:t>
      </w:r>
      <w:r>
        <w:rPr>
          <w:sz w:val="16"/>
        </w:rPr>
        <w:t>endorsement</w:t>
      </w:r>
      <w:r>
        <w:rPr>
          <w:spacing w:val="-3"/>
          <w:sz w:val="16"/>
        </w:rPr>
        <w:t xml:space="preserve"> </w:t>
      </w:r>
      <w:r>
        <w:rPr>
          <w:sz w:val="16"/>
        </w:rPr>
        <w:t>may be</w:t>
      </w:r>
      <w:r>
        <w:rPr>
          <w:spacing w:val="-4"/>
          <w:sz w:val="16"/>
        </w:rPr>
        <w:t xml:space="preserve"> </w:t>
      </w:r>
      <w:r>
        <w:rPr>
          <w:sz w:val="16"/>
        </w:rPr>
        <w:t>made</w:t>
      </w:r>
      <w:r>
        <w:rPr>
          <w:spacing w:val="-2"/>
          <w:sz w:val="16"/>
        </w:rPr>
        <w:t xml:space="preserve"> </w:t>
      </w:r>
      <w:r>
        <w:rPr>
          <w:sz w:val="16"/>
        </w:rPr>
        <w:t>by registered</w:t>
      </w:r>
      <w:r>
        <w:rPr>
          <w:spacing w:val="-2"/>
          <w:sz w:val="16"/>
        </w:rPr>
        <w:t xml:space="preserve"> </w:t>
      </w:r>
      <w:r>
        <w:rPr>
          <w:sz w:val="16"/>
        </w:rPr>
        <w:t>nurses</w:t>
      </w:r>
      <w:r>
        <w:rPr>
          <w:spacing w:val="-3"/>
          <w:sz w:val="16"/>
        </w:rPr>
        <w:t xml:space="preserve"> </w:t>
      </w:r>
      <w:r>
        <w:rPr>
          <w:sz w:val="16"/>
        </w:rPr>
        <w:t>who</w:t>
      </w:r>
      <w:r>
        <w:rPr>
          <w:spacing w:val="-2"/>
          <w:sz w:val="16"/>
        </w:rPr>
        <w:t xml:space="preserve"> </w:t>
      </w:r>
      <w:r>
        <w:rPr>
          <w:sz w:val="16"/>
        </w:rPr>
        <w:t>hold</w:t>
      </w:r>
      <w:r>
        <w:rPr>
          <w:spacing w:val="-2"/>
          <w:sz w:val="16"/>
        </w:rPr>
        <w:t xml:space="preserve"> </w:t>
      </w:r>
      <w:r>
        <w:rPr>
          <w:sz w:val="16"/>
        </w:rPr>
        <w:t>registration</w:t>
      </w:r>
      <w:r>
        <w:rPr>
          <w:spacing w:val="-2"/>
          <w:sz w:val="16"/>
        </w:rPr>
        <w:t xml:space="preserve"> </w:t>
      </w:r>
      <w:r>
        <w:rPr>
          <w:sz w:val="16"/>
        </w:rPr>
        <w:t>with</w:t>
      </w:r>
      <w:r>
        <w:rPr>
          <w:spacing w:val="-4"/>
          <w:sz w:val="16"/>
        </w:rPr>
        <w:t xml:space="preserve"> </w:t>
      </w:r>
      <w:r>
        <w:rPr>
          <w:sz w:val="16"/>
        </w:rPr>
        <w:t>the</w:t>
      </w:r>
      <w:r>
        <w:rPr>
          <w:spacing w:val="-2"/>
          <w:sz w:val="16"/>
        </w:rPr>
        <w:t xml:space="preserve"> </w:t>
      </w:r>
      <w:r>
        <w:rPr>
          <w:sz w:val="16"/>
        </w:rPr>
        <w:t>NMBA</w:t>
      </w:r>
      <w:r>
        <w:rPr>
          <w:spacing w:val="-1"/>
          <w:sz w:val="16"/>
        </w:rPr>
        <w:t xml:space="preserve"> </w:t>
      </w:r>
      <w:r>
        <w:rPr>
          <w:sz w:val="16"/>
        </w:rPr>
        <w:t>or</w:t>
      </w:r>
      <w:r>
        <w:rPr>
          <w:spacing w:val="-2"/>
          <w:sz w:val="16"/>
        </w:rPr>
        <w:t xml:space="preserve"> </w:t>
      </w:r>
      <w:r>
        <w:rPr>
          <w:sz w:val="16"/>
        </w:rPr>
        <w:t>persons</w:t>
      </w:r>
      <w:r>
        <w:rPr>
          <w:spacing w:val="-3"/>
          <w:sz w:val="16"/>
        </w:rPr>
        <w:t xml:space="preserve"> </w:t>
      </w:r>
      <w:r>
        <w:rPr>
          <w:sz w:val="16"/>
        </w:rPr>
        <w:t>that</w:t>
      </w:r>
      <w:r>
        <w:rPr>
          <w:spacing w:val="-3"/>
          <w:sz w:val="16"/>
        </w:rPr>
        <w:t xml:space="preserve"> </w:t>
      </w:r>
      <w:r>
        <w:rPr>
          <w:sz w:val="16"/>
        </w:rPr>
        <w:t>are</w:t>
      </w:r>
      <w:r>
        <w:rPr>
          <w:spacing w:val="-2"/>
          <w:sz w:val="16"/>
        </w:rPr>
        <w:t xml:space="preserve"> </w:t>
      </w:r>
      <w:r>
        <w:rPr>
          <w:sz w:val="16"/>
        </w:rPr>
        <w:t>in the process of applying for registration as a registered nurse with the NMBA. Registration as a registered nurse must be granted before the endorsement can be granted.</w:t>
      </w:r>
    </w:p>
  </w:footnote>
  <w:footnote w:id="5">
    <w:p w14:paraId="4AF9ECF1" w14:textId="77777777" w:rsidR="00F05C60" w:rsidRPr="002F7643" w:rsidRDefault="00F05C60" w:rsidP="00F05C60">
      <w:pPr>
        <w:spacing w:before="84"/>
        <w:ind w:left="120" w:right="776"/>
        <w:rPr>
          <w:sz w:val="16"/>
          <w:szCs w:val="16"/>
        </w:rPr>
      </w:pPr>
      <w:r>
        <w:rPr>
          <w:rStyle w:val="FootnoteReference"/>
        </w:rPr>
        <w:footnoteRef/>
      </w:r>
      <w:r>
        <w:t xml:space="preserve"> </w:t>
      </w:r>
      <w:r>
        <w:rPr>
          <w:sz w:val="16"/>
        </w:rPr>
        <w:t>Real</w:t>
      </w:r>
      <w:r>
        <w:rPr>
          <w:spacing w:val="-6"/>
          <w:sz w:val="16"/>
        </w:rPr>
        <w:t xml:space="preserve"> </w:t>
      </w:r>
      <w:r>
        <w:rPr>
          <w:sz w:val="16"/>
        </w:rPr>
        <w:t>time</w:t>
      </w:r>
      <w:r>
        <w:rPr>
          <w:spacing w:val="-6"/>
          <w:sz w:val="16"/>
        </w:rPr>
        <w:t xml:space="preserve"> </w:t>
      </w:r>
      <w:r>
        <w:rPr>
          <w:sz w:val="16"/>
        </w:rPr>
        <w:t>prescription</w:t>
      </w:r>
      <w:r>
        <w:rPr>
          <w:spacing w:val="-10"/>
          <w:sz w:val="16"/>
        </w:rPr>
        <w:t xml:space="preserve"> </w:t>
      </w:r>
      <w:r>
        <w:rPr>
          <w:sz w:val="16"/>
        </w:rPr>
        <w:t>monitoring</w:t>
      </w:r>
      <w:r>
        <w:rPr>
          <w:spacing w:val="-2"/>
          <w:sz w:val="16"/>
        </w:rPr>
        <w:t xml:space="preserve"> </w:t>
      </w:r>
      <w:hyperlink r:id="rId1">
        <w:r w:rsidRPr="00C3369B">
          <w:rPr>
            <w:color w:val="0000FF"/>
            <w:sz w:val="16"/>
            <w:szCs w:val="16"/>
            <w:u w:val="single" w:color="0000FF"/>
          </w:rPr>
          <w:t>www.health.gov.au/our-work/national-real-time-prescription-monitoring-</w:t>
        </w:r>
      </w:hyperlink>
      <w:hyperlink r:id="rId2">
        <w:r w:rsidRPr="00C3369B">
          <w:rPr>
            <w:color w:val="0000FF"/>
            <w:spacing w:val="-4"/>
            <w:sz w:val="16"/>
            <w:szCs w:val="16"/>
            <w:u w:val="single" w:color="0000FF"/>
          </w:rPr>
          <w:t>rtpm</w:t>
        </w:r>
      </w:hyperlink>
    </w:p>
  </w:footnote>
  <w:footnote w:id="6">
    <w:p w14:paraId="7103B064" w14:textId="77777777" w:rsidR="00F05C60" w:rsidRPr="00AC3F33" w:rsidRDefault="00F05C60" w:rsidP="00F05C60">
      <w:pPr>
        <w:pStyle w:val="FootnoteText"/>
      </w:pPr>
      <w:r>
        <w:rPr>
          <w:rStyle w:val="FootnoteReference"/>
        </w:rPr>
        <w:footnoteRef/>
      </w:r>
      <w:r>
        <w:t xml:space="preserve"> </w:t>
      </w:r>
      <w:r>
        <w:rPr>
          <w:sz w:val="16"/>
        </w:rPr>
        <w:t>Primary health</w:t>
      </w:r>
      <w:r>
        <w:rPr>
          <w:spacing w:val="-2"/>
          <w:sz w:val="16"/>
        </w:rPr>
        <w:t xml:space="preserve"> </w:t>
      </w:r>
      <w:r>
        <w:rPr>
          <w:sz w:val="16"/>
        </w:rPr>
        <w:t>care</w:t>
      </w:r>
      <w:r>
        <w:rPr>
          <w:spacing w:val="-1"/>
          <w:sz w:val="16"/>
        </w:rPr>
        <w:t xml:space="preserve"> </w:t>
      </w:r>
      <w:r>
        <w:rPr>
          <w:sz w:val="16"/>
        </w:rPr>
        <w:t>settings</w:t>
      </w:r>
      <w:r>
        <w:rPr>
          <w:spacing w:val="-1"/>
          <w:sz w:val="16"/>
        </w:rPr>
        <w:t xml:space="preserve"> </w:t>
      </w:r>
      <w:r>
        <w:rPr>
          <w:sz w:val="16"/>
        </w:rPr>
        <w:t>are the first point of</w:t>
      </w:r>
      <w:r>
        <w:rPr>
          <w:spacing w:val="-1"/>
          <w:sz w:val="16"/>
        </w:rPr>
        <w:t xml:space="preserve"> </w:t>
      </w:r>
      <w:r>
        <w:rPr>
          <w:sz w:val="16"/>
        </w:rPr>
        <w:t>contact that</w:t>
      </w:r>
      <w:r>
        <w:rPr>
          <w:spacing w:val="-1"/>
          <w:sz w:val="16"/>
        </w:rPr>
        <w:t xml:space="preserve"> </w:t>
      </w:r>
      <w:r>
        <w:rPr>
          <w:sz w:val="16"/>
        </w:rPr>
        <w:t>individuals,</w:t>
      </w:r>
      <w:r>
        <w:rPr>
          <w:spacing w:val="-1"/>
          <w:sz w:val="16"/>
        </w:rPr>
        <w:t xml:space="preserve"> </w:t>
      </w:r>
      <w:r>
        <w:rPr>
          <w:sz w:val="16"/>
        </w:rPr>
        <w:t>families and</w:t>
      </w:r>
      <w:r>
        <w:rPr>
          <w:spacing w:val="-2"/>
          <w:sz w:val="16"/>
        </w:rPr>
        <w:t xml:space="preserve"> </w:t>
      </w:r>
      <w:r>
        <w:rPr>
          <w:sz w:val="16"/>
        </w:rPr>
        <w:t>communities</w:t>
      </w:r>
      <w:r>
        <w:rPr>
          <w:spacing w:val="-1"/>
          <w:sz w:val="16"/>
        </w:rPr>
        <w:t xml:space="preserve"> </w:t>
      </w:r>
      <w:r>
        <w:rPr>
          <w:sz w:val="16"/>
        </w:rPr>
        <w:t>have with the</w:t>
      </w:r>
      <w:r>
        <w:rPr>
          <w:spacing w:val="-3"/>
          <w:sz w:val="16"/>
        </w:rPr>
        <w:t xml:space="preserve"> </w:t>
      </w:r>
      <w:r>
        <w:rPr>
          <w:sz w:val="16"/>
        </w:rPr>
        <w:t>healthcare system,</w:t>
      </w:r>
      <w:r>
        <w:rPr>
          <w:spacing w:val="-3"/>
          <w:sz w:val="16"/>
        </w:rPr>
        <w:t xml:space="preserve"> </w:t>
      </w:r>
      <w:r>
        <w:rPr>
          <w:sz w:val="16"/>
        </w:rPr>
        <w:t>This</w:t>
      </w:r>
      <w:r>
        <w:rPr>
          <w:spacing w:val="-3"/>
          <w:sz w:val="16"/>
        </w:rPr>
        <w:t xml:space="preserve"> </w:t>
      </w:r>
      <w:r>
        <w:rPr>
          <w:sz w:val="16"/>
        </w:rPr>
        <w:t>includes,</w:t>
      </w:r>
      <w:r>
        <w:rPr>
          <w:spacing w:val="-3"/>
          <w:sz w:val="16"/>
        </w:rPr>
        <w:t xml:space="preserve"> </w:t>
      </w:r>
      <w:r>
        <w:rPr>
          <w:sz w:val="16"/>
        </w:rPr>
        <w:t>aged</w:t>
      </w:r>
      <w:r>
        <w:rPr>
          <w:spacing w:val="-2"/>
          <w:sz w:val="16"/>
        </w:rPr>
        <w:t xml:space="preserve"> </w:t>
      </w:r>
      <w:r>
        <w:rPr>
          <w:sz w:val="16"/>
        </w:rPr>
        <w:t>care,</w:t>
      </w:r>
      <w:r>
        <w:rPr>
          <w:spacing w:val="-3"/>
          <w:sz w:val="16"/>
        </w:rPr>
        <w:t xml:space="preserve"> </w:t>
      </w:r>
      <w:r>
        <w:rPr>
          <w:sz w:val="16"/>
        </w:rPr>
        <w:t>community health,</w:t>
      </w:r>
      <w:r>
        <w:rPr>
          <w:spacing w:val="-3"/>
          <w:sz w:val="16"/>
        </w:rPr>
        <w:t xml:space="preserve"> </w:t>
      </w:r>
      <w:r>
        <w:rPr>
          <w:sz w:val="16"/>
        </w:rPr>
        <w:t>correctional</w:t>
      </w:r>
      <w:r>
        <w:rPr>
          <w:spacing w:val="-1"/>
          <w:sz w:val="16"/>
        </w:rPr>
        <w:t xml:space="preserve"> </w:t>
      </w:r>
      <w:r>
        <w:rPr>
          <w:sz w:val="16"/>
        </w:rPr>
        <w:t>health,</w:t>
      </w:r>
      <w:r>
        <w:rPr>
          <w:spacing w:val="-1"/>
          <w:sz w:val="16"/>
        </w:rPr>
        <w:t xml:space="preserve"> </w:t>
      </w:r>
      <w:r>
        <w:rPr>
          <w:sz w:val="16"/>
        </w:rPr>
        <w:t>general</w:t>
      </w:r>
      <w:r>
        <w:rPr>
          <w:spacing w:val="-4"/>
          <w:sz w:val="16"/>
        </w:rPr>
        <w:t xml:space="preserve"> </w:t>
      </w:r>
      <w:r>
        <w:rPr>
          <w:sz w:val="16"/>
        </w:rPr>
        <w:t>practice,</w:t>
      </w:r>
      <w:r>
        <w:rPr>
          <w:spacing w:val="-3"/>
          <w:sz w:val="16"/>
        </w:rPr>
        <w:t xml:space="preserve"> </w:t>
      </w:r>
      <w:r>
        <w:rPr>
          <w:sz w:val="16"/>
        </w:rPr>
        <w:t>schools and</w:t>
      </w:r>
      <w:r>
        <w:rPr>
          <w:spacing w:val="-5"/>
          <w:sz w:val="16"/>
        </w:rPr>
        <w:t xml:space="preserve"> </w:t>
      </w:r>
      <w:r>
        <w:rPr>
          <w:sz w:val="16"/>
        </w:rPr>
        <w:t>Aboriginal</w:t>
      </w:r>
      <w:r>
        <w:rPr>
          <w:spacing w:val="-3"/>
          <w:sz w:val="16"/>
        </w:rPr>
        <w:t xml:space="preserve"> </w:t>
      </w:r>
      <w:r>
        <w:rPr>
          <w:sz w:val="16"/>
        </w:rPr>
        <w:t xml:space="preserve">community- controlled health services </w:t>
      </w:r>
      <w:hyperlink r:id="rId3">
        <w:r>
          <w:rPr>
            <w:color w:val="0000FF"/>
            <w:sz w:val="16"/>
            <w:u w:val="single" w:color="0000FF"/>
          </w:rPr>
          <w:t>www.health.gov.au/topics/primary-care/about</w:t>
        </w:r>
      </w:hyperlink>
    </w:p>
  </w:footnote>
  <w:footnote w:id="7">
    <w:p w14:paraId="3592DA2D" w14:textId="77777777" w:rsidR="00F05C60" w:rsidRPr="0053290D" w:rsidRDefault="00F05C60" w:rsidP="00F05C60">
      <w:pPr>
        <w:pStyle w:val="FootnoteText"/>
      </w:pPr>
      <w:r>
        <w:rPr>
          <w:rStyle w:val="FootnoteReference"/>
        </w:rPr>
        <w:footnoteRef/>
      </w:r>
      <w:r>
        <w:t xml:space="preserve"> </w:t>
      </w:r>
      <w:r>
        <w:rPr>
          <w:sz w:val="16"/>
        </w:rPr>
        <w:t>Australian</w:t>
      </w:r>
      <w:r>
        <w:rPr>
          <w:spacing w:val="-5"/>
          <w:sz w:val="16"/>
        </w:rPr>
        <w:t xml:space="preserve"> </w:t>
      </w:r>
      <w:r>
        <w:rPr>
          <w:sz w:val="16"/>
        </w:rPr>
        <w:t>Government.</w:t>
      </w:r>
      <w:r>
        <w:rPr>
          <w:spacing w:val="-4"/>
          <w:sz w:val="16"/>
        </w:rPr>
        <w:t xml:space="preserve"> </w:t>
      </w:r>
      <w:r>
        <w:rPr>
          <w:sz w:val="16"/>
        </w:rPr>
        <w:t>(2022).</w:t>
      </w:r>
      <w:r>
        <w:rPr>
          <w:spacing w:val="-4"/>
          <w:sz w:val="16"/>
        </w:rPr>
        <w:t xml:space="preserve"> </w:t>
      </w:r>
      <w:r>
        <w:rPr>
          <w:i/>
          <w:sz w:val="16"/>
        </w:rPr>
        <w:t>National</w:t>
      </w:r>
      <w:r>
        <w:rPr>
          <w:i/>
          <w:spacing w:val="-4"/>
          <w:sz w:val="16"/>
        </w:rPr>
        <w:t xml:space="preserve"> </w:t>
      </w:r>
      <w:r>
        <w:rPr>
          <w:i/>
          <w:sz w:val="16"/>
        </w:rPr>
        <w:t>Medicines</w:t>
      </w:r>
      <w:r>
        <w:rPr>
          <w:i/>
          <w:spacing w:val="-6"/>
          <w:sz w:val="16"/>
        </w:rPr>
        <w:t xml:space="preserve"> </w:t>
      </w:r>
      <w:r>
        <w:rPr>
          <w:i/>
          <w:sz w:val="16"/>
        </w:rPr>
        <w:t>Policy</w:t>
      </w:r>
      <w:r>
        <w:rPr>
          <w:i/>
          <w:spacing w:val="-4"/>
          <w:sz w:val="16"/>
        </w:rPr>
        <w:t xml:space="preserve"> </w:t>
      </w:r>
      <w:hyperlink r:id="rId4">
        <w:r>
          <w:rPr>
            <w:color w:val="0000FF"/>
            <w:sz w:val="16"/>
            <w:u w:val="single" w:color="0000FF"/>
          </w:rPr>
          <w:t>https://www.health.gov.au/resources/publications/national-</w:t>
        </w:r>
      </w:hyperlink>
      <w:hyperlink r:id="rId5">
        <w:r>
          <w:rPr>
            <w:color w:val="0000FF"/>
            <w:spacing w:val="-2"/>
            <w:sz w:val="16"/>
            <w:u w:val="single" w:color="0000FF"/>
          </w:rPr>
          <w:t>medicines-policy</w:t>
        </w:r>
      </w:hyperlink>
    </w:p>
  </w:footnote>
  <w:footnote w:id="8">
    <w:p w14:paraId="5DC8AEE9" w14:textId="77777777" w:rsidR="00F05C60" w:rsidRPr="00B30933" w:rsidRDefault="00F05C60" w:rsidP="00F05C60">
      <w:pPr>
        <w:pStyle w:val="FootnoteText"/>
      </w:pPr>
      <w:r>
        <w:rPr>
          <w:rStyle w:val="FootnoteReference"/>
        </w:rPr>
        <w:footnoteRef/>
      </w:r>
      <w:r>
        <w:t xml:space="preserve"> </w:t>
      </w:r>
      <w:r>
        <w:rPr>
          <w:sz w:val="16"/>
        </w:rPr>
        <w:t>Consumer</w:t>
      </w:r>
      <w:r>
        <w:rPr>
          <w:spacing w:val="-5"/>
          <w:sz w:val="16"/>
        </w:rPr>
        <w:t xml:space="preserve"> </w:t>
      </w:r>
      <w:r>
        <w:rPr>
          <w:sz w:val="16"/>
        </w:rPr>
        <w:t>Medicines</w:t>
      </w:r>
      <w:r>
        <w:rPr>
          <w:spacing w:val="-3"/>
          <w:sz w:val="16"/>
        </w:rPr>
        <w:t xml:space="preserve"> </w:t>
      </w:r>
      <w:r>
        <w:rPr>
          <w:sz w:val="16"/>
        </w:rPr>
        <w:t>information</w:t>
      </w:r>
      <w:r>
        <w:rPr>
          <w:spacing w:val="-5"/>
          <w:sz w:val="16"/>
        </w:rPr>
        <w:t xml:space="preserve"> </w:t>
      </w:r>
      <w:r>
        <w:rPr>
          <w:sz w:val="16"/>
        </w:rPr>
        <w:t>sheets</w:t>
      </w:r>
      <w:r>
        <w:rPr>
          <w:spacing w:val="-3"/>
          <w:sz w:val="16"/>
        </w:rPr>
        <w:t xml:space="preserve"> </w:t>
      </w:r>
      <w:r>
        <w:rPr>
          <w:sz w:val="16"/>
        </w:rPr>
        <w:t>are</w:t>
      </w:r>
      <w:r>
        <w:rPr>
          <w:spacing w:val="-8"/>
          <w:sz w:val="16"/>
        </w:rPr>
        <w:t xml:space="preserve"> </w:t>
      </w:r>
      <w:r>
        <w:rPr>
          <w:sz w:val="16"/>
        </w:rPr>
        <w:t>available</w:t>
      </w:r>
      <w:r>
        <w:rPr>
          <w:spacing w:val="-7"/>
          <w:sz w:val="16"/>
        </w:rPr>
        <w:t xml:space="preserve"> </w:t>
      </w:r>
      <w:r>
        <w:rPr>
          <w:sz w:val="16"/>
        </w:rPr>
        <w:t>at</w:t>
      </w:r>
      <w:r>
        <w:rPr>
          <w:spacing w:val="-2"/>
          <w:sz w:val="16"/>
        </w:rPr>
        <w:t xml:space="preserve"> </w:t>
      </w:r>
      <w:hyperlink r:id="rId6">
        <w:r>
          <w:rPr>
            <w:color w:val="0000FF"/>
            <w:spacing w:val="-2"/>
            <w:sz w:val="16"/>
            <w:u w:val="single" w:color="0000FF"/>
          </w:rPr>
          <w:t>www.medicines.org.au</w:t>
        </w:r>
        <w:r>
          <w:rPr>
            <w:color w:val="0000FF"/>
            <w:spacing w:val="-2"/>
            <w:sz w:val="18"/>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CE5E3" w14:textId="77777777" w:rsidR="006D53B0" w:rsidRDefault="006D5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6C556" w14:textId="2726AE0E" w:rsidR="00717F43" w:rsidRDefault="00717F43" w:rsidP="005502A6">
    <w:pPr>
      <w:ind w:right="-56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33FD0" w14:textId="282D08A0" w:rsidR="003F0237" w:rsidRDefault="003F0237" w:rsidP="001923E5">
    <w:pPr>
      <w:jc w:val="right"/>
    </w:pPr>
  </w:p>
  <w:p w14:paraId="546FF782" w14:textId="6BA1B896" w:rsidR="00717F43" w:rsidRDefault="00A53C5B" w:rsidP="001923E5">
    <w:pPr>
      <w:jc w:val="right"/>
    </w:pPr>
    <w:r>
      <w:rPr>
        <w:noProof/>
        <w:lang w:eastAsia="en-AU"/>
      </w:rPr>
      <w:drawing>
        <wp:inline distT="0" distB="0" distL="0" distR="0" wp14:anchorId="5FF5A512" wp14:editId="34985B4A">
          <wp:extent cx="3171825" cy="1064581"/>
          <wp:effectExtent l="0" t="0" r="0" b="2540"/>
          <wp:docPr id="1710644117" name="Picture 1710644117" descr="A blue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y text on a black background&#10;&#10;Description automatically generated"/>
                  <pic:cNvPicPr/>
                </pic:nvPicPr>
                <pic:blipFill>
                  <a:blip r:embed="rId1"/>
                  <a:stretch>
                    <a:fillRect/>
                  </a:stretch>
                </pic:blipFill>
                <pic:spPr>
                  <a:xfrm>
                    <a:off x="0" y="0"/>
                    <a:ext cx="3190154" cy="107073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0F535" w14:textId="77777777" w:rsidR="00930926" w:rsidRDefault="00930926" w:rsidP="001923E5">
    <w:pPr>
      <w:jc w:val="right"/>
    </w:pPr>
  </w:p>
  <w:p w14:paraId="088BC9D9" w14:textId="7A4A477F" w:rsidR="00930926" w:rsidRDefault="00930926" w:rsidP="001923E5">
    <w:pPr>
      <w:jc w:val="right"/>
    </w:pPr>
    <w:r>
      <w:rPr>
        <w:noProof/>
        <w:lang w:eastAsia="en-AU"/>
      </w:rPr>
      <mc:AlternateContent>
        <mc:Choice Requires="wps">
          <w:drawing>
            <wp:anchor distT="0" distB="0" distL="114300" distR="114300" simplePos="0" relativeHeight="251655168" behindDoc="0" locked="0" layoutInCell="1" allowOverlap="1" wp14:anchorId="0EA5C1CF" wp14:editId="0808E09E">
              <wp:simplePos x="0" y="0"/>
              <wp:positionH relativeFrom="column">
                <wp:posOffset>0</wp:posOffset>
              </wp:positionH>
              <wp:positionV relativeFrom="paragraph">
                <wp:posOffset>-635</wp:posOffset>
              </wp:positionV>
              <wp:extent cx="2559050" cy="546100"/>
              <wp:effectExtent l="0" t="0" r="0" b="6350"/>
              <wp:wrapNone/>
              <wp:docPr id="685438844" name="Text Box 1"/>
              <wp:cNvGraphicFramePr/>
              <a:graphic xmlns:a="http://schemas.openxmlformats.org/drawingml/2006/main">
                <a:graphicData uri="http://schemas.microsoft.com/office/word/2010/wordprocessingShape">
                  <wps:wsp>
                    <wps:cNvSpPr txBox="1"/>
                    <wps:spPr>
                      <a:xfrm>
                        <a:off x="0" y="0"/>
                        <a:ext cx="2559050" cy="546100"/>
                      </a:xfrm>
                      <a:prstGeom prst="rect">
                        <a:avLst/>
                      </a:prstGeom>
                      <a:solidFill>
                        <a:schemeClr val="lt1"/>
                      </a:solidFill>
                      <a:ln w="6350">
                        <a:noFill/>
                      </a:ln>
                    </wps:spPr>
                    <wps:txbx>
                      <w:txbxContent>
                        <w:p w14:paraId="2E83330D" w14:textId="680DC5EB" w:rsidR="00930926" w:rsidRDefault="00930926" w:rsidP="00930926">
                          <w:r w:rsidRPr="003F0237">
                            <w:rPr>
                              <w:sz w:val="32"/>
                            </w:rPr>
                            <w:t xml:space="preserve">Appendix </w:t>
                          </w:r>
                          <w:r>
                            <w:rPr>
                              <w:sz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A5C1CF" id="_x0000_t202" coordsize="21600,21600" o:spt="202" path="m,l,21600r21600,l21600,xe">
              <v:stroke joinstyle="miter"/>
              <v:path gradientshapeok="t" o:connecttype="rect"/>
            </v:shapetype>
            <v:shape id="Text Box 1" o:spid="_x0000_s1053" type="#_x0000_t202" style="position:absolute;left:0;text-align:left;margin-left:0;margin-top:-.05pt;width:201.5pt;height:4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" fillcolor="white [3201]" stroked="f" strokeweight=".5pt">
              <v:textbox>
                <w:txbxContent>
                  <w:p w14:paraId="2E83330D" w14:textId="680DC5EB" w:rsidR="00930926" w:rsidRDefault="00930926" w:rsidP="00930926">
                    <w:r w:rsidRPr="003F0237">
                      <w:rPr>
                        <w:sz w:val="32"/>
                      </w:rPr>
                      <w:t xml:space="preserve">Appendix </w:t>
                    </w:r>
                    <w:r>
                      <w:rPr>
                        <w:sz w:val="32"/>
                      </w:rPr>
                      <w:t>A</w:t>
                    </w:r>
                  </w:p>
                </w:txbxContent>
              </v:textbox>
            </v:shape>
          </w:pict>
        </mc:Fallback>
      </mc:AlternateContent>
    </w:r>
    <w:r>
      <w:rPr>
        <w:noProof/>
        <w:lang w:eastAsia="en-AU"/>
      </w:rPr>
      <w:drawing>
        <wp:inline distT="0" distB="0" distL="0" distR="0" wp14:anchorId="75CB4A44" wp14:editId="140BAC77">
          <wp:extent cx="2821618" cy="947039"/>
          <wp:effectExtent l="0" t="0" r="0" b="5715"/>
          <wp:docPr id="1097446914" name="Picture 1097446914" descr="A blue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y text on a black background&#10;&#10;Description automatically generated"/>
                  <pic:cNvPicPr/>
                </pic:nvPicPr>
                <pic:blipFill>
                  <a:blip r:embed="rId1"/>
                  <a:stretch>
                    <a:fillRect/>
                  </a:stretch>
                </pic:blipFill>
                <pic:spPr>
                  <a:xfrm>
                    <a:off x="0" y="0"/>
                    <a:ext cx="2856931" cy="95889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AB64" w14:textId="666108E4" w:rsidR="00F05C60" w:rsidRDefault="00C37843" w:rsidP="00174533">
    <w:pPr>
      <w:pStyle w:val="Header"/>
      <w:spacing w:after="120"/>
    </w:pPr>
    <w:r>
      <w:rPr>
        <w:noProof/>
        <w:lang w:eastAsia="en-AU"/>
      </w:rPr>
      <mc:AlternateContent>
        <mc:Choice Requires="wps">
          <w:drawing>
            <wp:anchor distT="0" distB="0" distL="114300" distR="114300" simplePos="0" relativeHeight="251660288" behindDoc="0" locked="0" layoutInCell="1" allowOverlap="1" wp14:anchorId="339EF390" wp14:editId="73F2A1E4">
              <wp:simplePos x="0" y="0"/>
              <wp:positionH relativeFrom="column">
                <wp:posOffset>0</wp:posOffset>
              </wp:positionH>
              <wp:positionV relativeFrom="paragraph">
                <wp:posOffset>0</wp:posOffset>
              </wp:positionV>
              <wp:extent cx="2559050" cy="546100"/>
              <wp:effectExtent l="0" t="0" r="0" b="6350"/>
              <wp:wrapNone/>
              <wp:docPr id="545412302" name="Text Box 1"/>
              <wp:cNvGraphicFramePr/>
              <a:graphic xmlns:a="http://schemas.openxmlformats.org/drawingml/2006/main">
                <a:graphicData uri="http://schemas.microsoft.com/office/word/2010/wordprocessingShape">
                  <wps:wsp>
                    <wps:cNvSpPr txBox="1"/>
                    <wps:spPr>
                      <a:xfrm>
                        <a:off x="0" y="0"/>
                        <a:ext cx="2559050" cy="546100"/>
                      </a:xfrm>
                      <a:prstGeom prst="rect">
                        <a:avLst/>
                      </a:prstGeom>
                      <a:solidFill>
                        <a:schemeClr val="lt1"/>
                      </a:solidFill>
                      <a:ln w="6350">
                        <a:noFill/>
                      </a:ln>
                    </wps:spPr>
                    <wps:txbx>
                      <w:txbxContent>
                        <w:p w14:paraId="718A6C13" w14:textId="115DC0BB" w:rsidR="00C37843" w:rsidRDefault="00C37843" w:rsidP="00C37843">
                          <w:r w:rsidRPr="003F0237">
                            <w:rPr>
                              <w:sz w:val="32"/>
                            </w:rPr>
                            <w:t xml:space="preserve">Appendix </w:t>
                          </w:r>
                          <w:r>
                            <w:rPr>
                              <w:sz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9EF390" id="_x0000_t202" coordsize="21600,21600" o:spt="202" path="m,l,21600r21600,l21600,xe">
              <v:stroke joinstyle="miter"/>
              <v:path gradientshapeok="t" o:connecttype="rect"/>
            </v:shapetype>
            <v:shape id="_x0000_s1054" type="#_x0000_t202" style="position:absolute;margin-left:0;margin-top:0;width:201.5pt;height:4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" fillcolor="white [3201]" stroked="f" strokeweight=".5pt">
              <v:textbox>
                <w:txbxContent>
                  <w:p w14:paraId="718A6C13" w14:textId="115DC0BB" w:rsidR="00C37843" w:rsidRDefault="00C37843" w:rsidP="00C37843">
                    <w:r w:rsidRPr="003F0237">
                      <w:rPr>
                        <w:sz w:val="32"/>
                      </w:rPr>
                      <w:t xml:space="preserve">Appendix </w:t>
                    </w:r>
                    <w:r>
                      <w:rPr>
                        <w:sz w:val="32"/>
                      </w:rPr>
                      <w:t>B</w:t>
                    </w:r>
                  </w:p>
                </w:txbxContent>
              </v:textbox>
            </v:shape>
          </w:pict>
        </mc:Fallback>
      </mc:AlternateContent>
    </w:r>
    <w:r w:rsidR="00F05C60">
      <w:rPr>
        <w:noProof/>
        <w:lang w:eastAsia="en-AU"/>
      </w:rPr>
      <w:drawing>
        <wp:anchor distT="0" distB="0" distL="114300" distR="114300" simplePos="0" relativeHeight="251656192" behindDoc="1" locked="0" layoutInCell="1" allowOverlap="1" wp14:anchorId="5D17BE95" wp14:editId="69573774">
          <wp:simplePos x="0" y="0"/>
          <wp:positionH relativeFrom="page">
            <wp:posOffset>4362450</wp:posOffset>
          </wp:positionH>
          <wp:positionV relativeFrom="paragraph">
            <wp:posOffset>1905</wp:posOffset>
          </wp:positionV>
          <wp:extent cx="2805430" cy="941070"/>
          <wp:effectExtent l="0" t="0" r="0" b="0"/>
          <wp:wrapTight wrapText="bothSides">
            <wp:wrapPolygon edited="0">
              <wp:start x="5427" y="0"/>
              <wp:lineTo x="3373" y="0"/>
              <wp:lineTo x="0" y="4372"/>
              <wp:lineTo x="0" y="16178"/>
              <wp:lineTo x="6160" y="20988"/>
              <wp:lineTo x="7334" y="20988"/>
              <wp:lineTo x="13641" y="17490"/>
              <wp:lineTo x="13787" y="13992"/>
              <wp:lineTo x="10560" y="13992"/>
              <wp:lineTo x="21414" y="12243"/>
              <wp:lineTo x="21414" y="7433"/>
              <wp:lineTo x="18627" y="6559"/>
              <wp:lineTo x="18334" y="1749"/>
              <wp:lineTo x="6307" y="0"/>
              <wp:lineTo x="5427" y="0"/>
            </wp:wrapPolygon>
          </wp:wrapTight>
          <wp:docPr id="75696491" name="Picture 75696491" descr="A blu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49072" name="Picture 1387349072" descr="A blue and grey text on a black background&#10;&#10;AI-generated content may be incorrect."/>
                  <pic:cNvPicPr>
                    <a:picLocks noChangeAspect="1" noChangeArrowheads="1"/>
                  </pic:cNvPicPr>
                </pic:nvPicPr>
                <pic:blipFill>
                  <a:blip r:embed="rId1"/>
                  <a:stretch>
                    <a:fillRect/>
                  </a:stretch>
                </pic:blipFill>
                <pic:spPr bwMode="auto">
                  <a:xfrm>
                    <a:off x="0" y="0"/>
                    <a:ext cx="2805430" cy="941070"/>
                  </a:xfrm>
                  <a:prstGeom prst="rect">
                    <a:avLst/>
                  </a:prstGeom>
                  <a:noFill/>
                </pic:spPr>
              </pic:pic>
            </a:graphicData>
          </a:graphic>
          <wp14:sizeRelH relativeFrom="margin">
            <wp14:pctWidth>0</wp14:pctWidth>
          </wp14:sizeRelH>
          <wp14:sizeRelV relativeFrom="margin">
            <wp14:pctHeight>0</wp14:pctHeight>
          </wp14:sizeRelV>
        </wp:anchor>
      </w:drawing>
    </w:r>
  </w:p>
  <w:p w14:paraId="4570DEFD" w14:textId="77777777" w:rsidR="00F05C60" w:rsidRDefault="00F05C60" w:rsidP="00174533">
    <w:pPr>
      <w:pStyle w:val="Header"/>
      <w:spacing w:after="120"/>
    </w:pPr>
  </w:p>
  <w:p w14:paraId="16276A94" w14:textId="77777777" w:rsidR="00F05C60" w:rsidRDefault="00F05C60" w:rsidP="00174533">
    <w:pPr>
      <w:pStyle w:val="Header"/>
      <w:spacing w:after="120"/>
    </w:pPr>
  </w:p>
  <w:p w14:paraId="01305B01" w14:textId="77777777" w:rsidR="00F05C60" w:rsidRDefault="00F05C60" w:rsidP="00174533">
    <w:pPr>
      <w:pStyle w:val="Header"/>
      <w:spacing w:after="12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A23E" w14:textId="1E0CB080" w:rsidR="00717F43" w:rsidRDefault="00717F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D73E" w14:textId="53453063" w:rsidR="00717F43" w:rsidRDefault="00717F43" w:rsidP="0074207D"/>
  <w:p w14:paraId="2434BBD8" w14:textId="177A8B1A" w:rsidR="00717F43" w:rsidRDefault="00717F43" w:rsidP="009A5B0D"/>
  <w:p w14:paraId="77A832D5" w14:textId="77777777" w:rsidR="00717F43" w:rsidRDefault="00717F43" w:rsidP="009A5B0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EC413" w14:textId="77777777" w:rsidR="00C37843" w:rsidRDefault="00C37843" w:rsidP="0074207D">
    <w:r>
      <w:rPr>
        <w:noProof/>
        <w:lang w:eastAsia="en-AU"/>
      </w:rPr>
      <w:drawing>
        <wp:anchor distT="0" distB="0" distL="114300" distR="114300" simplePos="0" relativeHeight="251658240" behindDoc="0" locked="0" layoutInCell="1" allowOverlap="1" wp14:anchorId="6C09690F" wp14:editId="4010543E">
          <wp:simplePos x="0" y="0"/>
          <wp:positionH relativeFrom="page">
            <wp:posOffset>4305300</wp:posOffset>
          </wp:positionH>
          <wp:positionV relativeFrom="paragraph">
            <wp:posOffset>205740</wp:posOffset>
          </wp:positionV>
          <wp:extent cx="2742565" cy="920421"/>
          <wp:effectExtent l="0" t="0" r="635" b="0"/>
          <wp:wrapNone/>
          <wp:docPr id="699164875" name="Picture 69916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742565" cy="920421"/>
                  </a:xfrm>
                  <a:prstGeom prst="rect">
                    <a:avLst/>
                  </a:prstGeom>
                  <a:noFill/>
                </pic:spPr>
              </pic:pic>
            </a:graphicData>
          </a:graphic>
          <wp14:sizeRelH relativeFrom="margin">
            <wp14:pctWidth>0</wp14:pctWidth>
          </wp14:sizeRelH>
          <wp14:sizeRelV relativeFrom="margin">
            <wp14:pctHeight>0</wp14:pctHeight>
          </wp14:sizeRelV>
        </wp:anchor>
      </w:drawing>
    </w:r>
  </w:p>
  <w:p w14:paraId="4DF4F521" w14:textId="77777777" w:rsidR="00C37843" w:rsidRDefault="00C37843" w:rsidP="009A5B0D">
    <w:r>
      <w:rPr>
        <w:noProof/>
        <w:lang w:eastAsia="en-AU"/>
      </w:rPr>
      <mc:AlternateContent>
        <mc:Choice Requires="wps">
          <w:drawing>
            <wp:anchor distT="0" distB="0" distL="114300" distR="114300" simplePos="0" relativeHeight="251659264" behindDoc="0" locked="0" layoutInCell="1" allowOverlap="1" wp14:anchorId="4D7CA8A9" wp14:editId="425F48F1">
              <wp:simplePos x="0" y="0"/>
              <wp:positionH relativeFrom="column">
                <wp:posOffset>0</wp:posOffset>
              </wp:positionH>
              <wp:positionV relativeFrom="paragraph">
                <wp:posOffset>-635</wp:posOffset>
              </wp:positionV>
              <wp:extent cx="2559050" cy="546100"/>
              <wp:effectExtent l="0" t="0" r="0" b="6350"/>
              <wp:wrapNone/>
              <wp:docPr id="1914756942" name="Text Box 1"/>
              <wp:cNvGraphicFramePr/>
              <a:graphic xmlns:a="http://schemas.openxmlformats.org/drawingml/2006/main">
                <a:graphicData uri="http://schemas.microsoft.com/office/word/2010/wordprocessingShape">
                  <wps:wsp>
                    <wps:cNvSpPr txBox="1"/>
                    <wps:spPr>
                      <a:xfrm>
                        <a:off x="0" y="0"/>
                        <a:ext cx="2559050" cy="546100"/>
                      </a:xfrm>
                      <a:prstGeom prst="rect">
                        <a:avLst/>
                      </a:prstGeom>
                      <a:solidFill>
                        <a:schemeClr val="lt1"/>
                      </a:solidFill>
                      <a:ln w="6350">
                        <a:noFill/>
                      </a:ln>
                    </wps:spPr>
                    <wps:txbx>
                      <w:txbxContent>
                        <w:p w14:paraId="6ADD4F79" w14:textId="77777777" w:rsidR="00C37843" w:rsidRDefault="00C37843" w:rsidP="00930926">
                          <w:r w:rsidRPr="003F0237">
                            <w:rPr>
                              <w:sz w:val="32"/>
                            </w:rPr>
                            <w:t xml:space="preserve">Appendix </w:t>
                          </w:r>
                          <w:r>
                            <w:rPr>
                              <w:sz w:val="3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7CA8A9" id="_x0000_t202" coordsize="21600,21600" o:spt="202" path="m,l,21600r21600,l21600,xe">
              <v:stroke joinstyle="miter"/>
              <v:path gradientshapeok="t" o:connecttype="rect"/>
            </v:shapetype>
            <v:shape id="_x0000_s1055" type="#_x0000_t202" style="position:absolute;margin-left:0;margin-top:-.05pt;width:201.5pt;height:4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" fillcolor="white [3201]" stroked="f" strokeweight=".5pt">
              <v:textbox>
                <w:txbxContent>
                  <w:p w14:paraId="6ADD4F79" w14:textId="77777777" w:rsidR="00C37843" w:rsidRDefault="00C37843" w:rsidP="00930926">
                    <w:r w:rsidRPr="003F0237">
                      <w:rPr>
                        <w:sz w:val="32"/>
                      </w:rPr>
                      <w:t xml:space="preserve">Appendix </w:t>
                    </w:r>
                    <w:r>
                      <w:rPr>
                        <w:sz w:val="32"/>
                      </w:rPr>
                      <w:t>C</w:t>
                    </w:r>
                  </w:p>
                </w:txbxContent>
              </v:textbox>
            </v:shape>
          </w:pict>
        </mc:Fallback>
      </mc:AlternateContent>
    </w:r>
  </w:p>
  <w:p w14:paraId="496CBFDD" w14:textId="77777777" w:rsidR="00C37843" w:rsidRDefault="00C37843" w:rsidP="009A5B0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numFmt w:val="bullet"/>
      <w:lvlText w:val=""/>
      <w:lvlJc w:val="left"/>
      <w:pPr>
        <w:ind w:left="588" w:hanging="360"/>
      </w:pPr>
      <w:rPr>
        <w:rFonts w:ascii="Symbol" w:hAnsi="Symbol" w:cs="Symbol"/>
        <w:b w:val="0"/>
        <w:bCs w:val="0"/>
        <w:i w:val="0"/>
        <w:iCs w:val="0"/>
        <w:spacing w:val="0"/>
        <w:w w:val="99"/>
        <w:sz w:val="20"/>
        <w:szCs w:val="20"/>
      </w:rPr>
    </w:lvl>
    <w:lvl w:ilvl="1">
      <w:numFmt w:val="bullet"/>
      <w:lvlText w:val="-"/>
      <w:lvlJc w:val="left"/>
      <w:pPr>
        <w:ind w:left="1667" w:hanging="360"/>
      </w:pPr>
      <w:rPr>
        <w:rFonts w:ascii="Courier New" w:hAnsi="Courier New" w:cs="Courier New"/>
        <w:b w:val="0"/>
        <w:bCs w:val="0"/>
        <w:i w:val="0"/>
        <w:iCs w:val="0"/>
        <w:spacing w:val="0"/>
        <w:w w:val="99"/>
        <w:sz w:val="20"/>
        <w:szCs w:val="20"/>
      </w:rPr>
    </w:lvl>
    <w:lvl w:ilvl="2">
      <w:numFmt w:val="bullet"/>
      <w:lvlText w:val="•"/>
      <w:lvlJc w:val="left"/>
      <w:pPr>
        <w:ind w:left="2653" w:hanging="360"/>
      </w:pPr>
    </w:lvl>
    <w:lvl w:ilvl="3">
      <w:numFmt w:val="bullet"/>
      <w:lvlText w:val="•"/>
      <w:lvlJc w:val="left"/>
      <w:pPr>
        <w:ind w:left="3646" w:hanging="360"/>
      </w:pPr>
    </w:lvl>
    <w:lvl w:ilvl="4">
      <w:numFmt w:val="bullet"/>
      <w:lvlText w:val="•"/>
      <w:lvlJc w:val="left"/>
      <w:pPr>
        <w:ind w:left="4639" w:hanging="360"/>
      </w:pPr>
    </w:lvl>
    <w:lvl w:ilvl="5">
      <w:numFmt w:val="bullet"/>
      <w:lvlText w:val="•"/>
      <w:lvlJc w:val="left"/>
      <w:pPr>
        <w:ind w:left="5632" w:hanging="360"/>
      </w:pPr>
    </w:lvl>
    <w:lvl w:ilvl="6">
      <w:numFmt w:val="bullet"/>
      <w:lvlText w:val="•"/>
      <w:lvlJc w:val="left"/>
      <w:pPr>
        <w:ind w:left="6626" w:hanging="360"/>
      </w:pPr>
    </w:lvl>
    <w:lvl w:ilvl="7">
      <w:numFmt w:val="bullet"/>
      <w:lvlText w:val="•"/>
      <w:lvlJc w:val="left"/>
      <w:pPr>
        <w:ind w:left="7619" w:hanging="360"/>
      </w:pPr>
    </w:lvl>
    <w:lvl w:ilvl="8">
      <w:numFmt w:val="bullet"/>
      <w:lvlText w:val="•"/>
      <w:lvlJc w:val="left"/>
      <w:pPr>
        <w:ind w:left="8612" w:hanging="360"/>
      </w:pPr>
    </w:lvl>
  </w:abstractNum>
  <w:abstractNum w:abstractNumId="1" w15:restartNumberingAfterBreak="0">
    <w:nsid w:val="03021806"/>
    <w:multiLevelType w:val="multilevel"/>
    <w:tmpl w:val="2CE49436"/>
    <w:lvl w:ilvl="0">
      <w:start w:val="1"/>
      <w:numFmt w:val="decimal"/>
      <w:lvlText w:val="%1."/>
      <w:lvlJc w:val="left"/>
      <w:pPr>
        <w:ind w:left="738" w:hanging="369"/>
      </w:pPr>
      <w:rPr>
        <w:rFonts w:hint="default"/>
        <w:b w:val="0"/>
        <w:bCs/>
        <w:i w:val="0"/>
        <w:dstrike w:val="0"/>
        <w:noProof w:val="0"/>
        <w:color w:val="auto"/>
        <w:spacing w:val="0"/>
        <w:kern w:val="0"/>
        <w:position w:val="0"/>
        <w:sz w:val="20"/>
        <w:u w:val="none"/>
        <w:vertAlign w:val="baseline"/>
        <w:em w:val="none"/>
      </w:rPr>
    </w:lvl>
    <w:lvl w:ilvl="1">
      <w:start w:val="1"/>
      <w:numFmt w:val="lowerLetter"/>
      <w:lvlText w:val="%2)"/>
      <w:lvlJc w:val="left"/>
      <w:pPr>
        <w:ind w:left="1098" w:hanging="360"/>
      </w:pPr>
    </w:lvl>
    <w:lvl w:ilvl="2">
      <w:start w:val="1"/>
      <w:numFmt w:val="decimal"/>
      <w:lvlText w:val="%1.%2.%3"/>
      <w:lvlJc w:val="left"/>
      <w:pPr>
        <w:ind w:left="1503" w:hanging="397"/>
      </w:pPr>
      <w:rPr>
        <w:rFonts w:ascii="Arial" w:hAnsi="Arial" w:hint="default"/>
        <w:b w:val="0"/>
        <w:i w:val="0"/>
        <w:color w:val="auto"/>
        <w:sz w:val="20"/>
      </w:rPr>
    </w:lvl>
    <w:lvl w:ilvl="3">
      <w:start w:val="1"/>
      <w:numFmt w:val="decimal"/>
      <w:lvlText w:val="%1.%2.%3.%4."/>
      <w:lvlJc w:val="left"/>
      <w:pPr>
        <w:ind w:left="2097" w:hanging="648"/>
      </w:pPr>
      <w:rPr>
        <w:rFonts w:hint="default"/>
      </w:rPr>
    </w:lvl>
    <w:lvl w:ilvl="4">
      <w:start w:val="1"/>
      <w:numFmt w:val="decimal"/>
      <w:lvlText w:val="%1.%2.%3.%4.%5."/>
      <w:lvlJc w:val="left"/>
      <w:pPr>
        <w:ind w:left="2601" w:hanging="792"/>
      </w:pPr>
      <w:rPr>
        <w:rFonts w:hint="default"/>
      </w:rPr>
    </w:lvl>
    <w:lvl w:ilvl="5">
      <w:start w:val="1"/>
      <w:numFmt w:val="decimal"/>
      <w:lvlText w:val="%1.%2.%3.%4.%5.%6."/>
      <w:lvlJc w:val="left"/>
      <w:pPr>
        <w:ind w:left="3105" w:hanging="936"/>
      </w:pPr>
      <w:rPr>
        <w:rFonts w:hint="default"/>
      </w:rPr>
    </w:lvl>
    <w:lvl w:ilvl="6">
      <w:start w:val="1"/>
      <w:numFmt w:val="decimal"/>
      <w:lvlText w:val="%1.%2.%3.%4.%5.%6.%7."/>
      <w:lvlJc w:val="left"/>
      <w:pPr>
        <w:ind w:left="3609" w:hanging="1080"/>
      </w:pPr>
      <w:rPr>
        <w:rFonts w:hint="default"/>
      </w:rPr>
    </w:lvl>
    <w:lvl w:ilvl="7">
      <w:start w:val="1"/>
      <w:numFmt w:val="decimal"/>
      <w:lvlText w:val="%1.%2.%3.%4.%5.%6.%7.%8."/>
      <w:lvlJc w:val="left"/>
      <w:pPr>
        <w:ind w:left="4113" w:hanging="1224"/>
      </w:pPr>
      <w:rPr>
        <w:rFonts w:hint="default"/>
      </w:rPr>
    </w:lvl>
    <w:lvl w:ilvl="8">
      <w:start w:val="1"/>
      <w:numFmt w:val="decimal"/>
      <w:lvlText w:val="%1.%2.%3.%4.%5.%6.%7.%8.%9."/>
      <w:lvlJc w:val="left"/>
      <w:pPr>
        <w:ind w:left="4689" w:hanging="1440"/>
      </w:pPr>
      <w:rPr>
        <w:rFonts w:hint="default"/>
      </w:rPr>
    </w:lvl>
  </w:abstractNum>
  <w:abstractNum w:abstractNumId="2" w15:restartNumberingAfterBreak="0">
    <w:nsid w:val="035F0660"/>
    <w:multiLevelType w:val="hybridMultilevel"/>
    <w:tmpl w:val="8A6836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B42B23"/>
    <w:multiLevelType w:val="hybridMultilevel"/>
    <w:tmpl w:val="980ECF98"/>
    <w:lvl w:ilvl="0" w:tplc="816696CA">
      <w:start w:val="1"/>
      <w:numFmt w:val="decimal"/>
      <w:pStyle w:val="AHPRAbodyContextparanumbered"/>
      <w:lvlText w:val="%1."/>
      <w:lvlJc w:val="left"/>
      <w:pPr>
        <w:ind w:left="360" w:hanging="360"/>
      </w:pPr>
      <w:rPr>
        <w:rFonts w:ascii="Arial" w:hAnsi="Arial" w:hint="default"/>
        <w:b w:val="0"/>
        <w:i w:val="0"/>
        <w:color w:val="auto"/>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B3674"/>
    <w:multiLevelType w:val="multilevel"/>
    <w:tmpl w:val="A0347692"/>
    <w:styleLink w:val="AHPRABullets"/>
    <w:lvl w:ilvl="0">
      <w:start w:val="1"/>
      <w:numFmt w:val="bullet"/>
      <w:pStyle w:val="BodyTextBullets"/>
      <w:lvlText w:val=""/>
      <w:lvlJc w:val="left"/>
      <w:pPr>
        <w:ind w:left="369" w:hanging="369"/>
      </w:pPr>
      <w:rPr>
        <w:rFonts w:ascii="Symbol" w:hAnsi="Symbol" w:hint="default"/>
      </w:rPr>
    </w:lvl>
    <w:lvl w:ilvl="1">
      <w:start w:val="1"/>
      <w:numFmt w:val="bullet"/>
      <w:pStyle w:val="BodyTextBullets2"/>
      <w:lvlText w:val=""/>
      <w:lvlJc w:val="left"/>
      <w:pPr>
        <w:ind w:left="737" w:hanging="368"/>
      </w:pPr>
      <w:rPr>
        <w:rFonts w:ascii="Symbol" w:hAnsi="Symbol" w:hint="default"/>
        <w:color w:val="auto"/>
      </w:rPr>
    </w:lvl>
    <w:lvl w:ilvl="2">
      <w:start w:val="1"/>
      <w:numFmt w:val="bullet"/>
      <w:pStyle w:val="BodyTextBullets3"/>
      <w:lvlText w:val="o"/>
      <w:lvlJc w:val="left"/>
      <w:pPr>
        <w:ind w:left="1106" w:hanging="369"/>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567AD"/>
    <w:multiLevelType w:val="hybridMultilevel"/>
    <w:tmpl w:val="6D688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15:restartNumberingAfterBreak="0">
    <w:nsid w:val="0C037DB3"/>
    <w:multiLevelType w:val="multilevel"/>
    <w:tmpl w:val="BE20683A"/>
    <w:numStyleLink w:val="AHPRANumberedheadinglist"/>
  </w:abstractNum>
  <w:abstractNum w:abstractNumId="8" w15:restartNumberingAfterBreak="0">
    <w:nsid w:val="0C69371C"/>
    <w:multiLevelType w:val="multilevel"/>
    <w:tmpl w:val="B2D40500"/>
    <w:lvl w:ilvl="0">
      <w:start w:val="1"/>
      <w:numFmt w:val="decimal"/>
      <w:pStyle w:val="List"/>
      <w:lvlText w:val="%1"/>
      <w:lvlJc w:val="left"/>
      <w:pPr>
        <w:ind w:left="403" w:hanging="288"/>
      </w:pPr>
      <w:rPr>
        <w:rFonts w:hint="default"/>
        <w:color w:val="4F81BD" w:themeColor="accent1"/>
      </w:rPr>
    </w:lvl>
    <w:lvl w:ilvl="1">
      <w:start w:val="1"/>
      <w:numFmt w:val="lowerRoman"/>
      <w:lvlText w:val="%2"/>
      <w:lvlJc w:val="left"/>
      <w:pPr>
        <w:ind w:left="691" w:hanging="288"/>
      </w:pPr>
      <w:rPr>
        <w:rFonts w:hint="default"/>
        <w:color w:val="4F81BD" w:themeColor="accent1"/>
      </w:rPr>
    </w:lvl>
    <w:lvl w:ilvl="2">
      <w:start w:val="1"/>
      <w:numFmt w:val="upperRoman"/>
      <w:lvlText w:val="%3"/>
      <w:lvlJc w:val="left"/>
      <w:pPr>
        <w:ind w:left="979" w:hanging="288"/>
      </w:pPr>
      <w:rPr>
        <w:rFonts w:hint="default"/>
        <w:color w:val="4F81BD"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9" w15:restartNumberingAfterBreak="0">
    <w:nsid w:val="0C746E66"/>
    <w:multiLevelType w:val="hybridMultilevel"/>
    <w:tmpl w:val="1C5EC25E"/>
    <w:lvl w:ilvl="0" w:tplc="2452CBD2">
      <w:start w:val="1"/>
      <w:numFmt w:val="decimal"/>
      <w:lvlText w:val="%1."/>
      <w:lvlJc w:val="left"/>
      <w:pPr>
        <w:ind w:left="545" w:hanging="425"/>
      </w:pPr>
      <w:rPr>
        <w:rFonts w:ascii="Arial" w:eastAsia="Arial" w:hAnsi="Arial" w:cs="Arial" w:hint="default"/>
        <w:b w:val="0"/>
        <w:bCs w:val="0"/>
        <w:i w:val="0"/>
        <w:iCs w:val="0"/>
        <w:spacing w:val="-1"/>
        <w:w w:val="99"/>
        <w:sz w:val="20"/>
        <w:szCs w:val="20"/>
        <w:lang w:val="en-US" w:eastAsia="en-US" w:bidi="ar-SA"/>
      </w:rPr>
    </w:lvl>
    <w:lvl w:ilvl="1" w:tplc="BBA401B8">
      <w:numFmt w:val="bullet"/>
      <w:lvlText w:val="•"/>
      <w:lvlJc w:val="left"/>
      <w:pPr>
        <w:ind w:left="1473" w:hanging="425"/>
      </w:pPr>
      <w:rPr>
        <w:rFonts w:hint="default"/>
        <w:lang w:val="en-US" w:eastAsia="en-US" w:bidi="ar-SA"/>
      </w:rPr>
    </w:lvl>
    <w:lvl w:ilvl="2" w:tplc="4E463982">
      <w:numFmt w:val="bullet"/>
      <w:lvlText w:val="•"/>
      <w:lvlJc w:val="left"/>
      <w:pPr>
        <w:ind w:left="2407" w:hanging="425"/>
      </w:pPr>
      <w:rPr>
        <w:rFonts w:hint="default"/>
        <w:lang w:val="en-US" w:eastAsia="en-US" w:bidi="ar-SA"/>
      </w:rPr>
    </w:lvl>
    <w:lvl w:ilvl="3" w:tplc="A54A8358">
      <w:numFmt w:val="bullet"/>
      <w:lvlText w:val="•"/>
      <w:lvlJc w:val="left"/>
      <w:pPr>
        <w:ind w:left="3341" w:hanging="425"/>
      </w:pPr>
      <w:rPr>
        <w:rFonts w:hint="default"/>
        <w:lang w:val="en-US" w:eastAsia="en-US" w:bidi="ar-SA"/>
      </w:rPr>
    </w:lvl>
    <w:lvl w:ilvl="4" w:tplc="58A65982">
      <w:numFmt w:val="bullet"/>
      <w:lvlText w:val="•"/>
      <w:lvlJc w:val="left"/>
      <w:pPr>
        <w:ind w:left="4275" w:hanging="425"/>
      </w:pPr>
      <w:rPr>
        <w:rFonts w:hint="default"/>
        <w:lang w:val="en-US" w:eastAsia="en-US" w:bidi="ar-SA"/>
      </w:rPr>
    </w:lvl>
    <w:lvl w:ilvl="5" w:tplc="276A7398">
      <w:numFmt w:val="bullet"/>
      <w:lvlText w:val="•"/>
      <w:lvlJc w:val="left"/>
      <w:pPr>
        <w:ind w:left="5209" w:hanging="425"/>
      </w:pPr>
      <w:rPr>
        <w:rFonts w:hint="default"/>
        <w:lang w:val="en-US" w:eastAsia="en-US" w:bidi="ar-SA"/>
      </w:rPr>
    </w:lvl>
    <w:lvl w:ilvl="6" w:tplc="29726BF2">
      <w:numFmt w:val="bullet"/>
      <w:lvlText w:val="•"/>
      <w:lvlJc w:val="left"/>
      <w:pPr>
        <w:ind w:left="6143" w:hanging="425"/>
      </w:pPr>
      <w:rPr>
        <w:rFonts w:hint="default"/>
        <w:lang w:val="en-US" w:eastAsia="en-US" w:bidi="ar-SA"/>
      </w:rPr>
    </w:lvl>
    <w:lvl w:ilvl="7" w:tplc="AEBE47EE">
      <w:numFmt w:val="bullet"/>
      <w:lvlText w:val="•"/>
      <w:lvlJc w:val="left"/>
      <w:pPr>
        <w:ind w:left="7077" w:hanging="425"/>
      </w:pPr>
      <w:rPr>
        <w:rFonts w:hint="default"/>
        <w:lang w:val="en-US" w:eastAsia="en-US" w:bidi="ar-SA"/>
      </w:rPr>
    </w:lvl>
    <w:lvl w:ilvl="8" w:tplc="F2066EFE">
      <w:numFmt w:val="bullet"/>
      <w:lvlText w:val="•"/>
      <w:lvlJc w:val="left"/>
      <w:pPr>
        <w:ind w:left="8011" w:hanging="425"/>
      </w:pPr>
      <w:rPr>
        <w:rFonts w:hint="default"/>
        <w:lang w:val="en-US" w:eastAsia="en-US" w:bidi="ar-SA"/>
      </w:rPr>
    </w:lvl>
  </w:abstractNum>
  <w:abstractNum w:abstractNumId="10"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7317200"/>
    <w:multiLevelType w:val="hybridMultilevel"/>
    <w:tmpl w:val="671C3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D9241C"/>
    <w:multiLevelType w:val="hybridMultilevel"/>
    <w:tmpl w:val="F08CDA4A"/>
    <w:lvl w:ilvl="0" w:tplc="E834D39E">
      <w:start w:val="1"/>
      <w:numFmt w:val="decimal"/>
      <w:lvlText w:val="%1."/>
      <w:lvlJc w:val="left"/>
      <w:pPr>
        <w:ind w:left="36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296F27"/>
    <w:multiLevelType w:val="multilevel"/>
    <w:tmpl w:val="2D986C52"/>
    <w:lvl w:ilvl="0">
      <w:start w:val="1"/>
      <w:numFmt w:val="decimal"/>
      <w:pStyle w:val="ListNumber"/>
      <w:lvlText w:val="%1."/>
      <w:lvlJc w:val="left"/>
      <w:pPr>
        <w:ind w:left="369" w:hanging="369"/>
      </w:pPr>
      <w:rPr>
        <w:rFonts w:ascii="Arial" w:hAnsi="Arial" w:hint="default"/>
        <w:b w:val="0"/>
        <w:i w:val="0"/>
        <w:color w:val="auto"/>
        <w:sz w:val="20"/>
      </w:rPr>
    </w:lvl>
    <w:lvl w:ilvl="1">
      <w:start w:val="1"/>
      <w:numFmt w:val="decimal"/>
      <w:pStyle w:val="ListNumber2"/>
      <w:lvlText w:val="%1.%2"/>
      <w:lvlJc w:val="left"/>
      <w:pPr>
        <w:ind w:left="1021" w:hanging="652"/>
      </w:pPr>
      <w:rPr>
        <w:rFonts w:ascii="Arial" w:hAnsi="Arial" w:hint="default"/>
        <w:b w:val="0"/>
        <w:i w:val="0"/>
        <w:color w:val="auto"/>
        <w:sz w:val="20"/>
      </w:rPr>
    </w:lvl>
    <w:lvl w:ilvl="2">
      <w:start w:val="1"/>
      <w:numFmt w:val="decimal"/>
      <w:pStyle w:val="ListNumber3"/>
      <w:lvlText w:val="%1.%2.%3"/>
      <w:lvlJc w:val="left"/>
      <w:pPr>
        <w:ind w:left="1871" w:hanging="850"/>
      </w:pPr>
      <w:rPr>
        <w:rFonts w:ascii="Arial" w:hAnsi="Arial" w:hint="default"/>
        <w:b w:val="0"/>
        <w:i w:val="0"/>
        <w:color w:val="auto"/>
        <w:sz w:val="20"/>
      </w:rPr>
    </w:lvl>
    <w:lvl w:ilvl="3">
      <w:start w:val="1"/>
      <w:numFmt w:val="lowerLetter"/>
      <w:lvlText w:val="(%4)"/>
      <w:lvlJc w:val="left"/>
      <w:pPr>
        <w:ind w:left="2268" w:hanging="397"/>
      </w:pPr>
      <w:rPr>
        <w:rFonts w:hint="default"/>
      </w:rPr>
    </w:lvl>
    <w:lvl w:ilvl="4">
      <w:start w:val="1"/>
      <w:numFmt w:val="lowerRoman"/>
      <w:lvlText w:val="(%5)"/>
      <w:lvlJc w:val="left"/>
      <w:pPr>
        <w:ind w:left="2665" w:hanging="397"/>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5" w15:restartNumberingAfterBreak="0">
    <w:nsid w:val="1FCB5BE0"/>
    <w:multiLevelType w:val="multilevel"/>
    <w:tmpl w:val="957E7A6A"/>
    <w:styleLink w:val="AHPRAListBullets"/>
    <w:lvl w:ilvl="0">
      <w:start w:val="1"/>
      <w:numFmt w:val="bullet"/>
      <w:pStyle w:val="ListBullet1a"/>
      <w:lvlText w:val=""/>
      <w:lvlJc w:val="left"/>
      <w:pPr>
        <w:ind w:left="737" w:hanging="368"/>
      </w:pPr>
      <w:rPr>
        <w:rFonts w:ascii="Symbol" w:hAnsi="Symbol" w:hint="default"/>
      </w:rPr>
    </w:lvl>
    <w:lvl w:ilvl="1">
      <w:start w:val="1"/>
      <w:numFmt w:val="bullet"/>
      <w:lvlText w:val=""/>
      <w:lvlJc w:val="left"/>
      <w:pPr>
        <w:ind w:left="1389" w:hanging="368"/>
      </w:pPr>
      <w:rPr>
        <w:rFonts w:ascii="Symbol" w:hAnsi="Symbol" w:hint="default"/>
        <w:color w:val="auto"/>
      </w:rPr>
    </w:lvl>
    <w:lvl w:ilvl="2">
      <w:start w:val="1"/>
      <w:numFmt w:val="bullet"/>
      <w:lvlText w:val=""/>
      <w:lvlJc w:val="left"/>
      <w:pPr>
        <w:ind w:left="2240" w:hanging="369"/>
      </w:pPr>
      <w:rPr>
        <w:rFonts w:ascii="Symbol" w:hAnsi="Symbol" w:hint="default"/>
      </w:rPr>
    </w:lvl>
    <w:lvl w:ilvl="3">
      <w:start w:val="1"/>
      <w:numFmt w:val="bullet"/>
      <w:pStyle w:val="ListBullet1b"/>
      <w:lvlText w:val=""/>
      <w:lvlJc w:val="left"/>
      <w:pPr>
        <w:ind w:left="1021" w:hanging="284"/>
      </w:pPr>
      <w:rPr>
        <w:rFonts w:ascii="Symbol" w:hAnsi="Symbol" w:hint="default"/>
        <w:color w:val="auto"/>
      </w:rPr>
    </w:lvl>
    <w:lvl w:ilvl="4">
      <w:start w:val="1"/>
      <w:numFmt w:val="bullet"/>
      <w:lvlText w:val=""/>
      <w:lvlJc w:val="left"/>
      <w:pPr>
        <w:ind w:left="1673" w:hanging="284"/>
      </w:pPr>
      <w:rPr>
        <w:rFonts w:ascii="Symbol" w:hAnsi="Symbol" w:hint="default"/>
        <w:color w:val="auto"/>
      </w:rPr>
    </w:lvl>
    <w:lvl w:ilvl="5">
      <w:start w:val="1"/>
      <w:numFmt w:val="bullet"/>
      <w:lvlText w:val=""/>
      <w:lvlJc w:val="left"/>
      <w:pPr>
        <w:ind w:left="2126" w:hanging="368"/>
      </w:pPr>
      <w:rPr>
        <w:rFonts w:ascii="Symbol" w:hAnsi="Symbol" w:hint="default"/>
        <w:color w:val="auto"/>
      </w:rPr>
    </w:lvl>
    <w:lvl w:ilvl="6">
      <w:start w:val="1"/>
      <w:numFmt w:val="bullet"/>
      <w:pStyle w:val="ListBullet1c"/>
      <w:lvlText w:val="o"/>
      <w:lvlJc w:val="left"/>
      <w:pPr>
        <w:ind w:left="1389" w:hanging="368"/>
      </w:pPr>
      <w:rPr>
        <w:rFonts w:ascii="Courier New" w:hAnsi="Courier New" w:hint="default"/>
      </w:rPr>
    </w:lvl>
    <w:lvl w:ilvl="7">
      <w:start w:val="1"/>
      <w:numFmt w:val="bullet"/>
      <w:lvlText w:val="o"/>
      <w:lvlJc w:val="left"/>
      <w:pPr>
        <w:ind w:left="2041" w:hanging="368"/>
      </w:pPr>
      <w:rPr>
        <w:rFonts w:ascii="Courier New" w:hAnsi="Courier New" w:hint="default"/>
        <w:color w:val="auto"/>
      </w:rPr>
    </w:lvl>
    <w:lvl w:ilvl="8">
      <w:start w:val="1"/>
      <w:numFmt w:val="bullet"/>
      <w:lvlText w:val="o"/>
      <w:lvlJc w:val="left"/>
      <w:pPr>
        <w:ind w:left="2977" w:hanging="369"/>
      </w:pPr>
      <w:rPr>
        <w:rFonts w:ascii="Courier New" w:hAnsi="Courier New" w:hint="default"/>
      </w:rPr>
    </w:lvl>
  </w:abstractNum>
  <w:abstractNum w:abstractNumId="16" w15:restartNumberingAfterBreak="0">
    <w:nsid w:val="26D44EB1"/>
    <w:multiLevelType w:val="hybridMultilevel"/>
    <w:tmpl w:val="3D044274"/>
    <w:lvl w:ilvl="0" w:tplc="AB0C8098">
      <w:numFmt w:val="bullet"/>
      <w:lvlText w:val=""/>
      <w:lvlJc w:val="left"/>
      <w:pPr>
        <w:ind w:left="547" w:hanging="428"/>
      </w:pPr>
      <w:rPr>
        <w:rFonts w:ascii="Symbol" w:eastAsia="Symbol" w:hAnsi="Symbol" w:cs="Symbol" w:hint="default"/>
        <w:b w:val="0"/>
        <w:bCs w:val="0"/>
        <w:i w:val="0"/>
        <w:iCs w:val="0"/>
        <w:spacing w:val="0"/>
        <w:w w:val="99"/>
        <w:sz w:val="20"/>
        <w:szCs w:val="20"/>
        <w:lang w:val="en-US" w:eastAsia="en-US" w:bidi="ar-SA"/>
      </w:rPr>
    </w:lvl>
    <w:lvl w:ilvl="1" w:tplc="C53E921C">
      <w:numFmt w:val="bullet"/>
      <w:lvlText w:val="•"/>
      <w:lvlJc w:val="left"/>
      <w:pPr>
        <w:ind w:left="1473" w:hanging="428"/>
      </w:pPr>
      <w:rPr>
        <w:rFonts w:hint="default"/>
        <w:lang w:val="en-US" w:eastAsia="en-US" w:bidi="ar-SA"/>
      </w:rPr>
    </w:lvl>
    <w:lvl w:ilvl="2" w:tplc="E23EFA84">
      <w:numFmt w:val="bullet"/>
      <w:lvlText w:val="•"/>
      <w:lvlJc w:val="left"/>
      <w:pPr>
        <w:ind w:left="2407" w:hanging="428"/>
      </w:pPr>
      <w:rPr>
        <w:rFonts w:hint="default"/>
        <w:lang w:val="en-US" w:eastAsia="en-US" w:bidi="ar-SA"/>
      </w:rPr>
    </w:lvl>
    <w:lvl w:ilvl="3" w:tplc="426C9CA4">
      <w:numFmt w:val="bullet"/>
      <w:lvlText w:val="•"/>
      <w:lvlJc w:val="left"/>
      <w:pPr>
        <w:ind w:left="3341" w:hanging="428"/>
      </w:pPr>
      <w:rPr>
        <w:rFonts w:hint="default"/>
        <w:lang w:val="en-US" w:eastAsia="en-US" w:bidi="ar-SA"/>
      </w:rPr>
    </w:lvl>
    <w:lvl w:ilvl="4" w:tplc="B9D8252E">
      <w:numFmt w:val="bullet"/>
      <w:lvlText w:val="•"/>
      <w:lvlJc w:val="left"/>
      <w:pPr>
        <w:ind w:left="4275" w:hanging="428"/>
      </w:pPr>
      <w:rPr>
        <w:rFonts w:hint="default"/>
        <w:lang w:val="en-US" w:eastAsia="en-US" w:bidi="ar-SA"/>
      </w:rPr>
    </w:lvl>
    <w:lvl w:ilvl="5" w:tplc="CE64492E">
      <w:numFmt w:val="bullet"/>
      <w:lvlText w:val="•"/>
      <w:lvlJc w:val="left"/>
      <w:pPr>
        <w:ind w:left="5209" w:hanging="428"/>
      </w:pPr>
      <w:rPr>
        <w:rFonts w:hint="default"/>
        <w:lang w:val="en-US" w:eastAsia="en-US" w:bidi="ar-SA"/>
      </w:rPr>
    </w:lvl>
    <w:lvl w:ilvl="6" w:tplc="CDC6AA06">
      <w:numFmt w:val="bullet"/>
      <w:lvlText w:val="•"/>
      <w:lvlJc w:val="left"/>
      <w:pPr>
        <w:ind w:left="6143" w:hanging="428"/>
      </w:pPr>
      <w:rPr>
        <w:rFonts w:hint="default"/>
        <w:lang w:val="en-US" w:eastAsia="en-US" w:bidi="ar-SA"/>
      </w:rPr>
    </w:lvl>
    <w:lvl w:ilvl="7" w:tplc="25A80B42">
      <w:numFmt w:val="bullet"/>
      <w:lvlText w:val="•"/>
      <w:lvlJc w:val="left"/>
      <w:pPr>
        <w:ind w:left="7077" w:hanging="428"/>
      </w:pPr>
      <w:rPr>
        <w:rFonts w:hint="default"/>
        <w:lang w:val="en-US" w:eastAsia="en-US" w:bidi="ar-SA"/>
      </w:rPr>
    </w:lvl>
    <w:lvl w:ilvl="8" w:tplc="439E89BC">
      <w:numFmt w:val="bullet"/>
      <w:lvlText w:val="•"/>
      <w:lvlJc w:val="left"/>
      <w:pPr>
        <w:ind w:left="8011" w:hanging="428"/>
      </w:pPr>
      <w:rPr>
        <w:rFonts w:hint="default"/>
        <w:lang w:val="en-US" w:eastAsia="en-US" w:bidi="ar-SA"/>
      </w:rPr>
    </w:lvl>
  </w:abstractNum>
  <w:abstractNum w:abstractNumId="17" w15:restartNumberingAfterBreak="0">
    <w:nsid w:val="2727390F"/>
    <w:multiLevelType w:val="hybridMultilevel"/>
    <w:tmpl w:val="544C721A"/>
    <w:lvl w:ilvl="0" w:tplc="0C09000F">
      <w:start w:val="1"/>
      <w:numFmt w:val="decimal"/>
      <w:lvlText w:val="%1."/>
      <w:lvlJc w:val="left"/>
      <w:pPr>
        <w:ind w:left="644" w:hanging="360"/>
      </w:pPr>
      <w:rPr>
        <w:rFonts w:hint="default"/>
      </w:rPr>
    </w:lvl>
    <w:lvl w:ilvl="1" w:tplc="0C090019" w:tentative="1">
      <w:start w:val="1"/>
      <w:numFmt w:val="bullet"/>
      <w:lvlText w:val="o"/>
      <w:lvlJc w:val="left"/>
      <w:pPr>
        <w:ind w:left="1364" w:hanging="360"/>
      </w:pPr>
      <w:rPr>
        <w:rFonts w:ascii="Courier New" w:hAnsi="Courier New" w:cs="Courier New" w:hint="default"/>
      </w:rPr>
    </w:lvl>
    <w:lvl w:ilvl="2" w:tplc="0C09001B" w:tentative="1">
      <w:start w:val="1"/>
      <w:numFmt w:val="bullet"/>
      <w:lvlText w:val=""/>
      <w:lvlJc w:val="left"/>
      <w:pPr>
        <w:ind w:left="2084" w:hanging="360"/>
      </w:pPr>
      <w:rPr>
        <w:rFonts w:ascii="Wingdings" w:hAnsi="Wingdings" w:hint="default"/>
      </w:rPr>
    </w:lvl>
    <w:lvl w:ilvl="3" w:tplc="0C09000F" w:tentative="1">
      <w:start w:val="1"/>
      <w:numFmt w:val="bullet"/>
      <w:lvlText w:val=""/>
      <w:lvlJc w:val="left"/>
      <w:pPr>
        <w:ind w:left="2804" w:hanging="360"/>
      </w:pPr>
      <w:rPr>
        <w:rFonts w:ascii="Symbol" w:hAnsi="Symbol" w:hint="default"/>
      </w:rPr>
    </w:lvl>
    <w:lvl w:ilvl="4" w:tplc="0C090019" w:tentative="1">
      <w:start w:val="1"/>
      <w:numFmt w:val="bullet"/>
      <w:lvlText w:val="o"/>
      <w:lvlJc w:val="left"/>
      <w:pPr>
        <w:ind w:left="3524" w:hanging="360"/>
      </w:pPr>
      <w:rPr>
        <w:rFonts w:ascii="Courier New" w:hAnsi="Courier New" w:cs="Courier New" w:hint="default"/>
      </w:rPr>
    </w:lvl>
    <w:lvl w:ilvl="5" w:tplc="0C09001B" w:tentative="1">
      <w:start w:val="1"/>
      <w:numFmt w:val="bullet"/>
      <w:lvlText w:val=""/>
      <w:lvlJc w:val="left"/>
      <w:pPr>
        <w:ind w:left="4244" w:hanging="360"/>
      </w:pPr>
      <w:rPr>
        <w:rFonts w:ascii="Wingdings" w:hAnsi="Wingdings" w:hint="default"/>
      </w:rPr>
    </w:lvl>
    <w:lvl w:ilvl="6" w:tplc="0C09000F" w:tentative="1">
      <w:start w:val="1"/>
      <w:numFmt w:val="bullet"/>
      <w:lvlText w:val=""/>
      <w:lvlJc w:val="left"/>
      <w:pPr>
        <w:ind w:left="4964" w:hanging="360"/>
      </w:pPr>
      <w:rPr>
        <w:rFonts w:ascii="Symbol" w:hAnsi="Symbol" w:hint="default"/>
      </w:rPr>
    </w:lvl>
    <w:lvl w:ilvl="7" w:tplc="0C090019" w:tentative="1">
      <w:start w:val="1"/>
      <w:numFmt w:val="bullet"/>
      <w:lvlText w:val="o"/>
      <w:lvlJc w:val="left"/>
      <w:pPr>
        <w:ind w:left="5684" w:hanging="360"/>
      </w:pPr>
      <w:rPr>
        <w:rFonts w:ascii="Courier New" w:hAnsi="Courier New" w:cs="Courier New" w:hint="default"/>
      </w:rPr>
    </w:lvl>
    <w:lvl w:ilvl="8" w:tplc="0C09001B" w:tentative="1">
      <w:start w:val="1"/>
      <w:numFmt w:val="bullet"/>
      <w:lvlText w:val=""/>
      <w:lvlJc w:val="left"/>
      <w:pPr>
        <w:ind w:left="6404" w:hanging="360"/>
      </w:pPr>
      <w:rPr>
        <w:rFonts w:ascii="Wingdings" w:hAnsi="Wingdings" w:hint="default"/>
      </w:rPr>
    </w:lvl>
  </w:abstractNum>
  <w:abstractNum w:abstractNumId="18" w15:restartNumberingAfterBreak="0">
    <w:nsid w:val="2748423F"/>
    <w:multiLevelType w:val="hybridMultilevel"/>
    <w:tmpl w:val="D3CA6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ABA4BD9"/>
    <w:multiLevelType w:val="hybridMultilevel"/>
    <w:tmpl w:val="FDCAE096"/>
    <w:lvl w:ilvl="0" w:tplc="99DE6CF0">
      <w:start w:val="1"/>
      <w:numFmt w:val="lowerLetter"/>
      <w:lvlText w:val="(%1)"/>
      <w:lvlJc w:val="left"/>
      <w:pPr>
        <w:ind w:left="465" w:hanging="358"/>
      </w:pPr>
      <w:rPr>
        <w:rFonts w:ascii="Arial" w:eastAsia="Arial" w:hAnsi="Arial" w:cs="Arial" w:hint="default"/>
        <w:b w:val="0"/>
        <w:bCs w:val="0"/>
        <w:i w:val="0"/>
        <w:iCs w:val="0"/>
        <w:color w:val="252525"/>
        <w:spacing w:val="0"/>
        <w:w w:val="100"/>
        <w:sz w:val="17"/>
        <w:szCs w:val="17"/>
        <w:lang w:val="en-US" w:eastAsia="en-US" w:bidi="ar-SA"/>
      </w:rPr>
    </w:lvl>
    <w:lvl w:ilvl="1" w:tplc="BA12F72E">
      <w:numFmt w:val="bullet"/>
      <w:lvlText w:val=""/>
      <w:lvlJc w:val="left"/>
      <w:pPr>
        <w:ind w:left="825" w:hanging="360"/>
      </w:pPr>
      <w:rPr>
        <w:rFonts w:ascii="Symbol" w:eastAsia="Symbol" w:hAnsi="Symbol" w:cs="Symbol" w:hint="default"/>
        <w:b w:val="0"/>
        <w:bCs w:val="0"/>
        <w:i w:val="0"/>
        <w:iCs w:val="0"/>
        <w:spacing w:val="0"/>
        <w:w w:val="100"/>
        <w:sz w:val="17"/>
        <w:szCs w:val="17"/>
        <w:lang w:val="en-US" w:eastAsia="en-US" w:bidi="ar-SA"/>
      </w:rPr>
    </w:lvl>
    <w:lvl w:ilvl="2" w:tplc="2DA0C64C">
      <w:numFmt w:val="bullet"/>
      <w:lvlText w:val="•"/>
      <w:lvlJc w:val="left"/>
      <w:pPr>
        <w:ind w:left="1281" w:hanging="360"/>
      </w:pPr>
      <w:rPr>
        <w:rFonts w:hint="default"/>
        <w:lang w:val="en-US" w:eastAsia="en-US" w:bidi="ar-SA"/>
      </w:rPr>
    </w:lvl>
    <w:lvl w:ilvl="3" w:tplc="CECCE3E2">
      <w:numFmt w:val="bullet"/>
      <w:lvlText w:val="•"/>
      <w:lvlJc w:val="left"/>
      <w:pPr>
        <w:ind w:left="1743" w:hanging="360"/>
      </w:pPr>
      <w:rPr>
        <w:rFonts w:hint="default"/>
        <w:lang w:val="en-US" w:eastAsia="en-US" w:bidi="ar-SA"/>
      </w:rPr>
    </w:lvl>
    <w:lvl w:ilvl="4" w:tplc="184A3F80">
      <w:numFmt w:val="bullet"/>
      <w:lvlText w:val="•"/>
      <w:lvlJc w:val="left"/>
      <w:pPr>
        <w:ind w:left="2204" w:hanging="360"/>
      </w:pPr>
      <w:rPr>
        <w:rFonts w:hint="default"/>
        <w:lang w:val="en-US" w:eastAsia="en-US" w:bidi="ar-SA"/>
      </w:rPr>
    </w:lvl>
    <w:lvl w:ilvl="5" w:tplc="8E56EDFE">
      <w:numFmt w:val="bullet"/>
      <w:lvlText w:val="•"/>
      <w:lvlJc w:val="left"/>
      <w:pPr>
        <w:ind w:left="2666" w:hanging="360"/>
      </w:pPr>
      <w:rPr>
        <w:rFonts w:hint="default"/>
        <w:lang w:val="en-US" w:eastAsia="en-US" w:bidi="ar-SA"/>
      </w:rPr>
    </w:lvl>
    <w:lvl w:ilvl="6" w:tplc="B8E48CC0">
      <w:numFmt w:val="bullet"/>
      <w:lvlText w:val="•"/>
      <w:lvlJc w:val="left"/>
      <w:pPr>
        <w:ind w:left="3127" w:hanging="360"/>
      </w:pPr>
      <w:rPr>
        <w:rFonts w:hint="default"/>
        <w:lang w:val="en-US" w:eastAsia="en-US" w:bidi="ar-SA"/>
      </w:rPr>
    </w:lvl>
    <w:lvl w:ilvl="7" w:tplc="2FEA7AF2">
      <w:numFmt w:val="bullet"/>
      <w:lvlText w:val="•"/>
      <w:lvlJc w:val="left"/>
      <w:pPr>
        <w:ind w:left="3589" w:hanging="360"/>
      </w:pPr>
      <w:rPr>
        <w:rFonts w:hint="default"/>
        <w:lang w:val="en-US" w:eastAsia="en-US" w:bidi="ar-SA"/>
      </w:rPr>
    </w:lvl>
    <w:lvl w:ilvl="8" w:tplc="1EDE6B8C">
      <w:numFmt w:val="bullet"/>
      <w:lvlText w:val="•"/>
      <w:lvlJc w:val="left"/>
      <w:pPr>
        <w:ind w:left="4050" w:hanging="360"/>
      </w:pPr>
      <w:rPr>
        <w:rFonts w:hint="default"/>
        <w:lang w:val="en-US" w:eastAsia="en-US" w:bidi="ar-SA"/>
      </w:rPr>
    </w:lvl>
  </w:abstractNum>
  <w:abstractNum w:abstractNumId="20" w15:restartNumberingAfterBreak="0">
    <w:nsid w:val="2C6D7F2A"/>
    <w:multiLevelType w:val="hybridMultilevel"/>
    <w:tmpl w:val="6D446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540730"/>
    <w:multiLevelType w:val="hybridMultilevel"/>
    <w:tmpl w:val="3BC68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814301"/>
    <w:multiLevelType w:val="hybridMultilevel"/>
    <w:tmpl w:val="0F2EC8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B32BAA"/>
    <w:multiLevelType w:val="hybridMultilevel"/>
    <w:tmpl w:val="8E54C9B4"/>
    <w:lvl w:ilvl="0" w:tplc="B02876EC">
      <w:numFmt w:val="bullet"/>
      <w:lvlText w:val=""/>
      <w:lvlJc w:val="left"/>
      <w:pPr>
        <w:ind w:left="465" w:hanging="358"/>
      </w:pPr>
      <w:rPr>
        <w:rFonts w:ascii="Symbol" w:eastAsia="Symbol" w:hAnsi="Symbol" w:cs="Symbol" w:hint="default"/>
        <w:b w:val="0"/>
        <w:bCs w:val="0"/>
        <w:i w:val="0"/>
        <w:iCs w:val="0"/>
        <w:spacing w:val="0"/>
        <w:w w:val="100"/>
        <w:sz w:val="17"/>
        <w:szCs w:val="17"/>
        <w:lang w:val="en-US" w:eastAsia="en-US" w:bidi="ar-SA"/>
      </w:rPr>
    </w:lvl>
    <w:lvl w:ilvl="1" w:tplc="D9ECAB04">
      <w:numFmt w:val="bullet"/>
      <w:lvlText w:val="•"/>
      <w:lvlJc w:val="left"/>
      <w:pPr>
        <w:ind w:left="795" w:hanging="358"/>
      </w:pPr>
      <w:rPr>
        <w:rFonts w:hint="default"/>
        <w:lang w:val="en-US" w:eastAsia="en-US" w:bidi="ar-SA"/>
      </w:rPr>
    </w:lvl>
    <w:lvl w:ilvl="2" w:tplc="2CF639E2">
      <w:numFmt w:val="bullet"/>
      <w:lvlText w:val="•"/>
      <w:lvlJc w:val="left"/>
      <w:pPr>
        <w:ind w:left="1131" w:hanging="358"/>
      </w:pPr>
      <w:rPr>
        <w:rFonts w:hint="default"/>
        <w:lang w:val="en-US" w:eastAsia="en-US" w:bidi="ar-SA"/>
      </w:rPr>
    </w:lvl>
    <w:lvl w:ilvl="3" w:tplc="220C8778">
      <w:numFmt w:val="bullet"/>
      <w:lvlText w:val="•"/>
      <w:lvlJc w:val="left"/>
      <w:pPr>
        <w:ind w:left="1467" w:hanging="358"/>
      </w:pPr>
      <w:rPr>
        <w:rFonts w:hint="default"/>
        <w:lang w:val="en-US" w:eastAsia="en-US" w:bidi="ar-SA"/>
      </w:rPr>
    </w:lvl>
    <w:lvl w:ilvl="4" w:tplc="931E7740">
      <w:numFmt w:val="bullet"/>
      <w:lvlText w:val="•"/>
      <w:lvlJc w:val="left"/>
      <w:pPr>
        <w:ind w:left="1803" w:hanging="358"/>
      </w:pPr>
      <w:rPr>
        <w:rFonts w:hint="default"/>
        <w:lang w:val="en-US" w:eastAsia="en-US" w:bidi="ar-SA"/>
      </w:rPr>
    </w:lvl>
    <w:lvl w:ilvl="5" w:tplc="498E210C">
      <w:numFmt w:val="bullet"/>
      <w:lvlText w:val="•"/>
      <w:lvlJc w:val="left"/>
      <w:pPr>
        <w:ind w:left="2139" w:hanging="358"/>
      </w:pPr>
      <w:rPr>
        <w:rFonts w:hint="default"/>
        <w:lang w:val="en-US" w:eastAsia="en-US" w:bidi="ar-SA"/>
      </w:rPr>
    </w:lvl>
    <w:lvl w:ilvl="6" w:tplc="3AC28F36">
      <w:numFmt w:val="bullet"/>
      <w:lvlText w:val="•"/>
      <w:lvlJc w:val="left"/>
      <w:pPr>
        <w:ind w:left="2475" w:hanging="358"/>
      </w:pPr>
      <w:rPr>
        <w:rFonts w:hint="default"/>
        <w:lang w:val="en-US" w:eastAsia="en-US" w:bidi="ar-SA"/>
      </w:rPr>
    </w:lvl>
    <w:lvl w:ilvl="7" w:tplc="83CA819C">
      <w:numFmt w:val="bullet"/>
      <w:lvlText w:val="•"/>
      <w:lvlJc w:val="left"/>
      <w:pPr>
        <w:ind w:left="2811" w:hanging="358"/>
      </w:pPr>
      <w:rPr>
        <w:rFonts w:hint="default"/>
        <w:lang w:val="en-US" w:eastAsia="en-US" w:bidi="ar-SA"/>
      </w:rPr>
    </w:lvl>
    <w:lvl w:ilvl="8" w:tplc="BC20C4D8">
      <w:numFmt w:val="bullet"/>
      <w:lvlText w:val="•"/>
      <w:lvlJc w:val="left"/>
      <w:pPr>
        <w:ind w:left="3147" w:hanging="358"/>
      </w:pPr>
      <w:rPr>
        <w:rFonts w:hint="default"/>
        <w:lang w:val="en-US" w:eastAsia="en-US" w:bidi="ar-SA"/>
      </w:rPr>
    </w:lvl>
  </w:abstractNum>
  <w:abstractNum w:abstractNumId="24"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5" w15:restartNumberingAfterBreak="0">
    <w:nsid w:val="37E176B3"/>
    <w:multiLevelType w:val="hybridMultilevel"/>
    <w:tmpl w:val="EB78E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CCF0712"/>
    <w:multiLevelType w:val="hybridMultilevel"/>
    <w:tmpl w:val="E8D0FA66"/>
    <w:lvl w:ilvl="0" w:tplc="C2FE4602">
      <w:start w:val="1"/>
      <w:numFmt w:val="decimal"/>
      <w:lvlText w:val="%1."/>
      <w:lvlJc w:val="left"/>
      <w:pPr>
        <w:ind w:left="480" w:hanging="360"/>
      </w:pPr>
      <w:rPr>
        <w:rFonts w:ascii="Arial" w:eastAsia="Arial" w:hAnsi="Arial" w:cs="Arial" w:hint="default"/>
        <w:b w:val="0"/>
        <w:bCs w:val="0"/>
        <w:i w:val="0"/>
        <w:iCs w:val="0"/>
        <w:spacing w:val="-1"/>
        <w:w w:val="99"/>
        <w:sz w:val="20"/>
        <w:szCs w:val="20"/>
        <w:lang w:val="en-US" w:eastAsia="en-US" w:bidi="ar-SA"/>
      </w:rPr>
    </w:lvl>
    <w:lvl w:ilvl="1" w:tplc="4774B10C">
      <w:start w:val="1"/>
      <w:numFmt w:val="lowerLetter"/>
      <w:lvlText w:val="%2)"/>
      <w:lvlJc w:val="left"/>
      <w:pPr>
        <w:ind w:left="972" w:hanging="425"/>
      </w:pPr>
      <w:rPr>
        <w:rFonts w:ascii="Arial" w:eastAsia="Arial" w:hAnsi="Arial" w:cs="Arial" w:hint="default"/>
        <w:b w:val="0"/>
        <w:bCs w:val="0"/>
        <w:i w:val="0"/>
        <w:iCs w:val="0"/>
        <w:spacing w:val="-1"/>
        <w:w w:val="99"/>
        <w:sz w:val="20"/>
        <w:szCs w:val="20"/>
        <w:lang w:val="en-US" w:eastAsia="en-US" w:bidi="ar-SA"/>
      </w:rPr>
    </w:lvl>
    <w:lvl w:ilvl="2" w:tplc="A7CCA802">
      <w:numFmt w:val="bullet"/>
      <w:lvlText w:val="•"/>
      <w:lvlJc w:val="left"/>
      <w:pPr>
        <w:ind w:left="1968" w:hanging="425"/>
      </w:pPr>
      <w:rPr>
        <w:rFonts w:hint="default"/>
        <w:lang w:val="en-US" w:eastAsia="en-US" w:bidi="ar-SA"/>
      </w:rPr>
    </w:lvl>
    <w:lvl w:ilvl="3" w:tplc="FBACB584">
      <w:numFmt w:val="bullet"/>
      <w:lvlText w:val="•"/>
      <w:lvlJc w:val="left"/>
      <w:pPr>
        <w:ind w:left="2957" w:hanging="425"/>
      </w:pPr>
      <w:rPr>
        <w:rFonts w:hint="default"/>
        <w:lang w:val="en-US" w:eastAsia="en-US" w:bidi="ar-SA"/>
      </w:rPr>
    </w:lvl>
    <w:lvl w:ilvl="4" w:tplc="00EE01DA">
      <w:numFmt w:val="bullet"/>
      <w:lvlText w:val="•"/>
      <w:lvlJc w:val="left"/>
      <w:pPr>
        <w:ind w:left="3946" w:hanging="425"/>
      </w:pPr>
      <w:rPr>
        <w:rFonts w:hint="default"/>
        <w:lang w:val="en-US" w:eastAsia="en-US" w:bidi="ar-SA"/>
      </w:rPr>
    </w:lvl>
    <w:lvl w:ilvl="5" w:tplc="664CFDC6">
      <w:numFmt w:val="bullet"/>
      <w:lvlText w:val="•"/>
      <w:lvlJc w:val="left"/>
      <w:pPr>
        <w:ind w:left="4935" w:hanging="425"/>
      </w:pPr>
      <w:rPr>
        <w:rFonts w:hint="default"/>
        <w:lang w:val="en-US" w:eastAsia="en-US" w:bidi="ar-SA"/>
      </w:rPr>
    </w:lvl>
    <w:lvl w:ilvl="6" w:tplc="47BECDCA">
      <w:numFmt w:val="bullet"/>
      <w:lvlText w:val="•"/>
      <w:lvlJc w:val="left"/>
      <w:pPr>
        <w:ind w:left="5924" w:hanging="425"/>
      </w:pPr>
      <w:rPr>
        <w:rFonts w:hint="default"/>
        <w:lang w:val="en-US" w:eastAsia="en-US" w:bidi="ar-SA"/>
      </w:rPr>
    </w:lvl>
    <w:lvl w:ilvl="7" w:tplc="36166938">
      <w:numFmt w:val="bullet"/>
      <w:lvlText w:val="•"/>
      <w:lvlJc w:val="left"/>
      <w:pPr>
        <w:ind w:left="6912" w:hanging="425"/>
      </w:pPr>
      <w:rPr>
        <w:rFonts w:hint="default"/>
        <w:lang w:val="en-US" w:eastAsia="en-US" w:bidi="ar-SA"/>
      </w:rPr>
    </w:lvl>
    <w:lvl w:ilvl="8" w:tplc="054482AE">
      <w:numFmt w:val="bullet"/>
      <w:lvlText w:val="•"/>
      <w:lvlJc w:val="left"/>
      <w:pPr>
        <w:ind w:left="7901" w:hanging="425"/>
      </w:pPr>
      <w:rPr>
        <w:rFonts w:hint="default"/>
        <w:lang w:val="en-US" w:eastAsia="en-US" w:bidi="ar-SA"/>
      </w:rPr>
    </w:lvl>
  </w:abstractNum>
  <w:abstractNum w:abstractNumId="27" w15:restartNumberingAfterBreak="0">
    <w:nsid w:val="3EB0189F"/>
    <w:multiLevelType w:val="hybridMultilevel"/>
    <w:tmpl w:val="3272BF74"/>
    <w:lvl w:ilvl="0" w:tplc="5FE8DF78">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2586E4C"/>
    <w:multiLevelType w:val="hybridMultilevel"/>
    <w:tmpl w:val="44CCC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EF60B8"/>
    <w:multiLevelType w:val="hybridMultilevel"/>
    <w:tmpl w:val="A1304E32"/>
    <w:lvl w:ilvl="0" w:tplc="FFFFFFFF">
      <w:start w:val="1"/>
      <w:numFmt w:val="decimal"/>
      <w:lvlText w:val="%1."/>
      <w:lvlJc w:val="left"/>
      <w:pPr>
        <w:ind w:left="360" w:hanging="360"/>
      </w:pPr>
      <w:rPr>
        <w:rFonts w:hint="default"/>
      </w:rPr>
    </w:lvl>
    <w:lvl w:ilvl="1" w:tplc="0C09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8192FC6"/>
    <w:multiLevelType w:val="hybridMultilevel"/>
    <w:tmpl w:val="068A29CC"/>
    <w:lvl w:ilvl="0" w:tplc="FFFFFFFF">
      <w:start w:val="1"/>
      <w:numFmt w:val="bullet"/>
      <w:pStyle w:val="AHPRABulle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453DAF"/>
    <w:multiLevelType w:val="hybridMultilevel"/>
    <w:tmpl w:val="220E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2B322C"/>
    <w:multiLevelType w:val="hybridMultilevel"/>
    <w:tmpl w:val="429001F6"/>
    <w:lvl w:ilvl="0" w:tplc="83C6E562">
      <w:numFmt w:val="bullet"/>
      <w:lvlText w:val=""/>
      <w:lvlJc w:val="left"/>
      <w:pPr>
        <w:ind w:left="545" w:hanging="425"/>
      </w:pPr>
      <w:rPr>
        <w:rFonts w:ascii="Symbol" w:eastAsia="Symbol" w:hAnsi="Symbol" w:cs="Symbol" w:hint="default"/>
        <w:color w:val="auto"/>
        <w:spacing w:val="0"/>
        <w:w w:val="99"/>
        <w:lang w:val="en-US" w:eastAsia="en-US" w:bidi="ar-SA"/>
      </w:rPr>
    </w:lvl>
    <w:lvl w:ilvl="1" w:tplc="94A27BD0">
      <w:numFmt w:val="bullet"/>
      <w:lvlText w:val="•"/>
      <w:lvlJc w:val="left"/>
      <w:pPr>
        <w:ind w:left="1473" w:hanging="425"/>
      </w:pPr>
      <w:rPr>
        <w:rFonts w:hint="default"/>
        <w:lang w:val="en-US" w:eastAsia="en-US" w:bidi="ar-SA"/>
      </w:rPr>
    </w:lvl>
    <w:lvl w:ilvl="2" w:tplc="44586ABC">
      <w:numFmt w:val="bullet"/>
      <w:lvlText w:val="•"/>
      <w:lvlJc w:val="left"/>
      <w:pPr>
        <w:ind w:left="2407" w:hanging="425"/>
      </w:pPr>
      <w:rPr>
        <w:rFonts w:hint="default"/>
        <w:lang w:val="en-US" w:eastAsia="en-US" w:bidi="ar-SA"/>
      </w:rPr>
    </w:lvl>
    <w:lvl w:ilvl="3" w:tplc="418CFD32">
      <w:numFmt w:val="bullet"/>
      <w:lvlText w:val="•"/>
      <w:lvlJc w:val="left"/>
      <w:pPr>
        <w:ind w:left="3341" w:hanging="425"/>
      </w:pPr>
      <w:rPr>
        <w:rFonts w:hint="default"/>
        <w:lang w:val="en-US" w:eastAsia="en-US" w:bidi="ar-SA"/>
      </w:rPr>
    </w:lvl>
    <w:lvl w:ilvl="4" w:tplc="F4305B4E">
      <w:numFmt w:val="bullet"/>
      <w:lvlText w:val="•"/>
      <w:lvlJc w:val="left"/>
      <w:pPr>
        <w:ind w:left="4275" w:hanging="425"/>
      </w:pPr>
      <w:rPr>
        <w:rFonts w:hint="default"/>
        <w:lang w:val="en-US" w:eastAsia="en-US" w:bidi="ar-SA"/>
      </w:rPr>
    </w:lvl>
    <w:lvl w:ilvl="5" w:tplc="307A0B06">
      <w:numFmt w:val="bullet"/>
      <w:lvlText w:val="•"/>
      <w:lvlJc w:val="left"/>
      <w:pPr>
        <w:ind w:left="5209" w:hanging="425"/>
      </w:pPr>
      <w:rPr>
        <w:rFonts w:hint="default"/>
        <w:lang w:val="en-US" w:eastAsia="en-US" w:bidi="ar-SA"/>
      </w:rPr>
    </w:lvl>
    <w:lvl w:ilvl="6" w:tplc="4B10F178">
      <w:numFmt w:val="bullet"/>
      <w:lvlText w:val="•"/>
      <w:lvlJc w:val="left"/>
      <w:pPr>
        <w:ind w:left="6143" w:hanging="425"/>
      </w:pPr>
      <w:rPr>
        <w:rFonts w:hint="default"/>
        <w:lang w:val="en-US" w:eastAsia="en-US" w:bidi="ar-SA"/>
      </w:rPr>
    </w:lvl>
    <w:lvl w:ilvl="7" w:tplc="3EA8422E">
      <w:numFmt w:val="bullet"/>
      <w:lvlText w:val="•"/>
      <w:lvlJc w:val="left"/>
      <w:pPr>
        <w:ind w:left="7077" w:hanging="425"/>
      </w:pPr>
      <w:rPr>
        <w:rFonts w:hint="default"/>
        <w:lang w:val="en-US" w:eastAsia="en-US" w:bidi="ar-SA"/>
      </w:rPr>
    </w:lvl>
    <w:lvl w:ilvl="8" w:tplc="640804D4">
      <w:numFmt w:val="bullet"/>
      <w:lvlText w:val="•"/>
      <w:lvlJc w:val="left"/>
      <w:pPr>
        <w:ind w:left="8011" w:hanging="425"/>
      </w:pPr>
      <w:rPr>
        <w:rFonts w:hint="default"/>
        <w:lang w:val="en-US" w:eastAsia="en-US" w:bidi="ar-SA"/>
      </w:rPr>
    </w:lvl>
  </w:abstractNum>
  <w:abstractNum w:abstractNumId="33" w15:restartNumberingAfterBreak="0">
    <w:nsid w:val="56D03F08"/>
    <w:multiLevelType w:val="hybridMultilevel"/>
    <w:tmpl w:val="B546E5E2"/>
    <w:lvl w:ilvl="0" w:tplc="AA4CD82E">
      <w:start w:val="1"/>
      <w:numFmt w:val="lowerLetter"/>
      <w:lvlText w:val="%1."/>
      <w:lvlJc w:val="left"/>
      <w:pPr>
        <w:ind w:left="547" w:hanging="428"/>
      </w:pPr>
      <w:rPr>
        <w:rFonts w:ascii="Arial" w:eastAsia="Arial" w:hAnsi="Arial" w:cs="Arial" w:hint="default"/>
        <w:b w:val="0"/>
        <w:bCs w:val="0"/>
        <w:i w:val="0"/>
        <w:iCs w:val="0"/>
        <w:spacing w:val="-1"/>
        <w:w w:val="99"/>
        <w:sz w:val="20"/>
        <w:szCs w:val="20"/>
        <w:lang w:val="en-US" w:eastAsia="en-US" w:bidi="ar-SA"/>
      </w:rPr>
    </w:lvl>
    <w:lvl w:ilvl="1" w:tplc="1D8CDB4A">
      <w:numFmt w:val="bullet"/>
      <w:lvlText w:val="•"/>
      <w:lvlJc w:val="left"/>
      <w:pPr>
        <w:ind w:left="1473" w:hanging="428"/>
      </w:pPr>
      <w:rPr>
        <w:rFonts w:hint="default"/>
        <w:lang w:val="en-US" w:eastAsia="en-US" w:bidi="ar-SA"/>
      </w:rPr>
    </w:lvl>
    <w:lvl w:ilvl="2" w:tplc="634CB4FC">
      <w:numFmt w:val="bullet"/>
      <w:lvlText w:val="•"/>
      <w:lvlJc w:val="left"/>
      <w:pPr>
        <w:ind w:left="2407" w:hanging="428"/>
      </w:pPr>
      <w:rPr>
        <w:rFonts w:hint="default"/>
        <w:lang w:val="en-US" w:eastAsia="en-US" w:bidi="ar-SA"/>
      </w:rPr>
    </w:lvl>
    <w:lvl w:ilvl="3" w:tplc="B870388A">
      <w:numFmt w:val="bullet"/>
      <w:lvlText w:val="•"/>
      <w:lvlJc w:val="left"/>
      <w:pPr>
        <w:ind w:left="3341" w:hanging="428"/>
      </w:pPr>
      <w:rPr>
        <w:rFonts w:hint="default"/>
        <w:lang w:val="en-US" w:eastAsia="en-US" w:bidi="ar-SA"/>
      </w:rPr>
    </w:lvl>
    <w:lvl w:ilvl="4" w:tplc="759091F8">
      <w:numFmt w:val="bullet"/>
      <w:lvlText w:val="•"/>
      <w:lvlJc w:val="left"/>
      <w:pPr>
        <w:ind w:left="4275" w:hanging="428"/>
      </w:pPr>
      <w:rPr>
        <w:rFonts w:hint="default"/>
        <w:lang w:val="en-US" w:eastAsia="en-US" w:bidi="ar-SA"/>
      </w:rPr>
    </w:lvl>
    <w:lvl w:ilvl="5" w:tplc="83DE8340">
      <w:numFmt w:val="bullet"/>
      <w:lvlText w:val="•"/>
      <w:lvlJc w:val="left"/>
      <w:pPr>
        <w:ind w:left="5209" w:hanging="428"/>
      </w:pPr>
      <w:rPr>
        <w:rFonts w:hint="default"/>
        <w:lang w:val="en-US" w:eastAsia="en-US" w:bidi="ar-SA"/>
      </w:rPr>
    </w:lvl>
    <w:lvl w:ilvl="6" w:tplc="A2EEEFE2">
      <w:numFmt w:val="bullet"/>
      <w:lvlText w:val="•"/>
      <w:lvlJc w:val="left"/>
      <w:pPr>
        <w:ind w:left="6143" w:hanging="428"/>
      </w:pPr>
      <w:rPr>
        <w:rFonts w:hint="default"/>
        <w:lang w:val="en-US" w:eastAsia="en-US" w:bidi="ar-SA"/>
      </w:rPr>
    </w:lvl>
    <w:lvl w:ilvl="7" w:tplc="5F547566">
      <w:numFmt w:val="bullet"/>
      <w:lvlText w:val="•"/>
      <w:lvlJc w:val="left"/>
      <w:pPr>
        <w:ind w:left="7077" w:hanging="428"/>
      </w:pPr>
      <w:rPr>
        <w:rFonts w:hint="default"/>
        <w:lang w:val="en-US" w:eastAsia="en-US" w:bidi="ar-SA"/>
      </w:rPr>
    </w:lvl>
    <w:lvl w:ilvl="8" w:tplc="4BAED510">
      <w:numFmt w:val="bullet"/>
      <w:lvlText w:val="•"/>
      <w:lvlJc w:val="left"/>
      <w:pPr>
        <w:ind w:left="8011" w:hanging="428"/>
      </w:pPr>
      <w:rPr>
        <w:rFonts w:hint="default"/>
        <w:lang w:val="en-US" w:eastAsia="en-US" w:bidi="ar-SA"/>
      </w:rPr>
    </w:lvl>
  </w:abstractNum>
  <w:abstractNum w:abstractNumId="34" w15:restartNumberingAfterBreak="0">
    <w:nsid w:val="5A1F2B6C"/>
    <w:multiLevelType w:val="hybridMultilevel"/>
    <w:tmpl w:val="07D84F70"/>
    <w:lvl w:ilvl="0" w:tplc="0409000F">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5CA2716D"/>
    <w:multiLevelType w:val="hybridMultilevel"/>
    <w:tmpl w:val="F6E2F434"/>
    <w:lvl w:ilvl="0" w:tplc="1EC035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F5753EC"/>
    <w:multiLevelType w:val="hybridMultilevel"/>
    <w:tmpl w:val="29620FB8"/>
    <w:lvl w:ilvl="0" w:tplc="79344F8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8"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9" w15:restartNumberingAfterBreak="0">
    <w:nsid w:val="60E610AD"/>
    <w:multiLevelType w:val="hybridMultilevel"/>
    <w:tmpl w:val="FFDEB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38F3609"/>
    <w:multiLevelType w:val="multilevel"/>
    <w:tmpl w:val="872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666E1A"/>
    <w:multiLevelType w:val="hybridMultilevel"/>
    <w:tmpl w:val="7B0C1020"/>
    <w:lvl w:ilvl="0" w:tplc="BF14179C">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7C66FDC"/>
    <w:multiLevelType w:val="hybridMultilevel"/>
    <w:tmpl w:val="4A343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B520227"/>
    <w:multiLevelType w:val="hybridMultilevel"/>
    <w:tmpl w:val="6108EA16"/>
    <w:lvl w:ilvl="0" w:tplc="EAFC7D4A">
      <w:numFmt w:val="bullet"/>
      <w:lvlText w:val=""/>
      <w:lvlJc w:val="left"/>
      <w:pPr>
        <w:ind w:left="545" w:hanging="425"/>
      </w:pPr>
      <w:rPr>
        <w:rFonts w:ascii="Symbol" w:eastAsia="Symbol" w:hAnsi="Symbol" w:cs="Symbol" w:hint="default"/>
        <w:b w:val="0"/>
        <w:bCs w:val="0"/>
        <w:i w:val="0"/>
        <w:iCs w:val="0"/>
        <w:strike/>
        <w:spacing w:val="0"/>
        <w:w w:val="99"/>
        <w:sz w:val="20"/>
        <w:szCs w:val="20"/>
        <w:lang w:val="en-US" w:eastAsia="en-US" w:bidi="ar-SA"/>
      </w:rPr>
    </w:lvl>
    <w:lvl w:ilvl="1" w:tplc="ECB0D5B2">
      <w:numFmt w:val="bullet"/>
      <w:lvlText w:val="•"/>
      <w:lvlJc w:val="left"/>
      <w:pPr>
        <w:ind w:left="1473" w:hanging="425"/>
      </w:pPr>
      <w:rPr>
        <w:rFonts w:hint="default"/>
        <w:lang w:val="en-US" w:eastAsia="en-US" w:bidi="ar-SA"/>
      </w:rPr>
    </w:lvl>
    <w:lvl w:ilvl="2" w:tplc="A246BE92">
      <w:numFmt w:val="bullet"/>
      <w:lvlText w:val="•"/>
      <w:lvlJc w:val="left"/>
      <w:pPr>
        <w:ind w:left="2407" w:hanging="425"/>
      </w:pPr>
      <w:rPr>
        <w:rFonts w:hint="default"/>
        <w:lang w:val="en-US" w:eastAsia="en-US" w:bidi="ar-SA"/>
      </w:rPr>
    </w:lvl>
    <w:lvl w:ilvl="3" w:tplc="9B4E6B4C">
      <w:numFmt w:val="bullet"/>
      <w:lvlText w:val="•"/>
      <w:lvlJc w:val="left"/>
      <w:pPr>
        <w:ind w:left="3341" w:hanging="425"/>
      </w:pPr>
      <w:rPr>
        <w:rFonts w:hint="default"/>
        <w:lang w:val="en-US" w:eastAsia="en-US" w:bidi="ar-SA"/>
      </w:rPr>
    </w:lvl>
    <w:lvl w:ilvl="4" w:tplc="BFE4FD74">
      <w:numFmt w:val="bullet"/>
      <w:lvlText w:val="•"/>
      <w:lvlJc w:val="left"/>
      <w:pPr>
        <w:ind w:left="4275" w:hanging="425"/>
      </w:pPr>
      <w:rPr>
        <w:rFonts w:hint="default"/>
        <w:lang w:val="en-US" w:eastAsia="en-US" w:bidi="ar-SA"/>
      </w:rPr>
    </w:lvl>
    <w:lvl w:ilvl="5" w:tplc="D97E6976">
      <w:numFmt w:val="bullet"/>
      <w:lvlText w:val="•"/>
      <w:lvlJc w:val="left"/>
      <w:pPr>
        <w:ind w:left="5209" w:hanging="425"/>
      </w:pPr>
      <w:rPr>
        <w:rFonts w:hint="default"/>
        <w:lang w:val="en-US" w:eastAsia="en-US" w:bidi="ar-SA"/>
      </w:rPr>
    </w:lvl>
    <w:lvl w:ilvl="6" w:tplc="5DCAA6B2">
      <w:numFmt w:val="bullet"/>
      <w:lvlText w:val="•"/>
      <w:lvlJc w:val="left"/>
      <w:pPr>
        <w:ind w:left="6143" w:hanging="425"/>
      </w:pPr>
      <w:rPr>
        <w:rFonts w:hint="default"/>
        <w:lang w:val="en-US" w:eastAsia="en-US" w:bidi="ar-SA"/>
      </w:rPr>
    </w:lvl>
    <w:lvl w:ilvl="7" w:tplc="6672A98A">
      <w:numFmt w:val="bullet"/>
      <w:lvlText w:val="•"/>
      <w:lvlJc w:val="left"/>
      <w:pPr>
        <w:ind w:left="7077" w:hanging="425"/>
      </w:pPr>
      <w:rPr>
        <w:rFonts w:hint="default"/>
        <w:lang w:val="en-US" w:eastAsia="en-US" w:bidi="ar-SA"/>
      </w:rPr>
    </w:lvl>
    <w:lvl w:ilvl="8" w:tplc="82AEC2A4">
      <w:numFmt w:val="bullet"/>
      <w:lvlText w:val="•"/>
      <w:lvlJc w:val="left"/>
      <w:pPr>
        <w:ind w:left="8011" w:hanging="425"/>
      </w:pPr>
      <w:rPr>
        <w:rFonts w:hint="default"/>
        <w:lang w:val="en-US" w:eastAsia="en-US" w:bidi="ar-SA"/>
      </w:rPr>
    </w:lvl>
  </w:abstractNum>
  <w:abstractNum w:abstractNumId="45" w15:restartNumberingAfterBreak="0">
    <w:nsid w:val="6EF44323"/>
    <w:multiLevelType w:val="multilevel"/>
    <w:tmpl w:val="C7C2E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136E7A"/>
    <w:multiLevelType w:val="multilevel"/>
    <w:tmpl w:val="592C4E9A"/>
    <w:lvl w:ilvl="0">
      <w:start w:val="1"/>
      <w:numFmt w:val="bullet"/>
      <w:lvlText w:val=""/>
      <w:lvlJc w:val="left"/>
      <w:pPr>
        <w:ind w:left="369" w:hanging="369"/>
      </w:pPr>
      <w:rPr>
        <w:rFonts w:ascii="Symbol" w:hAnsi="Symbol"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7"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48"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49" w15:restartNumberingAfterBreak="0">
    <w:nsid w:val="792D02E4"/>
    <w:multiLevelType w:val="multilevel"/>
    <w:tmpl w:val="A8240A3C"/>
    <w:lvl w:ilvl="0">
      <w:start w:val="1"/>
      <w:numFmt w:val="decimal"/>
      <w:lvlText w:val="%1."/>
      <w:lvlJc w:val="left"/>
      <w:pPr>
        <w:ind w:left="738"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1106" w:hanging="368"/>
      </w:pPr>
      <w:rPr>
        <w:rFonts w:ascii="Arial" w:hAnsi="Arial" w:hint="default"/>
        <w:b w:val="0"/>
        <w:i w:val="0"/>
        <w:color w:val="auto"/>
        <w:sz w:val="20"/>
      </w:rPr>
    </w:lvl>
    <w:lvl w:ilvl="2">
      <w:start w:val="1"/>
      <w:numFmt w:val="decimal"/>
      <w:lvlText w:val="%1.%2.%3"/>
      <w:lvlJc w:val="left"/>
      <w:pPr>
        <w:ind w:left="1503" w:hanging="397"/>
      </w:pPr>
      <w:rPr>
        <w:rFonts w:ascii="Arial" w:hAnsi="Arial" w:hint="default"/>
        <w:b w:val="0"/>
        <w:i w:val="0"/>
        <w:color w:val="auto"/>
        <w:sz w:val="20"/>
      </w:rPr>
    </w:lvl>
    <w:lvl w:ilvl="3">
      <w:start w:val="1"/>
      <w:numFmt w:val="decimal"/>
      <w:lvlText w:val="%1.%2.%3.%4."/>
      <w:lvlJc w:val="left"/>
      <w:pPr>
        <w:ind w:left="2097" w:hanging="648"/>
      </w:pPr>
      <w:rPr>
        <w:rFonts w:hint="default"/>
      </w:rPr>
    </w:lvl>
    <w:lvl w:ilvl="4">
      <w:start w:val="1"/>
      <w:numFmt w:val="decimal"/>
      <w:lvlText w:val="%1.%2.%3.%4.%5."/>
      <w:lvlJc w:val="left"/>
      <w:pPr>
        <w:ind w:left="2601" w:hanging="792"/>
      </w:pPr>
      <w:rPr>
        <w:rFonts w:hint="default"/>
      </w:rPr>
    </w:lvl>
    <w:lvl w:ilvl="5">
      <w:start w:val="1"/>
      <w:numFmt w:val="decimal"/>
      <w:lvlText w:val="%1.%2.%3.%4.%5.%6."/>
      <w:lvlJc w:val="left"/>
      <w:pPr>
        <w:ind w:left="3105" w:hanging="936"/>
      </w:pPr>
      <w:rPr>
        <w:rFonts w:hint="default"/>
      </w:rPr>
    </w:lvl>
    <w:lvl w:ilvl="6">
      <w:start w:val="1"/>
      <w:numFmt w:val="decimal"/>
      <w:lvlText w:val="%1.%2.%3.%4.%5.%6.%7."/>
      <w:lvlJc w:val="left"/>
      <w:pPr>
        <w:ind w:left="3609" w:hanging="1080"/>
      </w:pPr>
      <w:rPr>
        <w:rFonts w:hint="default"/>
      </w:rPr>
    </w:lvl>
    <w:lvl w:ilvl="7">
      <w:start w:val="1"/>
      <w:numFmt w:val="decimal"/>
      <w:lvlText w:val="%1.%2.%3.%4.%5.%6.%7.%8."/>
      <w:lvlJc w:val="left"/>
      <w:pPr>
        <w:ind w:left="4113" w:hanging="1224"/>
      </w:pPr>
      <w:rPr>
        <w:rFonts w:hint="default"/>
      </w:rPr>
    </w:lvl>
    <w:lvl w:ilvl="8">
      <w:start w:val="1"/>
      <w:numFmt w:val="decimal"/>
      <w:lvlText w:val="%1.%2.%3.%4.%5.%6.%7.%8.%9."/>
      <w:lvlJc w:val="left"/>
      <w:pPr>
        <w:ind w:left="4689" w:hanging="1440"/>
      </w:pPr>
      <w:rPr>
        <w:rFonts w:hint="default"/>
      </w:rPr>
    </w:lvl>
  </w:abstractNum>
  <w:abstractNum w:abstractNumId="50" w15:restartNumberingAfterBreak="0">
    <w:nsid w:val="7B542BAB"/>
    <w:multiLevelType w:val="hybridMultilevel"/>
    <w:tmpl w:val="DE1C8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B8B5821"/>
    <w:multiLevelType w:val="hybridMultilevel"/>
    <w:tmpl w:val="7AD481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731660"/>
    <w:multiLevelType w:val="multilevel"/>
    <w:tmpl w:val="C4183F12"/>
    <w:numStyleLink w:val="AHPRANumberedlist"/>
  </w:abstractNum>
  <w:abstractNum w:abstractNumId="54" w15:restartNumberingAfterBreak="0">
    <w:nsid w:val="7CB1582C"/>
    <w:multiLevelType w:val="hybridMultilevel"/>
    <w:tmpl w:val="DBC0E4BE"/>
    <w:lvl w:ilvl="0" w:tplc="0CC2EE9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DB72C12"/>
    <w:multiLevelType w:val="hybridMultilevel"/>
    <w:tmpl w:val="B32876F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3"/>
  </w:num>
  <w:num w:numId="2">
    <w:abstractNumId w:val="30"/>
  </w:num>
  <w:num w:numId="3">
    <w:abstractNumId w:val="6"/>
  </w:num>
  <w:num w:numId="4">
    <w:abstractNumId w:val="10"/>
  </w:num>
  <w:num w:numId="5">
    <w:abstractNumId w:val="52"/>
  </w:num>
  <w:num w:numId="6">
    <w:abstractNumId w:val="7"/>
  </w:num>
  <w:num w:numId="7">
    <w:abstractNumId w:val="4"/>
  </w:num>
  <w:num w:numId="8">
    <w:abstractNumId w:val="14"/>
  </w:num>
  <w:num w:numId="9">
    <w:abstractNumId w:val="15"/>
  </w:num>
  <w:num w:numId="10">
    <w:abstractNumId w:val="38"/>
  </w:num>
  <w:num w:numId="11">
    <w:abstractNumId w:val="48"/>
  </w:num>
  <w:num w:numId="12">
    <w:abstractNumId w:val="5"/>
  </w:num>
  <w:num w:numId="13">
    <w:abstractNumId w:val="37"/>
  </w:num>
  <w:num w:numId="14">
    <w:abstractNumId w:val="24"/>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5">
    <w:abstractNumId w:val="8"/>
  </w:num>
  <w:num w:numId="16">
    <w:abstractNumId w:val="47"/>
  </w:num>
  <w:num w:numId="17">
    <w:abstractNumId w:val="3"/>
  </w:num>
  <w:num w:numId="18">
    <w:abstractNumId w:val="11"/>
  </w:num>
  <w:num w:numId="19">
    <w:abstractNumId w:val="54"/>
  </w:num>
  <w:num w:numId="20">
    <w:abstractNumId w:val="18"/>
  </w:num>
  <w:num w:numId="21">
    <w:abstractNumId w:val="2"/>
  </w:num>
  <w:num w:numId="22">
    <w:abstractNumId w:val="41"/>
  </w:num>
  <w:num w:numId="23">
    <w:abstractNumId w:val="36"/>
  </w:num>
  <w:num w:numId="24">
    <w:abstractNumId w:val="51"/>
  </w:num>
  <w:num w:numId="25">
    <w:abstractNumId w:val="20"/>
  </w:num>
  <w:num w:numId="26">
    <w:abstractNumId w:val="1"/>
  </w:num>
  <w:num w:numId="27">
    <w:abstractNumId w:val="49"/>
  </w:num>
  <w:num w:numId="28">
    <w:abstractNumId w:val="34"/>
  </w:num>
  <w:num w:numId="29">
    <w:abstractNumId w:val="42"/>
  </w:num>
  <w:num w:numId="30">
    <w:abstractNumId w:val="17"/>
  </w:num>
  <w:num w:numId="31">
    <w:abstractNumId w:val="22"/>
  </w:num>
  <w:num w:numId="32">
    <w:abstractNumId w:val="27"/>
  </w:num>
  <w:num w:numId="33">
    <w:abstractNumId w:val="25"/>
  </w:num>
  <w:num w:numId="34">
    <w:abstractNumId w:val="55"/>
  </w:num>
  <w:num w:numId="35">
    <w:abstractNumId w:val="35"/>
  </w:num>
  <w:num w:numId="36">
    <w:abstractNumId w:val="12"/>
  </w:num>
  <w:num w:numId="37">
    <w:abstractNumId w:val="29"/>
  </w:num>
  <w:num w:numId="38">
    <w:abstractNumId w:val="28"/>
  </w:num>
  <w:num w:numId="39">
    <w:abstractNumId w:val="31"/>
  </w:num>
  <w:num w:numId="40">
    <w:abstractNumId w:val="53"/>
    <w:lvlOverride w:ilvl="0">
      <w:lvl w:ilvl="0">
        <w:start w:val="1"/>
        <w:numFmt w:val="decimal"/>
        <w:pStyle w:val="AHPRANumberedlistlevel1"/>
        <w:lvlText w:val="%1."/>
        <w:lvlJc w:val="left"/>
        <w:pPr>
          <w:ind w:left="369" w:hanging="369"/>
        </w:pPr>
        <w:rPr>
          <w:rFonts w:ascii="Arial" w:hAnsi="Arial" w:hint="default"/>
          <w:b w:val="0"/>
          <w:bCs/>
          <w:color w:val="auto"/>
          <w:sz w:val="20"/>
        </w:rPr>
      </w:lvl>
    </w:lvlOverride>
  </w:num>
  <w:num w:numId="41">
    <w:abstractNumId w:val="39"/>
  </w:num>
  <w:num w:numId="42">
    <w:abstractNumId w:val="40"/>
  </w:num>
  <w:num w:numId="43">
    <w:abstractNumId w:val="45"/>
  </w:num>
  <w:num w:numId="44">
    <w:abstractNumId w:val="50"/>
  </w:num>
  <w:num w:numId="45">
    <w:abstractNumId w:val="46"/>
  </w:num>
  <w:num w:numId="46">
    <w:abstractNumId w:val="13"/>
  </w:num>
  <w:num w:numId="47">
    <w:abstractNumId w:val="53"/>
  </w:num>
  <w:num w:numId="48">
    <w:abstractNumId w:val="53"/>
    <w:lvlOverride w:ilvl="0">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Override>
    <w:lvlOverride w:ilv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lvl w:ilvl="3">
        <w:start w:val="1"/>
        <w:numFmt w:val="decimal"/>
        <w:lvlText w:val="%1.%2.%3.%4."/>
        <w:lvlJc w:val="left"/>
        <w:pPr>
          <w:ind w:left="1476" w:hanging="369"/>
        </w:pPr>
        <w:rPr>
          <w:rFonts w:hint="default"/>
        </w:rPr>
      </w:lvl>
    </w:lvlOverride>
    <w:lvlOverride w:ilvl="4">
      <w:lvl w:ilvl="4">
        <w:start w:val="1"/>
        <w:numFmt w:val="decimal"/>
        <w:lvlText w:val="%1.%2.%3.%4.%5."/>
        <w:lvlJc w:val="left"/>
        <w:pPr>
          <w:ind w:left="1845" w:hanging="369"/>
        </w:pPr>
        <w:rPr>
          <w:rFonts w:hint="default"/>
        </w:rPr>
      </w:lvl>
    </w:lvlOverride>
    <w:lvlOverride w:ilvl="5">
      <w:lvl w:ilvl="5">
        <w:start w:val="1"/>
        <w:numFmt w:val="decimal"/>
        <w:lvlText w:val="%1.%2.%3.%4.%5.%6."/>
        <w:lvlJc w:val="left"/>
        <w:pPr>
          <w:ind w:left="2214" w:hanging="369"/>
        </w:pPr>
        <w:rPr>
          <w:rFonts w:hint="default"/>
        </w:rPr>
      </w:lvl>
    </w:lvlOverride>
    <w:lvlOverride w:ilvl="6">
      <w:lvl w:ilvl="6">
        <w:start w:val="1"/>
        <w:numFmt w:val="decimal"/>
        <w:lvlText w:val="%1.%2.%3.%4.%5.%6.%7."/>
        <w:lvlJc w:val="left"/>
        <w:pPr>
          <w:ind w:left="2583" w:hanging="369"/>
        </w:pPr>
        <w:rPr>
          <w:rFonts w:hint="default"/>
        </w:rPr>
      </w:lvl>
    </w:lvlOverride>
    <w:lvlOverride w:ilvl="7">
      <w:lvl w:ilvl="7">
        <w:start w:val="1"/>
        <w:numFmt w:val="decimal"/>
        <w:lvlText w:val="%1.%2.%3.%4.%5.%6.%7.%8."/>
        <w:lvlJc w:val="left"/>
        <w:pPr>
          <w:ind w:left="2952" w:hanging="369"/>
        </w:pPr>
        <w:rPr>
          <w:rFonts w:hint="default"/>
        </w:rPr>
      </w:lvl>
    </w:lvlOverride>
    <w:lvlOverride w:ilvl="8">
      <w:lvl w:ilvl="8">
        <w:start w:val="1"/>
        <w:numFmt w:val="decimal"/>
        <w:lvlText w:val="%1.%2.%3.%4.%5.%6.%7.%8.%9."/>
        <w:lvlJc w:val="left"/>
        <w:pPr>
          <w:ind w:left="3321" w:hanging="369"/>
        </w:pPr>
        <w:rPr>
          <w:rFonts w:hint="default"/>
        </w:rPr>
      </w:lvl>
    </w:lvlOverride>
  </w:num>
  <w:num w:numId="49">
    <w:abstractNumId w:val="53"/>
    <w:lvlOverride w:ilvl="0">
      <w:startOverride w:val="1"/>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Override>
    <w:lvlOverride w:ilvl="1">
      <w:startOverride w:va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startOverride w:val="1"/>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startOverride w:val="1"/>
      <w:lvl w:ilvl="3">
        <w:start w:val="1"/>
        <w:numFmt w:val="decimal"/>
        <w:lvlText w:val="%1.%2.%3.%4."/>
        <w:lvlJc w:val="left"/>
        <w:pPr>
          <w:ind w:left="1476" w:hanging="369"/>
        </w:pPr>
        <w:rPr>
          <w:rFonts w:hint="default"/>
        </w:rPr>
      </w:lvl>
    </w:lvlOverride>
    <w:lvlOverride w:ilvl="4">
      <w:startOverride w:val="1"/>
      <w:lvl w:ilvl="4">
        <w:start w:val="1"/>
        <w:numFmt w:val="decimal"/>
        <w:lvlText w:val="%1.%2.%3.%4.%5."/>
        <w:lvlJc w:val="left"/>
        <w:pPr>
          <w:ind w:left="1845" w:hanging="369"/>
        </w:pPr>
        <w:rPr>
          <w:rFonts w:hint="default"/>
        </w:rPr>
      </w:lvl>
    </w:lvlOverride>
    <w:lvlOverride w:ilvl="5">
      <w:startOverride w:val="1"/>
      <w:lvl w:ilvl="5">
        <w:start w:val="1"/>
        <w:numFmt w:val="decimal"/>
        <w:lvlText w:val="%1.%2.%3.%4.%5.%6."/>
        <w:lvlJc w:val="left"/>
        <w:pPr>
          <w:ind w:left="2214" w:hanging="369"/>
        </w:pPr>
        <w:rPr>
          <w:rFonts w:hint="default"/>
        </w:rPr>
      </w:lvl>
    </w:lvlOverride>
    <w:lvlOverride w:ilvl="6">
      <w:startOverride w:val="1"/>
      <w:lvl w:ilvl="6">
        <w:start w:val="1"/>
        <w:numFmt w:val="decimal"/>
        <w:lvlText w:val="%1.%2.%3.%4.%5.%6.%7."/>
        <w:lvlJc w:val="left"/>
        <w:pPr>
          <w:ind w:left="2583" w:hanging="369"/>
        </w:pPr>
        <w:rPr>
          <w:rFonts w:hint="default"/>
        </w:rPr>
      </w:lvl>
    </w:lvlOverride>
    <w:lvlOverride w:ilvl="7">
      <w:startOverride w:val="1"/>
      <w:lvl w:ilvl="7">
        <w:start w:val="1"/>
        <w:numFmt w:val="decimal"/>
        <w:lvlText w:val="%1.%2.%3.%4.%5.%6.%7.%8."/>
        <w:lvlJc w:val="left"/>
        <w:pPr>
          <w:ind w:left="2952" w:hanging="369"/>
        </w:pPr>
        <w:rPr>
          <w:rFonts w:hint="default"/>
        </w:rPr>
      </w:lvl>
    </w:lvlOverride>
    <w:lvlOverride w:ilvl="8">
      <w:startOverride w:val="1"/>
      <w:lvl w:ilvl="8">
        <w:start w:val="1"/>
        <w:numFmt w:val="decimal"/>
        <w:lvlText w:val="%1.%2.%3.%4.%5.%6.%7.%8.%9."/>
        <w:lvlJc w:val="left"/>
        <w:pPr>
          <w:ind w:left="3321" w:hanging="369"/>
        </w:pPr>
        <w:rPr>
          <w:rFonts w:hint="default"/>
        </w:rPr>
      </w:lvl>
    </w:lvlOverride>
  </w:num>
  <w:num w:numId="50">
    <w:abstractNumId w:val="53"/>
    <w:lvlOverride w:ilvl="0">
      <w:lvl w:ilvl="0">
        <w:start w:val="1"/>
        <w:numFmt w:val="decimal"/>
        <w:pStyle w:val="AHPRANumberedlistlevel1"/>
        <w:lvlText w:val="%1."/>
        <w:lvlJc w:val="left"/>
        <w:pPr>
          <w:ind w:left="369" w:hanging="369"/>
        </w:pPr>
        <w:rPr>
          <w:rFonts w:ascii="Arial" w:hAnsi="Arial" w:cs="Times New Roman" w:hint="default"/>
          <w:b w:val="0"/>
          <w:bCs/>
          <w:i w:val="0"/>
          <w:dstrike w:val="0"/>
          <w:color w:val="auto"/>
          <w:spacing w:val="0"/>
          <w:kern w:val="0"/>
          <w:position w:val="0"/>
          <w:sz w:val="20"/>
          <w:u w:val="none"/>
          <w:vertAlign w:val="baseline"/>
          <w:em w:val="none"/>
        </w:rPr>
      </w:lvl>
    </w:lvlOverride>
    <w:lvlOverride w:ilv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lvl w:ilvl="3">
        <w:start w:val="1"/>
        <w:numFmt w:val="decimal"/>
        <w:lvlText w:val="%1.%2.%3.%4."/>
        <w:lvlJc w:val="left"/>
        <w:pPr>
          <w:ind w:left="1476" w:hanging="369"/>
        </w:pPr>
        <w:rPr>
          <w:rFonts w:hint="default"/>
        </w:rPr>
      </w:lvl>
    </w:lvlOverride>
    <w:lvlOverride w:ilvl="4">
      <w:lvl w:ilvl="4">
        <w:start w:val="1"/>
        <w:numFmt w:val="decimal"/>
        <w:lvlText w:val="%1.%2.%3.%4.%5."/>
        <w:lvlJc w:val="left"/>
        <w:pPr>
          <w:ind w:left="1845" w:hanging="369"/>
        </w:pPr>
        <w:rPr>
          <w:rFonts w:hint="default"/>
        </w:rPr>
      </w:lvl>
    </w:lvlOverride>
    <w:lvlOverride w:ilvl="5">
      <w:lvl w:ilvl="5">
        <w:start w:val="1"/>
        <w:numFmt w:val="decimal"/>
        <w:lvlText w:val="%1.%2.%3.%4.%5.%6."/>
        <w:lvlJc w:val="left"/>
        <w:pPr>
          <w:ind w:left="2214" w:hanging="369"/>
        </w:pPr>
        <w:rPr>
          <w:rFonts w:hint="default"/>
        </w:rPr>
      </w:lvl>
    </w:lvlOverride>
    <w:lvlOverride w:ilvl="6">
      <w:lvl w:ilvl="6">
        <w:start w:val="1"/>
        <w:numFmt w:val="decimal"/>
        <w:lvlText w:val="%1.%2.%3.%4.%5.%6.%7."/>
        <w:lvlJc w:val="left"/>
        <w:pPr>
          <w:ind w:left="2583" w:hanging="369"/>
        </w:pPr>
        <w:rPr>
          <w:rFonts w:hint="default"/>
        </w:rPr>
      </w:lvl>
    </w:lvlOverride>
    <w:lvlOverride w:ilvl="7">
      <w:lvl w:ilvl="7">
        <w:start w:val="1"/>
        <w:numFmt w:val="decimal"/>
        <w:lvlText w:val="%1.%2.%3.%4.%5.%6.%7.%8."/>
        <w:lvlJc w:val="left"/>
        <w:pPr>
          <w:ind w:left="2952" w:hanging="369"/>
        </w:pPr>
        <w:rPr>
          <w:rFonts w:hint="default"/>
        </w:rPr>
      </w:lvl>
    </w:lvlOverride>
    <w:lvlOverride w:ilvl="8">
      <w:lvl w:ilvl="8">
        <w:start w:val="1"/>
        <w:numFmt w:val="decimal"/>
        <w:lvlText w:val="%1.%2.%3.%4.%5.%6.%7.%8.%9."/>
        <w:lvlJc w:val="left"/>
        <w:pPr>
          <w:ind w:left="3321" w:hanging="369"/>
        </w:pPr>
        <w:rPr>
          <w:rFonts w:hint="default"/>
        </w:rPr>
      </w:lvl>
    </w:lvlOverride>
  </w:num>
  <w:num w:numId="51">
    <w:abstractNumId w:val="53"/>
    <w:lvlOverride w:ilvl="0">
      <w:startOverride w:val="47"/>
      <w:lvl w:ilvl="0">
        <w:start w:val="47"/>
        <w:numFmt w:val="decimal"/>
        <w:pStyle w:val="AHPRANumberedlistlevel1"/>
        <w:lvlText w:val="%1."/>
        <w:lvlJc w:val="left"/>
        <w:pPr>
          <w:ind w:left="369" w:hanging="369"/>
        </w:pPr>
        <w:rPr>
          <w:rFonts w:ascii="Arial" w:hAnsi="Arial" w:cs="Times New Roman" w:hint="default"/>
          <w:b w:val="0"/>
          <w:bCs/>
          <w:i w:val="0"/>
          <w:dstrike w:val="0"/>
          <w:color w:val="auto"/>
          <w:spacing w:val="0"/>
          <w:kern w:val="0"/>
          <w:position w:val="0"/>
          <w:sz w:val="20"/>
          <w:u w:val="none"/>
          <w:vertAlign w:val="baseline"/>
          <w:em w:val="none"/>
        </w:rPr>
      </w:lvl>
    </w:lvlOverride>
    <w:lvlOverride w:ilvl="1">
      <w:startOverride w:va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startOverride w:val="1"/>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startOverride w:val="1"/>
      <w:lvl w:ilvl="3">
        <w:start w:val="1"/>
        <w:numFmt w:val="decimal"/>
        <w:lvlText w:val="%1.%2.%3.%4."/>
        <w:lvlJc w:val="left"/>
        <w:pPr>
          <w:ind w:left="1476" w:hanging="369"/>
        </w:pPr>
        <w:rPr>
          <w:rFonts w:hint="default"/>
        </w:rPr>
      </w:lvl>
    </w:lvlOverride>
    <w:lvlOverride w:ilvl="4">
      <w:startOverride w:val="1"/>
      <w:lvl w:ilvl="4">
        <w:start w:val="1"/>
        <w:numFmt w:val="decimal"/>
        <w:lvlText w:val="%1.%2.%3.%4.%5."/>
        <w:lvlJc w:val="left"/>
        <w:pPr>
          <w:ind w:left="1845" w:hanging="369"/>
        </w:pPr>
        <w:rPr>
          <w:rFonts w:hint="default"/>
        </w:rPr>
      </w:lvl>
    </w:lvlOverride>
    <w:lvlOverride w:ilvl="5">
      <w:startOverride w:val="1"/>
      <w:lvl w:ilvl="5">
        <w:start w:val="1"/>
        <w:numFmt w:val="decimal"/>
        <w:lvlText w:val="%1.%2.%3.%4.%5.%6."/>
        <w:lvlJc w:val="left"/>
        <w:pPr>
          <w:ind w:left="2214" w:hanging="369"/>
        </w:pPr>
        <w:rPr>
          <w:rFonts w:hint="default"/>
        </w:rPr>
      </w:lvl>
    </w:lvlOverride>
    <w:lvlOverride w:ilvl="6">
      <w:startOverride w:val="1"/>
      <w:lvl w:ilvl="6">
        <w:start w:val="1"/>
        <w:numFmt w:val="decimal"/>
        <w:lvlText w:val="%1.%2.%3.%4.%5.%6.%7."/>
        <w:lvlJc w:val="left"/>
        <w:pPr>
          <w:ind w:left="2583" w:hanging="369"/>
        </w:pPr>
        <w:rPr>
          <w:rFonts w:hint="default"/>
        </w:rPr>
      </w:lvl>
    </w:lvlOverride>
    <w:lvlOverride w:ilvl="7">
      <w:startOverride w:val="1"/>
      <w:lvl w:ilvl="7">
        <w:start w:val="1"/>
        <w:numFmt w:val="decimal"/>
        <w:lvlText w:val="%1.%2.%3.%4.%5.%6.%7.%8."/>
        <w:lvlJc w:val="left"/>
        <w:pPr>
          <w:ind w:left="2952" w:hanging="369"/>
        </w:pPr>
        <w:rPr>
          <w:rFonts w:hint="default"/>
        </w:rPr>
      </w:lvl>
    </w:lvlOverride>
    <w:lvlOverride w:ilvl="8">
      <w:startOverride w:val="1"/>
      <w:lvl w:ilvl="8">
        <w:start w:val="1"/>
        <w:numFmt w:val="decimal"/>
        <w:lvlText w:val="%1.%2.%3.%4.%5.%6.%7.%8.%9."/>
        <w:lvlJc w:val="left"/>
        <w:pPr>
          <w:ind w:left="3321" w:hanging="369"/>
        </w:pPr>
        <w:rPr>
          <w:rFonts w:hint="default"/>
        </w:rPr>
      </w:lvl>
    </w:lvlOverride>
  </w:num>
  <w:num w:numId="52">
    <w:abstractNumId w:val="53"/>
    <w:lvlOverride w:ilvl="0">
      <w:startOverride w:val="51"/>
      <w:lvl w:ilvl="0">
        <w:start w:val="51"/>
        <w:numFmt w:val="decimal"/>
        <w:pStyle w:val="AHPRANumberedlistlevel1"/>
        <w:lvlText w:val="%1."/>
        <w:lvlJc w:val="left"/>
        <w:pPr>
          <w:ind w:left="369" w:hanging="369"/>
        </w:pPr>
        <w:rPr>
          <w:rFonts w:ascii="Arial" w:hAnsi="Arial" w:cs="Times New Roman" w:hint="default"/>
          <w:b w:val="0"/>
          <w:bCs/>
          <w:i w:val="0"/>
          <w:dstrike w:val="0"/>
          <w:color w:val="auto"/>
          <w:spacing w:val="0"/>
          <w:kern w:val="0"/>
          <w:position w:val="0"/>
          <w:sz w:val="20"/>
          <w:u w:val="none"/>
          <w:vertAlign w:val="baseline"/>
          <w:em w:val="none"/>
        </w:rPr>
      </w:lvl>
    </w:lvlOverride>
    <w:lvlOverride w:ilvl="1">
      <w:startOverride w:va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startOverride w:val="1"/>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startOverride w:val="1"/>
      <w:lvl w:ilvl="3">
        <w:start w:val="1"/>
        <w:numFmt w:val="decimal"/>
        <w:lvlText w:val="%1.%2.%3.%4."/>
        <w:lvlJc w:val="left"/>
        <w:pPr>
          <w:ind w:left="1476" w:hanging="369"/>
        </w:pPr>
        <w:rPr>
          <w:rFonts w:hint="default"/>
        </w:rPr>
      </w:lvl>
    </w:lvlOverride>
    <w:lvlOverride w:ilvl="4">
      <w:startOverride w:val="1"/>
      <w:lvl w:ilvl="4">
        <w:start w:val="1"/>
        <w:numFmt w:val="decimal"/>
        <w:lvlText w:val="%1.%2.%3.%4.%5."/>
        <w:lvlJc w:val="left"/>
        <w:pPr>
          <w:ind w:left="1845" w:hanging="369"/>
        </w:pPr>
        <w:rPr>
          <w:rFonts w:hint="default"/>
        </w:rPr>
      </w:lvl>
    </w:lvlOverride>
    <w:lvlOverride w:ilvl="5">
      <w:startOverride w:val="1"/>
      <w:lvl w:ilvl="5">
        <w:start w:val="1"/>
        <w:numFmt w:val="decimal"/>
        <w:lvlText w:val="%1.%2.%3.%4.%5.%6."/>
        <w:lvlJc w:val="left"/>
        <w:pPr>
          <w:ind w:left="2214" w:hanging="369"/>
        </w:pPr>
        <w:rPr>
          <w:rFonts w:hint="default"/>
        </w:rPr>
      </w:lvl>
    </w:lvlOverride>
    <w:lvlOverride w:ilvl="6">
      <w:startOverride w:val="1"/>
      <w:lvl w:ilvl="6">
        <w:start w:val="1"/>
        <w:numFmt w:val="decimal"/>
        <w:lvlText w:val="%1.%2.%3.%4.%5.%6.%7."/>
        <w:lvlJc w:val="left"/>
        <w:pPr>
          <w:ind w:left="2583" w:hanging="369"/>
        </w:pPr>
        <w:rPr>
          <w:rFonts w:hint="default"/>
        </w:rPr>
      </w:lvl>
    </w:lvlOverride>
    <w:lvlOverride w:ilvl="7">
      <w:startOverride w:val="1"/>
      <w:lvl w:ilvl="7">
        <w:start w:val="1"/>
        <w:numFmt w:val="decimal"/>
        <w:lvlText w:val="%1.%2.%3.%4.%5.%6.%7.%8."/>
        <w:lvlJc w:val="left"/>
        <w:pPr>
          <w:ind w:left="2952" w:hanging="369"/>
        </w:pPr>
        <w:rPr>
          <w:rFonts w:hint="default"/>
        </w:rPr>
      </w:lvl>
    </w:lvlOverride>
    <w:lvlOverride w:ilvl="8">
      <w:startOverride w:val="1"/>
      <w:lvl w:ilvl="8">
        <w:start w:val="1"/>
        <w:numFmt w:val="decimal"/>
        <w:lvlText w:val="%1.%2.%3.%4.%5.%6.%7.%8.%9."/>
        <w:lvlJc w:val="left"/>
        <w:pPr>
          <w:ind w:left="3321" w:hanging="369"/>
        </w:pPr>
        <w:rPr>
          <w:rFonts w:hint="default"/>
        </w:rPr>
      </w:lvl>
    </w:lvlOverride>
  </w:num>
  <w:num w:numId="53">
    <w:abstractNumId w:val="53"/>
    <w:lvlOverride w:ilvl="0">
      <w:startOverride w:val="96"/>
      <w:lvl w:ilvl="0">
        <w:start w:val="96"/>
        <w:numFmt w:val="decimal"/>
        <w:pStyle w:val="AHPRANumberedlistlevel1"/>
        <w:lvlText w:val="%1."/>
        <w:lvlJc w:val="left"/>
        <w:pPr>
          <w:ind w:left="369" w:hanging="369"/>
        </w:pPr>
        <w:rPr>
          <w:rFonts w:ascii="Arial" w:hAnsi="Arial" w:cs="Times New Roman" w:hint="default"/>
          <w:b w:val="0"/>
          <w:bCs/>
          <w:i w:val="0"/>
          <w:dstrike w:val="0"/>
          <w:color w:val="auto"/>
          <w:spacing w:val="0"/>
          <w:kern w:val="0"/>
          <w:position w:val="0"/>
          <w:sz w:val="20"/>
          <w:u w:val="none"/>
          <w:vertAlign w:val="baseline"/>
          <w:em w:val="none"/>
        </w:rPr>
      </w:lvl>
    </w:lvlOverride>
    <w:lvlOverride w:ilvl="1">
      <w:startOverride w:va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startOverride w:val="1"/>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startOverride w:val="1"/>
      <w:lvl w:ilvl="3">
        <w:start w:val="1"/>
        <w:numFmt w:val="decimal"/>
        <w:lvlText w:val="%1.%2.%3.%4."/>
        <w:lvlJc w:val="left"/>
        <w:pPr>
          <w:ind w:left="1476" w:hanging="369"/>
        </w:pPr>
        <w:rPr>
          <w:rFonts w:hint="default"/>
        </w:rPr>
      </w:lvl>
    </w:lvlOverride>
    <w:lvlOverride w:ilvl="4">
      <w:startOverride w:val="1"/>
      <w:lvl w:ilvl="4">
        <w:start w:val="1"/>
        <w:numFmt w:val="decimal"/>
        <w:lvlText w:val="%1.%2.%3.%4.%5."/>
        <w:lvlJc w:val="left"/>
        <w:pPr>
          <w:ind w:left="1845" w:hanging="369"/>
        </w:pPr>
        <w:rPr>
          <w:rFonts w:hint="default"/>
        </w:rPr>
      </w:lvl>
    </w:lvlOverride>
    <w:lvlOverride w:ilvl="5">
      <w:startOverride w:val="1"/>
      <w:lvl w:ilvl="5">
        <w:start w:val="1"/>
        <w:numFmt w:val="decimal"/>
        <w:lvlText w:val="%1.%2.%3.%4.%5.%6."/>
        <w:lvlJc w:val="left"/>
        <w:pPr>
          <w:ind w:left="2214" w:hanging="369"/>
        </w:pPr>
        <w:rPr>
          <w:rFonts w:hint="default"/>
        </w:rPr>
      </w:lvl>
    </w:lvlOverride>
    <w:lvlOverride w:ilvl="6">
      <w:startOverride w:val="1"/>
      <w:lvl w:ilvl="6">
        <w:start w:val="1"/>
        <w:numFmt w:val="decimal"/>
        <w:lvlText w:val="%1.%2.%3.%4.%5.%6.%7."/>
        <w:lvlJc w:val="left"/>
        <w:pPr>
          <w:ind w:left="2583" w:hanging="369"/>
        </w:pPr>
        <w:rPr>
          <w:rFonts w:hint="default"/>
        </w:rPr>
      </w:lvl>
    </w:lvlOverride>
    <w:lvlOverride w:ilvl="7">
      <w:startOverride w:val="1"/>
      <w:lvl w:ilvl="7">
        <w:start w:val="1"/>
        <w:numFmt w:val="decimal"/>
        <w:lvlText w:val="%1.%2.%3.%4.%5.%6.%7.%8."/>
        <w:lvlJc w:val="left"/>
        <w:pPr>
          <w:ind w:left="2952" w:hanging="369"/>
        </w:pPr>
        <w:rPr>
          <w:rFonts w:hint="default"/>
        </w:rPr>
      </w:lvl>
    </w:lvlOverride>
    <w:lvlOverride w:ilvl="8">
      <w:startOverride w:val="1"/>
      <w:lvl w:ilvl="8">
        <w:start w:val="1"/>
        <w:numFmt w:val="decimal"/>
        <w:lvlText w:val="%1.%2.%3.%4.%5.%6.%7.%8.%9."/>
        <w:lvlJc w:val="left"/>
        <w:pPr>
          <w:ind w:left="3321" w:hanging="369"/>
        </w:pPr>
        <w:rPr>
          <w:rFonts w:hint="default"/>
        </w:rPr>
      </w:lvl>
    </w:lvlOverride>
  </w:num>
  <w:num w:numId="54">
    <w:abstractNumId w:val="0"/>
  </w:num>
  <w:num w:numId="55">
    <w:abstractNumId w:val="44"/>
  </w:num>
  <w:num w:numId="56">
    <w:abstractNumId w:val="23"/>
  </w:num>
  <w:num w:numId="57">
    <w:abstractNumId w:val="19"/>
  </w:num>
  <w:num w:numId="58">
    <w:abstractNumId w:val="33"/>
  </w:num>
  <w:num w:numId="59">
    <w:abstractNumId w:val="32"/>
  </w:num>
  <w:num w:numId="60">
    <w:abstractNumId w:val="26"/>
  </w:num>
  <w:num w:numId="61">
    <w:abstractNumId w:val="9"/>
  </w:num>
  <w:num w:numId="62">
    <w:abstractNumId w:val="16"/>
  </w:num>
  <w:num w:numId="6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7E"/>
    <w:rsid w:val="00000033"/>
    <w:rsid w:val="00000772"/>
    <w:rsid w:val="00000B27"/>
    <w:rsid w:val="00000C6F"/>
    <w:rsid w:val="00000D12"/>
    <w:rsid w:val="00000D43"/>
    <w:rsid w:val="0000153F"/>
    <w:rsid w:val="00001AD1"/>
    <w:rsid w:val="00001C62"/>
    <w:rsid w:val="000025D4"/>
    <w:rsid w:val="00002ABA"/>
    <w:rsid w:val="0000320F"/>
    <w:rsid w:val="000034B1"/>
    <w:rsid w:val="000034BA"/>
    <w:rsid w:val="000034C7"/>
    <w:rsid w:val="00003862"/>
    <w:rsid w:val="00004AB6"/>
    <w:rsid w:val="00004D2C"/>
    <w:rsid w:val="00004EC5"/>
    <w:rsid w:val="000050B3"/>
    <w:rsid w:val="00005818"/>
    <w:rsid w:val="00005EBB"/>
    <w:rsid w:val="0000631B"/>
    <w:rsid w:val="00006922"/>
    <w:rsid w:val="000069FD"/>
    <w:rsid w:val="00006A25"/>
    <w:rsid w:val="0000711D"/>
    <w:rsid w:val="00007173"/>
    <w:rsid w:val="0000747D"/>
    <w:rsid w:val="00007F71"/>
    <w:rsid w:val="00011622"/>
    <w:rsid w:val="00011DC2"/>
    <w:rsid w:val="00011E58"/>
    <w:rsid w:val="00012084"/>
    <w:rsid w:val="000122B1"/>
    <w:rsid w:val="00012BCF"/>
    <w:rsid w:val="00014119"/>
    <w:rsid w:val="00014CE8"/>
    <w:rsid w:val="000153FF"/>
    <w:rsid w:val="00015DD4"/>
    <w:rsid w:val="00015DF8"/>
    <w:rsid w:val="0001720E"/>
    <w:rsid w:val="000175DF"/>
    <w:rsid w:val="00020599"/>
    <w:rsid w:val="000207B4"/>
    <w:rsid w:val="000208CE"/>
    <w:rsid w:val="00020CBF"/>
    <w:rsid w:val="00021061"/>
    <w:rsid w:val="0002110C"/>
    <w:rsid w:val="00021570"/>
    <w:rsid w:val="00021A77"/>
    <w:rsid w:val="00022617"/>
    <w:rsid w:val="0002261E"/>
    <w:rsid w:val="00022AEA"/>
    <w:rsid w:val="00024025"/>
    <w:rsid w:val="00025E3D"/>
    <w:rsid w:val="00025F9A"/>
    <w:rsid w:val="0002621B"/>
    <w:rsid w:val="00026DDB"/>
    <w:rsid w:val="00026DE8"/>
    <w:rsid w:val="00029771"/>
    <w:rsid w:val="0002AC86"/>
    <w:rsid w:val="00030252"/>
    <w:rsid w:val="00030359"/>
    <w:rsid w:val="000308EF"/>
    <w:rsid w:val="00030FA7"/>
    <w:rsid w:val="0003156C"/>
    <w:rsid w:val="000320E5"/>
    <w:rsid w:val="0003215E"/>
    <w:rsid w:val="00032214"/>
    <w:rsid w:val="00032B71"/>
    <w:rsid w:val="00032D01"/>
    <w:rsid w:val="000334D7"/>
    <w:rsid w:val="00033EE5"/>
    <w:rsid w:val="0003463A"/>
    <w:rsid w:val="0003576F"/>
    <w:rsid w:val="00035BDC"/>
    <w:rsid w:val="0003613E"/>
    <w:rsid w:val="00036E22"/>
    <w:rsid w:val="0004061A"/>
    <w:rsid w:val="00041993"/>
    <w:rsid w:val="0004277E"/>
    <w:rsid w:val="00043089"/>
    <w:rsid w:val="000436DB"/>
    <w:rsid w:val="00043A7F"/>
    <w:rsid w:val="00043C29"/>
    <w:rsid w:val="000442FF"/>
    <w:rsid w:val="00045834"/>
    <w:rsid w:val="0004591D"/>
    <w:rsid w:val="00046AE3"/>
    <w:rsid w:val="00050797"/>
    <w:rsid w:val="00051761"/>
    <w:rsid w:val="00052AF5"/>
    <w:rsid w:val="000547BE"/>
    <w:rsid w:val="0005600E"/>
    <w:rsid w:val="00056149"/>
    <w:rsid w:val="00056D85"/>
    <w:rsid w:val="00057169"/>
    <w:rsid w:val="00057531"/>
    <w:rsid w:val="0005757D"/>
    <w:rsid w:val="00057774"/>
    <w:rsid w:val="00060BA1"/>
    <w:rsid w:val="00060C12"/>
    <w:rsid w:val="00060FCA"/>
    <w:rsid w:val="000615C4"/>
    <w:rsid w:val="00063321"/>
    <w:rsid w:val="0006338C"/>
    <w:rsid w:val="00063BB9"/>
    <w:rsid w:val="00064839"/>
    <w:rsid w:val="00064DE6"/>
    <w:rsid w:val="00064FFF"/>
    <w:rsid w:val="00066ACD"/>
    <w:rsid w:val="00066B83"/>
    <w:rsid w:val="00066D11"/>
    <w:rsid w:val="00066D4E"/>
    <w:rsid w:val="00066F21"/>
    <w:rsid w:val="00067EA7"/>
    <w:rsid w:val="00070959"/>
    <w:rsid w:val="00070C51"/>
    <w:rsid w:val="00071410"/>
    <w:rsid w:val="00071434"/>
    <w:rsid w:val="00071439"/>
    <w:rsid w:val="000716F8"/>
    <w:rsid w:val="000717E8"/>
    <w:rsid w:val="00071C55"/>
    <w:rsid w:val="000722A7"/>
    <w:rsid w:val="00072AAD"/>
    <w:rsid w:val="00073516"/>
    <w:rsid w:val="000737EB"/>
    <w:rsid w:val="00073AD2"/>
    <w:rsid w:val="0007434A"/>
    <w:rsid w:val="00074614"/>
    <w:rsid w:val="00074717"/>
    <w:rsid w:val="000750A8"/>
    <w:rsid w:val="0007535D"/>
    <w:rsid w:val="000759D3"/>
    <w:rsid w:val="00075D33"/>
    <w:rsid w:val="00075D34"/>
    <w:rsid w:val="00076340"/>
    <w:rsid w:val="000767EA"/>
    <w:rsid w:val="0007685A"/>
    <w:rsid w:val="0007697E"/>
    <w:rsid w:val="00076C66"/>
    <w:rsid w:val="00077C4D"/>
    <w:rsid w:val="00080754"/>
    <w:rsid w:val="00080755"/>
    <w:rsid w:val="0008173A"/>
    <w:rsid w:val="000818FC"/>
    <w:rsid w:val="00082468"/>
    <w:rsid w:val="00083174"/>
    <w:rsid w:val="000832B6"/>
    <w:rsid w:val="0008367A"/>
    <w:rsid w:val="00083C7A"/>
    <w:rsid w:val="00084032"/>
    <w:rsid w:val="00085170"/>
    <w:rsid w:val="0008527A"/>
    <w:rsid w:val="00085C14"/>
    <w:rsid w:val="00086D19"/>
    <w:rsid w:val="000910A6"/>
    <w:rsid w:val="0009121A"/>
    <w:rsid w:val="00091A46"/>
    <w:rsid w:val="000923B5"/>
    <w:rsid w:val="00092A97"/>
    <w:rsid w:val="00092BC8"/>
    <w:rsid w:val="00092CDF"/>
    <w:rsid w:val="00092D56"/>
    <w:rsid w:val="00093A1A"/>
    <w:rsid w:val="00093B41"/>
    <w:rsid w:val="000945FB"/>
    <w:rsid w:val="000949A1"/>
    <w:rsid w:val="00095849"/>
    <w:rsid w:val="00095E49"/>
    <w:rsid w:val="00095E4B"/>
    <w:rsid w:val="000963B2"/>
    <w:rsid w:val="00096EC9"/>
    <w:rsid w:val="0009701F"/>
    <w:rsid w:val="00097892"/>
    <w:rsid w:val="000A0889"/>
    <w:rsid w:val="000A13B0"/>
    <w:rsid w:val="000A14BE"/>
    <w:rsid w:val="000A2C1A"/>
    <w:rsid w:val="000A3454"/>
    <w:rsid w:val="000A3BF8"/>
    <w:rsid w:val="000A4133"/>
    <w:rsid w:val="000A584F"/>
    <w:rsid w:val="000A62FE"/>
    <w:rsid w:val="000A6315"/>
    <w:rsid w:val="000A657D"/>
    <w:rsid w:val="000A6ADD"/>
    <w:rsid w:val="000A6BF7"/>
    <w:rsid w:val="000A71A0"/>
    <w:rsid w:val="000A7912"/>
    <w:rsid w:val="000A7B4E"/>
    <w:rsid w:val="000B0A90"/>
    <w:rsid w:val="000B0E38"/>
    <w:rsid w:val="000B1085"/>
    <w:rsid w:val="000B184B"/>
    <w:rsid w:val="000B202A"/>
    <w:rsid w:val="000B2928"/>
    <w:rsid w:val="000B392E"/>
    <w:rsid w:val="000B4270"/>
    <w:rsid w:val="000B50C9"/>
    <w:rsid w:val="000B56DE"/>
    <w:rsid w:val="000B5DEF"/>
    <w:rsid w:val="000B5EE1"/>
    <w:rsid w:val="000B6744"/>
    <w:rsid w:val="000B787F"/>
    <w:rsid w:val="000B7B75"/>
    <w:rsid w:val="000B7BEE"/>
    <w:rsid w:val="000B7BF3"/>
    <w:rsid w:val="000B7D1C"/>
    <w:rsid w:val="000C0310"/>
    <w:rsid w:val="000C04F6"/>
    <w:rsid w:val="000C12FC"/>
    <w:rsid w:val="000C1700"/>
    <w:rsid w:val="000C1FF0"/>
    <w:rsid w:val="000C204A"/>
    <w:rsid w:val="000C2241"/>
    <w:rsid w:val="000C24AF"/>
    <w:rsid w:val="000C2671"/>
    <w:rsid w:val="000C26A0"/>
    <w:rsid w:val="000C2BEF"/>
    <w:rsid w:val="000C31C1"/>
    <w:rsid w:val="000C3F71"/>
    <w:rsid w:val="000C4120"/>
    <w:rsid w:val="000C418C"/>
    <w:rsid w:val="000C483C"/>
    <w:rsid w:val="000C4FBA"/>
    <w:rsid w:val="000C5F98"/>
    <w:rsid w:val="000C65D2"/>
    <w:rsid w:val="000C76E3"/>
    <w:rsid w:val="000C7A35"/>
    <w:rsid w:val="000D1640"/>
    <w:rsid w:val="000D167C"/>
    <w:rsid w:val="000D1A0A"/>
    <w:rsid w:val="000D2A2D"/>
    <w:rsid w:val="000D2CC1"/>
    <w:rsid w:val="000D35DB"/>
    <w:rsid w:val="000D496C"/>
    <w:rsid w:val="000D4CB0"/>
    <w:rsid w:val="000D4D3D"/>
    <w:rsid w:val="000D565A"/>
    <w:rsid w:val="000D5A78"/>
    <w:rsid w:val="000D5B6F"/>
    <w:rsid w:val="000D5CA1"/>
    <w:rsid w:val="000D5FED"/>
    <w:rsid w:val="000D6103"/>
    <w:rsid w:val="000D6DC2"/>
    <w:rsid w:val="000E1881"/>
    <w:rsid w:val="000E2736"/>
    <w:rsid w:val="000E2E53"/>
    <w:rsid w:val="000E33D2"/>
    <w:rsid w:val="000E3703"/>
    <w:rsid w:val="000E3B3B"/>
    <w:rsid w:val="000E4904"/>
    <w:rsid w:val="000E676C"/>
    <w:rsid w:val="000E6828"/>
    <w:rsid w:val="000E6DA9"/>
    <w:rsid w:val="000E7E21"/>
    <w:rsid w:val="000E7E28"/>
    <w:rsid w:val="000F0130"/>
    <w:rsid w:val="000F0173"/>
    <w:rsid w:val="000F0F27"/>
    <w:rsid w:val="000F1464"/>
    <w:rsid w:val="000F30F2"/>
    <w:rsid w:val="000F3321"/>
    <w:rsid w:val="000F36E3"/>
    <w:rsid w:val="000F3B55"/>
    <w:rsid w:val="000F3EF5"/>
    <w:rsid w:val="000F4781"/>
    <w:rsid w:val="000F53D3"/>
    <w:rsid w:val="000F56D1"/>
    <w:rsid w:val="000F5D90"/>
    <w:rsid w:val="000F5F03"/>
    <w:rsid w:val="000F6382"/>
    <w:rsid w:val="000F698D"/>
    <w:rsid w:val="000F6AB0"/>
    <w:rsid w:val="000F6C76"/>
    <w:rsid w:val="000F731F"/>
    <w:rsid w:val="000F73D3"/>
    <w:rsid w:val="000F749A"/>
    <w:rsid w:val="000F756D"/>
    <w:rsid w:val="0010139F"/>
    <w:rsid w:val="00101A54"/>
    <w:rsid w:val="001021A7"/>
    <w:rsid w:val="001022F3"/>
    <w:rsid w:val="001025EF"/>
    <w:rsid w:val="0010269B"/>
    <w:rsid w:val="00102C40"/>
    <w:rsid w:val="00102DF4"/>
    <w:rsid w:val="001034FB"/>
    <w:rsid w:val="00104128"/>
    <w:rsid w:val="00105D84"/>
    <w:rsid w:val="001060E6"/>
    <w:rsid w:val="00106762"/>
    <w:rsid w:val="001069EE"/>
    <w:rsid w:val="00106CE0"/>
    <w:rsid w:val="00106E14"/>
    <w:rsid w:val="001079F4"/>
    <w:rsid w:val="00107D1B"/>
    <w:rsid w:val="00107EFE"/>
    <w:rsid w:val="00107F4E"/>
    <w:rsid w:val="00110E99"/>
    <w:rsid w:val="0011269E"/>
    <w:rsid w:val="00113A6B"/>
    <w:rsid w:val="00113C10"/>
    <w:rsid w:val="00114DC8"/>
    <w:rsid w:val="00115189"/>
    <w:rsid w:val="001152ED"/>
    <w:rsid w:val="00115908"/>
    <w:rsid w:val="001161FF"/>
    <w:rsid w:val="001163E2"/>
    <w:rsid w:val="00116C58"/>
    <w:rsid w:val="00116CB9"/>
    <w:rsid w:val="0011732F"/>
    <w:rsid w:val="00117990"/>
    <w:rsid w:val="00117B7B"/>
    <w:rsid w:val="001209B3"/>
    <w:rsid w:val="0012215C"/>
    <w:rsid w:val="0012268E"/>
    <w:rsid w:val="001237D7"/>
    <w:rsid w:val="00123CF2"/>
    <w:rsid w:val="00125818"/>
    <w:rsid w:val="00125A2C"/>
    <w:rsid w:val="00126131"/>
    <w:rsid w:val="0012640B"/>
    <w:rsid w:val="0012664E"/>
    <w:rsid w:val="001266B4"/>
    <w:rsid w:val="00126A8D"/>
    <w:rsid w:val="001301E6"/>
    <w:rsid w:val="0013025D"/>
    <w:rsid w:val="00130E62"/>
    <w:rsid w:val="001314B6"/>
    <w:rsid w:val="001314EC"/>
    <w:rsid w:val="00131D41"/>
    <w:rsid w:val="0013250A"/>
    <w:rsid w:val="0013364C"/>
    <w:rsid w:val="0013393C"/>
    <w:rsid w:val="00134549"/>
    <w:rsid w:val="00135212"/>
    <w:rsid w:val="0013579E"/>
    <w:rsid w:val="00136246"/>
    <w:rsid w:val="00136338"/>
    <w:rsid w:val="00137214"/>
    <w:rsid w:val="00137BBF"/>
    <w:rsid w:val="00140D62"/>
    <w:rsid w:val="00141FF6"/>
    <w:rsid w:val="00142017"/>
    <w:rsid w:val="001435C1"/>
    <w:rsid w:val="00144AF1"/>
    <w:rsid w:val="00144CFC"/>
    <w:rsid w:val="00144D20"/>
    <w:rsid w:val="00144DEF"/>
    <w:rsid w:val="0014513F"/>
    <w:rsid w:val="0014597A"/>
    <w:rsid w:val="00146782"/>
    <w:rsid w:val="001473DE"/>
    <w:rsid w:val="00147ADF"/>
    <w:rsid w:val="00147B37"/>
    <w:rsid w:val="001506FE"/>
    <w:rsid w:val="00150885"/>
    <w:rsid w:val="001511A7"/>
    <w:rsid w:val="0015168B"/>
    <w:rsid w:val="001527E6"/>
    <w:rsid w:val="001534AF"/>
    <w:rsid w:val="0015396D"/>
    <w:rsid w:val="00154F2A"/>
    <w:rsid w:val="00161925"/>
    <w:rsid w:val="001620C0"/>
    <w:rsid w:val="00162293"/>
    <w:rsid w:val="001627F3"/>
    <w:rsid w:val="001629C0"/>
    <w:rsid w:val="00162BD9"/>
    <w:rsid w:val="00162E27"/>
    <w:rsid w:val="00163BA6"/>
    <w:rsid w:val="00164256"/>
    <w:rsid w:val="00164AEC"/>
    <w:rsid w:val="00165073"/>
    <w:rsid w:val="001652AC"/>
    <w:rsid w:val="00166CAE"/>
    <w:rsid w:val="00167F05"/>
    <w:rsid w:val="00170080"/>
    <w:rsid w:val="0017093C"/>
    <w:rsid w:val="00171131"/>
    <w:rsid w:val="001711EA"/>
    <w:rsid w:val="0017227D"/>
    <w:rsid w:val="001723B9"/>
    <w:rsid w:val="001726AA"/>
    <w:rsid w:val="00172A8C"/>
    <w:rsid w:val="0017350F"/>
    <w:rsid w:val="00173B5E"/>
    <w:rsid w:val="00173E2F"/>
    <w:rsid w:val="00174097"/>
    <w:rsid w:val="001741C4"/>
    <w:rsid w:val="0017484C"/>
    <w:rsid w:val="001759B2"/>
    <w:rsid w:val="001771EE"/>
    <w:rsid w:val="00177F3B"/>
    <w:rsid w:val="001800B0"/>
    <w:rsid w:val="0018098B"/>
    <w:rsid w:val="00180A62"/>
    <w:rsid w:val="00180C38"/>
    <w:rsid w:val="00180F91"/>
    <w:rsid w:val="00181329"/>
    <w:rsid w:val="00181DB5"/>
    <w:rsid w:val="001820BA"/>
    <w:rsid w:val="00182128"/>
    <w:rsid w:val="00182298"/>
    <w:rsid w:val="0018330D"/>
    <w:rsid w:val="00183400"/>
    <w:rsid w:val="00183B17"/>
    <w:rsid w:val="00183D4C"/>
    <w:rsid w:val="00183FD6"/>
    <w:rsid w:val="00184451"/>
    <w:rsid w:val="00184507"/>
    <w:rsid w:val="00184627"/>
    <w:rsid w:val="00184824"/>
    <w:rsid w:val="00184FE1"/>
    <w:rsid w:val="0018508D"/>
    <w:rsid w:val="00185F30"/>
    <w:rsid w:val="00186478"/>
    <w:rsid w:val="00186810"/>
    <w:rsid w:val="00187813"/>
    <w:rsid w:val="00187C14"/>
    <w:rsid w:val="00190F4E"/>
    <w:rsid w:val="00191591"/>
    <w:rsid w:val="00191688"/>
    <w:rsid w:val="001923E5"/>
    <w:rsid w:val="001932AF"/>
    <w:rsid w:val="00193847"/>
    <w:rsid w:val="00194068"/>
    <w:rsid w:val="0019578D"/>
    <w:rsid w:val="00195F5D"/>
    <w:rsid w:val="001964D5"/>
    <w:rsid w:val="001966F2"/>
    <w:rsid w:val="00196BED"/>
    <w:rsid w:val="00196F14"/>
    <w:rsid w:val="00196F3B"/>
    <w:rsid w:val="00197761"/>
    <w:rsid w:val="00197899"/>
    <w:rsid w:val="001A06AF"/>
    <w:rsid w:val="001A0AFF"/>
    <w:rsid w:val="001A10F1"/>
    <w:rsid w:val="001A1923"/>
    <w:rsid w:val="001A20ED"/>
    <w:rsid w:val="001A2224"/>
    <w:rsid w:val="001A2D38"/>
    <w:rsid w:val="001A2D7A"/>
    <w:rsid w:val="001A4016"/>
    <w:rsid w:val="001A4549"/>
    <w:rsid w:val="001A4A14"/>
    <w:rsid w:val="001A4E22"/>
    <w:rsid w:val="001A5294"/>
    <w:rsid w:val="001A59D2"/>
    <w:rsid w:val="001A7CB4"/>
    <w:rsid w:val="001A7FAA"/>
    <w:rsid w:val="001A7FB9"/>
    <w:rsid w:val="001B143B"/>
    <w:rsid w:val="001B15A5"/>
    <w:rsid w:val="001B2AAD"/>
    <w:rsid w:val="001B2BBC"/>
    <w:rsid w:val="001B3372"/>
    <w:rsid w:val="001B3669"/>
    <w:rsid w:val="001B3C81"/>
    <w:rsid w:val="001B4065"/>
    <w:rsid w:val="001B5456"/>
    <w:rsid w:val="001B59DC"/>
    <w:rsid w:val="001B5B1E"/>
    <w:rsid w:val="001B660C"/>
    <w:rsid w:val="001B6D98"/>
    <w:rsid w:val="001B7700"/>
    <w:rsid w:val="001C183D"/>
    <w:rsid w:val="001C1CA9"/>
    <w:rsid w:val="001C2F37"/>
    <w:rsid w:val="001C3952"/>
    <w:rsid w:val="001C3B0D"/>
    <w:rsid w:val="001C3D60"/>
    <w:rsid w:val="001C425C"/>
    <w:rsid w:val="001C55D6"/>
    <w:rsid w:val="001C6D3D"/>
    <w:rsid w:val="001C6E13"/>
    <w:rsid w:val="001C7092"/>
    <w:rsid w:val="001C7ECF"/>
    <w:rsid w:val="001D0ECC"/>
    <w:rsid w:val="001D17D3"/>
    <w:rsid w:val="001D2446"/>
    <w:rsid w:val="001D2AF7"/>
    <w:rsid w:val="001D2CDE"/>
    <w:rsid w:val="001D2E66"/>
    <w:rsid w:val="001D4094"/>
    <w:rsid w:val="001D5531"/>
    <w:rsid w:val="001D5C09"/>
    <w:rsid w:val="001D78F4"/>
    <w:rsid w:val="001E07E7"/>
    <w:rsid w:val="001E0AD2"/>
    <w:rsid w:val="001E0E62"/>
    <w:rsid w:val="001E10B8"/>
    <w:rsid w:val="001E1E31"/>
    <w:rsid w:val="001E267B"/>
    <w:rsid w:val="001E268D"/>
    <w:rsid w:val="001E2817"/>
    <w:rsid w:val="001E2849"/>
    <w:rsid w:val="001E2F67"/>
    <w:rsid w:val="001E33AE"/>
    <w:rsid w:val="001E4525"/>
    <w:rsid w:val="001E4615"/>
    <w:rsid w:val="001E4A4F"/>
    <w:rsid w:val="001E4A94"/>
    <w:rsid w:val="001E4FA0"/>
    <w:rsid w:val="001E5518"/>
    <w:rsid w:val="001E5621"/>
    <w:rsid w:val="001E6D58"/>
    <w:rsid w:val="001E7142"/>
    <w:rsid w:val="001E724B"/>
    <w:rsid w:val="001F03EC"/>
    <w:rsid w:val="001F0485"/>
    <w:rsid w:val="001F0B27"/>
    <w:rsid w:val="001F2321"/>
    <w:rsid w:val="001F292E"/>
    <w:rsid w:val="001F2C76"/>
    <w:rsid w:val="001F2D06"/>
    <w:rsid w:val="001F2D77"/>
    <w:rsid w:val="001F31B3"/>
    <w:rsid w:val="001F3D73"/>
    <w:rsid w:val="001F4BA3"/>
    <w:rsid w:val="001F4D70"/>
    <w:rsid w:val="001F51D6"/>
    <w:rsid w:val="001F577B"/>
    <w:rsid w:val="001F57A4"/>
    <w:rsid w:val="001F5FC9"/>
    <w:rsid w:val="001F62AB"/>
    <w:rsid w:val="001F7181"/>
    <w:rsid w:val="001F7558"/>
    <w:rsid w:val="001F76E5"/>
    <w:rsid w:val="001F79F2"/>
    <w:rsid w:val="001F7C54"/>
    <w:rsid w:val="002007B4"/>
    <w:rsid w:val="00200A53"/>
    <w:rsid w:val="00200F92"/>
    <w:rsid w:val="00201405"/>
    <w:rsid w:val="00201C61"/>
    <w:rsid w:val="00202B33"/>
    <w:rsid w:val="00203632"/>
    <w:rsid w:val="00203746"/>
    <w:rsid w:val="002037CC"/>
    <w:rsid w:val="0020385C"/>
    <w:rsid w:val="00203A05"/>
    <w:rsid w:val="002042CA"/>
    <w:rsid w:val="00204C5C"/>
    <w:rsid w:val="00204C9A"/>
    <w:rsid w:val="002054BA"/>
    <w:rsid w:val="00205F9D"/>
    <w:rsid w:val="002062ED"/>
    <w:rsid w:val="00206436"/>
    <w:rsid w:val="0020661A"/>
    <w:rsid w:val="002071FC"/>
    <w:rsid w:val="00210D4E"/>
    <w:rsid w:val="00211479"/>
    <w:rsid w:val="002116F9"/>
    <w:rsid w:val="00212D40"/>
    <w:rsid w:val="00213BD1"/>
    <w:rsid w:val="00214096"/>
    <w:rsid w:val="00214759"/>
    <w:rsid w:val="00215444"/>
    <w:rsid w:val="00215B76"/>
    <w:rsid w:val="0021664C"/>
    <w:rsid w:val="00216AB8"/>
    <w:rsid w:val="00216DFA"/>
    <w:rsid w:val="00216F1A"/>
    <w:rsid w:val="002176DB"/>
    <w:rsid w:val="00220003"/>
    <w:rsid w:val="002200E8"/>
    <w:rsid w:val="0022063F"/>
    <w:rsid w:val="0022082D"/>
    <w:rsid w:val="00220A3B"/>
    <w:rsid w:val="00220FCB"/>
    <w:rsid w:val="002212F9"/>
    <w:rsid w:val="002215E9"/>
    <w:rsid w:val="00221798"/>
    <w:rsid w:val="00221860"/>
    <w:rsid w:val="00221A74"/>
    <w:rsid w:val="00221D5B"/>
    <w:rsid w:val="002220FE"/>
    <w:rsid w:val="00222640"/>
    <w:rsid w:val="00222CB4"/>
    <w:rsid w:val="002243A7"/>
    <w:rsid w:val="00224708"/>
    <w:rsid w:val="002247B3"/>
    <w:rsid w:val="00225CEA"/>
    <w:rsid w:val="002262AD"/>
    <w:rsid w:val="00231216"/>
    <w:rsid w:val="00231390"/>
    <w:rsid w:val="002316BB"/>
    <w:rsid w:val="00231E0B"/>
    <w:rsid w:val="00232902"/>
    <w:rsid w:val="00232AE5"/>
    <w:rsid w:val="00233A4B"/>
    <w:rsid w:val="002346FB"/>
    <w:rsid w:val="00235435"/>
    <w:rsid w:val="00235F0B"/>
    <w:rsid w:val="00236458"/>
    <w:rsid w:val="00240534"/>
    <w:rsid w:val="00241C28"/>
    <w:rsid w:val="0024204D"/>
    <w:rsid w:val="00242730"/>
    <w:rsid w:val="00242795"/>
    <w:rsid w:val="00242C72"/>
    <w:rsid w:val="00242C82"/>
    <w:rsid w:val="00243060"/>
    <w:rsid w:val="002430FA"/>
    <w:rsid w:val="002442CD"/>
    <w:rsid w:val="0024461F"/>
    <w:rsid w:val="00244C55"/>
    <w:rsid w:val="00245857"/>
    <w:rsid w:val="0024642E"/>
    <w:rsid w:val="00246B05"/>
    <w:rsid w:val="00246D15"/>
    <w:rsid w:val="00247CD7"/>
    <w:rsid w:val="00247D0E"/>
    <w:rsid w:val="00247DA3"/>
    <w:rsid w:val="002507C0"/>
    <w:rsid w:val="00250AB1"/>
    <w:rsid w:val="002517D7"/>
    <w:rsid w:val="00251AC6"/>
    <w:rsid w:val="00251CDE"/>
    <w:rsid w:val="00251F10"/>
    <w:rsid w:val="00251F66"/>
    <w:rsid w:val="00251F8B"/>
    <w:rsid w:val="00254596"/>
    <w:rsid w:val="00255006"/>
    <w:rsid w:val="00255128"/>
    <w:rsid w:val="00255D9D"/>
    <w:rsid w:val="00256312"/>
    <w:rsid w:val="00256DA5"/>
    <w:rsid w:val="0025710A"/>
    <w:rsid w:val="00257282"/>
    <w:rsid w:val="00257309"/>
    <w:rsid w:val="00257E88"/>
    <w:rsid w:val="00260426"/>
    <w:rsid w:val="002612BB"/>
    <w:rsid w:val="00262B6B"/>
    <w:rsid w:val="00263BCD"/>
    <w:rsid w:val="00264155"/>
    <w:rsid w:val="00264B18"/>
    <w:rsid w:val="00264B1F"/>
    <w:rsid w:val="00264D36"/>
    <w:rsid w:val="0026515A"/>
    <w:rsid w:val="0026565D"/>
    <w:rsid w:val="002664FF"/>
    <w:rsid w:val="0026681A"/>
    <w:rsid w:val="00266EE3"/>
    <w:rsid w:val="00267CBC"/>
    <w:rsid w:val="00267E09"/>
    <w:rsid w:val="00270686"/>
    <w:rsid w:val="00270D5C"/>
    <w:rsid w:val="00271930"/>
    <w:rsid w:val="002725DF"/>
    <w:rsid w:val="00272793"/>
    <w:rsid w:val="0027319A"/>
    <w:rsid w:val="00273328"/>
    <w:rsid w:val="00275DFE"/>
    <w:rsid w:val="0027606B"/>
    <w:rsid w:val="002765D4"/>
    <w:rsid w:val="00276A10"/>
    <w:rsid w:val="00277413"/>
    <w:rsid w:val="002775F5"/>
    <w:rsid w:val="00277978"/>
    <w:rsid w:val="00277A19"/>
    <w:rsid w:val="00277A58"/>
    <w:rsid w:val="00277C62"/>
    <w:rsid w:val="00277CD1"/>
    <w:rsid w:val="0028013F"/>
    <w:rsid w:val="00280633"/>
    <w:rsid w:val="00280781"/>
    <w:rsid w:val="0028113A"/>
    <w:rsid w:val="00281306"/>
    <w:rsid w:val="00281468"/>
    <w:rsid w:val="00282316"/>
    <w:rsid w:val="00282E20"/>
    <w:rsid w:val="002835E5"/>
    <w:rsid w:val="0028466A"/>
    <w:rsid w:val="0028498D"/>
    <w:rsid w:val="0028562E"/>
    <w:rsid w:val="00285F06"/>
    <w:rsid w:val="002862D5"/>
    <w:rsid w:val="00286C66"/>
    <w:rsid w:val="00286F69"/>
    <w:rsid w:val="0028723F"/>
    <w:rsid w:val="00287B66"/>
    <w:rsid w:val="00290A32"/>
    <w:rsid w:val="00290AE9"/>
    <w:rsid w:val="00290B25"/>
    <w:rsid w:val="00291337"/>
    <w:rsid w:val="00291CFE"/>
    <w:rsid w:val="00291E2D"/>
    <w:rsid w:val="00291EC4"/>
    <w:rsid w:val="00292157"/>
    <w:rsid w:val="0029275B"/>
    <w:rsid w:val="0029275C"/>
    <w:rsid w:val="00292777"/>
    <w:rsid w:val="00293045"/>
    <w:rsid w:val="00293CAB"/>
    <w:rsid w:val="00294788"/>
    <w:rsid w:val="00294A8C"/>
    <w:rsid w:val="00295B44"/>
    <w:rsid w:val="00297528"/>
    <w:rsid w:val="00297DE2"/>
    <w:rsid w:val="002A0426"/>
    <w:rsid w:val="002A1DE4"/>
    <w:rsid w:val="002A2483"/>
    <w:rsid w:val="002A300B"/>
    <w:rsid w:val="002A3CF1"/>
    <w:rsid w:val="002A4289"/>
    <w:rsid w:val="002A42C2"/>
    <w:rsid w:val="002A451A"/>
    <w:rsid w:val="002A5583"/>
    <w:rsid w:val="002A5CC7"/>
    <w:rsid w:val="002A60A3"/>
    <w:rsid w:val="002A7035"/>
    <w:rsid w:val="002A7361"/>
    <w:rsid w:val="002A775A"/>
    <w:rsid w:val="002B01AA"/>
    <w:rsid w:val="002B0536"/>
    <w:rsid w:val="002B11B9"/>
    <w:rsid w:val="002B1F18"/>
    <w:rsid w:val="002B2BBB"/>
    <w:rsid w:val="002B2D48"/>
    <w:rsid w:val="002B3A56"/>
    <w:rsid w:val="002B407E"/>
    <w:rsid w:val="002B602F"/>
    <w:rsid w:val="002B69FC"/>
    <w:rsid w:val="002B6C4A"/>
    <w:rsid w:val="002B6F72"/>
    <w:rsid w:val="002B7BE7"/>
    <w:rsid w:val="002B7E7D"/>
    <w:rsid w:val="002C08FB"/>
    <w:rsid w:val="002C13CB"/>
    <w:rsid w:val="002C148C"/>
    <w:rsid w:val="002C180B"/>
    <w:rsid w:val="002C2A3F"/>
    <w:rsid w:val="002C2CAB"/>
    <w:rsid w:val="002C2D6F"/>
    <w:rsid w:val="002C2E56"/>
    <w:rsid w:val="002C34EA"/>
    <w:rsid w:val="002C3891"/>
    <w:rsid w:val="002C39B9"/>
    <w:rsid w:val="002C426D"/>
    <w:rsid w:val="002C4AF7"/>
    <w:rsid w:val="002C543B"/>
    <w:rsid w:val="002C5890"/>
    <w:rsid w:val="002C58F4"/>
    <w:rsid w:val="002C794D"/>
    <w:rsid w:val="002D1AC9"/>
    <w:rsid w:val="002D2A38"/>
    <w:rsid w:val="002D2C54"/>
    <w:rsid w:val="002D383F"/>
    <w:rsid w:val="002D3ADA"/>
    <w:rsid w:val="002D3C4C"/>
    <w:rsid w:val="002D4321"/>
    <w:rsid w:val="002D4E3C"/>
    <w:rsid w:val="002D56A1"/>
    <w:rsid w:val="002D58CE"/>
    <w:rsid w:val="002D5C9D"/>
    <w:rsid w:val="002D6F01"/>
    <w:rsid w:val="002D7661"/>
    <w:rsid w:val="002D792C"/>
    <w:rsid w:val="002D7BC5"/>
    <w:rsid w:val="002D7CC3"/>
    <w:rsid w:val="002D7F60"/>
    <w:rsid w:val="002D7FD3"/>
    <w:rsid w:val="002E0A18"/>
    <w:rsid w:val="002E0DF6"/>
    <w:rsid w:val="002E142D"/>
    <w:rsid w:val="002E2512"/>
    <w:rsid w:val="002E371D"/>
    <w:rsid w:val="002E37EA"/>
    <w:rsid w:val="002E3BC7"/>
    <w:rsid w:val="002E3E72"/>
    <w:rsid w:val="002E3F69"/>
    <w:rsid w:val="002E4680"/>
    <w:rsid w:val="002E4EAE"/>
    <w:rsid w:val="002E52AE"/>
    <w:rsid w:val="002E52FB"/>
    <w:rsid w:val="002E5525"/>
    <w:rsid w:val="002E5627"/>
    <w:rsid w:val="002E613F"/>
    <w:rsid w:val="002E6748"/>
    <w:rsid w:val="002E68A2"/>
    <w:rsid w:val="002E748D"/>
    <w:rsid w:val="002F1679"/>
    <w:rsid w:val="002F334F"/>
    <w:rsid w:val="002F34EE"/>
    <w:rsid w:val="002F3B29"/>
    <w:rsid w:val="002F3E07"/>
    <w:rsid w:val="002F4100"/>
    <w:rsid w:val="002F4AA3"/>
    <w:rsid w:val="002F5576"/>
    <w:rsid w:val="002F6710"/>
    <w:rsid w:val="002F67A7"/>
    <w:rsid w:val="002F6957"/>
    <w:rsid w:val="002F6A15"/>
    <w:rsid w:val="002F6C37"/>
    <w:rsid w:val="002F6F09"/>
    <w:rsid w:val="002F7212"/>
    <w:rsid w:val="002F741F"/>
    <w:rsid w:val="002F74B1"/>
    <w:rsid w:val="002F7BD5"/>
    <w:rsid w:val="002F7C22"/>
    <w:rsid w:val="002F7FAC"/>
    <w:rsid w:val="003020F4"/>
    <w:rsid w:val="003025BF"/>
    <w:rsid w:val="00302ED5"/>
    <w:rsid w:val="0030362D"/>
    <w:rsid w:val="0030367B"/>
    <w:rsid w:val="00303BE1"/>
    <w:rsid w:val="00303C6E"/>
    <w:rsid w:val="00304323"/>
    <w:rsid w:val="003046C3"/>
    <w:rsid w:val="00304C6F"/>
    <w:rsid w:val="003057D7"/>
    <w:rsid w:val="00305AFC"/>
    <w:rsid w:val="003062E4"/>
    <w:rsid w:val="00306A1D"/>
    <w:rsid w:val="0030741A"/>
    <w:rsid w:val="0030750F"/>
    <w:rsid w:val="0030775D"/>
    <w:rsid w:val="00307B89"/>
    <w:rsid w:val="00310071"/>
    <w:rsid w:val="0031046F"/>
    <w:rsid w:val="00310525"/>
    <w:rsid w:val="00310A9D"/>
    <w:rsid w:val="00311471"/>
    <w:rsid w:val="00311485"/>
    <w:rsid w:val="0031199B"/>
    <w:rsid w:val="00312B51"/>
    <w:rsid w:val="00314BF7"/>
    <w:rsid w:val="00314D29"/>
    <w:rsid w:val="00315354"/>
    <w:rsid w:val="00316479"/>
    <w:rsid w:val="00316C1C"/>
    <w:rsid w:val="00316E3C"/>
    <w:rsid w:val="00317005"/>
    <w:rsid w:val="003170CF"/>
    <w:rsid w:val="0031729E"/>
    <w:rsid w:val="00320D38"/>
    <w:rsid w:val="00320D60"/>
    <w:rsid w:val="00320E7F"/>
    <w:rsid w:val="00320FCB"/>
    <w:rsid w:val="00323818"/>
    <w:rsid w:val="00323A21"/>
    <w:rsid w:val="0032418D"/>
    <w:rsid w:val="003241F0"/>
    <w:rsid w:val="00324794"/>
    <w:rsid w:val="00326637"/>
    <w:rsid w:val="00326879"/>
    <w:rsid w:val="00326DD7"/>
    <w:rsid w:val="00326F5C"/>
    <w:rsid w:val="00327587"/>
    <w:rsid w:val="00327D17"/>
    <w:rsid w:val="003308D8"/>
    <w:rsid w:val="00330D3A"/>
    <w:rsid w:val="00331599"/>
    <w:rsid w:val="00331EEA"/>
    <w:rsid w:val="00332063"/>
    <w:rsid w:val="00332FEA"/>
    <w:rsid w:val="003339C2"/>
    <w:rsid w:val="00333A57"/>
    <w:rsid w:val="00333AC9"/>
    <w:rsid w:val="00333E82"/>
    <w:rsid w:val="003345BD"/>
    <w:rsid w:val="00335215"/>
    <w:rsid w:val="00335345"/>
    <w:rsid w:val="0033538A"/>
    <w:rsid w:val="003354E4"/>
    <w:rsid w:val="00336DBD"/>
    <w:rsid w:val="00337375"/>
    <w:rsid w:val="0033759D"/>
    <w:rsid w:val="00337BCC"/>
    <w:rsid w:val="003404EE"/>
    <w:rsid w:val="00341350"/>
    <w:rsid w:val="0034151A"/>
    <w:rsid w:val="003416C8"/>
    <w:rsid w:val="00341AFF"/>
    <w:rsid w:val="00341B31"/>
    <w:rsid w:val="00341C0A"/>
    <w:rsid w:val="003429E1"/>
    <w:rsid w:val="00342DD5"/>
    <w:rsid w:val="00343E66"/>
    <w:rsid w:val="0034460F"/>
    <w:rsid w:val="003450ED"/>
    <w:rsid w:val="0034570B"/>
    <w:rsid w:val="0034627D"/>
    <w:rsid w:val="00346ABC"/>
    <w:rsid w:val="00347AC3"/>
    <w:rsid w:val="003500F5"/>
    <w:rsid w:val="0035177F"/>
    <w:rsid w:val="00351CB1"/>
    <w:rsid w:val="00352508"/>
    <w:rsid w:val="003526A7"/>
    <w:rsid w:val="003528CE"/>
    <w:rsid w:val="00353496"/>
    <w:rsid w:val="003546FC"/>
    <w:rsid w:val="00354727"/>
    <w:rsid w:val="0035553B"/>
    <w:rsid w:val="0035569A"/>
    <w:rsid w:val="003561CF"/>
    <w:rsid w:val="003561D0"/>
    <w:rsid w:val="00356C28"/>
    <w:rsid w:val="00357103"/>
    <w:rsid w:val="003572FD"/>
    <w:rsid w:val="0035741D"/>
    <w:rsid w:val="00357F77"/>
    <w:rsid w:val="00360461"/>
    <w:rsid w:val="00361042"/>
    <w:rsid w:val="00362CA3"/>
    <w:rsid w:val="00362CC4"/>
    <w:rsid w:val="00362D46"/>
    <w:rsid w:val="003636D3"/>
    <w:rsid w:val="00363A6E"/>
    <w:rsid w:val="00364100"/>
    <w:rsid w:val="003654EE"/>
    <w:rsid w:val="00365CFA"/>
    <w:rsid w:val="00365EC4"/>
    <w:rsid w:val="0036638F"/>
    <w:rsid w:val="003663BD"/>
    <w:rsid w:val="00366C5C"/>
    <w:rsid w:val="003674B9"/>
    <w:rsid w:val="003674E9"/>
    <w:rsid w:val="00367627"/>
    <w:rsid w:val="00370641"/>
    <w:rsid w:val="0037111C"/>
    <w:rsid w:val="00371189"/>
    <w:rsid w:val="0037146D"/>
    <w:rsid w:val="00371C0A"/>
    <w:rsid w:val="00372207"/>
    <w:rsid w:val="003734A7"/>
    <w:rsid w:val="00373969"/>
    <w:rsid w:val="00373C71"/>
    <w:rsid w:val="00374328"/>
    <w:rsid w:val="00374B97"/>
    <w:rsid w:val="003754FB"/>
    <w:rsid w:val="003756D2"/>
    <w:rsid w:val="00376B10"/>
    <w:rsid w:val="00377A26"/>
    <w:rsid w:val="00377FF4"/>
    <w:rsid w:val="0037B214"/>
    <w:rsid w:val="003807A2"/>
    <w:rsid w:val="00380CDB"/>
    <w:rsid w:val="003821F9"/>
    <w:rsid w:val="003821FE"/>
    <w:rsid w:val="003825C7"/>
    <w:rsid w:val="0038261A"/>
    <w:rsid w:val="00383242"/>
    <w:rsid w:val="00383256"/>
    <w:rsid w:val="00383311"/>
    <w:rsid w:val="003835DA"/>
    <w:rsid w:val="00383602"/>
    <w:rsid w:val="00383EE6"/>
    <w:rsid w:val="00384324"/>
    <w:rsid w:val="003846D2"/>
    <w:rsid w:val="00384DA1"/>
    <w:rsid w:val="00384F8E"/>
    <w:rsid w:val="00385434"/>
    <w:rsid w:val="00386265"/>
    <w:rsid w:val="00386CD1"/>
    <w:rsid w:val="00387137"/>
    <w:rsid w:val="003876F8"/>
    <w:rsid w:val="00387FFC"/>
    <w:rsid w:val="0039061A"/>
    <w:rsid w:val="003911B1"/>
    <w:rsid w:val="00391217"/>
    <w:rsid w:val="00391F38"/>
    <w:rsid w:val="00392CA3"/>
    <w:rsid w:val="00392CD1"/>
    <w:rsid w:val="00392D26"/>
    <w:rsid w:val="0039327A"/>
    <w:rsid w:val="00393516"/>
    <w:rsid w:val="003938EE"/>
    <w:rsid w:val="0039399D"/>
    <w:rsid w:val="0039412E"/>
    <w:rsid w:val="00394585"/>
    <w:rsid w:val="00394D8A"/>
    <w:rsid w:val="0039519C"/>
    <w:rsid w:val="00395391"/>
    <w:rsid w:val="00395437"/>
    <w:rsid w:val="00395860"/>
    <w:rsid w:val="00395B4A"/>
    <w:rsid w:val="00395F9D"/>
    <w:rsid w:val="0039747A"/>
    <w:rsid w:val="003A03BC"/>
    <w:rsid w:val="003A0DFC"/>
    <w:rsid w:val="003A26EA"/>
    <w:rsid w:val="003A2BA4"/>
    <w:rsid w:val="003A2E3F"/>
    <w:rsid w:val="003A376D"/>
    <w:rsid w:val="003A41FF"/>
    <w:rsid w:val="003A65D9"/>
    <w:rsid w:val="003A676E"/>
    <w:rsid w:val="003A6DEC"/>
    <w:rsid w:val="003A71A6"/>
    <w:rsid w:val="003A74B4"/>
    <w:rsid w:val="003B00DB"/>
    <w:rsid w:val="003B0FFE"/>
    <w:rsid w:val="003B14A5"/>
    <w:rsid w:val="003B164A"/>
    <w:rsid w:val="003B211C"/>
    <w:rsid w:val="003B22B4"/>
    <w:rsid w:val="003B2796"/>
    <w:rsid w:val="003B32FA"/>
    <w:rsid w:val="003B3437"/>
    <w:rsid w:val="003B35E4"/>
    <w:rsid w:val="003B3D2E"/>
    <w:rsid w:val="003B42B3"/>
    <w:rsid w:val="003B4775"/>
    <w:rsid w:val="003B66BB"/>
    <w:rsid w:val="003B673F"/>
    <w:rsid w:val="003B7271"/>
    <w:rsid w:val="003B77D2"/>
    <w:rsid w:val="003C02CF"/>
    <w:rsid w:val="003C0719"/>
    <w:rsid w:val="003C096C"/>
    <w:rsid w:val="003C0ED5"/>
    <w:rsid w:val="003C1B37"/>
    <w:rsid w:val="003C267F"/>
    <w:rsid w:val="003C27F3"/>
    <w:rsid w:val="003C2E76"/>
    <w:rsid w:val="003C3218"/>
    <w:rsid w:val="003C3D8D"/>
    <w:rsid w:val="003C4605"/>
    <w:rsid w:val="003C4BE0"/>
    <w:rsid w:val="003C4EA4"/>
    <w:rsid w:val="003C4F02"/>
    <w:rsid w:val="003C51BD"/>
    <w:rsid w:val="003C53EC"/>
    <w:rsid w:val="003C570F"/>
    <w:rsid w:val="003C57C5"/>
    <w:rsid w:val="003C5D70"/>
    <w:rsid w:val="003C6406"/>
    <w:rsid w:val="003C6515"/>
    <w:rsid w:val="003C6B0A"/>
    <w:rsid w:val="003C7249"/>
    <w:rsid w:val="003C77D7"/>
    <w:rsid w:val="003C7C9E"/>
    <w:rsid w:val="003C7D53"/>
    <w:rsid w:val="003D0072"/>
    <w:rsid w:val="003D020D"/>
    <w:rsid w:val="003D06F7"/>
    <w:rsid w:val="003D0AE0"/>
    <w:rsid w:val="003D15B5"/>
    <w:rsid w:val="003D1CCA"/>
    <w:rsid w:val="003D2630"/>
    <w:rsid w:val="003D2760"/>
    <w:rsid w:val="003D2A6E"/>
    <w:rsid w:val="003D2F9B"/>
    <w:rsid w:val="003D3F2F"/>
    <w:rsid w:val="003D3F85"/>
    <w:rsid w:val="003D4834"/>
    <w:rsid w:val="003D4C05"/>
    <w:rsid w:val="003D5101"/>
    <w:rsid w:val="003D5312"/>
    <w:rsid w:val="003D5477"/>
    <w:rsid w:val="003D5B58"/>
    <w:rsid w:val="003D69FD"/>
    <w:rsid w:val="003D6DBD"/>
    <w:rsid w:val="003D723A"/>
    <w:rsid w:val="003E00B5"/>
    <w:rsid w:val="003E1442"/>
    <w:rsid w:val="003E147A"/>
    <w:rsid w:val="003E15C5"/>
    <w:rsid w:val="003E1ECF"/>
    <w:rsid w:val="003E2A21"/>
    <w:rsid w:val="003E2F5D"/>
    <w:rsid w:val="003E3268"/>
    <w:rsid w:val="003E3A43"/>
    <w:rsid w:val="003E3E5F"/>
    <w:rsid w:val="003E50C8"/>
    <w:rsid w:val="003E5130"/>
    <w:rsid w:val="003E518D"/>
    <w:rsid w:val="003E51A0"/>
    <w:rsid w:val="003E5222"/>
    <w:rsid w:val="003E53F4"/>
    <w:rsid w:val="003E5F14"/>
    <w:rsid w:val="003E6A46"/>
    <w:rsid w:val="003E6D85"/>
    <w:rsid w:val="003E723A"/>
    <w:rsid w:val="003E783C"/>
    <w:rsid w:val="003E7B94"/>
    <w:rsid w:val="003F0237"/>
    <w:rsid w:val="003F03D0"/>
    <w:rsid w:val="003F0421"/>
    <w:rsid w:val="003F0554"/>
    <w:rsid w:val="003F064E"/>
    <w:rsid w:val="003F0DBB"/>
    <w:rsid w:val="003F107F"/>
    <w:rsid w:val="003F146A"/>
    <w:rsid w:val="003F1815"/>
    <w:rsid w:val="003F1D49"/>
    <w:rsid w:val="003F1D98"/>
    <w:rsid w:val="003F1EAD"/>
    <w:rsid w:val="003F2184"/>
    <w:rsid w:val="003F22E8"/>
    <w:rsid w:val="003F23CD"/>
    <w:rsid w:val="003F243F"/>
    <w:rsid w:val="003F25A2"/>
    <w:rsid w:val="003F26A6"/>
    <w:rsid w:val="003F2F06"/>
    <w:rsid w:val="003F34CA"/>
    <w:rsid w:val="003F382F"/>
    <w:rsid w:val="003F47BC"/>
    <w:rsid w:val="003F485D"/>
    <w:rsid w:val="003F5112"/>
    <w:rsid w:val="003F51A5"/>
    <w:rsid w:val="003F6914"/>
    <w:rsid w:val="003F77F5"/>
    <w:rsid w:val="003F7B01"/>
    <w:rsid w:val="004003AD"/>
    <w:rsid w:val="004007E0"/>
    <w:rsid w:val="00401883"/>
    <w:rsid w:val="00402904"/>
    <w:rsid w:val="0040293E"/>
    <w:rsid w:val="00402AC7"/>
    <w:rsid w:val="00402FCD"/>
    <w:rsid w:val="004036FA"/>
    <w:rsid w:val="004037D9"/>
    <w:rsid w:val="00403D77"/>
    <w:rsid w:val="00404510"/>
    <w:rsid w:val="004048D0"/>
    <w:rsid w:val="00404932"/>
    <w:rsid w:val="00404D37"/>
    <w:rsid w:val="00405B39"/>
    <w:rsid w:val="00405C0A"/>
    <w:rsid w:val="00406033"/>
    <w:rsid w:val="00406987"/>
    <w:rsid w:val="004069A4"/>
    <w:rsid w:val="004076BD"/>
    <w:rsid w:val="00407CF8"/>
    <w:rsid w:val="0041067F"/>
    <w:rsid w:val="00410BC4"/>
    <w:rsid w:val="00410D2E"/>
    <w:rsid w:val="00411A5D"/>
    <w:rsid w:val="00411A81"/>
    <w:rsid w:val="00411D92"/>
    <w:rsid w:val="00412439"/>
    <w:rsid w:val="004125B4"/>
    <w:rsid w:val="00413139"/>
    <w:rsid w:val="004132D9"/>
    <w:rsid w:val="004137C3"/>
    <w:rsid w:val="00413DB9"/>
    <w:rsid w:val="00414B22"/>
    <w:rsid w:val="00414C4C"/>
    <w:rsid w:val="00414E34"/>
    <w:rsid w:val="00414F2C"/>
    <w:rsid w:val="00414FED"/>
    <w:rsid w:val="00415A7F"/>
    <w:rsid w:val="00415B2A"/>
    <w:rsid w:val="00415B8C"/>
    <w:rsid w:val="00415F7C"/>
    <w:rsid w:val="004173CF"/>
    <w:rsid w:val="004175E9"/>
    <w:rsid w:val="00417876"/>
    <w:rsid w:val="0042044B"/>
    <w:rsid w:val="00420A78"/>
    <w:rsid w:val="004210E8"/>
    <w:rsid w:val="00421227"/>
    <w:rsid w:val="004212F2"/>
    <w:rsid w:val="00421AD1"/>
    <w:rsid w:val="004220E7"/>
    <w:rsid w:val="00422130"/>
    <w:rsid w:val="00422893"/>
    <w:rsid w:val="00422AFA"/>
    <w:rsid w:val="00422DD6"/>
    <w:rsid w:val="00422E59"/>
    <w:rsid w:val="00423309"/>
    <w:rsid w:val="00424F80"/>
    <w:rsid w:val="0042535C"/>
    <w:rsid w:val="004263EA"/>
    <w:rsid w:val="00426AF6"/>
    <w:rsid w:val="004272F4"/>
    <w:rsid w:val="00427BE1"/>
    <w:rsid w:val="0043044B"/>
    <w:rsid w:val="00430475"/>
    <w:rsid w:val="004314C0"/>
    <w:rsid w:val="0043249F"/>
    <w:rsid w:val="00432674"/>
    <w:rsid w:val="00432BC4"/>
    <w:rsid w:val="00432EE0"/>
    <w:rsid w:val="0043362B"/>
    <w:rsid w:val="00436922"/>
    <w:rsid w:val="0043785F"/>
    <w:rsid w:val="00437927"/>
    <w:rsid w:val="004379C2"/>
    <w:rsid w:val="00437CCD"/>
    <w:rsid w:val="00440044"/>
    <w:rsid w:val="00440052"/>
    <w:rsid w:val="00441B14"/>
    <w:rsid w:val="00441FAE"/>
    <w:rsid w:val="004420C5"/>
    <w:rsid w:val="00442931"/>
    <w:rsid w:val="00442F7F"/>
    <w:rsid w:val="00442F85"/>
    <w:rsid w:val="004433A4"/>
    <w:rsid w:val="0044360D"/>
    <w:rsid w:val="00443E56"/>
    <w:rsid w:val="0044425E"/>
    <w:rsid w:val="0044478E"/>
    <w:rsid w:val="004447BB"/>
    <w:rsid w:val="00444855"/>
    <w:rsid w:val="004455F5"/>
    <w:rsid w:val="00445C3B"/>
    <w:rsid w:val="00445F2B"/>
    <w:rsid w:val="00446046"/>
    <w:rsid w:val="00446449"/>
    <w:rsid w:val="00446816"/>
    <w:rsid w:val="00447F4A"/>
    <w:rsid w:val="0045056C"/>
    <w:rsid w:val="00450783"/>
    <w:rsid w:val="00450B34"/>
    <w:rsid w:val="00450BB6"/>
    <w:rsid w:val="004520B9"/>
    <w:rsid w:val="0045248A"/>
    <w:rsid w:val="00452D9E"/>
    <w:rsid w:val="00453DC1"/>
    <w:rsid w:val="00453F39"/>
    <w:rsid w:val="00455BBA"/>
    <w:rsid w:val="00456567"/>
    <w:rsid w:val="00457050"/>
    <w:rsid w:val="00457ACF"/>
    <w:rsid w:val="00457DBA"/>
    <w:rsid w:val="004606A7"/>
    <w:rsid w:val="00460A0A"/>
    <w:rsid w:val="00461227"/>
    <w:rsid w:val="00461611"/>
    <w:rsid w:val="00461858"/>
    <w:rsid w:val="004622C5"/>
    <w:rsid w:val="0046291C"/>
    <w:rsid w:val="00462D4F"/>
    <w:rsid w:val="00462DA2"/>
    <w:rsid w:val="004635CA"/>
    <w:rsid w:val="00463864"/>
    <w:rsid w:val="00463D12"/>
    <w:rsid w:val="004640E0"/>
    <w:rsid w:val="0046466B"/>
    <w:rsid w:val="004651E0"/>
    <w:rsid w:val="004659E2"/>
    <w:rsid w:val="00466C22"/>
    <w:rsid w:val="00467A81"/>
    <w:rsid w:val="004705B1"/>
    <w:rsid w:val="00470CF1"/>
    <w:rsid w:val="00471062"/>
    <w:rsid w:val="00471A50"/>
    <w:rsid w:val="00472332"/>
    <w:rsid w:val="00472393"/>
    <w:rsid w:val="0047293E"/>
    <w:rsid w:val="00472A64"/>
    <w:rsid w:val="00472A7A"/>
    <w:rsid w:val="00472C82"/>
    <w:rsid w:val="00473B28"/>
    <w:rsid w:val="00475A5F"/>
    <w:rsid w:val="00475FEB"/>
    <w:rsid w:val="00477D84"/>
    <w:rsid w:val="004804CC"/>
    <w:rsid w:val="004805AE"/>
    <w:rsid w:val="00480B48"/>
    <w:rsid w:val="00480F03"/>
    <w:rsid w:val="004814E9"/>
    <w:rsid w:val="00481DA7"/>
    <w:rsid w:val="00482227"/>
    <w:rsid w:val="00482B7A"/>
    <w:rsid w:val="00482F81"/>
    <w:rsid w:val="00483261"/>
    <w:rsid w:val="00484E1D"/>
    <w:rsid w:val="004853BF"/>
    <w:rsid w:val="00485530"/>
    <w:rsid w:val="004857B3"/>
    <w:rsid w:val="0048584A"/>
    <w:rsid w:val="0048655E"/>
    <w:rsid w:val="00486E2C"/>
    <w:rsid w:val="00487409"/>
    <w:rsid w:val="00487B06"/>
    <w:rsid w:val="004924F6"/>
    <w:rsid w:val="00492796"/>
    <w:rsid w:val="00492D84"/>
    <w:rsid w:val="00493164"/>
    <w:rsid w:val="004931A7"/>
    <w:rsid w:val="0049398F"/>
    <w:rsid w:val="004939A4"/>
    <w:rsid w:val="00493F1F"/>
    <w:rsid w:val="004944D4"/>
    <w:rsid w:val="004948D6"/>
    <w:rsid w:val="0049528A"/>
    <w:rsid w:val="00495777"/>
    <w:rsid w:val="00495B30"/>
    <w:rsid w:val="00495C97"/>
    <w:rsid w:val="00496906"/>
    <w:rsid w:val="004A01B1"/>
    <w:rsid w:val="004A0C3C"/>
    <w:rsid w:val="004A1112"/>
    <w:rsid w:val="004A1535"/>
    <w:rsid w:val="004A1CBD"/>
    <w:rsid w:val="004A29B0"/>
    <w:rsid w:val="004A4049"/>
    <w:rsid w:val="004A456D"/>
    <w:rsid w:val="004A47B2"/>
    <w:rsid w:val="004A4BD7"/>
    <w:rsid w:val="004A5118"/>
    <w:rsid w:val="004A564C"/>
    <w:rsid w:val="004A58BE"/>
    <w:rsid w:val="004A5AD3"/>
    <w:rsid w:val="004A5E5D"/>
    <w:rsid w:val="004A6548"/>
    <w:rsid w:val="004A7F12"/>
    <w:rsid w:val="004B05D5"/>
    <w:rsid w:val="004B0FE7"/>
    <w:rsid w:val="004B2424"/>
    <w:rsid w:val="004B3470"/>
    <w:rsid w:val="004B347E"/>
    <w:rsid w:val="004B3828"/>
    <w:rsid w:val="004B438E"/>
    <w:rsid w:val="004B4969"/>
    <w:rsid w:val="004B4B15"/>
    <w:rsid w:val="004B5100"/>
    <w:rsid w:val="004B5AF8"/>
    <w:rsid w:val="004B7062"/>
    <w:rsid w:val="004B747B"/>
    <w:rsid w:val="004C01B6"/>
    <w:rsid w:val="004C0357"/>
    <w:rsid w:val="004C08AC"/>
    <w:rsid w:val="004C0F16"/>
    <w:rsid w:val="004C101A"/>
    <w:rsid w:val="004C109E"/>
    <w:rsid w:val="004C1259"/>
    <w:rsid w:val="004C1FFF"/>
    <w:rsid w:val="004C2204"/>
    <w:rsid w:val="004C34BE"/>
    <w:rsid w:val="004C3DFA"/>
    <w:rsid w:val="004C4374"/>
    <w:rsid w:val="004C4417"/>
    <w:rsid w:val="004C5036"/>
    <w:rsid w:val="004C56E2"/>
    <w:rsid w:val="004C5738"/>
    <w:rsid w:val="004C5BBE"/>
    <w:rsid w:val="004C6272"/>
    <w:rsid w:val="004C6FE4"/>
    <w:rsid w:val="004C73E3"/>
    <w:rsid w:val="004D0785"/>
    <w:rsid w:val="004D08F6"/>
    <w:rsid w:val="004D0E29"/>
    <w:rsid w:val="004D19E4"/>
    <w:rsid w:val="004D1B94"/>
    <w:rsid w:val="004D3375"/>
    <w:rsid w:val="004D3D21"/>
    <w:rsid w:val="004D40DF"/>
    <w:rsid w:val="004D4180"/>
    <w:rsid w:val="004D46F9"/>
    <w:rsid w:val="004D4E18"/>
    <w:rsid w:val="004D6181"/>
    <w:rsid w:val="004D6247"/>
    <w:rsid w:val="004D6520"/>
    <w:rsid w:val="004D6FF3"/>
    <w:rsid w:val="004D73BD"/>
    <w:rsid w:val="004D7537"/>
    <w:rsid w:val="004D7902"/>
    <w:rsid w:val="004E0885"/>
    <w:rsid w:val="004E0A09"/>
    <w:rsid w:val="004E0C83"/>
    <w:rsid w:val="004E13F3"/>
    <w:rsid w:val="004E1A70"/>
    <w:rsid w:val="004E26DE"/>
    <w:rsid w:val="004E28EB"/>
    <w:rsid w:val="004E3D17"/>
    <w:rsid w:val="004E5493"/>
    <w:rsid w:val="004E5573"/>
    <w:rsid w:val="004E619F"/>
    <w:rsid w:val="004E66E2"/>
    <w:rsid w:val="004E6B1D"/>
    <w:rsid w:val="004E74E7"/>
    <w:rsid w:val="004E7758"/>
    <w:rsid w:val="004E78CB"/>
    <w:rsid w:val="004E79E9"/>
    <w:rsid w:val="004F0436"/>
    <w:rsid w:val="004F07C4"/>
    <w:rsid w:val="004F181F"/>
    <w:rsid w:val="004F1E43"/>
    <w:rsid w:val="004F2586"/>
    <w:rsid w:val="004F2635"/>
    <w:rsid w:val="004F3223"/>
    <w:rsid w:val="004F37D6"/>
    <w:rsid w:val="004F3D1A"/>
    <w:rsid w:val="004F4E04"/>
    <w:rsid w:val="004F4E1A"/>
    <w:rsid w:val="004F52BC"/>
    <w:rsid w:val="004F53FD"/>
    <w:rsid w:val="004F5C05"/>
    <w:rsid w:val="004F6831"/>
    <w:rsid w:val="004F78E3"/>
    <w:rsid w:val="004F7E88"/>
    <w:rsid w:val="0050144D"/>
    <w:rsid w:val="00501576"/>
    <w:rsid w:val="0050179D"/>
    <w:rsid w:val="00501CCF"/>
    <w:rsid w:val="005020AC"/>
    <w:rsid w:val="0050357E"/>
    <w:rsid w:val="005035B2"/>
    <w:rsid w:val="005041CA"/>
    <w:rsid w:val="00504921"/>
    <w:rsid w:val="005049F5"/>
    <w:rsid w:val="00504AAD"/>
    <w:rsid w:val="005050A1"/>
    <w:rsid w:val="00505B4C"/>
    <w:rsid w:val="00505ECD"/>
    <w:rsid w:val="00506802"/>
    <w:rsid w:val="00506A2E"/>
    <w:rsid w:val="00507170"/>
    <w:rsid w:val="005077E7"/>
    <w:rsid w:val="005106DA"/>
    <w:rsid w:val="00511C0D"/>
    <w:rsid w:val="00511EED"/>
    <w:rsid w:val="00512623"/>
    <w:rsid w:val="005129E2"/>
    <w:rsid w:val="00513641"/>
    <w:rsid w:val="00514786"/>
    <w:rsid w:val="0051486B"/>
    <w:rsid w:val="00514D7E"/>
    <w:rsid w:val="00514F93"/>
    <w:rsid w:val="005159F6"/>
    <w:rsid w:val="00515AA2"/>
    <w:rsid w:val="00516425"/>
    <w:rsid w:val="00516EF2"/>
    <w:rsid w:val="00517C54"/>
    <w:rsid w:val="005203AD"/>
    <w:rsid w:val="005206CD"/>
    <w:rsid w:val="00521A89"/>
    <w:rsid w:val="00521EA9"/>
    <w:rsid w:val="00521FCC"/>
    <w:rsid w:val="005222EA"/>
    <w:rsid w:val="0052232A"/>
    <w:rsid w:val="00522A55"/>
    <w:rsid w:val="00523206"/>
    <w:rsid w:val="00524A5F"/>
    <w:rsid w:val="00524CC4"/>
    <w:rsid w:val="00524DCB"/>
    <w:rsid w:val="00526771"/>
    <w:rsid w:val="00526C06"/>
    <w:rsid w:val="00526CB2"/>
    <w:rsid w:val="00527B8E"/>
    <w:rsid w:val="00527C43"/>
    <w:rsid w:val="00527CAB"/>
    <w:rsid w:val="00530713"/>
    <w:rsid w:val="00531012"/>
    <w:rsid w:val="00531314"/>
    <w:rsid w:val="005315CD"/>
    <w:rsid w:val="00531726"/>
    <w:rsid w:val="0053173E"/>
    <w:rsid w:val="00531967"/>
    <w:rsid w:val="00532224"/>
    <w:rsid w:val="0053262D"/>
    <w:rsid w:val="005326F3"/>
    <w:rsid w:val="00532F22"/>
    <w:rsid w:val="00533D03"/>
    <w:rsid w:val="005342A6"/>
    <w:rsid w:val="0053492C"/>
    <w:rsid w:val="0053537F"/>
    <w:rsid w:val="00535AFB"/>
    <w:rsid w:val="0053627A"/>
    <w:rsid w:val="00536491"/>
    <w:rsid w:val="0053699A"/>
    <w:rsid w:val="0053749F"/>
    <w:rsid w:val="00537599"/>
    <w:rsid w:val="00540768"/>
    <w:rsid w:val="00540B30"/>
    <w:rsid w:val="00542E15"/>
    <w:rsid w:val="005431A4"/>
    <w:rsid w:val="005433C7"/>
    <w:rsid w:val="00543713"/>
    <w:rsid w:val="005457C8"/>
    <w:rsid w:val="005461B8"/>
    <w:rsid w:val="00546521"/>
    <w:rsid w:val="00546B56"/>
    <w:rsid w:val="00546FCB"/>
    <w:rsid w:val="00547124"/>
    <w:rsid w:val="0054736D"/>
    <w:rsid w:val="0054799C"/>
    <w:rsid w:val="00547B59"/>
    <w:rsid w:val="00547E93"/>
    <w:rsid w:val="005502A6"/>
    <w:rsid w:val="005512E1"/>
    <w:rsid w:val="005519B4"/>
    <w:rsid w:val="0055236F"/>
    <w:rsid w:val="00553A4C"/>
    <w:rsid w:val="00553AD9"/>
    <w:rsid w:val="00554335"/>
    <w:rsid w:val="0055473D"/>
    <w:rsid w:val="005551E2"/>
    <w:rsid w:val="00555969"/>
    <w:rsid w:val="00556362"/>
    <w:rsid w:val="005565CE"/>
    <w:rsid w:val="0055699D"/>
    <w:rsid w:val="0055779F"/>
    <w:rsid w:val="00560332"/>
    <w:rsid w:val="00560D96"/>
    <w:rsid w:val="00561155"/>
    <w:rsid w:val="0056141B"/>
    <w:rsid w:val="005616AB"/>
    <w:rsid w:val="005617A6"/>
    <w:rsid w:val="00562DC3"/>
    <w:rsid w:val="00562FFB"/>
    <w:rsid w:val="00563419"/>
    <w:rsid w:val="005634CF"/>
    <w:rsid w:val="00563E9D"/>
    <w:rsid w:val="00564157"/>
    <w:rsid w:val="00565A73"/>
    <w:rsid w:val="0056647A"/>
    <w:rsid w:val="005665B6"/>
    <w:rsid w:val="00566C42"/>
    <w:rsid w:val="00566CD3"/>
    <w:rsid w:val="00566DDA"/>
    <w:rsid w:val="0056776B"/>
    <w:rsid w:val="00567B86"/>
    <w:rsid w:val="00567E9D"/>
    <w:rsid w:val="005702E1"/>
    <w:rsid w:val="00570409"/>
    <w:rsid w:val="005708AE"/>
    <w:rsid w:val="005710C6"/>
    <w:rsid w:val="00571CFF"/>
    <w:rsid w:val="00572DBF"/>
    <w:rsid w:val="00573BA9"/>
    <w:rsid w:val="00573F02"/>
    <w:rsid w:val="00573F60"/>
    <w:rsid w:val="00574108"/>
    <w:rsid w:val="005747E8"/>
    <w:rsid w:val="005749E1"/>
    <w:rsid w:val="0057612C"/>
    <w:rsid w:val="0057629E"/>
    <w:rsid w:val="00577159"/>
    <w:rsid w:val="00577593"/>
    <w:rsid w:val="00577AA2"/>
    <w:rsid w:val="00577DAE"/>
    <w:rsid w:val="00577DB4"/>
    <w:rsid w:val="00580BF5"/>
    <w:rsid w:val="00580E4D"/>
    <w:rsid w:val="005817E2"/>
    <w:rsid w:val="00581C44"/>
    <w:rsid w:val="00581DAC"/>
    <w:rsid w:val="0058278C"/>
    <w:rsid w:val="00583A9F"/>
    <w:rsid w:val="005853A8"/>
    <w:rsid w:val="00585B35"/>
    <w:rsid w:val="00585C12"/>
    <w:rsid w:val="00585D7B"/>
    <w:rsid w:val="005866E2"/>
    <w:rsid w:val="00586C46"/>
    <w:rsid w:val="00586D5F"/>
    <w:rsid w:val="00586F55"/>
    <w:rsid w:val="00586F7C"/>
    <w:rsid w:val="005878EF"/>
    <w:rsid w:val="00587BC6"/>
    <w:rsid w:val="00590313"/>
    <w:rsid w:val="00590326"/>
    <w:rsid w:val="0059082A"/>
    <w:rsid w:val="00590F26"/>
    <w:rsid w:val="00591247"/>
    <w:rsid w:val="005916B6"/>
    <w:rsid w:val="00591A4E"/>
    <w:rsid w:val="0059310E"/>
    <w:rsid w:val="00593B81"/>
    <w:rsid w:val="00593EBA"/>
    <w:rsid w:val="0059471D"/>
    <w:rsid w:val="00594896"/>
    <w:rsid w:val="00595365"/>
    <w:rsid w:val="0059557A"/>
    <w:rsid w:val="0059599D"/>
    <w:rsid w:val="00595CBB"/>
    <w:rsid w:val="00595EDD"/>
    <w:rsid w:val="00595FE6"/>
    <w:rsid w:val="005961D3"/>
    <w:rsid w:val="005962DA"/>
    <w:rsid w:val="005970DD"/>
    <w:rsid w:val="0059792B"/>
    <w:rsid w:val="005A03C1"/>
    <w:rsid w:val="005A0C90"/>
    <w:rsid w:val="005A0D8C"/>
    <w:rsid w:val="005A0FA9"/>
    <w:rsid w:val="005A13D0"/>
    <w:rsid w:val="005A1753"/>
    <w:rsid w:val="005A1B18"/>
    <w:rsid w:val="005A1E92"/>
    <w:rsid w:val="005A29EA"/>
    <w:rsid w:val="005A311E"/>
    <w:rsid w:val="005A325B"/>
    <w:rsid w:val="005A3899"/>
    <w:rsid w:val="005A39AD"/>
    <w:rsid w:val="005A43BF"/>
    <w:rsid w:val="005A4CAB"/>
    <w:rsid w:val="005A6BAD"/>
    <w:rsid w:val="005A7CAB"/>
    <w:rsid w:val="005B0F76"/>
    <w:rsid w:val="005B145A"/>
    <w:rsid w:val="005B1489"/>
    <w:rsid w:val="005B1611"/>
    <w:rsid w:val="005B1FCA"/>
    <w:rsid w:val="005B2218"/>
    <w:rsid w:val="005B26AE"/>
    <w:rsid w:val="005B2C5D"/>
    <w:rsid w:val="005B5AA7"/>
    <w:rsid w:val="005B624C"/>
    <w:rsid w:val="005B70DA"/>
    <w:rsid w:val="005B72CF"/>
    <w:rsid w:val="005B774C"/>
    <w:rsid w:val="005B7B3E"/>
    <w:rsid w:val="005C095E"/>
    <w:rsid w:val="005C0C24"/>
    <w:rsid w:val="005C2F90"/>
    <w:rsid w:val="005C3F5C"/>
    <w:rsid w:val="005C5932"/>
    <w:rsid w:val="005C5A06"/>
    <w:rsid w:val="005C67B6"/>
    <w:rsid w:val="005C6817"/>
    <w:rsid w:val="005C68D1"/>
    <w:rsid w:val="005C6DA6"/>
    <w:rsid w:val="005C70A3"/>
    <w:rsid w:val="005C7168"/>
    <w:rsid w:val="005C7A67"/>
    <w:rsid w:val="005D00AE"/>
    <w:rsid w:val="005D0375"/>
    <w:rsid w:val="005D1233"/>
    <w:rsid w:val="005D1A0B"/>
    <w:rsid w:val="005D1F7C"/>
    <w:rsid w:val="005D401A"/>
    <w:rsid w:val="005D40AF"/>
    <w:rsid w:val="005D4816"/>
    <w:rsid w:val="005D53A3"/>
    <w:rsid w:val="005D6CDE"/>
    <w:rsid w:val="005D6FC0"/>
    <w:rsid w:val="005E0347"/>
    <w:rsid w:val="005E0416"/>
    <w:rsid w:val="005E07C6"/>
    <w:rsid w:val="005E1C68"/>
    <w:rsid w:val="005E2B80"/>
    <w:rsid w:val="005E3837"/>
    <w:rsid w:val="005E4B27"/>
    <w:rsid w:val="005E4CAA"/>
    <w:rsid w:val="005E52D4"/>
    <w:rsid w:val="005E53DB"/>
    <w:rsid w:val="005E59B6"/>
    <w:rsid w:val="005E5F59"/>
    <w:rsid w:val="005E61EC"/>
    <w:rsid w:val="005E692E"/>
    <w:rsid w:val="005E6AB5"/>
    <w:rsid w:val="005E6BA2"/>
    <w:rsid w:val="005E7EFB"/>
    <w:rsid w:val="005F1A8A"/>
    <w:rsid w:val="005F25DC"/>
    <w:rsid w:val="005F2B48"/>
    <w:rsid w:val="005F364C"/>
    <w:rsid w:val="005F4662"/>
    <w:rsid w:val="005F4818"/>
    <w:rsid w:val="005F4B8C"/>
    <w:rsid w:val="005F51BC"/>
    <w:rsid w:val="005F5616"/>
    <w:rsid w:val="005F5DAD"/>
    <w:rsid w:val="005F6674"/>
    <w:rsid w:val="005F67E1"/>
    <w:rsid w:val="005F6B74"/>
    <w:rsid w:val="006002BD"/>
    <w:rsid w:val="006003C0"/>
    <w:rsid w:val="006008DC"/>
    <w:rsid w:val="00600B4B"/>
    <w:rsid w:val="00601669"/>
    <w:rsid w:val="006023B1"/>
    <w:rsid w:val="0060254B"/>
    <w:rsid w:val="0060291F"/>
    <w:rsid w:val="006035AA"/>
    <w:rsid w:val="006039C8"/>
    <w:rsid w:val="0060406D"/>
    <w:rsid w:val="00604260"/>
    <w:rsid w:val="00605AD4"/>
    <w:rsid w:val="006061F5"/>
    <w:rsid w:val="00606517"/>
    <w:rsid w:val="00606DA4"/>
    <w:rsid w:val="006077B5"/>
    <w:rsid w:val="00610439"/>
    <w:rsid w:val="0061092A"/>
    <w:rsid w:val="00610BA3"/>
    <w:rsid w:val="00610E27"/>
    <w:rsid w:val="00611EB7"/>
    <w:rsid w:val="00612A59"/>
    <w:rsid w:val="0061333B"/>
    <w:rsid w:val="00613822"/>
    <w:rsid w:val="00614413"/>
    <w:rsid w:val="00614BBC"/>
    <w:rsid w:val="00614EC9"/>
    <w:rsid w:val="00616043"/>
    <w:rsid w:val="006166A2"/>
    <w:rsid w:val="00621A5E"/>
    <w:rsid w:val="00621E18"/>
    <w:rsid w:val="006246F8"/>
    <w:rsid w:val="00624868"/>
    <w:rsid w:val="006248E8"/>
    <w:rsid w:val="00624CC4"/>
    <w:rsid w:val="00624FDB"/>
    <w:rsid w:val="00625555"/>
    <w:rsid w:val="0062556D"/>
    <w:rsid w:val="0062576C"/>
    <w:rsid w:val="00626220"/>
    <w:rsid w:val="006275FB"/>
    <w:rsid w:val="00627E77"/>
    <w:rsid w:val="0063119E"/>
    <w:rsid w:val="0063147B"/>
    <w:rsid w:val="00631967"/>
    <w:rsid w:val="00631EDC"/>
    <w:rsid w:val="00632717"/>
    <w:rsid w:val="00632867"/>
    <w:rsid w:val="0063470E"/>
    <w:rsid w:val="00634F2D"/>
    <w:rsid w:val="0063547A"/>
    <w:rsid w:val="006355D7"/>
    <w:rsid w:val="00636090"/>
    <w:rsid w:val="0063642C"/>
    <w:rsid w:val="00636443"/>
    <w:rsid w:val="006364DC"/>
    <w:rsid w:val="00636DBB"/>
    <w:rsid w:val="0064043D"/>
    <w:rsid w:val="00640B2C"/>
    <w:rsid w:val="00640C6E"/>
    <w:rsid w:val="00641549"/>
    <w:rsid w:val="00641BBD"/>
    <w:rsid w:val="00641D04"/>
    <w:rsid w:val="0064323F"/>
    <w:rsid w:val="00643648"/>
    <w:rsid w:val="00643DA6"/>
    <w:rsid w:val="00645E87"/>
    <w:rsid w:val="0064685C"/>
    <w:rsid w:val="00646CCF"/>
    <w:rsid w:val="00646DC4"/>
    <w:rsid w:val="00647434"/>
    <w:rsid w:val="00647F1E"/>
    <w:rsid w:val="00650527"/>
    <w:rsid w:val="00650B8B"/>
    <w:rsid w:val="00651160"/>
    <w:rsid w:val="00651293"/>
    <w:rsid w:val="006527E8"/>
    <w:rsid w:val="0065332B"/>
    <w:rsid w:val="00653357"/>
    <w:rsid w:val="00653F16"/>
    <w:rsid w:val="00654C2A"/>
    <w:rsid w:val="00656C32"/>
    <w:rsid w:val="00656F6E"/>
    <w:rsid w:val="006573F3"/>
    <w:rsid w:val="0065783C"/>
    <w:rsid w:val="00660BCF"/>
    <w:rsid w:val="00660EE3"/>
    <w:rsid w:val="00661E64"/>
    <w:rsid w:val="0066293E"/>
    <w:rsid w:val="0066405D"/>
    <w:rsid w:val="00664A6F"/>
    <w:rsid w:val="00664DF4"/>
    <w:rsid w:val="00665136"/>
    <w:rsid w:val="006651F4"/>
    <w:rsid w:val="00665B25"/>
    <w:rsid w:val="00665BBF"/>
    <w:rsid w:val="00665DE8"/>
    <w:rsid w:val="00665E54"/>
    <w:rsid w:val="00667092"/>
    <w:rsid w:val="00667CAD"/>
    <w:rsid w:val="00667FE4"/>
    <w:rsid w:val="006701D0"/>
    <w:rsid w:val="00670A43"/>
    <w:rsid w:val="00670F37"/>
    <w:rsid w:val="00670F48"/>
    <w:rsid w:val="00672883"/>
    <w:rsid w:val="00672A98"/>
    <w:rsid w:val="00672D2A"/>
    <w:rsid w:val="00672E40"/>
    <w:rsid w:val="00673241"/>
    <w:rsid w:val="006738E7"/>
    <w:rsid w:val="006740E1"/>
    <w:rsid w:val="00674690"/>
    <w:rsid w:val="006746AE"/>
    <w:rsid w:val="006754AC"/>
    <w:rsid w:val="00675ACB"/>
    <w:rsid w:val="0067624C"/>
    <w:rsid w:val="0067726F"/>
    <w:rsid w:val="00677722"/>
    <w:rsid w:val="006806D4"/>
    <w:rsid w:val="00680B16"/>
    <w:rsid w:val="0068162D"/>
    <w:rsid w:val="00681696"/>
    <w:rsid w:val="0068181F"/>
    <w:rsid w:val="0068193E"/>
    <w:rsid w:val="00681BEC"/>
    <w:rsid w:val="00681D5E"/>
    <w:rsid w:val="006828B1"/>
    <w:rsid w:val="00682E93"/>
    <w:rsid w:val="0068441D"/>
    <w:rsid w:val="00684889"/>
    <w:rsid w:val="006852E6"/>
    <w:rsid w:val="0068530A"/>
    <w:rsid w:val="00685612"/>
    <w:rsid w:val="006856BB"/>
    <w:rsid w:val="00685B67"/>
    <w:rsid w:val="00686E86"/>
    <w:rsid w:val="006879A5"/>
    <w:rsid w:val="00687AF3"/>
    <w:rsid w:val="00690149"/>
    <w:rsid w:val="00690D31"/>
    <w:rsid w:val="00691793"/>
    <w:rsid w:val="00691A80"/>
    <w:rsid w:val="00692412"/>
    <w:rsid w:val="0069268B"/>
    <w:rsid w:val="00692A1D"/>
    <w:rsid w:val="00692B97"/>
    <w:rsid w:val="006933F6"/>
    <w:rsid w:val="006938CC"/>
    <w:rsid w:val="00694BF1"/>
    <w:rsid w:val="00694F62"/>
    <w:rsid w:val="00696BEB"/>
    <w:rsid w:val="00696F7A"/>
    <w:rsid w:val="00697EAA"/>
    <w:rsid w:val="006A0A6B"/>
    <w:rsid w:val="006A0C51"/>
    <w:rsid w:val="006A0CE0"/>
    <w:rsid w:val="006A12FE"/>
    <w:rsid w:val="006A15FD"/>
    <w:rsid w:val="006A1B83"/>
    <w:rsid w:val="006A1FED"/>
    <w:rsid w:val="006A2906"/>
    <w:rsid w:val="006A3095"/>
    <w:rsid w:val="006A38B5"/>
    <w:rsid w:val="006A3A1C"/>
    <w:rsid w:val="006A3EFA"/>
    <w:rsid w:val="006A4472"/>
    <w:rsid w:val="006A4846"/>
    <w:rsid w:val="006A4C87"/>
    <w:rsid w:val="006A4E56"/>
    <w:rsid w:val="006A4FB9"/>
    <w:rsid w:val="006A5471"/>
    <w:rsid w:val="006A6301"/>
    <w:rsid w:val="006A685A"/>
    <w:rsid w:val="006A7553"/>
    <w:rsid w:val="006A7E23"/>
    <w:rsid w:val="006B093F"/>
    <w:rsid w:val="006B1A51"/>
    <w:rsid w:val="006B1F40"/>
    <w:rsid w:val="006B2455"/>
    <w:rsid w:val="006B29EC"/>
    <w:rsid w:val="006B2C1A"/>
    <w:rsid w:val="006B2DA7"/>
    <w:rsid w:val="006B31DD"/>
    <w:rsid w:val="006B35A5"/>
    <w:rsid w:val="006B3891"/>
    <w:rsid w:val="006B3BB9"/>
    <w:rsid w:val="006B3E9F"/>
    <w:rsid w:val="006B4479"/>
    <w:rsid w:val="006B5116"/>
    <w:rsid w:val="006B53BD"/>
    <w:rsid w:val="006B5C84"/>
    <w:rsid w:val="006B641D"/>
    <w:rsid w:val="006B731F"/>
    <w:rsid w:val="006B7716"/>
    <w:rsid w:val="006B788D"/>
    <w:rsid w:val="006B7BF3"/>
    <w:rsid w:val="006B7D91"/>
    <w:rsid w:val="006C0257"/>
    <w:rsid w:val="006C0681"/>
    <w:rsid w:val="006C0E29"/>
    <w:rsid w:val="006C0F6A"/>
    <w:rsid w:val="006C1C64"/>
    <w:rsid w:val="006C1E1A"/>
    <w:rsid w:val="006C233D"/>
    <w:rsid w:val="006C3068"/>
    <w:rsid w:val="006C3113"/>
    <w:rsid w:val="006C31A7"/>
    <w:rsid w:val="006C325E"/>
    <w:rsid w:val="006C34F1"/>
    <w:rsid w:val="006C3BE5"/>
    <w:rsid w:val="006C5F2E"/>
    <w:rsid w:val="006C6A05"/>
    <w:rsid w:val="006C6A97"/>
    <w:rsid w:val="006C74C1"/>
    <w:rsid w:val="006C775A"/>
    <w:rsid w:val="006C7A3C"/>
    <w:rsid w:val="006C7CCA"/>
    <w:rsid w:val="006C7FEF"/>
    <w:rsid w:val="006D0012"/>
    <w:rsid w:val="006D0726"/>
    <w:rsid w:val="006D1AA7"/>
    <w:rsid w:val="006D1B7D"/>
    <w:rsid w:val="006D1DD6"/>
    <w:rsid w:val="006D1FA3"/>
    <w:rsid w:val="006D2193"/>
    <w:rsid w:val="006D2370"/>
    <w:rsid w:val="006D26FB"/>
    <w:rsid w:val="006D282A"/>
    <w:rsid w:val="006D30FE"/>
    <w:rsid w:val="006D3540"/>
    <w:rsid w:val="006D3757"/>
    <w:rsid w:val="006D3F3A"/>
    <w:rsid w:val="006D427B"/>
    <w:rsid w:val="006D45FD"/>
    <w:rsid w:val="006D52EC"/>
    <w:rsid w:val="006D53B0"/>
    <w:rsid w:val="006D5707"/>
    <w:rsid w:val="006D58AA"/>
    <w:rsid w:val="006D6506"/>
    <w:rsid w:val="006D6D35"/>
    <w:rsid w:val="006D6FBA"/>
    <w:rsid w:val="006D74FB"/>
    <w:rsid w:val="006D7F10"/>
    <w:rsid w:val="006E04CF"/>
    <w:rsid w:val="006E0E38"/>
    <w:rsid w:val="006E133A"/>
    <w:rsid w:val="006E19AE"/>
    <w:rsid w:val="006E207B"/>
    <w:rsid w:val="006E2FBC"/>
    <w:rsid w:val="006E3269"/>
    <w:rsid w:val="006E47AF"/>
    <w:rsid w:val="006E549F"/>
    <w:rsid w:val="006E57DF"/>
    <w:rsid w:val="006E5BF2"/>
    <w:rsid w:val="006E5E1F"/>
    <w:rsid w:val="006E7362"/>
    <w:rsid w:val="006E7828"/>
    <w:rsid w:val="006E7867"/>
    <w:rsid w:val="006F13A0"/>
    <w:rsid w:val="006F1839"/>
    <w:rsid w:val="006F18E6"/>
    <w:rsid w:val="006F3B7D"/>
    <w:rsid w:val="006F4043"/>
    <w:rsid w:val="006F4838"/>
    <w:rsid w:val="006F48D8"/>
    <w:rsid w:val="006F4A10"/>
    <w:rsid w:val="006F4D7B"/>
    <w:rsid w:val="006F51BC"/>
    <w:rsid w:val="006F585B"/>
    <w:rsid w:val="006F5DAF"/>
    <w:rsid w:val="006F69AF"/>
    <w:rsid w:val="006F70E7"/>
    <w:rsid w:val="006F7348"/>
    <w:rsid w:val="006F796D"/>
    <w:rsid w:val="006F7C0A"/>
    <w:rsid w:val="006F7E8F"/>
    <w:rsid w:val="0070155F"/>
    <w:rsid w:val="007015A6"/>
    <w:rsid w:val="00701F23"/>
    <w:rsid w:val="00701F9E"/>
    <w:rsid w:val="007022D3"/>
    <w:rsid w:val="00702317"/>
    <w:rsid w:val="00702C8C"/>
    <w:rsid w:val="00703D26"/>
    <w:rsid w:val="00705432"/>
    <w:rsid w:val="00705D10"/>
    <w:rsid w:val="00706065"/>
    <w:rsid w:val="007062D9"/>
    <w:rsid w:val="007062DE"/>
    <w:rsid w:val="0070689A"/>
    <w:rsid w:val="00706BDA"/>
    <w:rsid w:val="00707132"/>
    <w:rsid w:val="00707887"/>
    <w:rsid w:val="007078C5"/>
    <w:rsid w:val="00707C3B"/>
    <w:rsid w:val="00710A0D"/>
    <w:rsid w:val="00710C61"/>
    <w:rsid w:val="00710C7C"/>
    <w:rsid w:val="00711901"/>
    <w:rsid w:val="00712CBF"/>
    <w:rsid w:val="0071309F"/>
    <w:rsid w:val="007131CA"/>
    <w:rsid w:val="00713C46"/>
    <w:rsid w:val="00714036"/>
    <w:rsid w:val="00714A0D"/>
    <w:rsid w:val="00714B03"/>
    <w:rsid w:val="00714EB1"/>
    <w:rsid w:val="00715078"/>
    <w:rsid w:val="00715A27"/>
    <w:rsid w:val="00715E05"/>
    <w:rsid w:val="00715F40"/>
    <w:rsid w:val="00716454"/>
    <w:rsid w:val="00716B40"/>
    <w:rsid w:val="00717A3E"/>
    <w:rsid w:val="00717F43"/>
    <w:rsid w:val="00717F8D"/>
    <w:rsid w:val="007204CB"/>
    <w:rsid w:val="0072080A"/>
    <w:rsid w:val="0072132B"/>
    <w:rsid w:val="00721CA9"/>
    <w:rsid w:val="00722643"/>
    <w:rsid w:val="00722CA8"/>
    <w:rsid w:val="00722FFE"/>
    <w:rsid w:val="00723B5B"/>
    <w:rsid w:val="0072490E"/>
    <w:rsid w:val="00724D20"/>
    <w:rsid w:val="00725596"/>
    <w:rsid w:val="007256DF"/>
    <w:rsid w:val="0072579E"/>
    <w:rsid w:val="0072605D"/>
    <w:rsid w:val="0072645E"/>
    <w:rsid w:val="00726567"/>
    <w:rsid w:val="00726A75"/>
    <w:rsid w:val="00726BE8"/>
    <w:rsid w:val="00726CA0"/>
    <w:rsid w:val="00727424"/>
    <w:rsid w:val="007276C0"/>
    <w:rsid w:val="00727B5F"/>
    <w:rsid w:val="00730CEF"/>
    <w:rsid w:val="00730EB8"/>
    <w:rsid w:val="007317DF"/>
    <w:rsid w:val="007325EE"/>
    <w:rsid w:val="00733751"/>
    <w:rsid w:val="007352D6"/>
    <w:rsid w:val="007352E8"/>
    <w:rsid w:val="00735FB1"/>
    <w:rsid w:val="0073678E"/>
    <w:rsid w:val="00736E87"/>
    <w:rsid w:val="007372A4"/>
    <w:rsid w:val="00737A4A"/>
    <w:rsid w:val="00737F42"/>
    <w:rsid w:val="00740BDE"/>
    <w:rsid w:val="00741B04"/>
    <w:rsid w:val="00741F90"/>
    <w:rsid w:val="0074207D"/>
    <w:rsid w:val="0074246E"/>
    <w:rsid w:val="00743723"/>
    <w:rsid w:val="00744252"/>
    <w:rsid w:val="00744AF3"/>
    <w:rsid w:val="00744B0E"/>
    <w:rsid w:val="0074651C"/>
    <w:rsid w:val="00746C67"/>
    <w:rsid w:val="007472B8"/>
    <w:rsid w:val="0074748B"/>
    <w:rsid w:val="00750850"/>
    <w:rsid w:val="007508A6"/>
    <w:rsid w:val="00750E9C"/>
    <w:rsid w:val="00751447"/>
    <w:rsid w:val="00751F6B"/>
    <w:rsid w:val="007520E0"/>
    <w:rsid w:val="00752441"/>
    <w:rsid w:val="007534A9"/>
    <w:rsid w:val="0075389D"/>
    <w:rsid w:val="00753BC3"/>
    <w:rsid w:val="0075411D"/>
    <w:rsid w:val="0075487E"/>
    <w:rsid w:val="00754A3B"/>
    <w:rsid w:val="00754CF0"/>
    <w:rsid w:val="00754E5A"/>
    <w:rsid w:val="0075534D"/>
    <w:rsid w:val="00756B9E"/>
    <w:rsid w:val="0075742E"/>
    <w:rsid w:val="0075762B"/>
    <w:rsid w:val="00757D9A"/>
    <w:rsid w:val="00760246"/>
    <w:rsid w:val="007609ED"/>
    <w:rsid w:val="007610BE"/>
    <w:rsid w:val="0076115C"/>
    <w:rsid w:val="007611F9"/>
    <w:rsid w:val="007618B4"/>
    <w:rsid w:val="00761ADE"/>
    <w:rsid w:val="00761F0F"/>
    <w:rsid w:val="007621FE"/>
    <w:rsid w:val="00764B6F"/>
    <w:rsid w:val="00764CD3"/>
    <w:rsid w:val="00765C2D"/>
    <w:rsid w:val="00765DF3"/>
    <w:rsid w:val="007661EF"/>
    <w:rsid w:val="007664F3"/>
    <w:rsid w:val="0076676B"/>
    <w:rsid w:val="00766A7C"/>
    <w:rsid w:val="007674C9"/>
    <w:rsid w:val="00767D78"/>
    <w:rsid w:val="00770B67"/>
    <w:rsid w:val="00770E7E"/>
    <w:rsid w:val="007710F7"/>
    <w:rsid w:val="00771304"/>
    <w:rsid w:val="00771A59"/>
    <w:rsid w:val="00771D10"/>
    <w:rsid w:val="00771FA3"/>
    <w:rsid w:val="007728C3"/>
    <w:rsid w:val="00772F5B"/>
    <w:rsid w:val="007730BD"/>
    <w:rsid w:val="007737DA"/>
    <w:rsid w:val="00774627"/>
    <w:rsid w:val="00774BD8"/>
    <w:rsid w:val="00774CB5"/>
    <w:rsid w:val="00775027"/>
    <w:rsid w:val="007758CD"/>
    <w:rsid w:val="00775AEC"/>
    <w:rsid w:val="00775E5A"/>
    <w:rsid w:val="00775F42"/>
    <w:rsid w:val="00776026"/>
    <w:rsid w:val="00777411"/>
    <w:rsid w:val="00777920"/>
    <w:rsid w:val="0078151D"/>
    <w:rsid w:val="007815EA"/>
    <w:rsid w:val="0078192A"/>
    <w:rsid w:val="00781C94"/>
    <w:rsid w:val="00782062"/>
    <w:rsid w:val="00782E7F"/>
    <w:rsid w:val="007830B1"/>
    <w:rsid w:val="007833FB"/>
    <w:rsid w:val="00783695"/>
    <w:rsid w:val="00783783"/>
    <w:rsid w:val="0078386E"/>
    <w:rsid w:val="007838B8"/>
    <w:rsid w:val="007848B0"/>
    <w:rsid w:val="0078490F"/>
    <w:rsid w:val="00784D58"/>
    <w:rsid w:val="00784F4C"/>
    <w:rsid w:val="007877EC"/>
    <w:rsid w:val="00787F97"/>
    <w:rsid w:val="00790A4D"/>
    <w:rsid w:val="0079156E"/>
    <w:rsid w:val="0079197C"/>
    <w:rsid w:val="00791CD2"/>
    <w:rsid w:val="007921FB"/>
    <w:rsid w:val="007924FE"/>
    <w:rsid w:val="00792767"/>
    <w:rsid w:val="00792A05"/>
    <w:rsid w:val="007932ED"/>
    <w:rsid w:val="007935B8"/>
    <w:rsid w:val="00793C93"/>
    <w:rsid w:val="00793DAB"/>
    <w:rsid w:val="00793F82"/>
    <w:rsid w:val="00795B75"/>
    <w:rsid w:val="007963B7"/>
    <w:rsid w:val="007963FE"/>
    <w:rsid w:val="00796DFC"/>
    <w:rsid w:val="007970F6"/>
    <w:rsid w:val="007A01C2"/>
    <w:rsid w:val="007A2A9A"/>
    <w:rsid w:val="007A2FCA"/>
    <w:rsid w:val="007A30E8"/>
    <w:rsid w:val="007A35B9"/>
    <w:rsid w:val="007A3911"/>
    <w:rsid w:val="007A456E"/>
    <w:rsid w:val="007A4ACC"/>
    <w:rsid w:val="007A579B"/>
    <w:rsid w:val="007A62C6"/>
    <w:rsid w:val="007A6747"/>
    <w:rsid w:val="007A787C"/>
    <w:rsid w:val="007B01BC"/>
    <w:rsid w:val="007B1B23"/>
    <w:rsid w:val="007B2282"/>
    <w:rsid w:val="007B2812"/>
    <w:rsid w:val="007B2D60"/>
    <w:rsid w:val="007B3214"/>
    <w:rsid w:val="007B3D70"/>
    <w:rsid w:val="007B50AE"/>
    <w:rsid w:val="007B55BA"/>
    <w:rsid w:val="007B5765"/>
    <w:rsid w:val="007B5FF7"/>
    <w:rsid w:val="007B6496"/>
    <w:rsid w:val="007B6A54"/>
    <w:rsid w:val="007B6F38"/>
    <w:rsid w:val="007B77D6"/>
    <w:rsid w:val="007B7834"/>
    <w:rsid w:val="007C02C2"/>
    <w:rsid w:val="007C0334"/>
    <w:rsid w:val="007C04FD"/>
    <w:rsid w:val="007C05F7"/>
    <w:rsid w:val="007C0B3E"/>
    <w:rsid w:val="007C0B6E"/>
    <w:rsid w:val="007C0FA7"/>
    <w:rsid w:val="007C2275"/>
    <w:rsid w:val="007C297A"/>
    <w:rsid w:val="007C2C04"/>
    <w:rsid w:val="007C3F64"/>
    <w:rsid w:val="007C442B"/>
    <w:rsid w:val="007C44BF"/>
    <w:rsid w:val="007C48EF"/>
    <w:rsid w:val="007C4901"/>
    <w:rsid w:val="007C510B"/>
    <w:rsid w:val="007C52C9"/>
    <w:rsid w:val="007C62A1"/>
    <w:rsid w:val="007C6AA6"/>
    <w:rsid w:val="007C6C77"/>
    <w:rsid w:val="007C734D"/>
    <w:rsid w:val="007C7CDC"/>
    <w:rsid w:val="007D00E4"/>
    <w:rsid w:val="007D076A"/>
    <w:rsid w:val="007D0F60"/>
    <w:rsid w:val="007D14EF"/>
    <w:rsid w:val="007D16F8"/>
    <w:rsid w:val="007D20E3"/>
    <w:rsid w:val="007D21CC"/>
    <w:rsid w:val="007D34B0"/>
    <w:rsid w:val="007D474A"/>
    <w:rsid w:val="007D481D"/>
    <w:rsid w:val="007D4836"/>
    <w:rsid w:val="007D4B78"/>
    <w:rsid w:val="007D53A4"/>
    <w:rsid w:val="007D60AD"/>
    <w:rsid w:val="007D7493"/>
    <w:rsid w:val="007E00F1"/>
    <w:rsid w:val="007E0B4C"/>
    <w:rsid w:val="007E112E"/>
    <w:rsid w:val="007E2990"/>
    <w:rsid w:val="007E2C84"/>
    <w:rsid w:val="007E3058"/>
    <w:rsid w:val="007E30EC"/>
    <w:rsid w:val="007E3463"/>
    <w:rsid w:val="007E3545"/>
    <w:rsid w:val="007E37A8"/>
    <w:rsid w:val="007E40CE"/>
    <w:rsid w:val="007E4784"/>
    <w:rsid w:val="007E484A"/>
    <w:rsid w:val="007E4968"/>
    <w:rsid w:val="007E4D20"/>
    <w:rsid w:val="007E505B"/>
    <w:rsid w:val="007E5679"/>
    <w:rsid w:val="007E5D09"/>
    <w:rsid w:val="007E627E"/>
    <w:rsid w:val="007E6DA3"/>
    <w:rsid w:val="007E702C"/>
    <w:rsid w:val="007E74B4"/>
    <w:rsid w:val="007E79C1"/>
    <w:rsid w:val="007F0095"/>
    <w:rsid w:val="007F0166"/>
    <w:rsid w:val="007F19AE"/>
    <w:rsid w:val="007F1B05"/>
    <w:rsid w:val="007F209D"/>
    <w:rsid w:val="007F3156"/>
    <w:rsid w:val="007F4E51"/>
    <w:rsid w:val="007F55AB"/>
    <w:rsid w:val="007F64C3"/>
    <w:rsid w:val="007F6EE7"/>
    <w:rsid w:val="007F783E"/>
    <w:rsid w:val="007F7A94"/>
    <w:rsid w:val="008001DD"/>
    <w:rsid w:val="00800658"/>
    <w:rsid w:val="00800777"/>
    <w:rsid w:val="00800849"/>
    <w:rsid w:val="00800B96"/>
    <w:rsid w:val="00800C96"/>
    <w:rsid w:val="008017FC"/>
    <w:rsid w:val="00802119"/>
    <w:rsid w:val="008023F4"/>
    <w:rsid w:val="00803AD0"/>
    <w:rsid w:val="0080446E"/>
    <w:rsid w:val="008046D2"/>
    <w:rsid w:val="00804983"/>
    <w:rsid w:val="00804D2F"/>
    <w:rsid w:val="00804EE7"/>
    <w:rsid w:val="0080505C"/>
    <w:rsid w:val="008057B4"/>
    <w:rsid w:val="00805951"/>
    <w:rsid w:val="00806C13"/>
    <w:rsid w:val="00806CCD"/>
    <w:rsid w:val="00807527"/>
    <w:rsid w:val="00807D6A"/>
    <w:rsid w:val="00807E90"/>
    <w:rsid w:val="008106E8"/>
    <w:rsid w:val="00810D8B"/>
    <w:rsid w:val="008119D5"/>
    <w:rsid w:val="00811CCE"/>
    <w:rsid w:val="00811CD1"/>
    <w:rsid w:val="008122D3"/>
    <w:rsid w:val="008125FD"/>
    <w:rsid w:val="00814112"/>
    <w:rsid w:val="008145EE"/>
    <w:rsid w:val="00814752"/>
    <w:rsid w:val="00814F69"/>
    <w:rsid w:val="008153A7"/>
    <w:rsid w:val="00815931"/>
    <w:rsid w:val="00815EDF"/>
    <w:rsid w:val="0081625B"/>
    <w:rsid w:val="00817083"/>
    <w:rsid w:val="008172D9"/>
    <w:rsid w:val="0081769C"/>
    <w:rsid w:val="00820120"/>
    <w:rsid w:val="0082029A"/>
    <w:rsid w:val="00822087"/>
    <w:rsid w:val="00822669"/>
    <w:rsid w:val="00822707"/>
    <w:rsid w:val="0082286C"/>
    <w:rsid w:val="00822B57"/>
    <w:rsid w:val="00823316"/>
    <w:rsid w:val="00824126"/>
    <w:rsid w:val="00824735"/>
    <w:rsid w:val="00824BD1"/>
    <w:rsid w:val="00824DBA"/>
    <w:rsid w:val="00825145"/>
    <w:rsid w:val="00825382"/>
    <w:rsid w:val="008257F2"/>
    <w:rsid w:val="00825D60"/>
    <w:rsid w:val="00826C07"/>
    <w:rsid w:val="00826C6D"/>
    <w:rsid w:val="0082740E"/>
    <w:rsid w:val="00830886"/>
    <w:rsid w:val="00830E61"/>
    <w:rsid w:val="00832038"/>
    <w:rsid w:val="008325A9"/>
    <w:rsid w:val="008327F8"/>
    <w:rsid w:val="008329DD"/>
    <w:rsid w:val="00832DE4"/>
    <w:rsid w:val="00832FC4"/>
    <w:rsid w:val="008333D3"/>
    <w:rsid w:val="00833554"/>
    <w:rsid w:val="00833611"/>
    <w:rsid w:val="00833632"/>
    <w:rsid w:val="008338F7"/>
    <w:rsid w:val="00833C7B"/>
    <w:rsid w:val="00834137"/>
    <w:rsid w:val="00834514"/>
    <w:rsid w:val="008347B2"/>
    <w:rsid w:val="008348F1"/>
    <w:rsid w:val="00834B8A"/>
    <w:rsid w:val="00834FBB"/>
    <w:rsid w:val="008354C8"/>
    <w:rsid w:val="00835DF6"/>
    <w:rsid w:val="00835E45"/>
    <w:rsid w:val="00836397"/>
    <w:rsid w:val="0083656D"/>
    <w:rsid w:val="008373B8"/>
    <w:rsid w:val="00837923"/>
    <w:rsid w:val="008401B3"/>
    <w:rsid w:val="00840A15"/>
    <w:rsid w:val="00840C0C"/>
    <w:rsid w:val="00840FDF"/>
    <w:rsid w:val="00841688"/>
    <w:rsid w:val="00841E38"/>
    <w:rsid w:val="008422CB"/>
    <w:rsid w:val="00842596"/>
    <w:rsid w:val="00842A3E"/>
    <w:rsid w:val="00842DD9"/>
    <w:rsid w:val="00843445"/>
    <w:rsid w:val="0084428F"/>
    <w:rsid w:val="00844CF3"/>
    <w:rsid w:val="00845054"/>
    <w:rsid w:val="008456B9"/>
    <w:rsid w:val="00845B47"/>
    <w:rsid w:val="008463DB"/>
    <w:rsid w:val="00850D28"/>
    <w:rsid w:val="00850FF1"/>
    <w:rsid w:val="00852A2B"/>
    <w:rsid w:val="00852D1C"/>
    <w:rsid w:val="00852E1E"/>
    <w:rsid w:val="00853D06"/>
    <w:rsid w:val="0085412C"/>
    <w:rsid w:val="008541E7"/>
    <w:rsid w:val="00854B54"/>
    <w:rsid w:val="00854C7E"/>
    <w:rsid w:val="00855392"/>
    <w:rsid w:val="00855424"/>
    <w:rsid w:val="00855CE7"/>
    <w:rsid w:val="00856147"/>
    <w:rsid w:val="00856DF5"/>
    <w:rsid w:val="008577A4"/>
    <w:rsid w:val="00857EB7"/>
    <w:rsid w:val="008607DB"/>
    <w:rsid w:val="00860C4A"/>
    <w:rsid w:val="00860D80"/>
    <w:rsid w:val="00860F33"/>
    <w:rsid w:val="00860F40"/>
    <w:rsid w:val="008615C9"/>
    <w:rsid w:val="00861CD0"/>
    <w:rsid w:val="00863B82"/>
    <w:rsid w:val="00863C36"/>
    <w:rsid w:val="00864020"/>
    <w:rsid w:val="008641E0"/>
    <w:rsid w:val="00864403"/>
    <w:rsid w:val="00864879"/>
    <w:rsid w:val="00864BC7"/>
    <w:rsid w:val="00864DF7"/>
    <w:rsid w:val="00865127"/>
    <w:rsid w:val="008658ED"/>
    <w:rsid w:val="00865D04"/>
    <w:rsid w:val="00866273"/>
    <w:rsid w:val="00866AE8"/>
    <w:rsid w:val="008674BB"/>
    <w:rsid w:val="008675DB"/>
    <w:rsid w:val="00867F2D"/>
    <w:rsid w:val="00870282"/>
    <w:rsid w:val="00874869"/>
    <w:rsid w:val="00874CDF"/>
    <w:rsid w:val="00877EB1"/>
    <w:rsid w:val="00880D9A"/>
    <w:rsid w:val="00882E60"/>
    <w:rsid w:val="00882FC0"/>
    <w:rsid w:val="00883F3A"/>
    <w:rsid w:val="00884641"/>
    <w:rsid w:val="00884D5B"/>
    <w:rsid w:val="0088504A"/>
    <w:rsid w:val="0088593F"/>
    <w:rsid w:val="00885D5C"/>
    <w:rsid w:val="008864DE"/>
    <w:rsid w:val="00887165"/>
    <w:rsid w:val="0088751E"/>
    <w:rsid w:val="0089136D"/>
    <w:rsid w:val="00891A26"/>
    <w:rsid w:val="00892234"/>
    <w:rsid w:val="00892905"/>
    <w:rsid w:val="008929C1"/>
    <w:rsid w:val="00892DF8"/>
    <w:rsid w:val="008930DF"/>
    <w:rsid w:val="008934A1"/>
    <w:rsid w:val="00893B2B"/>
    <w:rsid w:val="00893EDC"/>
    <w:rsid w:val="0089466F"/>
    <w:rsid w:val="00894D3C"/>
    <w:rsid w:val="00894D8F"/>
    <w:rsid w:val="00896C89"/>
    <w:rsid w:val="0089785A"/>
    <w:rsid w:val="008979D5"/>
    <w:rsid w:val="00897F8F"/>
    <w:rsid w:val="008A1E6F"/>
    <w:rsid w:val="008A2221"/>
    <w:rsid w:val="008A2275"/>
    <w:rsid w:val="008A2588"/>
    <w:rsid w:val="008A34A9"/>
    <w:rsid w:val="008A3F59"/>
    <w:rsid w:val="008A4C3B"/>
    <w:rsid w:val="008A54F0"/>
    <w:rsid w:val="008A5ACF"/>
    <w:rsid w:val="008A64CB"/>
    <w:rsid w:val="008A6609"/>
    <w:rsid w:val="008A6828"/>
    <w:rsid w:val="008A6D05"/>
    <w:rsid w:val="008A6F3E"/>
    <w:rsid w:val="008A753A"/>
    <w:rsid w:val="008A7A6B"/>
    <w:rsid w:val="008B04C0"/>
    <w:rsid w:val="008B0890"/>
    <w:rsid w:val="008B0AC4"/>
    <w:rsid w:val="008B195E"/>
    <w:rsid w:val="008B24C3"/>
    <w:rsid w:val="008B28EE"/>
    <w:rsid w:val="008B2AD7"/>
    <w:rsid w:val="008B2CA8"/>
    <w:rsid w:val="008B43E5"/>
    <w:rsid w:val="008B4D2D"/>
    <w:rsid w:val="008B4E58"/>
    <w:rsid w:val="008B5AFF"/>
    <w:rsid w:val="008B697E"/>
    <w:rsid w:val="008B6C80"/>
    <w:rsid w:val="008B6CD3"/>
    <w:rsid w:val="008B6F8A"/>
    <w:rsid w:val="008B7D74"/>
    <w:rsid w:val="008C064D"/>
    <w:rsid w:val="008C104E"/>
    <w:rsid w:val="008C1350"/>
    <w:rsid w:val="008C14A0"/>
    <w:rsid w:val="008C15EC"/>
    <w:rsid w:val="008C1B1B"/>
    <w:rsid w:val="008C1CD0"/>
    <w:rsid w:val="008C1DB5"/>
    <w:rsid w:val="008C267F"/>
    <w:rsid w:val="008C27A4"/>
    <w:rsid w:val="008C34CD"/>
    <w:rsid w:val="008C450A"/>
    <w:rsid w:val="008C4F9B"/>
    <w:rsid w:val="008C5D6F"/>
    <w:rsid w:val="008C651D"/>
    <w:rsid w:val="008C684F"/>
    <w:rsid w:val="008C6D1B"/>
    <w:rsid w:val="008C7CE2"/>
    <w:rsid w:val="008D0B01"/>
    <w:rsid w:val="008D0D5B"/>
    <w:rsid w:val="008D1CD8"/>
    <w:rsid w:val="008D1DDD"/>
    <w:rsid w:val="008D26BE"/>
    <w:rsid w:val="008D28AD"/>
    <w:rsid w:val="008D2D39"/>
    <w:rsid w:val="008D2EF7"/>
    <w:rsid w:val="008D3450"/>
    <w:rsid w:val="008D3507"/>
    <w:rsid w:val="008D37D8"/>
    <w:rsid w:val="008D4145"/>
    <w:rsid w:val="008D4719"/>
    <w:rsid w:val="008D6505"/>
    <w:rsid w:val="008D6592"/>
    <w:rsid w:val="008D65A1"/>
    <w:rsid w:val="008D686C"/>
    <w:rsid w:val="008D6B32"/>
    <w:rsid w:val="008D6B7E"/>
    <w:rsid w:val="008D6C41"/>
    <w:rsid w:val="008D7845"/>
    <w:rsid w:val="008E016F"/>
    <w:rsid w:val="008E157A"/>
    <w:rsid w:val="008E1BE9"/>
    <w:rsid w:val="008E2C1C"/>
    <w:rsid w:val="008E2DF2"/>
    <w:rsid w:val="008E31F0"/>
    <w:rsid w:val="008E3743"/>
    <w:rsid w:val="008E3E28"/>
    <w:rsid w:val="008E40F1"/>
    <w:rsid w:val="008E446C"/>
    <w:rsid w:val="008E4F73"/>
    <w:rsid w:val="008E6E2E"/>
    <w:rsid w:val="008E7586"/>
    <w:rsid w:val="008E75EE"/>
    <w:rsid w:val="008E7964"/>
    <w:rsid w:val="008E7C8F"/>
    <w:rsid w:val="008E7D08"/>
    <w:rsid w:val="008F0370"/>
    <w:rsid w:val="008F0418"/>
    <w:rsid w:val="008F0D59"/>
    <w:rsid w:val="008F1039"/>
    <w:rsid w:val="008F16A3"/>
    <w:rsid w:val="008F17F6"/>
    <w:rsid w:val="008F272F"/>
    <w:rsid w:val="008F3174"/>
    <w:rsid w:val="008F326A"/>
    <w:rsid w:val="008F3521"/>
    <w:rsid w:val="008F465C"/>
    <w:rsid w:val="008F4BEA"/>
    <w:rsid w:val="008F56D1"/>
    <w:rsid w:val="008F5725"/>
    <w:rsid w:val="008F5C4F"/>
    <w:rsid w:val="008F66A8"/>
    <w:rsid w:val="008F6A48"/>
    <w:rsid w:val="008F7610"/>
    <w:rsid w:val="008F7E03"/>
    <w:rsid w:val="009011C9"/>
    <w:rsid w:val="0090126D"/>
    <w:rsid w:val="00901AB3"/>
    <w:rsid w:val="0090315E"/>
    <w:rsid w:val="009031EA"/>
    <w:rsid w:val="009034CB"/>
    <w:rsid w:val="009055AE"/>
    <w:rsid w:val="00905658"/>
    <w:rsid w:val="00905AD7"/>
    <w:rsid w:val="00905DEF"/>
    <w:rsid w:val="009068E1"/>
    <w:rsid w:val="0090692B"/>
    <w:rsid w:val="00906F76"/>
    <w:rsid w:val="0091020C"/>
    <w:rsid w:val="009106EE"/>
    <w:rsid w:val="00910799"/>
    <w:rsid w:val="00910CB0"/>
    <w:rsid w:val="00910EC0"/>
    <w:rsid w:val="00911345"/>
    <w:rsid w:val="00911901"/>
    <w:rsid w:val="00911C1A"/>
    <w:rsid w:val="0091237D"/>
    <w:rsid w:val="00912C04"/>
    <w:rsid w:val="00912F38"/>
    <w:rsid w:val="009138A7"/>
    <w:rsid w:val="009142FC"/>
    <w:rsid w:val="00914E57"/>
    <w:rsid w:val="00914F2F"/>
    <w:rsid w:val="00915438"/>
    <w:rsid w:val="00915441"/>
    <w:rsid w:val="00915F29"/>
    <w:rsid w:val="00916936"/>
    <w:rsid w:val="00916A2A"/>
    <w:rsid w:val="00917699"/>
    <w:rsid w:val="00917C65"/>
    <w:rsid w:val="00920183"/>
    <w:rsid w:val="009216B4"/>
    <w:rsid w:val="00921EA1"/>
    <w:rsid w:val="00922D54"/>
    <w:rsid w:val="0092342E"/>
    <w:rsid w:val="00923646"/>
    <w:rsid w:val="0092367A"/>
    <w:rsid w:val="00923B23"/>
    <w:rsid w:val="00924D5F"/>
    <w:rsid w:val="00925306"/>
    <w:rsid w:val="00925A7A"/>
    <w:rsid w:val="0092770B"/>
    <w:rsid w:val="00927F38"/>
    <w:rsid w:val="009305DC"/>
    <w:rsid w:val="00930926"/>
    <w:rsid w:val="00930D45"/>
    <w:rsid w:val="0093126F"/>
    <w:rsid w:val="009345EA"/>
    <w:rsid w:val="009352DB"/>
    <w:rsid w:val="00935BDD"/>
    <w:rsid w:val="009361A8"/>
    <w:rsid w:val="00936223"/>
    <w:rsid w:val="009362E3"/>
    <w:rsid w:val="009363A3"/>
    <w:rsid w:val="00936D71"/>
    <w:rsid w:val="00936E1D"/>
    <w:rsid w:val="00937ED0"/>
    <w:rsid w:val="0094232D"/>
    <w:rsid w:val="00942396"/>
    <w:rsid w:val="00942900"/>
    <w:rsid w:val="009433A6"/>
    <w:rsid w:val="00943A5B"/>
    <w:rsid w:val="00944242"/>
    <w:rsid w:val="00944308"/>
    <w:rsid w:val="009445E2"/>
    <w:rsid w:val="00944A70"/>
    <w:rsid w:val="00945394"/>
    <w:rsid w:val="00945A22"/>
    <w:rsid w:val="009460D4"/>
    <w:rsid w:val="009471A2"/>
    <w:rsid w:val="00947317"/>
    <w:rsid w:val="0094E35A"/>
    <w:rsid w:val="00950278"/>
    <w:rsid w:val="00950387"/>
    <w:rsid w:val="0095108A"/>
    <w:rsid w:val="00951BEB"/>
    <w:rsid w:val="00952797"/>
    <w:rsid w:val="00953696"/>
    <w:rsid w:val="00953E28"/>
    <w:rsid w:val="0095419C"/>
    <w:rsid w:val="009541BF"/>
    <w:rsid w:val="009543B3"/>
    <w:rsid w:val="00954C76"/>
    <w:rsid w:val="009559A3"/>
    <w:rsid w:val="00956394"/>
    <w:rsid w:val="009563DD"/>
    <w:rsid w:val="0095729E"/>
    <w:rsid w:val="0095765C"/>
    <w:rsid w:val="009576C3"/>
    <w:rsid w:val="00960C01"/>
    <w:rsid w:val="00960CB0"/>
    <w:rsid w:val="0096287F"/>
    <w:rsid w:val="00962889"/>
    <w:rsid w:val="0096381C"/>
    <w:rsid w:val="009638DA"/>
    <w:rsid w:val="00963C1D"/>
    <w:rsid w:val="00963C25"/>
    <w:rsid w:val="00964353"/>
    <w:rsid w:val="00964650"/>
    <w:rsid w:val="009648DF"/>
    <w:rsid w:val="00965268"/>
    <w:rsid w:val="00965D7F"/>
    <w:rsid w:val="009660DA"/>
    <w:rsid w:val="00966E33"/>
    <w:rsid w:val="009672AD"/>
    <w:rsid w:val="00967B5D"/>
    <w:rsid w:val="00967E28"/>
    <w:rsid w:val="0097021F"/>
    <w:rsid w:val="00970ECB"/>
    <w:rsid w:val="009720DA"/>
    <w:rsid w:val="009720E5"/>
    <w:rsid w:val="00974663"/>
    <w:rsid w:val="00974946"/>
    <w:rsid w:val="00974FD9"/>
    <w:rsid w:val="00976356"/>
    <w:rsid w:val="00976A54"/>
    <w:rsid w:val="00976A77"/>
    <w:rsid w:val="009772B7"/>
    <w:rsid w:val="009776FA"/>
    <w:rsid w:val="009777D3"/>
    <w:rsid w:val="00977FB2"/>
    <w:rsid w:val="009801C9"/>
    <w:rsid w:val="009809B8"/>
    <w:rsid w:val="00980B1B"/>
    <w:rsid w:val="00980E9E"/>
    <w:rsid w:val="00981A68"/>
    <w:rsid w:val="009820D9"/>
    <w:rsid w:val="0098221D"/>
    <w:rsid w:val="00982DC7"/>
    <w:rsid w:val="00983016"/>
    <w:rsid w:val="00983380"/>
    <w:rsid w:val="0098390F"/>
    <w:rsid w:val="00984689"/>
    <w:rsid w:val="0098483E"/>
    <w:rsid w:val="009857D2"/>
    <w:rsid w:val="009859E6"/>
    <w:rsid w:val="00985EAD"/>
    <w:rsid w:val="00986277"/>
    <w:rsid w:val="00986417"/>
    <w:rsid w:val="009869D8"/>
    <w:rsid w:val="00986B7D"/>
    <w:rsid w:val="00986C18"/>
    <w:rsid w:val="00987126"/>
    <w:rsid w:val="00987796"/>
    <w:rsid w:val="00987ED2"/>
    <w:rsid w:val="00987EFF"/>
    <w:rsid w:val="00990859"/>
    <w:rsid w:val="00991049"/>
    <w:rsid w:val="00991214"/>
    <w:rsid w:val="0099196F"/>
    <w:rsid w:val="009919B9"/>
    <w:rsid w:val="009921F6"/>
    <w:rsid w:val="009923EC"/>
    <w:rsid w:val="0099294D"/>
    <w:rsid w:val="009937A1"/>
    <w:rsid w:val="00993822"/>
    <w:rsid w:val="0099431A"/>
    <w:rsid w:val="0099433A"/>
    <w:rsid w:val="0099512E"/>
    <w:rsid w:val="0099563A"/>
    <w:rsid w:val="00995733"/>
    <w:rsid w:val="00995D14"/>
    <w:rsid w:val="00996034"/>
    <w:rsid w:val="00996147"/>
    <w:rsid w:val="00996150"/>
    <w:rsid w:val="0099618C"/>
    <w:rsid w:val="0099652A"/>
    <w:rsid w:val="0099774C"/>
    <w:rsid w:val="00997E4B"/>
    <w:rsid w:val="00997E6B"/>
    <w:rsid w:val="009A06A9"/>
    <w:rsid w:val="009A086B"/>
    <w:rsid w:val="009A08AF"/>
    <w:rsid w:val="009A0A5D"/>
    <w:rsid w:val="009A11D9"/>
    <w:rsid w:val="009A17A1"/>
    <w:rsid w:val="009A1B20"/>
    <w:rsid w:val="009A1E51"/>
    <w:rsid w:val="009A1FDE"/>
    <w:rsid w:val="009A295C"/>
    <w:rsid w:val="009A2B69"/>
    <w:rsid w:val="009A2CC0"/>
    <w:rsid w:val="009A350A"/>
    <w:rsid w:val="009A4073"/>
    <w:rsid w:val="009A43A6"/>
    <w:rsid w:val="009A4A96"/>
    <w:rsid w:val="009A4DF7"/>
    <w:rsid w:val="009A50BD"/>
    <w:rsid w:val="009A56B7"/>
    <w:rsid w:val="009A5807"/>
    <w:rsid w:val="009A5B0D"/>
    <w:rsid w:val="009A5D71"/>
    <w:rsid w:val="009A6D79"/>
    <w:rsid w:val="009A7DC4"/>
    <w:rsid w:val="009A7DEB"/>
    <w:rsid w:val="009B039F"/>
    <w:rsid w:val="009B0CD2"/>
    <w:rsid w:val="009B175C"/>
    <w:rsid w:val="009B1A10"/>
    <w:rsid w:val="009B1B06"/>
    <w:rsid w:val="009B27FF"/>
    <w:rsid w:val="009B3014"/>
    <w:rsid w:val="009B305B"/>
    <w:rsid w:val="009B3571"/>
    <w:rsid w:val="009B4279"/>
    <w:rsid w:val="009B4390"/>
    <w:rsid w:val="009B484B"/>
    <w:rsid w:val="009B4992"/>
    <w:rsid w:val="009B4E0E"/>
    <w:rsid w:val="009B539E"/>
    <w:rsid w:val="009B5BAC"/>
    <w:rsid w:val="009B7A5B"/>
    <w:rsid w:val="009B7ABE"/>
    <w:rsid w:val="009C00B8"/>
    <w:rsid w:val="009C063C"/>
    <w:rsid w:val="009C09E1"/>
    <w:rsid w:val="009C1664"/>
    <w:rsid w:val="009C188D"/>
    <w:rsid w:val="009C1D2D"/>
    <w:rsid w:val="009C1F17"/>
    <w:rsid w:val="009C243A"/>
    <w:rsid w:val="009C4105"/>
    <w:rsid w:val="009C539E"/>
    <w:rsid w:val="009C5519"/>
    <w:rsid w:val="009C685F"/>
    <w:rsid w:val="009C6933"/>
    <w:rsid w:val="009C7281"/>
    <w:rsid w:val="009C766E"/>
    <w:rsid w:val="009D073E"/>
    <w:rsid w:val="009D1636"/>
    <w:rsid w:val="009D19A0"/>
    <w:rsid w:val="009D1BD2"/>
    <w:rsid w:val="009D20CF"/>
    <w:rsid w:val="009D2612"/>
    <w:rsid w:val="009D2D0B"/>
    <w:rsid w:val="009D42D5"/>
    <w:rsid w:val="009D43A8"/>
    <w:rsid w:val="009D45BC"/>
    <w:rsid w:val="009D4833"/>
    <w:rsid w:val="009D554E"/>
    <w:rsid w:val="009D592B"/>
    <w:rsid w:val="009D5C2E"/>
    <w:rsid w:val="009D5F5C"/>
    <w:rsid w:val="009D629B"/>
    <w:rsid w:val="009D62C2"/>
    <w:rsid w:val="009D6AD0"/>
    <w:rsid w:val="009D6C84"/>
    <w:rsid w:val="009D73CA"/>
    <w:rsid w:val="009D756E"/>
    <w:rsid w:val="009D7CBA"/>
    <w:rsid w:val="009E01A4"/>
    <w:rsid w:val="009E0340"/>
    <w:rsid w:val="009E0C7A"/>
    <w:rsid w:val="009E241A"/>
    <w:rsid w:val="009E354F"/>
    <w:rsid w:val="009E376E"/>
    <w:rsid w:val="009E3F95"/>
    <w:rsid w:val="009E4093"/>
    <w:rsid w:val="009E4890"/>
    <w:rsid w:val="009E4C4F"/>
    <w:rsid w:val="009E5384"/>
    <w:rsid w:val="009E6338"/>
    <w:rsid w:val="009E6B95"/>
    <w:rsid w:val="009E6EDB"/>
    <w:rsid w:val="009F0825"/>
    <w:rsid w:val="009F0976"/>
    <w:rsid w:val="009F0DE6"/>
    <w:rsid w:val="009F1577"/>
    <w:rsid w:val="009F1F95"/>
    <w:rsid w:val="009F2E82"/>
    <w:rsid w:val="009F3482"/>
    <w:rsid w:val="009F3567"/>
    <w:rsid w:val="009F3DF1"/>
    <w:rsid w:val="009F3ED1"/>
    <w:rsid w:val="009F4150"/>
    <w:rsid w:val="009F4BF2"/>
    <w:rsid w:val="009F58FA"/>
    <w:rsid w:val="009F5BB7"/>
    <w:rsid w:val="009F6CC0"/>
    <w:rsid w:val="009F7201"/>
    <w:rsid w:val="009F7EC5"/>
    <w:rsid w:val="00A00AA5"/>
    <w:rsid w:val="00A01304"/>
    <w:rsid w:val="00A01A83"/>
    <w:rsid w:val="00A02BBC"/>
    <w:rsid w:val="00A033A0"/>
    <w:rsid w:val="00A0341C"/>
    <w:rsid w:val="00A03665"/>
    <w:rsid w:val="00A04C7A"/>
    <w:rsid w:val="00A04D60"/>
    <w:rsid w:val="00A050D5"/>
    <w:rsid w:val="00A0524C"/>
    <w:rsid w:val="00A05262"/>
    <w:rsid w:val="00A058E5"/>
    <w:rsid w:val="00A06418"/>
    <w:rsid w:val="00A06916"/>
    <w:rsid w:val="00A06F3C"/>
    <w:rsid w:val="00A07479"/>
    <w:rsid w:val="00A10238"/>
    <w:rsid w:val="00A103E4"/>
    <w:rsid w:val="00A107B4"/>
    <w:rsid w:val="00A10C1A"/>
    <w:rsid w:val="00A1306F"/>
    <w:rsid w:val="00A135FB"/>
    <w:rsid w:val="00A13949"/>
    <w:rsid w:val="00A13EB5"/>
    <w:rsid w:val="00A140B6"/>
    <w:rsid w:val="00A14666"/>
    <w:rsid w:val="00A15B14"/>
    <w:rsid w:val="00A162E6"/>
    <w:rsid w:val="00A16A38"/>
    <w:rsid w:val="00A16DFB"/>
    <w:rsid w:val="00A17295"/>
    <w:rsid w:val="00A2072E"/>
    <w:rsid w:val="00A20EB3"/>
    <w:rsid w:val="00A2138D"/>
    <w:rsid w:val="00A22179"/>
    <w:rsid w:val="00A2295D"/>
    <w:rsid w:val="00A235D8"/>
    <w:rsid w:val="00A237BB"/>
    <w:rsid w:val="00A239A3"/>
    <w:rsid w:val="00A23C5B"/>
    <w:rsid w:val="00A23D0C"/>
    <w:rsid w:val="00A245CC"/>
    <w:rsid w:val="00A25355"/>
    <w:rsid w:val="00A255BC"/>
    <w:rsid w:val="00A25C41"/>
    <w:rsid w:val="00A25FE8"/>
    <w:rsid w:val="00A263D9"/>
    <w:rsid w:val="00A26847"/>
    <w:rsid w:val="00A26E15"/>
    <w:rsid w:val="00A2712A"/>
    <w:rsid w:val="00A27DBB"/>
    <w:rsid w:val="00A3015A"/>
    <w:rsid w:val="00A30568"/>
    <w:rsid w:val="00A31051"/>
    <w:rsid w:val="00A313D4"/>
    <w:rsid w:val="00A3182A"/>
    <w:rsid w:val="00A331F7"/>
    <w:rsid w:val="00A33610"/>
    <w:rsid w:val="00A34158"/>
    <w:rsid w:val="00A342C0"/>
    <w:rsid w:val="00A34C0D"/>
    <w:rsid w:val="00A34D4F"/>
    <w:rsid w:val="00A3526C"/>
    <w:rsid w:val="00A37CF8"/>
    <w:rsid w:val="00A40057"/>
    <w:rsid w:val="00A40268"/>
    <w:rsid w:val="00A403FA"/>
    <w:rsid w:val="00A40D49"/>
    <w:rsid w:val="00A40E52"/>
    <w:rsid w:val="00A40E77"/>
    <w:rsid w:val="00A40E7F"/>
    <w:rsid w:val="00A41330"/>
    <w:rsid w:val="00A41958"/>
    <w:rsid w:val="00A41BEE"/>
    <w:rsid w:val="00A41FC5"/>
    <w:rsid w:val="00A42795"/>
    <w:rsid w:val="00A43246"/>
    <w:rsid w:val="00A43A1E"/>
    <w:rsid w:val="00A441DF"/>
    <w:rsid w:val="00A44477"/>
    <w:rsid w:val="00A44558"/>
    <w:rsid w:val="00A45472"/>
    <w:rsid w:val="00A458ED"/>
    <w:rsid w:val="00A459D3"/>
    <w:rsid w:val="00A46EB5"/>
    <w:rsid w:val="00A471B9"/>
    <w:rsid w:val="00A47864"/>
    <w:rsid w:val="00A47ACF"/>
    <w:rsid w:val="00A504BA"/>
    <w:rsid w:val="00A507A4"/>
    <w:rsid w:val="00A509AB"/>
    <w:rsid w:val="00A512B6"/>
    <w:rsid w:val="00A51821"/>
    <w:rsid w:val="00A518AB"/>
    <w:rsid w:val="00A523AA"/>
    <w:rsid w:val="00A52750"/>
    <w:rsid w:val="00A52BB5"/>
    <w:rsid w:val="00A52DBF"/>
    <w:rsid w:val="00A532FA"/>
    <w:rsid w:val="00A53C5B"/>
    <w:rsid w:val="00A543CE"/>
    <w:rsid w:val="00A54599"/>
    <w:rsid w:val="00A54790"/>
    <w:rsid w:val="00A547B8"/>
    <w:rsid w:val="00A547D6"/>
    <w:rsid w:val="00A55814"/>
    <w:rsid w:val="00A559DB"/>
    <w:rsid w:val="00A560D7"/>
    <w:rsid w:val="00A5648A"/>
    <w:rsid w:val="00A569B0"/>
    <w:rsid w:val="00A56CCC"/>
    <w:rsid w:val="00A575DA"/>
    <w:rsid w:val="00A57D67"/>
    <w:rsid w:val="00A6025E"/>
    <w:rsid w:val="00A6029D"/>
    <w:rsid w:val="00A609A1"/>
    <w:rsid w:val="00A61B2B"/>
    <w:rsid w:val="00A6212B"/>
    <w:rsid w:val="00A626D0"/>
    <w:rsid w:val="00A62A38"/>
    <w:rsid w:val="00A62BA7"/>
    <w:rsid w:val="00A63221"/>
    <w:rsid w:val="00A632B3"/>
    <w:rsid w:val="00A64E22"/>
    <w:rsid w:val="00A65F3D"/>
    <w:rsid w:val="00A66A42"/>
    <w:rsid w:val="00A6734C"/>
    <w:rsid w:val="00A676B8"/>
    <w:rsid w:val="00A67EAD"/>
    <w:rsid w:val="00A703E6"/>
    <w:rsid w:val="00A7079F"/>
    <w:rsid w:val="00A70DC1"/>
    <w:rsid w:val="00A718B0"/>
    <w:rsid w:val="00A72559"/>
    <w:rsid w:val="00A72644"/>
    <w:rsid w:val="00A726FE"/>
    <w:rsid w:val="00A72713"/>
    <w:rsid w:val="00A72955"/>
    <w:rsid w:val="00A72EB4"/>
    <w:rsid w:val="00A734F8"/>
    <w:rsid w:val="00A7473A"/>
    <w:rsid w:val="00A74824"/>
    <w:rsid w:val="00A74E1C"/>
    <w:rsid w:val="00A74E6D"/>
    <w:rsid w:val="00A7507D"/>
    <w:rsid w:val="00A751A2"/>
    <w:rsid w:val="00A75480"/>
    <w:rsid w:val="00A75A98"/>
    <w:rsid w:val="00A76277"/>
    <w:rsid w:val="00A7639C"/>
    <w:rsid w:val="00A803A5"/>
    <w:rsid w:val="00A81CF8"/>
    <w:rsid w:val="00A82078"/>
    <w:rsid w:val="00A8210E"/>
    <w:rsid w:val="00A826F5"/>
    <w:rsid w:val="00A82DD8"/>
    <w:rsid w:val="00A8383C"/>
    <w:rsid w:val="00A838C8"/>
    <w:rsid w:val="00A84CD0"/>
    <w:rsid w:val="00A84D15"/>
    <w:rsid w:val="00A8587F"/>
    <w:rsid w:val="00A86371"/>
    <w:rsid w:val="00A86696"/>
    <w:rsid w:val="00A86B7A"/>
    <w:rsid w:val="00A86FE7"/>
    <w:rsid w:val="00A872E9"/>
    <w:rsid w:val="00A87F06"/>
    <w:rsid w:val="00A9001D"/>
    <w:rsid w:val="00A900B6"/>
    <w:rsid w:val="00A90898"/>
    <w:rsid w:val="00A90A83"/>
    <w:rsid w:val="00A90C71"/>
    <w:rsid w:val="00A90DFE"/>
    <w:rsid w:val="00A91C42"/>
    <w:rsid w:val="00A92473"/>
    <w:rsid w:val="00A92881"/>
    <w:rsid w:val="00A92B1A"/>
    <w:rsid w:val="00A932F2"/>
    <w:rsid w:val="00A9334F"/>
    <w:rsid w:val="00A93C4F"/>
    <w:rsid w:val="00A93EBD"/>
    <w:rsid w:val="00A93FC0"/>
    <w:rsid w:val="00A95152"/>
    <w:rsid w:val="00A9516B"/>
    <w:rsid w:val="00A953D0"/>
    <w:rsid w:val="00A95704"/>
    <w:rsid w:val="00A95808"/>
    <w:rsid w:val="00A95DB5"/>
    <w:rsid w:val="00A963C0"/>
    <w:rsid w:val="00A974AC"/>
    <w:rsid w:val="00A9780A"/>
    <w:rsid w:val="00A97BEE"/>
    <w:rsid w:val="00AA00AF"/>
    <w:rsid w:val="00AA1D4A"/>
    <w:rsid w:val="00AA29B1"/>
    <w:rsid w:val="00AA2B5D"/>
    <w:rsid w:val="00AA2FC9"/>
    <w:rsid w:val="00AA3C02"/>
    <w:rsid w:val="00AA4AE9"/>
    <w:rsid w:val="00AA52CC"/>
    <w:rsid w:val="00AA52F2"/>
    <w:rsid w:val="00AA5C55"/>
    <w:rsid w:val="00AA5E62"/>
    <w:rsid w:val="00AA5F41"/>
    <w:rsid w:val="00AA6ACF"/>
    <w:rsid w:val="00AA6D15"/>
    <w:rsid w:val="00AA7009"/>
    <w:rsid w:val="00AA79CC"/>
    <w:rsid w:val="00AB0DF1"/>
    <w:rsid w:val="00AB0F3A"/>
    <w:rsid w:val="00AB152C"/>
    <w:rsid w:val="00AB2292"/>
    <w:rsid w:val="00AB283D"/>
    <w:rsid w:val="00AB2C98"/>
    <w:rsid w:val="00AB2D31"/>
    <w:rsid w:val="00AB356D"/>
    <w:rsid w:val="00AB36D2"/>
    <w:rsid w:val="00AB3FC9"/>
    <w:rsid w:val="00AB40C4"/>
    <w:rsid w:val="00AB4612"/>
    <w:rsid w:val="00AB52CF"/>
    <w:rsid w:val="00AB6BED"/>
    <w:rsid w:val="00AB6F80"/>
    <w:rsid w:val="00AB7DEB"/>
    <w:rsid w:val="00AC0652"/>
    <w:rsid w:val="00AC1792"/>
    <w:rsid w:val="00AC17F4"/>
    <w:rsid w:val="00AC224B"/>
    <w:rsid w:val="00AC24A3"/>
    <w:rsid w:val="00AC26D2"/>
    <w:rsid w:val="00AC3867"/>
    <w:rsid w:val="00AC3EE0"/>
    <w:rsid w:val="00AC3FB0"/>
    <w:rsid w:val="00AC4274"/>
    <w:rsid w:val="00AC54DA"/>
    <w:rsid w:val="00AC5C10"/>
    <w:rsid w:val="00AC601B"/>
    <w:rsid w:val="00AC63D4"/>
    <w:rsid w:val="00AC67DC"/>
    <w:rsid w:val="00AC6ECC"/>
    <w:rsid w:val="00AC7095"/>
    <w:rsid w:val="00AC75EB"/>
    <w:rsid w:val="00AC7E56"/>
    <w:rsid w:val="00AD0260"/>
    <w:rsid w:val="00AD0BFF"/>
    <w:rsid w:val="00AD0DB8"/>
    <w:rsid w:val="00AD0DF3"/>
    <w:rsid w:val="00AD145C"/>
    <w:rsid w:val="00AD2BBE"/>
    <w:rsid w:val="00AD2CCF"/>
    <w:rsid w:val="00AD312E"/>
    <w:rsid w:val="00AD3D37"/>
    <w:rsid w:val="00AD4D4C"/>
    <w:rsid w:val="00AD5344"/>
    <w:rsid w:val="00AD6396"/>
    <w:rsid w:val="00AD6CC4"/>
    <w:rsid w:val="00AD6EFC"/>
    <w:rsid w:val="00AD7101"/>
    <w:rsid w:val="00AD71B8"/>
    <w:rsid w:val="00AE00EB"/>
    <w:rsid w:val="00AE06DE"/>
    <w:rsid w:val="00AE1B0C"/>
    <w:rsid w:val="00AE21E9"/>
    <w:rsid w:val="00AE3EAF"/>
    <w:rsid w:val="00AE42D8"/>
    <w:rsid w:val="00AE6A6C"/>
    <w:rsid w:val="00AE734D"/>
    <w:rsid w:val="00AE7389"/>
    <w:rsid w:val="00AE7656"/>
    <w:rsid w:val="00AE7949"/>
    <w:rsid w:val="00AF0ACB"/>
    <w:rsid w:val="00AF0E9C"/>
    <w:rsid w:val="00AF1068"/>
    <w:rsid w:val="00AF118E"/>
    <w:rsid w:val="00AF2102"/>
    <w:rsid w:val="00AF2434"/>
    <w:rsid w:val="00AF298D"/>
    <w:rsid w:val="00AF31A8"/>
    <w:rsid w:val="00AF325E"/>
    <w:rsid w:val="00AF32BB"/>
    <w:rsid w:val="00AF33F3"/>
    <w:rsid w:val="00AF361B"/>
    <w:rsid w:val="00AF3E76"/>
    <w:rsid w:val="00AF5577"/>
    <w:rsid w:val="00AF58EF"/>
    <w:rsid w:val="00AF591E"/>
    <w:rsid w:val="00AF5921"/>
    <w:rsid w:val="00AF5A74"/>
    <w:rsid w:val="00AF5B46"/>
    <w:rsid w:val="00AF5B6C"/>
    <w:rsid w:val="00AF6507"/>
    <w:rsid w:val="00AF715D"/>
    <w:rsid w:val="00AF7161"/>
    <w:rsid w:val="00B00608"/>
    <w:rsid w:val="00B013AF"/>
    <w:rsid w:val="00B01670"/>
    <w:rsid w:val="00B024B0"/>
    <w:rsid w:val="00B02D7D"/>
    <w:rsid w:val="00B02F6B"/>
    <w:rsid w:val="00B0313B"/>
    <w:rsid w:val="00B03B86"/>
    <w:rsid w:val="00B03E68"/>
    <w:rsid w:val="00B04236"/>
    <w:rsid w:val="00B04C69"/>
    <w:rsid w:val="00B05015"/>
    <w:rsid w:val="00B05DB0"/>
    <w:rsid w:val="00B06C46"/>
    <w:rsid w:val="00B07074"/>
    <w:rsid w:val="00B07635"/>
    <w:rsid w:val="00B102E9"/>
    <w:rsid w:val="00B108CB"/>
    <w:rsid w:val="00B1176A"/>
    <w:rsid w:val="00B11CB2"/>
    <w:rsid w:val="00B121F9"/>
    <w:rsid w:val="00B123F3"/>
    <w:rsid w:val="00B12546"/>
    <w:rsid w:val="00B13CE2"/>
    <w:rsid w:val="00B13D27"/>
    <w:rsid w:val="00B1443A"/>
    <w:rsid w:val="00B144D9"/>
    <w:rsid w:val="00B1484B"/>
    <w:rsid w:val="00B160AC"/>
    <w:rsid w:val="00B16850"/>
    <w:rsid w:val="00B173B8"/>
    <w:rsid w:val="00B17427"/>
    <w:rsid w:val="00B17BAF"/>
    <w:rsid w:val="00B212B2"/>
    <w:rsid w:val="00B21320"/>
    <w:rsid w:val="00B21651"/>
    <w:rsid w:val="00B21ED3"/>
    <w:rsid w:val="00B23302"/>
    <w:rsid w:val="00B238FE"/>
    <w:rsid w:val="00B244B1"/>
    <w:rsid w:val="00B24AFE"/>
    <w:rsid w:val="00B25CA3"/>
    <w:rsid w:val="00B25F6D"/>
    <w:rsid w:val="00B264A5"/>
    <w:rsid w:val="00B264B5"/>
    <w:rsid w:val="00B264F0"/>
    <w:rsid w:val="00B26551"/>
    <w:rsid w:val="00B2686D"/>
    <w:rsid w:val="00B268EC"/>
    <w:rsid w:val="00B269C5"/>
    <w:rsid w:val="00B27D37"/>
    <w:rsid w:val="00B27E86"/>
    <w:rsid w:val="00B30B90"/>
    <w:rsid w:val="00B3129B"/>
    <w:rsid w:val="00B32084"/>
    <w:rsid w:val="00B323FE"/>
    <w:rsid w:val="00B3290C"/>
    <w:rsid w:val="00B3337D"/>
    <w:rsid w:val="00B33DE0"/>
    <w:rsid w:val="00B340DC"/>
    <w:rsid w:val="00B341F7"/>
    <w:rsid w:val="00B34D5A"/>
    <w:rsid w:val="00B34EDA"/>
    <w:rsid w:val="00B36F38"/>
    <w:rsid w:val="00B37218"/>
    <w:rsid w:val="00B37256"/>
    <w:rsid w:val="00B409BE"/>
    <w:rsid w:val="00B41004"/>
    <w:rsid w:val="00B4147E"/>
    <w:rsid w:val="00B42346"/>
    <w:rsid w:val="00B43577"/>
    <w:rsid w:val="00B435AD"/>
    <w:rsid w:val="00B43E75"/>
    <w:rsid w:val="00B44664"/>
    <w:rsid w:val="00B44DD4"/>
    <w:rsid w:val="00B45000"/>
    <w:rsid w:val="00B4561D"/>
    <w:rsid w:val="00B45EA9"/>
    <w:rsid w:val="00B461E8"/>
    <w:rsid w:val="00B464B4"/>
    <w:rsid w:val="00B467E8"/>
    <w:rsid w:val="00B51748"/>
    <w:rsid w:val="00B51F6A"/>
    <w:rsid w:val="00B5227D"/>
    <w:rsid w:val="00B52B06"/>
    <w:rsid w:val="00B53BFE"/>
    <w:rsid w:val="00B53C20"/>
    <w:rsid w:val="00B5500F"/>
    <w:rsid w:val="00B55079"/>
    <w:rsid w:val="00B55649"/>
    <w:rsid w:val="00B55822"/>
    <w:rsid w:val="00B55B24"/>
    <w:rsid w:val="00B56082"/>
    <w:rsid w:val="00B56367"/>
    <w:rsid w:val="00B56DAF"/>
    <w:rsid w:val="00B5706D"/>
    <w:rsid w:val="00B57198"/>
    <w:rsid w:val="00B57C2A"/>
    <w:rsid w:val="00B602EB"/>
    <w:rsid w:val="00B60392"/>
    <w:rsid w:val="00B60492"/>
    <w:rsid w:val="00B606D8"/>
    <w:rsid w:val="00B608AF"/>
    <w:rsid w:val="00B62267"/>
    <w:rsid w:val="00B625C4"/>
    <w:rsid w:val="00B62CC8"/>
    <w:rsid w:val="00B6308C"/>
    <w:rsid w:val="00B63296"/>
    <w:rsid w:val="00B63A21"/>
    <w:rsid w:val="00B63ECA"/>
    <w:rsid w:val="00B64579"/>
    <w:rsid w:val="00B6508B"/>
    <w:rsid w:val="00B65150"/>
    <w:rsid w:val="00B65231"/>
    <w:rsid w:val="00B65A8A"/>
    <w:rsid w:val="00B6646C"/>
    <w:rsid w:val="00B66759"/>
    <w:rsid w:val="00B66C99"/>
    <w:rsid w:val="00B66DBB"/>
    <w:rsid w:val="00B67506"/>
    <w:rsid w:val="00B6770D"/>
    <w:rsid w:val="00B67805"/>
    <w:rsid w:val="00B67831"/>
    <w:rsid w:val="00B67AC5"/>
    <w:rsid w:val="00B67E50"/>
    <w:rsid w:val="00B711D0"/>
    <w:rsid w:val="00B71B6E"/>
    <w:rsid w:val="00B71C60"/>
    <w:rsid w:val="00B72523"/>
    <w:rsid w:val="00B72771"/>
    <w:rsid w:val="00B74B10"/>
    <w:rsid w:val="00B74EBE"/>
    <w:rsid w:val="00B75437"/>
    <w:rsid w:val="00B75723"/>
    <w:rsid w:val="00B76A48"/>
    <w:rsid w:val="00B76F4B"/>
    <w:rsid w:val="00B77B26"/>
    <w:rsid w:val="00B804DF"/>
    <w:rsid w:val="00B80514"/>
    <w:rsid w:val="00B80933"/>
    <w:rsid w:val="00B81A59"/>
    <w:rsid w:val="00B82436"/>
    <w:rsid w:val="00B82999"/>
    <w:rsid w:val="00B83551"/>
    <w:rsid w:val="00B83927"/>
    <w:rsid w:val="00B83E6B"/>
    <w:rsid w:val="00B8406C"/>
    <w:rsid w:val="00B84421"/>
    <w:rsid w:val="00B84831"/>
    <w:rsid w:val="00B84B84"/>
    <w:rsid w:val="00B84BE9"/>
    <w:rsid w:val="00B84C9B"/>
    <w:rsid w:val="00B85023"/>
    <w:rsid w:val="00B85192"/>
    <w:rsid w:val="00B85207"/>
    <w:rsid w:val="00B85B45"/>
    <w:rsid w:val="00B85D29"/>
    <w:rsid w:val="00B860DE"/>
    <w:rsid w:val="00B86A87"/>
    <w:rsid w:val="00B86A9A"/>
    <w:rsid w:val="00B8799B"/>
    <w:rsid w:val="00B8EE10"/>
    <w:rsid w:val="00B900C3"/>
    <w:rsid w:val="00B91421"/>
    <w:rsid w:val="00B91538"/>
    <w:rsid w:val="00B9193B"/>
    <w:rsid w:val="00B93113"/>
    <w:rsid w:val="00B93D30"/>
    <w:rsid w:val="00B948AE"/>
    <w:rsid w:val="00B94C6C"/>
    <w:rsid w:val="00B94CA4"/>
    <w:rsid w:val="00B9550C"/>
    <w:rsid w:val="00B9551E"/>
    <w:rsid w:val="00B961DC"/>
    <w:rsid w:val="00B96680"/>
    <w:rsid w:val="00BA068A"/>
    <w:rsid w:val="00BA1213"/>
    <w:rsid w:val="00BA12BB"/>
    <w:rsid w:val="00BA2456"/>
    <w:rsid w:val="00BA2791"/>
    <w:rsid w:val="00BA3111"/>
    <w:rsid w:val="00BA469B"/>
    <w:rsid w:val="00BA4BDF"/>
    <w:rsid w:val="00BA50A4"/>
    <w:rsid w:val="00BA5AB7"/>
    <w:rsid w:val="00BA62D6"/>
    <w:rsid w:val="00BA658D"/>
    <w:rsid w:val="00BA6C5C"/>
    <w:rsid w:val="00BA7938"/>
    <w:rsid w:val="00BA7A83"/>
    <w:rsid w:val="00BB2374"/>
    <w:rsid w:val="00BB29F4"/>
    <w:rsid w:val="00BB2BAF"/>
    <w:rsid w:val="00BB41D1"/>
    <w:rsid w:val="00BB428B"/>
    <w:rsid w:val="00BB443E"/>
    <w:rsid w:val="00BB470C"/>
    <w:rsid w:val="00BB4A5B"/>
    <w:rsid w:val="00BB4E04"/>
    <w:rsid w:val="00BB4F2B"/>
    <w:rsid w:val="00BB528F"/>
    <w:rsid w:val="00BB5503"/>
    <w:rsid w:val="00BB5F0B"/>
    <w:rsid w:val="00BB6785"/>
    <w:rsid w:val="00BB681D"/>
    <w:rsid w:val="00BB76DF"/>
    <w:rsid w:val="00BB7B7A"/>
    <w:rsid w:val="00BB7BD5"/>
    <w:rsid w:val="00BC0905"/>
    <w:rsid w:val="00BC13BA"/>
    <w:rsid w:val="00BC16D9"/>
    <w:rsid w:val="00BC1AEB"/>
    <w:rsid w:val="00BC22DF"/>
    <w:rsid w:val="00BC2458"/>
    <w:rsid w:val="00BC27CA"/>
    <w:rsid w:val="00BC28C6"/>
    <w:rsid w:val="00BC28E0"/>
    <w:rsid w:val="00BC2D48"/>
    <w:rsid w:val="00BC2D7D"/>
    <w:rsid w:val="00BC2F3B"/>
    <w:rsid w:val="00BC3215"/>
    <w:rsid w:val="00BC3488"/>
    <w:rsid w:val="00BC4307"/>
    <w:rsid w:val="00BC45BB"/>
    <w:rsid w:val="00BC489B"/>
    <w:rsid w:val="00BC4F8F"/>
    <w:rsid w:val="00BC516D"/>
    <w:rsid w:val="00BC5357"/>
    <w:rsid w:val="00BC6070"/>
    <w:rsid w:val="00BC6248"/>
    <w:rsid w:val="00BC6440"/>
    <w:rsid w:val="00BC65F3"/>
    <w:rsid w:val="00BC66C1"/>
    <w:rsid w:val="00BC6B87"/>
    <w:rsid w:val="00BC7346"/>
    <w:rsid w:val="00BC7392"/>
    <w:rsid w:val="00BC7BC3"/>
    <w:rsid w:val="00BC7D06"/>
    <w:rsid w:val="00BD045D"/>
    <w:rsid w:val="00BD0866"/>
    <w:rsid w:val="00BD1197"/>
    <w:rsid w:val="00BD1579"/>
    <w:rsid w:val="00BD1CBE"/>
    <w:rsid w:val="00BD1EBF"/>
    <w:rsid w:val="00BD24FD"/>
    <w:rsid w:val="00BD285E"/>
    <w:rsid w:val="00BD303B"/>
    <w:rsid w:val="00BD309C"/>
    <w:rsid w:val="00BD3178"/>
    <w:rsid w:val="00BD3522"/>
    <w:rsid w:val="00BD3C96"/>
    <w:rsid w:val="00BD3E47"/>
    <w:rsid w:val="00BD43E0"/>
    <w:rsid w:val="00BD4472"/>
    <w:rsid w:val="00BD46E0"/>
    <w:rsid w:val="00BD559D"/>
    <w:rsid w:val="00BD66FB"/>
    <w:rsid w:val="00BD7469"/>
    <w:rsid w:val="00BD7B82"/>
    <w:rsid w:val="00BE100B"/>
    <w:rsid w:val="00BE193E"/>
    <w:rsid w:val="00BE1CAF"/>
    <w:rsid w:val="00BE1EDE"/>
    <w:rsid w:val="00BE2758"/>
    <w:rsid w:val="00BE35B9"/>
    <w:rsid w:val="00BE3BC4"/>
    <w:rsid w:val="00BE3F36"/>
    <w:rsid w:val="00BE4213"/>
    <w:rsid w:val="00BE440A"/>
    <w:rsid w:val="00BE4814"/>
    <w:rsid w:val="00BE57DA"/>
    <w:rsid w:val="00BE5B41"/>
    <w:rsid w:val="00BE627A"/>
    <w:rsid w:val="00BE63D7"/>
    <w:rsid w:val="00BE661A"/>
    <w:rsid w:val="00BE78F8"/>
    <w:rsid w:val="00BE7B2F"/>
    <w:rsid w:val="00BE7CE9"/>
    <w:rsid w:val="00BF020A"/>
    <w:rsid w:val="00BF0C95"/>
    <w:rsid w:val="00BF1434"/>
    <w:rsid w:val="00BF2534"/>
    <w:rsid w:val="00BF2A04"/>
    <w:rsid w:val="00BF31A6"/>
    <w:rsid w:val="00BF3A35"/>
    <w:rsid w:val="00BF416D"/>
    <w:rsid w:val="00BF4976"/>
    <w:rsid w:val="00BF5059"/>
    <w:rsid w:val="00BF521B"/>
    <w:rsid w:val="00BF52CF"/>
    <w:rsid w:val="00BF78D3"/>
    <w:rsid w:val="00BF79DC"/>
    <w:rsid w:val="00BF7BD5"/>
    <w:rsid w:val="00C0061C"/>
    <w:rsid w:val="00C0132B"/>
    <w:rsid w:val="00C02645"/>
    <w:rsid w:val="00C02D90"/>
    <w:rsid w:val="00C0324A"/>
    <w:rsid w:val="00C0337F"/>
    <w:rsid w:val="00C03B25"/>
    <w:rsid w:val="00C043C1"/>
    <w:rsid w:val="00C044EC"/>
    <w:rsid w:val="00C0456C"/>
    <w:rsid w:val="00C053A1"/>
    <w:rsid w:val="00C058B3"/>
    <w:rsid w:val="00C069A2"/>
    <w:rsid w:val="00C06A1B"/>
    <w:rsid w:val="00C0790D"/>
    <w:rsid w:val="00C07F76"/>
    <w:rsid w:val="00C10082"/>
    <w:rsid w:val="00C1108E"/>
    <w:rsid w:val="00C11600"/>
    <w:rsid w:val="00C116A2"/>
    <w:rsid w:val="00C12ADD"/>
    <w:rsid w:val="00C132CE"/>
    <w:rsid w:val="00C1417C"/>
    <w:rsid w:val="00C14792"/>
    <w:rsid w:val="00C14916"/>
    <w:rsid w:val="00C14F39"/>
    <w:rsid w:val="00C152A8"/>
    <w:rsid w:val="00C15788"/>
    <w:rsid w:val="00C1721F"/>
    <w:rsid w:val="00C17755"/>
    <w:rsid w:val="00C1797F"/>
    <w:rsid w:val="00C179DA"/>
    <w:rsid w:val="00C200B7"/>
    <w:rsid w:val="00C206AA"/>
    <w:rsid w:val="00C207FE"/>
    <w:rsid w:val="00C20BD5"/>
    <w:rsid w:val="00C20D5C"/>
    <w:rsid w:val="00C210CA"/>
    <w:rsid w:val="00C223B6"/>
    <w:rsid w:val="00C22531"/>
    <w:rsid w:val="00C22BAD"/>
    <w:rsid w:val="00C23ABC"/>
    <w:rsid w:val="00C242F2"/>
    <w:rsid w:val="00C254FF"/>
    <w:rsid w:val="00C26192"/>
    <w:rsid w:val="00C26624"/>
    <w:rsid w:val="00C278BC"/>
    <w:rsid w:val="00C278F9"/>
    <w:rsid w:val="00C30C59"/>
    <w:rsid w:val="00C31771"/>
    <w:rsid w:val="00C3177B"/>
    <w:rsid w:val="00C32D3A"/>
    <w:rsid w:val="00C32EC4"/>
    <w:rsid w:val="00C335DF"/>
    <w:rsid w:val="00C343A2"/>
    <w:rsid w:val="00C34894"/>
    <w:rsid w:val="00C3587B"/>
    <w:rsid w:val="00C35DE1"/>
    <w:rsid w:val="00C36486"/>
    <w:rsid w:val="00C36E95"/>
    <w:rsid w:val="00C371FE"/>
    <w:rsid w:val="00C373D5"/>
    <w:rsid w:val="00C37843"/>
    <w:rsid w:val="00C3795C"/>
    <w:rsid w:val="00C37A20"/>
    <w:rsid w:val="00C40187"/>
    <w:rsid w:val="00C41A3D"/>
    <w:rsid w:val="00C42410"/>
    <w:rsid w:val="00C42757"/>
    <w:rsid w:val="00C431B0"/>
    <w:rsid w:val="00C43F6C"/>
    <w:rsid w:val="00C4526E"/>
    <w:rsid w:val="00C4548C"/>
    <w:rsid w:val="00C45ABE"/>
    <w:rsid w:val="00C468AA"/>
    <w:rsid w:val="00C46C7D"/>
    <w:rsid w:val="00C46EE5"/>
    <w:rsid w:val="00C471B5"/>
    <w:rsid w:val="00C47F09"/>
    <w:rsid w:val="00C505A7"/>
    <w:rsid w:val="00C50794"/>
    <w:rsid w:val="00C50B89"/>
    <w:rsid w:val="00C50C93"/>
    <w:rsid w:val="00C51E77"/>
    <w:rsid w:val="00C5235E"/>
    <w:rsid w:val="00C524AA"/>
    <w:rsid w:val="00C534CA"/>
    <w:rsid w:val="00C5451E"/>
    <w:rsid w:val="00C54689"/>
    <w:rsid w:val="00C54EE5"/>
    <w:rsid w:val="00C55010"/>
    <w:rsid w:val="00C5583D"/>
    <w:rsid w:val="00C55FAB"/>
    <w:rsid w:val="00C565A8"/>
    <w:rsid w:val="00C566D8"/>
    <w:rsid w:val="00C56F7D"/>
    <w:rsid w:val="00C57523"/>
    <w:rsid w:val="00C57A41"/>
    <w:rsid w:val="00C60FAD"/>
    <w:rsid w:val="00C61715"/>
    <w:rsid w:val="00C62781"/>
    <w:rsid w:val="00C62E18"/>
    <w:rsid w:val="00C62F3A"/>
    <w:rsid w:val="00C63419"/>
    <w:rsid w:val="00C63D87"/>
    <w:rsid w:val="00C63DC1"/>
    <w:rsid w:val="00C63E53"/>
    <w:rsid w:val="00C65013"/>
    <w:rsid w:val="00C6586F"/>
    <w:rsid w:val="00C65F26"/>
    <w:rsid w:val="00C6636F"/>
    <w:rsid w:val="00C6642B"/>
    <w:rsid w:val="00C66790"/>
    <w:rsid w:val="00C6725E"/>
    <w:rsid w:val="00C678D6"/>
    <w:rsid w:val="00C70883"/>
    <w:rsid w:val="00C7095B"/>
    <w:rsid w:val="00C71CAC"/>
    <w:rsid w:val="00C71F4B"/>
    <w:rsid w:val="00C72049"/>
    <w:rsid w:val="00C726E9"/>
    <w:rsid w:val="00C7273B"/>
    <w:rsid w:val="00C72BAE"/>
    <w:rsid w:val="00C73641"/>
    <w:rsid w:val="00C74180"/>
    <w:rsid w:val="00C742C8"/>
    <w:rsid w:val="00C74B08"/>
    <w:rsid w:val="00C74B52"/>
    <w:rsid w:val="00C757C5"/>
    <w:rsid w:val="00C75864"/>
    <w:rsid w:val="00C75FBA"/>
    <w:rsid w:val="00C760D2"/>
    <w:rsid w:val="00C764EE"/>
    <w:rsid w:val="00C76B59"/>
    <w:rsid w:val="00C7727D"/>
    <w:rsid w:val="00C77344"/>
    <w:rsid w:val="00C77A05"/>
    <w:rsid w:val="00C81011"/>
    <w:rsid w:val="00C8127A"/>
    <w:rsid w:val="00C81B3A"/>
    <w:rsid w:val="00C81C47"/>
    <w:rsid w:val="00C81F88"/>
    <w:rsid w:val="00C82169"/>
    <w:rsid w:val="00C822EA"/>
    <w:rsid w:val="00C831B6"/>
    <w:rsid w:val="00C83688"/>
    <w:rsid w:val="00C844FE"/>
    <w:rsid w:val="00C8479A"/>
    <w:rsid w:val="00C84E89"/>
    <w:rsid w:val="00C850FC"/>
    <w:rsid w:val="00C873AC"/>
    <w:rsid w:val="00C8766F"/>
    <w:rsid w:val="00C878C2"/>
    <w:rsid w:val="00C90076"/>
    <w:rsid w:val="00C9061F"/>
    <w:rsid w:val="00C908A8"/>
    <w:rsid w:val="00C90A51"/>
    <w:rsid w:val="00C90FE7"/>
    <w:rsid w:val="00C91737"/>
    <w:rsid w:val="00C9173C"/>
    <w:rsid w:val="00C91D22"/>
    <w:rsid w:val="00C92906"/>
    <w:rsid w:val="00C92DA0"/>
    <w:rsid w:val="00C9390F"/>
    <w:rsid w:val="00C94BC6"/>
    <w:rsid w:val="00C951CE"/>
    <w:rsid w:val="00C95784"/>
    <w:rsid w:val="00C95CE7"/>
    <w:rsid w:val="00C96191"/>
    <w:rsid w:val="00C97CE8"/>
    <w:rsid w:val="00CA0186"/>
    <w:rsid w:val="00CA08F0"/>
    <w:rsid w:val="00CA094B"/>
    <w:rsid w:val="00CA261B"/>
    <w:rsid w:val="00CA272E"/>
    <w:rsid w:val="00CA2AA1"/>
    <w:rsid w:val="00CA2D3A"/>
    <w:rsid w:val="00CA32C2"/>
    <w:rsid w:val="00CA3A68"/>
    <w:rsid w:val="00CA3B0B"/>
    <w:rsid w:val="00CA439C"/>
    <w:rsid w:val="00CA5BD6"/>
    <w:rsid w:val="00CA77C9"/>
    <w:rsid w:val="00CA78B8"/>
    <w:rsid w:val="00CB051C"/>
    <w:rsid w:val="00CB068A"/>
    <w:rsid w:val="00CB1159"/>
    <w:rsid w:val="00CB1C20"/>
    <w:rsid w:val="00CB1CAA"/>
    <w:rsid w:val="00CB1E46"/>
    <w:rsid w:val="00CB25BC"/>
    <w:rsid w:val="00CB3981"/>
    <w:rsid w:val="00CB3B0C"/>
    <w:rsid w:val="00CB4D55"/>
    <w:rsid w:val="00CB6062"/>
    <w:rsid w:val="00CB66FD"/>
    <w:rsid w:val="00CB6C08"/>
    <w:rsid w:val="00CB7D3E"/>
    <w:rsid w:val="00CB7E1B"/>
    <w:rsid w:val="00CB7FA9"/>
    <w:rsid w:val="00CBAEF9"/>
    <w:rsid w:val="00CC094D"/>
    <w:rsid w:val="00CC1229"/>
    <w:rsid w:val="00CC3212"/>
    <w:rsid w:val="00CC3264"/>
    <w:rsid w:val="00CC3B98"/>
    <w:rsid w:val="00CC4333"/>
    <w:rsid w:val="00CC4A5E"/>
    <w:rsid w:val="00CC5D75"/>
    <w:rsid w:val="00CC6EC8"/>
    <w:rsid w:val="00CC6F50"/>
    <w:rsid w:val="00CC6FBD"/>
    <w:rsid w:val="00CC73BF"/>
    <w:rsid w:val="00CC75AE"/>
    <w:rsid w:val="00CC7898"/>
    <w:rsid w:val="00CC7CF1"/>
    <w:rsid w:val="00CD071E"/>
    <w:rsid w:val="00CD077B"/>
    <w:rsid w:val="00CD0DCA"/>
    <w:rsid w:val="00CD1CDE"/>
    <w:rsid w:val="00CD20A9"/>
    <w:rsid w:val="00CD3832"/>
    <w:rsid w:val="00CD5CD2"/>
    <w:rsid w:val="00CD5CD7"/>
    <w:rsid w:val="00CD5EE1"/>
    <w:rsid w:val="00CD6539"/>
    <w:rsid w:val="00CD6613"/>
    <w:rsid w:val="00CD7F9F"/>
    <w:rsid w:val="00CE15FE"/>
    <w:rsid w:val="00CE1F73"/>
    <w:rsid w:val="00CE25EC"/>
    <w:rsid w:val="00CE2690"/>
    <w:rsid w:val="00CE2955"/>
    <w:rsid w:val="00CE33B7"/>
    <w:rsid w:val="00CE3CC8"/>
    <w:rsid w:val="00CE401A"/>
    <w:rsid w:val="00CE4663"/>
    <w:rsid w:val="00CE5ED7"/>
    <w:rsid w:val="00CE6473"/>
    <w:rsid w:val="00CE6540"/>
    <w:rsid w:val="00CE717B"/>
    <w:rsid w:val="00CE7FE8"/>
    <w:rsid w:val="00CF0226"/>
    <w:rsid w:val="00CF05A0"/>
    <w:rsid w:val="00CF11C0"/>
    <w:rsid w:val="00CF1683"/>
    <w:rsid w:val="00CF17D4"/>
    <w:rsid w:val="00CF25EA"/>
    <w:rsid w:val="00CF2BA3"/>
    <w:rsid w:val="00CF2F01"/>
    <w:rsid w:val="00CF45ED"/>
    <w:rsid w:val="00CF4D08"/>
    <w:rsid w:val="00CF53F4"/>
    <w:rsid w:val="00CF628B"/>
    <w:rsid w:val="00CF6902"/>
    <w:rsid w:val="00CF6D41"/>
    <w:rsid w:val="00CF6F5D"/>
    <w:rsid w:val="00CF799B"/>
    <w:rsid w:val="00D008FA"/>
    <w:rsid w:val="00D00E95"/>
    <w:rsid w:val="00D016C5"/>
    <w:rsid w:val="00D01BF8"/>
    <w:rsid w:val="00D01C66"/>
    <w:rsid w:val="00D020B4"/>
    <w:rsid w:val="00D02306"/>
    <w:rsid w:val="00D023FB"/>
    <w:rsid w:val="00D0261E"/>
    <w:rsid w:val="00D03133"/>
    <w:rsid w:val="00D032F2"/>
    <w:rsid w:val="00D03311"/>
    <w:rsid w:val="00D03A80"/>
    <w:rsid w:val="00D040F2"/>
    <w:rsid w:val="00D05199"/>
    <w:rsid w:val="00D051F1"/>
    <w:rsid w:val="00D06634"/>
    <w:rsid w:val="00D0745F"/>
    <w:rsid w:val="00D07717"/>
    <w:rsid w:val="00D10020"/>
    <w:rsid w:val="00D103C1"/>
    <w:rsid w:val="00D114AC"/>
    <w:rsid w:val="00D119D3"/>
    <w:rsid w:val="00D11E65"/>
    <w:rsid w:val="00D12070"/>
    <w:rsid w:val="00D12083"/>
    <w:rsid w:val="00D1257C"/>
    <w:rsid w:val="00D12F61"/>
    <w:rsid w:val="00D13010"/>
    <w:rsid w:val="00D13BAF"/>
    <w:rsid w:val="00D14304"/>
    <w:rsid w:val="00D14804"/>
    <w:rsid w:val="00D14FC3"/>
    <w:rsid w:val="00D153A3"/>
    <w:rsid w:val="00D1541C"/>
    <w:rsid w:val="00D156D9"/>
    <w:rsid w:val="00D16195"/>
    <w:rsid w:val="00D165FD"/>
    <w:rsid w:val="00D16E18"/>
    <w:rsid w:val="00D171E0"/>
    <w:rsid w:val="00D172C3"/>
    <w:rsid w:val="00D17C29"/>
    <w:rsid w:val="00D17C81"/>
    <w:rsid w:val="00D201C6"/>
    <w:rsid w:val="00D20444"/>
    <w:rsid w:val="00D20CEF"/>
    <w:rsid w:val="00D20DA9"/>
    <w:rsid w:val="00D21323"/>
    <w:rsid w:val="00D21AFB"/>
    <w:rsid w:val="00D21F35"/>
    <w:rsid w:val="00D2204B"/>
    <w:rsid w:val="00D2232E"/>
    <w:rsid w:val="00D2286B"/>
    <w:rsid w:val="00D22CC2"/>
    <w:rsid w:val="00D2356B"/>
    <w:rsid w:val="00D240E1"/>
    <w:rsid w:val="00D25806"/>
    <w:rsid w:val="00D2742A"/>
    <w:rsid w:val="00D30250"/>
    <w:rsid w:val="00D312F6"/>
    <w:rsid w:val="00D31563"/>
    <w:rsid w:val="00D31E00"/>
    <w:rsid w:val="00D3256D"/>
    <w:rsid w:val="00D32BEA"/>
    <w:rsid w:val="00D3449C"/>
    <w:rsid w:val="00D34D6D"/>
    <w:rsid w:val="00D36210"/>
    <w:rsid w:val="00D36A00"/>
    <w:rsid w:val="00D36C14"/>
    <w:rsid w:val="00D36CD2"/>
    <w:rsid w:val="00D36DD6"/>
    <w:rsid w:val="00D37092"/>
    <w:rsid w:val="00D370CE"/>
    <w:rsid w:val="00D37135"/>
    <w:rsid w:val="00D37B86"/>
    <w:rsid w:val="00D41026"/>
    <w:rsid w:val="00D411F2"/>
    <w:rsid w:val="00D415A2"/>
    <w:rsid w:val="00D41922"/>
    <w:rsid w:val="00D42737"/>
    <w:rsid w:val="00D42DC4"/>
    <w:rsid w:val="00D4319A"/>
    <w:rsid w:val="00D4324F"/>
    <w:rsid w:val="00D446CE"/>
    <w:rsid w:val="00D44E77"/>
    <w:rsid w:val="00D4500C"/>
    <w:rsid w:val="00D45E8C"/>
    <w:rsid w:val="00D50245"/>
    <w:rsid w:val="00D50486"/>
    <w:rsid w:val="00D508B8"/>
    <w:rsid w:val="00D50B22"/>
    <w:rsid w:val="00D50EFE"/>
    <w:rsid w:val="00D51180"/>
    <w:rsid w:val="00D5130C"/>
    <w:rsid w:val="00D5175F"/>
    <w:rsid w:val="00D5191F"/>
    <w:rsid w:val="00D51AAF"/>
    <w:rsid w:val="00D52427"/>
    <w:rsid w:val="00D52743"/>
    <w:rsid w:val="00D533E7"/>
    <w:rsid w:val="00D53B1E"/>
    <w:rsid w:val="00D53D91"/>
    <w:rsid w:val="00D53E3A"/>
    <w:rsid w:val="00D53F11"/>
    <w:rsid w:val="00D53F47"/>
    <w:rsid w:val="00D54627"/>
    <w:rsid w:val="00D55433"/>
    <w:rsid w:val="00D555EF"/>
    <w:rsid w:val="00D561B4"/>
    <w:rsid w:val="00D570B4"/>
    <w:rsid w:val="00D60502"/>
    <w:rsid w:val="00D607B6"/>
    <w:rsid w:val="00D638E0"/>
    <w:rsid w:val="00D63F5A"/>
    <w:rsid w:val="00D641FA"/>
    <w:rsid w:val="00D6451A"/>
    <w:rsid w:val="00D649BF"/>
    <w:rsid w:val="00D64AC0"/>
    <w:rsid w:val="00D64FE3"/>
    <w:rsid w:val="00D65429"/>
    <w:rsid w:val="00D65928"/>
    <w:rsid w:val="00D70B8F"/>
    <w:rsid w:val="00D710EE"/>
    <w:rsid w:val="00D716BA"/>
    <w:rsid w:val="00D72125"/>
    <w:rsid w:val="00D72C75"/>
    <w:rsid w:val="00D72EEC"/>
    <w:rsid w:val="00D74106"/>
    <w:rsid w:val="00D74601"/>
    <w:rsid w:val="00D74DC6"/>
    <w:rsid w:val="00D74E01"/>
    <w:rsid w:val="00D7516F"/>
    <w:rsid w:val="00D759B0"/>
    <w:rsid w:val="00D77AFA"/>
    <w:rsid w:val="00D81C80"/>
    <w:rsid w:val="00D81E21"/>
    <w:rsid w:val="00D81E93"/>
    <w:rsid w:val="00D82C39"/>
    <w:rsid w:val="00D82C61"/>
    <w:rsid w:val="00D83F71"/>
    <w:rsid w:val="00D8404D"/>
    <w:rsid w:val="00D8503D"/>
    <w:rsid w:val="00D85CB1"/>
    <w:rsid w:val="00D863ED"/>
    <w:rsid w:val="00D873BE"/>
    <w:rsid w:val="00D87C12"/>
    <w:rsid w:val="00D87F46"/>
    <w:rsid w:val="00D87F72"/>
    <w:rsid w:val="00D87F82"/>
    <w:rsid w:val="00D90F5C"/>
    <w:rsid w:val="00D91823"/>
    <w:rsid w:val="00D926C3"/>
    <w:rsid w:val="00D92B2C"/>
    <w:rsid w:val="00D93197"/>
    <w:rsid w:val="00D93F71"/>
    <w:rsid w:val="00D94B33"/>
    <w:rsid w:val="00D9680C"/>
    <w:rsid w:val="00DA05DB"/>
    <w:rsid w:val="00DA0C18"/>
    <w:rsid w:val="00DA0CEF"/>
    <w:rsid w:val="00DA2070"/>
    <w:rsid w:val="00DA274A"/>
    <w:rsid w:val="00DA2816"/>
    <w:rsid w:val="00DA2AC6"/>
    <w:rsid w:val="00DA2B1A"/>
    <w:rsid w:val="00DA2C82"/>
    <w:rsid w:val="00DA2CD8"/>
    <w:rsid w:val="00DA361B"/>
    <w:rsid w:val="00DA5C46"/>
    <w:rsid w:val="00DA6CEE"/>
    <w:rsid w:val="00DA70A0"/>
    <w:rsid w:val="00DA71EA"/>
    <w:rsid w:val="00DA7AD3"/>
    <w:rsid w:val="00DB04F5"/>
    <w:rsid w:val="00DB0547"/>
    <w:rsid w:val="00DB0659"/>
    <w:rsid w:val="00DB11DF"/>
    <w:rsid w:val="00DB170D"/>
    <w:rsid w:val="00DB17FA"/>
    <w:rsid w:val="00DB34C2"/>
    <w:rsid w:val="00DB43D4"/>
    <w:rsid w:val="00DB4567"/>
    <w:rsid w:val="00DB4785"/>
    <w:rsid w:val="00DB4CF5"/>
    <w:rsid w:val="00DB5951"/>
    <w:rsid w:val="00DB650E"/>
    <w:rsid w:val="00DB6713"/>
    <w:rsid w:val="00DB6DED"/>
    <w:rsid w:val="00DB71B5"/>
    <w:rsid w:val="00DB7B33"/>
    <w:rsid w:val="00DB7C39"/>
    <w:rsid w:val="00DBCD5E"/>
    <w:rsid w:val="00DC0059"/>
    <w:rsid w:val="00DC0123"/>
    <w:rsid w:val="00DC0538"/>
    <w:rsid w:val="00DC107B"/>
    <w:rsid w:val="00DC1136"/>
    <w:rsid w:val="00DC18F8"/>
    <w:rsid w:val="00DC2812"/>
    <w:rsid w:val="00DC2952"/>
    <w:rsid w:val="00DC39D8"/>
    <w:rsid w:val="00DC3FAB"/>
    <w:rsid w:val="00DC4A10"/>
    <w:rsid w:val="00DC502E"/>
    <w:rsid w:val="00DC6799"/>
    <w:rsid w:val="00DC6AC2"/>
    <w:rsid w:val="00DC7925"/>
    <w:rsid w:val="00DD0723"/>
    <w:rsid w:val="00DD0867"/>
    <w:rsid w:val="00DD246E"/>
    <w:rsid w:val="00DD2554"/>
    <w:rsid w:val="00DD2AC8"/>
    <w:rsid w:val="00DD2BB0"/>
    <w:rsid w:val="00DD4163"/>
    <w:rsid w:val="00DD4BD0"/>
    <w:rsid w:val="00DD4C33"/>
    <w:rsid w:val="00DD4F07"/>
    <w:rsid w:val="00DD53F5"/>
    <w:rsid w:val="00DD596A"/>
    <w:rsid w:val="00DD5F18"/>
    <w:rsid w:val="00DD5F47"/>
    <w:rsid w:val="00DD5FA5"/>
    <w:rsid w:val="00DD6663"/>
    <w:rsid w:val="00DD73F2"/>
    <w:rsid w:val="00DD781E"/>
    <w:rsid w:val="00DE0E4A"/>
    <w:rsid w:val="00DE266C"/>
    <w:rsid w:val="00DE2C4A"/>
    <w:rsid w:val="00DE311B"/>
    <w:rsid w:val="00DE48D1"/>
    <w:rsid w:val="00DE4914"/>
    <w:rsid w:val="00DE4A4B"/>
    <w:rsid w:val="00DE4F3F"/>
    <w:rsid w:val="00DE582F"/>
    <w:rsid w:val="00DE5974"/>
    <w:rsid w:val="00DE5C80"/>
    <w:rsid w:val="00DE5E5B"/>
    <w:rsid w:val="00DE5FB4"/>
    <w:rsid w:val="00DE74EF"/>
    <w:rsid w:val="00DF02C5"/>
    <w:rsid w:val="00DF0326"/>
    <w:rsid w:val="00DF12CA"/>
    <w:rsid w:val="00DF1AB7"/>
    <w:rsid w:val="00DF2B65"/>
    <w:rsid w:val="00DF3582"/>
    <w:rsid w:val="00DF3C21"/>
    <w:rsid w:val="00DF3E2E"/>
    <w:rsid w:val="00DF3FB6"/>
    <w:rsid w:val="00DF45B3"/>
    <w:rsid w:val="00DF4967"/>
    <w:rsid w:val="00DF4C0E"/>
    <w:rsid w:val="00DF4E4E"/>
    <w:rsid w:val="00DF5C16"/>
    <w:rsid w:val="00DF5DE7"/>
    <w:rsid w:val="00DF5E45"/>
    <w:rsid w:val="00DF6955"/>
    <w:rsid w:val="00DF6C69"/>
    <w:rsid w:val="00DF7EBA"/>
    <w:rsid w:val="00DF7EBF"/>
    <w:rsid w:val="00E003F9"/>
    <w:rsid w:val="00E004E7"/>
    <w:rsid w:val="00E014F0"/>
    <w:rsid w:val="00E02BFB"/>
    <w:rsid w:val="00E02CF2"/>
    <w:rsid w:val="00E02D12"/>
    <w:rsid w:val="00E0343F"/>
    <w:rsid w:val="00E036C0"/>
    <w:rsid w:val="00E04919"/>
    <w:rsid w:val="00E04F76"/>
    <w:rsid w:val="00E0543F"/>
    <w:rsid w:val="00E05C7C"/>
    <w:rsid w:val="00E05E40"/>
    <w:rsid w:val="00E07048"/>
    <w:rsid w:val="00E07435"/>
    <w:rsid w:val="00E076B2"/>
    <w:rsid w:val="00E07C02"/>
    <w:rsid w:val="00E101D3"/>
    <w:rsid w:val="00E10BD4"/>
    <w:rsid w:val="00E123DB"/>
    <w:rsid w:val="00E125B6"/>
    <w:rsid w:val="00E12625"/>
    <w:rsid w:val="00E12725"/>
    <w:rsid w:val="00E12A31"/>
    <w:rsid w:val="00E12B06"/>
    <w:rsid w:val="00E13C51"/>
    <w:rsid w:val="00E13D59"/>
    <w:rsid w:val="00E14347"/>
    <w:rsid w:val="00E14BF5"/>
    <w:rsid w:val="00E14FE7"/>
    <w:rsid w:val="00E15585"/>
    <w:rsid w:val="00E15BF6"/>
    <w:rsid w:val="00E15C0D"/>
    <w:rsid w:val="00E1687F"/>
    <w:rsid w:val="00E168F0"/>
    <w:rsid w:val="00E1704F"/>
    <w:rsid w:val="00E179B7"/>
    <w:rsid w:val="00E17DAF"/>
    <w:rsid w:val="00E17DD1"/>
    <w:rsid w:val="00E20188"/>
    <w:rsid w:val="00E204A8"/>
    <w:rsid w:val="00E21690"/>
    <w:rsid w:val="00E217CD"/>
    <w:rsid w:val="00E22191"/>
    <w:rsid w:val="00E22428"/>
    <w:rsid w:val="00E22573"/>
    <w:rsid w:val="00E2324F"/>
    <w:rsid w:val="00E23887"/>
    <w:rsid w:val="00E23D0E"/>
    <w:rsid w:val="00E23F47"/>
    <w:rsid w:val="00E24094"/>
    <w:rsid w:val="00E241DC"/>
    <w:rsid w:val="00E25FE2"/>
    <w:rsid w:val="00E26267"/>
    <w:rsid w:val="00E26537"/>
    <w:rsid w:val="00E2696B"/>
    <w:rsid w:val="00E26AD3"/>
    <w:rsid w:val="00E27057"/>
    <w:rsid w:val="00E270E5"/>
    <w:rsid w:val="00E276BC"/>
    <w:rsid w:val="00E276FB"/>
    <w:rsid w:val="00E27885"/>
    <w:rsid w:val="00E30C34"/>
    <w:rsid w:val="00E30D19"/>
    <w:rsid w:val="00E30D69"/>
    <w:rsid w:val="00E31F49"/>
    <w:rsid w:val="00E32E10"/>
    <w:rsid w:val="00E32FCD"/>
    <w:rsid w:val="00E33120"/>
    <w:rsid w:val="00E33EB9"/>
    <w:rsid w:val="00E34357"/>
    <w:rsid w:val="00E35864"/>
    <w:rsid w:val="00E3640D"/>
    <w:rsid w:val="00E3701D"/>
    <w:rsid w:val="00E37022"/>
    <w:rsid w:val="00E40201"/>
    <w:rsid w:val="00E404B5"/>
    <w:rsid w:val="00E40D10"/>
    <w:rsid w:val="00E41291"/>
    <w:rsid w:val="00E41985"/>
    <w:rsid w:val="00E42039"/>
    <w:rsid w:val="00E42048"/>
    <w:rsid w:val="00E427D8"/>
    <w:rsid w:val="00E42EBF"/>
    <w:rsid w:val="00E43569"/>
    <w:rsid w:val="00E4381C"/>
    <w:rsid w:val="00E43889"/>
    <w:rsid w:val="00E44817"/>
    <w:rsid w:val="00E44865"/>
    <w:rsid w:val="00E45941"/>
    <w:rsid w:val="00E478FD"/>
    <w:rsid w:val="00E5002F"/>
    <w:rsid w:val="00E5012C"/>
    <w:rsid w:val="00E51313"/>
    <w:rsid w:val="00E51BFB"/>
    <w:rsid w:val="00E51C9F"/>
    <w:rsid w:val="00E51DD1"/>
    <w:rsid w:val="00E520EE"/>
    <w:rsid w:val="00E5210B"/>
    <w:rsid w:val="00E5255F"/>
    <w:rsid w:val="00E52BA3"/>
    <w:rsid w:val="00E53186"/>
    <w:rsid w:val="00E54005"/>
    <w:rsid w:val="00E5459E"/>
    <w:rsid w:val="00E54AF7"/>
    <w:rsid w:val="00E550E3"/>
    <w:rsid w:val="00E558F7"/>
    <w:rsid w:val="00E55AB9"/>
    <w:rsid w:val="00E55B8A"/>
    <w:rsid w:val="00E56332"/>
    <w:rsid w:val="00E60D78"/>
    <w:rsid w:val="00E6293F"/>
    <w:rsid w:val="00E6297B"/>
    <w:rsid w:val="00E64B12"/>
    <w:rsid w:val="00E65BF6"/>
    <w:rsid w:val="00E663F4"/>
    <w:rsid w:val="00E66E7F"/>
    <w:rsid w:val="00E673ED"/>
    <w:rsid w:val="00E7007D"/>
    <w:rsid w:val="00E70502"/>
    <w:rsid w:val="00E708FF"/>
    <w:rsid w:val="00E71542"/>
    <w:rsid w:val="00E71705"/>
    <w:rsid w:val="00E71CB9"/>
    <w:rsid w:val="00E722A7"/>
    <w:rsid w:val="00E72CE7"/>
    <w:rsid w:val="00E73698"/>
    <w:rsid w:val="00E73A93"/>
    <w:rsid w:val="00E73F60"/>
    <w:rsid w:val="00E7447F"/>
    <w:rsid w:val="00E74981"/>
    <w:rsid w:val="00E74C41"/>
    <w:rsid w:val="00E74E29"/>
    <w:rsid w:val="00E75202"/>
    <w:rsid w:val="00E75BC1"/>
    <w:rsid w:val="00E75BE3"/>
    <w:rsid w:val="00E76299"/>
    <w:rsid w:val="00E766D1"/>
    <w:rsid w:val="00E7682F"/>
    <w:rsid w:val="00E77438"/>
    <w:rsid w:val="00E77E23"/>
    <w:rsid w:val="00E80DDD"/>
    <w:rsid w:val="00E81212"/>
    <w:rsid w:val="00E81783"/>
    <w:rsid w:val="00E81C1E"/>
    <w:rsid w:val="00E82114"/>
    <w:rsid w:val="00E8251C"/>
    <w:rsid w:val="00E82BD3"/>
    <w:rsid w:val="00E8411C"/>
    <w:rsid w:val="00E844A0"/>
    <w:rsid w:val="00E845B4"/>
    <w:rsid w:val="00E84D29"/>
    <w:rsid w:val="00E85FEE"/>
    <w:rsid w:val="00E866D9"/>
    <w:rsid w:val="00E86EC9"/>
    <w:rsid w:val="00E86F8F"/>
    <w:rsid w:val="00E8759A"/>
    <w:rsid w:val="00E9003A"/>
    <w:rsid w:val="00E92B68"/>
    <w:rsid w:val="00E92EC8"/>
    <w:rsid w:val="00E93443"/>
    <w:rsid w:val="00E93690"/>
    <w:rsid w:val="00E939EB"/>
    <w:rsid w:val="00E94910"/>
    <w:rsid w:val="00E95AF0"/>
    <w:rsid w:val="00E95DB6"/>
    <w:rsid w:val="00E96291"/>
    <w:rsid w:val="00E96BF2"/>
    <w:rsid w:val="00E9734A"/>
    <w:rsid w:val="00E977B5"/>
    <w:rsid w:val="00EA04A8"/>
    <w:rsid w:val="00EA0C9A"/>
    <w:rsid w:val="00EA0F6D"/>
    <w:rsid w:val="00EA1509"/>
    <w:rsid w:val="00EA2270"/>
    <w:rsid w:val="00EA2EE3"/>
    <w:rsid w:val="00EA2FBF"/>
    <w:rsid w:val="00EA3440"/>
    <w:rsid w:val="00EA34A8"/>
    <w:rsid w:val="00EA3BDE"/>
    <w:rsid w:val="00EA5990"/>
    <w:rsid w:val="00EA63CE"/>
    <w:rsid w:val="00EA732C"/>
    <w:rsid w:val="00EB025B"/>
    <w:rsid w:val="00EB0AFA"/>
    <w:rsid w:val="00EB175F"/>
    <w:rsid w:val="00EB1A36"/>
    <w:rsid w:val="00EB2098"/>
    <w:rsid w:val="00EB2368"/>
    <w:rsid w:val="00EB3597"/>
    <w:rsid w:val="00EB3AD2"/>
    <w:rsid w:val="00EB3B80"/>
    <w:rsid w:val="00EB5583"/>
    <w:rsid w:val="00EB5FCF"/>
    <w:rsid w:val="00EB6117"/>
    <w:rsid w:val="00EB67C7"/>
    <w:rsid w:val="00EB7134"/>
    <w:rsid w:val="00EB7238"/>
    <w:rsid w:val="00EB730E"/>
    <w:rsid w:val="00EB7311"/>
    <w:rsid w:val="00EB7854"/>
    <w:rsid w:val="00EC0103"/>
    <w:rsid w:val="00EC0868"/>
    <w:rsid w:val="00EC09D9"/>
    <w:rsid w:val="00EC19BC"/>
    <w:rsid w:val="00EC1FBE"/>
    <w:rsid w:val="00EC2511"/>
    <w:rsid w:val="00EC253B"/>
    <w:rsid w:val="00EC25CE"/>
    <w:rsid w:val="00EC3909"/>
    <w:rsid w:val="00EC4064"/>
    <w:rsid w:val="00EC44ED"/>
    <w:rsid w:val="00EC45B2"/>
    <w:rsid w:val="00EC49BC"/>
    <w:rsid w:val="00EC4AC9"/>
    <w:rsid w:val="00EC652A"/>
    <w:rsid w:val="00EC7990"/>
    <w:rsid w:val="00ED008A"/>
    <w:rsid w:val="00ED04AC"/>
    <w:rsid w:val="00ED067D"/>
    <w:rsid w:val="00ED0BF2"/>
    <w:rsid w:val="00ED1466"/>
    <w:rsid w:val="00ED26BC"/>
    <w:rsid w:val="00ED2CB1"/>
    <w:rsid w:val="00ED3B98"/>
    <w:rsid w:val="00ED4869"/>
    <w:rsid w:val="00ED4C6C"/>
    <w:rsid w:val="00ED67D9"/>
    <w:rsid w:val="00ED6B5F"/>
    <w:rsid w:val="00ED6FED"/>
    <w:rsid w:val="00ED7A49"/>
    <w:rsid w:val="00ED7B69"/>
    <w:rsid w:val="00ED7F9E"/>
    <w:rsid w:val="00ED7FE5"/>
    <w:rsid w:val="00EE00E0"/>
    <w:rsid w:val="00EE019E"/>
    <w:rsid w:val="00EE1454"/>
    <w:rsid w:val="00EE24FC"/>
    <w:rsid w:val="00EE2598"/>
    <w:rsid w:val="00EE2E99"/>
    <w:rsid w:val="00EE3A2F"/>
    <w:rsid w:val="00EE3E29"/>
    <w:rsid w:val="00EE3FBC"/>
    <w:rsid w:val="00EE47C8"/>
    <w:rsid w:val="00EE5C6E"/>
    <w:rsid w:val="00EE6017"/>
    <w:rsid w:val="00EE606A"/>
    <w:rsid w:val="00EE6149"/>
    <w:rsid w:val="00EE6399"/>
    <w:rsid w:val="00EE682A"/>
    <w:rsid w:val="00EE6A0A"/>
    <w:rsid w:val="00EE6C97"/>
    <w:rsid w:val="00EE73B3"/>
    <w:rsid w:val="00EE7D6B"/>
    <w:rsid w:val="00EF0F5E"/>
    <w:rsid w:val="00EF1027"/>
    <w:rsid w:val="00EF1CAB"/>
    <w:rsid w:val="00EF2073"/>
    <w:rsid w:val="00EF2104"/>
    <w:rsid w:val="00EF25D0"/>
    <w:rsid w:val="00EF2891"/>
    <w:rsid w:val="00EF2D21"/>
    <w:rsid w:val="00EF340A"/>
    <w:rsid w:val="00EF44F4"/>
    <w:rsid w:val="00EF46DD"/>
    <w:rsid w:val="00EF46E0"/>
    <w:rsid w:val="00EF58A4"/>
    <w:rsid w:val="00EF5ED8"/>
    <w:rsid w:val="00EF6466"/>
    <w:rsid w:val="00EF663B"/>
    <w:rsid w:val="00EF6BC8"/>
    <w:rsid w:val="00EF6C25"/>
    <w:rsid w:val="00EF6EA4"/>
    <w:rsid w:val="00EF7B2A"/>
    <w:rsid w:val="00EF7C2C"/>
    <w:rsid w:val="00EFC6DA"/>
    <w:rsid w:val="00F005AE"/>
    <w:rsid w:val="00F0167F"/>
    <w:rsid w:val="00F02436"/>
    <w:rsid w:val="00F0359A"/>
    <w:rsid w:val="00F03693"/>
    <w:rsid w:val="00F044BF"/>
    <w:rsid w:val="00F054D3"/>
    <w:rsid w:val="00F057B9"/>
    <w:rsid w:val="00F05A05"/>
    <w:rsid w:val="00F05C60"/>
    <w:rsid w:val="00F063BA"/>
    <w:rsid w:val="00F0680E"/>
    <w:rsid w:val="00F06F23"/>
    <w:rsid w:val="00F0751E"/>
    <w:rsid w:val="00F07B40"/>
    <w:rsid w:val="00F07BB4"/>
    <w:rsid w:val="00F07F7E"/>
    <w:rsid w:val="00F115D8"/>
    <w:rsid w:val="00F116E7"/>
    <w:rsid w:val="00F118EC"/>
    <w:rsid w:val="00F11924"/>
    <w:rsid w:val="00F122B8"/>
    <w:rsid w:val="00F12460"/>
    <w:rsid w:val="00F131C5"/>
    <w:rsid w:val="00F138A8"/>
    <w:rsid w:val="00F13AD4"/>
    <w:rsid w:val="00F13ED2"/>
    <w:rsid w:val="00F14502"/>
    <w:rsid w:val="00F14EEC"/>
    <w:rsid w:val="00F1522C"/>
    <w:rsid w:val="00F166B7"/>
    <w:rsid w:val="00F168D4"/>
    <w:rsid w:val="00F16DE1"/>
    <w:rsid w:val="00F16FC3"/>
    <w:rsid w:val="00F20333"/>
    <w:rsid w:val="00F205C4"/>
    <w:rsid w:val="00F20DAB"/>
    <w:rsid w:val="00F223EC"/>
    <w:rsid w:val="00F22C78"/>
    <w:rsid w:val="00F23257"/>
    <w:rsid w:val="00F2455C"/>
    <w:rsid w:val="00F2488A"/>
    <w:rsid w:val="00F256C4"/>
    <w:rsid w:val="00F2670B"/>
    <w:rsid w:val="00F26776"/>
    <w:rsid w:val="00F2713B"/>
    <w:rsid w:val="00F27ACB"/>
    <w:rsid w:val="00F27AFA"/>
    <w:rsid w:val="00F303D8"/>
    <w:rsid w:val="00F30471"/>
    <w:rsid w:val="00F3066E"/>
    <w:rsid w:val="00F30BB0"/>
    <w:rsid w:val="00F30DF7"/>
    <w:rsid w:val="00F313B3"/>
    <w:rsid w:val="00F32BFD"/>
    <w:rsid w:val="00F32C42"/>
    <w:rsid w:val="00F33BDE"/>
    <w:rsid w:val="00F33F74"/>
    <w:rsid w:val="00F345D3"/>
    <w:rsid w:val="00F346B3"/>
    <w:rsid w:val="00F34CB8"/>
    <w:rsid w:val="00F357FC"/>
    <w:rsid w:val="00F3616F"/>
    <w:rsid w:val="00F36264"/>
    <w:rsid w:val="00F3718E"/>
    <w:rsid w:val="00F3722D"/>
    <w:rsid w:val="00F4026E"/>
    <w:rsid w:val="00F40FF9"/>
    <w:rsid w:val="00F414B8"/>
    <w:rsid w:val="00F4173D"/>
    <w:rsid w:val="00F41E0E"/>
    <w:rsid w:val="00F43090"/>
    <w:rsid w:val="00F44EEC"/>
    <w:rsid w:val="00F4571B"/>
    <w:rsid w:val="00F45A71"/>
    <w:rsid w:val="00F45DFF"/>
    <w:rsid w:val="00F470B3"/>
    <w:rsid w:val="00F47359"/>
    <w:rsid w:val="00F477EF"/>
    <w:rsid w:val="00F479ED"/>
    <w:rsid w:val="00F47B7B"/>
    <w:rsid w:val="00F47BBA"/>
    <w:rsid w:val="00F501B0"/>
    <w:rsid w:val="00F50A35"/>
    <w:rsid w:val="00F50C24"/>
    <w:rsid w:val="00F512FE"/>
    <w:rsid w:val="00F515EA"/>
    <w:rsid w:val="00F51EAC"/>
    <w:rsid w:val="00F522ED"/>
    <w:rsid w:val="00F5273F"/>
    <w:rsid w:val="00F530BF"/>
    <w:rsid w:val="00F53B16"/>
    <w:rsid w:val="00F542F6"/>
    <w:rsid w:val="00F5439D"/>
    <w:rsid w:val="00F54FA9"/>
    <w:rsid w:val="00F55A3A"/>
    <w:rsid w:val="00F57235"/>
    <w:rsid w:val="00F60943"/>
    <w:rsid w:val="00F61EC0"/>
    <w:rsid w:val="00F62066"/>
    <w:rsid w:val="00F62A53"/>
    <w:rsid w:val="00F643B7"/>
    <w:rsid w:val="00F6486B"/>
    <w:rsid w:val="00F64A51"/>
    <w:rsid w:val="00F64B55"/>
    <w:rsid w:val="00F64F51"/>
    <w:rsid w:val="00F6540B"/>
    <w:rsid w:val="00F6618F"/>
    <w:rsid w:val="00F666A4"/>
    <w:rsid w:val="00F66798"/>
    <w:rsid w:val="00F66D6C"/>
    <w:rsid w:val="00F678F0"/>
    <w:rsid w:val="00F67B4F"/>
    <w:rsid w:val="00F70DD5"/>
    <w:rsid w:val="00F71209"/>
    <w:rsid w:val="00F7176C"/>
    <w:rsid w:val="00F717BC"/>
    <w:rsid w:val="00F71D8B"/>
    <w:rsid w:val="00F71FB0"/>
    <w:rsid w:val="00F72527"/>
    <w:rsid w:val="00F72C43"/>
    <w:rsid w:val="00F73165"/>
    <w:rsid w:val="00F7356E"/>
    <w:rsid w:val="00F73591"/>
    <w:rsid w:val="00F73B06"/>
    <w:rsid w:val="00F74890"/>
    <w:rsid w:val="00F74915"/>
    <w:rsid w:val="00F76408"/>
    <w:rsid w:val="00F7678C"/>
    <w:rsid w:val="00F76B4F"/>
    <w:rsid w:val="00F77267"/>
    <w:rsid w:val="00F77336"/>
    <w:rsid w:val="00F80966"/>
    <w:rsid w:val="00F82071"/>
    <w:rsid w:val="00F823F0"/>
    <w:rsid w:val="00F8391A"/>
    <w:rsid w:val="00F83CE7"/>
    <w:rsid w:val="00F842D7"/>
    <w:rsid w:val="00F845AD"/>
    <w:rsid w:val="00F84C32"/>
    <w:rsid w:val="00F8574E"/>
    <w:rsid w:val="00F85C38"/>
    <w:rsid w:val="00F862EE"/>
    <w:rsid w:val="00F90BCE"/>
    <w:rsid w:val="00F90E3B"/>
    <w:rsid w:val="00F91DDF"/>
    <w:rsid w:val="00F9200A"/>
    <w:rsid w:val="00F93248"/>
    <w:rsid w:val="00F93520"/>
    <w:rsid w:val="00F9467F"/>
    <w:rsid w:val="00F948A5"/>
    <w:rsid w:val="00F94A2E"/>
    <w:rsid w:val="00F96EB1"/>
    <w:rsid w:val="00F972D4"/>
    <w:rsid w:val="00F97351"/>
    <w:rsid w:val="00F978E1"/>
    <w:rsid w:val="00F979C3"/>
    <w:rsid w:val="00FA04AA"/>
    <w:rsid w:val="00FA0518"/>
    <w:rsid w:val="00FA0E30"/>
    <w:rsid w:val="00FA15F0"/>
    <w:rsid w:val="00FA1851"/>
    <w:rsid w:val="00FA18D9"/>
    <w:rsid w:val="00FA2772"/>
    <w:rsid w:val="00FA36CE"/>
    <w:rsid w:val="00FA3D27"/>
    <w:rsid w:val="00FA3E7F"/>
    <w:rsid w:val="00FA4D76"/>
    <w:rsid w:val="00FA5D73"/>
    <w:rsid w:val="00FA70A2"/>
    <w:rsid w:val="00FB0EC7"/>
    <w:rsid w:val="00FB116D"/>
    <w:rsid w:val="00FB1587"/>
    <w:rsid w:val="00FB18D6"/>
    <w:rsid w:val="00FB19E3"/>
    <w:rsid w:val="00FB33CD"/>
    <w:rsid w:val="00FB35B9"/>
    <w:rsid w:val="00FB3D32"/>
    <w:rsid w:val="00FB52D9"/>
    <w:rsid w:val="00FB593D"/>
    <w:rsid w:val="00FB5AF0"/>
    <w:rsid w:val="00FB605D"/>
    <w:rsid w:val="00FB60F9"/>
    <w:rsid w:val="00FB63C1"/>
    <w:rsid w:val="00FB69F2"/>
    <w:rsid w:val="00FB712B"/>
    <w:rsid w:val="00FB7B54"/>
    <w:rsid w:val="00FC045B"/>
    <w:rsid w:val="00FC1BB6"/>
    <w:rsid w:val="00FC23EF"/>
    <w:rsid w:val="00FC2881"/>
    <w:rsid w:val="00FC28E2"/>
    <w:rsid w:val="00FC28EB"/>
    <w:rsid w:val="00FC2ADA"/>
    <w:rsid w:val="00FC3336"/>
    <w:rsid w:val="00FC3723"/>
    <w:rsid w:val="00FC40BE"/>
    <w:rsid w:val="00FC6082"/>
    <w:rsid w:val="00FC696A"/>
    <w:rsid w:val="00FC7511"/>
    <w:rsid w:val="00FC7807"/>
    <w:rsid w:val="00FC7C47"/>
    <w:rsid w:val="00FC7C8B"/>
    <w:rsid w:val="00FC7EE1"/>
    <w:rsid w:val="00FD05BA"/>
    <w:rsid w:val="00FD077D"/>
    <w:rsid w:val="00FD238E"/>
    <w:rsid w:val="00FD25E4"/>
    <w:rsid w:val="00FD283C"/>
    <w:rsid w:val="00FD3528"/>
    <w:rsid w:val="00FD37AD"/>
    <w:rsid w:val="00FD3BCC"/>
    <w:rsid w:val="00FD42CD"/>
    <w:rsid w:val="00FD4462"/>
    <w:rsid w:val="00FD5636"/>
    <w:rsid w:val="00FD6AD5"/>
    <w:rsid w:val="00FD6D73"/>
    <w:rsid w:val="00FD73FC"/>
    <w:rsid w:val="00FD756E"/>
    <w:rsid w:val="00FD77BE"/>
    <w:rsid w:val="00FD7DC1"/>
    <w:rsid w:val="00FD7F7B"/>
    <w:rsid w:val="00FE02D3"/>
    <w:rsid w:val="00FE11A1"/>
    <w:rsid w:val="00FE18D0"/>
    <w:rsid w:val="00FE2D02"/>
    <w:rsid w:val="00FE317D"/>
    <w:rsid w:val="00FE377A"/>
    <w:rsid w:val="00FE4B82"/>
    <w:rsid w:val="00FE4EA1"/>
    <w:rsid w:val="00FE5591"/>
    <w:rsid w:val="00FE6037"/>
    <w:rsid w:val="00FE6273"/>
    <w:rsid w:val="00FE6354"/>
    <w:rsid w:val="00FE6A98"/>
    <w:rsid w:val="00FE6F45"/>
    <w:rsid w:val="00FE73E5"/>
    <w:rsid w:val="00FE7AE0"/>
    <w:rsid w:val="00FF008C"/>
    <w:rsid w:val="00FF06E7"/>
    <w:rsid w:val="00FF0857"/>
    <w:rsid w:val="00FF0BA6"/>
    <w:rsid w:val="00FF14A0"/>
    <w:rsid w:val="00FF2099"/>
    <w:rsid w:val="00FF41D1"/>
    <w:rsid w:val="00FF41E9"/>
    <w:rsid w:val="00FF494E"/>
    <w:rsid w:val="00FF5A5F"/>
    <w:rsid w:val="00FF5CBF"/>
    <w:rsid w:val="00FF75E7"/>
    <w:rsid w:val="00FF7DF6"/>
    <w:rsid w:val="013F70D7"/>
    <w:rsid w:val="0143EE86"/>
    <w:rsid w:val="014BBFDE"/>
    <w:rsid w:val="014DFB45"/>
    <w:rsid w:val="0155A164"/>
    <w:rsid w:val="017822A7"/>
    <w:rsid w:val="01893E12"/>
    <w:rsid w:val="018B7B82"/>
    <w:rsid w:val="01B3C101"/>
    <w:rsid w:val="01BDB1BC"/>
    <w:rsid w:val="01D2507C"/>
    <w:rsid w:val="01F5ED64"/>
    <w:rsid w:val="0211C0C6"/>
    <w:rsid w:val="0219DA14"/>
    <w:rsid w:val="0238582C"/>
    <w:rsid w:val="024CCE72"/>
    <w:rsid w:val="02C70628"/>
    <w:rsid w:val="02D5BE26"/>
    <w:rsid w:val="0301A720"/>
    <w:rsid w:val="030A634B"/>
    <w:rsid w:val="030D2C60"/>
    <w:rsid w:val="0335B185"/>
    <w:rsid w:val="034DF322"/>
    <w:rsid w:val="036588DE"/>
    <w:rsid w:val="0373180E"/>
    <w:rsid w:val="0374A8EB"/>
    <w:rsid w:val="037A8744"/>
    <w:rsid w:val="037ECCCB"/>
    <w:rsid w:val="03993359"/>
    <w:rsid w:val="03994EA9"/>
    <w:rsid w:val="04021BFB"/>
    <w:rsid w:val="04034FBB"/>
    <w:rsid w:val="042ABB6D"/>
    <w:rsid w:val="042F0A69"/>
    <w:rsid w:val="043C3B5F"/>
    <w:rsid w:val="0462B027"/>
    <w:rsid w:val="0463DF0F"/>
    <w:rsid w:val="0467B553"/>
    <w:rsid w:val="04726F6A"/>
    <w:rsid w:val="048A4D6A"/>
    <w:rsid w:val="048A8613"/>
    <w:rsid w:val="04A7FA84"/>
    <w:rsid w:val="04B441FE"/>
    <w:rsid w:val="04B9671F"/>
    <w:rsid w:val="04BE6E8A"/>
    <w:rsid w:val="04C5E341"/>
    <w:rsid w:val="04C87695"/>
    <w:rsid w:val="04D30DF6"/>
    <w:rsid w:val="04E4E3CD"/>
    <w:rsid w:val="04E8FA05"/>
    <w:rsid w:val="04F2AC9D"/>
    <w:rsid w:val="051174D1"/>
    <w:rsid w:val="051AE75C"/>
    <w:rsid w:val="052795D5"/>
    <w:rsid w:val="05472E4D"/>
    <w:rsid w:val="05488481"/>
    <w:rsid w:val="05536A97"/>
    <w:rsid w:val="056512F5"/>
    <w:rsid w:val="056D94EC"/>
    <w:rsid w:val="057582FE"/>
    <w:rsid w:val="0578AB1F"/>
    <w:rsid w:val="0594D22E"/>
    <w:rsid w:val="05A49799"/>
    <w:rsid w:val="05B4394C"/>
    <w:rsid w:val="05C29431"/>
    <w:rsid w:val="05DBBC8E"/>
    <w:rsid w:val="05E0856B"/>
    <w:rsid w:val="05FF7CA0"/>
    <w:rsid w:val="0610D2AB"/>
    <w:rsid w:val="06172030"/>
    <w:rsid w:val="061F6A2C"/>
    <w:rsid w:val="0620B70E"/>
    <w:rsid w:val="06412FDC"/>
    <w:rsid w:val="0643EB00"/>
    <w:rsid w:val="06498FF4"/>
    <w:rsid w:val="065846FC"/>
    <w:rsid w:val="0672C4EB"/>
    <w:rsid w:val="06873224"/>
    <w:rsid w:val="068E7CFE"/>
    <w:rsid w:val="069F7ECC"/>
    <w:rsid w:val="06A72263"/>
    <w:rsid w:val="06A85D85"/>
    <w:rsid w:val="06B8A729"/>
    <w:rsid w:val="06BEF38B"/>
    <w:rsid w:val="06CB5249"/>
    <w:rsid w:val="06CC098C"/>
    <w:rsid w:val="06E4EBBD"/>
    <w:rsid w:val="06F397EA"/>
    <w:rsid w:val="06F627F1"/>
    <w:rsid w:val="0711535F"/>
    <w:rsid w:val="07216A4D"/>
    <w:rsid w:val="0733FAB6"/>
    <w:rsid w:val="073628BC"/>
    <w:rsid w:val="073AF7B4"/>
    <w:rsid w:val="076207B4"/>
    <w:rsid w:val="07817F8D"/>
    <w:rsid w:val="078AF83F"/>
    <w:rsid w:val="079E7BC3"/>
    <w:rsid w:val="079E9A41"/>
    <w:rsid w:val="07A7983B"/>
    <w:rsid w:val="07AFE01F"/>
    <w:rsid w:val="07B510E2"/>
    <w:rsid w:val="07C39D30"/>
    <w:rsid w:val="07CD2ABD"/>
    <w:rsid w:val="07D57B35"/>
    <w:rsid w:val="07E3D856"/>
    <w:rsid w:val="07E3D8CC"/>
    <w:rsid w:val="07F4175D"/>
    <w:rsid w:val="082646C0"/>
    <w:rsid w:val="08295BD8"/>
    <w:rsid w:val="082C1DEF"/>
    <w:rsid w:val="083E632D"/>
    <w:rsid w:val="08494CB5"/>
    <w:rsid w:val="0853DBA1"/>
    <w:rsid w:val="0856DB30"/>
    <w:rsid w:val="086722AA"/>
    <w:rsid w:val="086C6D74"/>
    <w:rsid w:val="089C4280"/>
    <w:rsid w:val="08A0DB50"/>
    <w:rsid w:val="08A21478"/>
    <w:rsid w:val="08AA572C"/>
    <w:rsid w:val="08EC0047"/>
    <w:rsid w:val="08F20AFF"/>
    <w:rsid w:val="09059E93"/>
    <w:rsid w:val="0907CC70"/>
    <w:rsid w:val="092E949F"/>
    <w:rsid w:val="093D0150"/>
    <w:rsid w:val="09429E53"/>
    <w:rsid w:val="095DE776"/>
    <w:rsid w:val="09A8C999"/>
    <w:rsid w:val="09BED2E6"/>
    <w:rsid w:val="09C70410"/>
    <w:rsid w:val="09D935C4"/>
    <w:rsid w:val="09DC71CB"/>
    <w:rsid w:val="09E07F35"/>
    <w:rsid w:val="0A2603D0"/>
    <w:rsid w:val="0A62DC55"/>
    <w:rsid w:val="0A639697"/>
    <w:rsid w:val="0A69F14E"/>
    <w:rsid w:val="0A71F4F7"/>
    <w:rsid w:val="0A9050B5"/>
    <w:rsid w:val="0AD40F57"/>
    <w:rsid w:val="0AE5DED3"/>
    <w:rsid w:val="0AFF15E8"/>
    <w:rsid w:val="0B065C43"/>
    <w:rsid w:val="0B29AA81"/>
    <w:rsid w:val="0B3EF981"/>
    <w:rsid w:val="0B5C0644"/>
    <w:rsid w:val="0B6FACD8"/>
    <w:rsid w:val="0B7D40FF"/>
    <w:rsid w:val="0B7DB78A"/>
    <w:rsid w:val="0BC2DA69"/>
    <w:rsid w:val="0BC4D26B"/>
    <w:rsid w:val="0BD5990F"/>
    <w:rsid w:val="0BDDFC47"/>
    <w:rsid w:val="0C3578D7"/>
    <w:rsid w:val="0C626E8F"/>
    <w:rsid w:val="0C6E567B"/>
    <w:rsid w:val="0C7C15FF"/>
    <w:rsid w:val="0C9D2854"/>
    <w:rsid w:val="0CA1CB84"/>
    <w:rsid w:val="0CB1F945"/>
    <w:rsid w:val="0CC15EF3"/>
    <w:rsid w:val="0CC78880"/>
    <w:rsid w:val="0CD9B1FA"/>
    <w:rsid w:val="0CF19D73"/>
    <w:rsid w:val="0D0EC050"/>
    <w:rsid w:val="0D2D49C5"/>
    <w:rsid w:val="0D39DBD8"/>
    <w:rsid w:val="0D4CDBC5"/>
    <w:rsid w:val="0D598A86"/>
    <w:rsid w:val="0D7DDC19"/>
    <w:rsid w:val="0D82F859"/>
    <w:rsid w:val="0D85276F"/>
    <w:rsid w:val="0DA2447B"/>
    <w:rsid w:val="0DB93E1F"/>
    <w:rsid w:val="0DE339BF"/>
    <w:rsid w:val="0E25808F"/>
    <w:rsid w:val="0E304EAA"/>
    <w:rsid w:val="0E4396AC"/>
    <w:rsid w:val="0E4FDF07"/>
    <w:rsid w:val="0E5762CB"/>
    <w:rsid w:val="0E84A09A"/>
    <w:rsid w:val="0E9F5A44"/>
    <w:rsid w:val="0EAA90B1"/>
    <w:rsid w:val="0EB28954"/>
    <w:rsid w:val="0EF9D125"/>
    <w:rsid w:val="0F034484"/>
    <w:rsid w:val="0F1E6D86"/>
    <w:rsid w:val="0F275097"/>
    <w:rsid w:val="0F37A5E0"/>
    <w:rsid w:val="0F820ADC"/>
    <w:rsid w:val="0F89B633"/>
    <w:rsid w:val="0FA3FEFF"/>
    <w:rsid w:val="0FB07527"/>
    <w:rsid w:val="0FE9D159"/>
    <w:rsid w:val="1016F743"/>
    <w:rsid w:val="10252A09"/>
    <w:rsid w:val="1039F2F8"/>
    <w:rsid w:val="103B9DED"/>
    <w:rsid w:val="103BE719"/>
    <w:rsid w:val="104911F1"/>
    <w:rsid w:val="104E4E98"/>
    <w:rsid w:val="105C0202"/>
    <w:rsid w:val="106F0F39"/>
    <w:rsid w:val="1083FD7F"/>
    <w:rsid w:val="108C82BE"/>
    <w:rsid w:val="10BA991B"/>
    <w:rsid w:val="10C23714"/>
    <w:rsid w:val="116E4BC2"/>
    <w:rsid w:val="116EE8E0"/>
    <w:rsid w:val="1187B0EF"/>
    <w:rsid w:val="11A4F11C"/>
    <w:rsid w:val="11B7A32C"/>
    <w:rsid w:val="11BC415C"/>
    <w:rsid w:val="11C56DAA"/>
    <w:rsid w:val="11D4DB8F"/>
    <w:rsid w:val="120D4A89"/>
    <w:rsid w:val="123EB9A5"/>
    <w:rsid w:val="12569EB5"/>
    <w:rsid w:val="12618BF4"/>
    <w:rsid w:val="127B95C1"/>
    <w:rsid w:val="12954067"/>
    <w:rsid w:val="12ABFB75"/>
    <w:rsid w:val="12B0C461"/>
    <w:rsid w:val="12B5124F"/>
    <w:rsid w:val="12B98BD1"/>
    <w:rsid w:val="12D56246"/>
    <w:rsid w:val="12DFB924"/>
    <w:rsid w:val="131B25C2"/>
    <w:rsid w:val="1337BCE7"/>
    <w:rsid w:val="135C0239"/>
    <w:rsid w:val="136DE656"/>
    <w:rsid w:val="1373E9CE"/>
    <w:rsid w:val="13836093"/>
    <w:rsid w:val="1394E2E6"/>
    <w:rsid w:val="13B5250B"/>
    <w:rsid w:val="13CFE87A"/>
    <w:rsid w:val="13D7260C"/>
    <w:rsid w:val="13DADF02"/>
    <w:rsid w:val="13E2A7E6"/>
    <w:rsid w:val="13F239DD"/>
    <w:rsid w:val="13F67230"/>
    <w:rsid w:val="1417E86B"/>
    <w:rsid w:val="141A71EC"/>
    <w:rsid w:val="1426294C"/>
    <w:rsid w:val="14266FE5"/>
    <w:rsid w:val="145790B4"/>
    <w:rsid w:val="146DBD2F"/>
    <w:rsid w:val="14787E1B"/>
    <w:rsid w:val="1492D5CF"/>
    <w:rsid w:val="14B46DB1"/>
    <w:rsid w:val="14E219FA"/>
    <w:rsid w:val="14F37143"/>
    <w:rsid w:val="1523060F"/>
    <w:rsid w:val="1527C85E"/>
    <w:rsid w:val="152CF9BF"/>
    <w:rsid w:val="153C16F4"/>
    <w:rsid w:val="156C96E4"/>
    <w:rsid w:val="1584E189"/>
    <w:rsid w:val="1596921B"/>
    <w:rsid w:val="15E82FC1"/>
    <w:rsid w:val="161C91D8"/>
    <w:rsid w:val="1623140F"/>
    <w:rsid w:val="162CA376"/>
    <w:rsid w:val="1644BE4E"/>
    <w:rsid w:val="165D5154"/>
    <w:rsid w:val="165D6A79"/>
    <w:rsid w:val="167224A6"/>
    <w:rsid w:val="16723B3A"/>
    <w:rsid w:val="16937B6E"/>
    <w:rsid w:val="169ABF32"/>
    <w:rsid w:val="16A685B1"/>
    <w:rsid w:val="16A98C42"/>
    <w:rsid w:val="16B28265"/>
    <w:rsid w:val="16B6846D"/>
    <w:rsid w:val="16C1DFCD"/>
    <w:rsid w:val="16D01E10"/>
    <w:rsid w:val="16FB0269"/>
    <w:rsid w:val="17127FC4"/>
    <w:rsid w:val="1732C757"/>
    <w:rsid w:val="17371B10"/>
    <w:rsid w:val="173EE978"/>
    <w:rsid w:val="175B1759"/>
    <w:rsid w:val="17785DDD"/>
    <w:rsid w:val="17798516"/>
    <w:rsid w:val="1799F11A"/>
    <w:rsid w:val="17D93BAC"/>
    <w:rsid w:val="17E800FB"/>
    <w:rsid w:val="17F4E33E"/>
    <w:rsid w:val="17FB4984"/>
    <w:rsid w:val="1801B443"/>
    <w:rsid w:val="180A129A"/>
    <w:rsid w:val="180AA87D"/>
    <w:rsid w:val="181432A0"/>
    <w:rsid w:val="1824B916"/>
    <w:rsid w:val="182B89E7"/>
    <w:rsid w:val="1839CC94"/>
    <w:rsid w:val="18672E3F"/>
    <w:rsid w:val="1867841C"/>
    <w:rsid w:val="188FDBB2"/>
    <w:rsid w:val="18961239"/>
    <w:rsid w:val="18C49CF6"/>
    <w:rsid w:val="191DB1A0"/>
    <w:rsid w:val="19326E50"/>
    <w:rsid w:val="193F33B5"/>
    <w:rsid w:val="194535EA"/>
    <w:rsid w:val="194F344C"/>
    <w:rsid w:val="1966658A"/>
    <w:rsid w:val="19830AA3"/>
    <w:rsid w:val="19861357"/>
    <w:rsid w:val="198C2896"/>
    <w:rsid w:val="199E534B"/>
    <w:rsid w:val="19A9DBFC"/>
    <w:rsid w:val="19ADD94D"/>
    <w:rsid w:val="19C08977"/>
    <w:rsid w:val="19CB43BD"/>
    <w:rsid w:val="19CCD7B3"/>
    <w:rsid w:val="19CE4DF1"/>
    <w:rsid w:val="19D07F8F"/>
    <w:rsid w:val="19FBF1BC"/>
    <w:rsid w:val="1A3F9EBE"/>
    <w:rsid w:val="1A400807"/>
    <w:rsid w:val="1A4A2086"/>
    <w:rsid w:val="1A66E920"/>
    <w:rsid w:val="1A70BEFB"/>
    <w:rsid w:val="1A889013"/>
    <w:rsid w:val="1A9AEE47"/>
    <w:rsid w:val="1AB8697F"/>
    <w:rsid w:val="1AD5D585"/>
    <w:rsid w:val="1AE52AF9"/>
    <w:rsid w:val="1AE6F67B"/>
    <w:rsid w:val="1AEE033C"/>
    <w:rsid w:val="1AFDAAA3"/>
    <w:rsid w:val="1B01ADE9"/>
    <w:rsid w:val="1B0BB7B8"/>
    <w:rsid w:val="1B115CDA"/>
    <w:rsid w:val="1B49FB45"/>
    <w:rsid w:val="1B4F8A9C"/>
    <w:rsid w:val="1B9C3B43"/>
    <w:rsid w:val="1BA80EED"/>
    <w:rsid w:val="1BACB6E5"/>
    <w:rsid w:val="1BCE1C03"/>
    <w:rsid w:val="1BE625DB"/>
    <w:rsid w:val="1C00C458"/>
    <w:rsid w:val="1C0A0BE3"/>
    <w:rsid w:val="1C1EED9F"/>
    <w:rsid w:val="1C4966EF"/>
    <w:rsid w:val="1C6A0F12"/>
    <w:rsid w:val="1C9EE361"/>
    <w:rsid w:val="1CC85461"/>
    <w:rsid w:val="1CCEBAA7"/>
    <w:rsid w:val="1CF87E30"/>
    <w:rsid w:val="1D0F484A"/>
    <w:rsid w:val="1D1EE347"/>
    <w:rsid w:val="1D3F5F94"/>
    <w:rsid w:val="1D58630A"/>
    <w:rsid w:val="1D777BD0"/>
    <w:rsid w:val="1D816C4C"/>
    <w:rsid w:val="1D85ABDC"/>
    <w:rsid w:val="1D8959D2"/>
    <w:rsid w:val="1D95CCB2"/>
    <w:rsid w:val="1DA6C6D2"/>
    <w:rsid w:val="1DC15432"/>
    <w:rsid w:val="1E063804"/>
    <w:rsid w:val="1E2CD209"/>
    <w:rsid w:val="1E6424C2"/>
    <w:rsid w:val="1E6FD3E3"/>
    <w:rsid w:val="1E81A30E"/>
    <w:rsid w:val="1E872079"/>
    <w:rsid w:val="1E8A9691"/>
    <w:rsid w:val="1E920BD0"/>
    <w:rsid w:val="1E96DD8E"/>
    <w:rsid w:val="1E9BE820"/>
    <w:rsid w:val="1EC39259"/>
    <w:rsid w:val="1EF08435"/>
    <w:rsid w:val="1EF9C048"/>
    <w:rsid w:val="1F252A33"/>
    <w:rsid w:val="1FB48243"/>
    <w:rsid w:val="1FBE3B3C"/>
    <w:rsid w:val="1FDC1B93"/>
    <w:rsid w:val="20065B69"/>
    <w:rsid w:val="201028E8"/>
    <w:rsid w:val="2031A2B2"/>
    <w:rsid w:val="203E2C3B"/>
    <w:rsid w:val="204C25BA"/>
    <w:rsid w:val="20520AE3"/>
    <w:rsid w:val="2056E33C"/>
    <w:rsid w:val="2079FE58"/>
    <w:rsid w:val="207A19FC"/>
    <w:rsid w:val="207BEB5B"/>
    <w:rsid w:val="2080033F"/>
    <w:rsid w:val="20806693"/>
    <w:rsid w:val="20A09CAB"/>
    <w:rsid w:val="20A144EC"/>
    <w:rsid w:val="20A947DB"/>
    <w:rsid w:val="20AC36DD"/>
    <w:rsid w:val="20B857B4"/>
    <w:rsid w:val="20BDE75A"/>
    <w:rsid w:val="20C0B32D"/>
    <w:rsid w:val="20C702C4"/>
    <w:rsid w:val="20C7D340"/>
    <w:rsid w:val="20DCE2BE"/>
    <w:rsid w:val="20E7CE93"/>
    <w:rsid w:val="20E8F545"/>
    <w:rsid w:val="2116BDB7"/>
    <w:rsid w:val="213CC8DD"/>
    <w:rsid w:val="2162E32C"/>
    <w:rsid w:val="216502F2"/>
    <w:rsid w:val="217AF93C"/>
    <w:rsid w:val="21980036"/>
    <w:rsid w:val="2198A52D"/>
    <w:rsid w:val="21A50AB4"/>
    <w:rsid w:val="21A7F60E"/>
    <w:rsid w:val="21CB1E5E"/>
    <w:rsid w:val="21F2546A"/>
    <w:rsid w:val="21FC07E5"/>
    <w:rsid w:val="21FEF826"/>
    <w:rsid w:val="22021F94"/>
    <w:rsid w:val="221FFEBD"/>
    <w:rsid w:val="223E3871"/>
    <w:rsid w:val="22678A90"/>
    <w:rsid w:val="227470D9"/>
    <w:rsid w:val="2274F12E"/>
    <w:rsid w:val="228A7536"/>
    <w:rsid w:val="228B8CCD"/>
    <w:rsid w:val="228F8877"/>
    <w:rsid w:val="22A54DB6"/>
    <w:rsid w:val="22D43EFD"/>
    <w:rsid w:val="231CA8E6"/>
    <w:rsid w:val="233229E6"/>
    <w:rsid w:val="2333D097"/>
    <w:rsid w:val="2354DB54"/>
    <w:rsid w:val="235C6ABF"/>
    <w:rsid w:val="236C011C"/>
    <w:rsid w:val="237EBE56"/>
    <w:rsid w:val="23B19F1A"/>
    <w:rsid w:val="23C06C03"/>
    <w:rsid w:val="23C28E9E"/>
    <w:rsid w:val="23F56719"/>
    <w:rsid w:val="2405276D"/>
    <w:rsid w:val="24106713"/>
    <w:rsid w:val="24361DB9"/>
    <w:rsid w:val="2441D08D"/>
    <w:rsid w:val="2446C0C0"/>
    <w:rsid w:val="24792E2B"/>
    <w:rsid w:val="249FF993"/>
    <w:rsid w:val="24A90ED4"/>
    <w:rsid w:val="24BB26F1"/>
    <w:rsid w:val="24D8A4C8"/>
    <w:rsid w:val="24F0E492"/>
    <w:rsid w:val="250B29A4"/>
    <w:rsid w:val="25110EF7"/>
    <w:rsid w:val="25189ECA"/>
    <w:rsid w:val="252A85FC"/>
    <w:rsid w:val="2570A184"/>
    <w:rsid w:val="2591587D"/>
    <w:rsid w:val="2592E4B5"/>
    <w:rsid w:val="2599ADF1"/>
    <w:rsid w:val="259B813D"/>
    <w:rsid w:val="25B053E1"/>
    <w:rsid w:val="25E6885C"/>
    <w:rsid w:val="260A3ADE"/>
    <w:rsid w:val="2622D8D7"/>
    <w:rsid w:val="263DD0EA"/>
    <w:rsid w:val="264DDF01"/>
    <w:rsid w:val="268C3594"/>
    <w:rsid w:val="26A2AAA5"/>
    <w:rsid w:val="26B28752"/>
    <w:rsid w:val="26E45203"/>
    <w:rsid w:val="26E9C6C8"/>
    <w:rsid w:val="26FC620D"/>
    <w:rsid w:val="27033ED6"/>
    <w:rsid w:val="272E3D00"/>
    <w:rsid w:val="274C3C88"/>
    <w:rsid w:val="2767131B"/>
    <w:rsid w:val="276B6F6E"/>
    <w:rsid w:val="278116F2"/>
    <w:rsid w:val="2790143E"/>
    <w:rsid w:val="27960F46"/>
    <w:rsid w:val="27AF2A31"/>
    <w:rsid w:val="27B15434"/>
    <w:rsid w:val="27C7A213"/>
    <w:rsid w:val="27D79F23"/>
    <w:rsid w:val="27EEA7C8"/>
    <w:rsid w:val="280B0708"/>
    <w:rsid w:val="282805F5"/>
    <w:rsid w:val="283E7B06"/>
    <w:rsid w:val="2842CA66"/>
    <w:rsid w:val="28629E49"/>
    <w:rsid w:val="28BB1F3D"/>
    <w:rsid w:val="28DB15D7"/>
    <w:rsid w:val="28EF0371"/>
    <w:rsid w:val="28F617A0"/>
    <w:rsid w:val="292D356C"/>
    <w:rsid w:val="2944CC7D"/>
    <w:rsid w:val="296CA006"/>
    <w:rsid w:val="296F21B9"/>
    <w:rsid w:val="29736F84"/>
    <w:rsid w:val="298460FF"/>
    <w:rsid w:val="2984EA09"/>
    <w:rsid w:val="29893DDF"/>
    <w:rsid w:val="2991BCB0"/>
    <w:rsid w:val="2993CFB1"/>
    <w:rsid w:val="29A6D769"/>
    <w:rsid w:val="29C41CD8"/>
    <w:rsid w:val="29CC0146"/>
    <w:rsid w:val="29DE9AC7"/>
    <w:rsid w:val="29DFD12C"/>
    <w:rsid w:val="29E9550D"/>
    <w:rsid w:val="29F463DD"/>
    <w:rsid w:val="2A04B8A1"/>
    <w:rsid w:val="2A0FCE79"/>
    <w:rsid w:val="2A49E61F"/>
    <w:rsid w:val="2A4B2B6F"/>
    <w:rsid w:val="2A4E3A86"/>
    <w:rsid w:val="2A814528"/>
    <w:rsid w:val="2A8AE3F2"/>
    <w:rsid w:val="2A8E4304"/>
    <w:rsid w:val="2AB35CD4"/>
    <w:rsid w:val="2AC99CBE"/>
    <w:rsid w:val="2ACA1583"/>
    <w:rsid w:val="2ADB7545"/>
    <w:rsid w:val="2AFE680A"/>
    <w:rsid w:val="2B009EAE"/>
    <w:rsid w:val="2B1696FF"/>
    <w:rsid w:val="2B1FBBAC"/>
    <w:rsid w:val="2B23C256"/>
    <w:rsid w:val="2B33AE4F"/>
    <w:rsid w:val="2B50BC55"/>
    <w:rsid w:val="2B5EF864"/>
    <w:rsid w:val="2B72024A"/>
    <w:rsid w:val="2B774E92"/>
    <w:rsid w:val="2B92CEF2"/>
    <w:rsid w:val="2BDCB516"/>
    <w:rsid w:val="2BFEC556"/>
    <w:rsid w:val="2C03AD3B"/>
    <w:rsid w:val="2C19BE0B"/>
    <w:rsid w:val="2C1F5195"/>
    <w:rsid w:val="2C4F2D35"/>
    <w:rsid w:val="2C61C6D3"/>
    <w:rsid w:val="2C660ACF"/>
    <w:rsid w:val="2C8D3DBE"/>
    <w:rsid w:val="2CA47979"/>
    <w:rsid w:val="2CA62200"/>
    <w:rsid w:val="2CB073F2"/>
    <w:rsid w:val="2CC7EC38"/>
    <w:rsid w:val="2CD2520F"/>
    <w:rsid w:val="2CE24EBB"/>
    <w:rsid w:val="2CE4BFFD"/>
    <w:rsid w:val="2CF728C7"/>
    <w:rsid w:val="2CFF78DC"/>
    <w:rsid w:val="2D08C46A"/>
    <w:rsid w:val="2D2A0865"/>
    <w:rsid w:val="2D2A3989"/>
    <w:rsid w:val="2D30E746"/>
    <w:rsid w:val="2D43B10F"/>
    <w:rsid w:val="2D4DC7A2"/>
    <w:rsid w:val="2D5E316D"/>
    <w:rsid w:val="2D711F9B"/>
    <w:rsid w:val="2D97B84F"/>
    <w:rsid w:val="2DD6549F"/>
    <w:rsid w:val="2DDA17F0"/>
    <w:rsid w:val="2DEAFD96"/>
    <w:rsid w:val="2E0586FC"/>
    <w:rsid w:val="2E2009E4"/>
    <w:rsid w:val="2E6E564D"/>
    <w:rsid w:val="2E8D02B6"/>
    <w:rsid w:val="2EADBC8A"/>
    <w:rsid w:val="2EBFD287"/>
    <w:rsid w:val="2EC5FE11"/>
    <w:rsid w:val="2ED984FA"/>
    <w:rsid w:val="2EEFAA84"/>
    <w:rsid w:val="2F0F592B"/>
    <w:rsid w:val="2F399A2F"/>
    <w:rsid w:val="2F3CA5C2"/>
    <w:rsid w:val="2F44955B"/>
    <w:rsid w:val="2F600D50"/>
    <w:rsid w:val="2F61B427"/>
    <w:rsid w:val="2F73D794"/>
    <w:rsid w:val="2F7B1B9E"/>
    <w:rsid w:val="2F8F4579"/>
    <w:rsid w:val="2FAE6588"/>
    <w:rsid w:val="2FFD51B6"/>
    <w:rsid w:val="2FFF4E3E"/>
    <w:rsid w:val="3004378A"/>
    <w:rsid w:val="30046752"/>
    <w:rsid w:val="300D7873"/>
    <w:rsid w:val="301E0673"/>
    <w:rsid w:val="30242D78"/>
    <w:rsid w:val="302D8FB1"/>
    <w:rsid w:val="3049F4BD"/>
    <w:rsid w:val="3060D93C"/>
    <w:rsid w:val="30720E00"/>
    <w:rsid w:val="3072D744"/>
    <w:rsid w:val="3072FB31"/>
    <w:rsid w:val="30749559"/>
    <w:rsid w:val="308F514F"/>
    <w:rsid w:val="3095D22F"/>
    <w:rsid w:val="30BDF601"/>
    <w:rsid w:val="30F38840"/>
    <w:rsid w:val="30F94810"/>
    <w:rsid w:val="310DF561"/>
    <w:rsid w:val="31229E58"/>
    <w:rsid w:val="31351E49"/>
    <w:rsid w:val="313CE41A"/>
    <w:rsid w:val="31442EF4"/>
    <w:rsid w:val="314906B3"/>
    <w:rsid w:val="314D2022"/>
    <w:rsid w:val="3157AAA6"/>
    <w:rsid w:val="3162F728"/>
    <w:rsid w:val="3165F5FD"/>
    <w:rsid w:val="3168A036"/>
    <w:rsid w:val="31710F8A"/>
    <w:rsid w:val="31990A8C"/>
    <w:rsid w:val="31992217"/>
    <w:rsid w:val="31A4ECEE"/>
    <w:rsid w:val="31C5DA2B"/>
    <w:rsid w:val="31E44BAE"/>
    <w:rsid w:val="31F3218C"/>
    <w:rsid w:val="31FA5F73"/>
    <w:rsid w:val="3230EAB1"/>
    <w:rsid w:val="324452E5"/>
    <w:rsid w:val="3246F65F"/>
    <w:rsid w:val="326D90EF"/>
    <w:rsid w:val="32723965"/>
    <w:rsid w:val="328C570D"/>
    <w:rsid w:val="3295DE4A"/>
    <w:rsid w:val="32C44742"/>
    <w:rsid w:val="32CA85EB"/>
    <w:rsid w:val="32CD5ECD"/>
    <w:rsid w:val="32D3832B"/>
    <w:rsid w:val="32FC3B27"/>
    <w:rsid w:val="331AC79D"/>
    <w:rsid w:val="3320D287"/>
    <w:rsid w:val="33292328"/>
    <w:rsid w:val="33356CDE"/>
    <w:rsid w:val="3342E39F"/>
    <w:rsid w:val="334DB9AF"/>
    <w:rsid w:val="335BCE3A"/>
    <w:rsid w:val="335C0D7B"/>
    <w:rsid w:val="335F041D"/>
    <w:rsid w:val="3381F0C8"/>
    <w:rsid w:val="338583B5"/>
    <w:rsid w:val="338B8CDA"/>
    <w:rsid w:val="3391D533"/>
    <w:rsid w:val="3391DA5F"/>
    <w:rsid w:val="33BB3560"/>
    <w:rsid w:val="33CA0EF6"/>
    <w:rsid w:val="33F26286"/>
    <w:rsid w:val="3428276E"/>
    <w:rsid w:val="34290C71"/>
    <w:rsid w:val="342A95AE"/>
    <w:rsid w:val="3440AE54"/>
    <w:rsid w:val="34695444"/>
    <w:rsid w:val="3483EBCF"/>
    <w:rsid w:val="348AD1AA"/>
    <w:rsid w:val="34AFCED0"/>
    <w:rsid w:val="34B12BD5"/>
    <w:rsid w:val="34B1D460"/>
    <w:rsid w:val="34CE5758"/>
    <w:rsid w:val="34D773CE"/>
    <w:rsid w:val="34E2759D"/>
    <w:rsid w:val="3504D5F7"/>
    <w:rsid w:val="350C2E7B"/>
    <w:rsid w:val="350EF5E2"/>
    <w:rsid w:val="3514C81F"/>
    <w:rsid w:val="35167650"/>
    <w:rsid w:val="3531B3A7"/>
    <w:rsid w:val="35364142"/>
    <w:rsid w:val="355EB951"/>
    <w:rsid w:val="35CDF03B"/>
    <w:rsid w:val="35F51DE4"/>
    <w:rsid w:val="35FC1A65"/>
    <w:rsid w:val="36135C2E"/>
    <w:rsid w:val="361FBC30"/>
    <w:rsid w:val="362B1BC9"/>
    <w:rsid w:val="3693AE3D"/>
    <w:rsid w:val="369E268B"/>
    <w:rsid w:val="36CD8408"/>
    <w:rsid w:val="36E08CAB"/>
    <w:rsid w:val="37468C16"/>
    <w:rsid w:val="374D6F39"/>
    <w:rsid w:val="374E0601"/>
    <w:rsid w:val="3750983F"/>
    <w:rsid w:val="375234E3"/>
    <w:rsid w:val="376CDCF9"/>
    <w:rsid w:val="3773B165"/>
    <w:rsid w:val="377D3A76"/>
    <w:rsid w:val="37A0CFF0"/>
    <w:rsid w:val="37DE09E2"/>
    <w:rsid w:val="37DF0CC4"/>
    <w:rsid w:val="37E35117"/>
    <w:rsid w:val="37F0FD06"/>
    <w:rsid w:val="384927CC"/>
    <w:rsid w:val="38532842"/>
    <w:rsid w:val="385578B6"/>
    <w:rsid w:val="386F70F8"/>
    <w:rsid w:val="388D8798"/>
    <w:rsid w:val="3890ECF3"/>
    <w:rsid w:val="38AAE896"/>
    <w:rsid w:val="38D2056E"/>
    <w:rsid w:val="38F0C3FD"/>
    <w:rsid w:val="38F39420"/>
    <w:rsid w:val="38F72B76"/>
    <w:rsid w:val="38FDE8CD"/>
    <w:rsid w:val="3915A8D2"/>
    <w:rsid w:val="392F5340"/>
    <w:rsid w:val="396F7C4E"/>
    <w:rsid w:val="39866A75"/>
    <w:rsid w:val="39925715"/>
    <w:rsid w:val="39CD4119"/>
    <w:rsid w:val="39D1040B"/>
    <w:rsid w:val="3A0AD442"/>
    <w:rsid w:val="3A164569"/>
    <w:rsid w:val="3A35B93E"/>
    <w:rsid w:val="3A4C1814"/>
    <w:rsid w:val="3A5D12FA"/>
    <w:rsid w:val="3A730310"/>
    <w:rsid w:val="3A7702E6"/>
    <w:rsid w:val="3A77331D"/>
    <w:rsid w:val="3A8DE5E2"/>
    <w:rsid w:val="3A90C91A"/>
    <w:rsid w:val="3AC2E25E"/>
    <w:rsid w:val="3AD5BC7B"/>
    <w:rsid w:val="3ADA136D"/>
    <w:rsid w:val="3AF8779C"/>
    <w:rsid w:val="3B0D9683"/>
    <w:rsid w:val="3B282594"/>
    <w:rsid w:val="3B338142"/>
    <w:rsid w:val="3B7B07E7"/>
    <w:rsid w:val="3B7E5C5C"/>
    <w:rsid w:val="3B7FC768"/>
    <w:rsid w:val="3B90959A"/>
    <w:rsid w:val="3B9FF7B1"/>
    <w:rsid w:val="3C084EC7"/>
    <w:rsid w:val="3C12D0AE"/>
    <w:rsid w:val="3C14D8D7"/>
    <w:rsid w:val="3C1FC2C5"/>
    <w:rsid w:val="3C24BBA1"/>
    <w:rsid w:val="3C2B9150"/>
    <w:rsid w:val="3C3B53B0"/>
    <w:rsid w:val="3C4360BB"/>
    <w:rsid w:val="3C446AC8"/>
    <w:rsid w:val="3C506517"/>
    <w:rsid w:val="3C7EBB0C"/>
    <w:rsid w:val="3C7F96C1"/>
    <w:rsid w:val="3C8A12F1"/>
    <w:rsid w:val="3CA174E6"/>
    <w:rsid w:val="3CAC3BEF"/>
    <w:rsid w:val="3CB42670"/>
    <w:rsid w:val="3CCB500A"/>
    <w:rsid w:val="3D1053C5"/>
    <w:rsid w:val="3D15A222"/>
    <w:rsid w:val="3D639FE9"/>
    <w:rsid w:val="3D8734D1"/>
    <w:rsid w:val="3D9DB251"/>
    <w:rsid w:val="3D9EFC68"/>
    <w:rsid w:val="3DCB713D"/>
    <w:rsid w:val="3E101174"/>
    <w:rsid w:val="3E17BEBB"/>
    <w:rsid w:val="3E33B3CA"/>
    <w:rsid w:val="3E404B40"/>
    <w:rsid w:val="3E5163C6"/>
    <w:rsid w:val="3E6570ED"/>
    <w:rsid w:val="3EA7909F"/>
    <w:rsid w:val="3EB5A10A"/>
    <w:rsid w:val="3EEB55EC"/>
    <w:rsid w:val="3EEE2CAF"/>
    <w:rsid w:val="3EF912DF"/>
    <w:rsid w:val="3F223308"/>
    <w:rsid w:val="3F50BC5C"/>
    <w:rsid w:val="3F5BAA24"/>
    <w:rsid w:val="3F712E5A"/>
    <w:rsid w:val="3F724DE6"/>
    <w:rsid w:val="3F72F472"/>
    <w:rsid w:val="3F884C5B"/>
    <w:rsid w:val="3F9A1412"/>
    <w:rsid w:val="3FA2CA4A"/>
    <w:rsid w:val="3FA7C0F5"/>
    <w:rsid w:val="3FABB37F"/>
    <w:rsid w:val="3FC38B25"/>
    <w:rsid w:val="3FD03FD0"/>
    <w:rsid w:val="3FF35FAF"/>
    <w:rsid w:val="3FF761B3"/>
    <w:rsid w:val="3FF8A9AB"/>
    <w:rsid w:val="400D79D9"/>
    <w:rsid w:val="4013CC84"/>
    <w:rsid w:val="4049BB03"/>
    <w:rsid w:val="408E45A8"/>
    <w:rsid w:val="40B259D2"/>
    <w:rsid w:val="40B2E02D"/>
    <w:rsid w:val="40C52514"/>
    <w:rsid w:val="40E48F44"/>
    <w:rsid w:val="40E4E9ED"/>
    <w:rsid w:val="40E849FA"/>
    <w:rsid w:val="41166944"/>
    <w:rsid w:val="41241CBC"/>
    <w:rsid w:val="412A1FA3"/>
    <w:rsid w:val="415DF703"/>
    <w:rsid w:val="41A47795"/>
    <w:rsid w:val="41A94E8B"/>
    <w:rsid w:val="41A9DDA7"/>
    <w:rsid w:val="41ADCF61"/>
    <w:rsid w:val="41BD3708"/>
    <w:rsid w:val="422F38A3"/>
    <w:rsid w:val="426C4BA4"/>
    <w:rsid w:val="427629FD"/>
    <w:rsid w:val="4280471F"/>
    <w:rsid w:val="4290C64B"/>
    <w:rsid w:val="4297D19E"/>
    <w:rsid w:val="42B3F707"/>
    <w:rsid w:val="42B76639"/>
    <w:rsid w:val="42B82574"/>
    <w:rsid w:val="42BAA1E7"/>
    <w:rsid w:val="42E38297"/>
    <w:rsid w:val="42EA6124"/>
    <w:rsid w:val="42EB701D"/>
    <w:rsid w:val="42F3395A"/>
    <w:rsid w:val="4307A070"/>
    <w:rsid w:val="43227E95"/>
    <w:rsid w:val="43463BB7"/>
    <w:rsid w:val="43529083"/>
    <w:rsid w:val="4386A417"/>
    <w:rsid w:val="43AE493F"/>
    <w:rsid w:val="43BAC767"/>
    <w:rsid w:val="43BF2B7A"/>
    <w:rsid w:val="43CC7B06"/>
    <w:rsid w:val="43DD7B30"/>
    <w:rsid w:val="43E0C17A"/>
    <w:rsid w:val="43E1BF83"/>
    <w:rsid w:val="43EB8441"/>
    <w:rsid w:val="43F6BB7D"/>
    <w:rsid w:val="4406C25F"/>
    <w:rsid w:val="441C1780"/>
    <w:rsid w:val="442A711E"/>
    <w:rsid w:val="442F8BEE"/>
    <w:rsid w:val="4433A1FF"/>
    <w:rsid w:val="447F9451"/>
    <w:rsid w:val="44838558"/>
    <w:rsid w:val="448D057A"/>
    <w:rsid w:val="44987B55"/>
    <w:rsid w:val="44AE3A06"/>
    <w:rsid w:val="44E7FA10"/>
    <w:rsid w:val="44F1CDD4"/>
    <w:rsid w:val="44F4B6AE"/>
    <w:rsid w:val="44FB7544"/>
    <w:rsid w:val="45081E94"/>
    <w:rsid w:val="450C0969"/>
    <w:rsid w:val="4517EBA7"/>
    <w:rsid w:val="453CDBE5"/>
    <w:rsid w:val="45428585"/>
    <w:rsid w:val="454D102E"/>
    <w:rsid w:val="455DCD26"/>
    <w:rsid w:val="45A2D295"/>
    <w:rsid w:val="45C265CD"/>
    <w:rsid w:val="45CFB028"/>
    <w:rsid w:val="45E85CFB"/>
    <w:rsid w:val="45F30F84"/>
    <w:rsid w:val="461581D4"/>
    <w:rsid w:val="464218A1"/>
    <w:rsid w:val="467A25AF"/>
    <w:rsid w:val="468C4209"/>
    <w:rsid w:val="4690870F"/>
    <w:rsid w:val="46943106"/>
    <w:rsid w:val="46B4B62F"/>
    <w:rsid w:val="46D84B35"/>
    <w:rsid w:val="46D8AC46"/>
    <w:rsid w:val="4717B592"/>
    <w:rsid w:val="47672CB0"/>
    <w:rsid w:val="47684E53"/>
    <w:rsid w:val="47842D5C"/>
    <w:rsid w:val="4794BEA5"/>
    <w:rsid w:val="47B15235"/>
    <w:rsid w:val="47B6F3BA"/>
    <w:rsid w:val="47EEE3DE"/>
    <w:rsid w:val="481D2EF9"/>
    <w:rsid w:val="481DF5E5"/>
    <w:rsid w:val="484A9633"/>
    <w:rsid w:val="4869BF4D"/>
    <w:rsid w:val="486DF545"/>
    <w:rsid w:val="488EE9CF"/>
    <w:rsid w:val="48A33EF2"/>
    <w:rsid w:val="48B7AA8A"/>
    <w:rsid w:val="48BA1D2D"/>
    <w:rsid w:val="48D1363F"/>
    <w:rsid w:val="48D8396C"/>
    <w:rsid w:val="490093F0"/>
    <w:rsid w:val="490DFE46"/>
    <w:rsid w:val="49495281"/>
    <w:rsid w:val="496598D0"/>
    <w:rsid w:val="497FA3B8"/>
    <w:rsid w:val="49BFD7AB"/>
    <w:rsid w:val="49C68DD9"/>
    <w:rsid w:val="49F01164"/>
    <w:rsid w:val="49FC7E8D"/>
    <w:rsid w:val="4A241160"/>
    <w:rsid w:val="4A415D18"/>
    <w:rsid w:val="4A418C98"/>
    <w:rsid w:val="4A55ED8E"/>
    <w:rsid w:val="4A5E3AEF"/>
    <w:rsid w:val="4A63BC08"/>
    <w:rsid w:val="4A73FE53"/>
    <w:rsid w:val="4A7603E3"/>
    <w:rsid w:val="4A798DF9"/>
    <w:rsid w:val="4A7E4A1A"/>
    <w:rsid w:val="4AADB993"/>
    <w:rsid w:val="4ADFE2D7"/>
    <w:rsid w:val="4B208EA7"/>
    <w:rsid w:val="4B50F52A"/>
    <w:rsid w:val="4B538AD0"/>
    <w:rsid w:val="4B6AB6C8"/>
    <w:rsid w:val="4B737176"/>
    <w:rsid w:val="4B75CE5B"/>
    <w:rsid w:val="4B830936"/>
    <w:rsid w:val="4B869EE1"/>
    <w:rsid w:val="4BA32677"/>
    <w:rsid w:val="4BB09552"/>
    <w:rsid w:val="4BC3D6B8"/>
    <w:rsid w:val="4BCC35BC"/>
    <w:rsid w:val="4BDD5CF9"/>
    <w:rsid w:val="4BE378DC"/>
    <w:rsid w:val="4BEF4B4C"/>
    <w:rsid w:val="4BF1E32D"/>
    <w:rsid w:val="4C0FCEB4"/>
    <w:rsid w:val="4C420A05"/>
    <w:rsid w:val="4C4E832B"/>
    <w:rsid w:val="4C5397D8"/>
    <w:rsid w:val="4C5CC4A8"/>
    <w:rsid w:val="4C75C14F"/>
    <w:rsid w:val="4C88B7E2"/>
    <w:rsid w:val="4C9E61F8"/>
    <w:rsid w:val="4CA6484B"/>
    <w:rsid w:val="4CD682B8"/>
    <w:rsid w:val="4CD79368"/>
    <w:rsid w:val="4CDB2514"/>
    <w:rsid w:val="4CDE90D3"/>
    <w:rsid w:val="4CF16708"/>
    <w:rsid w:val="4D08E792"/>
    <w:rsid w:val="4D2114B6"/>
    <w:rsid w:val="4D2A3B5E"/>
    <w:rsid w:val="4D627B8E"/>
    <w:rsid w:val="4D68D566"/>
    <w:rsid w:val="4D6A414A"/>
    <w:rsid w:val="4D727368"/>
    <w:rsid w:val="4D76EE38"/>
    <w:rsid w:val="4D76EEA0"/>
    <w:rsid w:val="4D8E3F4A"/>
    <w:rsid w:val="4D956BB3"/>
    <w:rsid w:val="4DA5BD52"/>
    <w:rsid w:val="4DA7E62D"/>
    <w:rsid w:val="4DB307BA"/>
    <w:rsid w:val="4DBA8A59"/>
    <w:rsid w:val="4DBCF559"/>
    <w:rsid w:val="4DDA8445"/>
    <w:rsid w:val="4DED47DB"/>
    <w:rsid w:val="4DFB5509"/>
    <w:rsid w:val="4E1562FE"/>
    <w:rsid w:val="4E5CDEB7"/>
    <w:rsid w:val="4E83C55D"/>
    <w:rsid w:val="4E892F2D"/>
    <w:rsid w:val="4E8D3769"/>
    <w:rsid w:val="4E8D8C65"/>
    <w:rsid w:val="4E99DCFA"/>
    <w:rsid w:val="4EA439C2"/>
    <w:rsid w:val="4EDA104B"/>
    <w:rsid w:val="4EE647AC"/>
    <w:rsid w:val="4EEFA2D5"/>
    <w:rsid w:val="4F0C2582"/>
    <w:rsid w:val="4F2A625A"/>
    <w:rsid w:val="4F30FE9E"/>
    <w:rsid w:val="4F48CC7B"/>
    <w:rsid w:val="4F4A68CF"/>
    <w:rsid w:val="4F4E0963"/>
    <w:rsid w:val="4F51BEE6"/>
    <w:rsid w:val="4F7654A6"/>
    <w:rsid w:val="4F85B51E"/>
    <w:rsid w:val="4F8F3F41"/>
    <w:rsid w:val="4F972C67"/>
    <w:rsid w:val="4FB89405"/>
    <w:rsid w:val="4FF3314D"/>
    <w:rsid w:val="5001BA2D"/>
    <w:rsid w:val="5008CC46"/>
    <w:rsid w:val="5021427D"/>
    <w:rsid w:val="5031D26D"/>
    <w:rsid w:val="5032DF9A"/>
    <w:rsid w:val="50353BF7"/>
    <w:rsid w:val="50402DEB"/>
    <w:rsid w:val="504D50A8"/>
    <w:rsid w:val="506590E1"/>
    <w:rsid w:val="5075E0AC"/>
    <w:rsid w:val="5085EC1A"/>
    <w:rsid w:val="50ACDBA5"/>
    <w:rsid w:val="50E82BCC"/>
    <w:rsid w:val="50F84B46"/>
    <w:rsid w:val="50FEB282"/>
    <w:rsid w:val="514B70B4"/>
    <w:rsid w:val="51ABDC43"/>
    <w:rsid w:val="51BE09EA"/>
    <w:rsid w:val="51C93D74"/>
    <w:rsid w:val="51D0A3DE"/>
    <w:rsid w:val="51EADB32"/>
    <w:rsid w:val="51F1E418"/>
    <w:rsid w:val="51F48A2A"/>
    <w:rsid w:val="520B520B"/>
    <w:rsid w:val="520E26CF"/>
    <w:rsid w:val="521AB3C2"/>
    <w:rsid w:val="5220FF39"/>
    <w:rsid w:val="5256888A"/>
    <w:rsid w:val="52640072"/>
    <w:rsid w:val="52745B2E"/>
    <w:rsid w:val="5287C078"/>
    <w:rsid w:val="52ADF6E7"/>
    <w:rsid w:val="52C96690"/>
    <w:rsid w:val="52EC233D"/>
    <w:rsid w:val="52F4EC5A"/>
    <w:rsid w:val="52F9A661"/>
    <w:rsid w:val="53320485"/>
    <w:rsid w:val="53372ED9"/>
    <w:rsid w:val="533E33E0"/>
    <w:rsid w:val="5344DFD0"/>
    <w:rsid w:val="5352E69C"/>
    <w:rsid w:val="53560C27"/>
    <w:rsid w:val="53632BEB"/>
    <w:rsid w:val="5390D1C2"/>
    <w:rsid w:val="53FC0217"/>
    <w:rsid w:val="540D4349"/>
    <w:rsid w:val="541F38C0"/>
    <w:rsid w:val="54413C18"/>
    <w:rsid w:val="54546B7F"/>
    <w:rsid w:val="545EC988"/>
    <w:rsid w:val="54698BA0"/>
    <w:rsid w:val="54D0E95F"/>
    <w:rsid w:val="54D29FB5"/>
    <w:rsid w:val="54DC0D43"/>
    <w:rsid w:val="54F24DC2"/>
    <w:rsid w:val="54FC78ED"/>
    <w:rsid w:val="551A7B96"/>
    <w:rsid w:val="5542F2CD"/>
    <w:rsid w:val="554C784D"/>
    <w:rsid w:val="555BFB73"/>
    <w:rsid w:val="5566F9CD"/>
    <w:rsid w:val="559EAE1A"/>
    <w:rsid w:val="55E6264F"/>
    <w:rsid w:val="55E76097"/>
    <w:rsid w:val="55F27B99"/>
    <w:rsid w:val="56055C01"/>
    <w:rsid w:val="56122512"/>
    <w:rsid w:val="5622F962"/>
    <w:rsid w:val="562FB4EA"/>
    <w:rsid w:val="566BF797"/>
    <w:rsid w:val="5689D445"/>
    <w:rsid w:val="56DEA5EE"/>
    <w:rsid w:val="570D8474"/>
    <w:rsid w:val="5726F87E"/>
    <w:rsid w:val="5734C0E3"/>
    <w:rsid w:val="573A7E7B"/>
    <w:rsid w:val="5753F2DB"/>
    <w:rsid w:val="57690500"/>
    <w:rsid w:val="5770C096"/>
    <w:rsid w:val="5779AAB8"/>
    <w:rsid w:val="57814996"/>
    <w:rsid w:val="57869101"/>
    <w:rsid w:val="57AAD79C"/>
    <w:rsid w:val="57C406A1"/>
    <w:rsid w:val="57C8D0E9"/>
    <w:rsid w:val="57E7AE8C"/>
    <w:rsid w:val="57FA2E73"/>
    <w:rsid w:val="580D2B8B"/>
    <w:rsid w:val="5820ED12"/>
    <w:rsid w:val="5822FBAD"/>
    <w:rsid w:val="582B682F"/>
    <w:rsid w:val="5834F5E2"/>
    <w:rsid w:val="5868BEFB"/>
    <w:rsid w:val="5872EB2E"/>
    <w:rsid w:val="58926955"/>
    <w:rsid w:val="58A687A5"/>
    <w:rsid w:val="58BB38F2"/>
    <w:rsid w:val="58FE8B08"/>
    <w:rsid w:val="58FF4518"/>
    <w:rsid w:val="590C05A3"/>
    <w:rsid w:val="591D36EC"/>
    <w:rsid w:val="59215673"/>
    <w:rsid w:val="59362C7F"/>
    <w:rsid w:val="593B14FF"/>
    <w:rsid w:val="59431BC9"/>
    <w:rsid w:val="594A3E83"/>
    <w:rsid w:val="59A3165E"/>
    <w:rsid w:val="59D7D796"/>
    <w:rsid w:val="59E04703"/>
    <w:rsid w:val="59E9525E"/>
    <w:rsid w:val="5A276F53"/>
    <w:rsid w:val="5A279BCF"/>
    <w:rsid w:val="5A2E39B6"/>
    <w:rsid w:val="5A4A6108"/>
    <w:rsid w:val="5A4BD898"/>
    <w:rsid w:val="5A53393E"/>
    <w:rsid w:val="5A57BEEA"/>
    <w:rsid w:val="5A9A5B69"/>
    <w:rsid w:val="5AA7423A"/>
    <w:rsid w:val="5AB0A12C"/>
    <w:rsid w:val="5AB6BF98"/>
    <w:rsid w:val="5AB9E980"/>
    <w:rsid w:val="5ABCDEC2"/>
    <w:rsid w:val="5AC0F4D3"/>
    <w:rsid w:val="5ACC07C1"/>
    <w:rsid w:val="5AD9E223"/>
    <w:rsid w:val="5AE4FEAB"/>
    <w:rsid w:val="5AFB0A43"/>
    <w:rsid w:val="5AFF3EE1"/>
    <w:rsid w:val="5AFF3FF9"/>
    <w:rsid w:val="5B0071AB"/>
    <w:rsid w:val="5B39CBD8"/>
    <w:rsid w:val="5B55D54E"/>
    <w:rsid w:val="5B8F9021"/>
    <w:rsid w:val="5BACEAD0"/>
    <w:rsid w:val="5BB3CC4B"/>
    <w:rsid w:val="5BB42D8A"/>
    <w:rsid w:val="5BD6058B"/>
    <w:rsid w:val="5BE6DADC"/>
    <w:rsid w:val="5C03B0D7"/>
    <w:rsid w:val="5C13F018"/>
    <w:rsid w:val="5C2FC058"/>
    <w:rsid w:val="5C4F0B96"/>
    <w:rsid w:val="5C54D7AE"/>
    <w:rsid w:val="5C54D92D"/>
    <w:rsid w:val="5C78BB76"/>
    <w:rsid w:val="5C7B658E"/>
    <w:rsid w:val="5C8819D4"/>
    <w:rsid w:val="5CAB622D"/>
    <w:rsid w:val="5CBE2A2A"/>
    <w:rsid w:val="5CBF02FD"/>
    <w:rsid w:val="5CD630BA"/>
    <w:rsid w:val="5CDC8412"/>
    <w:rsid w:val="5CE09CAE"/>
    <w:rsid w:val="5D78DC83"/>
    <w:rsid w:val="5D801137"/>
    <w:rsid w:val="5D87931C"/>
    <w:rsid w:val="5D90B8FF"/>
    <w:rsid w:val="5DB24992"/>
    <w:rsid w:val="5DBAE2EF"/>
    <w:rsid w:val="5DCDC7F2"/>
    <w:rsid w:val="5DF0A80F"/>
    <w:rsid w:val="5DF89595"/>
    <w:rsid w:val="5E042E69"/>
    <w:rsid w:val="5E26E336"/>
    <w:rsid w:val="5E313893"/>
    <w:rsid w:val="5E334825"/>
    <w:rsid w:val="5E3D3BC1"/>
    <w:rsid w:val="5E80D4F5"/>
    <w:rsid w:val="5EAB0152"/>
    <w:rsid w:val="5EDD01AD"/>
    <w:rsid w:val="5EE7528F"/>
    <w:rsid w:val="5EEEAF9F"/>
    <w:rsid w:val="5F12FE54"/>
    <w:rsid w:val="5F14A5DD"/>
    <w:rsid w:val="5F15D041"/>
    <w:rsid w:val="5F1734F7"/>
    <w:rsid w:val="5F248C5E"/>
    <w:rsid w:val="5F3B8993"/>
    <w:rsid w:val="5F791316"/>
    <w:rsid w:val="5F7B32A8"/>
    <w:rsid w:val="5F88F75C"/>
    <w:rsid w:val="5FA90F60"/>
    <w:rsid w:val="5FDD335F"/>
    <w:rsid w:val="5FE3F67F"/>
    <w:rsid w:val="5FEAF307"/>
    <w:rsid w:val="5FF5CAEC"/>
    <w:rsid w:val="601EF548"/>
    <w:rsid w:val="6031CEEA"/>
    <w:rsid w:val="60671306"/>
    <w:rsid w:val="6071B538"/>
    <w:rsid w:val="607F86F6"/>
    <w:rsid w:val="609676B9"/>
    <w:rsid w:val="60A35310"/>
    <w:rsid w:val="60A4EF1A"/>
    <w:rsid w:val="60C97518"/>
    <w:rsid w:val="60D56E26"/>
    <w:rsid w:val="60FE38E7"/>
    <w:rsid w:val="6102F4B9"/>
    <w:rsid w:val="6110E57E"/>
    <w:rsid w:val="611FD78F"/>
    <w:rsid w:val="613037D6"/>
    <w:rsid w:val="613856DF"/>
    <w:rsid w:val="613F2B38"/>
    <w:rsid w:val="61746FCC"/>
    <w:rsid w:val="617CCA0B"/>
    <w:rsid w:val="617CF1F7"/>
    <w:rsid w:val="617D9A9B"/>
    <w:rsid w:val="618335FE"/>
    <w:rsid w:val="61AFBBDA"/>
    <w:rsid w:val="61BAC5A9"/>
    <w:rsid w:val="61D81944"/>
    <w:rsid w:val="61DF0D7F"/>
    <w:rsid w:val="61F31625"/>
    <w:rsid w:val="6229635B"/>
    <w:rsid w:val="623F2CF9"/>
    <w:rsid w:val="6248F2DB"/>
    <w:rsid w:val="62559AF7"/>
    <w:rsid w:val="625681E6"/>
    <w:rsid w:val="62759730"/>
    <w:rsid w:val="62B1C22C"/>
    <w:rsid w:val="62C3F816"/>
    <w:rsid w:val="62CAB6AC"/>
    <w:rsid w:val="62DBE173"/>
    <w:rsid w:val="62EE0361"/>
    <w:rsid w:val="6302435C"/>
    <w:rsid w:val="631B9741"/>
    <w:rsid w:val="633B1DBB"/>
    <w:rsid w:val="63712976"/>
    <w:rsid w:val="6382A8A2"/>
    <w:rsid w:val="639EB3C8"/>
    <w:rsid w:val="63AE9F9F"/>
    <w:rsid w:val="63C533BC"/>
    <w:rsid w:val="63C76979"/>
    <w:rsid w:val="63E0F327"/>
    <w:rsid w:val="63E1C31F"/>
    <w:rsid w:val="63E8531F"/>
    <w:rsid w:val="63E93ABC"/>
    <w:rsid w:val="63EA64C1"/>
    <w:rsid w:val="63FBBF28"/>
    <w:rsid w:val="64427F5D"/>
    <w:rsid w:val="6451BBE8"/>
    <w:rsid w:val="64577851"/>
    <w:rsid w:val="645FC877"/>
    <w:rsid w:val="646916C3"/>
    <w:rsid w:val="64723568"/>
    <w:rsid w:val="64781FCD"/>
    <w:rsid w:val="6483FBED"/>
    <w:rsid w:val="64A13E42"/>
    <w:rsid w:val="64A71860"/>
    <w:rsid w:val="64BEBDB0"/>
    <w:rsid w:val="64CF6B80"/>
    <w:rsid w:val="64E8A1AD"/>
    <w:rsid w:val="64F9620B"/>
    <w:rsid w:val="65049AD7"/>
    <w:rsid w:val="65112E9F"/>
    <w:rsid w:val="651B9289"/>
    <w:rsid w:val="651DA96C"/>
    <w:rsid w:val="653D8135"/>
    <w:rsid w:val="6549B04F"/>
    <w:rsid w:val="6566E45A"/>
    <w:rsid w:val="656ABF04"/>
    <w:rsid w:val="657DCA8C"/>
    <w:rsid w:val="65817A46"/>
    <w:rsid w:val="65AEEB5B"/>
    <w:rsid w:val="65B43EE2"/>
    <w:rsid w:val="65C3B55C"/>
    <w:rsid w:val="6603F6A9"/>
    <w:rsid w:val="660881B8"/>
    <w:rsid w:val="660CD8C6"/>
    <w:rsid w:val="6617D496"/>
    <w:rsid w:val="6656A721"/>
    <w:rsid w:val="666BD198"/>
    <w:rsid w:val="667DA01B"/>
    <w:rsid w:val="6687535C"/>
    <w:rsid w:val="66ACFF00"/>
    <w:rsid w:val="66E552D2"/>
    <w:rsid w:val="66EF3F25"/>
    <w:rsid w:val="6702407D"/>
    <w:rsid w:val="67033380"/>
    <w:rsid w:val="6718B832"/>
    <w:rsid w:val="6729F309"/>
    <w:rsid w:val="678EC06D"/>
    <w:rsid w:val="679AE818"/>
    <w:rsid w:val="67A0B785"/>
    <w:rsid w:val="67C3FC7E"/>
    <w:rsid w:val="680E8EDE"/>
    <w:rsid w:val="6810CE00"/>
    <w:rsid w:val="682144FA"/>
    <w:rsid w:val="6858112B"/>
    <w:rsid w:val="68758BB9"/>
    <w:rsid w:val="6898A4DF"/>
    <w:rsid w:val="689D81A7"/>
    <w:rsid w:val="68A25FC6"/>
    <w:rsid w:val="68B149FE"/>
    <w:rsid w:val="68BF82E8"/>
    <w:rsid w:val="68C5C36A"/>
    <w:rsid w:val="68E3894C"/>
    <w:rsid w:val="68FA8197"/>
    <w:rsid w:val="69087C70"/>
    <w:rsid w:val="6930A3C2"/>
    <w:rsid w:val="693B483C"/>
    <w:rsid w:val="693B49BB"/>
    <w:rsid w:val="693C7736"/>
    <w:rsid w:val="6964B94D"/>
    <w:rsid w:val="69A94B36"/>
    <w:rsid w:val="69C20300"/>
    <w:rsid w:val="69E42EEE"/>
    <w:rsid w:val="6A20B8E2"/>
    <w:rsid w:val="6A508EBA"/>
    <w:rsid w:val="6A541C72"/>
    <w:rsid w:val="6A5DB178"/>
    <w:rsid w:val="6A633686"/>
    <w:rsid w:val="6A68DFA1"/>
    <w:rsid w:val="6A6D63F8"/>
    <w:rsid w:val="6A6DA9C5"/>
    <w:rsid w:val="6A8A4AAB"/>
    <w:rsid w:val="6AB2646A"/>
    <w:rsid w:val="6AB9406F"/>
    <w:rsid w:val="6AC32BCF"/>
    <w:rsid w:val="6ACC8BA5"/>
    <w:rsid w:val="6AD7189D"/>
    <w:rsid w:val="6ADE5A18"/>
    <w:rsid w:val="6B0106DB"/>
    <w:rsid w:val="6B10A7D0"/>
    <w:rsid w:val="6B1EF816"/>
    <w:rsid w:val="6B53C358"/>
    <w:rsid w:val="6B68DE17"/>
    <w:rsid w:val="6BB71D44"/>
    <w:rsid w:val="6BC0A655"/>
    <w:rsid w:val="6BD98830"/>
    <w:rsid w:val="6BE1DDF9"/>
    <w:rsid w:val="6BF981D9"/>
    <w:rsid w:val="6C3878F6"/>
    <w:rsid w:val="6C72E8FE"/>
    <w:rsid w:val="6CBAC877"/>
    <w:rsid w:val="6CFBA118"/>
    <w:rsid w:val="6D366C44"/>
    <w:rsid w:val="6D629BBB"/>
    <w:rsid w:val="6D6B1BFA"/>
    <w:rsid w:val="6D914707"/>
    <w:rsid w:val="6D99348D"/>
    <w:rsid w:val="6DA6286A"/>
    <w:rsid w:val="6DF10101"/>
    <w:rsid w:val="6DFBC344"/>
    <w:rsid w:val="6E1E2AB0"/>
    <w:rsid w:val="6E247C07"/>
    <w:rsid w:val="6E5698D8"/>
    <w:rsid w:val="6E67FFA9"/>
    <w:rsid w:val="6E977179"/>
    <w:rsid w:val="6EA07ED9"/>
    <w:rsid w:val="6EAC284B"/>
    <w:rsid w:val="6EB77731"/>
    <w:rsid w:val="6EBF6A47"/>
    <w:rsid w:val="6EC72950"/>
    <w:rsid w:val="6EE953F5"/>
    <w:rsid w:val="6F22E328"/>
    <w:rsid w:val="6F286591"/>
    <w:rsid w:val="6F3F7EE7"/>
    <w:rsid w:val="6F47227E"/>
    <w:rsid w:val="6F5A6A48"/>
    <w:rsid w:val="6F6969DB"/>
    <w:rsid w:val="6F9359F4"/>
    <w:rsid w:val="6FA7A947"/>
    <w:rsid w:val="6FBDDC4E"/>
    <w:rsid w:val="6FD5672A"/>
    <w:rsid w:val="6FD86E3C"/>
    <w:rsid w:val="6FE418F3"/>
    <w:rsid w:val="6FF26939"/>
    <w:rsid w:val="6FF8D887"/>
    <w:rsid w:val="70215B00"/>
    <w:rsid w:val="70439C96"/>
    <w:rsid w:val="7047FCFD"/>
    <w:rsid w:val="706F334F"/>
    <w:rsid w:val="707D2172"/>
    <w:rsid w:val="70830E28"/>
    <w:rsid w:val="70A640F2"/>
    <w:rsid w:val="70AEEFE7"/>
    <w:rsid w:val="70B68995"/>
    <w:rsid w:val="70C2197A"/>
    <w:rsid w:val="70C758AD"/>
    <w:rsid w:val="70C95BF3"/>
    <w:rsid w:val="70E2F2DF"/>
    <w:rsid w:val="71228D4A"/>
    <w:rsid w:val="71463905"/>
    <w:rsid w:val="716C730B"/>
    <w:rsid w:val="719E87E9"/>
    <w:rsid w:val="71C1BF60"/>
    <w:rsid w:val="71CE0859"/>
    <w:rsid w:val="71DA520F"/>
    <w:rsid w:val="71DD3FFF"/>
    <w:rsid w:val="71F20F87"/>
    <w:rsid w:val="71FF4D16"/>
    <w:rsid w:val="7208160F"/>
    <w:rsid w:val="723A1E93"/>
    <w:rsid w:val="72421153"/>
    <w:rsid w:val="725D8169"/>
    <w:rsid w:val="725F3EC5"/>
    <w:rsid w:val="72638E25"/>
    <w:rsid w:val="7264F8D0"/>
    <w:rsid w:val="727059B9"/>
    <w:rsid w:val="728259AD"/>
    <w:rsid w:val="7289CED9"/>
    <w:rsid w:val="728B75F7"/>
    <w:rsid w:val="72904806"/>
    <w:rsid w:val="72A0B395"/>
    <w:rsid w:val="72BE0FE3"/>
    <w:rsid w:val="72C3185F"/>
    <w:rsid w:val="72E19E27"/>
    <w:rsid w:val="72EF5C27"/>
    <w:rsid w:val="731B4E07"/>
    <w:rsid w:val="731BB9B5"/>
    <w:rsid w:val="732CBB40"/>
    <w:rsid w:val="7348DFB2"/>
    <w:rsid w:val="7363B0BB"/>
    <w:rsid w:val="7364EC36"/>
    <w:rsid w:val="73779115"/>
    <w:rsid w:val="738D7F24"/>
    <w:rsid w:val="738FE578"/>
    <w:rsid w:val="73A466F3"/>
    <w:rsid w:val="73ACD11F"/>
    <w:rsid w:val="73BFF628"/>
    <w:rsid w:val="73C1DE58"/>
    <w:rsid w:val="73F26D37"/>
    <w:rsid w:val="73F6544B"/>
    <w:rsid w:val="740A18CC"/>
    <w:rsid w:val="740C7DFA"/>
    <w:rsid w:val="741A93A1"/>
    <w:rsid w:val="7423550F"/>
    <w:rsid w:val="74261794"/>
    <w:rsid w:val="744E38A7"/>
    <w:rsid w:val="74590F08"/>
    <w:rsid w:val="74C03D28"/>
    <w:rsid w:val="74C296B7"/>
    <w:rsid w:val="74EED3AE"/>
    <w:rsid w:val="74FEC577"/>
    <w:rsid w:val="7506B2FD"/>
    <w:rsid w:val="75117097"/>
    <w:rsid w:val="75252113"/>
    <w:rsid w:val="75385426"/>
    <w:rsid w:val="7559DFAF"/>
    <w:rsid w:val="7567877A"/>
    <w:rsid w:val="756B9CC8"/>
    <w:rsid w:val="75A25251"/>
    <w:rsid w:val="75A82602"/>
    <w:rsid w:val="75C888EA"/>
    <w:rsid w:val="75DCCBC3"/>
    <w:rsid w:val="75EF6918"/>
    <w:rsid w:val="7619AA28"/>
    <w:rsid w:val="763CAC05"/>
    <w:rsid w:val="766FF0F4"/>
    <w:rsid w:val="7688F83C"/>
    <w:rsid w:val="76891112"/>
    <w:rsid w:val="76A2835E"/>
    <w:rsid w:val="76C7863A"/>
    <w:rsid w:val="76DEE82C"/>
    <w:rsid w:val="76FC4DFD"/>
    <w:rsid w:val="76FF3BEA"/>
    <w:rsid w:val="770DB2A1"/>
    <w:rsid w:val="771D27BD"/>
    <w:rsid w:val="774A6021"/>
    <w:rsid w:val="7755CAD0"/>
    <w:rsid w:val="777424B8"/>
    <w:rsid w:val="77A0C059"/>
    <w:rsid w:val="77B8E555"/>
    <w:rsid w:val="77C07325"/>
    <w:rsid w:val="77C4F3CD"/>
    <w:rsid w:val="77D5BC37"/>
    <w:rsid w:val="77DCAF61"/>
    <w:rsid w:val="77F44A5A"/>
    <w:rsid w:val="77FAA4E7"/>
    <w:rsid w:val="783BA779"/>
    <w:rsid w:val="78AEA8F2"/>
    <w:rsid w:val="78D2CFA9"/>
    <w:rsid w:val="78D3F9AE"/>
    <w:rsid w:val="78E0B10C"/>
    <w:rsid w:val="79318A2B"/>
    <w:rsid w:val="794791AD"/>
    <w:rsid w:val="7954DA99"/>
    <w:rsid w:val="795D0358"/>
    <w:rsid w:val="795ED189"/>
    <w:rsid w:val="796E7550"/>
    <w:rsid w:val="7991EEE7"/>
    <w:rsid w:val="79AD7F9D"/>
    <w:rsid w:val="79C14FB3"/>
    <w:rsid w:val="79DF10A7"/>
    <w:rsid w:val="7A1DEC1F"/>
    <w:rsid w:val="7A252FAA"/>
    <w:rsid w:val="7A35AE88"/>
    <w:rsid w:val="7A4EAEEE"/>
    <w:rsid w:val="7A584FB1"/>
    <w:rsid w:val="7A5D6BDB"/>
    <w:rsid w:val="7A955918"/>
    <w:rsid w:val="7A993FAC"/>
    <w:rsid w:val="7AAAC2D1"/>
    <w:rsid w:val="7AB0A40E"/>
    <w:rsid w:val="7AED1B4B"/>
    <w:rsid w:val="7AF62F98"/>
    <w:rsid w:val="7AFB82A3"/>
    <w:rsid w:val="7B1D2663"/>
    <w:rsid w:val="7B2285DF"/>
    <w:rsid w:val="7B310466"/>
    <w:rsid w:val="7B4F7949"/>
    <w:rsid w:val="7B57DC81"/>
    <w:rsid w:val="7BC7D87C"/>
    <w:rsid w:val="7BCC37B3"/>
    <w:rsid w:val="7BE3F77B"/>
    <w:rsid w:val="7BE9329A"/>
    <w:rsid w:val="7BECF8AE"/>
    <w:rsid w:val="7BF811D8"/>
    <w:rsid w:val="7BFDFA81"/>
    <w:rsid w:val="7C07ED92"/>
    <w:rsid w:val="7C2B8BEA"/>
    <w:rsid w:val="7C4AA781"/>
    <w:rsid w:val="7C4D0F56"/>
    <w:rsid w:val="7C52664F"/>
    <w:rsid w:val="7C828A3B"/>
    <w:rsid w:val="7CB7E886"/>
    <w:rsid w:val="7CC525AD"/>
    <w:rsid w:val="7CCF9D16"/>
    <w:rsid w:val="7CD03AD2"/>
    <w:rsid w:val="7CD22B85"/>
    <w:rsid w:val="7D301CA1"/>
    <w:rsid w:val="7D433337"/>
    <w:rsid w:val="7D45F849"/>
    <w:rsid w:val="7D4962D2"/>
    <w:rsid w:val="7D50F785"/>
    <w:rsid w:val="7D6180FE"/>
    <w:rsid w:val="7D6C5210"/>
    <w:rsid w:val="7D7D8B61"/>
    <w:rsid w:val="7DB6627F"/>
    <w:rsid w:val="7DB82079"/>
    <w:rsid w:val="7E0756BD"/>
    <w:rsid w:val="7E3F515D"/>
    <w:rsid w:val="7E48C1AF"/>
    <w:rsid w:val="7E4D3185"/>
    <w:rsid w:val="7E76A970"/>
    <w:rsid w:val="7E85D320"/>
    <w:rsid w:val="7EAD9543"/>
    <w:rsid w:val="7EAEEA69"/>
    <w:rsid w:val="7EBEBAB7"/>
    <w:rsid w:val="7ECEC4E3"/>
    <w:rsid w:val="7ED545E4"/>
    <w:rsid w:val="7EFF77BF"/>
    <w:rsid w:val="7F12BA64"/>
    <w:rsid w:val="7F152F55"/>
    <w:rsid w:val="7F15C44A"/>
    <w:rsid w:val="7F165867"/>
    <w:rsid w:val="7F376FC2"/>
    <w:rsid w:val="7F4FA84E"/>
    <w:rsid w:val="7F642C5C"/>
    <w:rsid w:val="7F776B15"/>
    <w:rsid w:val="7F841982"/>
    <w:rsid w:val="7FB665FD"/>
    <w:rsid w:val="7FC95104"/>
    <w:rsid w:val="7FEB94D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58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35"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iPriority="99"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4" w:unhideWhenUsed="1"/>
    <w:lsdException w:name="List Bullet" w:semiHidden="1" w:unhideWhenUsed="1" w:qFormat="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nhideWhenUsed="1" w:qFormat="1"/>
    <w:lsdException w:name="Closing" w:semiHidden="1" w:uiPriority="99" w:unhideWhenUsed="1"/>
    <w:lsdException w:name="Signature" w:semiHidden="1" w:uiPriority="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qFormat="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iPriority="20" w:unhideWhenUsed="1" w:qFormat="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1" w:unhideWhenUsed="1" w:qFormat="1"/>
    <w:lsdException w:name="Quote" w:semiHidden="1" w:uiPriority="29" w:unhideWhenUsed="1" w:qFormat="1"/>
    <w:lsdException w:name="Intense Quote" w:semiHidden="1" w:uiPriority="1" w:unhideWhenUsed="1"/>
    <w:lsdException w:name="Medium List 2 Accent 1" w:uiPriority="66"/>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E21690"/>
    <w:pPr>
      <w:spacing w:after="200"/>
    </w:pPr>
    <w:rPr>
      <w:szCs w:val="24"/>
      <w:lang w:val="en-AU"/>
    </w:rPr>
  </w:style>
  <w:style w:type="paragraph" w:styleId="Heading1">
    <w:name w:val="heading 1"/>
    <w:basedOn w:val="Normal"/>
    <w:next w:val="Normal"/>
    <w:link w:val="Heading1Char"/>
    <w:uiPriority w:val="9"/>
    <w:unhideWhenUsed/>
    <w:qFormat/>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7369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AA3C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next w:val="AHPRAbody"/>
    <w:rsid w:val="003546FC"/>
    <w:pPr>
      <w:spacing w:before="200" w:after="0"/>
      <w:outlineLvl w:val="0"/>
    </w:pPr>
    <w:rPr>
      <w:rFonts w:cs="Arial"/>
      <w:color w:val="00BCE4"/>
      <w:sz w:val="32"/>
      <w:szCs w:val="52"/>
    </w:rPr>
  </w:style>
  <w:style w:type="paragraph" w:customStyle="1" w:styleId="AHPRAbody">
    <w:name w:val="AHPRA body"/>
    <w:basedOn w:val="Normal"/>
    <w:link w:val="AHPRAbodyChar"/>
    <w:qFormat/>
    <w:rsid w:val="00A569B0"/>
    <w:rPr>
      <w:rFonts w:cs="Arial"/>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link w:val="AHPRASubheadingChar"/>
    <w:qFormat/>
    <w:rsid w:val="00A10C1A"/>
    <w:pPr>
      <w:spacing w:before="200"/>
    </w:pPr>
    <w:rPr>
      <w:b/>
      <w:color w:val="007DC3"/>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p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3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E21690"/>
    <w:pPr>
      <w:spacing w:before="120" w:after="120"/>
      <w:jc w:val="center"/>
    </w:pPr>
    <w:rPr>
      <w:b/>
      <w:color w:val="FFFFFF" w:themeColor="background1"/>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
    <w:rsid w:val="001E4A94"/>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E73698"/>
    <w:pPr>
      <w:tabs>
        <w:tab w:val="center" w:pos="4513"/>
        <w:tab w:val="right" w:pos="9026"/>
      </w:tabs>
    </w:pPr>
  </w:style>
  <w:style w:type="character" w:customStyle="1" w:styleId="HeaderChar">
    <w:name w:val="Header Char"/>
    <w:basedOn w:val="DefaultParagraphFont"/>
    <w:link w:val="Header"/>
    <w:uiPriority w:val="99"/>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99"/>
    <w:unhideWhenUsed/>
    <w:rsid w:val="00E73698"/>
    <w:rPr>
      <w:szCs w:val="20"/>
    </w:rPr>
  </w:style>
  <w:style w:type="character" w:customStyle="1" w:styleId="FootnoteTextChar">
    <w:name w:val="Footnote Text Char"/>
    <w:basedOn w:val="DefaultParagraphFont"/>
    <w:link w:val="FootnoteText"/>
    <w:uiPriority w:val="99"/>
    <w:rsid w:val="001E4A94"/>
  </w:style>
  <w:style w:type="character" w:styleId="FootnoteReference">
    <w:name w:val="footnote reference"/>
    <w:basedOn w:val="DefaultParagraphFont"/>
    <w:uiPriority w:val="99"/>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9"/>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B56DAF"/>
    <w:pPr>
      <w:tabs>
        <w:tab w:val="right" w:leader="dot" w:pos="9396"/>
      </w:tabs>
      <w:ind w:left="240"/>
    </w:pPr>
    <w:rPr>
      <w:b w:val="0"/>
    </w:rPr>
  </w:style>
  <w:style w:type="paragraph" w:styleId="TOC1">
    <w:name w:val="toc 1"/>
    <w:aliases w:val="AHPRA table of contents"/>
    <w:basedOn w:val="AHPRASubheading"/>
    <w:next w:val="Normal"/>
    <w:autoRedefine/>
    <w:uiPriority w:val="39"/>
    <w:unhideWhenUsed/>
    <w:rsid w:val="00BC45BB"/>
    <w:pPr>
      <w:tabs>
        <w:tab w:val="right" w:leader="dot" w:pos="9356"/>
      </w:tabs>
    </w:pPr>
    <w:rPr>
      <w:noProof/>
    </w:rPr>
  </w:style>
  <w:style w:type="paragraph" w:styleId="TOC3">
    <w:name w:val="toc 3"/>
    <w:basedOn w:val="AHPRASubheadinglevel3"/>
    <w:next w:val="Normal"/>
    <w:autoRedefine/>
    <w:uiPriority w:val="39"/>
    <w:unhideWhenUsed/>
    <w:rsid w:val="00E44817"/>
    <w:pPr>
      <w:tabs>
        <w:tab w:val="right" w:leader="dot" w:pos="9396"/>
      </w:tabs>
      <w:ind w:left="480"/>
      <w:outlineLvl w:val="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uiPriority w:val="99"/>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40"/>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A569B0"/>
    <w:rPr>
      <w:rFonts w:cs="Arial"/>
      <w:szCs w:val="24"/>
      <w:lang w:val="en-AU"/>
    </w:rPr>
  </w:style>
  <w:style w:type="character" w:customStyle="1" w:styleId="AHPRAbodyboldChar">
    <w:name w:val="AHPRA body bold Char"/>
    <w:basedOn w:val="AHPRAbodyChar"/>
    <w:link w:val="AHPRAbodybold"/>
    <w:rsid w:val="000E7E28"/>
    <w:rPr>
      <w:rFonts w:cs="Arial"/>
      <w:b/>
      <w:szCs w:val="24"/>
      <w:lang w:val="en-AU"/>
    </w:rPr>
  </w:style>
  <w:style w:type="paragraph" w:styleId="TOCHeading">
    <w:name w:val="TOC Heading"/>
    <w:basedOn w:val="AHPRADocumentsubheading"/>
    <w:next w:val="AHPRAbody"/>
    <w:uiPriority w:val="39"/>
    <w:unhideWhenUsed/>
    <w:qFormat/>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lang w:val="en-AU"/>
    </w:rPr>
  </w:style>
  <w:style w:type="character" w:customStyle="1" w:styleId="AHPRAbodyunderlineChar">
    <w:name w:val="AHPRA body underline Char"/>
    <w:basedOn w:val="AHPRAbodyitalicsChar"/>
    <w:link w:val="AHPRAbodyunderline"/>
    <w:rsid w:val="000E7E28"/>
    <w:rPr>
      <w:rFonts w:cs="Arial"/>
      <w:b/>
      <w:i/>
      <w:szCs w:val="24"/>
      <w:u w:val="single"/>
      <w:lang w:val="en-AU"/>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Footer">
    <w:name w:val="footer"/>
    <w:basedOn w:val="Normal"/>
    <w:link w:val="FooterChar"/>
    <w:uiPriority w:val="99"/>
    <w:unhideWhenUsed/>
    <w:rsid w:val="00586D5F"/>
    <w:pPr>
      <w:tabs>
        <w:tab w:val="center" w:pos="4513"/>
        <w:tab w:val="right" w:pos="9026"/>
      </w:tabs>
      <w:spacing w:after="0"/>
    </w:pPr>
  </w:style>
  <w:style w:type="character" w:customStyle="1" w:styleId="FooterChar">
    <w:name w:val="Footer Char"/>
    <w:basedOn w:val="DefaultParagraphFont"/>
    <w:link w:val="Footer"/>
    <w:uiPriority w:val="99"/>
    <w:rsid w:val="00586D5F"/>
    <w:rPr>
      <w:sz w:val="24"/>
      <w:szCs w:val="24"/>
      <w:lang w:val="en-AU"/>
    </w:rPr>
  </w:style>
  <w:style w:type="numbering" w:customStyle="1" w:styleId="AHPRABullets">
    <w:name w:val="AHPRA Bullets"/>
    <w:uiPriority w:val="99"/>
    <w:rsid w:val="00E21690"/>
    <w:pPr>
      <w:numPr>
        <w:numId w:val="7"/>
      </w:numPr>
    </w:pPr>
  </w:style>
  <w:style w:type="paragraph" w:customStyle="1" w:styleId="BodyTextBullets">
    <w:name w:val="Body Text Bullets"/>
    <w:uiPriority w:val="1"/>
    <w:qFormat/>
    <w:rsid w:val="00E21690"/>
    <w:pPr>
      <w:numPr>
        <w:numId w:val="7"/>
      </w:numPr>
      <w:spacing w:after="120"/>
      <w:contextualSpacing/>
    </w:pPr>
    <w:rPr>
      <w:rFonts w:eastAsia="Times New Roman" w:cs="Arial"/>
      <w:noProof/>
      <w:szCs w:val="24"/>
      <w:lang w:val="en-AU" w:eastAsia="en-AU"/>
    </w:rPr>
  </w:style>
  <w:style w:type="numbering" w:customStyle="1" w:styleId="AHPRAListBullets">
    <w:name w:val="AHPRA List Bullets"/>
    <w:uiPriority w:val="99"/>
    <w:rsid w:val="00E21690"/>
    <w:pPr>
      <w:numPr>
        <w:numId w:val="9"/>
      </w:numPr>
    </w:pPr>
  </w:style>
  <w:style w:type="paragraph" w:customStyle="1" w:styleId="Tableheadingwhite">
    <w:name w:val="Table heading white"/>
    <w:uiPriority w:val="4"/>
    <w:rsid w:val="00E21690"/>
    <w:pPr>
      <w:spacing w:before="80" w:after="80"/>
      <w:ind w:left="113" w:right="113"/>
    </w:pPr>
    <w:rPr>
      <w:rFonts w:eastAsia="Times New Roman" w:cs="Arial"/>
      <w:b/>
      <w:noProof/>
      <w:color w:val="FFFFFF"/>
      <w:lang w:val="en-AU" w:eastAsia="en-AU"/>
    </w:rPr>
  </w:style>
  <w:style w:type="paragraph" w:customStyle="1" w:styleId="Tabletext">
    <w:name w:val="Table text"/>
    <w:uiPriority w:val="4"/>
    <w:rsid w:val="00E21690"/>
    <w:pPr>
      <w:spacing w:before="80" w:after="80"/>
      <w:ind w:left="113" w:right="113"/>
    </w:pPr>
    <w:rPr>
      <w:rFonts w:cs="Arial"/>
      <w:noProof/>
      <w:lang w:val="en-AU"/>
    </w:rPr>
  </w:style>
  <w:style w:type="paragraph" w:styleId="BodyText">
    <w:name w:val="Body Text"/>
    <w:basedOn w:val="Normal"/>
    <w:link w:val="BodyTextChar"/>
    <w:uiPriority w:val="1"/>
    <w:qFormat/>
    <w:rsid w:val="00E21690"/>
    <w:pPr>
      <w:spacing w:before="200"/>
    </w:pPr>
    <w:rPr>
      <w:rFonts w:cs="Arial"/>
      <w:noProof/>
    </w:rPr>
  </w:style>
  <w:style w:type="character" w:customStyle="1" w:styleId="BodyTextChar">
    <w:name w:val="Body Text Char"/>
    <w:basedOn w:val="DefaultParagraphFont"/>
    <w:link w:val="BodyText"/>
    <w:rsid w:val="00E21690"/>
    <w:rPr>
      <w:rFonts w:cs="Arial"/>
      <w:noProof/>
      <w:szCs w:val="24"/>
      <w:lang w:val="en-AU"/>
    </w:rPr>
  </w:style>
  <w:style w:type="table" w:customStyle="1" w:styleId="AHPRATable1">
    <w:name w:val="AHPRA Table 1"/>
    <w:basedOn w:val="TableGrid"/>
    <w:uiPriority w:val="99"/>
    <w:qFormat/>
    <w:rsid w:val="00E21690"/>
    <w:pPr>
      <w:ind w:left="113" w:right="113"/>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shd w:val="clear" w:color="auto" w:fill="007CC2"/>
      </w:tcPr>
    </w:tblStylePr>
    <w:tblStylePr w:type="firstCol">
      <w:tblPr/>
      <w:tcPr>
        <w:shd w:val="clear" w:color="auto" w:fill="007CC2"/>
      </w:tcPr>
    </w:tblStylePr>
    <w:tblStylePr w:type="band1Horz">
      <w:tblPr/>
      <w:tcPr>
        <w:shd w:val="clear" w:color="auto" w:fill="BEBFC0"/>
      </w:tcPr>
    </w:tblStylePr>
    <w:tblStylePr w:type="band2Horz">
      <w:tblPr/>
      <w:tcPr>
        <w:shd w:val="clear" w:color="auto" w:fill="DEDFDF"/>
      </w:tcPr>
    </w:tblStylePr>
  </w:style>
  <w:style w:type="paragraph" w:styleId="Date">
    <w:name w:val="Date"/>
    <w:basedOn w:val="Normal"/>
    <w:next w:val="Normal"/>
    <w:link w:val="DateChar"/>
    <w:uiPriority w:val="1"/>
    <w:semiHidden/>
    <w:rsid w:val="00E21690"/>
    <w:pPr>
      <w:spacing w:after="0"/>
      <w:jc w:val="both"/>
    </w:pPr>
    <w:rPr>
      <w:rFonts w:eastAsia="Times New Roman" w:cs="Arial"/>
      <w:noProof/>
      <w:lang w:eastAsia="en-AU"/>
    </w:rPr>
  </w:style>
  <w:style w:type="character" w:customStyle="1" w:styleId="DateChar">
    <w:name w:val="Date Char"/>
    <w:basedOn w:val="DefaultParagraphFont"/>
    <w:link w:val="Date"/>
    <w:uiPriority w:val="1"/>
    <w:semiHidden/>
    <w:rsid w:val="00E21690"/>
    <w:rPr>
      <w:rFonts w:eastAsia="Times New Roman" w:cs="Arial"/>
      <w:noProof/>
      <w:szCs w:val="24"/>
      <w:lang w:val="en-AU" w:eastAsia="en-AU"/>
    </w:rPr>
  </w:style>
  <w:style w:type="paragraph" w:styleId="ListNumber">
    <w:name w:val="List Number"/>
    <w:uiPriority w:val="2"/>
    <w:rsid w:val="00E21690"/>
    <w:pPr>
      <w:numPr>
        <w:numId w:val="8"/>
      </w:numPr>
      <w:spacing w:after="120"/>
      <w:contextualSpacing/>
    </w:pPr>
    <w:rPr>
      <w:rFonts w:eastAsia="Times New Roman" w:cs="Arial"/>
      <w:noProof/>
      <w:szCs w:val="24"/>
      <w:lang w:val="en-AU" w:eastAsia="en-AU"/>
    </w:rPr>
  </w:style>
  <w:style w:type="paragraph" w:styleId="ListNumber2">
    <w:name w:val="List Number 2"/>
    <w:basedOn w:val="Normal"/>
    <w:uiPriority w:val="1"/>
    <w:rsid w:val="00E21690"/>
    <w:pPr>
      <w:numPr>
        <w:ilvl w:val="1"/>
        <w:numId w:val="8"/>
      </w:numPr>
      <w:spacing w:after="120"/>
      <w:contextualSpacing/>
      <w:jc w:val="both"/>
    </w:pPr>
    <w:rPr>
      <w:rFonts w:eastAsia="Times New Roman" w:cs="Arial"/>
      <w:noProof/>
      <w:lang w:eastAsia="en-AU"/>
    </w:rPr>
  </w:style>
  <w:style w:type="paragraph" w:styleId="ListNumber3">
    <w:name w:val="List Number 3"/>
    <w:basedOn w:val="Normal"/>
    <w:uiPriority w:val="1"/>
    <w:rsid w:val="00E21690"/>
    <w:pPr>
      <w:numPr>
        <w:ilvl w:val="2"/>
        <w:numId w:val="8"/>
      </w:numPr>
      <w:spacing w:after="120"/>
      <w:contextualSpacing/>
      <w:jc w:val="both"/>
    </w:pPr>
    <w:rPr>
      <w:rFonts w:eastAsia="Times New Roman" w:cs="Arial"/>
      <w:noProof/>
      <w:lang w:eastAsia="en-AU"/>
    </w:rPr>
  </w:style>
  <w:style w:type="paragraph" w:styleId="Title">
    <w:name w:val="Title"/>
    <w:basedOn w:val="BodyText"/>
    <w:next w:val="Normal"/>
    <w:link w:val="TitleChar"/>
    <w:qFormat/>
    <w:rsid w:val="00E21690"/>
    <w:pPr>
      <w:framePr w:hSpace="181" w:wrap="around" w:vAnchor="page" w:hAnchor="page" w:y="3573"/>
      <w:spacing w:before="0" w:after="0"/>
    </w:pPr>
    <w:rPr>
      <w:color w:val="007CC2"/>
      <w:sz w:val="32"/>
    </w:rPr>
  </w:style>
  <w:style w:type="character" w:customStyle="1" w:styleId="TitleChar">
    <w:name w:val="Title Char"/>
    <w:basedOn w:val="DefaultParagraphFont"/>
    <w:link w:val="Title"/>
    <w:rsid w:val="00E21690"/>
    <w:rPr>
      <w:rFonts w:cs="Arial"/>
      <w:noProof/>
      <w:color w:val="007CC2"/>
      <w:sz w:val="32"/>
      <w:szCs w:val="24"/>
      <w:lang w:val="en-AU"/>
    </w:rPr>
  </w:style>
  <w:style w:type="paragraph" w:styleId="Subtitle">
    <w:name w:val="Subtitle"/>
    <w:basedOn w:val="Heading1"/>
    <w:next w:val="BodyText"/>
    <w:link w:val="SubtitleChar"/>
    <w:uiPriority w:val="1"/>
    <w:qFormat/>
    <w:rsid w:val="00E21690"/>
    <w:pPr>
      <w:spacing w:before="360" w:after="360"/>
    </w:pPr>
    <w:rPr>
      <w:rFonts w:ascii="Arial" w:eastAsia="Cambria" w:hAnsi="Arial" w:cs="Times New Roman"/>
      <w:b w:val="0"/>
      <w:bCs w:val="0"/>
      <w:noProof/>
      <w:color w:val="5F6062"/>
      <w:kern w:val="0"/>
      <w:szCs w:val="24"/>
    </w:rPr>
  </w:style>
  <w:style w:type="character" w:customStyle="1" w:styleId="SubtitleChar">
    <w:name w:val="Subtitle Char"/>
    <w:basedOn w:val="DefaultParagraphFont"/>
    <w:link w:val="Subtitle"/>
    <w:uiPriority w:val="1"/>
    <w:rsid w:val="00E21690"/>
    <w:rPr>
      <w:noProof/>
      <w:color w:val="5F6062"/>
      <w:sz w:val="32"/>
      <w:szCs w:val="24"/>
      <w:lang w:val="en-AU"/>
    </w:rPr>
  </w:style>
  <w:style w:type="character" w:styleId="PlaceholderText">
    <w:name w:val="Placeholder Text"/>
    <w:basedOn w:val="DefaultParagraphFont"/>
    <w:uiPriority w:val="99"/>
    <w:unhideWhenUsed/>
    <w:rsid w:val="00E21690"/>
    <w:rPr>
      <w:color w:val="808080"/>
    </w:rPr>
  </w:style>
  <w:style w:type="paragraph" w:customStyle="1" w:styleId="BodyTextBullets2">
    <w:name w:val="Body Text Bullets 2"/>
    <w:basedOn w:val="BodyTextBullets"/>
    <w:qFormat/>
    <w:rsid w:val="00E21690"/>
    <w:pPr>
      <w:numPr>
        <w:ilvl w:val="1"/>
      </w:numPr>
    </w:pPr>
  </w:style>
  <w:style w:type="paragraph" w:customStyle="1" w:styleId="BodyTextBullets3">
    <w:name w:val="Body Text Bullets 3"/>
    <w:basedOn w:val="BodyTextBullets"/>
    <w:qFormat/>
    <w:rsid w:val="00E21690"/>
    <w:pPr>
      <w:numPr>
        <w:ilvl w:val="2"/>
      </w:numPr>
    </w:pPr>
  </w:style>
  <w:style w:type="paragraph" w:customStyle="1" w:styleId="ListBullet1a">
    <w:name w:val="List Bullet 1a"/>
    <w:qFormat/>
    <w:rsid w:val="00E21690"/>
    <w:pPr>
      <w:numPr>
        <w:numId w:val="9"/>
      </w:numPr>
      <w:spacing w:after="120"/>
      <w:contextualSpacing/>
    </w:pPr>
    <w:rPr>
      <w:rFonts w:cs="Arial"/>
      <w:noProof/>
      <w:szCs w:val="24"/>
      <w:lang w:val="en-AU"/>
    </w:rPr>
  </w:style>
  <w:style w:type="paragraph" w:customStyle="1" w:styleId="ListBullet1b">
    <w:name w:val="List Bullet 1b"/>
    <w:qFormat/>
    <w:rsid w:val="00E21690"/>
    <w:pPr>
      <w:numPr>
        <w:ilvl w:val="3"/>
        <w:numId w:val="9"/>
      </w:numPr>
      <w:spacing w:after="120"/>
      <w:ind w:left="1106" w:hanging="369"/>
      <w:contextualSpacing/>
    </w:pPr>
    <w:rPr>
      <w:rFonts w:cs="Arial"/>
      <w:noProof/>
      <w:szCs w:val="24"/>
      <w:lang w:val="en-AU"/>
    </w:rPr>
  </w:style>
  <w:style w:type="paragraph" w:customStyle="1" w:styleId="ListBullet1c">
    <w:name w:val="List Bullet 1c"/>
    <w:qFormat/>
    <w:rsid w:val="00E21690"/>
    <w:pPr>
      <w:numPr>
        <w:ilvl w:val="6"/>
        <w:numId w:val="9"/>
      </w:numPr>
      <w:spacing w:after="120"/>
      <w:ind w:left="1474"/>
      <w:contextualSpacing/>
    </w:pPr>
    <w:rPr>
      <w:rFonts w:cs="Arial"/>
      <w:noProof/>
      <w:szCs w:val="24"/>
      <w:lang w:val="en-AU"/>
    </w:rPr>
  </w:style>
  <w:style w:type="paragraph" w:customStyle="1" w:styleId="StyleAHPRAtableheadingBackground1">
    <w:name w:val="Style AHPRA table heading + Background 1"/>
    <w:basedOn w:val="AHPRAtableheading"/>
    <w:rsid w:val="00E21690"/>
    <w:rPr>
      <w:bCs/>
    </w:rPr>
  </w:style>
  <w:style w:type="paragraph" w:customStyle="1" w:styleId="StyleAHPRADocumenttitleAfter0pt">
    <w:name w:val="Style AHPRA Document title + After:  0 pt"/>
    <w:basedOn w:val="AHPRADocumenttitle"/>
    <w:next w:val="AHPRAbody"/>
    <w:rsid w:val="00E21690"/>
    <w:rPr>
      <w:rFonts w:eastAsia="Times New Roman" w:cs="Times New Roman"/>
      <w:szCs w:val="20"/>
    </w:rPr>
  </w:style>
  <w:style w:type="paragraph" w:styleId="TOC7">
    <w:name w:val="toc 7"/>
    <w:basedOn w:val="Normal"/>
    <w:next w:val="Normal"/>
    <w:autoRedefine/>
    <w:uiPriority w:val="39"/>
    <w:unhideWhenUsed/>
    <w:rsid w:val="00B1443A"/>
    <w:pPr>
      <w:spacing w:after="100"/>
      <w:ind w:left="1200"/>
    </w:pPr>
  </w:style>
  <w:style w:type="paragraph" w:styleId="Revision">
    <w:name w:val="Revision"/>
    <w:hidden/>
    <w:uiPriority w:val="99"/>
    <w:semiHidden/>
    <w:rsid w:val="007E627E"/>
    <w:rPr>
      <w:szCs w:val="24"/>
      <w:lang w:val="en-AU"/>
    </w:rPr>
  </w:style>
  <w:style w:type="character" w:styleId="CommentReference">
    <w:name w:val="annotation reference"/>
    <w:basedOn w:val="DefaultParagraphFont"/>
    <w:uiPriority w:val="99"/>
    <w:semiHidden/>
    <w:unhideWhenUsed/>
    <w:rsid w:val="00336DBD"/>
    <w:rPr>
      <w:sz w:val="16"/>
      <w:szCs w:val="16"/>
    </w:rPr>
  </w:style>
  <w:style w:type="paragraph" w:styleId="CommentText">
    <w:name w:val="annotation text"/>
    <w:basedOn w:val="Normal"/>
    <w:link w:val="CommentTextChar"/>
    <w:uiPriority w:val="99"/>
    <w:unhideWhenUsed/>
    <w:rsid w:val="00336DBD"/>
    <w:rPr>
      <w:szCs w:val="20"/>
    </w:rPr>
  </w:style>
  <w:style w:type="character" w:customStyle="1" w:styleId="CommentTextChar">
    <w:name w:val="Comment Text Char"/>
    <w:basedOn w:val="DefaultParagraphFont"/>
    <w:link w:val="CommentText"/>
    <w:uiPriority w:val="99"/>
    <w:rsid w:val="00336DBD"/>
    <w:rPr>
      <w:lang w:val="en-AU"/>
    </w:rPr>
  </w:style>
  <w:style w:type="paragraph" w:styleId="CommentSubject">
    <w:name w:val="annotation subject"/>
    <w:basedOn w:val="CommentText"/>
    <w:next w:val="CommentText"/>
    <w:link w:val="CommentSubjectChar"/>
    <w:uiPriority w:val="99"/>
    <w:semiHidden/>
    <w:unhideWhenUsed/>
    <w:rsid w:val="00336DBD"/>
    <w:rPr>
      <w:b/>
      <w:bCs/>
    </w:rPr>
  </w:style>
  <w:style w:type="character" w:customStyle="1" w:styleId="CommentSubjectChar">
    <w:name w:val="Comment Subject Char"/>
    <w:basedOn w:val="CommentTextChar"/>
    <w:link w:val="CommentSubject"/>
    <w:uiPriority w:val="99"/>
    <w:semiHidden/>
    <w:rsid w:val="00336DBD"/>
    <w:rPr>
      <w:b/>
      <w:bCs/>
      <w:lang w:val="en-AU"/>
    </w:rPr>
  </w:style>
  <w:style w:type="paragraph" w:customStyle="1" w:styleId="BulletedListlvl1">
    <w:name w:val="Bulleted List lvl1"/>
    <w:uiPriority w:val="10"/>
    <w:qFormat/>
    <w:rsid w:val="005634CF"/>
    <w:pPr>
      <w:numPr>
        <w:numId w:val="10"/>
      </w:numPr>
      <w:spacing w:line="264" w:lineRule="auto"/>
    </w:pPr>
    <w:rPr>
      <w:rFonts w:asciiTheme="minorHAnsi" w:eastAsiaTheme="minorHAnsi" w:hAnsiTheme="minorHAnsi" w:cstheme="minorBidi"/>
      <w:color w:val="262626" w:themeColor="text1" w:themeTint="D9"/>
      <w:lang w:val="en-AU"/>
    </w:rPr>
  </w:style>
  <w:style w:type="paragraph" w:customStyle="1" w:styleId="BulletedListlvl2">
    <w:name w:val="Bulleted List lvl2"/>
    <w:basedOn w:val="BulletedListlvl1"/>
    <w:uiPriority w:val="10"/>
    <w:rsid w:val="005634CF"/>
    <w:pPr>
      <w:numPr>
        <w:ilvl w:val="1"/>
      </w:numPr>
      <w:ind w:left="1021" w:hanging="283"/>
    </w:pPr>
  </w:style>
  <w:style w:type="paragraph" w:customStyle="1" w:styleId="EmphasisPanelHeading">
    <w:name w:val="Emphasis Panel Heading"/>
    <w:basedOn w:val="Normal"/>
    <w:uiPriority w:val="11"/>
    <w:qFormat/>
    <w:rsid w:val="005634CF"/>
    <w:pPr>
      <w:keepLines/>
      <w:pBdr>
        <w:top w:val="single" w:sz="4" w:space="8" w:color="EEECE1" w:themeColor="background2"/>
        <w:left w:val="single" w:sz="4" w:space="8" w:color="EEECE1" w:themeColor="background2"/>
        <w:bottom w:val="single" w:sz="4" w:space="8" w:color="EEECE1" w:themeColor="background2"/>
        <w:right w:val="single" w:sz="4" w:space="8" w:color="EEECE1" w:themeColor="background2"/>
      </w:pBdr>
      <w:shd w:val="clear" w:color="auto" w:fill="EEECE1" w:themeFill="background2"/>
      <w:spacing w:before="60" w:after="60" w:line="240" w:lineRule="atLeast"/>
      <w:ind w:left="198" w:right="215"/>
    </w:pPr>
    <w:rPr>
      <w:rFonts w:asciiTheme="majorHAnsi" w:eastAsia="Times New Roman" w:hAnsiTheme="majorHAnsi"/>
      <w:b/>
      <w:color w:val="1F497D" w:themeColor="text2"/>
      <w:sz w:val="24"/>
      <w:lang w:val="en-US"/>
    </w:rPr>
  </w:style>
  <w:style w:type="paragraph" w:customStyle="1" w:styleId="EmphasisPanelBullet">
    <w:name w:val="Emphasis Panel Bullet"/>
    <w:uiPriority w:val="11"/>
    <w:qFormat/>
    <w:rsid w:val="005634CF"/>
    <w:pPr>
      <w:keepLines/>
      <w:numPr>
        <w:numId w:val="11"/>
      </w:numPr>
      <w:pBdr>
        <w:top w:val="single" w:sz="4" w:space="8" w:color="EEECE1" w:themeColor="background2"/>
        <w:left w:val="single" w:sz="4" w:space="8" w:color="EEECE1" w:themeColor="background2"/>
        <w:bottom w:val="single" w:sz="4" w:space="8" w:color="EEECE1" w:themeColor="background2"/>
        <w:right w:val="single" w:sz="4" w:space="8" w:color="EEECE1" w:themeColor="background2"/>
      </w:pBdr>
      <w:shd w:val="clear" w:color="auto" w:fill="EEECE1" w:themeFill="background2"/>
      <w:spacing w:before="120" w:after="120" w:line="264" w:lineRule="auto"/>
      <w:ind w:right="215"/>
    </w:pPr>
    <w:rPr>
      <w:rFonts w:asciiTheme="minorHAnsi" w:eastAsia="Times New Roman" w:hAnsiTheme="minorHAnsi" w:cstheme="minorHAnsi"/>
      <w:color w:val="262626" w:themeColor="text1" w:themeTint="D9"/>
      <w:szCs w:val="22"/>
    </w:rPr>
  </w:style>
  <w:style w:type="paragraph" w:customStyle="1" w:styleId="BulletedListlvl3">
    <w:name w:val="Bulleted List lvl3"/>
    <w:basedOn w:val="BulletedListlvl2"/>
    <w:uiPriority w:val="10"/>
    <w:rsid w:val="005634CF"/>
    <w:pPr>
      <w:numPr>
        <w:ilvl w:val="2"/>
      </w:numPr>
      <w:ind w:left="1418" w:hanging="284"/>
    </w:pPr>
    <w:rPr>
      <w:sz w:val="19"/>
      <w:szCs w:val="19"/>
    </w:rPr>
  </w:style>
  <w:style w:type="paragraph" w:styleId="NormalWeb">
    <w:name w:val="Normal (Web)"/>
    <w:basedOn w:val="Normal"/>
    <w:uiPriority w:val="99"/>
    <w:unhideWhenUsed/>
    <w:rsid w:val="005634CF"/>
    <w:pPr>
      <w:spacing w:before="100" w:beforeAutospacing="1" w:after="100" w:afterAutospacing="1"/>
    </w:pPr>
    <w:rPr>
      <w:rFonts w:ascii="Calibri" w:eastAsiaTheme="minorHAnsi" w:hAnsi="Calibri" w:cs="Calibri"/>
      <w:sz w:val="22"/>
      <w:szCs w:val="22"/>
      <w:lang w:eastAsia="en-AU"/>
    </w:rPr>
  </w:style>
  <w:style w:type="character" w:customStyle="1" w:styleId="normaltextrun">
    <w:name w:val="normaltextrun"/>
    <w:basedOn w:val="DefaultParagraphFont"/>
    <w:rsid w:val="005634CF"/>
  </w:style>
  <w:style w:type="character" w:styleId="Emphasis">
    <w:name w:val="Emphasis"/>
    <w:basedOn w:val="DefaultParagraphFont"/>
    <w:uiPriority w:val="20"/>
    <w:qFormat/>
    <w:rsid w:val="00F5273F"/>
    <w:rPr>
      <w:i/>
      <w:iCs/>
    </w:rPr>
  </w:style>
  <w:style w:type="character" w:customStyle="1" w:styleId="Heading4Char">
    <w:name w:val="Heading 4 Char"/>
    <w:basedOn w:val="DefaultParagraphFont"/>
    <w:link w:val="Heading4"/>
    <w:uiPriority w:val="9"/>
    <w:rsid w:val="00AA3C02"/>
    <w:rPr>
      <w:rFonts w:asciiTheme="majorHAnsi" w:eastAsiaTheme="majorEastAsia" w:hAnsiTheme="majorHAnsi" w:cstheme="majorBidi"/>
      <w:i/>
      <w:iCs/>
      <w:color w:val="365F91" w:themeColor="accent1" w:themeShade="BF"/>
      <w:szCs w:val="24"/>
      <w:lang w:val="en-AU"/>
    </w:rPr>
  </w:style>
  <w:style w:type="table" w:customStyle="1" w:styleId="PMCDefaultTableStyle">
    <w:name w:val="PMC Default Table Style"/>
    <w:basedOn w:val="TableNormal"/>
    <w:uiPriority w:val="99"/>
    <w:rsid w:val="00AA3C02"/>
    <w:pPr>
      <w:spacing w:before="60" w:after="60" w:line="264" w:lineRule="auto"/>
    </w:pPr>
    <w:rPr>
      <w:rFonts w:asciiTheme="minorHAnsi" w:eastAsiaTheme="minorHAnsi" w:hAnsiTheme="minorHAnsi" w:cstheme="minorBidi"/>
      <w:color w:val="262626" w:themeColor="text1" w:themeTint="D9"/>
      <w:sz w:val="18"/>
      <w:lang w:val="en-AU"/>
    </w:rPr>
    <w:tblPr>
      <w:tblStyleRowBandSize w:val="1"/>
      <w:tblBorders>
        <w:bottom w:val="single" w:sz="18" w:space="0" w:color="EEECE1" w:themeColor="background2"/>
        <w:insideH w:val="single" w:sz="4" w:space="0" w:color="EEECE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EECE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Recommendation"/>
    <w:basedOn w:val="Normal"/>
    <w:link w:val="ListParagraphChar"/>
    <w:uiPriority w:val="1"/>
    <w:qFormat/>
    <w:rsid w:val="00AA3C02"/>
    <w:pPr>
      <w:spacing w:after="120" w:line="264" w:lineRule="auto"/>
      <w:ind w:left="720"/>
      <w:contextualSpacing/>
    </w:pPr>
    <w:rPr>
      <w:rFonts w:asciiTheme="minorHAnsi" w:eastAsiaTheme="minorHAnsi" w:hAnsiTheme="minorHAnsi" w:cstheme="minorBidi"/>
      <w:color w:val="262626" w:themeColor="text1" w:themeTint="D9"/>
      <w:szCs w:val="20"/>
    </w:rPr>
  </w:style>
  <w:style w:type="paragraph" w:customStyle="1" w:styleId="TableBullet">
    <w:name w:val="Table Bullet"/>
    <w:basedOn w:val="ListParagraph"/>
    <w:uiPriority w:val="11"/>
    <w:qFormat/>
    <w:rsid w:val="00AA3C02"/>
    <w:pPr>
      <w:numPr>
        <w:numId w:val="13"/>
      </w:numPr>
      <w:spacing w:before="40" w:after="40" w:line="240" w:lineRule="auto"/>
      <w:ind w:left="1440" w:hanging="360"/>
      <w:contextualSpacing w:val="0"/>
    </w:pPr>
    <w:rPr>
      <w:sz w:val="18"/>
    </w:rPr>
  </w:style>
  <w:style w:type="paragraph" w:customStyle="1" w:styleId="NumberedListlvl1">
    <w:name w:val="Numbered List lvl1"/>
    <w:basedOn w:val="ListParagraph"/>
    <w:uiPriority w:val="9"/>
    <w:qFormat/>
    <w:rsid w:val="00AA3C02"/>
    <w:pPr>
      <w:numPr>
        <w:numId w:val="16"/>
      </w:numPr>
      <w:spacing w:after="0"/>
      <w:ind w:left="369" w:hanging="369"/>
      <w:contextualSpacing w:val="0"/>
    </w:pPr>
  </w:style>
  <w:style w:type="paragraph" w:customStyle="1" w:styleId="NumberedListlvl2">
    <w:name w:val="Numbered List lvl2"/>
    <w:basedOn w:val="NumberedListlvl1"/>
    <w:uiPriority w:val="9"/>
    <w:rsid w:val="00AA3C02"/>
    <w:pPr>
      <w:numPr>
        <w:ilvl w:val="1"/>
      </w:numPr>
      <w:ind w:left="369" w:firstLine="0"/>
    </w:pPr>
  </w:style>
  <w:style w:type="paragraph" w:customStyle="1" w:styleId="TableBody">
    <w:name w:val="Table Body"/>
    <w:basedOn w:val="Normal"/>
    <w:uiPriority w:val="11"/>
    <w:qFormat/>
    <w:rsid w:val="00AA3C02"/>
    <w:pPr>
      <w:spacing w:before="40" w:after="40" w:line="264" w:lineRule="auto"/>
    </w:pPr>
    <w:rPr>
      <w:rFonts w:asciiTheme="minorHAnsi" w:eastAsiaTheme="minorHAnsi" w:hAnsiTheme="minorHAnsi" w:cstheme="minorBidi"/>
      <w:color w:val="000000" w:themeColor="text1"/>
      <w:sz w:val="18"/>
      <w:szCs w:val="20"/>
    </w:rPr>
  </w:style>
  <w:style w:type="paragraph" w:customStyle="1" w:styleId="NumberedListlvl3">
    <w:name w:val="Numbered List lvl3"/>
    <w:basedOn w:val="NumberedListlvl1"/>
    <w:uiPriority w:val="9"/>
    <w:rsid w:val="00AA3C02"/>
    <w:pPr>
      <w:numPr>
        <w:ilvl w:val="2"/>
      </w:numPr>
      <w:ind w:left="369" w:firstLine="368"/>
    </w:pPr>
  </w:style>
  <w:style w:type="paragraph" w:customStyle="1" w:styleId="BasicParagraph">
    <w:name w:val="[Basic Paragraph]"/>
    <w:basedOn w:val="Normal"/>
    <w:uiPriority w:val="99"/>
    <w:semiHidden/>
    <w:rsid w:val="00AA3C02"/>
    <w:pPr>
      <w:autoSpaceDE w:val="0"/>
      <w:autoSpaceDN w:val="0"/>
      <w:adjustRightInd w:val="0"/>
      <w:spacing w:after="0" w:line="288" w:lineRule="auto"/>
      <w:textAlignment w:val="center"/>
    </w:pPr>
    <w:rPr>
      <w:rFonts w:asciiTheme="minorHAnsi" w:eastAsiaTheme="minorHAnsi" w:hAnsiTheme="minorHAnsi" w:cs="Minion Pro"/>
      <w:color w:val="000000"/>
      <w:szCs w:val="20"/>
      <w:lang w:val="en-GB"/>
    </w:rPr>
  </w:style>
  <w:style w:type="paragraph" w:customStyle="1" w:styleId="TableHeading">
    <w:name w:val="Table Heading"/>
    <w:basedOn w:val="Normal"/>
    <w:uiPriority w:val="11"/>
    <w:qFormat/>
    <w:rsid w:val="00AA3C02"/>
    <w:pPr>
      <w:spacing w:after="120" w:line="264" w:lineRule="auto"/>
    </w:pPr>
    <w:rPr>
      <w:rFonts w:asciiTheme="majorHAnsi" w:eastAsiaTheme="minorHAnsi" w:hAnsiTheme="majorHAnsi" w:cstheme="minorBidi"/>
      <w:bCs/>
      <w:color w:val="FFFFFF" w:themeColor="background1"/>
      <w:sz w:val="18"/>
      <w:szCs w:val="20"/>
    </w:rPr>
  </w:style>
  <w:style w:type="paragraph" w:customStyle="1" w:styleId="ProtectiveMarking">
    <w:name w:val="Protective Marking"/>
    <w:basedOn w:val="Normal"/>
    <w:uiPriority w:val="13"/>
    <w:qFormat/>
    <w:rsid w:val="00AA3C02"/>
    <w:pPr>
      <w:spacing w:after="0"/>
      <w:jc w:val="center"/>
    </w:pPr>
    <w:rPr>
      <w:rFonts w:asciiTheme="majorHAnsi" w:eastAsiaTheme="minorHAnsi" w:hAnsiTheme="majorHAnsi" w:cstheme="minorBidi"/>
      <w:caps/>
      <w:noProof/>
      <w:color w:val="CD1719"/>
      <w:sz w:val="16"/>
      <w:szCs w:val="20"/>
    </w:rPr>
  </w:style>
  <w:style w:type="table" w:customStyle="1" w:styleId="PMCTableStyle2">
    <w:name w:val="PMC Table Style 2"/>
    <w:basedOn w:val="TableNormal"/>
    <w:uiPriority w:val="99"/>
    <w:rsid w:val="00AA3C02"/>
    <w:pPr>
      <w:spacing w:before="60" w:after="60" w:line="264" w:lineRule="auto"/>
    </w:pPr>
    <w:rPr>
      <w:rFonts w:asciiTheme="minorHAnsi" w:eastAsiaTheme="minorHAnsi" w:hAnsiTheme="minorHAnsi" w:cstheme="minorBidi"/>
      <w:color w:val="262626" w:themeColor="text1" w:themeTint="D9"/>
      <w:lang w:val="en-AU"/>
    </w:rPr>
    <w:tblPr>
      <w:tblStyleRowBandSize w:val="1"/>
      <w:tblBorders>
        <w:top w:val="single" w:sz="4" w:space="0" w:color="ECF1F8" w:themeColor="accent1" w:themeTint="1A"/>
        <w:left w:val="single" w:sz="4" w:space="0" w:color="ECF1F8" w:themeColor="accent1" w:themeTint="1A"/>
        <w:bottom w:val="single" w:sz="12" w:space="0" w:color="1F497D" w:themeColor="text2"/>
        <w:right w:val="single" w:sz="4" w:space="0" w:color="ECF1F8" w:themeColor="accent1" w:themeTint="1A"/>
        <w:insideH w:val="single" w:sz="4" w:space="0" w:color="ECF1F8" w:themeColor="accent1" w:themeTint="1A"/>
        <w:insideV w:val="single" w:sz="4" w:space="0" w:color="ECF1F8"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1F497D"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AA3C02"/>
    <w:pPr>
      <w:spacing w:after="120" w:line="264" w:lineRule="auto"/>
      <w:ind w:left="567" w:right="567"/>
    </w:pPr>
    <w:rPr>
      <w:rFonts w:asciiTheme="majorHAnsi" w:eastAsiaTheme="minorHAnsi" w:hAnsiTheme="majorHAnsi" w:cstheme="minorBidi"/>
      <w:color w:val="1F497D" w:themeColor="text2"/>
      <w:sz w:val="24"/>
    </w:rPr>
  </w:style>
  <w:style w:type="character" w:customStyle="1" w:styleId="QuoteChar">
    <w:name w:val="Quote Char"/>
    <w:basedOn w:val="DefaultParagraphFont"/>
    <w:link w:val="Quote"/>
    <w:uiPriority w:val="29"/>
    <w:rsid w:val="00AA3C02"/>
    <w:rPr>
      <w:rFonts w:asciiTheme="majorHAnsi" w:eastAsiaTheme="minorHAnsi" w:hAnsiTheme="majorHAnsi" w:cstheme="minorBidi"/>
      <w:color w:val="1F497D" w:themeColor="text2"/>
      <w:sz w:val="24"/>
      <w:szCs w:val="24"/>
      <w:lang w:val="en-AU"/>
    </w:rPr>
  </w:style>
  <w:style w:type="paragraph" w:styleId="NoSpacing">
    <w:name w:val="No Spacing"/>
    <w:basedOn w:val="BodyText"/>
    <w:link w:val="NoSpacingChar"/>
    <w:uiPriority w:val="1"/>
    <w:semiHidden/>
    <w:rsid w:val="00AA3C02"/>
    <w:pPr>
      <w:spacing w:before="0" w:after="120" w:line="264" w:lineRule="auto"/>
      <w:contextualSpacing/>
    </w:pPr>
    <w:rPr>
      <w:rFonts w:asciiTheme="minorHAnsi" w:eastAsiaTheme="minorHAnsi" w:hAnsiTheme="minorHAnsi" w:cstheme="minorBidi"/>
      <w:noProof w:val="0"/>
      <w:color w:val="262626" w:themeColor="text1" w:themeTint="D9"/>
      <w:szCs w:val="20"/>
    </w:rPr>
  </w:style>
  <w:style w:type="character" w:customStyle="1" w:styleId="NoSpacingChar">
    <w:name w:val="No Spacing Char"/>
    <w:basedOn w:val="DefaultParagraphFont"/>
    <w:link w:val="NoSpacing"/>
    <w:uiPriority w:val="1"/>
    <w:semiHidden/>
    <w:rsid w:val="00AA3C02"/>
    <w:rPr>
      <w:rFonts w:asciiTheme="minorHAnsi" w:eastAsiaTheme="minorHAnsi" w:hAnsiTheme="minorHAnsi" w:cstheme="minorBidi"/>
      <w:color w:val="262626" w:themeColor="text1" w:themeTint="D9"/>
      <w:lang w:val="en-AU"/>
    </w:rPr>
  </w:style>
  <w:style w:type="paragraph" w:customStyle="1" w:styleId="CoverTitle">
    <w:name w:val="Cover Title"/>
    <w:basedOn w:val="NoSpacing"/>
    <w:uiPriority w:val="11"/>
    <w:qFormat/>
    <w:rsid w:val="00AA3C02"/>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AA3C02"/>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qFormat/>
    <w:rsid w:val="00AA3C02"/>
    <w:pPr>
      <w:spacing w:after="240"/>
    </w:pPr>
    <w:rPr>
      <w:color w:val="FFFFFF" w:themeColor="background1"/>
      <w:sz w:val="24"/>
      <w:szCs w:val="28"/>
    </w:rPr>
  </w:style>
  <w:style w:type="paragraph" w:customStyle="1" w:styleId="Footerline">
    <w:name w:val="Footer line"/>
    <w:uiPriority w:val="11"/>
    <w:qFormat/>
    <w:rsid w:val="00AA3C02"/>
    <w:pPr>
      <w:spacing w:before="20" w:after="240" w:line="264" w:lineRule="auto"/>
    </w:pPr>
    <w:rPr>
      <w:rFonts w:asciiTheme="minorHAnsi" w:eastAsiaTheme="minorHAnsi" w:hAnsiTheme="minorHAnsi" w:cstheme="minorBidi"/>
      <w:caps/>
      <w:noProof/>
      <w:color w:val="4F81BD" w:themeColor="accent1"/>
      <w:lang w:val="en-AU"/>
    </w:rPr>
  </w:style>
  <w:style w:type="paragraph" w:customStyle="1" w:styleId="TableNumbering">
    <w:name w:val="Table Numbering"/>
    <w:uiPriority w:val="11"/>
    <w:qFormat/>
    <w:rsid w:val="00AA3C02"/>
    <w:pPr>
      <w:numPr>
        <w:numId w:val="14"/>
      </w:numPr>
      <w:spacing w:before="40" w:after="40" w:line="264" w:lineRule="auto"/>
    </w:pPr>
    <w:rPr>
      <w:rFonts w:asciiTheme="minorHAnsi" w:eastAsiaTheme="minorHAnsi" w:hAnsiTheme="minorHAnsi" w:cstheme="minorBidi"/>
      <w:color w:val="000000" w:themeColor="text1"/>
      <w:sz w:val="18"/>
      <w:lang w:val="en-AU"/>
    </w:rPr>
  </w:style>
  <w:style w:type="paragraph" w:styleId="Caption">
    <w:name w:val="caption"/>
    <w:basedOn w:val="Normal"/>
    <w:next w:val="Normal"/>
    <w:uiPriority w:val="35"/>
    <w:unhideWhenUsed/>
    <w:qFormat/>
    <w:rsid w:val="00AA3C02"/>
    <w:pPr>
      <w:keepNext/>
      <w:tabs>
        <w:tab w:val="left" w:pos="851"/>
        <w:tab w:val="left" w:pos="1017"/>
      </w:tabs>
      <w:spacing w:before="120" w:after="120" w:line="264" w:lineRule="auto"/>
      <w:ind w:left="851" w:hanging="851"/>
    </w:pPr>
    <w:rPr>
      <w:rFonts w:asciiTheme="majorHAnsi" w:eastAsiaTheme="minorHAnsi" w:hAnsiTheme="majorHAnsi" w:cstheme="minorBidi"/>
      <w:b/>
      <w:iCs/>
      <w:color w:val="1F497D" w:themeColor="text2"/>
      <w:szCs w:val="18"/>
    </w:rPr>
  </w:style>
  <w:style w:type="paragraph" w:styleId="List">
    <w:name w:val="List"/>
    <w:uiPriority w:val="4"/>
    <w:semiHidden/>
    <w:rsid w:val="00AA3C02"/>
    <w:pPr>
      <w:numPr>
        <w:numId w:val="15"/>
      </w:numPr>
      <w:spacing w:after="120" w:line="324" w:lineRule="auto"/>
      <w:ind w:left="567" w:hanging="283"/>
    </w:pPr>
    <w:rPr>
      <w:rFonts w:asciiTheme="minorHAnsi" w:eastAsiaTheme="minorHAnsi" w:hAnsiTheme="minorHAnsi" w:cstheme="minorBidi"/>
      <w:color w:val="464E52"/>
      <w:sz w:val="18"/>
      <w:szCs w:val="18"/>
      <w:lang w:val="en-AU"/>
    </w:rPr>
  </w:style>
  <w:style w:type="paragraph" w:customStyle="1" w:styleId="EmphasisPanelBody">
    <w:name w:val="Emphasis Panel Body"/>
    <w:basedOn w:val="Normal"/>
    <w:uiPriority w:val="11"/>
    <w:qFormat/>
    <w:rsid w:val="00AA3C02"/>
    <w:pPr>
      <w:keepLines/>
      <w:pBdr>
        <w:top w:val="single" w:sz="4" w:space="8" w:color="EEECE1" w:themeColor="background2"/>
        <w:left w:val="single" w:sz="4" w:space="8" w:color="EEECE1" w:themeColor="background2"/>
        <w:bottom w:val="single" w:sz="4" w:space="8" w:color="EEECE1" w:themeColor="background2"/>
        <w:right w:val="single" w:sz="4" w:space="8" w:color="EEECE1" w:themeColor="background2"/>
      </w:pBdr>
      <w:shd w:val="clear" w:color="auto" w:fill="EEECE1" w:themeFill="background2"/>
      <w:spacing w:before="120" w:after="120" w:line="264" w:lineRule="auto"/>
      <w:ind w:left="198" w:right="215"/>
    </w:pPr>
    <w:rPr>
      <w:rFonts w:asciiTheme="minorHAnsi" w:eastAsia="Times New Roman" w:hAnsiTheme="minorHAnsi" w:cstheme="minorHAnsi"/>
      <w:color w:val="262626" w:themeColor="text1" w:themeTint="D9"/>
      <w:szCs w:val="20"/>
      <w:lang w:val="en-US"/>
    </w:rPr>
  </w:style>
  <w:style w:type="table" w:customStyle="1" w:styleId="Clear">
    <w:name w:val="Clear"/>
    <w:basedOn w:val="TableNormal"/>
    <w:uiPriority w:val="99"/>
    <w:rsid w:val="00AA3C02"/>
    <w:rPr>
      <w:rFonts w:asciiTheme="minorHAnsi" w:eastAsiaTheme="minorHAnsi" w:hAnsiTheme="minorHAnsi" w:cstheme="minorBidi"/>
      <w:color w:val="1F497D" w:themeColor="text2"/>
      <w:szCs w:val="18"/>
      <w:lang w:val="en-AU"/>
    </w:rPr>
    <w:tblPr>
      <w:tblCellMar>
        <w:left w:w="0" w:type="dxa"/>
        <w:right w:w="0" w:type="dxa"/>
      </w:tblCellMar>
    </w:tblPr>
  </w:style>
  <w:style w:type="table" w:customStyle="1" w:styleId="TableGrid0">
    <w:name w:val="TableGrid"/>
    <w:rsid w:val="00AA3C02"/>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character" w:styleId="Strong">
    <w:name w:val="Strong"/>
    <w:basedOn w:val="DefaultParagraphFont"/>
    <w:uiPriority w:val="22"/>
    <w:qFormat/>
    <w:rsid w:val="00AA3C02"/>
    <w:rPr>
      <w:b/>
      <w:bCs/>
    </w:rPr>
  </w:style>
  <w:style w:type="character" w:customStyle="1" w:styleId="citationpublication">
    <w:name w:val="citation_publication"/>
    <w:basedOn w:val="DefaultParagraphFont"/>
    <w:rsid w:val="00AA3C02"/>
  </w:style>
  <w:style w:type="character" w:customStyle="1" w:styleId="citationvolumenumber">
    <w:name w:val="citation_volume_number"/>
    <w:basedOn w:val="DefaultParagraphFont"/>
    <w:rsid w:val="00AA3C02"/>
  </w:style>
  <w:style w:type="character" w:customStyle="1" w:styleId="UnresolvedMention1">
    <w:name w:val="Unresolved Mention1"/>
    <w:basedOn w:val="DefaultParagraphFont"/>
    <w:uiPriority w:val="99"/>
    <w:semiHidden/>
    <w:unhideWhenUsed/>
    <w:rsid w:val="00AA3C02"/>
    <w:rPr>
      <w:color w:val="605E5C"/>
      <w:shd w:val="clear" w:color="auto" w:fill="E1DFDD"/>
    </w:rPr>
  </w:style>
  <w:style w:type="paragraph" w:customStyle="1" w:styleId="paragraph">
    <w:name w:val="paragraph"/>
    <w:basedOn w:val="Normal"/>
    <w:rsid w:val="00AA3C02"/>
    <w:pPr>
      <w:spacing w:before="100" w:beforeAutospacing="1" w:after="100" w:afterAutospacing="1"/>
    </w:pPr>
    <w:rPr>
      <w:rFonts w:ascii="Times New Roman" w:eastAsia="Times New Roman" w:hAnsi="Times New Roman"/>
      <w:sz w:val="24"/>
      <w:lang w:eastAsia="en-AU"/>
    </w:rPr>
  </w:style>
  <w:style w:type="character" w:customStyle="1" w:styleId="eop">
    <w:name w:val="eop"/>
    <w:basedOn w:val="DefaultParagraphFont"/>
    <w:rsid w:val="00AA3C02"/>
  </w:style>
  <w:style w:type="character" w:styleId="FollowedHyperlink">
    <w:name w:val="FollowedHyperlink"/>
    <w:basedOn w:val="DefaultParagraphFont"/>
    <w:uiPriority w:val="99"/>
    <w:semiHidden/>
    <w:unhideWhenUsed/>
    <w:rsid w:val="00AA3C02"/>
    <w:rPr>
      <w:color w:val="800080" w:themeColor="followedHyperlink"/>
      <w:u w:val="single"/>
    </w:rPr>
  </w:style>
  <w:style w:type="paragraph" w:customStyle="1" w:styleId="xxxmsonormal">
    <w:name w:val="x_x_xmsonormal"/>
    <w:basedOn w:val="Normal"/>
    <w:rsid w:val="00AA3C02"/>
    <w:pPr>
      <w:spacing w:after="0"/>
    </w:pPr>
    <w:rPr>
      <w:rFonts w:ascii="Calibri" w:eastAsiaTheme="minorHAnsi" w:hAnsi="Calibri" w:cs="Calibri"/>
      <w:sz w:val="22"/>
      <w:szCs w:val="22"/>
      <w:lang w:eastAsia="en-AU"/>
    </w:rPr>
  </w:style>
  <w:style w:type="character" w:customStyle="1" w:styleId="author">
    <w:name w:val="author"/>
    <w:basedOn w:val="DefaultParagraphFont"/>
    <w:rsid w:val="00AA3C02"/>
  </w:style>
  <w:style w:type="character" w:customStyle="1" w:styleId="pubyear">
    <w:name w:val="pubyear"/>
    <w:basedOn w:val="DefaultParagraphFont"/>
    <w:rsid w:val="00AA3C02"/>
  </w:style>
  <w:style w:type="character" w:customStyle="1" w:styleId="articletitle">
    <w:name w:val="articletitle"/>
    <w:basedOn w:val="DefaultParagraphFont"/>
    <w:rsid w:val="00AA3C02"/>
  </w:style>
  <w:style w:type="character" w:customStyle="1" w:styleId="vol">
    <w:name w:val="vol"/>
    <w:basedOn w:val="DefaultParagraphFont"/>
    <w:rsid w:val="00AA3C02"/>
  </w:style>
  <w:style w:type="character" w:customStyle="1" w:styleId="citedissue">
    <w:name w:val="citedissue"/>
    <w:basedOn w:val="DefaultParagraphFont"/>
    <w:rsid w:val="00AA3C02"/>
  </w:style>
  <w:style w:type="character" w:customStyle="1" w:styleId="pagefirst">
    <w:name w:val="pagefirst"/>
    <w:basedOn w:val="DefaultParagraphFont"/>
    <w:rsid w:val="00AA3C02"/>
  </w:style>
  <w:style w:type="character" w:customStyle="1" w:styleId="highwire-citation-authors">
    <w:name w:val="highwire-citation-authors"/>
    <w:basedOn w:val="DefaultParagraphFont"/>
    <w:rsid w:val="00AA3C02"/>
  </w:style>
  <w:style w:type="character" w:customStyle="1" w:styleId="highwire-citation-author">
    <w:name w:val="highwire-citation-author"/>
    <w:basedOn w:val="DefaultParagraphFont"/>
    <w:rsid w:val="00AA3C02"/>
  </w:style>
  <w:style w:type="character" w:customStyle="1" w:styleId="nlm-surname">
    <w:name w:val="nlm-surname"/>
    <w:basedOn w:val="DefaultParagraphFont"/>
    <w:rsid w:val="00AA3C02"/>
  </w:style>
  <w:style w:type="character" w:customStyle="1" w:styleId="citation-et">
    <w:name w:val="citation-et"/>
    <w:basedOn w:val="DefaultParagraphFont"/>
    <w:rsid w:val="00AA3C02"/>
  </w:style>
  <w:style w:type="character" w:customStyle="1" w:styleId="highwire-cite-metadata-journal">
    <w:name w:val="highwire-cite-metadata-journal"/>
    <w:basedOn w:val="DefaultParagraphFont"/>
    <w:rsid w:val="00AA3C02"/>
  </w:style>
  <w:style w:type="character" w:customStyle="1" w:styleId="highwire-cite-metadata-year">
    <w:name w:val="highwire-cite-metadata-year"/>
    <w:basedOn w:val="DefaultParagraphFont"/>
    <w:rsid w:val="00AA3C02"/>
  </w:style>
  <w:style w:type="character" w:customStyle="1" w:styleId="highwire-cite-metadata-volume">
    <w:name w:val="highwire-cite-metadata-volume"/>
    <w:basedOn w:val="DefaultParagraphFont"/>
    <w:rsid w:val="00AA3C02"/>
  </w:style>
  <w:style w:type="character" w:customStyle="1" w:styleId="highwire-cite-metadata-elocation-id">
    <w:name w:val="highwire-cite-metadata-elocation-id"/>
    <w:basedOn w:val="DefaultParagraphFont"/>
    <w:rsid w:val="00AA3C02"/>
  </w:style>
  <w:style w:type="character" w:customStyle="1" w:styleId="highwire-cite-metadata-doi">
    <w:name w:val="highwire-cite-metadata-doi"/>
    <w:basedOn w:val="DefaultParagraphFont"/>
    <w:rsid w:val="00AA3C02"/>
  </w:style>
  <w:style w:type="character" w:customStyle="1" w:styleId="label">
    <w:name w:val="label"/>
    <w:basedOn w:val="DefaultParagraphFont"/>
    <w:rsid w:val="00AA3C02"/>
  </w:style>
  <w:style w:type="table" w:styleId="LightList-Accent3">
    <w:name w:val="Light List Accent 3"/>
    <w:basedOn w:val="TableNormal"/>
    <w:uiPriority w:val="61"/>
    <w:rsid w:val="00AA3C02"/>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AA3C02"/>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hprabody0">
    <w:name w:val="ahprabody"/>
    <w:basedOn w:val="Normal"/>
    <w:rsid w:val="00AA3C02"/>
    <w:pPr>
      <w:spacing w:before="100" w:beforeAutospacing="1" w:after="100" w:afterAutospacing="1"/>
    </w:pPr>
    <w:rPr>
      <w:rFonts w:ascii="Times New Roman" w:eastAsia="Times New Roman" w:hAnsi="Times New Roman"/>
      <w:sz w:val="24"/>
      <w:lang w:eastAsia="en-AU"/>
    </w:rPr>
  </w:style>
  <w:style w:type="paragraph" w:customStyle="1" w:styleId="ahprasubheading0">
    <w:name w:val="ahprasubheading"/>
    <w:basedOn w:val="Normal"/>
    <w:rsid w:val="00AA3C02"/>
    <w:pPr>
      <w:spacing w:before="100" w:beforeAutospacing="1" w:after="100" w:afterAutospacing="1"/>
    </w:pPr>
    <w:rPr>
      <w:rFonts w:ascii="Times New Roman" w:eastAsia="Times New Roman" w:hAnsi="Times New Roman"/>
      <w:sz w:val="24"/>
      <w:lang w:eastAsia="en-AU"/>
    </w:rPr>
  </w:style>
  <w:style w:type="paragraph" w:customStyle="1" w:styleId="ahprabody00">
    <w:name w:val="ahprabody0"/>
    <w:basedOn w:val="Normal"/>
    <w:rsid w:val="00AA3C02"/>
    <w:pPr>
      <w:spacing w:before="100" w:beforeAutospacing="1" w:after="100" w:afterAutospacing="1"/>
    </w:pPr>
    <w:rPr>
      <w:rFonts w:ascii="Times New Roman" w:eastAsia="Times New Roman" w:hAnsi="Times New Roman"/>
      <w:sz w:val="24"/>
      <w:lang w:eastAsia="en-AU"/>
    </w:rPr>
  </w:style>
  <w:style w:type="character" w:customStyle="1" w:styleId="AHPRASubheadingChar">
    <w:name w:val="AHPRA Subheading Char"/>
    <w:basedOn w:val="DefaultParagraphFont"/>
    <w:link w:val="AHPRASubheading"/>
    <w:rsid w:val="00AA3C02"/>
    <w:rPr>
      <w:b/>
      <w:color w:val="007DC3"/>
      <w:szCs w:val="24"/>
      <w:lang w:val="en-AU"/>
    </w:rPr>
  </w:style>
  <w:style w:type="paragraph" w:customStyle="1" w:styleId="AHPRAbodyContextparanumbered">
    <w:name w:val="AHPRA body 'Context' para numbered"/>
    <w:uiPriority w:val="1"/>
    <w:qFormat/>
    <w:rsid w:val="00AA3C02"/>
    <w:pPr>
      <w:numPr>
        <w:numId w:val="17"/>
      </w:numPr>
      <w:spacing w:after="200"/>
    </w:pPr>
    <w:rPr>
      <w:rFonts w:cs="Arial"/>
      <w:szCs w:val="24"/>
      <w:lang w:val="en-AU"/>
    </w:rPr>
  </w:style>
  <w:style w:type="character" w:customStyle="1" w:styleId="ListParagraphChar">
    <w:name w:val="List Paragraph Char"/>
    <w:aliases w:val="Recommendation Char"/>
    <w:link w:val="ListParagraph"/>
    <w:uiPriority w:val="34"/>
    <w:locked/>
    <w:rsid w:val="00AA3C02"/>
    <w:rPr>
      <w:rFonts w:asciiTheme="minorHAnsi" w:eastAsiaTheme="minorHAnsi" w:hAnsiTheme="minorHAnsi" w:cstheme="minorBidi"/>
      <w:color w:val="262626" w:themeColor="text1" w:themeTint="D9"/>
      <w:lang w:val="en-AU"/>
    </w:rPr>
  </w:style>
  <w:style w:type="paragraph" w:customStyle="1" w:styleId="AHPRABody1">
    <w:name w:val="AHPRA Body"/>
    <w:basedOn w:val="Normal"/>
    <w:qFormat/>
    <w:rsid w:val="00AA3C02"/>
    <w:pPr>
      <w:spacing w:after="0"/>
    </w:pPr>
    <w:rPr>
      <w:rFonts w:eastAsia="Times New Roman" w:cs="Arial"/>
      <w:szCs w:val="20"/>
      <w:lang w:eastAsia="en-AU"/>
    </w:rPr>
  </w:style>
  <w:style w:type="character" w:customStyle="1" w:styleId="ui-provider">
    <w:name w:val="ui-provider"/>
    <w:basedOn w:val="DefaultParagraphFont"/>
    <w:rsid w:val="00AA3C02"/>
  </w:style>
  <w:style w:type="paragraph" w:customStyle="1" w:styleId="AHPRASubhead">
    <w:name w:val="AHPRA Subhead"/>
    <w:basedOn w:val="Normal"/>
    <w:qFormat/>
    <w:rsid w:val="00353496"/>
    <w:rPr>
      <w:b/>
      <w:color w:val="008EC4"/>
    </w:rPr>
  </w:style>
  <w:style w:type="paragraph" w:customStyle="1" w:styleId="AHPRAHeadline">
    <w:name w:val="AHPRA Headline"/>
    <w:basedOn w:val="Normal"/>
    <w:qFormat/>
    <w:rsid w:val="00353496"/>
    <w:rPr>
      <w:color w:val="008EC4"/>
      <w:sz w:val="28"/>
      <w:lang w:val="en-US"/>
    </w:rPr>
  </w:style>
  <w:style w:type="paragraph" w:styleId="ListBullet">
    <w:name w:val="List Bullet"/>
    <w:basedOn w:val="Normal"/>
    <w:unhideWhenUsed/>
    <w:qFormat/>
    <w:rsid w:val="00353496"/>
    <w:pPr>
      <w:numPr>
        <w:numId w:val="18"/>
      </w:numPr>
      <w:spacing w:before="60" w:after="60" w:line="288" w:lineRule="auto"/>
    </w:pPr>
    <w:rPr>
      <w:rFonts w:eastAsia="Times New Roman"/>
      <w:color w:val="000000" w:themeColor="text1"/>
      <w:sz w:val="21"/>
    </w:rPr>
  </w:style>
  <w:style w:type="paragraph" w:styleId="BodyTextIndent">
    <w:name w:val="Body Text Indent"/>
    <w:basedOn w:val="Normal"/>
    <w:link w:val="BodyTextIndentChar"/>
    <w:uiPriority w:val="99"/>
    <w:semiHidden/>
    <w:unhideWhenUsed/>
    <w:rsid w:val="00353496"/>
    <w:pPr>
      <w:spacing w:after="120" w:line="264" w:lineRule="auto"/>
      <w:ind w:left="283"/>
    </w:pPr>
    <w:rPr>
      <w:rFonts w:asciiTheme="minorHAnsi" w:eastAsiaTheme="minorHAnsi" w:hAnsiTheme="minorHAnsi" w:cstheme="minorBidi"/>
      <w:color w:val="262626" w:themeColor="text1" w:themeTint="D9"/>
      <w:szCs w:val="20"/>
    </w:rPr>
  </w:style>
  <w:style w:type="character" w:customStyle="1" w:styleId="BodyTextIndentChar">
    <w:name w:val="Body Text Indent Char"/>
    <w:basedOn w:val="DefaultParagraphFont"/>
    <w:link w:val="BodyTextIndent"/>
    <w:uiPriority w:val="99"/>
    <w:semiHidden/>
    <w:rsid w:val="00353496"/>
    <w:rPr>
      <w:rFonts w:asciiTheme="minorHAnsi" w:eastAsiaTheme="minorHAnsi" w:hAnsiTheme="minorHAnsi" w:cstheme="minorBidi"/>
      <w:color w:val="262626" w:themeColor="text1" w:themeTint="D9"/>
      <w:lang w:val="en-AU"/>
    </w:rPr>
  </w:style>
  <w:style w:type="paragraph" w:customStyle="1" w:styleId="Default">
    <w:name w:val="Default"/>
    <w:rsid w:val="007661EF"/>
    <w:pPr>
      <w:autoSpaceDE w:val="0"/>
      <w:autoSpaceDN w:val="0"/>
      <w:adjustRightInd w:val="0"/>
      <w:spacing w:before="200" w:after="200" w:line="480" w:lineRule="auto"/>
    </w:pPr>
    <w:rPr>
      <w:rFonts w:cs="Arial"/>
      <w:color w:val="000000"/>
      <w:sz w:val="24"/>
      <w:szCs w:val="24"/>
    </w:rPr>
  </w:style>
  <w:style w:type="paragraph" w:styleId="EndnoteText">
    <w:name w:val="endnote text"/>
    <w:basedOn w:val="Normal"/>
    <w:link w:val="EndnoteTextChar"/>
    <w:uiPriority w:val="1"/>
    <w:semiHidden/>
    <w:unhideWhenUsed/>
    <w:rsid w:val="0003463A"/>
    <w:pPr>
      <w:spacing w:after="0"/>
    </w:pPr>
    <w:rPr>
      <w:szCs w:val="20"/>
    </w:rPr>
  </w:style>
  <w:style w:type="character" w:customStyle="1" w:styleId="EndnoteTextChar">
    <w:name w:val="Endnote Text Char"/>
    <w:basedOn w:val="DefaultParagraphFont"/>
    <w:link w:val="EndnoteText"/>
    <w:uiPriority w:val="1"/>
    <w:semiHidden/>
    <w:rsid w:val="0003463A"/>
    <w:rPr>
      <w:lang w:val="en-AU"/>
    </w:rPr>
  </w:style>
  <w:style w:type="character" w:styleId="EndnoteReference">
    <w:name w:val="endnote reference"/>
    <w:basedOn w:val="DefaultParagraphFont"/>
    <w:uiPriority w:val="1"/>
    <w:semiHidden/>
    <w:unhideWhenUsed/>
    <w:rsid w:val="0003463A"/>
    <w:rPr>
      <w:vertAlign w:val="superscript"/>
    </w:rPr>
  </w:style>
  <w:style w:type="character" w:customStyle="1" w:styleId="UnresolvedMention2">
    <w:name w:val="Unresolved Mention2"/>
    <w:basedOn w:val="DefaultParagraphFont"/>
    <w:uiPriority w:val="99"/>
    <w:semiHidden/>
    <w:unhideWhenUsed/>
    <w:rsid w:val="001034FB"/>
    <w:rPr>
      <w:color w:val="605E5C"/>
      <w:shd w:val="clear" w:color="auto" w:fill="E1DFDD"/>
    </w:rPr>
  </w:style>
  <w:style w:type="character" w:customStyle="1" w:styleId="superstext">
    <w:name w:val="superstext"/>
    <w:basedOn w:val="DefaultParagraphFont"/>
    <w:rsid w:val="002F3B29"/>
  </w:style>
  <w:style w:type="character" w:customStyle="1" w:styleId="cf01">
    <w:name w:val="cf01"/>
    <w:basedOn w:val="DefaultParagraphFont"/>
    <w:rsid w:val="009B4992"/>
    <w:rPr>
      <w:rFonts w:ascii="Segoe UI" w:hAnsi="Segoe UI" w:cs="Segoe UI" w:hint="default"/>
      <w:color w:val="222222"/>
      <w:sz w:val="18"/>
      <w:szCs w:val="18"/>
      <w:shd w:val="clear" w:color="auto" w:fill="FFFFFF"/>
    </w:rPr>
  </w:style>
  <w:style w:type="character" w:customStyle="1" w:styleId="cf11">
    <w:name w:val="cf11"/>
    <w:basedOn w:val="DefaultParagraphFont"/>
    <w:rsid w:val="009B4992"/>
    <w:rPr>
      <w:rFonts w:ascii="Segoe UI" w:hAnsi="Segoe UI" w:cs="Segoe UI" w:hint="default"/>
      <w:sz w:val="18"/>
      <w:szCs w:val="18"/>
    </w:rPr>
  </w:style>
  <w:style w:type="paragraph" w:customStyle="1" w:styleId="pf0">
    <w:name w:val="pf0"/>
    <w:basedOn w:val="Normal"/>
    <w:rsid w:val="009B4992"/>
    <w:pPr>
      <w:spacing w:before="100" w:beforeAutospacing="1" w:after="100" w:afterAutospacing="1"/>
    </w:pPr>
    <w:rPr>
      <w:rFonts w:ascii="Times New Roman" w:eastAsia="Times New Roman" w:hAnsi="Times New Roman"/>
      <w:sz w:val="24"/>
      <w:lang w:eastAsia="en-AU"/>
    </w:rPr>
  </w:style>
  <w:style w:type="character" w:customStyle="1" w:styleId="pagelast">
    <w:name w:val="pagelast"/>
    <w:basedOn w:val="DefaultParagraphFont"/>
    <w:rsid w:val="000D565A"/>
  </w:style>
  <w:style w:type="character" w:customStyle="1" w:styleId="UnresolvedMention">
    <w:name w:val="Unresolved Mention"/>
    <w:basedOn w:val="DefaultParagraphFont"/>
    <w:uiPriority w:val="99"/>
    <w:semiHidden/>
    <w:unhideWhenUsed/>
    <w:rsid w:val="00337375"/>
    <w:rPr>
      <w:color w:val="605E5C"/>
      <w:shd w:val="clear" w:color="auto" w:fill="E1DFDD"/>
    </w:rPr>
  </w:style>
  <w:style w:type="paragraph" w:customStyle="1" w:styleId="TableParagraph">
    <w:name w:val="Table Paragraph"/>
    <w:basedOn w:val="Normal"/>
    <w:uiPriority w:val="1"/>
    <w:qFormat/>
    <w:rsid w:val="00F05C60"/>
    <w:pPr>
      <w:widowControl w:val="0"/>
      <w:autoSpaceDE w:val="0"/>
      <w:autoSpaceDN w:val="0"/>
      <w:spacing w:before="119" w:after="0"/>
      <w:ind w:left="107"/>
    </w:pPr>
    <w:rPr>
      <w:rFonts w:eastAsia="Arial" w:cs="Arial"/>
      <w:sz w:val="22"/>
      <w:szCs w:val="22"/>
      <w:lang w:val="en-US"/>
    </w:rPr>
  </w:style>
  <w:style w:type="paragraph" w:styleId="TOC4">
    <w:name w:val="toc 4"/>
    <w:basedOn w:val="Normal"/>
    <w:next w:val="Normal"/>
    <w:autoRedefine/>
    <w:uiPriority w:val="39"/>
    <w:unhideWhenUsed/>
    <w:rsid w:val="00D103C1"/>
    <w:pPr>
      <w:spacing w:after="100" w:line="278" w:lineRule="auto"/>
      <w:ind w:left="720"/>
    </w:pPr>
    <w:rPr>
      <w:rFonts w:asciiTheme="minorHAnsi" w:eastAsiaTheme="minorEastAsia" w:hAnsiTheme="minorHAnsi" w:cstheme="minorBidi"/>
      <w:kern w:val="2"/>
      <w:sz w:val="24"/>
      <w:lang w:eastAsia="en-AU"/>
      <w14:ligatures w14:val="standardContextual"/>
    </w:rPr>
  </w:style>
  <w:style w:type="paragraph" w:styleId="TOC5">
    <w:name w:val="toc 5"/>
    <w:basedOn w:val="Normal"/>
    <w:next w:val="Normal"/>
    <w:autoRedefine/>
    <w:uiPriority w:val="39"/>
    <w:unhideWhenUsed/>
    <w:rsid w:val="00D103C1"/>
    <w:pPr>
      <w:spacing w:after="100" w:line="278" w:lineRule="auto"/>
      <w:ind w:left="960"/>
    </w:pPr>
    <w:rPr>
      <w:rFonts w:asciiTheme="minorHAnsi" w:eastAsiaTheme="minorEastAsia" w:hAnsiTheme="minorHAnsi" w:cstheme="minorBidi"/>
      <w:kern w:val="2"/>
      <w:sz w:val="24"/>
      <w:lang w:eastAsia="en-AU"/>
      <w14:ligatures w14:val="standardContextual"/>
    </w:rPr>
  </w:style>
  <w:style w:type="paragraph" w:styleId="TOC6">
    <w:name w:val="toc 6"/>
    <w:basedOn w:val="Normal"/>
    <w:next w:val="Normal"/>
    <w:autoRedefine/>
    <w:uiPriority w:val="39"/>
    <w:unhideWhenUsed/>
    <w:rsid w:val="00D103C1"/>
    <w:pPr>
      <w:spacing w:after="100" w:line="278" w:lineRule="auto"/>
      <w:ind w:left="1200"/>
    </w:pPr>
    <w:rPr>
      <w:rFonts w:asciiTheme="minorHAnsi" w:eastAsiaTheme="minorEastAsia" w:hAnsiTheme="minorHAnsi" w:cstheme="minorBidi"/>
      <w:kern w:val="2"/>
      <w:sz w:val="24"/>
      <w:lang w:eastAsia="en-AU"/>
      <w14:ligatures w14:val="standardContextual"/>
    </w:rPr>
  </w:style>
  <w:style w:type="paragraph" w:styleId="TOC8">
    <w:name w:val="toc 8"/>
    <w:basedOn w:val="Normal"/>
    <w:next w:val="Normal"/>
    <w:autoRedefine/>
    <w:uiPriority w:val="39"/>
    <w:unhideWhenUsed/>
    <w:rsid w:val="00D103C1"/>
    <w:pPr>
      <w:spacing w:after="100" w:line="278" w:lineRule="auto"/>
      <w:ind w:left="1680"/>
    </w:pPr>
    <w:rPr>
      <w:rFonts w:asciiTheme="minorHAnsi" w:eastAsiaTheme="minorEastAsia" w:hAnsiTheme="minorHAnsi" w:cstheme="minorBidi"/>
      <w:kern w:val="2"/>
      <w:sz w:val="24"/>
      <w:lang w:eastAsia="en-AU"/>
      <w14:ligatures w14:val="standardContextual"/>
    </w:rPr>
  </w:style>
  <w:style w:type="paragraph" w:styleId="TOC9">
    <w:name w:val="toc 9"/>
    <w:basedOn w:val="Normal"/>
    <w:next w:val="Normal"/>
    <w:autoRedefine/>
    <w:uiPriority w:val="39"/>
    <w:unhideWhenUsed/>
    <w:rsid w:val="00D103C1"/>
    <w:pPr>
      <w:spacing w:after="100" w:line="278" w:lineRule="auto"/>
      <w:ind w:left="1920"/>
    </w:pPr>
    <w:rPr>
      <w:rFonts w:asciiTheme="minorHAnsi" w:eastAsiaTheme="minorEastAsia" w:hAnsiTheme="minorHAnsi" w:cstheme="minorBidi"/>
      <w:kern w:val="2"/>
      <w:sz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6004">
      <w:bodyDiv w:val="1"/>
      <w:marLeft w:val="0"/>
      <w:marRight w:val="0"/>
      <w:marTop w:val="0"/>
      <w:marBottom w:val="0"/>
      <w:divBdr>
        <w:top w:val="none" w:sz="0" w:space="0" w:color="auto"/>
        <w:left w:val="none" w:sz="0" w:space="0" w:color="auto"/>
        <w:bottom w:val="none" w:sz="0" w:space="0" w:color="auto"/>
        <w:right w:val="none" w:sz="0" w:space="0" w:color="auto"/>
      </w:divBdr>
    </w:div>
    <w:div w:id="161555362">
      <w:bodyDiv w:val="1"/>
      <w:marLeft w:val="0"/>
      <w:marRight w:val="0"/>
      <w:marTop w:val="0"/>
      <w:marBottom w:val="0"/>
      <w:divBdr>
        <w:top w:val="none" w:sz="0" w:space="0" w:color="auto"/>
        <w:left w:val="none" w:sz="0" w:space="0" w:color="auto"/>
        <w:bottom w:val="none" w:sz="0" w:space="0" w:color="auto"/>
        <w:right w:val="none" w:sz="0" w:space="0" w:color="auto"/>
      </w:divBdr>
    </w:div>
    <w:div w:id="273678955">
      <w:bodyDiv w:val="1"/>
      <w:marLeft w:val="0"/>
      <w:marRight w:val="0"/>
      <w:marTop w:val="0"/>
      <w:marBottom w:val="0"/>
      <w:divBdr>
        <w:top w:val="none" w:sz="0" w:space="0" w:color="auto"/>
        <w:left w:val="none" w:sz="0" w:space="0" w:color="auto"/>
        <w:bottom w:val="none" w:sz="0" w:space="0" w:color="auto"/>
        <w:right w:val="none" w:sz="0" w:space="0" w:color="auto"/>
      </w:divBdr>
    </w:div>
    <w:div w:id="278689398">
      <w:bodyDiv w:val="1"/>
      <w:marLeft w:val="0"/>
      <w:marRight w:val="0"/>
      <w:marTop w:val="0"/>
      <w:marBottom w:val="0"/>
      <w:divBdr>
        <w:top w:val="none" w:sz="0" w:space="0" w:color="auto"/>
        <w:left w:val="none" w:sz="0" w:space="0" w:color="auto"/>
        <w:bottom w:val="none" w:sz="0" w:space="0" w:color="auto"/>
        <w:right w:val="none" w:sz="0" w:space="0" w:color="auto"/>
      </w:divBdr>
    </w:div>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353919336">
      <w:bodyDiv w:val="1"/>
      <w:marLeft w:val="0"/>
      <w:marRight w:val="0"/>
      <w:marTop w:val="0"/>
      <w:marBottom w:val="0"/>
      <w:divBdr>
        <w:top w:val="none" w:sz="0" w:space="0" w:color="auto"/>
        <w:left w:val="none" w:sz="0" w:space="0" w:color="auto"/>
        <w:bottom w:val="none" w:sz="0" w:space="0" w:color="auto"/>
        <w:right w:val="none" w:sz="0" w:space="0" w:color="auto"/>
      </w:divBdr>
    </w:div>
    <w:div w:id="360251580">
      <w:bodyDiv w:val="1"/>
      <w:marLeft w:val="0"/>
      <w:marRight w:val="0"/>
      <w:marTop w:val="0"/>
      <w:marBottom w:val="0"/>
      <w:divBdr>
        <w:top w:val="none" w:sz="0" w:space="0" w:color="auto"/>
        <w:left w:val="none" w:sz="0" w:space="0" w:color="auto"/>
        <w:bottom w:val="none" w:sz="0" w:space="0" w:color="auto"/>
        <w:right w:val="none" w:sz="0" w:space="0" w:color="auto"/>
      </w:divBdr>
    </w:div>
    <w:div w:id="428741204">
      <w:bodyDiv w:val="1"/>
      <w:marLeft w:val="0"/>
      <w:marRight w:val="0"/>
      <w:marTop w:val="0"/>
      <w:marBottom w:val="0"/>
      <w:divBdr>
        <w:top w:val="none" w:sz="0" w:space="0" w:color="auto"/>
        <w:left w:val="none" w:sz="0" w:space="0" w:color="auto"/>
        <w:bottom w:val="none" w:sz="0" w:space="0" w:color="auto"/>
        <w:right w:val="none" w:sz="0" w:space="0" w:color="auto"/>
      </w:divBdr>
    </w:div>
    <w:div w:id="505825659">
      <w:bodyDiv w:val="1"/>
      <w:marLeft w:val="0"/>
      <w:marRight w:val="0"/>
      <w:marTop w:val="0"/>
      <w:marBottom w:val="0"/>
      <w:divBdr>
        <w:top w:val="none" w:sz="0" w:space="0" w:color="auto"/>
        <w:left w:val="none" w:sz="0" w:space="0" w:color="auto"/>
        <w:bottom w:val="none" w:sz="0" w:space="0" w:color="auto"/>
        <w:right w:val="none" w:sz="0" w:space="0" w:color="auto"/>
      </w:divBdr>
    </w:div>
    <w:div w:id="537086614">
      <w:bodyDiv w:val="1"/>
      <w:marLeft w:val="0"/>
      <w:marRight w:val="0"/>
      <w:marTop w:val="0"/>
      <w:marBottom w:val="0"/>
      <w:divBdr>
        <w:top w:val="none" w:sz="0" w:space="0" w:color="auto"/>
        <w:left w:val="none" w:sz="0" w:space="0" w:color="auto"/>
        <w:bottom w:val="none" w:sz="0" w:space="0" w:color="auto"/>
        <w:right w:val="none" w:sz="0" w:space="0" w:color="auto"/>
      </w:divBdr>
    </w:div>
    <w:div w:id="594217101">
      <w:bodyDiv w:val="1"/>
      <w:marLeft w:val="0"/>
      <w:marRight w:val="0"/>
      <w:marTop w:val="0"/>
      <w:marBottom w:val="0"/>
      <w:divBdr>
        <w:top w:val="none" w:sz="0" w:space="0" w:color="auto"/>
        <w:left w:val="none" w:sz="0" w:space="0" w:color="auto"/>
        <w:bottom w:val="none" w:sz="0" w:space="0" w:color="auto"/>
        <w:right w:val="none" w:sz="0" w:space="0" w:color="auto"/>
      </w:divBdr>
    </w:div>
    <w:div w:id="597446317">
      <w:bodyDiv w:val="1"/>
      <w:marLeft w:val="0"/>
      <w:marRight w:val="0"/>
      <w:marTop w:val="0"/>
      <w:marBottom w:val="0"/>
      <w:divBdr>
        <w:top w:val="none" w:sz="0" w:space="0" w:color="auto"/>
        <w:left w:val="none" w:sz="0" w:space="0" w:color="auto"/>
        <w:bottom w:val="none" w:sz="0" w:space="0" w:color="auto"/>
        <w:right w:val="none" w:sz="0" w:space="0" w:color="auto"/>
      </w:divBdr>
    </w:div>
    <w:div w:id="597760763">
      <w:bodyDiv w:val="1"/>
      <w:marLeft w:val="0"/>
      <w:marRight w:val="0"/>
      <w:marTop w:val="0"/>
      <w:marBottom w:val="0"/>
      <w:divBdr>
        <w:top w:val="none" w:sz="0" w:space="0" w:color="auto"/>
        <w:left w:val="none" w:sz="0" w:space="0" w:color="auto"/>
        <w:bottom w:val="none" w:sz="0" w:space="0" w:color="auto"/>
        <w:right w:val="none" w:sz="0" w:space="0" w:color="auto"/>
      </w:divBdr>
    </w:div>
    <w:div w:id="633829703">
      <w:bodyDiv w:val="1"/>
      <w:marLeft w:val="0"/>
      <w:marRight w:val="0"/>
      <w:marTop w:val="0"/>
      <w:marBottom w:val="0"/>
      <w:divBdr>
        <w:top w:val="none" w:sz="0" w:space="0" w:color="auto"/>
        <w:left w:val="none" w:sz="0" w:space="0" w:color="auto"/>
        <w:bottom w:val="none" w:sz="0" w:space="0" w:color="auto"/>
        <w:right w:val="none" w:sz="0" w:space="0" w:color="auto"/>
      </w:divBdr>
    </w:div>
    <w:div w:id="720590240">
      <w:bodyDiv w:val="1"/>
      <w:marLeft w:val="0"/>
      <w:marRight w:val="0"/>
      <w:marTop w:val="0"/>
      <w:marBottom w:val="0"/>
      <w:divBdr>
        <w:top w:val="none" w:sz="0" w:space="0" w:color="auto"/>
        <w:left w:val="none" w:sz="0" w:space="0" w:color="auto"/>
        <w:bottom w:val="none" w:sz="0" w:space="0" w:color="auto"/>
        <w:right w:val="none" w:sz="0" w:space="0" w:color="auto"/>
      </w:divBdr>
    </w:div>
    <w:div w:id="732780025">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19174112">
      <w:bodyDiv w:val="1"/>
      <w:marLeft w:val="0"/>
      <w:marRight w:val="0"/>
      <w:marTop w:val="0"/>
      <w:marBottom w:val="0"/>
      <w:divBdr>
        <w:top w:val="none" w:sz="0" w:space="0" w:color="auto"/>
        <w:left w:val="none" w:sz="0" w:space="0" w:color="auto"/>
        <w:bottom w:val="none" w:sz="0" w:space="0" w:color="auto"/>
        <w:right w:val="none" w:sz="0" w:space="0" w:color="auto"/>
      </w:divBdr>
    </w:div>
    <w:div w:id="988751031">
      <w:bodyDiv w:val="1"/>
      <w:marLeft w:val="0"/>
      <w:marRight w:val="0"/>
      <w:marTop w:val="0"/>
      <w:marBottom w:val="0"/>
      <w:divBdr>
        <w:top w:val="none" w:sz="0" w:space="0" w:color="auto"/>
        <w:left w:val="none" w:sz="0" w:space="0" w:color="auto"/>
        <w:bottom w:val="none" w:sz="0" w:space="0" w:color="auto"/>
        <w:right w:val="none" w:sz="0" w:space="0" w:color="auto"/>
      </w:divBdr>
    </w:div>
    <w:div w:id="994381634">
      <w:bodyDiv w:val="1"/>
      <w:marLeft w:val="0"/>
      <w:marRight w:val="0"/>
      <w:marTop w:val="0"/>
      <w:marBottom w:val="0"/>
      <w:divBdr>
        <w:top w:val="none" w:sz="0" w:space="0" w:color="auto"/>
        <w:left w:val="none" w:sz="0" w:space="0" w:color="auto"/>
        <w:bottom w:val="none" w:sz="0" w:space="0" w:color="auto"/>
        <w:right w:val="none" w:sz="0" w:space="0" w:color="auto"/>
      </w:divBdr>
    </w:div>
    <w:div w:id="1012760004">
      <w:bodyDiv w:val="1"/>
      <w:marLeft w:val="0"/>
      <w:marRight w:val="0"/>
      <w:marTop w:val="0"/>
      <w:marBottom w:val="0"/>
      <w:divBdr>
        <w:top w:val="none" w:sz="0" w:space="0" w:color="auto"/>
        <w:left w:val="none" w:sz="0" w:space="0" w:color="auto"/>
        <w:bottom w:val="none" w:sz="0" w:space="0" w:color="auto"/>
        <w:right w:val="none" w:sz="0" w:space="0" w:color="auto"/>
      </w:divBdr>
      <w:divsChild>
        <w:div w:id="147552770">
          <w:marLeft w:val="0"/>
          <w:marRight w:val="0"/>
          <w:marTop w:val="0"/>
          <w:marBottom w:val="0"/>
          <w:divBdr>
            <w:top w:val="none" w:sz="0" w:space="0" w:color="auto"/>
            <w:left w:val="none" w:sz="0" w:space="0" w:color="auto"/>
            <w:bottom w:val="none" w:sz="0" w:space="0" w:color="auto"/>
            <w:right w:val="none" w:sz="0" w:space="0" w:color="auto"/>
          </w:divBdr>
          <w:divsChild>
            <w:div w:id="1841313299">
              <w:marLeft w:val="0"/>
              <w:marRight w:val="0"/>
              <w:marTop w:val="0"/>
              <w:marBottom w:val="0"/>
              <w:divBdr>
                <w:top w:val="none" w:sz="0" w:space="0" w:color="auto"/>
                <w:left w:val="none" w:sz="0" w:space="0" w:color="auto"/>
                <w:bottom w:val="none" w:sz="0" w:space="0" w:color="auto"/>
                <w:right w:val="none" w:sz="0" w:space="0" w:color="auto"/>
              </w:divBdr>
              <w:divsChild>
                <w:div w:id="1905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37055">
      <w:bodyDiv w:val="1"/>
      <w:marLeft w:val="0"/>
      <w:marRight w:val="0"/>
      <w:marTop w:val="0"/>
      <w:marBottom w:val="0"/>
      <w:divBdr>
        <w:top w:val="none" w:sz="0" w:space="0" w:color="auto"/>
        <w:left w:val="none" w:sz="0" w:space="0" w:color="auto"/>
        <w:bottom w:val="none" w:sz="0" w:space="0" w:color="auto"/>
        <w:right w:val="none" w:sz="0" w:space="0" w:color="auto"/>
      </w:divBdr>
    </w:div>
    <w:div w:id="1086415371">
      <w:bodyDiv w:val="1"/>
      <w:marLeft w:val="0"/>
      <w:marRight w:val="0"/>
      <w:marTop w:val="0"/>
      <w:marBottom w:val="0"/>
      <w:divBdr>
        <w:top w:val="none" w:sz="0" w:space="0" w:color="auto"/>
        <w:left w:val="none" w:sz="0" w:space="0" w:color="auto"/>
        <w:bottom w:val="none" w:sz="0" w:space="0" w:color="auto"/>
        <w:right w:val="none" w:sz="0" w:space="0" w:color="auto"/>
      </w:divBdr>
    </w:div>
    <w:div w:id="1133446248">
      <w:bodyDiv w:val="1"/>
      <w:marLeft w:val="0"/>
      <w:marRight w:val="0"/>
      <w:marTop w:val="0"/>
      <w:marBottom w:val="0"/>
      <w:divBdr>
        <w:top w:val="none" w:sz="0" w:space="0" w:color="auto"/>
        <w:left w:val="none" w:sz="0" w:space="0" w:color="auto"/>
        <w:bottom w:val="none" w:sz="0" w:space="0" w:color="auto"/>
        <w:right w:val="none" w:sz="0" w:space="0" w:color="auto"/>
      </w:divBdr>
    </w:div>
    <w:div w:id="1173491373">
      <w:bodyDiv w:val="1"/>
      <w:marLeft w:val="0"/>
      <w:marRight w:val="0"/>
      <w:marTop w:val="0"/>
      <w:marBottom w:val="0"/>
      <w:divBdr>
        <w:top w:val="none" w:sz="0" w:space="0" w:color="auto"/>
        <w:left w:val="none" w:sz="0" w:space="0" w:color="auto"/>
        <w:bottom w:val="none" w:sz="0" w:space="0" w:color="auto"/>
        <w:right w:val="none" w:sz="0" w:space="0" w:color="auto"/>
      </w:divBdr>
    </w:div>
    <w:div w:id="1201015324">
      <w:bodyDiv w:val="1"/>
      <w:marLeft w:val="0"/>
      <w:marRight w:val="0"/>
      <w:marTop w:val="0"/>
      <w:marBottom w:val="0"/>
      <w:divBdr>
        <w:top w:val="none" w:sz="0" w:space="0" w:color="auto"/>
        <w:left w:val="none" w:sz="0" w:space="0" w:color="auto"/>
        <w:bottom w:val="none" w:sz="0" w:space="0" w:color="auto"/>
        <w:right w:val="none" w:sz="0" w:space="0" w:color="auto"/>
      </w:divBdr>
    </w:div>
    <w:div w:id="1238327021">
      <w:bodyDiv w:val="1"/>
      <w:marLeft w:val="0"/>
      <w:marRight w:val="0"/>
      <w:marTop w:val="0"/>
      <w:marBottom w:val="0"/>
      <w:divBdr>
        <w:top w:val="none" w:sz="0" w:space="0" w:color="auto"/>
        <w:left w:val="none" w:sz="0" w:space="0" w:color="auto"/>
        <w:bottom w:val="none" w:sz="0" w:space="0" w:color="auto"/>
        <w:right w:val="none" w:sz="0" w:space="0" w:color="auto"/>
      </w:divBdr>
    </w:div>
    <w:div w:id="1307125182">
      <w:bodyDiv w:val="1"/>
      <w:marLeft w:val="0"/>
      <w:marRight w:val="0"/>
      <w:marTop w:val="0"/>
      <w:marBottom w:val="0"/>
      <w:divBdr>
        <w:top w:val="none" w:sz="0" w:space="0" w:color="auto"/>
        <w:left w:val="none" w:sz="0" w:space="0" w:color="auto"/>
        <w:bottom w:val="none" w:sz="0" w:space="0" w:color="auto"/>
        <w:right w:val="none" w:sz="0" w:space="0" w:color="auto"/>
      </w:divBdr>
    </w:div>
    <w:div w:id="1322345955">
      <w:bodyDiv w:val="1"/>
      <w:marLeft w:val="0"/>
      <w:marRight w:val="0"/>
      <w:marTop w:val="0"/>
      <w:marBottom w:val="0"/>
      <w:divBdr>
        <w:top w:val="none" w:sz="0" w:space="0" w:color="auto"/>
        <w:left w:val="none" w:sz="0" w:space="0" w:color="auto"/>
        <w:bottom w:val="none" w:sz="0" w:space="0" w:color="auto"/>
        <w:right w:val="none" w:sz="0" w:space="0" w:color="auto"/>
      </w:divBdr>
    </w:div>
    <w:div w:id="1627156280">
      <w:bodyDiv w:val="1"/>
      <w:marLeft w:val="0"/>
      <w:marRight w:val="0"/>
      <w:marTop w:val="0"/>
      <w:marBottom w:val="0"/>
      <w:divBdr>
        <w:top w:val="none" w:sz="0" w:space="0" w:color="auto"/>
        <w:left w:val="none" w:sz="0" w:space="0" w:color="auto"/>
        <w:bottom w:val="none" w:sz="0" w:space="0" w:color="auto"/>
        <w:right w:val="none" w:sz="0" w:space="0" w:color="auto"/>
      </w:divBdr>
    </w:div>
    <w:div w:id="1681352386">
      <w:bodyDiv w:val="1"/>
      <w:marLeft w:val="0"/>
      <w:marRight w:val="0"/>
      <w:marTop w:val="0"/>
      <w:marBottom w:val="0"/>
      <w:divBdr>
        <w:top w:val="none" w:sz="0" w:space="0" w:color="auto"/>
        <w:left w:val="none" w:sz="0" w:space="0" w:color="auto"/>
        <w:bottom w:val="none" w:sz="0" w:space="0" w:color="auto"/>
        <w:right w:val="none" w:sz="0" w:space="0" w:color="auto"/>
      </w:divBdr>
      <w:divsChild>
        <w:div w:id="544491818">
          <w:marLeft w:val="0"/>
          <w:marRight w:val="0"/>
          <w:marTop w:val="0"/>
          <w:marBottom w:val="0"/>
          <w:divBdr>
            <w:top w:val="none" w:sz="0" w:space="0" w:color="auto"/>
            <w:left w:val="none" w:sz="0" w:space="0" w:color="auto"/>
            <w:bottom w:val="none" w:sz="0" w:space="0" w:color="auto"/>
            <w:right w:val="none" w:sz="0" w:space="0" w:color="auto"/>
          </w:divBdr>
          <w:divsChild>
            <w:div w:id="1203984975">
              <w:marLeft w:val="30"/>
              <w:marRight w:val="30"/>
              <w:marTop w:val="0"/>
              <w:marBottom w:val="0"/>
              <w:divBdr>
                <w:top w:val="none" w:sz="0" w:space="0" w:color="auto"/>
                <w:left w:val="none" w:sz="0" w:space="0" w:color="auto"/>
                <w:bottom w:val="none" w:sz="0" w:space="0" w:color="auto"/>
                <w:right w:val="none" w:sz="0" w:space="0" w:color="auto"/>
              </w:divBdr>
              <w:divsChild>
                <w:div w:id="1506244792">
                  <w:marLeft w:val="0"/>
                  <w:marRight w:val="90"/>
                  <w:marTop w:val="90"/>
                  <w:marBottom w:val="30"/>
                  <w:divBdr>
                    <w:top w:val="none" w:sz="0" w:space="0" w:color="auto"/>
                    <w:left w:val="none" w:sz="0" w:space="0" w:color="auto"/>
                    <w:bottom w:val="none" w:sz="0" w:space="0" w:color="auto"/>
                    <w:right w:val="none" w:sz="0" w:space="0" w:color="auto"/>
                  </w:divBdr>
                  <w:divsChild>
                    <w:div w:id="1223909925">
                      <w:marLeft w:val="0"/>
                      <w:marRight w:val="30"/>
                      <w:marTop w:val="0"/>
                      <w:marBottom w:val="0"/>
                      <w:divBdr>
                        <w:top w:val="none" w:sz="0" w:space="0" w:color="auto"/>
                        <w:left w:val="none" w:sz="0" w:space="0" w:color="auto"/>
                        <w:bottom w:val="none" w:sz="0" w:space="0" w:color="auto"/>
                        <w:right w:val="none" w:sz="0" w:space="0" w:color="auto"/>
                      </w:divBdr>
                      <w:divsChild>
                        <w:div w:id="1844319866">
                          <w:marLeft w:val="0"/>
                          <w:marRight w:val="0"/>
                          <w:marTop w:val="0"/>
                          <w:marBottom w:val="0"/>
                          <w:divBdr>
                            <w:top w:val="none" w:sz="0" w:space="0" w:color="auto"/>
                            <w:left w:val="none" w:sz="0" w:space="0" w:color="auto"/>
                            <w:bottom w:val="none" w:sz="0" w:space="0" w:color="auto"/>
                            <w:right w:val="none" w:sz="0" w:space="0" w:color="auto"/>
                          </w:divBdr>
                          <w:divsChild>
                            <w:div w:id="816531033">
                              <w:marLeft w:val="0"/>
                              <w:marRight w:val="0"/>
                              <w:marTop w:val="0"/>
                              <w:marBottom w:val="0"/>
                              <w:divBdr>
                                <w:top w:val="none" w:sz="0" w:space="0" w:color="auto"/>
                                <w:left w:val="none" w:sz="0" w:space="0" w:color="auto"/>
                                <w:bottom w:val="none" w:sz="0" w:space="0" w:color="auto"/>
                                <w:right w:val="none" w:sz="0" w:space="0" w:color="auto"/>
                              </w:divBdr>
                              <w:divsChild>
                                <w:div w:id="12392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17877">
      <w:bodyDiv w:val="1"/>
      <w:marLeft w:val="0"/>
      <w:marRight w:val="0"/>
      <w:marTop w:val="0"/>
      <w:marBottom w:val="0"/>
      <w:divBdr>
        <w:top w:val="none" w:sz="0" w:space="0" w:color="auto"/>
        <w:left w:val="none" w:sz="0" w:space="0" w:color="auto"/>
        <w:bottom w:val="none" w:sz="0" w:space="0" w:color="auto"/>
        <w:right w:val="none" w:sz="0" w:space="0" w:color="auto"/>
      </w:divBdr>
    </w:div>
    <w:div w:id="1818643144">
      <w:bodyDiv w:val="1"/>
      <w:marLeft w:val="0"/>
      <w:marRight w:val="0"/>
      <w:marTop w:val="0"/>
      <w:marBottom w:val="0"/>
      <w:divBdr>
        <w:top w:val="none" w:sz="0" w:space="0" w:color="auto"/>
        <w:left w:val="none" w:sz="0" w:space="0" w:color="auto"/>
        <w:bottom w:val="none" w:sz="0" w:space="0" w:color="auto"/>
        <w:right w:val="none" w:sz="0" w:space="0" w:color="auto"/>
      </w:divBdr>
    </w:div>
    <w:div w:id="1847669790">
      <w:bodyDiv w:val="1"/>
      <w:marLeft w:val="0"/>
      <w:marRight w:val="0"/>
      <w:marTop w:val="0"/>
      <w:marBottom w:val="0"/>
      <w:divBdr>
        <w:top w:val="none" w:sz="0" w:space="0" w:color="auto"/>
        <w:left w:val="none" w:sz="0" w:space="0" w:color="auto"/>
        <w:bottom w:val="none" w:sz="0" w:space="0" w:color="auto"/>
        <w:right w:val="none" w:sz="0" w:space="0" w:color="auto"/>
      </w:divBdr>
    </w:div>
    <w:div w:id="1919900638">
      <w:bodyDiv w:val="1"/>
      <w:marLeft w:val="0"/>
      <w:marRight w:val="0"/>
      <w:marTop w:val="0"/>
      <w:marBottom w:val="0"/>
      <w:divBdr>
        <w:top w:val="none" w:sz="0" w:space="0" w:color="auto"/>
        <w:left w:val="none" w:sz="0" w:space="0" w:color="auto"/>
        <w:bottom w:val="none" w:sz="0" w:space="0" w:color="auto"/>
        <w:right w:val="none" w:sz="0" w:space="0" w:color="auto"/>
      </w:divBdr>
    </w:div>
    <w:div w:id="2042124285">
      <w:bodyDiv w:val="1"/>
      <w:marLeft w:val="0"/>
      <w:marRight w:val="0"/>
      <w:marTop w:val="0"/>
      <w:marBottom w:val="0"/>
      <w:divBdr>
        <w:top w:val="none" w:sz="0" w:space="0" w:color="auto"/>
        <w:left w:val="none" w:sz="0" w:space="0" w:color="auto"/>
        <w:bottom w:val="none" w:sz="0" w:space="0" w:color="auto"/>
        <w:right w:val="none" w:sz="0" w:space="0" w:color="auto"/>
      </w:divBdr>
    </w:div>
    <w:div w:id="2069911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nursingmidwiferyboard.gov.au/Codes-Guidelines-Statements/Professional-standards.aspx" TargetMode="External"/><Relationship Id="rId18" Type="http://schemas.openxmlformats.org/officeDocument/2006/relationships/hyperlink" Target="https://www.nursingmidwiferyboard.gov.au/Codes-Guidelines-Statements/Codes-Guidelines.aspx" TargetMode="External"/><Relationship Id="rId26" Type="http://schemas.openxmlformats.org/officeDocument/2006/relationships/hyperlink" Target="https://benchmarking.ihacpa.gov.au/extensions/ihpanbp/index.html" TargetMode="External"/><Relationship Id="rId39" Type="http://schemas.openxmlformats.org/officeDocument/2006/relationships/hyperlink" Target="https://doi.org/10.1111/jan.14992" TargetMode="External"/><Relationship Id="rId21" Type="http://schemas.openxmlformats.org/officeDocument/2006/relationships/hyperlink" Target="https://agedcare.royalcommission.gov.au/sites/default/files/2021-03/final-report-volume-1_0.pdf" TargetMode="External"/><Relationship Id="rId34" Type="http://schemas.openxmlformats.org/officeDocument/2006/relationships/hyperlink" Target="https://www.ahpra.gov.au/About-Ahpra/National-Scheme-Strategy.aspx" TargetMode="External"/><Relationship Id="rId42" Type="http://schemas.openxmlformats.org/officeDocument/2006/relationships/hyperlink" Target="https://www.ruralhealth.org.au/sites/default/files/documents/nrha-policy-document/policy-development/evidence-base-additional-investment-rural-health-australia-june-2023.pdf" TargetMode="External"/><Relationship Id="rId47" Type="http://schemas.openxmlformats.org/officeDocument/2006/relationships/hyperlink" Target="https://www.indigenoushpf.gov.au/report-overview/overview/summary-report" TargetMode="External"/><Relationship Id="rId50" Type="http://schemas.openxmlformats.org/officeDocument/2006/relationships/hyperlink" Target="https://www.gen-agedcaredata.gov.au/topics/people-using-aged-care" TargetMode="External"/><Relationship Id="rId55" Type="http://schemas.openxmlformats.org/officeDocument/2006/relationships/hyperlink" Target="https://www.aihw.gov.au/reports/palliative-care-services/palliative-care-services-in-australia/contents/summary" TargetMode="External"/><Relationship Id="rId63" Type="http://schemas.openxmlformats.org/officeDocument/2006/relationships/header" Target="header2.xml"/><Relationship Id="rId68" Type="http://schemas.openxmlformats.org/officeDocument/2006/relationships/header" Target="header4.xml"/><Relationship Id="rId76" Type="http://schemas.openxmlformats.org/officeDocument/2006/relationships/hyperlink" Target="https://www.nursingmidwiferyboard.gov.au/Registration-Standards/Professional-indemnity-insurance-arrangements.aspx" TargetMode="External"/><Relationship Id="rId84"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nursingmidwiferyboard.gov.au/Codes-Guidelines-Statements/Frameworks.aspx" TargetMode="External"/><Relationship Id="rId29" Type="http://schemas.openxmlformats.org/officeDocument/2006/relationships/hyperlink" Target="https://benchmarking.ihacpa.gov.au/extensions/ihpanbp/index.html" TargetMode="External"/><Relationship Id="rId11" Type="http://schemas.openxmlformats.org/officeDocument/2006/relationships/hyperlink" Target="https://www.nps.org.au/prescribing-competencies-framework" TargetMode="External"/><Relationship Id="rId24" Type="http://schemas.openxmlformats.org/officeDocument/2006/relationships/hyperlink" Target="https://benchmarking.ihacpa.gov.au/extensions/ihpanbp/index.html" TargetMode="External"/><Relationship Id="rId32" Type="http://schemas.openxmlformats.org/officeDocument/2006/relationships/hyperlink" Target="https://www.health.gov.au/resources/publications/national-medicines-policy?language=en" TargetMode="External"/><Relationship Id="rId37" Type="http://schemas.openxmlformats.org/officeDocument/2006/relationships/hyperlink" Target="https://www.ahpra.gov.au/Publications/Annual-reports/Annual-Report-2022.aspx" TargetMode="External"/><Relationship Id="rId40" Type="http://schemas.openxmlformats.org/officeDocument/2006/relationships/hyperlink" Target="https://www.pc.gov.au/inquiries/completed/health-workforce/report/healthworkforce.pdf" TargetMode="External"/><Relationship Id="rId45" Type="http://schemas.openxmlformats.org/officeDocument/2006/relationships/hyperlink" Target="https://www.aihw.gov.au/reports/rural-remote-australians/rural-and-remote-health" TargetMode="External"/><Relationship Id="rId53" Type="http://schemas.openxmlformats.org/officeDocument/2006/relationships/hyperlink" Target="https://www.aihw.gov.au/getmedia/9592f439-9b96-4589-a55d-6b04e262e5e1/aihw-phe-318.pdf?v=20230605184446&amp;inline=true" TargetMode="External"/><Relationship Id="rId58" Type="http://schemas.openxmlformats.org/officeDocument/2006/relationships/hyperlink" Target="https://oia.pmc.gov.au/resources/guidance-oia-procedures/best-practice-consultation" TargetMode="External"/><Relationship Id="rId66" Type="http://schemas.openxmlformats.org/officeDocument/2006/relationships/header" Target="header3.xml"/><Relationship Id="rId74" Type="http://schemas.openxmlformats.org/officeDocument/2006/relationships/hyperlink" Target="https://www.nursingmidwiferyboard.gov.au/Registration-Standards/Recency-of-practice.aspx" TargetMode="External"/><Relationship Id="rId79" Type="http://schemas.openxmlformats.org/officeDocument/2006/relationships/hyperlink" Target="https://www.ahpra.gov.au/Login.aspx"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111/j.2042-7174.2011.00183.x" TargetMode="External"/><Relationship Id="rId82" Type="http://schemas.openxmlformats.org/officeDocument/2006/relationships/header" Target="header6.xml"/><Relationship Id="rId19" Type="http://schemas.openxmlformats.org/officeDocument/2006/relationships/hyperlink" Target="https://www.ahpra.gov.au/Resources/Advertising-hub/Advertising-complaints/Advertising-compliance-and-enforcement-strategy.aspx" TargetMode="External"/><Relationship Id="rId4" Type="http://schemas.openxmlformats.org/officeDocument/2006/relationships/settings" Target="settings.xml"/><Relationship Id="rId9" Type="http://schemas.openxmlformats.org/officeDocument/2006/relationships/hyperlink" Target="chrome-extension://efaidnbmnnnibpcajpcglclefindmkaj/file:/C:/Users/cip/Downloads/AHPRA---Guidance---Applications-to-the-Ministerial-Council-for-approval-of-endorsements-in-relation-to-scheduled-medicines%20(3).PDF%3d" TargetMode="External"/><Relationship Id="rId14" Type="http://schemas.openxmlformats.org/officeDocument/2006/relationships/hyperlink" Target="https://www.nursingmidwiferyboard.gov.au/Registration-Standards/Professional-indemnity-insurance-arrangements.aspx" TargetMode="External"/><Relationship Id="rId22" Type="http://schemas.openxmlformats.org/officeDocument/2006/relationships/hyperlink" Target="https://benchmarking.ihacpa.gov.au/extensions/ihpanbp/index.html" TargetMode="External"/><Relationship Id="rId27" Type="http://schemas.openxmlformats.org/officeDocument/2006/relationships/hyperlink" Target="https://benchmarking.ihacpa.gov.au/extensions/ihpanbp/index.html" TargetMode="External"/><Relationship Id="rId30" Type="http://schemas.openxmlformats.org/officeDocument/2006/relationships/hyperlink" Target="https://discovery.ebsco.com/linkprocessor/plink?id=1819f6dc-68f0-37b4-8ede-786382c68b48" TargetMode="External"/><Relationship Id="rId35" Type="http://schemas.openxmlformats.org/officeDocument/2006/relationships/hyperlink" Target="https://www.icn.ch/system/files/2023-03/ICN_Recover-oRebuild_report_EN.pdf" TargetMode="External"/><Relationship Id="rId43" Type="http://schemas.openxmlformats.org/officeDocument/2006/relationships/hyperlink" Target="https://www1.racgp.org.au/newsgp/authors/jolyon-attwooll" TargetMode="External"/><Relationship Id="rId48" Type="http://schemas.openxmlformats.org/officeDocument/2006/relationships/hyperlink" Target="https://www.niaa.gov.au/sites/default/files/publications/closing-the-gap-implementation-plan-2023.pdf" TargetMode="External"/><Relationship Id="rId56" Type="http://schemas.openxmlformats.org/officeDocument/2006/relationships/hyperlink" Target="https://www.tga.gov.au/sites/default/files/addressing-prescription-opioid-use-and-misuse-australia.pdf" TargetMode="External"/><Relationship Id="rId64" Type="http://schemas.openxmlformats.org/officeDocument/2006/relationships/footer" Target="footer1.xml"/><Relationship Id="rId69" Type="http://schemas.openxmlformats.org/officeDocument/2006/relationships/footer" Target="footer4.xml"/><Relationship Id="rId77" Type="http://schemas.openxmlformats.org/officeDocument/2006/relationships/hyperlink" Target="http://www.tga.gov.au/" TargetMode="External"/><Relationship Id="rId8" Type="http://schemas.openxmlformats.org/officeDocument/2006/relationships/hyperlink" Target="http://www.health.gov.au/nationalmedicinespolicy" TargetMode="External"/><Relationship Id="rId51" Type="http://schemas.openxmlformats.org/officeDocument/2006/relationships/hyperlink" Target="https://www.royalcommission.gov.au/aged-care" TargetMode="External"/><Relationship Id="rId72" Type="http://schemas.openxmlformats.org/officeDocument/2006/relationships/hyperlink" Target="https://www.nursingmidwiferyboard.gov.au/Codes-Guidelines-Statements/Frameworks.aspx" TargetMode="External"/><Relationship Id="rId80" Type="http://schemas.openxmlformats.org/officeDocument/2006/relationships/hyperlink" Target="http://www.ag.gov.au/Publications/Pages/Statutorydeclarations.aspx" TargetMode="External"/><Relationship Id="rId85" Type="http://schemas.openxmlformats.org/officeDocument/2006/relationships/header" Target="header8.xml"/><Relationship Id="rId3" Type="http://schemas.openxmlformats.org/officeDocument/2006/relationships/styles" Target="styles.xml"/><Relationship Id="rId12" Type="http://schemas.openxmlformats.org/officeDocument/2006/relationships/hyperlink" Target="https://agedcare.royalcommission.gov.au/sites/default/files/2021-03/final-report-volume-1_0.pdf" TargetMode="External"/><Relationship Id="rId17" Type="http://schemas.openxmlformats.org/officeDocument/2006/relationships/hyperlink" Target="https://www.nursingmidwiferyboard.gov.au/Codes-Guidelines-Statements/Codes-Guidelines.aspx" TargetMode="External"/><Relationship Id="rId25" Type="http://schemas.openxmlformats.org/officeDocument/2006/relationships/hyperlink" Target="https://benchmarking.ihacpa.gov.au/extensions/ihpanbp/index.html" TargetMode="External"/><Relationship Id="rId33" Type="http://schemas.openxmlformats.org/officeDocument/2006/relationships/hyperlink" Target="https://www.health.gov.au/resources/publications/australias-primary-health-care-10-year-plan-20222032" TargetMode="External"/><Relationship Id="rId38" Type="http://schemas.openxmlformats.org/officeDocument/2006/relationships/hyperlink" Target="https://www.psr.gov.au/about-psr-scheme" TargetMode="External"/><Relationship Id="rId46" Type="http://schemas.openxmlformats.org/officeDocument/2006/relationships/hyperlink" Target="https://www.aihw.gov.au/reports/australias-health/indigenous-australians-use-of-health-services" TargetMode="External"/><Relationship Id="rId59" Type="http://schemas.openxmlformats.org/officeDocument/2006/relationships/hyperlink" Target="https://doi.org/10.1111/ajr.13010" TargetMode="External"/><Relationship Id="rId67" Type="http://schemas.openxmlformats.org/officeDocument/2006/relationships/footer" Target="footer3.xml"/><Relationship Id="rId20" Type="http://schemas.openxmlformats.org/officeDocument/2006/relationships/hyperlink" Target="https://www.ahpra.gov.au/Resources/Telehealth-guidance-for-practitioners.aspx" TargetMode="External"/><Relationship Id="rId41" Type="http://schemas.openxmlformats.org/officeDocument/2006/relationships/hyperlink" Target="https://doi.org/10.1186/s12904-020-00649-3" TargetMode="External"/><Relationship Id="rId54" Type="http://schemas.openxmlformats.org/officeDocument/2006/relationships/hyperlink" Target="https://www.ahpra.gov.au/Publications/Annual-reports/Annual-report-2023.aspx" TargetMode="External"/><Relationship Id="rId62" Type="http://schemas.openxmlformats.org/officeDocument/2006/relationships/header" Target="header1.xml"/><Relationship Id="rId70" Type="http://schemas.openxmlformats.org/officeDocument/2006/relationships/header" Target="header5.xml"/><Relationship Id="rId75" Type="http://schemas.openxmlformats.org/officeDocument/2006/relationships/hyperlink" Target="https://www.nursingmidwiferyboard.gov.au/Registration-Standards/Continuing-professional-development.aspx" TargetMode="External"/><Relationship Id="rId83"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ursingmidwiferyboard.gov.au/Codes-Guidelines-Statements/Professional-standards.aspx" TargetMode="External"/><Relationship Id="rId23" Type="http://schemas.openxmlformats.org/officeDocument/2006/relationships/hyperlink" Target="https://benchmarking.ihacpa.gov.au/extensions/ihpanbp/index.html" TargetMode="External"/><Relationship Id="rId28" Type="http://schemas.openxmlformats.org/officeDocument/2006/relationships/hyperlink" Target="https://benchmarking.ihacpa.gov.au/extensions/ihpanbp/index.html" TargetMode="External"/><Relationship Id="rId36" Type="http://schemas.openxmlformats.org/officeDocument/2006/relationships/hyperlink" Target="https://www.aihw.gov.au/reports/primary-health-care/general-practice-allied-health-and-other-primary-care" TargetMode="External"/><Relationship Id="rId49" Type="http://schemas.openxmlformats.org/officeDocument/2006/relationships/hyperlink" Target="https://www.aihw.gov.au/reports/older-people/older-australians/contents/demographic-profile" TargetMode="External"/><Relationship Id="rId57" Type="http://schemas.openxmlformats.org/officeDocument/2006/relationships/hyperlink" Target="https://www.health.gov.au/our-work/national-real-time-prescription-monitoring-rtpm" TargetMode="External"/><Relationship Id="rId10" Type="http://schemas.openxmlformats.org/officeDocument/2006/relationships/hyperlink" Target="https://www.royalcommission.gov.au/aged-care/final-report" TargetMode="External"/><Relationship Id="rId31" Type="http://schemas.openxmlformats.org/officeDocument/2006/relationships/image" Target="media/image1.png"/><Relationship Id="rId44" Type="http://schemas.openxmlformats.org/officeDocument/2006/relationships/hyperlink" Target="https://www1.racgp.org.au/newsgp/professional/huge-disadvantages-for-rural-patients-exposed" TargetMode="External"/><Relationship Id="rId52" Type="http://schemas.openxmlformats.org/officeDocument/2006/relationships/hyperlink" Target="https://www.aihw.gov.au/reports/hospitals/australias-hospitals-at-a-glance/contents/impact-of-covid-19-on-hospital-care" TargetMode="External"/><Relationship Id="rId60" Type="http://schemas.openxmlformats.org/officeDocument/2006/relationships/hyperlink" Target="https://doi.org/10.1016/j.ienj.2023.101272" TargetMode="External"/><Relationship Id="rId65" Type="http://schemas.openxmlformats.org/officeDocument/2006/relationships/footer" Target="footer2.xml"/><Relationship Id="rId73" Type="http://schemas.openxmlformats.org/officeDocument/2006/relationships/hyperlink" Target="https://www.nursingmidwiferyboard.gov.au/Codes-Guidelines-Statements/Frameworks.aspx" TargetMode="External"/><Relationship Id="rId78" Type="http://schemas.openxmlformats.org/officeDocument/2006/relationships/hyperlink" Target="https://www.ahpra.gov.au/Login.aspx" TargetMode="External"/><Relationship Id="rId81" Type="http://schemas.openxmlformats.org/officeDocument/2006/relationships/hyperlink" Target="http://www.ahpra.gov.au/Registration/Registration-Process/Certifying-Documents.aspx" TargetMode="External"/><Relationship Id="rId86"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www.nursingmidwiferyboard.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ealth.gov.au/topics/primary-care/about" TargetMode="External"/><Relationship Id="rId2" Type="http://schemas.openxmlformats.org/officeDocument/2006/relationships/hyperlink" Target="http://www.health.gov.au/our-work/national-real-time-prescription-monitoring-rtpm" TargetMode="External"/><Relationship Id="rId1" Type="http://schemas.openxmlformats.org/officeDocument/2006/relationships/hyperlink" Target="http://www.health.gov.au/our-work/national-real-time-prescription-monitoring-rtpm" TargetMode="External"/><Relationship Id="rId6" Type="http://schemas.openxmlformats.org/officeDocument/2006/relationships/hyperlink" Target="http://www.medicines.org.au/" TargetMode="External"/><Relationship Id="rId5" Type="http://schemas.openxmlformats.org/officeDocument/2006/relationships/hyperlink" Target="https://www.health.gov.au/resources/publications/national-medicines-policy" TargetMode="External"/><Relationship Id="rId4" Type="http://schemas.openxmlformats.org/officeDocument/2006/relationships/hyperlink" Target="https://www.health.gov.au/resources/publications/national-medicines-poli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CC30-8CBF-4469-AC6E-330B35D4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45226</Words>
  <Characters>257794</Characters>
  <Application>Microsoft Office Word</Application>
  <DocSecurity>0</DocSecurity>
  <Lines>2148</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2025-10-13T06:44:00Z</dcterms:created>
  <dcterms:modified xsi:type="dcterms:W3CDTF">2025-10-13T06:44:00Z</dcterms:modified>
</cp:coreProperties>
</file>