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BC19C3" w14:textId="77777777" w:rsidR="009B242E" w:rsidRDefault="009B242E" w:rsidP="004A7A4F">
      <w:pPr>
        <w:spacing w:before="120"/>
      </w:pPr>
      <w:bookmarkStart w:id="0" w:name="_GoBack"/>
      <w:bookmarkEnd w:id="0"/>
    </w:p>
    <w:p w14:paraId="6B647DCA" w14:textId="34526ED1" w:rsidR="00D60480" w:rsidRPr="00D60480" w:rsidRDefault="00C45A05" w:rsidP="00D60480">
      <w:pPr>
        <w:spacing w:after="240"/>
        <w:rPr>
          <w:sz w:val="16"/>
          <w:szCs w:val="16"/>
        </w:rPr>
      </w:pPr>
      <w:r>
        <w:rPr>
          <w:noProof/>
          <w:lang w:val="en-AU" w:eastAsia="en-AU"/>
        </w:rPr>
        <w:drawing>
          <wp:inline distT="0" distB="0" distL="0" distR="0" wp14:anchorId="31607247" wp14:editId="5C0CD1C0">
            <wp:extent cx="2273300" cy="571500"/>
            <wp:effectExtent l="0" t="0" r="0" b="0"/>
            <wp:docPr id="1" name="Picture 1" descr="Australian Government&#10;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ustralian Government&#10;Department of Education"/>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73300" cy="571500"/>
                    </a:xfrm>
                    <a:prstGeom prst="rect">
                      <a:avLst/>
                    </a:prstGeom>
                  </pic:spPr>
                </pic:pic>
              </a:graphicData>
            </a:graphic>
          </wp:inline>
        </w:drawing>
      </w:r>
      <w:r w:rsidR="00D60480" w:rsidRPr="00D60480">
        <w:rPr>
          <w:sz w:val="16"/>
          <w:szCs w:val="16"/>
        </w:rPr>
        <w:tab/>
      </w:r>
    </w:p>
    <w:p w14:paraId="296BFA87" w14:textId="68FCE239" w:rsidR="00D60480" w:rsidRPr="00D60480" w:rsidRDefault="00D60480" w:rsidP="00D60480">
      <w:pPr>
        <w:spacing w:after="240"/>
        <w:jc w:val="center"/>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D60480">
        <w:rPr>
          <w:sz w:val="16"/>
          <w:szCs w:val="16"/>
        </w:rPr>
        <w:tab/>
      </w:r>
      <w:r>
        <w:rPr>
          <w:sz w:val="16"/>
          <w:szCs w:val="16"/>
        </w:rPr>
        <w:t xml:space="preserve">         </w:t>
      </w:r>
      <w:r w:rsidRPr="00C37A83">
        <w:rPr>
          <w:sz w:val="16"/>
          <w:szCs w:val="16"/>
        </w:rPr>
        <w:t>Our Ref: EC</w:t>
      </w:r>
      <w:r w:rsidR="00C37A83" w:rsidRPr="00C37A83">
        <w:rPr>
          <w:sz w:val="16"/>
          <w:szCs w:val="16"/>
        </w:rPr>
        <w:t>25-002931</w:t>
      </w:r>
    </w:p>
    <w:p w14:paraId="4F331E97" w14:textId="2A995829" w:rsidR="00D60480" w:rsidRDefault="00D60480" w:rsidP="00D60480">
      <w:pPr>
        <w:spacing w:after="0"/>
        <w:jc w:val="right"/>
      </w:pPr>
      <w:r>
        <w:t>Deputy Secretary</w:t>
      </w:r>
    </w:p>
    <w:p w14:paraId="1F353AF0" w14:textId="781DCEF4" w:rsidR="00D60480" w:rsidRDefault="00D60480" w:rsidP="00D60480">
      <w:pPr>
        <w:spacing w:after="0"/>
        <w:jc w:val="right"/>
        <w:sectPr w:rsidR="00D60480" w:rsidSect="002665EE">
          <w:headerReference w:type="even" r:id="rId9"/>
          <w:headerReference w:type="default" r:id="rId10"/>
          <w:footerReference w:type="even" r:id="rId11"/>
          <w:footerReference w:type="default" r:id="rId12"/>
          <w:headerReference w:type="first" r:id="rId13"/>
          <w:footerReference w:type="first" r:id="rId14"/>
          <w:pgSz w:w="11906" w:h="16838" w:code="9"/>
          <w:pgMar w:top="720" w:right="1440" w:bottom="1440" w:left="1440" w:header="720" w:footer="720" w:gutter="0"/>
          <w:cols w:space="720"/>
          <w:titlePg/>
          <w:docGrid w:linePitch="360"/>
        </w:sectPr>
      </w:pPr>
      <w:r>
        <w:t>Ben Rimmer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6"/>
      </w:tblGrid>
      <w:tr w:rsidR="00D60480" w:rsidRPr="00791F6F" w14:paraId="41E8EB96" w14:textId="77777777">
        <w:tc>
          <w:tcPr>
            <w:tcW w:w="1306" w:type="dxa"/>
          </w:tcPr>
          <w:p w14:paraId="253D761D" w14:textId="77777777" w:rsidR="00D60480" w:rsidRPr="00791F6F" w:rsidRDefault="00D60480">
            <w:pPr>
              <w:pStyle w:val="NoSpacing"/>
              <w:rPr>
                <w:sz w:val="18"/>
                <w:szCs w:val="18"/>
              </w:rPr>
            </w:pPr>
          </w:p>
        </w:tc>
      </w:tr>
      <w:tr w:rsidR="00D60480" w:rsidRPr="00791F6F" w14:paraId="6047B9EA" w14:textId="77777777">
        <w:tc>
          <w:tcPr>
            <w:tcW w:w="1306" w:type="dxa"/>
          </w:tcPr>
          <w:p w14:paraId="3D7C2FEF" w14:textId="77777777" w:rsidR="00D60480" w:rsidRPr="00791F6F" w:rsidRDefault="00D60480">
            <w:pPr>
              <w:pStyle w:val="NoSpacing"/>
              <w:rPr>
                <w:sz w:val="18"/>
                <w:szCs w:val="18"/>
              </w:rPr>
            </w:pPr>
          </w:p>
        </w:tc>
      </w:tr>
    </w:tbl>
    <w:p w14:paraId="4207EF4A" w14:textId="77777777" w:rsidR="00D60480" w:rsidRPr="00D90396" w:rsidRDefault="00D60480" w:rsidP="00D60480">
      <w:pPr>
        <w:pStyle w:val="NoSpacing"/>
        <w:rPr>
          <w:rFonts w:ascii="Calibri" w:hAnsi="Calibri" w:cs="Calibri"/>
        </w:rPr>
      </w:pPr>
      <w:r w:rsidRPr="00D90396">
        <w:rPr>
          <w:rFonts w:ascii="Calibri" w:hAnsi="Calibri" w:cs="Calibri"/>
        </w:rPr>
        <w:t>Ms Joanna Abhayaratna</w:t>
      </w:r>
    </w:p>
    <w:p w14:paraId="4573D268" w14:textId="77777777" w:rsidR="00D60480" w:rsidRPr="00D90396" w:rsidRDefault="00D60480" w:rsidP="00D60480">
      <w:pPr>
        <w:pStyle w:val="NoSpacing"/>
        <w:rPr>
          <w:rFonts w:ascii="Calibri" w:hAnsi="Calibri" w:cs="Calibri"/>
        </w:rPr>
      </w:pPr>
      <w:r w:rsidRPr="00D90396">
        <w:rPr>
          <w:rFonts w:ascii="Calibri" w:hAnsi="Calibri" w:cs="Calibri"/>
        </w:rPr>
        <w:t>Executive Director</w:t>
      </w:r>
      <w:r w:rsidRPr="00D90396" w:rsidDel="000211D5">
        <w:rPr>
          <w:rFonts w:ascii="Calibri" w:hAnsi="Calibri" w:cs="Calibri"/>
        </w:rPr>
        <w:t xml:space="preserve"> </w:t>
      </w:r>
    </w:p>
    <w:p w14:paraId="075BC889" w14:textId="77777777" w:rsidR="00D60480" w:rsidRPr="00D90396" w:rsidRDefault="00D60480" w:rsidP="00D60480">
      <w:pPr>
        <w:pStyle w:val="NoSpacing"/>
        <w:rPr>
          <w:rFonts w:ascii="Calibri" w:hAnsi="Calibri" w:cs="Calibri"/>
        </w:rPr>
      </w:pPr>
      <w:r w:rsidRPr="00D90396">
        <w:rPr>
          <w:rFonts w:ascii="Calibri" w:hAnsi="Calibri" w:cs="Calibri"/>
        </w:rPr>
        <w:t>Office of Impact Analysis</w:t>
      </w:r>
    </w:p>
    <w:p w14:paraId="6728E0B2" w14:textId="77777777" w:rsidR="00D60480" w:rsidRPr="00D90396" w:rsidRDefault="00D60480" w:rsidP="00D60480">
      <w:pPr>
        <w:pStyle w:val="NoSpacing"/>
        <w:rPr>
          <w:rFonts w:ascii="Calibri" w:hAnsi="Calibri" w:cs="Calibri"/>
        </w:rPr>
      </w:pPr>
      <w:r w:rsidRPr="00D90396">
        <w:rPr>
          <w:rFonts w:ascii="Calibri" w:hAnsi="Calibri" w:cs="Calibri"/>
        </w:rPr>
        <w:t>Department of the Prime Minister and Cabinet</w:t>
      </w:r>
    </w:p>
    <w:p w14:paraId="2640FDF5" w14:textId="77777777" w:rsidR="00D60480" w:rsidRPr="00D90396" w:rsidRDefault="00D60480" w:rsidP="00D60480">
      <w:pPr>
        <w:pStyle w:val="NoSpacing"/>
        <w:rPr>
          <w:rFonts w:ascii="Calibri" w:hAnsi="Calibri" w:cs="Calibri"/>
        </w:rPr>
      </w:pPr>
      <w:r w:rsidRPr="00D90396">
        <w:rPr>
          <w:rFonts w:ascii="Calibri" w:hAnsi="Calibri" w:cs="Calibri"/>
        </w:rPr>
        <w:t>1 National Circuit</w:t>
      </w:r>
    </w:p>
    <w:p w14:paraId="265B6C0F" w14:textId="77777777" w:rsidR="00D60480" w:rsidRPr="00D90396" w:rsidRDefault="00D60480" w:rsidP="00D60480">
      <w:pPr>
        <w:pStyle w:val="NoSpacing"/>
        <w:rPr>
          <w:rFonts w:ascii="Calibri" w:hAnsi="Calibri" w:cs="Calibri"/>
        </w:rPr>
      </w:pPr>
      <w:r w:rsidRPr="00D90396">
        <w:rPr>
          <w:rFonts w:ascii="Calibri" w:hAnsi="Calibri" w:cs="Calibri"/>
        </w:rPr>
        <w:t>BARTON ACT 2600</w:t>
      </w:r>
    </w:p>
    <w:p w14:paraId="1C4D3CF0" w14:textId="3365925F" w:rsidR="00D60480" w:rsidRPr="00D90396" w:rsidRDefault="00D60480" w:rsidP="00D60480">
      <w:pPr>
        <w:spacing w:before="160" w:after="240"/>
        <w:rPr>
          <w:rFonts w:ascii="Calibri" w:hAnsi="Calibri" w:cs="Calibri"/>
        </w:rPr>
      </w:pPr>
      <w:r w:rsidRPr="00D90396">
        <w:rPr>
          <w:rFonts w:ascii="Calibri" w:hAnsi="Calibri" w:cs="Calibri"/>
        </w:rPr>
        <w:t xml:space="preserve">Email: </w:t>
      </w:r>
      <w:hyperlink r:id="rId15" w:history="1">
        <w:r w:rsidRPr="00D90396">
          <w:rPr>
            <w:rStyle w:val="Hyperlink"/>
            <w:rFonts w:ascii="Calibri" w:hAnsi="Calibri" w:cs="Calibri"/>
          </w:rPr>
          <w:t>helpdesk-OIA@pmc.gov.au</w:t>
        </w:r>
      </w:hyperlink>
      <w:r w:rsidRPr="00D90396">
        <w:rPr>
          <w:rFonts w:ascii="Calibri" w:hAnsi="Calibri" w:cs="Calibri"/>
        </w:rPr>
        <w:t xml:space="preserve"> </w:t>
      </w:r>
    </w:p>
    <w:p w14:paraId="786F58AC" w14:textId="77777777" w:rsidR="00E03708" w:rsidRDefault="00E03708" w:rsidP="00D60480">
      <w:pPr>
        <w:spacing w:before="240" w:after="240"/>
        <w:rPr>
          <w:rFonts w:ascii="Calibri" w:hAnsi="Calibri" w:cs="Calibri"/>
        </w:rPr>
      </w:pPr>
    </w:p>
    <w:p w14:paraId="5A279396" w14:textId="77777777" w:rsidR="00D60480" w:rsidRPr="00D90396" w:rsidRDefault="00D60480" w:rsidP="00D60480">
      <w:pPr>
        <w:spacing w:before="240" w:after="240"/>
        <w:rPr>
          <w:rFonts w:ascii="Calibri" w:hAnsi="Calibri" w:cs="Calibri"/>
        </w:rPr>
      </w:pPr>
      <w:r w:rsidRPr="00D90396">
        <w:rPr>
          <w:rFonts w:ascii="Calibri" w:hAnsi="Calibri" w:cs="Calibri"/>
        </w:rPr>
        <w:t>Dear Ms Abhayaratna</w:t>
      </w:r>
      <w:r w:rsidRPr="00D90396" w:rsidDel="000211D5">
        <w:rPr>
          <w:rFonts w:ascii="Calibri" w:hAnsi="Calibri" w:cs="Calibri"/>
        </w:rPr>
        <w:t xml:space="preserve"> </w:t>
      </w:r>
    </w:p>
    <w:p w14:paraId="3B55B783" w14:textId="6683EBBE" w:rsidR="00D60480" w:rsidRPr="00D90396" w:rsidRDefault="00D60480" w:rsidP="00D60480">
      <w:pPr>
        <w:pStyle w:val="Heading1"/>
        <w:spacing w:before="120" w:after="120" w:line="300" w:lineRule="exact"/>
        <w:rPr>
          <w:rFonts w:ascii="Calibri" w:hAnsi="Calibri" w:cs="Calibri"/>
          <w:b/>
          <w:bCs/>
          <w:color w:val="000000" w:themeColor="text1"/>
          <w:sz w:val="22"/>
          <w:szCs w:val="22"/>
        </w:rPr>
      </w:pPr>
      <w:r w:rsidRPr="00D90396">
        <w:rPr>
          <w:rFonts w:ascii="Calibri" w:hAnsi="Calibri" w:cs="Calibri"/>
          <w:b/>
          <w:bCs/>
          <w:color w:val="000000" w:themeColor="text1"/>
          <w:sz w:val="22"/>
          <w:szCs w:val="22"/>
        </w:rPr>
        <w:t>Impact Analysis – National Higher Education Code to Prevent and Respond to Gender-based Violence – Second Pass Final Assessment</w:t>
      </w:r>
    </w:p>
    <w:p w14:paraId="6D64D628" w14:textId="5D1A949D" w:rsidR="00D60480" w:rsidRPr="00D90396" w:rsidRDefault="00D60480" w:rsidP="00D60480">
      <w:pPr>
        <w:rPr>
          <w:rFonts w:ascii="Calibri" w:hAnsi="Calibri" w:cs="Calibri"/>
        </w:rPr>
      </w:pPr>
      <w:r w:rsidRPr="00D90396">
        <w:rPr>
          <w:rFonts w:ascii="Calibri" w:hAnsi="Calibri" w:cs="Calibri"/>
        </w:rPr>
        <w:t xml:space="preserve">I am writing in relation to the attached Impact Analysis (IA): National Code to Prevent and Respond to Gender-based Violence. The IA is required for the creation of the legislative instrument of the same name under the </w:t>
      </w:r>
      <w:r w:rsidRPr="00D90396">
        <w:rPr>
          <w:rFonts w:ascii="Calibri" w:hAnsi="Calibri" w:cs="Calibri"/>
          <w:i/>
          <w:iCs/>
        </w:rPr>
        <w:t>Universities Accord (National Higher Education Code to Prevent and Respond to Gender-based Violence) Act 2025</w:t>
      </w:r>
      <w:r w:rsidRPr="00D90396">
        <w:rPr>
          <w:rFonts w:ascii="Calibri" w:hAnsi="Calibri" w:cs="Calibri"/>
        </w:rPr>
        <w:t xml:space="preserve"> (the Act). </w:t>
      </w:r>
    </w:p>
    <w:p w14:paraId="072A603B" w14:textId="2A967D1B" w:rsidR="0044230F" w:rsidRPr="00D90396" w:rsidRDefault="0044230F" w:rsidP="00D60480">
      <w:pPr>
        <w:rPr>
          <w:rFonts w:ascii="Calibri" w:hAnsi="Calibri" w:cs="Calibri"/>
        </w:rPr>
      </w:pPr>
      <w:r w:rsidRPr="00D90396">
        <w:rPr>
          <w:rFonts w:ascii="Calibri" w:hAnsi="Calibri" w:cs="Calibri"/>
        </w:rPr>
        <w:t>Gender-based violence (GBV) is a systemic and persistent issue in the higher education sector</w:t>
      </w:r>
      <w:r w:rsidR="00E66970" w:rsidRPr="00D90396">
        <w:rPr>
          <w:rFonts w:ascii="Calibri" w:hAnsi="Calibri" w:cs="Calibri"/>
        </w:rPr>
        <w:t xml:space="preserve"> that demands government intervention.</w:t>
      </w:r>
      <w:r w:rsidR="00DB383E" w:rsidRPr="00D90396">
        <w:rPr>
          <w:rFonts w:ascii="Calibri" w:hAnsi="Calibri" w:cs="Calibri"/>
        </w:rPr>
        <w:t xml:space="preserve"> Data confirms that</w:t>
      </w:r>
      <w:r w:rsidR="00C83BCF" w:rsidRPr="00D90396">
        <w:rPr>
          <w:rFonts w:ascii="Calibri" w:hAnsi="Calibri" w:cs="Calibri"/>
        </w:rPr>
        <w:t xml:space="preserve"> within</w:t>
      </w:r>
      <w:r w:rsidR="0039639A" w:rsidRPr="00D90396">
        <w:rPr>
          <w:rFonts w:ascii="Calibri" w:hAnsi="Calibri" w:cs="Calibri"/>
        </w:rPr>
        <w:t xml:space="preserve"> the higher education sector</w:t>
      </w:r>
      <w:r w:rsidR="00C83BCF" w:rsidRPr="00D90396">
        <w:rPr>
          <w:rFonts w:ascii="Calibri" w:hAnsi="Calibri" w:cs="Calibri"/>
        </w:rPr>
        <w:t xml:space="preserve"> there are </w:t>
      </w:r>
      <w:r w:rsidRPr="00D90396">
        <w:rPr>
          <w:rFonts w:ascii="Calibri" w:hAnsi="Calibri" w:cs="Calibri"/>
        </w:rPr>
        <w:t>high rates of sexual harassment</w:t>
      </w:r>
      <w:r w:rsidR="0039639A" w:rsidRPr="00D90396">
        <w:rPr>
          <w:rFonts w:ascii="Calibri" w:hAnsi="Calibri" w:cs="Calibri"/>
        </w:rPr>
        <w:t>, high rates of s</w:t>
      </w:r>
      <w:r w:rsidRPr="00D90396">
        <w:rPr>
          <w:rFonts w:ascii="Calibri" w:hAnsi="Calibri" w:cs="Calibri"/>
        </w:rPr>
        <w:t>exual assault</w:t>
      </w:r>
      <w:r w:rsidR="0039639A" w:rsidRPr="00D90396">
        <w:rPr>
          <w:rFonts w:ascii="Calibri" w:hAnsi="Calibri" w:cs="Calibri"/>
        </w:rPr>
        <w:t xml:space="preserve"> and </w:t>
      </w:r>
      <w:r w:rsidRPr="00D90396">
        <w:rPr>
          <w:rFonts w:ascii="Calibri" w:hAnsi="Calibri" w:cs="Calibri"/>
        </w:rPr>
        <w:t>dissatisfaction with institutional responses</w:t>
      </w:r>
      <w:r w:rsidR="0039639A" w:rsidRPr="00D90396">
        <w:rPr>
          <w:rFonts w:ascii="Calibri" w:hAnsi="Calibri" w:cs="Calibri"/>
        </w:rPr>
        <w:t xml:space="preserve"> (2017 </w:t>
      </w:r>
      <w:r w:rsidR="0039639A" w:rsidRPr="00D90396">
        <w:rPr>
          <w:rFonts w:ascii="Calibri" w:hAnsi="Calibri" w:cs="Calibri"/>
          <w:i/>
          <w:iCs/>
        </w:rPr>
        <w:t xml:space="preserve">Change the Course </w:t>
      </w:r>
      <w:r w:rsidR="0039639A" w:rsidRPr="00D90396">
        <w:rPr>
          <w:rFonts w:ascii="Calibri" w:hAnsi="Calibri" w:cs="Calibri"/>
        </w:rPr>
        <w:t xml:space="preserve">report, 2021 </w:t>
      </w:r>
      <w:r w:rsidR="0039639A" w:rsidRPr="00D90396">
        <w:rPr>
          <w:rFonts w:ascii="Calibri" w:hAnsi="Calibri" w:cs="Calibri"/>
          <w:i/>
          <w:iCs/>
        </w:rPr>
        <w:t>National Student Safety Survey</w:t>
      </w:r>
      <w:r w:rsidR="0039639A" w:rsidRPr="00D90396">
        <w:rPr>
          <w:rFonts w:ascii="Calibri" w:hAnsi="Calibri" w:cs="Calibri"/>
        </w:rPr>
        <w:t xml:space="preserve">, and 2023 </w:t>
      </w:r>
      <w:r w:rsidR="0039639A" w:rsidRPr="00D90396">
        <w:rPr>
          <w:rFonts w:ascii="Calibri" w:hAnsi="Calibri" w:cs="Calibri"/>
          <w:i/>
          <w:iCs/>
        </w:rPr>
        <w:t xml:space="preserve">National Tertiary Education Union </w:t>
      </w:r>
      <w:r w:rsidR="0039639A" w:rsidRPr="00D90396">
        <w:rPr>
          <w:rFonts w:ascii="Calibri" w:hAnsi="Calibri" w:cs="Calibri"/>
        </w:rPr>
        <w:t xml:space="preserve">report). Higher education </w:t>
      </w:r>
      <w:r w:rsidR="009B53E4" w:rsidRPr="00D90396">
        <w:rPr>
          <w:rFonts w:ascii="Calibri" w:hAnsi="Calibri" w:cs="Calibri"/>
        </w:rPr>
        <w:t>providers</w:t>
      </w:r>
      <w:r w:rsidR="0039639A" w:rsidRPr="00D90396">
        <w:rPr>
          <w:rFonts w:ascii="Calibri" w:hAnsi="Calibri" w:cs="Calibri"/>
        </w:rPr>
        <w:t xml:space="preserve"> </w:t>
      </w:r>
      <w:r w:rsidRPr="00D90396">
        <w:rPr>
          <w:rFonts w:ascii="Calibri" w:hAnsi="Calibri" w:cs="Calibri"/>
        </w:rPr>
        <w:t>are failing to keep students and staff safe.</w:t>
      </w:r>
    </w:p>
    <w:p w14:paraId="32AC880F" w14:textId="3349F4A7" w:rsidR="0044230F" w:rsidRPr="00D90396" w:rsidRDefault="0044230F" w:rsidP="00D60480">
      <w:pPr>
        <w:rPr>
          <w:rFonts w:ascii="Calibri" w:hAnsi="Calibri" w:cs="Calibri"/>
        </w:rPr>
      </w:pPr>
      <w:r w:rsidRPr="00D90396">
        <w:rPr>
          <w:rFonts w:ascii="Calibri" w:hAnsi="Calibri" w:cs="Calibri"/>
        </w:rPr>
        <w:t xml:space="preserve">To address this, the recommendation </w:t>
      </w:r>
      <w:r w:rsidR="00BB7B48" w:rsidRPr="00D90396">
        <w:rPr>
          <w:rFonts w:ascii="Calibri" w:hAnsi="Calibri" w:cs="Calibri"/>
        </w:rPr>
        <w:t xml:space="preserve">reflected in the IA </w:t>
      </w:r>
      <w:r w:rsidRPr="00D90396">
        <w:rPr>
          <w:rFonts w:ascii="Calibri" w:hAnsi="Calibri" w:cs="Calibri"/>
        </w:rPr>
        <w:t>is the introduction of a legislated National Higher Education Code to Prevent and Respond to Gender-based Violence (National Code), that seeks to establish a consistent and enforceable framework across the sector in relation to GBV. It seeks to reduce the prevalence of GBV, improve responses and support, ensure accountability, and foster cultural change that aligns with the </w:t>
      </w:r>
      <w:r w:rsidRPr="00D90396">
        <w:rPr>
          <w:rFonts w:ascii="Calibri" w:hAnsi="Calibri" w:cs="Calibri"/>
          <w:i/>
          <w:iCs/>
        </w:rPr>
        <w:t>National Plan to End Violence Against Women and Children 2022–2032</w:t>
      </w:r>
      <w:r w:rsidRPr="00D90396">
        <w:rPr>
          <w:rFonts w:ascii="Calibri" w:hAnsi="Calibri" w:cs="Calibri"/>
        </w:rPr>
        <w:t>.</w:t>
      </w:r>
    </w:p>
    <w:p w14:paraId="0152488C" w14:textId="749EAF8C" w:rsidR="00D60480" w:rsidRPr="00D90396" w:rsidRDefault="00D60480" w:rsidP="00D60480">
      <w:pPr>
        <w:rPr>
          <w:rFonts w:ascii="Calibri" w:hAnsi="Calibri" w:cs="Calibri"/>
        </w:rPr>
      </w:pPr>
      <w:r w:rsidRPr="00D90396">
        <w:rPr>
          <w:rFonts w:ascii="Calibri" w:hAnsi="Calibri" w:cs="Calibri"/>
        </w:rPr>
        <w:t>I am satisfied that the Department of Education (the department) has addressed the concerns raised in your letter of 25 August 2025</w:t>
      </w:r>
      <w:r w:rsidR="001369FE" w:rsidRPr="00D90396">
        <w:rPr>
          <w:rFonts w:ascii="Calibri" w:hAnsi="Calibri" w:cs="Calibri"/>
        </w:rPr>
        <w:t>,</w:t>
      </w:r>
      <w:r w:rsidRPr="00D90396">
        <w:rPr>
          <w:rFonts w:ascii="Calibri" w:hAnsi="Calibri" w:cs="Calibri"/>
        </w:rPr>
        <w:t xml:space="preserve"> following your First Pass Final Assessment. The IA at second pass has been significantly redrafted and expanded. It has addressed the issues raised in Attachment A </w:t>
      </w:r>
      <w:r w:rsidR="0044230F" w:rsidRPr="00D90396">
        <w:rPr>
          <w:rFonts w:ascii="Calibri" w:hAnsi="Calibri" w:cs="Calibri"/>
        </w:rPr>
        <w:t xml:space="preserve">of your letter </w:t>
      </w:r>
      <w:r w:rsidR="009E1C7F" w:rsidRPr="00D90396">
        <w:rPr>
          <w:rFonts w:ascii="Calibri" w:hAnsi="Calibri" w:cs="Calibri"/>
        </w:rPr>
        <w:t>including:</w:t>
      </w:r>
    </w:p>
    <w:p w14:paraId="4F16BD6F" w14:textId="58ADBC52" w:rsidR="009E1C7F" w:rsidRPr="00D90396" w:rsidRDefault="009E1C7F" w:rsidP="009E1C7F">
      <w:pPr>
        <w:pStyle w:val="ListParagraph"/>
        <w:numPr>
          <w:ilvl w:val="0"/>
          <w:numId w:val="1"/>
        </w:numPr>
        <w:rPr>
          <w:rFonts w:ascii="Calibri" w:hAnsi="Calibri" w:cs="Calibri"/>
        </w:rPr>
      </w:pPr>
      <w:r w:rsidRPr="00D90396">
        <w:rPr>
          <w:rFonts w:ascii="Calibri" w:hAnsi="Calibri" w:cs="Calibri"/>
        </w:rPr>
        <w:t>Providing definitions for ‘person-centred</w:t>
      </w:r>
      <w:r w:rsidR="009B53E4" w:rsidRPr="00D90396">
        <w:rPr>
          <w:rFonts w:ascii="Calibri" w:hAnsi="Calibri" w:cs="Calibri"/>
        </w:rPr>
        <w:t xml:space="preserve">’, </w:t>
      </w:r>
      <w:r w:rsidR="009B53E4">
        <w:rPr>
          <w:rFonts w:ascii="Calibri" w:hAnsi="Calibri" w:cs="Calibri"/>
        </w:rPr>
        <w:t>‘</w:t>
      </w:r>
      <w:r w:rsidRPr="00D90396">
        <w:rPr>
          <w:rFonts w:ascii="Calibri" w:hAnsi="Calibri" w:cs="Calibri"/>
        </w:rPr>
        <w:t>trauma-informed’ and ‘disability’</w:t>
      </w:r>
    </w:p>
    <w:p w14:paraId="155BDFA1" w14:textId="6A904565" w:rsidR="0044230F" w:rsidRPr="00D90396" w:rsidRDefault="009E1C7F" w:rsidP="0044230F">
      <w:pPr>
        <w:pStyle w:val="ListParagraph"/>
        <w:numPr>
          <w:ilvl w:val="0"/>
          <w:numId w:val="1"/>
        </w:numPr>
        <w:rPr>
          <w:rFonts w:ascii="Calibri" w:hAnsi="Calibri" w:cs="Calibri"/>
        </w:rPr>
      </w:pPr>
      <w:r w:rsidRPr="00D90396">
        <w:rPr>
          <w:rFonts w:ascii="Calibri" w:hAnsi="Calibri" w:cs="Calibri"/>
        </w:rPr>
        <w:t>Clarifying the application of the National Code in relation to TAFEs</w:t>
      </w:r>
    </w:p>
    <w:p w14:paraId="32779527" w14:textId="09DCA19E" w:rsidR="009E1C7F" w:rsidRPr="00D90396" w:rsidRDefault="009E1C7F" w:rsidP="009E1C7F">
      <w:pPr>
        <w:pStyle w:val="ListParagraph"/>
        <w:numPr>
          <w:ilvl w:val="0"/>
          <w:numId w:val="1"/>
        </w:numPr>
        <w:rPr>
          <w:rFonts w:ascii="Calibri" w:hAnsi="Calibri" w:cs="Calibri"/>
        </w:rPr>
      </w:pPr>
      <w:r w:rsidRPr="00D90396">
        <w:rPr>
          <w:rFonts w:ascii="Calibri" w:hAnsi="Calibri" w:cs="Calibri"/>
        </w:rPr>
        <w:lastRenderedPageBreak/>
        <w:t>Including the break even analysis in the executive summary and one page summary</w:t>
      </w:r>
    </w:p>
    <w:p w14:paraId="6A4525DE" w14:textId="1DDC953B" w:rsidR="0044230F" w:rsidRPr="00D90396" w:rsidRDefault="00A256F6" w:rsidP="0044230F">
      <w:pPr>
        <w:pStyle w:val="ListParagraph"/>
        <w:numPr>
          <w:ilvl w:val="0"/>
          <w:numId w:val="1"/>
        </w:numPr>
        <w:rPr>
          <w:rFonts w:ascii="Calibri" w:hAnsi="Calibri" w:cs="Calibri"/>
        </w:rPr>
      </w:pPr>
      <w:r w:rsidRPr="00D90396">
        <w:rPr>
          <w:rFonts w:ascii="Calibri" w:hAnsi="Calibri" w:cs="Calibri"/>
        </w:rPr>
        <w:t>Clarifying</w:t>
      </w:r>
      <w:r w:rsidR="0044230F" w:rsidRPr="00D90396">
        <w:rPr>
          <w:rFonts w:ascii="Calibri" w:hAnsi="Calibri" w:cs="Calibri"/>
        </w:rPr>
        <w:t xml:space="preserve"> the regulatory costs compared to operational costs</w:t>
      </w:r>
    </w:p>
    <w:p w14:paraId="46BC9721" w14:textId="6FEB604D" w:rsidR="0044230F" w:rsidRPr="00D90396" w:rsidRDefault="0044230F" w:rsidP="0044230F">
      <w:pPr>
        <w:pStyle w:val="ListParagraph"/>
        <w:numPr>
          <w:ilvl w:val="0"/>
          <w:numId w:val="1"/>
        </w:numPr>
        <w:rPr>
          <w:rFonts w:ascii="Calibri" w:hAnsi="Calibri" w:cs="Calibri"/>
        </w:rPr>
      </w:pPr>
      <w:r w:rsidRPr="00D90396">
        <w:rPr>
          <w:rFonts w:ascii="Calibri" w:hAnsi="Calibri" w:cs="Calibri"/>
        </w:rPr>
        <w:t>Consideration of international schemes</w:t>
      </w:r>
    </w:p>
    <w:p w14:paraId="5AC4C2E8" w14:textId="25508A32" w:rsidR="0044230F" w:rsidRPr="00D90396" w:rsidRDefault="009E1C7F" w:rsidP="0044230F">
      <w:pPr>
        <w:pStyle w:val="ListParagraph"/>
        <w:numPr>
          <w:ilvl w:val="0"/>
          <w:numId w:val="1"/>
        </w:numPr>
        <w:rPr>
          <w:rFonts w:ascii="Calibri" w:hAnsi="Calibri" w:cs="Calibri"/>
        </w:rPr>
      </w:pPr>
      <w:r w:rsidRPr="00D90396">
        <w:rPr>
          <w:rFonts w:ascii="Calibri" w:hAnsi="Calibri" w:cs="Calibri"/>
        </w:rPr>
        <w:t>Including the status of the IA at major decision points</w:t>
      </w:r>
    </w:p>
    <w:p w14:paraId="38DF9E3C" w14:textId="029D9291" w:rsidR="009E1C7F" w:rsidRPr="00D90396" w:rsidRDefault="0044230F" w:rsidP="009E1C7F">
      <w:pPr>
        <w:pStyle w:val="ListParagraph"/>
        <w:numPr>
          <w:ilvl w:val="0"/>
          <w:numId w:val="1"/>
        </w:numPr>
        <w:rPr>
          <w:rFonts w:ascii="Calibri" w:hAnsi="Calibri" w:cs="Calibri"/>
        </w:rPr>
      </w:pPr>
      <w:r w:rsidRPr="00D90396">
        <w:rPr>
          <w:rFonts w:ascii="Calibri" w:hAnsi="Calibri" w:cs="Calibri"/>
        </w:rPr>
        <w:t>Inclu</w:t>
      </w:r>
      <w:r w:rsidR="00086D93" w:rsidRPr="00D90396">
        <w:rPr>
          <w:rFonts w:ascii="Calibri" w:hAnsi="Calibri" w:cs="Calibri"/>
        </w:rPr>
        <w:t xml:space="preserve">ding the full </w:t>
      </w:r>
      <w:r w:rsidRPr="00D90396">
        <w:rPr>
          <w:rFonts w:ascii="Calibri" w:hAnsi="Calibri" w:cs="Calibri"/>
        </w:rPr>
        <w:t xml:space="preserve">cost-benefit analysis as an attachment to the IA. </w:t>
      </w:r>
      <w:r w:rsidR="009E1C7F" w:rsidRPr="00D90396">
        <w:rPr>
          <w:rFonts w:ascii="Calibri" w:hAnsi="Calibri" w:cs="Calibri"/>
        </w:rPr>
        <w:t xml:space="preserve"> </w:t>
      </w:r>
    </w:p>
    <w:p w14:paraId="56DB4317" w14:textId="4E9F5199" w:rsidR="009E1C7F" w:rsidRPr="00D90396" w:rsidRDefault="009E1C7F" w:rsidP="009E1C7F">
      <w:pPr>
        <w:rPr>
          <w:rFonts w:ascii="Calibri" w:hAnsi="Calibri" w:cs="Calibri"/>
        </w:rPr>
      </w:pPr>
      <w:r w:rsidRPr="00D90396">
        <w:rPr>
          <w:rFonts w:ascii="Calibri" w:hAnsi="Calibri" w:cs="Calibri"/>
        </w:rPr>
        <w:t>Additionally</w:t>
      </w:r>
      <w:r w:rsidR="0044230F" w:rsidRPr="00D90396">
        <w:rPr>
          <w:rFonts w:ascii="Calibri" w:hAnsi="Calibri" w:cs="Calibri"/>
        </w:rPr>
        <w:t>,</w:t>
      </w:r>
      <w:r w:rsidRPr="00D90396">
        <w:rPr>
          <w:rFonts w:ascii="Calibri" w:hAnsi="Calibri" w:cs="Calibri"/>
        </w:rPr>
        <w:t xml:space="preserve"> we have provided further </w:t>
      </w:r>
      <w:r w:rsidR="005C7BBC" w:rsidRPr="00D90396">
        <w:rPr>
          <w:rFonts w:ascii="Calibri" w:hAnsi="Calibri" w:cs="Calibri"/>
        </w:rPr>
        <w:t>explanations</w:t>
      </w:r>
      <w:r w:rsidR="0044230F" w:rsidRPr="00D90396">
        <w:rPr>
          <w:rFonts w:ascii="Calibri" w:hAnsi="Calibri" w:cs="Calibri"/>
        </w:rPr>
        <w:t xml:space="preserve"> and details</w:t>
      </w:r>
      <w:r w:rsidRPr="00D90396">
        <w:rPr>
          <w:rFonts w:ascii="Calibri" w:hAnsi="Calibri" w:cs="Calibri"/>
        </w:rPr>
        <w:t xml:space="preserve"> on suggested areas including:</w:t>
      </w:r>
    </w:p>
    <w:p w14:paraId="667B5DEF" w14:textId="669E6DDD" w:rsidR="009E1C7F" w:rsidRPr="00D90396" w:rsidRDefault="009E1C7F" w:rsidP="009E1C7F">
      <w:pPr>
        <w:pStyle w:val="ListParagraph"/>
        <w:numPr>
          <w:ilvl w:val="0"/>
          <w:numId w:val="1"/>
        </w:numPr>
        <w:rPr>
          <w:rFonts w:ascii="Calibri" w:hAnsi="Calibri" w:cs="Calibri"/>
        </w:rPr>
      </w:pPr>
      <w:r w:rsidRPr="00D90396">
        <w:rPr>
          <w:rFonts w:ascii="Calibri" w:hAnsi="Calibri" w:cs="Calibri"/>
        </w:rPr>
        <w:t>How the policy problem affects different stakeholders</w:t>
      </w:r>
      <w:r w:rsidR="0044230F" w:rsidRPr="00D90396">
        <w:rPr>
          <w:rFonts w:ascii="Calibri" w:hAnsi="Calibri" w:cs="Calibri"/>
        </w:rPr>
        <w:t xml:space="preserve"> (such as </w:t>
      </w:r>
      <w:r w:rsidR="009B53E4" w:rsidRPr="00D90396">
        <w:rPr>
          <w:rFonts w:ascii="Calibri" w:hAnsi="Calibri" w:cs="Calibri"/>
        </w:rPr>
        <w:t>students</w:t>
      </w:r>
      <w:r w:rsidRPr="00D90396">
        <w:rPr>
          <w:rFonts w:ascii="Calibri" w:hAnsi="Calibri" w:cs="Calibri"/>
        </w:rPr>
        <w:t xml:space="preserve"> and staff</w:t>
      </w:r>
      <w:r w:rsidR="0044230F" w:rsidRPr="00D90396">
        <w:rPr>
          <w:rFonts w:ascii="Calibri" w:hAnsi="Calibri" w:cs="Calibri"/>
        </w:rPr>
        <w:t xml:space="preserve"> of different</w:t>
      </w:r>
      <w:r w:rsidRPr="00D90396">
        <w:rPr>
          <w:rFonts w:ascii="Calibri" w:hAnsi="Calibri" w:cs="Calibri"/>
        </w:rPr>
        <w:t xml:space="preserve"> cohorts and roles</w:t>
      </w:r>
      <w:r w:rsidR="0044230F" w:rsidRPr="00D90396">
        <w:rPr>
          <w:rFonts w:ascii="Calibri" w:hAnsi="Calibri" w:cs="Calibri"/>
        </w:rPr>
        <w:t>)</w:t>
      </w:r>
    </w:p>
    <w:p w14:paraId="25CF86EC" w14:textId="71BFADE7" w:rsidR="009E1C7F" w:rsidRPr="00D90396" w:rsidRDefault="0044230F" w:rsidP="009E1C7F">
      <w:pPr>
        <w:pStyle w:val="ListParagraph"/>
        <w:numPr>
          <w:ilvl w:val="0"/>
          <w:numId w:val="1"/>
        </w:numPr>
        <w:rPr>
          <w:rFonts w:ascii="Calibri" w:hAnsi="Calibri" w:cs="Calibri"/>
        </w:rPr>
      </w:pPr>
      <w:r w:rsidRPr="00D90396">
        <w:rPr>
          <w:rFonts w:ascii="Calibri" w:hAnsi="Calibri" w:cs="Calibri"/>
        </w:rPr>
        <w:t>A</w:t>
      </w:r>
      <w:r w:rsidR="009E1C7F" w:rsidRPr="00D90396">
        <w:rPr>
          <w:rFonts w:ascii="Calibri" w:hAnsi="Calibri" w:cs="Calibri"/>
        </w:rPr>
        <w:t>nal</w:t>
      </w:r>
      <w:r w:rsidR="006916C9" w:rsidRPr="00D90396">
        <w:rPr>
          <w:rFonts w:ascii="Calibri" w:hAnsi="Calibri" w:cs="Calibri"/>
        </w:rPr>
        <w:t>y</w:t>
      </w:r>
      <w:r w:rsidR="00E52255" w:rsidRPr="00D90396">
        <w:rPr>
          <w:rFonts w:ascii="Calibri" w:hAnsi="Calibri" w:cs="Calibri"/>
        </w:rPr>
        <w:t>sing</w:t>
      </w:r>
      <w:r w:rsidR="006916C9" w:rsidRPr="00D90396">
        <w:rPr>
          <w:rFonts w:ascii="Calibri" w:hAnsi="Calibri" w:cs="Calibri"/>
        </w:rPr>
        <w:t xml:space="preserve"> the </w:t>
      </w:r>
      <w:r w:rsidR="009E1C7F" w:rsidRPr="00D90396">
        <w:rPr>
          <w:rFonts w:ascii="Calibri" w:hAnsi="Calibri" w:cs="Calibri"/>
        </w:rPr>
        <w:t>limitations and barriers</w:t>
      </w:r>
      <w:r w:rsidRPr="00D90396">
        <w:rPr>
          <w:rFonts w:ascii="Calibri" w:hAnsi="Calibri" w:cs="Calibri"/>
        </w:rPr>
        <w:t xml:space="preserve"> of government intervention</w:t>
      </w:r>
    </w:p>
    <w:p w14:paraId="2577D132" w14:textId="34F1490D" w:rsidR="009E1C7F" w:rsidRPr="00D90396" w:rsidRDefault="0044230F" w:rsidP="009E1C7F">
      <w:pPr>
        <w:pStyle w:val="ListParagraph"/>
        <w:numPr>
          <w:ilvl w:val="0"/>
          <w:numId w:val="1"/>
        </w:numPr>
        <w:rPr>
          <w:rFonts w:ascii="Calibri" w:hAnsi="Calibri" w:cs="Calibri"/>
        </w:rPr>
      </w:pPr>
      <w:r w:rsidRPr="00D90396">
        <w:rPr>
          <w:rFonts w:ascii="Calibri" w:hAnsi="Calibri" w:cs="Calibri"/>
        </w:rPr>
        <w:t xml:space="preserve">More thoroughly comparing </w:t>
      </w:r>
      <w:r w:rsidR="009E1C7F" w:rsidRPr="00D90396">
        <w:rPr>
          <w:rFonts w:ascii="Calibri" w:hAnsi="Calibri" w:cs="Calibri"/>
        </w:rPr>
        <w:t xml:space="preserve">the proposed options </w:t>
      </w:r>
    </w:p>
    <w:p w14:paraId="2D9017CF" w14:textId="38F1D0BA" w:rsidR="009E1C7F" w:rsidRPr="00D90396" w:rsidRDefault="0063138E" w:rsidP="009E1C7F">
      <w:pPr>
        <w:pStyle w:val="ListParagraph"/>
        <w:numPr>
          <w:ilvl w:val="0"/>
          <w:numId w:val="1"/>
        </w:numPr>
        <w:rPr>
          <w:rFonts w:ascii="Calibri" w:hAnsi="Calibri" w:cs="Calibri"/>
        </w:rPr>
      </w:pPr>
      <w:r w:rsidRPr="00D90396">
        <w:rPr>
          <w:rFonts w:ascii="Calibri" w:hAnsi="Calibri" w:cs="Calibri"/>
        </w:rPr>
        <w:t>A</w:t>
      </w:r>
      <w:r w:rsidR="009E1C7F" w:rsidRPr="00D90396">
        <w:rPr>
          <w:rFonts w:ascii="Calibri" w:hAnsi="Calibri" w:cs="Calibri"/>
        </w:rPr>
        <w:t>nal</w:t>
      </w:r>
      <w:r w:rsidR="00224F4F" w:rsidRPr="00D90396">
        <w:rPr>
          <w:rFonts w:ascii="Calibri" w:hAnsi="Calibri" w:cs="Calibri"/>
        </w:rPr>
        <w:t xml:space="preserve">ysing </w:t>
      </w:r>
      <w:r w:rsidR="009E1C7F" w:rsidRPr="00D90396">
        <w:rPr>
          <w:rFonts w:ascii="Calibri" w:hAnsi="Calibri" w:cs="Calibri"/>
        </w:rPr>
        <w:t>limitations and barriers</w:t>
      </w:r>
      <w:r w:rsidRPr="00D90396">
        <w:rPr>
          <w:rFonts w:ascii="Calibri" w:hAnsi="Calibri" w:cs="Calibri"/>
        </w:rPr>
        <w:t xml:space="preserve"> of implementation </w:t>
      </w:r>
    </w:p>
    <w:p w14:paraId="0BEE27C2" w14:textId="3E9C372C" w:rsidR="009E1C7F" w:rsidRPr="00D90396" w:rsidRDefault="009E1C7F" w:rsidP="009E1C7F">
      <w:pPr>
        <w:pStyle w:val="ListParagraph"/>
        <w:numPr>
          <w:ilvl w:val="0"/>
          <w:numId w:val="1"/>
        </w:numPr>
        <w:rPr>
          <w:rFonts w:ascii="Calibri" w:hAnsi="Calibri" w:cs="Calibri"/>
        </w:rPr>
      </w:pPr>
      <w:r w:rsidRPr="00D90396">
        <w:rPr>
          <w:rFonts w:ascii="Calibri" w:hAnsi="Calibri" w:cs="Calibri"/>
        </w:rPr>
        <w:t>Providing detail on the ev</w:t>
      </w:r>
      <w:r w:rsidR="00224F4F" w:rsidRPr="00D90396">
        <w:rPr>
          <w:rFonts w:ascii="Calibri" w:hAnsi="Calibri" w:cs="Calibri"/>
        </w:rPr>
        <w:t xml:space="preserve">aluation </w:t>
      </w:r>
      <w:r w:rsidRPr="00D90396">
        <w:rPr>
          <w:rFonts w:ascii="Calibri" w:hAnsi="Calibri" w:cs="Calibri"/>
        </w:rPr>
        <w:t>design and framework</w:t>
      </w:r>
    </w:p>
    <w:p w14:paraId="559BA6C2" w14:textId="136D30F1" w:rsidR="0044230F" w:rsidRPr="00D90396" w:rsidRDefault="006916C9" w:rsidP="0063138E">
      <w:pPr>
        <w:pStyle w:val="ListParagraph"/>
        <w:numPr>
          <w:ilvl w:val="0"/>
          <w:numId w:val="1"/>
        </w:numPr>
        <w:rPr>
          <w:rFonts w:ascii="Calibri" w:hAnsi="Calibri" w:cs="Calibri"/>
        </w:rPr>
      </w:pPr>
      <w:r w:rsidRPr="00D90396">
        <w:rPr>
          <w:rFonts w:ascii="Calibri" w:hAnsi="Calibri" w:cs="Calibri"/>
        </w:rPr>
        <w:t xml:space="preserve">Areas of </w:t>
      </w:r>
      <w:r w:rsidR="0044230F" w:rsidRPr="00D90396">
        <w:rPr>
          <w:rFonts w:ascii="Calibri" w:hAnsi="Calibri" w:cs="Calibri"/>
        </w:rPr>
        <w:t>agreement and disagreement</w:t>
      </w:r>
      <w:r w:rsidR="0063138E" w:rsidRPr="00D90396">
        <w:rPr>
          <w:rFonts w:ascii="Calibri" w:hAnsi="Calibri" w:cs="Calibri"/>
        </w:rPr>
        <w:t xml:space="preserve"> throughout the consultation process</w:t>
      </w:r>
      <w:r w:rsidR="0044230F" w:rsidRPr="00D90396">
        <w:rPr>
          <w:rFonts w:ascii="Calibri" w:hAnsi="Calibri" w:cs="Calibri"/>
        </w:rPr>
        <w:t xml:space="preserve"> and how these have been addressed in the National Code</w:t>
      </w:r>
      <w:r w:rsidR="0063138E" w:rsidRPr="00D90396">
        <w:rPr>
          <w:rFonts w:ascii="Calibri" w:hAnsi="Calibri" w:cs="Calibri"/>
        </w:rPr>
        <w:t xml:space="preserve">. </w:t>
      </w:r>
    </w:p>
    <w:p w14:paraId="48A30BB6" w14:textId="49A6C560" w:rsidR="0063138E" w:rsidRPr="00D90396" w:rsidRDefault="00D51C00" w:rsidP="00794C1D">
      <w:pPr>
        <w:rPr>
          <w:rFonts w:ascii="Calibri" w:hAnsi="Calibri" w:cs="Calibri"/>
        </w:rPr>
      </w:pPr>
      <w:r w:rsidRPr="00D90396">
        <w:rPr>
          <w:rFonts w:ascii="Calibri" w:hAnsi="Calibri" w:cs="Calibri"/>
        </w:rPr>
        <w:t>A compreh</w:t>
      </w:r>
      <w:r w:rsidR="00E52255" w:rsidRPr="00D90396">
        <w:rPr>
          <w:rFonts w:ascii="Calibri" w:hAnsi="Calibri" w:cs="Calibri"/>
        </w:rPr>
        <w:t xml:space="preserve">ensive </w:t>
      </w:r>
      <w:r w:rsidRPr="00D90396">
        <w:rPr>
          <w:rFonts w:ascii="Calibri" w:hAnsi="Calibri" w:cs="Calibri"/>
        </w:rPr>
        <w:t xml:space="preserve">analysis was </w:t>
      </w:r>
      <w:r w:rsidR="06F68C5B" w:rsidRPr="00D90396">
        <w:rPr>
          <w:rFonts w:ascii="Calibri" w:hAnsi="Calibri" w:cs="Calibri"/>
        </w:rPr>
        <w:t>conducted</w:t>
      </w:r>
      <w:r w:rsidRPr="00D90396">
        <w:rPr>
          <w:rFonts w:ascii="Calibri" w:hAnsi="Calibri" w:cs="Calibri"/>
        </w:rPr>
        <w:t xml:space="preserve"> to assess the costs and benefits of the National Code.</w:t>
      </w:r>
      <w:r w:rsidR="00794C1D" w:rsidRPr="00D90396">
        <w:rPr>
          <w:rFonts w:ascii="Calibri" w:hAnsi="Calibri" w:cs="Calibri"/>
        </w:rPr>
        <w:t xml:space="preserve"> </w:t>
      </w:r>
      <w:r w:rsidRPr="00D90396">
        <w:rPr>
          <w:rFonts w:ascii="Calibri" w:hAnsi="Calibri" w:cs="Calibri"/>
        </w:rPr>
        <w:t xml:space="preserve">Total costs over a ten-year period are </w:t>
      </w:r>
      <w:r w:rsidR="00F25080" w:rsidRPr="00D90396">
        <w:rPr>
          <w:rFonts w:ascii="Calibri" w:hAnsi="Calibri" w:cs="Calibri"/>
        </w:rPr>
        <w:t xml:space="preserve">estimated to be </w:t>
      </w:r>
      <w:r w:rsidRPr="00D90396">
        <w:rPr>
          <w:rFonts w:ascii="Calibri" w:hAnsi="Calibri" w:cs="Calibri"/>
        </w:rPr>
        <w:t>$1.2 billion</w:t>
      </w:r>
      <w:r w:rsidR="0063138E" w:rsidRPr="00D90396">
        <w:rPr>
          <w:rFonts w:ascii="Calibri" w:hAnsi="Calibri" w:cs="Calibri"/>
        </w:rPr>
        <w:t xml:space="preserve"> (including government costs), with an </w:t>
      </w:r>
      <w:r w:rsidRPr="00D90396">
        <w:rPr>
          <w:rFonts w:ascii="Calibri" w:hAnsi="Calibri" w:cs="Calibri"/>
        </w:rPr>
        <w:t xml:space="preserve">average annual regulatory burden of </w:t>
      </w:r>
      <w:r w:rsidR="00F25080" w:rsidRPr="00D90396">
        <w:rPr>
          <w:rFonts w:ascii="Calibri" w:hAnsi="Calibri" w:cs="Calibri"/>
        </w:rPr>
        <w:t xml:space="preserve">approximately </w:t>
      </w:r>
      <w:r w:rsidRPr="00D90396">
        <w:rPr>
          <w:rFonts w:ascii="Calibri" w:hAnsi="Calibri" w:cs="Calibri"/>
        </w:rPr>
        <w:t xml:space="preserve">$173.2 million. </w:t>
      </w:r>
    </w:p>
    <w:p w14:paraId="3DB37A78" w14:textId="0A729B53" w:rsidR="00D60480" w:rsidRPr="00D90396" w:rsidRDefault="00D51C00" w:rsidP="00D60480">
      <w:pPr>
        <w:keepNext/>
        <w:keepLines/>
        <w:spacing w:before="40"/>
        <w:outlineLvl w:val="1"/>
        <w:rPr>
          <w:rFonts w:ascii="Calibri" w:hAnsi="Calibri" w:cs="Calibri"/>
          <w:b/>
          <w:color w:val="000000"/>
        </w:rPr>
      </w:pPr>
      <w:r w:rsidRPr="00D90396">
        <w:rPr>
          <w:rFonts w:ascii="Calibri" w:hAnsi="Calibri" w:cs="Calibri"/>
          <w:lang w:eastAsia="en-AU"/>
        </w:rPr>
        <w:t>The regulatory burden cost is estimated to be $1.</w:t>
      </w:r>
      <w:r w:rsidR="0063138E" w:rsidRPr="00D90396">
        <w:rPr>
          <w:rFonts w:ascii="Calibri" w:hAnsi="Calibri" w:cs="Calibri"/>
          <w:lang w:eastAsia="en-AU"/>
        </w:rPr>
        <w:t>1</w:t>
      </w:r>
      <w:r w:rsidR="00F45CDF" w:rsidRPr="00D90396">
        <w:rPr>
          <w:rFonts w:ascii="Calibri" w:hAnsi="Calibri" w:cs="Calibri"/>
          <w:lang w:eastAsia="en-AU"/>
        </w:rPr>
        <w:t>6</w:t>
      </w:r>
      <w:r w:rsidRPr="00D90396">
        <w:rPr>
          <w:rFonts w:ascii="Calibri" w:hAnsi="Calibri" w:cs="Calibri"/>
          <w:lang w:eastAsia="en-AU"/>
        </w:rPr>
        <w:t xml:space="preserve"> billion (i.e. total costs excluding costs to government), as shown in the regulatory burden estimate table below.</w:t>
      </w:r>
    </w:p>
    <w:tbl>
      <w:tblPr>
        <w:tblStyle w:val="TableGrid"/>
        <w:tblW w:w="9070" w:type="dxa"/>
        <w:tblLayout w:type="fixed"/>
        <w:tblLook w:val="04A0" w:firstRow="1" w:lastRow="0" w:firstColumn="1" w:lastColumn="0" w:noHBand="0" w:noVBand="1"/>
        <w:tblCaption w:val="Regulatory burden and cost offset estimate table"/>
        <w:tblDescription w:val="Template for the Regulatory burden and cost offset estimate table"/>
      </w:tblPr>
      <w:tblGrid>
        <w:gridCol w:w="1550"/>
        <w:gridCol w:w="1701"/>
        <w:gridCol w:w="1559"/>
        <w:gridCol w:w="1559"/>
        <w:gridCol w:w="1540"/>
        <w:gridCol w:w="1153"/>
        <w:gridCol w:w="8"/>
      </w:tblGrid>
      <w:tr w:rsidR="00D51C00" w:rsidRPr="00D90396" w14:paraId="0028534E" w14:textId="21161D74" w:rsidTr="00C37A83">
        <w:trPr>
          <w:trHeight w:val="300"/>
        </w:trPr>
        <w:tc>
          <w:tcPr>
            <w:tcW w:w="9070" w:type="dxa"/>
            <w:gridSpan w:val="7"/>
            <w:shd w:val="clear" w:color="auto" w:fill="1F3864" w:themeFill="accent5" w:themeFillShade="80"/>
            <w:noWrap/>
          </w:tcPr>
          <w:p w14:paraId="6874A85B" w14:textId="1A5CF5E5" w:rsidR="00D51C00" w:rsidRPr="00D90396" w:rsidRDefault="00D51C00">
            <w:pPr>
              <w:spacing w:before="120" w:after="120"/>
              <w:rPr>
                <w:rFonts w:ascii="Calibri" w:hAnsi="Calibri" w:cs="Calibri"/>
                <w:b/>
                <w:bCs/>
                <w:sz w:val="20"/>
                <w:szCs w:val="20"/>
              </w:rPr>
            </w:pPr>
            <w:r w:rsidRPr="00D90396">
              <w:rPr>
                <w:rFonts w:ascii="Calibri" w:hAnsi="Calibri" w:cs="Calibri"/>
                <w:b/>
                <w:bCs/>
                <w:sz w:val="20"/>
                <w:szCs w:val="20"/>
              </w:rPr>
              <w:t>Total regulatory costs - $ million in present value over 10 years</w:t>
            </w:r>
          </w:p>
        </w:tc>
      </w:tr>
      <w:tr w:rsidR="0044230F" w:rsidRPr="00D90396" w14:paraId="2D43C484" w14:textId="5E6B9442" w:rsidTr="00C37A83">
        <w:trPr>
          <w:gridAfter w:val="1"/>
          <w:wAfter w:w="8" w:type="dxa"/>
          <w:trHeight w:val="300"/>
        </w:trPr>
        <w:tc>
          <w:tcPr>
            <w:tcW w:w="1550" w:type="dxa"/>
            <w:noWrap/>
          </w:tcPr>
          <w:p w14:paraId="26108532" w14:textId="55B33462" w:rsidR="00D51C00" w:rsidRPr="00D90396" w:rsidRDefault="00D51C00" w:rsidP="00D51C00">
            <w:pPr>
              <w:spacing w:before="120" w:after="120"/>
              <w:rPr>
                <w:rFonts w:ascii="Calibri" w:hAnsi="Calibri" w:cs="Calibri"/>
                <w:sz w:val="20"/>
                <w:szCs w:val="20"/>
              </w:rPr>
            </w:pPr>
          </w:p>
        </w:tc>
        <w:tc>
          <w:tcPr>
            <w:tcW w:w="1701" w:type="dxa"/>
            <w:noWrap/>
          </w:tcPr>
          <w:p w14:paraId="62D288EF" w14:textId="5ECF20A7" w:rsidR="00D51C00" w:rsidRPr="00D90396" w:rsidRDefault="00D51C00" w:rsidP="00D51C00">
            <w:pPr>
              <w:spacing w:before="120" w:after="120"/>
              <w:jc w:val="center"/>
              <w:rPr>
                <w:rFonts w:ascii="Calibri" w:hAnsi="Calibri" w:cs="Calibri"/>
                <w:b/>
                <w:sz w:val="20"/>
                <w:szCs w:val="20"/>
              </w:rPr>
            </w:pPr>
            <w:r w:rsidRPr="00D90396">
              <w:rPr>
                <w:rFonts w:ascii="Calibri" w:hAnsi="Calibri" w:cs="Calibri"/>
                <w:b/>
                <w:sz w:val="20"/>
                <w:szCs w:val="20"/>
              </w:rPr>
              <w:t>Higher education providers</w:t>
            </w:r>
          </w:p>
        </w:tc>
        <w:tc>
          <w:tcPr>
            <w:tcW w:w="1559" w:type="dxa"/>
            <w:noWrap/>
          </w:tcPr>
          <w:p w14:paraId="41DC22C6" w14:textId="0BAF5889" w:rsidR="00D51C00" w:rsidRPr="00D90396" w:rsidRDefault="00D51C00" w:rsidP="00D51C00">
            <w:pPr>
              <w:spacing w:before="120" w:after="120"/>
              <w:jc w:val="center"/>
              <w:rPr>
                <w:rFonts w:ascii="Calibri" w:hAnsi="Calibri" w:cs="Calibri"/>
                <w:b/>
                <w:sz w:val="20"/>
                <w:szCs w:val="20"/>
              </w:rPr>
            </w:pPr>
            <w:r w:rsidRPr="00D90396">
              <w:rPr>
                <w:rFonts w:ascii="Calibri" w:hAnsi="Calibri" w:cs="Calibri"/>
                <w:b/>
                <w:sz w:val="20"/>
                <w:szCs w:val="20"/>
              </w:rPr>
              <w:t>Staff</w:t>
            </w:r>
          </w:p>
        </w:tc>
        <w:tc>
          <w:tcPr>
            <w:tcW w:w="1559" w:type="dxa"/>
            <w:noWrap/>
          </w:tcPr>
          <w:p w14:paraId="352ED9A0" w14:textId="4F0EB882" w:rsidR="00D51C00" w:rsidRPr="00D90396" w:rsidRDefault="00D51C00" w:rsidP="00D51C00">
            <w:pPr>
              <w:spacing w:before="120" w:after="120"/>
              <w:jc w:val="center"/>
              <w:rPr>
                <w:rFonts w:ascii="Calibri" w:hAnsi="Calibri" w:cs="Calibri"/>
                <w:b/>
                <w:sz w:val="20"/>
                <w:szCs w:val="20"/>
              </w:rPr>
            </w:pPr>
            <w:r w:rsidRPr="00D90396">
              <w:rPr>
                <w:rFonts w:ascii="Calibri" w:hAnsi="Calibri" w:cs="Calibri"/>
                <w:b/>
                <w:sz w:val="20"/>
                <w:szCs w:val="20"/>
              </w:rPr>
              <w:t>Students</w:t>
            </w:r>
          </w:p>
        </w:tc>
        <w:tc>
          <w:tcPr>
            <w:tcW w:w="1540" w:type="dxa"/>
            <w:noWrap/>
          </w:tcPr>
          <w:p w14:paraId="615FA4D7" w14:textId="02603216" w:rsidR="00D51C00" w:rsidRPr="00D90396" w:rsidRDefault="00D51C00" w:rsidP="00D51C00">
            <w:pPr>
              <w:spacing w:before="120" w:after="120"/>
              <w:jc w:val="center"/>
              <w:rPr>
                <w:rFonts w:ascii="Calibri" w:hAnsi="Calibri" w:cs="Calibri"/>
                <w:b/>
                <w:sz w:val="20"/>
                <w:szCs w:val="20"/>
              </w:rPr>
            </w:pPr>
            <w:r w:rsidRPr="00D90396">
              <w:rPr>
                <w:rFonts w:ascii="Calibri" w:hAnsi="Calibri" w:cs="Calibri"/>
                <w:b/>
                <w:sz w:val="20"/>
                <w:szCs w:val="20"/>
              </w:rPr>
              <w:t>Volunteers</w:t>
            </w:r>
          </w:p>
        </w:tc>
        <w:tc>
          <w:tcPr>
            <w:tcW w:w="1153" w:type="dxa"/>
          </w:tcPr>
          <w:p w14:paraId="602382B7" w14:textId="182B2D5F" w:rsidR="00D51C00" w:rsidRPr="00D90396" w:rsidRDefault="00D51C00" w:rsidP="00D51C00">
            <w:pPr>
              <w:spacing w:before="120" w:after="120"/>
              <w:jc w:val="center"/>
              <w:rPr>
                <w:rFonts w:ascii="Calibri" w:hAnsi="Calibri" w:cs="Calibri"/>
                <w:b/>
                <w:sz w:val="20"/>
                <w:szCs w:val="20"/>
              </w:rPr>
            </w:pPr>
            <w:r w:rsidRPr="00D90396">
              <w:rPr>
                <w:rFonts w:ascii="Calibri" w:hAnsi="Calibri" w:cs="Calibri"/>
                <w:b/>
                <w:sz w:val="20"/>
                <w:szCs w:val="20"/>
              </w:rPr>
              <w:t>Total</w:t>
            </w:r>
          </w:p>
        </w:tc>
      </w:tr>
      <w:tr w:rsidR="0044230F" w:rsidRPr="00D90396" w14:paraId="4611FBC4" w14:textId="4D5A7F0C" w:rsidTr="00C37A83">
        <w:trPr>
          <w:gridAfter w:val="1"/>
          <w:wAfter w:w="8" w:type="dxa"/>
          <w:trHeight w:val="300"/>
        </w:trPr>
        <w:tc>
          <w:tcPr>
            <w:tcW w:w="1550" w:type="dxa"/>
            <w:noWrap/>
          </w:tcPr>
          <w:p w14:paraId="1BD6D1D3" w14:textId="226A120F" w:rsidR="00D51C00" w:rsidRPr="00D90396" w:rsidRDefault="00D51C00" w:rsidP="00D51C00">
            <w:pPr>
              <w:spacing w:before="120" w:after="120"/>
              <w:rPr>
                <w:rFonts w:ascii="Calibri" w:hAnsi="Calibri" w:cs="Calibri"/>
                <w:sz w:val="20"/>
                <w:szCs w:val="20"/>
              </w:rPr>
            </w:pPr>
            <w:r w:rsidRPr="00D90396">
              <w:rPr>
                <w:rFonts w:ascii="Calibri" w:hAnsi="Calibri" w:cs="Calibri"/>
                <w:sz w:val="20"/>
                <w:szCs w:val="20"/>
              </w:rPr>
              <w:t xml:space="preserve">Regulatory costs by stakeholder </w:t>
            </w:r>
          </w:p>
        </w:tc>
        <w:tc>
          <w:tcPr>
            <w:tcW w:w="1701" w:type="dxa"/>
            <w:noWrap/>
          </w:tcPr>
          <w:p w14:paraId="1B3C4546" w14:textId="26A7EF55" w:rsidR="00D51C00" w:rsidRPr="00D90396" w:rsidRDefault="00D51C00" w:rsidP="00D51C00">
            <w:pPr>
              <w:spacing w:before="120" w:after="120"/>
              <w:jc w:val="center"/>
              <w:rPr>
                <w:rFonts w:ascii="Calibri" w:hAnsi="Calibri" w:cs="Calibri"/>
                <w:sz w:val="20"/>
                <w:szCs w:val="20"/>
              </w:rPr>
            </w:pPr>
            <w:r w:rsidRPr="00D90396">
              <w:rPr>
                <w:rFonts w:ascii="Calibri" w:hAnsi="Calibri" w:cs="Calibri"/>
                <w:sz w:val="20"/>
                <w:szCs w:val="20"/>
              </w:rPr>
              <w:t>$754.1</w:t>
            </w:r>
          </w:p>
        </w:tc>
        <w:tc>
          <w:tcPr>
            <w:tcW w:w="1559" w:type="dxa"/>
            <w:noWrap/>
          </w:tcPr>
          <w:p w14:paraId="723A5C0D" w14:textId="30E76305" w:rsidR="00D51C00" w:rsidRPr="00D90396" w:rsidRDefault="00D51C00" w:rsidP="00D51C00">
            <w:pPr>
              <w:spacing w:before="120" w:after="120"/>
              <w:jc w:val="center"/>
              <w:rPr>
                <w:rFonts w:ascii="Calibri" w:hAnsi="Calibri" w:cs="Calibri"/>
                <w:sz w:val="20"/>
                <w:szCs w:val="20"/>
              </w:rPr>
            </w:pPr>
            <w:r w:rsidRPr="00D90396">
              <w:rPr>
                <w:rFonts w:ascii="Calibri" w:hAnsi="Calibri" w:cs="Calibri"/>
                <w:sz w:val="20"/>
                <w:szCs w:val="20"/>
              </w:rPr>
              <w:t>$305.9</w:t>
            </w:r>
          </w:p>
        </w:tc>
        <w:tc>
          <w:tcPr>
            <w:tcW w:w="1559" w:type="dxa"/>
            <w:noWrap/>
          </w:tcPr>
          <w:p w14:paraId="43EA65D2" w14:textId="63FA784B" w:rsidR="00D51C00" w:rsidRPr="00D90396" w:rsidRDefault="00D51C00" w:rsidP="00D51C00">
            <w:pPr>
              <w:spacing w:before="120" w:after="120"/>
              <w:jc w:val="center"/>
              <w:rPr>
                <w:rFonts w:ascii="Calibri" w:hAnsi="Calibri" w:cs="Calibri"/>
                <w:sz w:val="20"/>
                <w:szCs w:val="20"/>
              </w:rPr>
            </w:pPr>
            <w:r w:rsidRPr="00D90396">
              <w:rPr>
                <w:rFonts w:ascii="Calibri" w:hAnsi="Calibri" w:cs="Calibri"/>
                <w:sz w:val="20"/>
                <w:szCs w:val="20"/>
              </w:rPr>
              <w:t>$71.7</w:t>
            </w:r>
          </w:p>
        </w:tc>
        <w:tc>
          <w:tcPr>
            <w:tcW w:w="1540" w:type="dxa"/>
            <w:noWrap/>
          </w:tcPr>
          <w:p w14:paraId="1250EFF3" w14:textId="7568B155" w:rsidR="00D51C00" w:rsidRPr="00D90396" w:rsidRDefault="00D51C00" w:rsidP="00D51C00">
            <w:pPr>
              <w:spacing w:before="120" w:after="120"/>
              <w:jc w:val="center"/>
              <w:rPr>
                <w:rFonts w:ascii="Calibri" w:hAnsi="Calibri" w:cs="Calibri"/>
                <w:sz w:val="20"/>
                <w:szCs w:val="20"/>
              </w:rPr>
            </w:pPr>
            <w:r w:rsidRPr="00D90396">
              <w:rPr>
                <w:rFonts w:ascii="Calibri" w:hAnsi="Calibri" w:cs="Calibri"/>
                <w:sz w:val="20"/>
                <w:szCs w:val="20"/>
              </w:rPr>
              <w:t>$23.7</w:t>
            </w:r>
          </w:p>
        </w:tc>
        <w:tc>
          <w:tcPr>
            <w:tcW w:w="1153" w:type="dxa"/>
          </w:tcPr>
          <w:p w14:paraId="23C8BDA9" w14:textId="25B50736" w:rsidR="00D51C00" w:rsidRPr="00D90396" w:rsidRDefault="00D51C00" w:rsidP="00D51C00">
            <w:pPr>
              <w:spacing w:before="120" w:after="120"/>
              <w:jc w:val="center"/>
              <w:rPr>
                <w:rFonts w:ascii="Calibri" w:hAnsi="Calibri" w:cs="Calibri"/>
                <w:b/>
                <w:bCs/>
                <w:sz w:val="20"/>
                <w:szCs w:val="20"/>
              </w:rPr>
            </w:pPr>
            <w:r w:rsidRPr="00D90396">
              <w:rPr>
                <w:rFonts w:ascii="Calibri" w:hAnsi="Calibri" w:cs="Calibri"/>
                <w:b/>
                <w:bCs/>
                <w:sz w:val="20"/>
                <w:szCs w:val="20"/>
              </w:rPr>
              <w:t>$1.</w:t>
            </w:r>
            <w:r w:rsidR="0063138E" w:rsidRPr="00D90396">
              <w:rPr>
                <w:rFonts w:ascii="Calibri" w:hAnsi="Calibri" w:cs="Calibri"/>
                <w:b/>
                <w:bCs/>
                <w:sz w:val="20"/>
                <w:szCs w:val="20"/>
              </w:rPr>
              <w:t>1</w:t>
            </w:r>
            <w:r w:rsidR="00F45CDF" w:rsidRPr="00D90396">
              <w:rPr>
                <w:rFonts w:ascii="Calibri" w:hAnsi="Calibri" w:cs="Calibri"/>
                <w:b/>
                <w:bCs/>
                <w:sz w:val="20"/>
                <w:szCs w:val="20"/>
              </w:rPr>
              <w:t>6</w:t>
            </w:r>
            <w:r w:rsidRPr="00D90396">
              <w:rPr>
                <w:rFonts w:ascii="Calibri" w:hAnsi="Calibri" w:cs="Calibri"/>
                <w:b/>
                <w:bCs/>
                <w:sz w:val="20"/>
                <w:szCs w:val="20"/>
              </w:rPr>
              <w:t xml:space="preserve"> billion</w:t>
            </w:r>
          </w:p>
        </w:tc>
      </w:tr>
    </w:tbl>
    <w:p w14:paraId="3AF47AC6" w14:textId="77777777" w:rsidR="00D60480" w:rsidRPr="00D90396" w:rsidRDefault="00D60480" w:rsidP="00D60480">
      <w:pPr>
        <w:spacing w:line="240" w:lineRule="auto"/>
        <w:rPr>
          <w:rFonts w:ascii="Calibri" w:hAnsi="Calibri" w:cs="Calibri"/>
          <w:color w:val="FF0000"/>
          <w:lang w:eastAsia="en-AU"/>
        </w:rPr>
      </w:pPr>
    </w:p>
    <w:p w14:paraId="6D348EB4" w14:textId="12798A32" w:rsidR="00D51C00" w:rsidRPr="00D90396" w:rsidRDefault="00D51C00" w:rsidP="00D51C00">
      <w:pPr>
        <w:spacing w:line="278" w:lineRule="auto"/>
        <w:rPr>
          <w:rFonts w:ascii="Calibri" w:hAnsi="Calibri" w:cs="Calibri"/>
          <w:b/>
          <w:bCs/>
          <w:kern w:val="2"/>
          <w14:ligatures w14:val="standardContextual"/>
        </w:rPr>
      </w:pPr>
      <w:r w:rsidRPr="00D90396">
        <w:rPr>
          <w:rFonts w:ascii="Calibri" w:hAnsi="Calibri" w:cs="Calibri"/>
        </w:rPr>
        <w:t xml:space="preserve">The total benefits over a ten-year period are </w:t>
      </w:r>
      <w:r w:rsidR="00F25080" w:rsidRPr="00D90396">
        <w:rPr>
          <w:rFonts w:ascii="Calibri" w:hAnsi="Calibri" w:cs="Calibri"/>
        </w:rPr>
        <w:t xml:space="preserve">approximately </w:t>
      </w:r>
      <w:r w:rsidRPr="00D90396">
        <w:rPr>
          <w:rFonts w:ascii="Calibri" w:hAnsi="Calibri" w:cs="Calibri"/>
        </w:rPr>
        <w:t xml:space="preserve">$3.5 billion, with an average annual benefit of </w:t>
      </w:r>
      <w:r w:rsidR="00F25080" w:rsidRPr="00D90396">
        <w:rPr>
          <w:rFonts w:ascii="Calibri" w:hAnsi="Calibri" w:cs="Calibri"/>
        </w:rPr>
        <w:t xml:space="preserve">approximately </w:t>
      </w:r>
      <w:r w:rsidRPr="00D90396">
        <w:rPr>
          <w:rFonts w:ascii="Calibri" w:hAnsi="Calibri" w:cs="Calibri"/>
        </w:rPr>
        <w:t>$533.7 million (measured against the three economy wide benefit streams - prevention of GBV, improved responses to disclosures and formal reports, and enhanced safety within higher education environments).</w:t>
      </w:r>
    </w:p>
    <w:p w14:paraId="5BAB825D" w14:textId="020EDE66" w:rsidR="00D51C00" w:rsidRPr="00D90396" w:rsidRDefault="00D51C00" w:rsidP="00D51C00">
      <w:pPr>
        <w:spacing w:line="278" w:lineRule="auto"/>
        <w:rPr>
          <w:rFonts w:ascii="Calibri" w:hAnsi="Calibri" w:cs="Calibri"/>
          <w:b/>
          <w:bCs/>
          <w:kern w:val="2"/>
          <w14:ligatures w14:val="standardContextual"/>
        </w:rPr>
      </w:pPr>
      <w:r w:rsidRPr="00D90396">
        <w:rPr>
          <w:rFonts w:ascii="Calibri" w:hAnsi="Calibri" w:cs="Calibri"/>
        </w:rPr>
        <w:t xml:space="preserve">Total net benefits over a ten-year period are </w:t>
      </w:r>
      <w:r w:rsidR="00F25080" w:rsidRPr="00D90396">
        <w:rPr>
          <w:rFonts w:ascii="Calibri" w:hAnsi="Calibri" w:cs="Calibri"/>
        </w:rPr>
        <w:t xml:space="preserve">approximately </w:t>
      </w:r>
      <w:r w:rsidRPr="00D90396">
        <w:rPr>
          <w:rFonts w:ascii="Calibri" w:hAnsi="Calibri" w:cs="Calibri"/>
        </w:rPr>
        <w:t xml:space="preserve">$2.3 billion, with an average annual net benefit of </w:t>
      </w:r>
      <w:r w:rsidR="00F25080" w:rsidRPr="00D90396">
        <w:rPr>
          <w:rFonts w:ascii="Calibri" w:hAnsi="Calibri" w:cs="Calibri"/>
        </w:rPr>
        <w:t xml:space="preserve">approximately </w:t>
      </w:r>
      <w:r w:rsidRPr="00D90396">
        <w:rPr>
          <w:rFonts w:ascii="Calibri" w:hAnsi="Calibri" w:cs="Calibri"/>
        </w:rPr>
        <w:t xml:space="preserve">$355.8 million. If all three benefit streams above are realised, the National Code will have a benefit-cost ratio of 3, meaning for every $1 spent there is a $3 return. The break-even analysis (BEA) determines the point at which the costs and benefits of a policy intervention are equal. It is difficult to estimate specific timeframes in which the benefits of preventing and responding to GBV will occur. Instead, what the BEA analysis </w:t>
      </w:r>
      <w:r w:rsidR="00F25080" w:rsidRPr="00D90396">
        <w:rPr>
          <w:rFonts w:ascii="Calibri" w:hAnsi="Calibri" w:cs="Calibri"/>
        </w:rPr>
        <w:t xml:space="preserve">identifies </w:t>
      </w:r>
      <w:r w:rsidRPr="00D90396">
        <w:rPr>
          <w:rFonts w:ascii="Calibri" w:hAnsi="Calibri" w:cs="Calibri"/>
        </w:rPr>
        <w:t>is that preventing just 1.2% of physical and sexual assault cases on campus (approximately 414 cases annually across 211 providers) would be sufficient to offset the National Code’s implementation costs. This represents the minimum effectiveness required for the National Code to deliver net benefit based on prevention alone.</w:t>
      </w:r>
    </w:p>
    <w:p w14:paraId="63BD38AF" w14:textId="3118187F" w:rsidR="00D51C00" w:rsidRPr="00D90396" w:rsidRDefault="00D51C00" w:rsidP="00D60480">
      <w:pPr>
        <w:pStyle w:val="BodyText"/>
        <w:spacing w:before="120" w:after="120"/>
        <w:jc w:val="left"/>
        <w:rPr>
          <w:rFonts w:ascii="Calibri" w:hAnsi="Calibri" w:cs="Calibri"/>
          <w:sz w:val="22"/>
          <w:szCs w:val="22"/>
        </w:rPr>
      </w:pPr>
      <w:r w:rsidRPr="00D90396">
        <w:rPr>
          <w:rFonts w:ascii="Calibri" w:hAnsi="Calibri" w:cs="Calibri"/>
          <w:sz w:val="22"/>
          <w:szCs w:val="22"/>
          <w:lang w:val="en-US"/>
        </w:rPr>
        <w:lastRenderedPageBreak/>
        <w:t xml:space="preserve">Other matters listed in </w:t>
      </w:r>
      <w:r w:rsidR="00C37A83" w:rsidRPr="00D90396">
        <w:rPr>
          <w:rFonts w:ascii="Calibri" w:hAnsi="Calibri" w:cs="Calibri"/>
          <w:sz w:val="22"/>
          <w:szCs w:val="22"/>
          <w:lang w:val="en-US"/>
        </w:rPr>
        <w:t>Attachment A</w:t>
      </w:r>
      <w:r w:rsidRPr="00D90396">
        <w:rPr>
          <w:rFonts w:ascii="Calibri" w:hAnsi="Calibri" w:cs="Calibri"/>
          <w:sz w:val="22"/>
          <w:szCs w:val="22"/>
          <w:lang w:val="en-US"/>
        </w:rPr>
        <w:t xml:space="preserve"> to your first pass response letter of </w:t>
      </w:r>
      <w:r w:rsidR="00C37A83" w:rsidRPr="00D90396">
        <w:rPr>
          <w:rFonts w:ascii="Calibri" w:hAnsi="Calibri" w:cs="Calibri"/>
          <w:sz w:val="22"/>
          <w:szCs w:val="22"/>
          <w:lang w:val="en-US"/>
        </w:rPr>
        <w:t>25 August 2025</w:t>
      </w:r>
      <w:r w:rsidRPr="00D90396">
        <w:rPr>
          <w:rFonts w:ascii="Calibri" w:hAnsi="Calibri" w:cs="Calibri"/>
          <w:sz w:val="22"/>
          <w:szCs w:val="22"/>
          <w:lang w:val="en-US"/>
        </w:rPr>
        <w:t xml:space="preserve"> have been systematically addressed. The department worked in a close and iterative process with OIA to bring this IA to second pass stage.</w:t>
      </w:r>
    </w:p>
    <w:p w14:paraId="33E69C46" w14:textId="24FED305" w:rsidR="0044230F" w:rsidRPr="00D90396" w:rsidRDefault="00D60480" w:rsidP="00D60480">
      <w:pPr>
        <w:pStyle w:val="BodyText"/>
        <w:spacing w:before="120" w:after="120"/>
        <w:jc w:val="left"/>
        <w:rPr>
          <w:rFonts w:ascii="Calibri" w:hAnsi="Calibri" w:cs="Calibri"/>
          <w:sz w:val="22"/>
          <w:szCs w:val="22"/>
        </w:rPr>
      </w:pPr>
      <w:r w:rsidRPr="00D90396">
        <w:rPr>
          <w:rFonts w:ascii="Calibri" w:hAnsi="Calibri" w:cs="Calibri"/>
          <w:sz w:val="22"/>
          <w:szCs w:val="22"/>
        </w:rPr>
        <w:t xml:space="preserve">Accordingly, I am satisfied that the IA is consistent with the six principles for Australian Government policy makers as specified in the </w:t>
      </w:r>
      <w:r w:rsidRPr="00D90396">
        <w:rPr>
          <w:rFonts w:ascii="Calibri" w:hAnsi="Calibri" w:cs="Calibri"/>
          <w:i/>
          <w:sz w:val="22"/>
          <w:szCs w:val="22"/>
        </w:rPr>
        <w:t>Australian Government Guide to Policy Impact Analysis</w:t>
      </w:r>
      <w:r w:rsidRPr="00D90396">
        <w:rPr>
          <w:rFonts w:ascii="Calibri" w:hAnsi="Calibri" w:cs="Calibri"/>
          <w:sz w:val="22"/>
          <w:szCs w:val="22"/>
        </w:rPr>
        <w:t>.</w:t>
      </w:r>
    </w:p>
    <w:p w14:paraId="1882C52E" w14:textId="7B3881CC" w:rsidR="00D60480" w:rsidRPr="00D90396" w:rsidRDefault="00D60480" w:rsidP="00D60480">
      <w:pPr>
        <w:pStyle w:val="BodyText"/>
        <w:spacing w:before="120" w:after="120"/>
        <w:jc w:val="left"/>
        <w:rPr>
          <w:rFonts w:ascii="Calibri" w:hAnsi="Calibri" w:cs="Calibri"/>
          <w:sz w:val="22"/>
          <w:szCs w:val="22"/>
        </w:rPr>
      </w:pPr>
      <w:r w:rsidRPr="00D90396">
        <w:rPr>
          <w:rFonts w:ascii="Calibri" w:hAnsi="Calibri" w:cs="Calibri"/>
          <w:sz w:val="22"/>
          <w:szCs w:val="22"/>
        </w:rPr>
        <w:t>I submit the IA to the Office of Impact Analysis for formal final assessment.</w:t>
      </w:r>
    </w:p>
    <w:p w14:paraId="06AE2270" w14:textId="7AC5714C" w:rsidR="002D0A61" w:rsidRDefault="002D0A61" w:rsidP="00D60480">
      <w:pPr>
        <w:spacing w:before="120" w:after="120" w:line="300" w:lineRule="exact"/>
        <w:rPr>
          <w:rFonts w:ascii="Calibri" w:hAnsi="Calibri" w:cs="Calibri"/>
        </w:rPr>
      </w:pPr>
    </w:p>
    <w:p w14:paraId="6BD32E81" w14:textId="17F05A50" w:rsidR="00D60480" w:rsidRPr="00D90396" w:rsidRDefault="00D60480" w:rsidP="00D60480">
      <w:pPr>
        <w:spacing w:before="120" w:after="120" w:line="300" w:lineRule="exact"/>
        <w:rPr>
          <w:rFonts w:ascii="Calibri" w:hAnsi="Calibri" w:cs="Calibri"/>
        </w:rPr>
      </w:pPr>
    </w:p>
    <w:p w14:paraId="2EF91B39" w14:textId="77777777" w:rsidR="00C37A83" w:rsidRPr="00D90396" w:rsidRDefault="00C37A83" w:rsidP="00D60480">
      <w:pPr>
        <w:spacing w:before="120" w:after="120" w:line="300" w:lineRule="exact"/>
        <w:rPr>
          <w:rFonts w:ascii="Calibri" w:hAnsi="Calibri" w:cs="Calibri"/>
        </w:rPr>
      </w:pPr>
    </w:p>
    <w:p w14:paraId="0B50558C" w14:textId="47426C72" w:rsidR="00C37A83" w:rsidRPr="00D90396" w:rsidRDefault="00C37A83" w:rsidP="00D60480">
      <w:pPr>
        <w:spacing w:before="120" w:after="120" w:line="300" w:lineRule="exact"/>
        <w:rPr>
          <w:rFonts w:ascii="Calibri" w:hAnsi="Calibri" w:cs="Calibri"/>
        </w:rPr>
      </w:pPr>
    </w:p>
    <w:p w14:paraId="2B5DC139" w14:textId="77777777" w:rsidR="00C37A83" w:rsidRPr="00D90396" w:rsidRDefault="00C37A83" w:rsidP="00D60480">
      <w:pPr>
        <w:spacing w:before="120" w:after="120" w:line="300" w:lineRule="exact"/>
        <w:rPr>
          <w:rFonts w:ascii="Calibri" w:hAnsi="Calibri" w:cs="Calibri"/>
        </w:rPr>
      </w:pPr>
    </w:p>
    <w:p w14:paraId="1FABFEEE" w14:textId="7A872423" w:rsidR="00D60480" w:rsidRPr="00D90396" w:rsidRDefault="00D60480" w:rsidP="00D60480">
      <w:pPr>
        <w:pStyle w:val="Header"/>
        <w:spacing w:before="120" w:after="120"/>
        <w:rPr>
          <w:rFonts w:ascii="Calibri" w:hAnsi="Calibri" w:cs="Calibri"/>
        </w:rPr>
      </w:pPr>
      <w:r w:rsidRPr="00D90396">
        <w:rPr>
          <w:rFonts w:ascii="Calibri" w:hAnsi="Calibri" w:cs="Calibri"/>
        </w:rPr>
        <w:t>Yours sincerely</w:t>
      </w:r>
      <w:r w:rsidR="00E03708">
        <w:rPr>
          <w:rFonts w:ascii="Calibri" w:hAnsi="Calibri" w:cs="Calibri"/>
        </w:rPr>
        <w:t>,</w:t>
      </w:r>
    </w:p>
    <w:p w14:paraId="45B72AF5" w14:textId="77777777" w:rsidR="00D90396" w:rsidRPr="00D90396" w:rsidRDefault="00D90396" w:rsidP="00D90396">
      <w:pPr>
        <w:pStyle w:val="Header"/>
        <w:rPr>
          <w:rFonts w:ascii="Calibri" w:hAnsi="Calibri" w:cs="Calibri"/>
        </w:rPr>
      </w:pPr>
    </w:p>
    <w:p w14:paraId="25774D99" w14:textId="77777777" w:rsidR="00D90396" w:rsidRPr="00D90396" w:rsidRDefault="00D90396" w:rsidP="00D90396">
      <w:pPr>
        <w:pStyle w:val="Header"/>
        <w:rPr>
          <w:rFonts w:ascii="Calibri" w:hAnsi="Calibri" w:cs="Calibri"/>
        </w:rPr>
      </w:pPr>
    </w:p>
    <w:p w14:paraId="732B4315" w14:textId="1EF7DA1D" w:rsidR="00D90396" w:rsidRPr="00D90396" w:rsidRDefault="00D90396" w:rsidP="00D90396">
      <w:pPr>
        <w:pStyle w:val="Header"/>
        <w:rPr>
          <w:rFonts w:ascii="Calibri" w:hAnsi="Calibri" w:cs="Calibri"/>
        </w:rPr>
      </w:pPr>
      <w:r w:rsidRPr="00D90396">
        <w:rPr>
          <w:rFonts w:ascii="Calibri" w:hAnsi="Calibri" w:cs="Calibri"/>
        </w:rPr>
        <w:t>Mr. Ben Rimmer</w:t>
      </w:r>
    </w:p>
    <w:p w14:paraId="5DB96CDF" w14:textId="77777777" w:rsidR="00D90396" w:rsidRPr="00D90396" w:rsidRDefault="00D90396" w:rsidP="00D90396">
      <w:pPr>
        <w:pStyle w:val="Header"/>
        <w:rPr>
          <w:rFonts w:ascii="Calibri" w:hAnsi="Calibri" w:cs="Calibri"/>
        </w:rPr>
      </w:pPr>
      <w:r w:rsidRPr="00D90396">
        <w:rPr>
          <w:rFonts w:ascii="Calibri" w:hAnsi="Calibri" w:cs="Calibri"/>
        </w:rPr>
        <w:t>Deputy Secretary</w:t>
      </w:r>
    </w:p>
    <w:p w14:paraId="2D9284C0" w14:textId="77777777" w:rsidR="00D90396" w:rsidRPr="00D90396" w:rsidRDefault="00D90396" w:rsidP="00D90396">
      <w:pPr>
        <w:pStyle w:val="Header"/>
        <w:rPr>
          <w:rFonts w:ascii="Calibri" w:hAnsi="Calibri" w:cs="Calibri"/>
        </w:rPr>
      </w:pPr>
      <w:r w:rsidRPr="00D90396">
        <w:rPr>
          <w:rFonts w:ascii="Calibri" w:hAnsi="Calibri" w:cs="Calibri"/>
        </w:rPr>
        <w:t>Higher Education, Research and International Group</w:t>
      </w:r>
    </w:p>
    <w:p w14:paraId="68FB7624" w14:textId="51881CF8" w:rsidR="00D90396" w:rsidRPr="00D90396" w:rsidRDefault="00BB7C19" w:rsidP="00D90396">
      <w:pPr>
        <w:pStyle w:val="Header"/>
        <w:rPr>
          <w:rFonts w:ascii="Calibri" w:hAnsi="Calibri" w:cs="Calibri"/>
        </w:rPr>
      </w:pPr>
      <w:r>
        <w:rPr>
          <w:rFonts w:ascii="Calibri" w:hAnsi="Calibri" w:cs="Calibri"/>
        </w:rPr>
        <w:t>2</w:t>
      </w:r>
      <w:r w:rsidR="00D90396" w:rsidRPr="00D90396">
        <w:rPr>
          <w:rFonts w:ascii="Calibri" w:hAnsi="Calibri" w:cs="Calibri"/>
        </w:rPr>
        <w:t>/09/2025</w:t>
      </w:r>
    </w:p>
    <w:p w14:paraId="11F02C5B" w14:textId="77777777" w:rsidR="00D90396" w:rsidRPr="00D90396" w:rsidRDefault="00D90396" w:rsidP="00D90396">
      <w:pPr>
        <w:pStyle w:val="Header"/>
        <w:rPr>
          <w:rFonts w:ascii="Calibri" w:hAnsi="Calibri" w:cs="Calibri"/>
        </w:rPr>
      </w:pPr>
    </w:p>
    <w:p w14:paraId="245FB1E0" w14:textId="77777777" w:rsidR="00D60480" w:rsidRPr="00D90396" w:rsidRDefault="00D60480" w:rsidP="00D60480">
      <w:pPr>
        <w:pStyle w:val="Header"/>
        <w:spacing w:before="120" w:after="120"/>
        <w:rPr>
          <w:rFonts w:ascii="Calibri" w:hAnsi="Calibri" w:cs="Calibri"/>
        </w:rPr>
      </w:pPr>
    </w:p>
    <w:p w14:paraId="0637A7CF" w14:textId="77777777" w:rsidR="00D60480" w:rsidRPr="00120443" w:rsidRDefault="00D60480" w:rsidP="00D60480">
      <w:pPr>
        <w:pStyle w:val="Header"/>
        <w:spacing w:before="120" w:after="120"/>
        <w:rPr>
          <w:rFonts w:cstheme="minorHAnsi"/>
        </w:rPr>
      </w:pPr>
    </w:p>
    <w:p w14:paraId="300E585B" w14:textId="344EE350" w:rsidR="00446765" w:rsidRDefault="00446765"/>
    <w:sectPr w:rsidR="00446765" w:rsidSect="002665EE">
      <w:type w:val="continuous"/>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BE2537" w14:textId="77777777" w:rsidR="00EB3511" w:rsidRDefault="00EB3511" w:rsidP="00446765">
      <w:pPr>
        <w:spacing w:after="0" w:line="240" w:lineRule="auto"/>
      </w:pPr>
      <w:r>
        <w:separator/>
      </w:r>
    </w:p>
  </w:endnote>
  <w:endnote w:type="continuationSeparator" w:id="0">
    <w:p w14:paraId="53559D19" w14:textId="77777777" w:rsidR="00EB3511" w:rsidRDefault="00EB3511" w:rsidP="004467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imSun-ExtG">
    <w:charset w:val="86"/>
    <w:family w:val="modern"/>
    <w:pitch w:val="fixed"/>
    <w:sig w:usb0="00000003" w:usb1="0A0E0000" w:usb2="0000001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2D2404" w14:textId="77777777" w:rsidR="00745F69" w:rsidRDefault="00745F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78BBB6" w14:textId="77777777" w:rsidR="00745F69" w:rsidRDefault="00745F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8D4FA4" w14:textId="77777777" w:rsidR="00745F69" w:rsidRDefault="00745F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BB5188" w14:textId="77777777" w:rsidR="00EB3511" w:rsidRDefault="00EB3511" w:rsidP="00446765">
      <w:pPr>
        <w:spacing w:after="0" w:line="240" w:lineRule="auto"/>
      </w:pPr>
      <w:r>
        <w:separator/>
      </w:r>
    </w:p>
  </w:footnote>
  <w:footnote w:type="continuationSeparator" w:id="0">
    <w:p w14:paraId="4A05CE5E" w14:textId="77777777" w:rsidR="00EB3511" w:rsidRDefault="00EB3511" w:rsidP="004467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43C61D" w14:textId="77777777" w:rsidR="00745F69" w:rsidRDefault="00745F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3011C3" w14:textId="77777777" w:rsidR="00745F69" w:rsidRDefault="00745F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100977" w14:textId="77777777" w:rsidR="00745F69" w:rsidRDefault="00745F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15B56"/>
    <w:multiLevelType w:val="hybridMultilevel"/>
    <w:tmpl w:val="5BD461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4794B57"/>
    <w:multiLevelType w:val="hybridMultilevel"/>
    <w:tmpl w:val="25F48D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A05"/>
    <w:rsid w:val="000069B5"/>
    <w:rsid w:val="00007A11"/>
    <w:rsid w:val="000333E3"/>
    <w:rsid w:val="00035E9D"/>
    <w:rsid w:val="0005084D"/>
    <w:rsid w:val="000518AC"/>
    <w:rsid w:val="00070794"/>
    <w:rsid w:val="00086D93"/>
    <w:rsid w:val="000C7C47"/>
    <w:rsid w:val="000F7652"/>
    <w:rsid w:val="00123B90"/>
    <w:rsid w:val="001269AA"/>
    <w:rsid w:val="001369FE"/>
    <w:rsid w:val="001639FF"/>
    <w:rsid w:val="00224F4F"/>
    <w:rsid w:val="00244719"/>
    <w:rsid w:val="00256FEB"/>
    <w:rsid w:val="0026296A"/>
    <w:rsid w:val="002665EE"/>
    <w:rsid w:val="00281459"/>
    <w:rsid w:val="002C7F05"/>
    <w:rsid w:val="002D0A61"/>
    <w:rsid w:val="002D610A"/>
    <w:rsid w:val="002D6117"/>
    <w:rsid w:val="00332137"/>
    <w:rsid w:val="00332E96"/>
    <w:rsid w:val="00345BAC"/>
    <w:rsid w:val="0039639A"/>
    <w:rsid w:val="004128DC"/>
    <w:rsid w:val="00427EB6"/>
    <w:rsid w:val="00441049"/>
    <w:rsid w:val="0044230F"/>
    <w:rsid w:val="00446765"/>
    <w:rsid w:val="00487CAC"/>
    <w:rsid w:val="004A1E36"/>
    <w:rsid w:val="004A7A4F"/>
    <w:rsid w:val="00503A82"/>
    <w:rsid w:val="005206B2"/>
    <w:rsid w:val="00570474"/>
    <w:rsid w:val="005C5B39"/>
    <w:rsid w:val="005C7BBC"/>
    <w:rsid w:val="00612C5C"/>
    <w:rsid w:val="00626FFB"/>
    <w:rsid w:val="0063138E"/>
    <w:rsid w:val="006461F4"/>
    <w:rsid w:val="00654C07"/>
    <w:rsid w:val="00675A4D"/>
    <w:rsid w:val="006916C9"/>
    <w:rsid w:val="006B3CA1"/>
    <w:rsid w:val="006B7826"/>
    <w:rsid w:val="0072303F"/>
    <w:rsid w:val="00745F69"/>
    <w:rsid w:val="0075311A"/>
    <w:rsid w:val="00756A0A"/>
    <w:rsid w:val="00794C1D"/>
    <w:rsid w:val="00806C54"/>
    <w:rsid w:val="00823F9D"/>
    <w:rsid w:val="008D11A8"/>
    <w:rsid w:val="00901999"/>
    <w:rsid w:val="00901EF8"/>
    <w:rsid w:val="00922735"/>
    <w:rsid w:val="00962D29"/>
    <w:rsid w:val="009672EE"/>
    <w:rsid w:val="009B242E"/>
    <w:rsid w:val="009B53E4"/>
    <w:rsid w:val="009C0BAF"/>
    <w:rsid w:val="009C3227"/>
    <w:rsid w:val="009C3F8B"/>
    <w:rsid w:val="009E1C7F"/>
    <w:rsid w:val="00A256F6"/>
    <w:rsid w:val="00A32A2A"/>
    <w:rsid w:val="00A65913"/>
    <w:rsid w:val="00A928CA"/>
    <w:rsid w:val="00AB1445"/>
    <w:rsid w:val="00AE7D3A"/>
    <w:rsid w:val="00B03AC6"/>
    <w:rsid w:val="00B47B38"/>
    <w:rsid w:val="00B62562"/>
    <w:rsid w:val="00B7108A"/>
    <w:rsid w:val="00B72648"/>
    <w:rsid w:val="00B832CF"/>
    <w:rsid w:val="00BB5B49"/>
    <w:rsid w:val="00BB5B7D"/>
    <w:rsid w:val="00BB7B48"/>
    <w:rsid w:val="00BB7C19"/>
    <w:rsid w:val="00BC3702"/>
    <w:rsid w:val="00BF24ED"/>
    <w:rsid w:val="00C14895"/>
    <w:rsid w:val="00C16A8E"/>
    <w:rsid w:val="00C37A83"/>
    <w:rsid w:val="00C45A05"/>
    <w:rsid w:val="00C53686"/>
    <w:rsid w:val="00C73911"/>
    <w:rsid w:val="00C73F98"/>
    <w:rsid w:val="00C83BCF"/>
    <w:rsid w:val="00CC19BC"/>
    <w:rsid w:val="00CC6696"/>
    <w:rsid w:val="00D166E6"/>
    <w:rsid w:val="00D51C00"/>
    <w:rsid w:val="00D60480"/>
    <w:rsid w:val="00D7042E"/>
    <w:rsid w:val="00D87CBF"/>
    <w:rsid w:val="00D90396"/>
    <w:rsid w:val="00DB383E"/>
    <w:rsid w:val="00DF7A0D"/>
    <w:rsid w:val="00E03708"/>
    <w:rsid w:val="00E361C4"/>
    <w:rsid w:val="00E43396"/>
    <w:rsid w:val="00E52255"/>
    <w:rsid w:val="00E62C7E"/>
    <w:rsid w:val="00E66970"/>
    <w:rsid w:val="00E80461"/>
    <w:rsid w:val="00EB3511"/>
    <w:rsid w:val="00F25080"/>
    <w:rsid w:val="00F45CDF"/>
    <w:rsid w:val="00F662D9"/>
    <w:rsid w:val="06F68C5B"/>
    <w:rsid w:val="22BB44C7"/>
    <w:rsid w:val="2DCA2ACF"/>
    <w:rsid w:val="4430DE07"/>
    <w:rsid w:val="6B1F23A0"/>
    <w:rsid w:val="7D1EF3A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003E6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9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B144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46765"/>
    <w:rPr>
      <w:color w:val="808080"/>
    </w:rPr>
  </w:style>
  <w:style w:type="paragraph" w:customStyle="1" w:styleId="Marking">
    <w:name w:val="Marking"/>
    <w:basedOn w:val="Normal"/>
    <w:link w:val="MarkingChar"/>
    <w:qFormat/>
    <w:rsid w:val="00446765"/>
    <w:rPr>
      <w:b/>
      <w:bCs/>
      <w:color w:val="FF0000"/>
      <w:sz w:val="32"/>
      <w:szCs w:val="32"/>
    </w:rPr>
  </w:style>
  <w:style w:type="paragraph" w:styleId="Header">
    <w:name w:val="header"/>
    <w:basedOn w:val="Normal"/>
    <w:link w:val="HeaderChar"/>
    <w:uiPriority w:val="99"/>
    <w:unhideWhenUsed/>
    <w:rsid w:val="00446765"/>
    <w:pPr>
      <w:tabs>
        <w:tab w:val="center" w:pos="4513"/>
        <w:tab w:val="right" w:pos="9026"/>
      </w:tabs>
      <w:spacing w:after="0" w:line="240" w:lineRule="auto"/>
    </w:pPr>
  </w:style>
  <w:style w:type="character" w:customStyle="1" w:styleId="MarkingChar">
    <w:name w:val="Marking Char"/>
    <w:basedOn w:val="DefaultParagraphFont"/>
    <w:link w:val="Marking"/>
    <w:rsid w:val="00446765"/>
    <w:rPr>
      <w:b/>
      <w:bCs/>
      <w:color w:val="FF0000"/>
      <w:sz w:val="32"/>
      <w:szCs w:val="32"/>
    </w:rPr>
  </w:style>
  <w:style w:type="character" w:customStyle="1" w:styleId="HeaderChar">
    <w:name w:val="Header Char"/>
    <w:basedOn w:val="DefaultParagraphFont"/>
    <w:link w:val="Header"/>
    <w:uiPriority w:val="99"/>
    <w:rsid w:val="00446765"/>
  </w:style>
  <w:style w:type="paragraph" w:styleId="Footer">
    <w:name w:val="footer"/>
    <w:basedOn w:val="Normal"/>
    <w:link w:val="FooterChar"/>
    <w:uiPriority w:val="99"/>
    <w:unhideWhenUsed/>
    <w:rsid w:val="004467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6765"/>
  </w:style>
  <w:style w:type="paragraph" w:styleId="NoSpacing">
    <w:name w:val="No Spacing"/>
    <w:basedOn w:val="Normal"/>
    <w:uiPriority w:val="98"/>
    <w:rsid w:val="00AB1445"/>
    <w:pPr>
      <w:spacing w:after="0" w:line="240" w:lineRule="auto"/>
    </w:pPr>
    <w:rPr>
      <w:rFonts w:eastAsiaTheme="minorEastAsia"/>
      <w:lang w:val="en-AU" w:eastAsia="en-AU"/>
    </w:rPr>
  </w:style>
  <w:style w:type="paragraph" w:customStyle="1" w:styleId="Body">
    <w:name w:val="Body"/>
    <w:basedOn w:val="Normal"/>
    <w:link w:val="BodyChar"/>
    <w:qFormat/>
    <w:rsid w:val="00AB1445"/>
    <w:pPr>
      <w:spacing w:before="240" w:after="240" w:line="276" w:lineRule="auto"/>
    </w:pPr>
    <w:rPr>
      <w:rFonts w:eastAsiaTheme="minorEastAsia"/>
      <w:lang w:val="en-AU" w:eastAsia="en-AU"/>
    </w:rPr>
  </w:style>
  <w:style w:type="character" w:customStyle="1" w:styleId="BodyChar">
    <w:name w:val="Body Char"/>
    <w:basedOn w:val="DefaultParagraphFont"/>
    <w:link w:val="Body"/>
    <w:rsid w:val="00AB1445"/>
    <w:rPr>
      <w:rFonts w:eastAsiaTheme="minorEastAsia"/>
      <w:lang w:val="en-AU" w:eastAsia="en-AU"/>
    </w:rPr>
  </w:style>
  <w:style w:type="paragraph" w:customStyle="1" w:styleId="SubjectHeading">
    <w:name w:val="Subject Heading"/>
    <w:basedOn w:val="Heading1"/>
    <w:qFormat/>
    <w:rsid w:val="00AB1445"/>
    <w:pPr>
      <w:keepNext w:val="0"/>
      <w:keepLines w:val="0"/>
      <w:spacing w:before="480" w:after="240" w:line="276" w:lineRule="auto"/>
      <w:contextualSpacing/>
      <w:jc w:val="center"/>
    </w:pPr>
    <w:rPr>
      <w:rFonts w:asciiTheme="minorHAnsi" w:hAnsiTheme="minorHAnsi"/>
      <w:b/>
      <w:bCs/>
      <w:color w:val="auto"/>
      <w:sz w:val="22"/>
      <w:szCs w:val="22"/>
      <w:lang w:val="en-AU" w:eastAsia="en-AU"/>
    </w:rPr>
  </w:style>
  <w:style w:type="table" w:styleId="TableGrid">
    <w:name w:val="Table Grid"/>
    <w:basedOn w:val="TableNormal"/>
    <w:uiPriority w:val="1"/>
    <w:rsid w:val="00AB1445"/>
    <w:pPr>
      <w:spacing w:after="0" w:line="240" w:lineRule="auto"/>
    </w:pPr>
    <w:rPr>
      <w:rFonts w:eastAsiaTheme="minorEastAsia"/>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B1445"/>
    <w:rPr>
      <w:rFonts w:asciiTheme="majorHAnsi" w:eastAsiaTheme="majorEastAsia" w:hAnsiTheme="majorHAnsi" w:cstheme="majorBidi"/>
      <w:color w:val="2E74B5" w:themeColor="accent1" w:themeShade="BF"/>
      <w:sz w:val="32"/>
      <w:szCs w:val="32"/>
    </w:rPr>
  </w:style>
  <w:style w:type="paragraph" w:styleId="BodyText">
    <w:name w:val="Body Text"/>
    <w:basedOn w:val="Normal"/>
    <w:link w:val="BodyTextChar"/>
    <w:uiPriority w:val="99"/>
    <w:rsid w:val="00D60480"/>
    <w:pPr>
      <w:spacing w:before="240" w:after="0" w:line="300" w:lineRule="exact"/>
      <w:jc w:val="both"/>
    </w:pPr>
    <w:rPr>
      <w:rFonts w:ascii="Times New Roman" w:eastAsia="Times New Roman" w:hAnsi="Times New Roman" w:cs="Times New Roman"/>
      <w:sz w:val="24"/>
      <w:szCs w:val="20"/>
      <w:lang w:val="en-AU" w:eastAsia="en-AU"/>
    </w:rPr>
  </w:style>
  <w:style w:type="character" w:customStyle="1" w:styleId="BodyTextChar">
    <w:name w:val="Body Text Char"/>
    <w:basedOn w:val="DefaultParagraphFont"/>
    <w:link w:val="BodyText"/>
    <w:uiPriority w:val="99"/>
    <w:rsid w:val="00D60480"/>
    <w:rPr>
      <w:rFonts w:ascii="Times New Roman" w:eastAsia="Times New Roman" w:hAnsi="Times New Roman" w:cs="Times New Roman"/>
      <w:sz w:val="24"/>
      <w:szCs w:val="20"/>
      <w:lang w:val="en-AU" w:eastAsia="en-AU"/>
    </w:rPr>
  </w:style>
  <w:style w:type="table" w:customStyle="1" w:styleId="LightGrid-Accent21">
    <w:name w:val="Light Grid - Accent 21"/>
    <w:basedOn w:val="TableNormal"/>
    <w:next w:val="LightGrid-Accent2"/>
    <w:uiPriority w:val="62"/>
    <w:rsid w:val="00D60480"/>
    <w:pPr>
      <w:spacing w:after="0" w:line="240" w:lineRule="auto"/>
    </w:pPr>
    <w:rPr>
      <w:rFonts w:eastAsia="Times New Roman" w:cs="Times New Roman"/>
      <w:sz w:val="24"/>
      <w:szCs w:val="24"/>
      <w:lang w:val="en-AU"/>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auto"/>
    </w:tcPr>
    <w:tblStylePr w:type="firstRow">
      <w:pPr>
        <w:spacing w:before="0" w:after="0" w:line="240" w:lineRule="auto"/>
      </w:pPr>
      <w:rPr>
        <w:rFonts w:ascii="@SimSun-ExtG" w:eastAsia="Times New Roman" w:hAnsi="@SimSun-ExtG" w:cs="Times New Roman"/>
        <w:b/>
        <w:bCs/>
      </w:rPr>
      <w:tblPr/>
      <w:tcPr>
        <w:shd w:val="clear" w:color="auto" w:fill="CD0920"/>
      </w:tcPr>
    </w:tblStylePr>
    <w:tblStylePr w:type="lastRow">
      <w:pPr>
        <w:spacing w:before="0" w:after="0" w:line="240" w:lineRule="auto"/>
      </w:pPr>
      <w:rPr>
        <w:rFonts w:ascii="@SimSun-ExtG" w:eastAsia="Times New Roman" w:hAnsi="@SimSun-ExtG"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SimSun-ExtG" w:eastAsia="Times New Roman" w:hAnsi="@SimSun-ExtG" w:cs="Times New Roman"/>
        <w:b/>
        <w:bCs/>
      </w:rPr>
    </w:tblStylePr>
    <w:tblStylePr w:type="lastCol">
      <w:rPr>
        <w:rFonts w:ascii="@SimSun-ExtG" w:eastAsia="Times New Roman" w:hAnsi="@SimSun-ExtG"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2">
    <w:name w:val="Light Grid Accent 2"/>
    <w:basedOn w:val="TableNormal"/>
    <w:uiPriority w:val="62"/>
    <w:semiHidden/>
    <w:unhideWhenUsed/>
    <w:rsid w:val="00D60480"/>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character" w:styleId="Hyperlink">
    <w:name w:val="Hyperlink"/>
    <w:basedOn w:val="DefaultParagraphFont"/>
    <w:uiPriority w:val="99"/>
    <w:unhideWhenUsed/>
    <w:rsid w:val="00D60480"/>
    <w:rPr>
      <w:color w:val="0563C1" w:themeColor="hyperlink"/>
      <w:u w:val="single"/>
    </w:rPr>
  </w:style>
  <w:style w:type="character" w:customStyle="1" w:styleId="UnresolvedMention">
    <w:name w:val="Unresolved Mention"/>
    <w:basedOn w:val="DefaultParagraphFont"/>
    <w:uiPriority w:val="99"/>
    <w:semiHidden/>
    <w:unhideWhenUsed/>
    <w:rsid w:val="00D60480"/>
    <w:rPr>
      <w:color w:val="605E5C"/>
      <w:shd w:val="clear" w:color="auto" w:fill="E1DFDD"/>
    </w:rPr>
  </w:style>
  <w:style w:type="paragraph" w:styleId="Revision">
    <w:name w:val="Revision"/>
    <w:hidden/>
    <w:uiPriority w:val="99"/>
    <w:semiHidden/>
    <w:rsid w:val="00D60480"/>
    <w:pPr>
      <w:spacing w:after="0" w:line="240" w:lineRule="auto"/>
    </w:pPr>
  </w:style>
  <w:style w:type="paragraph" w:styleId="ListParagraph">
    <w:name w:val="List Paragraph"/>
    <w:aliases w:val="Bullet point,List Paragraph1,List Paragraph11,Recommendation,List Bullet 1,L,0Bullet,List Bullet Cab,#List Paragraph,Bullet Level 1,Bullet Point,Bulletr List Paragraph,Content descriptions,FooterText,List Paragraph2,Bullet points,列,CV tex"/>
    <w:basedOn w:val="Normal"/>
    <w:link w:val="ListParagraphChar"/>
    <w:uiPriority w:val="34"/>
    <w:qFormat/>
    <w:rsid w:val="009E1C7F"/>
    <w:pPr>
      <w:ind w:left="720"/>
      <w:contextualSpacing/>
    </w:pPr>
  </w:style>
  <w:style w:type="character" w:customStyle="1" w:styleId="ListParagraphChar">
    <w:name w:val="List Paragraph Char"/>
    <w:aliases w:val="Bullet point Char,List Paragraph1 Char,List Paragraph11 Char,Recommendation Char,List Bullet 1 Char,L Char,0Bullet Char,List Bullet Cab Char,#List Paragraph Char,Bullet Level 1 Char,Bullet Point Char,Bulletr List Paragraph Char"/>
    <w:link w:val="ListParagraph"/>
    <w:uiPriority w:val="34"/>
    <w:locked/>
    <w:rsid w:val="00D51C00"/>
  </w:style>
  <w:style w:type="paragraph" w:styleId="CommentText">
    <w:name w:val="annotation text"/>
    <w:basedOn w:val="Normal"/>
    <w:link w:val="CommentTextChar"/>
    <w:uiPriority w:val="99"/>
    <w:unhideWhenUsed/>
    <w:rsid w:val="00D51C00"/>
    <w:pPr>
      <w:spacing w:line="240" w:lineRule="auto"/>
    </w:pPr>
    <w:rPr>
      <w:rFonts w:eastAsiaTheme="minorEastAsia"/>
      <w:sz w:val="20"/>
      <w:szCs w:val="20"/>
      <w:lang w:val="en-AU"/>
    </w:rPr>
  </w:style>
  <w:style w:type="character" w:customStyle="1" w:styleId="CommentTextChar">
    <w:name w:val="Comment Text Char"/>
    <w:basedOn w:val="DefaultParagraphFont"/>
    <w:link w:val="CommentText"/>
    <w:uiPriority w:val="99"/>
    <w:rsid w:val="00D51C00"/>
    <w:rPr>
      <w:rFonts w:eastAsiaTheme="minorEastAsia"/>
      <w:sz w:val="20"/>
      <w:szCs w:val="20"/>
      <w:lang w:val="en-AU"/>
    </w:rPr>
  </w:style>
  <w:style w:type="character" w:styleId="CommentReference">
    <w:name w:val="annotation reference"/>
    <w:basedOn w:val="DefaultParagraphFont"/>
    <w:uiPriority w:val="99"/>
    <w:semiHidden/>
    <w:unhideWhenUsed/>
    <w:rsid w:val="00D51C00"/>
    <w:rPr>
      <w:sz w:val="16"/>
      <w:szCs w:val="16"/>
    </w:rPr>
  </w:style>
  <w:style w:type="paragraph" w:styleId="FootnoteText">
    <w:name w:val="footnote text"/>
    <w:aliases w:val="Footnote Text Char1 Char,Footnote Text Char Char1 Char,Footnote Text Char Char Char Char Char1,Char Char,Footnote Text Char Char Char,Footnote Text Char Char Char Char,fn,FT,ft,SD Footnote Text,Footnote Text AG,(NECG) Footnote Text"/>
    <w:basedOn w:val="Normal"/>
    <w:link w:val="FootnoteTextChar"/>
    <w:unhideWhenUsed/>
    <w:qFormat/>
    <w:rsid w:val="00D51C00"/>
    <w:pPr>
      <w:spacing w:after="0" w:line="240" w:lineRule="auto"/>
    </w:pPr>
    <w:rPr>
      <w:sz w:val="20"/>
      <w:szCs w:val="20"/>
      <w:lang w:val="en-AU"/>
    </w:rPr>
  </w:style>
  <w:style w:type="character" w:customStyle="1" w:styleId="FootnoteTextChar">
    <w:name w:val="Footnote Text Char"/>
    <w:aliases w:val="Footnote Text Char1 Char Char,Footnote Text Char Char1 Char Char,Footnote Text Char Char Char Char Char1 Char,Char Char Char,Footnote Text Char Char Char Char1,Footnote Text Char Char Char Char Char,fn Char,FT Char,ft Char"/>
    <w:basedOn w:val="DefaultParagraphFont"/>
    <w:link w:val="FootnoteText"/>
    <w:rsid w:val="00D51C00"/>
    <w:rPr>
      <w:sz w:val="20"/>
      <w:szCs w:val="20"/>
      <w:lang w:val="en-AU"/>
    </w:rPr>
  </w:style>
  <w:style w:type="character" w:styleId="FootnoteReference">
    <w:name w:val="footnote reference"/>
    <w:aliases w:val="fr,(NECG) Footnote Reference,Ref,de nota al pie"/>
    <w:basedOn w:val="DefaultParagraphFont"/>
    <w:unhideWhenUsed/>
    <w:rsid w:val="00D51C00"/>
    <w:rPr>
      <w:vertAlign w:val="superscript"/>
    </w:rPr>
  </w:style>
  <w:style w:type="paragraph" w:styleId="NormalWeb">
    <w:name w:val="Normal (Web)"/>
    <w:basedOn w:val="Normal"/>
    <w:uiPriority w:val="99"/>
    <w:unhideWhenUsed/>
    <w:rsid w:val="00D51C00"/>
    <w:pPr>
      <w:spacing w:before="100" w:beforeAutospacing="1" w:after="100" w:afterAutospacing="1" w:line="240" w:lineRule="auto"/>
    </w:pPr>
    <w:rPr>
      <w:rFonts w:ascii="Times New Roman" w:eastAsia="Times New Roman" w:hAnsi="Times New Roman" w:cs="Times New Roman"/>
      <w:szCs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507371">
      <w:bodyDiv w:val="1"/>
      <w:marLeft w:val="0"/>
      <w:marRight w:val="0"/>
      <w:marTop w:val="0"/>
      <w:marBottom w:val="0"/>
      <w:divBdr>
        <w:top w:val="none" w:sz="0" w:space="0" w:color="auto"/>
        <w:left w:val="none" w:sz="0" w:space="0" w:color="auto"/>
        <w:bottom w:val="none" w:sz="0" w:space="0" w:color="auto"/>
        <w:right w:val="none" w:sz="0" w:space="0" w:color="auto"/>
      </w:divBdr>
    </w:div>
    <w:div w:id="807479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helpdesk-OIA@pmc.gov.au"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97EB5A-B105-4B40-9DDE-A9DF6F9E8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838</Words>
  <Characters>4783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2025-10-24T01:23:00Z</dcterms:created>
  <dcterms:modified xsi:type="dcterms:W3CDTF">2025-10-24T01:23:00Z</dcterms:modified>
</cp:coreProperties>
</file>