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A2BF" w14:textId="77777777" w:rsidR="00062649" w:rsidRDefault="00062649" w:rsidP="00A62EF3">
      <w:pPr>
        <w:pStyle w:val="Subtitle"/>
        <w:rPr>
          <w:rFonts w:asciiTheme="majorHAnsi" w:hAnsiTheme="majorHAnsi" w:cstheme="majorBidi"/>
          <w:color w:val="auto"/>
          <w:spacing w:val="-10"/>
          <w:kern w:val="28"/>
          <w:sz w:val="36"/>
          <w:szCs w:val="36"/>
          <w:lang w:val="en-US"/>
          <w14:ligatures w14:val="standardContextual"/>
        </w:rPr>
      </w:pPr>
      <w:bookmarkStart w:id="0" w:name="_Toc96326909"/>
      <w:bookmarkStart w:id="1" w:name="_GoBack"/>
      <w:bookmarkEnd w:id="1"/>
      <w:r w:rsidRPr="00062649">
        <w:rPr>
          <w:rFonts w:asciiTheme="majorHAnsi" w:hAnsiTheme="majorHAnsi" w:cstheme="majorBidi"/>
          <w:color w:val="auto"/>
          <w:spacing w:val="-10"/>
          <w:kern w:val="28"/>
          <w:sz w:val="36"/>
          <w:szCs w:val="36"/>
          <w:lang w:val="en-US"/>
          <w14:ligatures w14:val="standardContextual"/>
        </w:rPr>
        <w:t xml:space="preserve">Linking care funding to care minutes delivery in residential aged care </w:t>
      </w:r>
    </w:p>
    <w:p w14:paraId="3CE5127C" w14:textId="046E9076" w:rsidR="00A62EF3" w:rsidRPr="00E23D20" w:rsidRDefault="00AA6931" w:rsidP="00A62EF3">
      <w:pPr>
        <w:pStyle w:val="Subtitle"/>
        <w:rPr>
          <w:rFonts w:cs="Calibri Light"/>
          <w:sz w:val="24"/>
          <w:szCs w:val="24"/>
        </w:rPr>
      </w:pPr>
      <w:r>
        <w:pict w14:anchorId="3CE51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.15pt;margin-top:53.7pt;width:38.65pt;height:38.65pt;z-index:251658752;mso-position-horizontal-relative:margin;mso-position-vertical-relative:margin">
            <v:imagedata r:id="rId8" o:title="Icons28"/>
            <w10:wrap anchorx="margin" anchory="margin"/>
          </v:shape>
        </w:pict>
      </w:r>
      <w:r w:rsidR="005505E3" w:rsidRPr="00E23D20">
        <w:rPr>
          <w:rFonts w:cs="Calibri Light"/>
          <w:sz w:val="24"/>
          <w:szCs w:val="24"/>
        </w:rPr>
        <w:t>Department</w:t>
      </w:r>
      <w:r w:rsidR="00062649" w:rsidRPr="00E23D20">
        <w:rPr>
          <w:rFonts w:cs="Calibri Light"/>
          <w:sz w:val="24"/>
          <w:szCs w:val="24"/>
        </w:rPr>
        <w:t xml:space="preserve"> of Health, Disability and Aged Care</w:t>
      </w:r>
    </w:p>
    <w:p w14:paraId="3CE5127D" w14:textId="158DBD9F" w:rsidR="00A62EF3" w:rsidRDefault="00E63FC4" w:rsidP="00C13310">
      <w:pPr>
        <w:pStyle w:val="BOXHeading2"/>
        <w:ind w:firstLine="493"/>
        <w:rPr>
          <w:noProof/>
        </w:rPr>
      </w:pPr>
      <w:r>
        <w:rPr>
          <w:noProof/>
        </w:rPr>
        <w:t xml:space="preserve">  </w:t>
      </w:r>
      <w:r w:rsidR="00BE0F4D">
        <w:rPr>
          <w:noProof/>
        </w:rPr>
        <w:t>T</w:t>
      </w:r>
      <w:r w:rsidR="00E13082">
        <w:rPr>
          <w:noProof/>
        </w:rPr>
        <w:t>he</w:t>
      </w:r>
      <w:r w:rsidR="00D13C0A">
        <w:rPr>
          <w:noProof/>
        </w:rPr>
        <w:t xml:space="preserve"> </w:t>
      </w:r>
      <w:r w:rsidR="00E13082">
        <w:rPr>
          <w:noProof/>
        </w:rPr>
        <w:t>policy p</w:t>
      </w:r>
      <w:r w:rsidR="006A2BCA">
        <w:rPr>
          <w:noProof/>
        </w:rPr>
        <w:t>roblem</w:t>
      </w:r>
      <w:bookmarkEnd w:id="0"/>
      <w:r w:rsidR="00BE0F4D">
        <w:rPr>
          <w:noProof/>
        </w:rPr>
        <w:t xml:space="preserve"> and p</w:t>
      </w:r>
      <w:r w:rsidR="00490E25">
        <w:rPr>
          <w:noProof/>
        </w:rPr>
        <w:t>r</w:t>
      </w:r>
      <w:r w:rsidR="00B05108">
        <w:rPr>
          <w:noProof/>
        </w:rPr>
        <w:t>eferred</w:t>
      </w:r>
      <w:r w:rsidR="00BE0F4D">
        <w:rPr>
          <w:noProof/>
        </w:rPr>
        <w:t xml:space="preserve"> </w:t>
      </w:r>
      <w:r w:rsidR="00B05108">
        <w:rPr>
          <w:noProof/>
        </w:rPr>
        <w:t xml:space="preserve">policy </w:t>
      </w:r>
      <w:r w:rsidR="00BE0F4D">
        <w:rPr>
          <w:noProof/>
        </w:rPr>
        <w:t>appro</w:t>
      </w:r>
      <w:r w:rsidR="00E12AB4">
        <w:rPr>
          <w:noProof/>
        </w:rPr>
        <w:t>a</w:t>
      </w:r>
      <w:r w:rsidR="00BE0F4D">
        <w:rPr>
          <w:noProof/>
        </w:rPr>
        <w:t>ch</w:t>
      </w:r>
    </w:p>
    <w:p w14:paraId="30774899" w14:textId="613A88FC" w:rsidR="00062649" w:rsidRDefault="00062649" w:rsidP="00062649">
      <w:pPr>
        <w:pStyle w:val="BOXBulletedList"/>
        <w:pBdr>
          <w:bottom w:val="single" w:sz="48" w:space="0" w:color="F2F2F2" w:themeColor="background1" w:themeShade="F2"/>
        </w:pBdr>
        <w:spacing w:after="0"/>
      </w:pPr>
      <w:r>
        <w:t>The Royal Commission into Aged Care Quality and Safety Final Report</w:t>
      </w:r>
      <w:r w:rsidR="00CC425E">
        <w:t xml:space="preserve"> (Royal Commission)</w:t>
      </w:r>
      <w:r>
        <w:t xml:space="preserve"> found that staffing levels in residential aged care were inadequate to support quality care to older people</w:t>
      </w:r>
      <w:r w:rsidR="00C21A8D">
        <w:t>,</w:t>
      </w:r>
      <w:r>
        <w:t xml:space="preserve"> and recommended that government adopt minimum care time requirements to ensure consistent and adequate staffing across all aged care homes.</w:t>
      </w:r>
    </w:p>
    <w:p w14:paraId="6B28E1DB" w14:textId="7930C66F" w:rsidR="00062649" w:rsidRDefault="00062649" w:rsidP="00062649">
      <w:pPr>
        <w:pStyle w:val="BOXBulletedList"/>
        <w:pBdr>
          <w:bottom w:val="single" w:sz="48" w:space="0" w:color="F2F2F2" w:themeColor="background1" w:themeShade="F2"/>
        </w:pBdr>
        <w:spacing w:after="0"/>
      </w:pPr>
      <w:r>
        <w:t xml:space="preserve">In October 2023, the Australian Government introduced mandatory care minutes requirements and substantially increased funding to aged care providers </w:t>
      </w:r>
      <w:r w:rsidR="00E23D20">
        <w:t xml:space="preserve">(providers) </w:t>
      </w:r>
      <w:r>
        <w:t xml:space="preserve">to </w:t>
      </w:r>
      <w:r w:rsidR="00E20C1B">
        <w:t xml:space="preserve">fund </w:t>
      </w:r>
      <w:r>
        <w:t>them to increase their staffing to meet these requirements.</w:t>
      </w:r>
    </w:p>
    <w:p w14:paraId="1A6D8B51" w14:textId="69807915" w:rsidR="00062649" w:rsidRDefault="00062649" w:rsidP="00062649">
      <w:pPr>
        <w:pStyle w:val="BOXBulletedList"/>
        <w:pBdr>
          <w:bottom w:val="single" w:sz="48" w:space="0" w:color="F2F2F2" w:themeColor="background1" w:themeShade="F2"/>
        </w:pBdr>
        <w:spacing w:after="0"/>
      </w:pPr>
      <w:r>
        <w:t xml:space="preserve">As of quarter 2 2024-25 only </w:t>
      </w:r>
      <w:r w:rsidRPr="00CC425E">
        <w:rPr>
          <w:b/>
          <w:bCs/>
        </w:rPr>
        <w:t xml:space="preserve">37.4% </w:t>
      </w:r>
      <w:r>
        <w:t>of aged care homes met both their total care minutes and registered nurse targets</w:t>
      </w:r>
      <w:r w:rsidR="00E20C1B">
        <w:t>.</w:t>
      </w:r>
    </w:p>
    <w:p w14:paraId="77866688" w14:textId="34C9074F" w:rsidR="00062649" w:rsidRDefault="00062649" w:rsidP="00062649">
      <w:pPr>
        <w:pStyle w:val="BOXBulletedList"/>
        <w:pBdr>
          <w:bottom w:val="single" w:sz="48" w:space="0" w:color="F2F2F2" w:themeColor="background1" w:themeShade="F2"/>
        </w:pBdr>
        <w:spacing w:after="0"/>
      </w:pPr>
      <w:r>
        <w:t>Thi</w:t>
      </w:r>
      <w:r w:rsidR="00E23D20">
        <w:t xml:space="preserve">s </w:t>
      </w:r>
      <w:r>
        <w:t xml:space="preserve">means that Government funding for care is not being used as intended and </w:t>
      </w:r>
      <w:r w:rsidR="00E20C1B">
        <w:t xml:space="preserve">most aged care </w:t>
      </w:r>
      <w:r>
        <w:t>residents are not receiving the amount of care</w:t>
      </w:r>
      <w:r w:rsidR="00CC425E">
        <w:t xml:space="preserve"> considered necessary by the Royal Commission</w:t>
      </w:r>
      <w:r>
        <w:t xml:space="preserve"> to meet their personal and clinical care needs.</w:t>
      </w:r>
    </w:p>
    <w:p w14:paraId="3CE51281" w14:textId="08542003" w:rsidR="005E0DC7" w:rsidRPr="00BE0F4D" w:rsidRDefault="00062649" w:rsidP="00062649">
      <w:pPr>
        <w:pStyle w:val="BOXBulletedList"/>
        <w:pBdr>
          <w:bottom w:val="single" w:sz="48" w:space="0" w:color="F2F2F2" w:themeColor="background1" w:themeShade="F2"/>
        </w:pBdr>
        <w:spacing w:after="0"/>
      </w:pPr>
      <w:r>
        <w:t>To address this problem the Government will link funding to care minute compliance for homes operating in metropolitan areas and increase care minute reporting assurance requirements</w:t>
      </w:r>
      <w:r w:rsidR="009D0FA4">
        <w:t xml:space="preserve"> (option 3 in the Impact Analysis)</w:t>
      </w:r>
      <w:r>
        <w:t>.</w:t>
      </w:r>
    </w:p>
    <w:p w14:paraId="3CE51282" w14:textId="452F6D73" w:rsidR="005505E3" w:rsidRPr="00D859BB" w:rsidRDefault="00AA6931" w:rsidP="003C1C2C">
      <w:pPr>
        <w:pStyle w:val="BOXHeading2"/>
        <w:spacing w:before="120"/>
        <w:ind w:firstLine="493"/>
      </w:pPr>
      <w:r>
        <w:rPr>
          <w:noProof/>
        </w:rPr>
        <w:pict w14:anchorId="3CE512A7">
          <v:shape id="_x0000_s1028" type="#_x0000_t75" style="position:absolute;left:0;text-align:left;margin-left:.3pt;margin-top:245.6pt;width:38pt;height:38pt;z-index:251657728;mso-position-horizontal-relative:margin;mso-position-vertical-relative:margin;mso-width-relative:page;mso-height-relative:page">
            <v:imagedata r:id="rId9" o:title="Icons16"/>
            <w10:wrap anchorx="margin" anchory="margin"/>
          </v:shape>
        </w:pict>
      </w:r>
      <w:r w:rsidR="00A57585">
        <w:t xml:space="preserve">  </w:t>
      </w:r>
      <w:r w:rsidR="002002ED">
        <w:t>Impact Analysis</w:t>
      </w:r>
    </w:p>
    <w:tbl>
      <w:tblPr>
        <w:tblStyle w:val="Custom11"/>
        <w:tblW w:w="5002" w:type="pct"/>
        <w:tblLook w:val="0420" w:firstRow="1" w:lastRow="0" w:firstColumn="0" w:lastColumn="0" w:noHBand="0" w:noVBand="1"/>
        <w:tblCaption w:val="Table with horizontal lines"/>
        <w:tblDescription w:val="This is an example of alt text."/>
      </w:tblPr>
      <w:tblGrid>
        <w:gridCol w:w="10776"/>
      </w:tblGrid>
      <w:tr w:rsidR="00152412" w:rsidRPr="005505E3" w14:paraId="3CE51284" w14:textId="77777777" w:rsidTr="00F46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tcW w:w="5000" w:type="pct"/>
            <w:tcBorders>
              <w:top w:val="single" w:sz="2" w:space="0" w:color="FFFFFF" w:themeColor="background1"/>
              <w:bottom w:val="single" w:sz="4" w:space="0" w:color="778E61" w:themeColor="accent2"/>
            </w:tcBorders>
            <w:shd w:val="clear" w:color="auto" w:fill="1C2B39"/>
          </w:tcPr>
          <w:p w14:paraId="3CE51283" w14:textId="77777777" w:rsidR="00152412" w:rsidRPr="00152412" w:rsidRDefault="00BE0F4D" w:rsidP="005505E3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18"/>
              </w:rPr>
              <w:t>Impacts</w:t>
            </w:r>
          </w:p>
        </w:tc>
      </w:tr>
      <w:tr w:rsidR="0044397A" w:rsidRPr="005505E3" w14:paraId="3CE5128D" w14:textId="77777777" w:rsidTr="00E2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0"/>
        </w:trPr>
        <w:tc>
          <w:tcPr>
            <w:tcW w:w="5000" w:type="pct"/>
            <w:tcBorders>
              <w:top w:val="single" w:sz="4" w:space="0" w:color="778E61" w:themeColor="accent2"/>
            </w:tcBorders>
            <w:shd w:val="clear" w:color="auto" w:fill="D8E2EC"/>
          </w:tcPr>
          <w:p w14:paraId="75FAA57B" w14:textId="77777777" w:rsidR="009D0FA4" w:rsidRDefault="009D0FA4" w:rsidP="00062649">
            <w:pPr>
              <w:pStyle w:val="ListParagraph"/>
              <w:numPr>
                <w:ilvl w:val="0"/>
                <w:numId w:val="42"/>
              </w:numPr>
            </w:pPr>
            <w:r>
              <w:t xml:space="preserve">The percentage of aged care homes that meet their total care minutes targets is expected to be </w:t>
            </w:r>
            <w:r w:rsidRPr="00CC425E">
              <w:rPr>
                <w:b/>
                <w:bCs/>
              </w:rPr>
              <w:t>9 percentage points</w:t>
            </w:r>
            <w:r>
              <w:t xml:space="preserve"> higher under the preferred option than without policy change. This means more older people will live in aged care </w:t>
            </w:r>
            <w:r w:rsidR="00062649" w:rsidRPr="00AF4B20">
              <w:t xml:space="preserve">homes </w:t>
            </w:r>
            <w:r>
              <w:t>that have</w:t>
            </w:r>
            <w:r w:rsidR="00062649" w:rsidRPr="00AF4B20">
              <w:t xml:space="preserve"> staffing levels</w:t>
            </w:r>
            <w:r>
              <w:t xml:space="preserve"> that are adequate</w:t>
            </w:r>
            <w:r w:rsidR="00062649" w:rsidRPr="00AF4B20">
              <w:t xml:space="preserve"> to meet their personal and clinical care needs</w:t>
            </w:r>
            <w:r>
              <w:t>.</w:t>
            </w:r>
          </w:p>
          <w:p w14:paraId="51BD080F" w14:textId="1BFD709B" w:rsidR="009D0FA4" w:rsidRDefault="009D0FA4" w:rsidP="00062649">
            <w:pPr>
              <w:pStyle w:val="ListParagraph"/>
              <w:numPr>
                <w:ilvl w:val="0"/>
                <w:numId w:val="42"/>
              </w:numPr>
            </w:pPr>
            <w:r w:rsidRPr="009D0FA4">
              <w:t xml:space="preserve">Government is expected to directly save </w:t>
            </w:r>
            <w:r w:rsidRPr="00CC425E">
              <w:rPr>
                <w:b/>
                <w:bCs/>
              </w:rPr>
              <w:t>$221 million</w:t>
            </w:r>
            <w:r>
              <w:t xml:space="preserve"> over 4-years</w:t>
            </w:r>
            <w:r w:rsidR="00C21A8D">
              <w:t xml:space="preserve"> from 2024-25</w:t>
            </w:r>
            <w:r w:rsidRPr="009D0FA4">
              <w:t xml:space="preserve"> through reduced funding to the sector where care minutes are not delivered</w:t>
            </w:r>
            <w:r w:rsidR="00C21A8D">
              <w:t>.</w:t>
            </w:r>
          </w:p>
          <w:p w14:paraId="3CE5128C" w14:textId="45DF2425" w:rsidR="0044397A" w:rsidRPr="00147E4C" w:rsidRDefault="00C21A8D" w:rsidP="00062649">
            <w:pPr>
              <w:pStyle w:val="ListParagraph"/>
              <w:numPr>
                <w:ilvl w:val="0"/>
                <w:numId w:val="42"/>
              </w:numPr>
              <w:rPr>
                <w:szCs w:val="18"/>
              </w:rPr>
            </w:pPr>
            <w:r>
              <w:t>Overall linking care funding to care minutes with additional assurance arrangements</w:t>
            </w:r>
            <w:r w:rsidR="009D0FA4">
              <w:t xml:space="preserve"> is expected to deliver</w:t>
            </w:r>
            <w:r w:rsidR="00062649" w:rsidRPr="00AF4B20">
              <w:t xml:space="preserve"> a net benefit of </w:t>
            </w:r>
            <w:r w:rsidR="00062649" w:rsidRPr="00CC425E">
              <w:rPr>
                <w:b/>
                <w:bCs/>
              </w:rPr>
              <w:t>$12,716.2 million</w:t>
            </w:r>
            <w:r w:rsidR="009D0FA4">
              <w:t xml:space="preserve"> over 4-years.</w:t>
            </w:r>
          </w:p>
        </w:tc>
      </w:tr>
    </w:tbl>
    <w:p w14:paraId="3CE512A5" w14:textId="38DD1924" w:rsidR="002D37AE" w:rsidRPr="005C66F5" w:rsidRDefault="005C66F5" w:rsidP="005C66F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1C2B39"/>
        <w:spacing w:before="240" w:after="0"/>
        <w:ind w:left="113" w:right="108"/>
        <w:outlineLvl w:val="2"/>
        <w:rPr>
          <w:rFonts w:ascii="Calibri" w:hAnsi="Calibri" w:cs="Calibri"/>
          <w:b/>
          <w:color w:val="FFFFFF" w:themeColor="background1"/>
          <w:sz w:val="24"/>
        </w:rPr>
      </w:pPr>
      <w:r w:rsidRPr="005C66F5">
        <w:rPr>
          <w:rFonts w:ascii="Calibri" w:hAnsi="Calibri" w:cs="Calibri"/>
          <w:b/>
          <w:color w:val="FFFFFF" w:themeColor="background1"/>
          <w:sz w:val="24"/>
        </w:rPr>
        <w:t>Who is impacted</w:t>
      </w:r>
    </w:p>
    <w:tbl>
      <w:tblPr>
        <w:tblStyle w:val="Custom11"/>
        <w:tblW w:w="5002" w:type="pct"/>
        <w:tblLook w:val="0420" w:firstRow="1" w:lastRow="0" w:firstColumn="0" w:lastColumn="0" w:noHBand="0" w:noVBand="1"/>
      </w:tblPr>
      <w:tblGrid>
        <w:gridCol w:w="3119"/>
        <w:gridCol w:w="3403"/>
        <w:gridCol w:w="4254"/>
      </w:tblGrid>
      <w:tr w:rsidR="005C66F5" w14:paraId="189C75F0" w14:textId="77777777" w:rsidTr="00BA0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1"/>
          <w:tblHeader/>
        </w:trPr>
        <w:tc>
          <w:tcPr>
            <w:tcW w:w="1447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69BE6F48" w14:textId="56F3C47E" w:rsidR="005C66F5" w:rsidRDefault="005C66F5" w:rsidP="00506155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Individuals</w:t>
            </w:r>
          </w:p>
        </w:tc>
        <w:tc>
          <w:tcPr>
            <w:tcW w:w="1579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49BFF9D8" w14:textId="77777777" w:rsidR="005C66F5" w:rsidRDefault="005C66F5" w:rsidP="00506155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Businesses</w:t>
            </w:r>
          </w:p>
        </w:tc>
        <w:tc>
          <w:tcPr>
            <w:tcW w:w="1974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64E0A164" w14:textId="77777777" w:rsidR="005C66F5" w:rsidRDefault="005C66F5" w:rsidP="00506155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Community organisations</w:t>
            </w:r>
          </w:p>
        </w:tc>
      </w:tr>
      <w:tr w:rsidR="00C21A8D" w:rsidRPr="00402E24" w14:paraId="0EF0ECA2" w14:textId="77777777" w:rsidTr="00BA0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tcW w:w="1447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8E2EC"/>
          </w:tcPr>
          <w:p w14:paraId="35F961E9" w14:textId="05E6D7B4" w:rsidR="00C21A8D" w:rsidRDefault="00C21A8D" w:rsidP="00C21A8D">
            <w:pPr>
              <w:spacing w:after="0" w:line="240" w:lineRule="auto"/>
              <w:rPr>
                <w:szCs w:val="18"/>
              </w:rPr>
            </w:pPr>
            <w:r>
              <w:t>Aged care residents are expected to receive an additional</w:t>
            </w:r>
            <w:r w:rsidRPr="00AF4B20">
              <w:t xml:space="preserve"> </w:t>
            </w:r>
            <w:bookmarkStart w:id="2" w:name="_Hlk207798957"/>
            <w:r w:rsidRPr="00CC425E">
              <w:rPr>
                <w:b/>
                <w:bCs/>
              </w:rPr>
              <w:t xml:space="preserve">264.6 </w:t>
            </w:r>
            <w:bookmarkEnd w:id="2"/>
            <w:r w:rsidRPr="00CC425E">
              <w:rPr>
                <w:b/>
                <w:bCs/>
              </w:rPr>
              <w:t>million</w:t>
            </w:r>
            <w:r w:rsidRPr="00AF4B20">
              <w:t xml:space="preserve"> care minute</w:t>
            </w:r>
            <w:r>
              <w:t xml:space="preserve">s between 2024-25 and 2027-28. </w:t>
            </w:r>
          </w:p>
          <w:p w14:paraId="25A03EFC" w14:textId="0BC16EE8" w:rsidR="00C21A8D" w:rsidRPr="00402E24" w:rsidRDefault="00C21A8D" w:rsidP="00C21A8D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9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8E2EC"/>
          </w:tcPr>
          <w:p w14:paraId="0F9D1B26" w14:textId="0461D59E" w:rsidR="00C21A8D" w:rsidRPr="00402E24" w:rsidRDefault="00E23D20" w:rsidP="00C21A8D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F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or</w:t>
            </w:r>
            <w:r w:rsidR="00C21A8D">
              <w:rPr>
                <w:rFonts w:ascii="Calibri" w:hAnsi="Calibri" w:cs="Calibri"/>
                <w:bCs/>
                <w:szCs w:val="18"/>
              </w:rPr>
              <w:t>-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profit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 xml:space="preserve">providers will </w:t>
            </w:r>
            <w:r>
              <w:rPr>
                <w:rFonts w:ascii="Calibri" w:hAnsi="Calibri" w:cs="Calibri"/>
                <w:bCs/>
                <w:szCs w:val="18"/>
              </w:rPr>
              <w:t>incur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additional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Cs w:val="18"/>
              </w:rPr>
              <w:t xml:space="preserve">auditing/reporting 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costs of around </w:t>
            </w:r>
            <w:r w:rsidR="00C21A8D" w:rsidRPr="00C21A8D">
              <w:rPr>
                <w:rFonts w:ascii="Calibri" w:hAnsi="Calibri" w:cs="Calibri"/>
                <w:b/>
                <w:szCs w:val="18"/>
              </w:rPr>
              <w:t>$1.78</w:t>
            </w:r>
            <w:r w:rsidR="00BA0973">
              <w:rPr>
                <w:rFonts w:ascii="Calibri" w:hAnsi="Calibri" w:cs="Calibri"/>
                <w:b/>
                <w:szCs w:val="18"/>
              </w:rPr>
              <w:t> </w:t>
            </w:r>
            <w:r w:rsidR="00C21A8D" w:rsidRPr="00C21A8D">
              <w:rPr>
                <w:rFonts w:ascii="Calibri" w:hAnsi="Calibri" w:cs="Calibri"/>
                <w:b/>
                <w:szCs w:val="18"/>
              </w:rPr>
              <w:t>million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per year (in total across all </w:t>
            </w:r>
            <w:r w:rsidR="00106B97">
              <w:rPr>
                <w:rFonts w:ascii="Calibri" w:hAnsi="Calibri" w:cs="Calibri"/>
                <w:bCs/>
                <w:szCs w:val="18"/>
              </w:rPr>
              <w:t xml:space="preserve">for-profit </w:t>
            </w:r>
            <w:r w:rsidR="00C21A8D">
              <w:rPr>
                <w:rFonts w:ascii="Calibri" w:hAnsi="Calibri" w:cs="Calibri"/>
                <w:bCs/>
                <w:szCs w:val="18"/>
              </w:rPr>
              <w:t>providers)</w:t>
            </w:r>
            <w:r w:rsidR="00BA0973">
              <w:rPr>
                <w:rFonts w:ascii="Calibri" w:hAnsi="Calibri" w:cs="Calibri"/>
                <w:bCs/>
                <w:szCs w:val="18"/>
              </w:rPr>
              <w:t>.</w:t>
            </w:r>
          </w:p>
        </w:tc>
        <w:tc>
          <w:tcPr>
            <w:tcW w:w="1974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8E2EC"/>
          </w:tcPr>
          <w:p w14:paraId="19272CDD" w14:textId="1E3654CD" w:rsidR="00C21A8D" w:rsidRPr="00402E24" w:rsidRDefault="00E23D20" w:rsidP="00C21A8D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N</w:t>
            </w:r>
            <w:r w:rsidR="00C21A8D">
              <w:rPr>
                <w:rFonts w:ascii="Calibri" w:hAnsi="Calibri" w:cs="Calibri"/>
                <w:bCs/>
                <w:szCs w:val="18"/>
              </w:rPr>
              <w:t>ot-f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or</w:t>
            </w:r>
            <w:r w:rsidR="00C21A8D">
              <w:rPr>
                <w:rFonts w:ascii="Calibri" w:hAnsi="Calibri" w:cs="Calibri"/>
                <w:bCs/>
                <w:szCs w:val="18"/>
              </w:rPr>
              <w:t>-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profit</w:t>
            </w:r>
            <w:r w:rsidR="00BA0973">
              <w:rPr>
                <w:rFonts w:ascii="Calibri" w:hAnsi="Calibri" w:cs="Calibri"/>
                <w:bCs/>
                <w:szCs w:val="18"/>
              </w:rPr>
              <w:t xml:space="preserve"> (NFP)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 xml:space="preserve">providers will </w:t>
            </w:r>
            <w:r>
              <w:rPr>
                <w:rFonts w:ascii="Calibri" w:hAnsi="Calibri" w:cs="Calibri"/>
                <w:bCs/>
                <w:szCs w:val="18"/>
              </w:rPr>
              <w:t>incur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additional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Cs w:val="18"/>
              </w:rPr>
              <w:t>auditing/</w:t>
            </w:r>
            <w:r w:rsidR="00C21A8D" w:rsidRPr="00495F33">
              <w:rPr>
                <w:rFonts w:ascii="Calibri" w:hAnsi="Calibri" w:cs="Calibri"/>
                <w:bCs/>
                <w:szCs w:val="18"/>
              </w:rPr>
              <w:t>reporting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Cs w:val="18"/>
              </w:rPr>
              <w:t>costs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of around </w:t>
            </w:r>
            <w:r w:rsidR="00C21A8D" w:rsidRPr="00C21A8D">
              <w:rPr>
                <w:rFonts w:ascii="Calibri" w:hAnsi="Calibri" w:cs="Calibri"/>
                <w:b/>
                <w:szCs w:val="18"/>
              </w:rPr>
              <w:t>$3.16</w:t>
            </w:r>
            <w:r w:rsidR="00106B97">
              <w:rPr>
                <w:rFonts w:ascii="Calibri" w:hAnsi="Calibri" w:cs="Calibri"/>
                <w:b/>
                <w:szCs w:val="18"/>
              </w:rPr>
              <w:t> </w:t>
            </w:r>
            <w:r w:rsidR="00C21A8D" w:rsidRPr="00C21A8D">
              <w:rPr>
                <w:rFonts w:ascii="Calibri" w:hAnsi="Calibri" w:cs="Calibri"/>
                <w:b/>
                <w:szCs w:val="18"/>
              </w:rPr>
              <w:t>million</w:t>
            </w:r>
            <w:r w:rsidR="00C21A8D">
              <w:rPr>
                <w:rFonts w:ascii="Calibri" w:hAnsi="Calibri" w:cs="Calibri"/>
                <w:bCs/>
                <w:szCs w:val="18"/>
              </w:rPr>
              <w:t xml:space="preserve"> per year (in total across all </w:t>
            </w:r>
            <w:r w:rsidR="00BA0973">
              <w:rPr>
                <w:rFonts w:ascii="Calibri" w:hAnsi="Calibri" w:cs="Calibri"/>
                <w:bCs/>
                <w:szCs w:val="18"/>
              </w:rPr>
              <w:t>NFP providers</w:t>
            </w:r>
            <w:r w:rsidR="00C21A8D">
              <w:rPr>
                <w:rFonts w:ascii="Calibri" w:hAnsi="Calibri" w:cs="Calibri"/>
                <w:bCs/>
                <w:szCs w:val="18"/>
              </w:rPr>
              <w:t>)</w:t>
            </w:r>
            <w:r w:rsidR="00BA0973">
              <w:rPr>
                <w:rFonts w:ascii="Calibri" w:hAnsi="Calibri" w:cs="Calibri"/>
                <w:bCs/>
                <w:szCs w:val="18"/>
              </w:rPr>
              <w:t>.</w:t>
            </w:r>
            <w:r>
              <w:rPr>
                <w:rFonts w:ascii="Calibri" w:hAnsi="Calibri" w:cs="Calibri"/>
                <w:bCs/>
                <w:szCs w:val="18"/>
              </w:rPr>
              <w:t xml:space="preserve"> </w:t>
            </w:r>
            <w:r w:rsidR="00BA0973">
              <w:rPr>
                <w:rFonts w:ascii="Calibri" w:hAnsi="Calibri" w:cs="Calibri"/>
                <w:bCs/>
                <w:szCs w:val="18"/>
              </w:rPr>
              <w:t xml:space="preserve">Average costs per provider </w:t>
            </w:r>
            <w:r>
              <w:rPr>
                <w:rFonts w:ascii="Calibri" w:hAnsi="Calibri" w:cs="Calibri"/>
                <w:bCs/>
                <w:szCs w:val="18"/>
              </w:rPr>
              <w:t>are</w:t>
            </w:r>
            <w:r w:rsidR="00BA0973">
              <w:rPr>
                <w:rFonts w:ascii="Calibri" w:hAnsi="Calibri" w:cs="Calibri"/>
                <w:bCs/>
                <w:szCs w:val="18"/>
              </w:rPr>
              <w:t xml:space="preserve"> expected to be</w:t>
            </w:r>
            <w:r>
              <w:rPr>
                <w:rFonts w:ascii="Calibri" w:hAnsi="Calibri" w:cs="Calibri"/>
                <w:bCs/>
                <w:szCs w:val="18"/>
              </w:rPr>
              <w:t xml:space="preserve"> the same</w:t>
            </w:r>
            <w:r w:rsidR="00BA0973">
              <w:rPr>
                <w:rFonts w:ascii="Calibri" w:hAnsi="Calibri" w:cs="Calibri"/>
                <w:bCs/>
                <w:szCs w:val="18"/>
              </w:rPr>
              <w:t xml:space="preserve"> across for-profit and NFP providers. The higher total costs for NFP</w:t>
            </w:r>
            <w:r>
              <w:rPr>
                <w:rFonts w:ascii="Calibri" w:hAnsi="Calibri" w:cs="Calibri"/>
                <w:bCs/>
                <w:szCs w:val="18"/>
              </w:rPr>
              <w:t xml:space="preserve"> providers</w:t>
            </w:r>
            <w:r w:rsidR="00BA0973">
              <w:rPr>
                <w:rFonts w:ascii="Calibri" w:hAnsi="Calibri" w:cs="Calibri"/>
                <w:bCs/>
                <w:szCs w:val="18"/>
              </w:rPr>
              <w:t xml:space="preserve"> are because there are more of them.</w:t>
            </w:r>
          </w:p>
        </w:tc>
      </w:tr>
    </w:tbl>
    <w:p w14:paraId="25C3B3D9" w14:textId="39C91E4B" w:rsidR="005C66F5" w:rsidRPr="005C66F5" w:rsidRDefault="005C66F5" w:rsidP="005C66F5">
      <w:pPr>
        <w:rPr>
          <w:sz w:val="2"/>
        </w:rPr>
      </w:pPr>
    </w:p>
    <w:p w14:paraId="03BE01CA" w14:textId="739BEE06" w:rsidR="005C66F5" w:rsidRPr="00E2196D" w:rsidRDefault="00B34F51" w:rsidP="005C66F5">
      <w:pPr>
        <w:pStyle w:val="BOXHeading2"/>
        <w:ind w:firstLine="493"/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56704" behindDoc="0" locked="0" layoutInCell="1" allowOverlap="1" wp14:anchorId="29119E4E" wp14:editId="7CD93B68">
            <wp:simplePos x="0" y="0"/>
            <wp:positionH relativeFrom="margin">
              <wp:align>left</wp:align>
            </wp:positionH>
            <wp:positionV relativeFrom="margin">
              <wp:posOffset>7280275</wp:posOffset>
            </wp:positionV>
            <wp:extent cx="497205" cy="497205"/>
            <wp:effectExtent l="0" t="0" r="0" b="0"/>
            <wp:wrapNone/>
            <wp:docPr id="2" name="Picture 2" descr="Icon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s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6F5">
        <w:rPr>
          <w:noProof/>
        </w:rPr>
        <w:t xml:space="preserve">  Other</w:t>
      </w:r>
      <w:r w:rsidR="005C66F5" w:rsidRPr="00E2196D">
        <w:rPr>
          <w:noProof/>
        </w:rPr>
        <w:t xml:space="preserve"> </w:t>
      </w:r>
      <w:r w:rsidR="005C66F5">
        <w:rPr>
          <w:noProof/>
        </w:rPr>
        <w:t>considerations and i</w:t>
      </w:r>
      <w:r w:rsidR="005C66F5" w:rsidRPr="00534819">
        <w:rPr>
          <w:noProof/>
        </w:rPr>
        <w:t>mplementation</w:t>
      </w:r>
    </w:p>
    <w:p w14:paraId="2B5762AC" w14:textId="2F7268BA" w:rsidR="005C66F5" w:rsidRPr="005505E3" w:rsidRDefault="00C21A8D" w:rsidP="00C21A8D">
      <w:pPr>
        <w:pStyle w:val="BOXText"/>
        <w:pBdr>
          <w:bottom w:val="single" w:sz="48" w:space="0" w:color="F2F2F2" w:themeColor="background1" w:themeShade="F2"/>
        </w:pBdr>
        <w:spacing w:after="0"/>
      </w:pPr>
      <w:r>
        <w:t>The other policy options considered were to</w:t>
      </w:r>
      <w:r w:rsidR="00E20C1B">
        <w:t xml:space="preserve"> keep the</w:t>
      </w:r>
      <w:r>
        <w:t xml:space="preserve"> status quo and to link funding with</w:t>
      </w:r>
      <w:r w:rsidR="00E20C1B">
        <w:t>out</w:t>
      </w:r>
      <w:r>
        <w:t xml:space="preserve"> additional assurance</w:t>
      </w:r>
      <w:r w:rsidR="00E23D20">
        <w:t xml:space="preserve"> which would</w:t>
      </w:r>
      <w:r w:rsidR="00BA0973">
        <w:t xml:space="preserve"> </w:t>
      </w:r>
      <w:r>
        <w:t xml:space="preserve">result in a lower net benefit than the </w:t>
      </w:r>
      <w:r w:rsidR="00CC425E">
        <w:t xml:space="preserve">preferred </w:t>
      </w:r>
      <w:r>
        <w:t xml:space="preserve">policy response. </w:t>
      </w:r>
      <w:r w:rsidRPr="00C21A8D">
        <w:t xml:space="preserve">Linking care funding to care </w:t>
      </w:r>
      <w:r>
        <w:t>minutes</w:t>
      </w:r>
      <w:r w:rsidRPr="00C21A8D">
        <w:t xml:space="preserve"> without assurance </w:t>
      </w:r>
      <w:r w:rsidR="00E20C1B">
        <w:t xml:space="preserve">would </w:t>
      </w:r>
      <w:r w:rsidRPr="00C21A8D">
        <w:t xml:space="preserve">risk </w:t>
      </w:r>
      <w:r w:rsidR="00CC425E">
        <w:t>some</w:t>
      </w:r>
      <w:r w:rsidRPr="00C21A8D">
        <w:t xml:space="preserve"> providers misreporting</w:t>
      </w:r>
      <w:r w:rsidR="00CC425E">
        <w:t>,</w:t>
      </w:r>
      <w:r w:rsidR="00E20C1B">
        <w:t xml:space="preserve"> rather than </w:t>
      </w:r>
      <w:r w:rsidR="00CC425E">
        <w:t>increasing their care minutes</w:t>
      </w:r>
      <w:r w:rsidRPr="00C21A8D">
        <w:t xml:space="preserve">.  </w:t>
      </w:r>
    </w:p>
    <w:p w14:paraId="4E3F173D" w14:textId="72857AD4" w:rsidR="005C66F5" w:rsidRPr="000770FA" w:rsidRDefault="00C21A8D" w:rsidP="00E20C1B">
      <w:pPr>
        <w:pStyle w:val="BOXBulletedList"/>
        <w:numPr>
          <w:ilvl w:val="0"/>
          <w:numId w:val="0"/>
        </w:numPr>
        <w:pBdr>
          <w:bottom w:val="single" w:sz="48" w:space="0" w:color="F2F2F2" w:themeColor="background1" w:themeShade="F2"/>
        </w:pBdr>
        <w:spacing w:after="0"/>
        <w:ind w:left="227"/>
      </w:pPr>
      <w:r w:rsidRPr="00E20C1B">
        <w:t xml:space="preserve">The </w:t>
      </w:r>
      <w:r w:rsidR="00E20C1B" w:rsidRPr="00E20C1B">
        <w:t xml:space="preserve">preferred </w:t>
      </w:r>
      <w:r w:rsidRPr="00E20C1B">
        <w:t>policy will be implemented from October 2025 jointly by the Department of Health, Disability and Ageing and Services Australia with ongoing engagement with sector stakeholders</w:t>
      </w:r>
      <w:r w:rsidR="00CC425E">
        <w:t>.</w:t>
      </w:r>
    </w:p>
    <w:sectPr w:rsidR="005C66F5" w:rsidRPr="000770FA" w:rsidSect="005C6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276" w:left="567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B268" w14:textId="77777777" w:rsidR="00AA6931" w:rsidRDefault="00AA6931" w:rsidP="00F957C6">
      <w:pPr>
        <w:spacing w:after="0" w:line="240" w:lineRule="auto"/>
      </w:pPr>
      <w:r>
        <w:separator/>
      </w:r>
    </w:p>
  </w:endnote>
  <w:endnote w:type="continuationSeparator" w:id="0">
    <w:p w14:paraId="3513B729" w14:textId="77777777" w:rsidR="00AA6931" w:rsidRDefault="00AA6931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0CDD" w14:textId="1A7A6103" w:rsidR="00062649" w:rsidRDefault="0006264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63E85F4B" wp14:editId="08EC78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970"/>
              <wp:effectExtent l="0" t="0" r="635" b="0"/>
              <wp:wrapNone/>
              <wp:docPr id="1621419315" name="Text Box 5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599DF" w14:textId="09ECFB0C" w:rsidR="00062649" w:rsidRPr="00062649" w:rsidRDefault="00062649" w:rsidP="00062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26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3E85F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1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" filled="f" stroked="f">
              <v:textbox style="mso-fit-shape-to-text:t" inset="0,0,0,15pt">
                <w:txbxContent>
                  <w:p w14:paraId="780599DF" w14:textId="09ECFB0C" w:rsidR="00062649" w:rsidRPr="00062649" w:rsidRDefault="00062649" w:rsidP="000626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26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B1" w14:textId="657AB8CF" w:rsidR="00D10635" w:rsidRPr="00F86700" w:rsidRDefault="00062649" w:rsidP="00F86700">
    <w:pPr>
      <w:pStyle w:val="CLASSIFICATION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3010C653" wp14:editId="0217C9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970"/>
              <wp:effectExtent l="0" t="0" r="635" b="0"/>
              <wp:wrapNone/>
              <wp:docPr id="1901594004" name="Text Box 6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E8829" w14:textId="360A6323" w:rsidR="00062649" w:rsidRPr="00062649" w:rsidRDefault="00062649" w:rsidP="00062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26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010C6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1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" filled="f" stroked="f">
              <v:textbox style="mso-fit-shape-to-text:t" inset="0,0,0,15pt">
                <w:txbxContent>
                  <w:p w14:paraId="4B8E8829" w14:textId="360A6323" w:rsidR="00062649" w:rsidRPr="00062649" w:rsidRDefault="00062649" w:rsidP="000626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26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CLASSIFICATIONChar"/>
          <w:caps/>
        </w:rPr>
        <w:alias w:val="Classification"/>
        <w:tag w:val="Classification"/>
        <w:id w:val="-187692350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Protected: Cabinet" w:value="Protected: Cabinet"/>
          <w:listItem w:displayText="Secret" w:value="5"/>
          <w:listItem w:displayText="Top Secret and Codeword" w:value="6"/>
        </w:dropDownList>
      </w:sdtPr>
      <w:sdtEndPr>
        <w:rPr>
          <w:rStyle w:val="CLASSIFICATIONChar"/>
        </w:rPr>
      </w:sdtEndPr>
      <w:sdtContent>
        <w:r w:rsidR="00F64736">
          <w:rPr>
            <w:rStyle w:val="CLASSIFICATIONChar"/>
            <w:caps/>
          </w:rPr>
          <w:t>Classification</w:t>
        </w:r>
      </w:sdtContent>
    </w:sdt>
  </w:p>
  <w:p w14:paraId="3CE512B2" w14:textId="04E273B8" w:rsidR="00037513" w:rsidRPr="00852F35" w:rsidRDefault="005A3632" w:rsidP="00D10635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="00037513" w:rsidRPr="00852F35">
      <w:rPr>
        <w:color w:val="6E6E6E"/>
        <w:sz w:val="18"/>
        <w:szCs w:val="18"/>
      </w:rPr>
      <w:t xml:space="preserve">| </w:t>
    </w:r>
    <w:r w:rsidR="00E23D20">
      <w:rPr>
        <w:color w:val="6E6E6E"/>
        <w:sz w:val="18"/>
        <w:szCs w:val="18"/>
      </w:rPr>
      <w:t>Linking care funding to care minutes delivery in residential aged care</w:t>
    </w:r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5C66F5">
      <w:rPr>
        <w:rFonts w:ascii="Segoe UI" w:hAnsi="Segoe UI" w:cs="Segoe UI"/>
        <w:noProof/>
        <w:color w:val="6E6E6E"/>
        <w:sz w:val="18"/>
      </w:rPr>
      <w:t>2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B4" w14:textId="0066B082" w:rsidR="00464D89" w:rsidRPr="00BB1526" w:rsidRDefault="005A3632" w:rsidP="00BB1526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Pr="00852F35">
      <w:rPr>
        <w:color w:val="6E6E6E"/>
        <w:sz w:val="18"/>
        <w:szCs w:val="18"/>
      </w:rPr>
      <w:t>|</w:t>
    </w:r>
    <w:r w:rsidR="00BB1526" w:rsidRPr="00852F35">
      <w:rPr>
        <w:color w:val="6E6E6E"/>
        <w:sz w:val="18"/>
        <w:szCs w:val="18"/>
      </w:rPr>
      <w:t xml:space="preserve"> </w:t>
    </w:r>
    <w:r w:rsidR="00E23D20">
      <w:rPr>
        <w:color w:val="6E6E6E"/>
        <w:sz w:val="18"/>
        <w:szCs w:val="18"/>
      </w:rPr>
      <w:t>Linking care funding to care minutes delivery in residential aged care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B755A5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8A683" w14:textId="77777777" w:rsidR="00AA6931" w:rsidRDefault="00AA6931" w:rsidP="00F957C6">
      <w:pPr>
        <w:spacing w:after="0" w:line="240" w:lineRule="auto"/>
      </w:pPr>
      <w:r>
        <w:separator/>
      </w:r>
    </w:p>
  </w:footnote>
  <w:footnote w:type="continuationSeparator" w:id="0">
    <w:p w14:paraId="791EADD8" w14:textId="77777777" w:rsidR="00AA6931" w:rsidRDefault="00AA6931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47D6" w14:textId="0C3129F2" w:rsidR="00062649" w:rsidRDefault="0006264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522E3F5" wp14:editId="2DC4B9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877964008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14E08" w14:textId="646B709B" w:rsidR="00062649" w:rsidRPr="00062649" w:rsidRDefault="00062649" w:rsidP="00062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26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522E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1pt;z-index:2516828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" filled="f" stroked="f">
              <v:textbox style="mso-fit-shape-to-text:t" inset="0,15pt,0,0">
                <w:txbxContent>
                  <w:p w14:paraId="5F914E08" w14:textId="646B709B" w:rsidR="00062649" w:rsidRPr="00062649" w:rsidRDefault="00062649" w:rsidP="000626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26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AF" w14:textId="416E1725" w:rsidR="00037513" w:rsidRPr="00D10635" w:rsidRDefault="00062649" w:rsidP="00464D89">
    <w:pPr>
      <w:pStyle w:val="Header"/>
      <w:jc w:val="center"/>
    </w:pPr>
    <w:r>
      <w:rPr>
        <w:rFonts w:ascii="Segoe UI" w:hAnsi="Segoe UI"/>
        <w:caps/>
        <w:noProof/>
        <w:color w:val="C00000"/>
        <w:sz w:val="18"/>
        <w:lang w:eastAsia="en-AU"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377AB7E4" wp14:editId="69D93C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2018078815" name="Text Box 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0265F" w14:textId="558CE805" w:rsidR="00062649" w:rsidRPr="00062649" w:rsidRDefault="00062649" w:rsidP="00062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26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77AB7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1pt;z-index:2516838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" filled="f" stroked="f">
              <v:textbox style="mso-fit-shape-to-text:t" inset="0,15pt,0,0">
                <w:txbxContent>
                  <w:p w14:paraId="3BC0265F" w14:textId="558CE805" w:rsidR="00062649" w:rsidRPr="00062649" w:rsidRDefault="00062649" w:rsidP="000626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26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138865109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Protected: Cabinet" w:value="Protected: Cabinet"/>
          <w:listItem w:displayText="Secret" w:value="5"/>
          <w:listItem w:displayText="Top Secret and Codeword" w:value="6"/>
        </w:dropDownList>
      </w:sdtPr>
      <w:sdtEndPr>
        <w:rPr>
          <w:rStyle w:val="CLASSIFICATIONChar"/>
        </w:rPr>
      </w:sdtEndPr>
      <w:sdtContent>
        <w:r w:rsidR="00F64736">
          <w:rPr>
            <w:rStyle w:val="CLASSIFICATIONChar"/>
          </w:rPr>
          <w:t>Classification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B3" w14:textId="2A636613" w:rsidR="00037513" w:rsidRDefault="005A3632" w:rsidP="00D75A12">
    <w:pPr>
      <w:pStyle w:val="Header"/>
      <w:jc w:val="center"/>
    </w:pPr>
    <w:r>
      <w:rPr>
        <w:rStyle w:val="CLASSIFICATIONChar"/>
        <w:noProof/>
        <w:lang w:eastAsia="en-AU"/>
      </w:rPr>
      <w:drawing>
        <wp:anchor distT="0" distB="0" distL="114300" distR="114300" simplePos="0" relativeHeight="251680768" behindDoc="1" locked="0" layoutInCell="1" allowOverlap="1" wp14:anchorId="3CE512B5" wp14:editId="424F9F79">
          <wp:simplePos x="0" y="0"/>
          <wp:positionH relativeFrom="column">
            <wp:posOffset>-48895</wp:posOffset>
          </wp:positionH>
          <wp:positionV relativeFrom="paragraph">
            <wp:posOffset>-305435</wp:posOffset>
          </wp:positionV>
          <wp:extent cx="2120900" cy="567622"/>
          <wp:effectExtent l="0" t="0" r="0" b="4445"/>
          <wp:wrapNone/>
          <wp:docPr id="4" name="Picture 4" descr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67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7655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27721A"/>
    <w:multiLevelType w:val="hybridMultilevel"/>
    <w:tmpl w:val="EF0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17A4C0A"/>
    <w:multiLevelType w:val="hybridMultilevel"/>
    <w:tmpl w:val="C1C2D7D8"/>
    <w:lvl w:ilvl="0" w:tplc="20082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B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C6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CA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A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C21BDF"/>
    <w:multiLevelType w:val="hybridMultilevel"/>
    <w:tmpl w:val="CD140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7CDA"/>
    <w:multiLevelType w:val="hybridMultilevel"/>
    <w:tmpl w:val="108E5D92"/>
    <w:lvl w:ilvl="0" w:tplc="3962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4D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0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8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6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761DA0"/>
    <w:multiLevelType w:val="hybridMultilevel"/>
    <w:tmpl w:val="5CEAEDEC"/>
    <w:lvl w:ilvl="0" w:tplc="1D525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F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4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8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6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2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5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</w:num>
  <w:num w:numId="21">
    <w:abstractNumId w:val="26"/>
  </w:num>
  <w:num w:numId="22">
    <w:abstractNumId w:val="24"/>
  </w:num>
  <w:num w:numId="23">
    <w:abstractNumId w:val="11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4"/>
  </w:num>
  <w:num w:numId="28">
    <w:abstractNumId w:val="21"/>
  </w:num>
  <w:num w:numId="29">
    <w:abstractNumId w:val="13"/>
  </w:num>
  <w:num w:numId="30">
    <w:abstractNumId w:val="15"/>
  </w:num>
  <w:num w:numId="31">
    <w:abstractNumId w:val="12"/>
  </w:num>
  <w:num w:numId="32">
    <w:abstractNumId w:val="26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3"/>
  </w:num>
  <w:num w:numId="39">
    <w:abstractNumId w:val="20"/>
  </w:num>
  <w:num w:numId="40">
    <w:abstractNumId w:val="18"/>
  </w:num>
  <w:num w:numId="41">
    <w:abstractNumId w:val="1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3"/>
    <w:rsid w:val="00003AF2"/>
    <w:rsid w:val="00015CEF"/>
    <w:rsid w:val="00027038"/>
    <w:rsid w:val="0003154E"/>
    <w:rsid w:val="00032139"/>
    <w:rsid w:val="00037513"/>
    <w:rsid w:val="00062649"/>
    <w:rsid w:val="0006501B"/>
    <w:rsid w:val="0006627F"/>
    <w:rsid w:val="000668BB"/>
    <w:rsid w:val="000770FA"/>
    <w:rsid w:val="00080B17"/>
    <w:rsid w:val="000B3417"/>
    <w:rsid w:val="000B6A28"/>
    <w:rsid w:val="000D749D"/>
    <w:rsid w:val="00106B97"/>
    <w:rsid w:val="00115264"/>
    <w:rsid w:val="00117A77"/>
    <w:rsid w:val="00125770"/>
    <w:rsid w:val="00132068"/>
    <w:rsid w:val="00132887"/>
    <w:rsid w:val="00147E4C"/>
    <w:rsid w:val="00152412"/>
    <w:rsid w:val="001611BF"/>
    <w:rsid w:val="0017436A"/>
    <w:rsid w:val="00175841"/>
    <w:rsid w:val="001778D0"/>
    <w:rsid w:val="001954B4"/>
    <w:rsid w:val="001B2134"/>
    <w:rsid w:val="001B2D56"/>
    <w:rsid w:val="001C5831"/>
    <w:rsid w:val="001D16C5"/>
    <w:rsid w:val="001F2F12"/>
    <w:rsid w:val="001F6E20"/>
    <w:rsid w:val="002002ED"/>
    <w:rsid w:val="00202E07"/>
    <w:rsid w:val="00212443"/>
    <w:rsid w:val="00220DDA"/>
    <w:rsid w:val="00227DB5"/>
    <w:rsid w:val="002336DD"/>
    <w:rsid w:val="00255046"/>
    <w:rsid w:val="00266CCC"/>
    <w:rsid w:val="00274D42"/>
    <w:rsid w:val="00285CAF"/>
    <w:rsid w:val="002A137E"/>
    <w:rsid w:val="002B53AF"/>
    <w:rsid w:val="002B661A"/>
    <w:rsid w:val="002C341A"/>
    <w:rsid w:val="002C7A05"/>
    <w:rsid w:val="002D37AE"/>
    <w:rsid w:val="002D6B3D"/>
    <w:rsid w:val="002E5916"/>
    <w:rsid w:val="002E61BD"/>
    <w:rsid w:val="002F382A"/>
    <w:rsid w:val="00303C55"/>
    <w:rsid w:val="00304D47"/>
    <w:rsid w:val="00311C2D"/>
    <w:rsid w:val="00316AF7"/>
    <w:rsid w:val="00317030"/>
    <w:rsid w:val="00330A33"/>
    <w:rsid w:val="00346D39"/>
    <w:rsid w:val="00353E5E"/>
    <w:rsid w:val="00361020"/>
    <w:rsid w:val="00370E99"/>
    <w:rsid w:val="00374D2A"/>
    <w:rsid w:val="00376FE6"/>
    <w:rsid w:val="00385BD5"/>
    <w:rsid w:val="00397D1D"/>
    <w:rsid w:val="003A54A7"/>
    <w:rsid w:val="003B05DC"/>
    <w:rsid w:val="003C181D"/>
    <w:rsid w:val="003C1C2C"/>
    <w:rsid w:val="003C1F2E"/>
    <w:rsid w:val="003D51B5"/>
    <w:rsid w:val="003D676D"/>
    <w:rsid w:val="003F23E9"/>
    <w:rsid w:val="00402E24"/>
    <w:rsid w:val="004073E7"/>
    <w:rsid w:val="00413312"/>
    <w:rsid w:val="0044397A"/>
    <w:rsid w:val="00443F97"/>
    <w:rsid w:val="00454582"/>
    <w:rsid w:val="00464D89"/>
    <w:rsid w:val="00476A0E"/>
    <w:rsid w:val="00490B90"/>
    <w:rsid w:val="00490E25"/>
    <w:rsid w:val="004B088C"/>
    <w:rsid w:val="004B2C90"/>
    <w:rsid w:val="004C17DE"/>
    <w:rsid w:val="004C58F3"/>
    <w:rsid w:val="004D2BF9"/>
    <w:rsid w:val="004F4C4F"/>
    <w:rsid w:val="004F6CF1"/>
    <w:rsid w:val="00500883"/>
    <w:rsid w:val="00516260"/>
    <w:rsid w:val="005226B9"/>
    <w:rsid w:val="00522D9C"/>
    <w:rsid w:val="005272E6"/>
    <w:rsid w:val="0052777A"/>
    <w:rsid w:val="00527EBB"/>
    <w:rsid w:val="00534819"/>
    <w:rsid w:val="005505E3"/>
    <w:rsid w:val="00551CB9"/>
    <w:rsid w:val="0055713D"/>
    <w:rsid w:val="00561FB9"/>
    <w:rsid w:val="00591288"/>
    <w:rsid w:val="005917FD"/>
    <w:rsid w:val="005A3632"/>
    <w:rsid w:val="005A4AA1"/>
    <w:rsid w:val="005B3358"/>
    <w:rsid w:val="005C0F15"/>
    <w:rsid w:val="005C3C13"/>
    <w:rsid w:val="005C5269"/>
    <w:rsid w:val="005C66F5"/>
    <w:rsid w:val="005D4706"/>
    <w:rsid w:val="005E0DC7"/>
    <w:rsid w:val="005E6E22"/>
    <w:rsid w:val="00610C0F"/>
    <w:rsid w:val="006147EB"/>
    <w:rsid w:val="006200EB"/>
    <w:rsid w:val="00621EA3"/>
    <w:rsid w:val="006324E0"/>
    <w:rsid w:val="00640234"/>
    <w:rsid w:val="0064343A"/>
    <w:rsid w:val="00665FB6"/>
    <w:rsid w:val="00667B5E"/>
    <w:rsid w:val="006949AF"/>
    <w:rsid w:val="006A008F"/>
    <w:rsid w:val="006A2ABA"/>
    <w:rsid w:val="006A2BCA"/>
    <w:rsid w:val="006A5AA6"/>
    <w:rsid w:val="006B349C"/>
    <w:rsid w:val="006D71DA"/>
    <w:rsid w:val="006E170D"/>
    <w:rsid w:val="006E698B"/>
    <w:rsid w:val="006F25A1"/>
    <w:rsid w:val="0071548B"/>
    <w:rsid w:val="00715A4A"/>
    <w:rsid w:val="007203E4"/>
    <w:rsid w:val="007204A9"/>
    <w:rsid w:val="0072538D"/>
    <w:rsid w:val="00736008"/>
    <w:rsid w:val="00740E77"/>
    <w:rsid w:val="0075249A"/>
    <w:rsid w:val="00756929"/>
    <w:rsid w:val="00767DBB"/>
    <w:rsid w:val="00771DC8"/>
    <w:rsid w:val="00774646"/>
    <w:rsid w:val="00780840"/>
    <w:rsid w:val="00781695"/>
    <w:rsid w:val="00783EC4"/>
    <w:rsid w:val="007851BE"/>
    <w:rsid w:val="007A02A7"/>
    <w:rsid w:val="007A038F"/>
    <w:rsid w:val="007A3AD4"/>
    <w:rsid w:val="007B1434"/>
    <w:rsid w:val="007C0935"/>
    <w:rsid w:val="007E1C98"/>
    <w:rsid w:val="007E74EE"/>
    <w:rsid w:val="007F4E93"/>
    <w:rsid w:val="007F6CC4"/>
    <w:rsid w:val="008046D4"/>
    <w:rsid w:val="008059CB"/>
    <w:rsid w:val="008173BC"/>
    <w:rsid w:val="008204E7"/>
    <w:rsid w:val="008250D8"/>
    <w:rsid w:val="00833792"/>
    <w:rsid w:val="00835B4D"/>
    <w:rsid w:val="00837A21"/>
    <w:rsid w:val="00852F35"/>
    <w:rsid w:val="00857363"/>
    <w:rsid w:val="0086394C"/>
    <w:rsid w:val="00874998"/>
    <w:rsid w:val="00876109"/>
    <w:rsid w:val="00880485"/>
    <w:rsid w:val="00883248"/>
    <w:rsid w:val="008A0614"/>
    <w:rsid w:val="008B44F5"/>
    <w:rsid w:val="008C0558"/>
    <w:rsid w:val="008C47A1"/>
    <w:rsid w:val="008C738F"/>
    <w:rsid w:val="008D6B9E"/>
    <w:rsid w:val="008E1024"/>
    <w:rsid w:val="008F2BB2"/>
    <w:rsid w:val="008F491B"/>
    <w:rsid w:val="009111F2"/>
    <w:rsid w:val="00913ED0"/>
    <w:rsid w:val="00927650"/>
    <w:rsid w:val="0093222B"/>
    <w:rsid w:val="009429FD"/>
    <w:rsid w:val="00942CB6"/>
    <w:rsid w:val="00942CE9"/>
    <w:rsid w:val="00954FF2"/>
    <w:rsid w:val="009615D2"/>
    <w:rsid w:val="00962EE8"/>
    <w:rsid w:val="00976EE9"/>
    <w:rsid w:val="009821BE"/>
    <w:rsid w:val="0098267F"/>
    <w:rsid w:val="00984376"/>
    <w:rsid w:val="009A350B"/>
    <w:rsid w:val="009A6D9C"/>
    <w:rsid w:val="009C14AA"/>
    <w:rsid w:val="009C60F6"/>
    <w:rsid w:val="009D0F06"/>
    <w:rsid w:val="009D0FA4"/>
    <w:rsid w:val="009E350A"/>
    <w:rsid w:val="009F0889"/>
    <w:rsid w:val="009F16DE"/>
    <w:rsid w:val="009F62F4"/>
    <w:rsid w:val="009F6A0F"/>
    <w:rsid w:val="00A008E6"/>
    <w:rsid w:val="00A06DF8"/>
    <w:rsid w:val="00A12C83"/>
    <w:rsid w:val="00A12F96"/>
    <w:rsid w:val="00A42517"/>
    <w:rsid w:val="00A57585"/>
    <w:rsid w:val="00A57FF6"/>
    <w:rsid w:val="00A62EF3"/>
    <w:rsid w:val="00A704F3"/>
    <w:rsid w:val="00A82A58"/>
    <w:rsid w:val="00A918A7"/>
    <w:rsid w:val="00AA1C38"/>
    <w:rsid w:val="00AA6931"/>
    <w:rsid w:val="00AA705F"/>
    <w:rsid w:val="00AC2CDC"/>
    <w:rsid w:val="00AD358D"/>
    <w:rsid w:val="00AD7805"/>
    <w:rsid w:val="00AE2B22"/>
    <w:rsid w:val="00B05108"/>
    <w:rsid w:val="00B23B3E"/>
    <w:rsid w:val="00B34F51"/>
    <w:rsid w:val="00B56736"/>
    <w:rsid w:val="00B6596F"/>
    <w:rsid w:val="00B73343"/>
    <w:rsid w:val="00B755A5"/>
    <w:rsid w:val="00B81D3E"/>
    <w:rsid w:val="00B92E61"/>
    <w:rsid w:val="00B97D3A"/>
    <w:rsid w:val="00BA0973"/>
    <w:rsid w:val="00BA7071"/>
    <w:rsid w:val="00BB1526"/>
    <w:rsid w:val="00BC75F1"/>
    <w:rsid w:val="00BC75F3"/>
    <w:rsid w:val="00BD171D"/>
    <w:rsid w:val="00BD57F5"/>
    <w:rsid w:val="00BE0F4D"/>
    <w:rsid w:val="00BE48A4"/>
    <w:rsid w:val="00BE56F0"/>
    <w:rsid w:val="00C034D3"/>
    <w:rsid w:val="00C03CD2"/>
    <w:rsid w:val="00C12D35"/>
    <w:rsid w:val="00C13310"/>
    <w:rsid w:val="00C17F81"/>
    <w:rsid w:val="00C21A8D"/>
    <w:rsid w:val="00C32E9F"/>
    <w:rsid w:val="00C47620"/>
    <w:rsid w:val="00C70947"/>
    <w:rsid w:val="00C909FF"/>
    <w:rsid w:val="00CC425E"/>
    <w:rsid w:val="00CC42EA"/>
    <w:rsid w:val="00CC6110"/>
    <w:rsid w:val="00CD0193"/>
    <w:rsid w:val="00CF55DD"/>
    <w:rsid w:val="00D03799"/>
    <w:rsid w:val="00D04E61"/>
    <w:rsid w:val="00D061FB"/>
    <w:rsid w:val="00D10635"/>
    <w:rsid w:val="00D11157"/>
    <w:rsid w:val="00D13C0A"/>
    <w:rsid w:val="00D500C1"/>
    <w:rsid w:val="00D525B8"/>
    <w:rsid w:val="00D75A12"/>
    <w:rsid w:val="00D8019E"/>
    <w:rsid w:val="00D859BB"/>
    <w:rsid w:val="00D9417E"/>
    <w:rsid w:val="00DA18A2"/>
    <w:rsid w:val="00DB61AC"/>
    <w:rsid w:val="00DF2F8D"/>
    <w:rsid w:val="00E05FA4"/>
    <w:rsid w:val="00E12AB4"/>
    <w:rsid w:val="00E13082"/>
    <w:rsid w:val="00E155C1"/>
    <w:rsid w:val="00E20C1B"/>
    <w:rsid w:val="00E2196D"/>
    <w:rsid w:val="00E224F4"/>
    <w:rsid w:val="00E23D20"/>
    <w:rsid w:val="00E2753F"/>
    <w:rsid w:val="00E27786"/>
    <w:rsid w:val="00E27CA0"/>
    <w:rsid w:val="00E43127"/>
    <w:rsid w:val="00E63FC4"/>
    <w:rsid w:val="00E84F06"/>
    <w:rsid w:val="00E86296"/>
    <w:rsid w:val="00E92551"/>
    <w:rsid w:val="00E948F3"/>
    <w:rsid w:val="00EB6AA9"/>
    <w:rsid w:val="00EC4A85"/>
    <w:rsid w:val="00EC68BE"/>
    <w:rsid w:val="00ED0697"/>
    <w:rsid w:val="00F03073"/>
    <w:rsid w:val="00F049AA"/>
    <w:rsid w:val="00F135EF"/>
    <w:rsid w:val="00F262A6"/>
    <w:rsid w:val="00F46DB7"/>
    <w:rsid w:val="00F620FD"/>
    <w:rsid w:val="00F64736"/>
    <w:rsid w:val="00F66078"/>
    <w:rsid w:val="00F736AF"/>
    <w:rsid w:val="00F83A8A"/>
    <w:rsid w:val="00F86700"/>
    <w:rsid w:val="00F87586"/>
    <w:rsid w:val="00F957C6"/>
    <w:rsid w:val="00FA6219"/>
    <w:rsid w:val="00FB3AF5"/>
    <w:rsid w:val="00FB7CAD"/>
    <w:rsid w:val="00FC5955"/>
    <w:rsid w:val="00FD20A5"/>
    <w:rsid w:val="00FD2C22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5127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C"/>
    <w:pPr>
      <w:spacing w:after="160" w:line="264" w:lineRule="auto"/>
    </w:pPr>
    <w:rPr>
      <w:rFonts w:ascii="Calibri Light" w:hAnsi="Calibri Light"/>
      <w:color w:val="1C2B39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2F382A"/>
    <w:pPr>
      <w:keepNext/>
      <w:keepLines/>
      <w:pBdr>
        <w:top w:val="single" w:sz="48" w:space="1" w:color="007279"/>
        <w:left w:val="single" w:sz="48" w:space="4" w:color="007279"/>
        <w:bottom w:val="single" w:sz="48" w:space="1" w:color="007279"/>
        <w:right w:val="single" w:sz="48" w:space="4" w:color="007279"/>
      </w:pBdr>
      <w:shd w:val="clear" w:color="auto" w:fill="007279"/>
      <w:spacing w:before="360" w:line="240" w:lineRule="auto"/>
      <w:outlineLvl w:val="0"/>
    </w:pPr>
    <w:rPr>
      <w:rFonts w:ascii="Calibri" w:eastAsiaTheme="majorEastAsia" w:hAnsi="Calibri" w:cstheme="majorBidi"/>
      <w:color w:val="FFFFFF" w:themeColor="background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8059CB"/>
    <w:pPr>
      <w:keepNext/>
      <w:keepLines/>
      <w:spacing w:before="240" w:line="240" w:lineRule="auto"/>
      <w:outlineLvl w:val="1"/>
    </w:pPr>
    <w:rPr>
      <w:rFonts w:ascii="Calibri" w:eastAsiaTheme="majorEastAsia" w:hAnsi="Calibri" w:cstheme="majorBidi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E86296"/>
    <w:pPr>
      <w:outlineLvl w:val="2"/>
    </w:pPr>
    <w:rPr>
      <w:color w:val="1C2B3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E86296"/>
    <w:pPr>
      <w:keepNext/>
      <w:keepLines/>
      <w:spacing w:before="240"/>
      <w:outlineLvl w:val="3"/>
    </w:pPr>
    <w:rPr>
      <w:rFonts w:eastAsiaTheme="majorEastAsia" w:cstheme="minorHAnsi"/>
      <w:b/>
      <w:color w:val="007279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F382A"/>
    <w:rPr>
      <w:rFonts w:ascii="Calibri" w:eastAsiaTheme="majorEastAsia" w:hAnsi="Calibri" w:cstheme="majorBidi"/>
      <w:color w:val="FFFFFF" w:themeColor="background1"/>
      <w:sz w:val="48"/>
      <w:szCs w:val="40"/>
      <w:shd w:val="clear" w:color="auto" w:fill="007279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8059CB"/>
    <w:rPr>
      <w:rFonts w:ascii="Calibri" w:eastAsiaTheme="majorEastAsia" w:hAnsi="Calibri" w:cstheme="majorBidi"/>
      <w:color w:val="1C2B39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E86296"/>
    <w:rPr>
      <w:rFonts w:eastAsiaTheme="majorEastAsia" w:cstheme="minorHAnsi"/>
      <w:b/>
      <w:color w:val="1C2B3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86296"/>
    <w:rPr>
      <w:rFonts w:eastAsiaTheme="majorEastAsia" w:cstheme="minorHAnsi"/>
      <w:b/>
      <w:color w:val="007279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1"/>
    <w:next w:val="BOXText"/>
    <w:uiPriority w:val="6"/>
    <w:qFormat/>
    <w:rsid w:val="006949AF"/>
    <w:pPr>
      <w:spacing w:before="240" w:after="0"/>
      <w:ind w:left="227" w:right="227"/>
    </w:pPr>
    <w:rPr>
      <w:sz w:val="36"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D71D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8059CB"/>
    <w:pPr>
      <w:numPr>
        <w:numId w:val="27"/>
      </w:numPr>
      <w:spacing w:before="240"/>
    </w:pPr>
    <w:rPr>
      <w:rFonts w:cs="Segoe UI"/>
      <w:color w:val="007279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8059CB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rsid w:val="005505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customStyle="1" w:styleId="Custom11">
    <w:name w:val="Custom 11"/>
    <w:basedOn w:val="TableNormal"/>
    <w:uiPriority w:val="99"/>
    <w:rsid w:val="005505E3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92"/>
    <w:rsid w:val="00030B92"/>
    <w:rsid w:val="00214040"/>
    <w:rsid w:val="002C341A"/>
    <w:rsid w:val="006744CD"/>
    <w:rsid w:val="008075C8"/>
    <w:rsid w:val="00A75A17"/>
    <w:rsid w:val="00D061FB"/>
    <w:rsid w:val="00E1705E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05E"/>
    <w:rPr>
      <w:color w:val="808080"/>
    </w:rPr>
  </w:style>
  <w:style w:type="paragraph" w:customStyle="1" w:styleId="AC9ED6C5216F4AB39880D8C2FB20B9BE">
    <w:name w:val="AC9ED6C5216F4AB39880D8C2FB20B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B7A1-F0B6-4489-9CFE-585E0A77A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2025-09-15T02:35:00Z</dcterms:created>
  <dcterms:modified xsi:type="dcterms:W3CDTF">2025-09-15T02:35:00Z</dcterms:modified>
  <cp:category/>
</cp:coreProperties>
</file>