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FB4F" w14:textId="77777777" w:rsidR="00775FE4" w:rsidRDefault="00540C58" w:rsidP="00EC4A7B">
      <w:pPr>
        <w:spacing w:after="480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6D678403" wp14:editId="37405C0E">
            <wp:extent cx="1610543" cy="1271751"/>
            <wp:effectExtent l="0" t="0" r="8890" b="5080"/>
            <wp:docPr id="526176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21" cy="12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DFEF0" w14:textId="4155098E" w:rsidR="00775FE4" w:rsidRPr="00EC4A7B" w:rsidRDefault="008D13D3" w:rsidP="00251E49">
      <w:pPr>
        <w:pStyle w:val="Heading1"/>
        <w:spacing w:before="720"/>
        <w:jc w:val="right"/>
      </w:pPr>
      <w:bookmarkStart w:id="1" w:name="Title"/>
      <w:bookmarkEnd w:id="1"/>
      <w:r>
        <w:t>Deputy Secretary</w:t>
      </w:r>
    </w:p>
    <w:p w14:paraId="36FB8A16" w14:textId="3096861E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 </w:t>
      </w:r>
      <w:r w:rsidRPr="007456F6">
        <w:rPr>
          <w:rFonts w:ascii="Times New Roman" w:hAnsi="Times New Roman"/>
        </w:rPr>
        <w:t>Joanna Abhayaratna</w:t>
      </w:r>
    </w:p>
    <w:p w14:paraId="6AED35EC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>Executive Director</w:t>
      </w:r>
    </w:p>
    <w:p w14:paraId="293A86F6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>Office of Impact Analysis</w:t>
      </w:r>
    </w:p>
    <w:p w14:paraId="45585852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>Department of the Prime Minister and Cabinet</w:t>
      </w:r>
    </w:p>
    <w:p w14:paraId="69410A2B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>1 National Circuit</w:t>
      </w:r>
    </w:p>
    <w:p w14:paraId="7F2FFF4A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>BARTON ACT 2600</w:t>
      </w:r>
    </w:p>
    <w:p w14:paraId="6F61BAC2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</w:p>
    <w:p w14:paraId="13468E81" w14:textId="77777777" w:rsidR="008D13D3" w:rsidRPr="007456F6" w:rsidRDefault="008D13D3" w:rsidP="008D13D3">
      <w:pPr>
        <w:spacing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 xml:space="preserve">Email: </w:t>
      </w:r>
      <w:hyperlink r:id="rId8" w:history="1">
        <w:r w:rsidRPr="007456F6">
          <w:rPr>
            <w:rStyle w:val="Hyperlink"/>
            <w:rFonts w:ascii="Times New Roman" w:hAnsi="Times New Roman"/>
          </w:rPr>
          <w:t>Helpdesk-OIA@pmc.gov.au</w:t>
        </w:r>
      </w:hyperlink>
    </w:p>
    <w:p w14:paraId="4CD38C0A" w14:textId="77777777" w:rsidR="003F7C6A" w:rsidRDefault="003F7C6A" w:rsidP="008D13D3">
      <w:pPr>
        <w:spacing w:before="240" w:after="120" w:line="264" w:lineRule="auto"/>
        <w:rPr>
          <w:rFonts w:ascii="Times New Roman" w:hAnsi="Times New Roman"/>
        </w:rPr>
      </w:pPr>
    </w:p>
    <w:p w14:paraId="14D59F3E" w14:textId="3AF46500" w:rsidR="008D13D3" w:rsidRDefault="008D13D3" w:rsidP="008D13D3">
      <w:pPr>
        <w:spacing w:before="240" w:after="120"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 xml:space="preserve">Dear </w:t>
      </w:r>
      <w:r>
        <w:rPr>
          <w:rFonts w:ascii="Times New Roman" w:hAnsi="Times New Roman"/>
        </w:rPr>
        <w:t xml:space="preserve">Ms </w:t>
      </w:r>
      <w:r w:rsidRPr="007456F6">
        <w:rPr>
          <w:rFonts w:ascii="Times New Roman" w:hAnsi="Times New Roman"/>
        </w:rPr>
        <w:t>Abhayaratna</w:t>
      </w:r>
    </w:p>
    <w:p w14:paraId="6AEA560F" w14:textId="77777777" w:rsidR="003F7C6A" w:rsidRPr="007456F6" w:rsidRDefault="003F7C6A" w:rsidP="008D13D3">
      <w:pPr>
        <w:spacing w:before="240" w:after="120" w:line="264" w:lineRule="auto"/>
        <w:rPr>
          <w:rFonts w:ascii="Times New Roman" w:hAnsi="Times New Roman"/>
        </w:rPr>
      </w:pPr>
    </w:p>
    <w:p w14:paraId="624ABFB9" w14:textId="77777777" w:rsidR="008D13D3" w:rsidRPr="007456F6" w:rsidRDefault="008D13D3" w:rsidP="008D13D3">
      <w:pPr>
        <w:spacing w:before="120" w:after="120" w:line="264" w:lineRule="auto"/>
        <w:rPr>
          <w:rFonts w:ascii="Arial" w:hAnsi="Arial" w:cs="Arial"/>
          <w:b/>
        </w:rPr>
      </w:pPr>
      <w:r w:rsidRPr="007456F6">
        <w:rPr>
          <w:rFonts w:ascii="Arial" w:hAnsi="Arial" w:cs="Arial"/>
          <w:b/>
        </w:rPr>
        <w:t>Certification of Sunsetting Instrument</w:t>
      </w:r>
    </w:p>
    <w:p w14:paraId="68AA10DE" w14:textId="1B4A5FA9" w:rsidR="008D13D3" w:rsidRPr="007456F6" w:rsidRDefault="008D13D3" w:rsidP="008D13D3">
      <w:pPr>
        <w:spacing w:before="120" w:after="120"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 xml:space="preserve">I am writing to the Office of Impact Analysis (OIA) regarding the </w:t>
      </w:r>
      <w:r w:rsidRPr="0065242D">
        <w:rPr>
          <w:rFonts w:ascii="Times New Roman" w:hAnsi="Times New Roman"/>
          <w:i/>
          <w:iCs/>
        </w:rPr>
        <w:t>National Health (Closing the Gap – PBS Co-payment Program) Special Arrangement 2016</w:t>
      </w:r>
      <w:r w:rsidRPr="007456F6">
        <w:rPr>
          <w:rFonts w:ascii="Times New Roman" w:hAnsi="Times New Roman"/>
        </w:rPr>
        <w:t xml:space="preserve">, which, as per the </w:t>
      </w:r>
      <w:r w:rsidRPr="007456F6">
        <w:rPr>
          <w:rFonts w:ascii="Times New Roman" w:hAnsi="Times New Roman"/>
          <w:i/>
        </w:rPr>
        <w:t>Legislation Act 2003</w:t>
      </w:r>
      <w:r w:rsidRPr="007456F6">
        <w:rPr>
          <w:rFonts w:ascii="Times New Roman" w:hAnsi="Times New Roman"/>
        </w:rPr>
        <w:t xml:space="preserve">, had been scheduled to sunset </w:t>
      </w:r>
      <w:r w:rsidRPr="00EA3A74">
        <w:rPr>
          <w:rFonts w:ascii="Times New Roman" w:hAnsi="Times New Roman"/>
          <w:color w:val="000000" w:themeColor="text1"/>
        </w:rPr>
        <w:t>on 1 April 2026</w:t>
      </w:r>
      <w:r w:rsidRPr="007456F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It </w:t>
      </w:r>
      <w:r>
        <w:rPr>
          <w:rFonts w:ascii="Times New Roman" w:hAnsi="Times New Roman"/>
          <w:color w:val="000000" w:themeColor="text1"/>
        </w:rPr>
        <w:t>is intended</w:t>
      </w:r>
      <w:r w:rsidRPr="00EA3A74">
        <w:rPr>
          <w:rFonts w:ascii="Times New Roman" w:hAnsi="Times New Roman"/>
          <w:color w:val="000000" w:themeColor="text1"/>
        </w:rPr>
        <w:t xml:space="preserve"> th</w:t>
      </w:r>
      <w:r>
        <w:rPr>
          <w:rFonts w:ascii="Times New Roman" w:hAnsi="Times New Roman"/>
          <w:color w:val="000000" w:themeColor="text1"/>
        </w:rPr>
        <w:t>is</w:t>
      </w:r>
      <w:r w:rsidRPr="00EA3A74">
        <w:rPr>
          <w:rFonts w:ascii="Times New Roman" w:hAnsi="Times New Roman"/>
          <w:color w:val="000000" w:themeColor="text1"/>
        </w:rPr>
        <w:t xml:space="preserve"> instrument </w:t>
      </w:r>
      <w:r>
        <w:rPr>
          <w:rFonts w:ascii="Times New Roman" w:hAnsi="Times New Roman"/>
          <w:color w:val="000000" w:themeColor="text1"/>
        </w:rPr>
        <w:t xml:space="preserve">will </w:t>
      </w:r>
      <w:r w:rsidRPr="00EA3A74">
        <w:rPr>
          <w:rFonts w:ascii="Times New Roman" w:hAnsi="Times New Roman"/>
          <w:color w:val="000000" w:themeColor="text1"/>
        </w:rPr>
        <w:t>be remade without significant amendment</w:t>
      </w:r>
      <w:r>
        <w:rPr>
          <w:rFonts w:ascii="Times New Roman" w:hAnsi="Times New Roman"/>
          <w:color w:val="000000" w:themeColor="text1"/>
        </w:rPr>
        <w:t xml:space="preserve"> to ensure eligible First Nations people have continued access to medicines on the Pharmaceutical Benefits Scheme (PBS) at the concessional rate, or for a concession card holder, free of charge</w:t>
      </w:r>
      <w:r w:rsidRPr="00EA3A74">
        <w:rPr>
          <w:rFonts w:ascii="Times New Roman" w:hAnsi="Times New Roman"/>
          <w:color w:val="000000" w:themeColor="text1"/>
        </w:rPr>
        <w:t xml:space="preserve">. </w:t>
      </w:r>
    </w:p>
    <w:p w14:paraId="5F560DBB" w14:textId="77777777" w:rsidR="008D13D3" w:rsidRPr="007456F6" w:rsidRDefault="008D13D3" w:rsidP="008D13D3">
      <w:pPr>
        <w:spacing w:before="120" w:after="120"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 xml:space="preserve">The </w:t>
      </w:r>
      <w:r w:rsidRPr="00EA3A74">
        <w:rPr>
          <w:rFonts w:ascii="Times New Roman" w:hAnsi="Times New Roman"/>
          <w:color w:val="000000" w:themeColor="text1"/>
        </w:rPr>
        <w:t xml:space="preserve">Department of Health, Disability and Ageing </w:t>
      </w:r>
      <w:r w:rsidRPr="007456F6">
        <w:rPr>
          <w:rFonts w:ascii="Times New Roman" w:hAnsi="Times New Roman"/>
        </w:rPr>
        <w:t xml:space="preserve">certifies that </w:t>
      </w:r>
      <w:r>
        <w:rPr>
          <w:rFonts w:ascii="Times New Roman" w:hAnsi="Times New Roman"/>
        </w:rPr>
        <w:t xml:space="preserve">the </w:t>
      </w:r>
      <w:r w:rsidRPr="009E3824">
        <w:rPr>
          <w:rFonts w:ascii="Times New Roman" w:hAnsi="Times New Roman"/>
          <w:i/>
          <w:iCs/>
        </w:rPr>
        <w:t>National Health (Closing the Gap – PBS Co-payment Program) Special Arrangement 2016</w:t>
      </w:r>
      <w:r>
        <w:rPr>
          <w:rFonts w:ascii="Times New Roman" w:hAnsi="Times New Roman"/>
        </w:rPr>
        <w:t xml:space="preserve"> </w:t>
      </w:r>
      <w:r w:rsidRPr="007456F6">
        <w:rPr>
          <w:rFonts w:ascii="Times New Roman" w:hAnsi="Times New Roman"/>
        </w:rPr>
        <w:t xml:space="preserve">is operating effectively and efficiently, and that </w:t>
      </w:r>
      <w:r>
        <w:rPr>
          <w:rFonts w:ascii="Times New Roman" w:hAnsi="Times New Roman"/>
        </w:rPr>
        <w:t>an</w:t>
      </w:r>
      <w:r w:rsidRPr="007456F6">
        <w:rPr>
          <w:rFonts w:ascii="Times New Roman" w:hAnsi="Times New Roman"/>
        </w:rPr>
        <w:t xml:space="preserve"> Impact Analysis is not required for this legislation to be remade. </w:t>
      </w:r>
    </w:p>
    <w:p w14:paraId="0C3E10C5" w14:textId="579D1151" w:rsidR="00D01C7B" w:rsidRDefault="008D13D3" w:rsidP="008D13D3">
      <w:pPr>
        <w:spacing w:before="120" w:after="120" w:line="264" w:lineRule="auto"/>
        <w:rPr>
          <w:rFonts w:ascii="Times New Roman" w:hAnsi="Times New Roman"/>
          <w:color w:val="000000" w:themeColor="text1"/>
        </w:rPr>
      </w:pPr>
      <w:r w:rsidRPr="007456F6">
        <w:rPr>
          <w:rFonts w:ascii="Times New Roman" w:hAnsi="Times New Roman"/>
        </w:rPr>
        <w:t>The assessment that the legislation is operating effectively and efficiently has been informed by a consultation process</w:t>
      </w:r>
      <w:r>
        <w:rPr>
          <w:rFonts w:ascii="Times New Roman" w:hAnsi="Times New Roman"/>
        </w:rPr>
        <w:t>, including circulation of proposed instrument amendments,</w:t>
      </w:r>
      <w:r w:rsidRPr="007456F6">
        <w:rPr>
          <w:rFonts w:ascii="Times New Roman" w:hAnsi="Times New Roman"/>
        </w:rPr>
        <w:t xml:space="preserve"> </w:t>
      </w:r>
      <w:r w:rsidR="00494F57">
        <w:rPr>
          <w:rFonts w:ascii="Times New Roman" w:hAnsi="Times New Roman"/>
        </w:rPr>
        <w:t>with</w:t>
      </w:r>
      <w:r w:rsidRPr="007456F6">
        <w:rPr>
          <w:rFonts w:ascii="Times New Roman" w:hAnsi="Times New Roman"/>
        </w:rPr>
        <w:t xml:space="preserve"> </w:t>
      </w:r>
      <w:r w:rsidRPr="00953E8A">
        <w:rPr>
          <w:rFonts w:ascii="Times New Roman" w:hAnsi="Times New Roman"/>
          <w:color w:val="000000" w:themeColor="text1"/>
        </w:rPr>
        <w:t xml:space="preserve">Services Australia, </w:t>
      </w:r>
      <w:r w:rsidR="002C4D9B">
        <w:rPr>
          <w:rFonts w:ascii="Times New Roman" w:hAnsi="Times New Roman"/>
          <w:color w:val="000000" w:themeColor="text1"/>
        </w:rPr>
        <w:t xml:space="preserve">the </w:t>
      </w:r>
      <w:r w:rsidRPr="00953E8A">
        <w:rPr>
          <w:rFonts w:ascii="Times New Roman" w:hAnsi="Times New Roman"/>
          <w:color w:val="000000" w:themeColor="text1"/>
        </w:rPr>
        <w:t xml:space="preserve">National Aboriginal Community Controlled Health Organisation (NACCHO) and internal stakeholders </w:t>
      </w:r>
      <w:r>
        <w:rPr>
          <w:rFonts w:ascii="Times New Roman" w:hAnsi="Times New Roman"/>
          <w:color w:val="000000" w:themeColor="text1"/>
        </w:rPr>
        <w:t xml:space="preserve">including the </w:t>
      </w:r>
      <w:r w:rsidRPr="00953E8A">
        <w:rPr>
          <w:rFonts w:ascii="Times New Roman" w:hAnsi="Times New Roman"/>
          <w:color w:val="000000" w:themeColor="text1"/>
        </w:rPr>
        <w:t>First Nations Division, Pricing and Policy Branch and Community Access Programs Branch. Consultation was conduc</w:t>
      </w:r>
      <w:r>
        <w:rPr>
          <w:rFonts w:ascii="Times New Roman" w:hAnsi="Times New Roman"/>
          <w:color w:val="000000" w:themeColor="text1"/>
        </w:rPr>
        <w:t xml:space="preserve">ted over the period 2 July 2025 to 8 July 2025 with </w:t>
      </w:r>
      <w:r w:rsidR="00D01C7B">
        <w:rPr>
          <w:rFonts w:ascii="Times New Roman" w:hAnsi="Times New Roman"/>
          <w:color w:val="000000" w:themeColor="text1"/>
        </w:rPr>
        <w:t>two minor amendments agreed</w:t>
      </w:r>
      <w:r w:rsidRPr="00953E8A">
        <w:rPr>
          <w:rFonts w:ascii="Times New Roman" w:hAnsi="Times New Roman"/>
          <w:color w:val="000000" w:themeColor="text1"/>
        </w:rPr>
        <w:t>.</w:t>
      </w:r>
      <w:r w:rsidR="00D01C7B">
        <w:rPr>
          <w:rFonts w:ascii="Times New Roman" w:hAnsi="Times New Roman"/>
          <w:color w:val="000000" w:themeColor="text1"/>
        </w:rPr>
        <w:t xml:space="preserve"> </w:t>
      </w:r>
    </w:p>
    <w:p w14:paraId="506016D6" w14:textId="7BE3E87F" w:rsidR="008D13D3" w:rsidRDefault="00D01C7B" w:rsidP="008D13D3">
      <w:pPr>
        <w:spacing w:before="120" w:after="120" w:line="264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The minor amendments include revising the reference to the </w:t>
      </w:r>
      <w:r w:rsidRPr="00B76738">
        <w:rPr>
          <w:rFonts w:ascii="Times New Roman" w:hAnsi="Times New Roman"/>
          <w:i/>
          <w:iCs/>
          <w:color w:val="000000" w:themeColor="text1"/>
        </w:rPr>
        <w:t>Human Services (Medicare) Regulations 1973</w:t>
      </w:r>
      <w:r>
        <w:rPr>
          <w:rFonts w:ascii="Times New Roman" w:hAnsi="Times New Roman"/>
          <w:color w:val="000000" w:themeColor="text1"/>
        </w:rPr>
        <w:t xml:space="preserve"> to the </w:t>
      </w:r>
      <w:r w:rsidRPr="00B76738">
        <w:rPr>
          <w:rFonts w:ascii="Times New Roman" w:hAnsi="Times New Roman"/>
          <w:i/>
          <w:iCs/>
          <w:color w:val="000000" w:themeColor="text1"/>
        </w:rPr>
        <w:t>Human Services (Medicare) Regulations 2017</w:t>
      </w:r>
      <w:r>
        <w:rPr>
          <w:rFonts w:ascii="Times New Roman" w:hAnsi="Times New Roman"/>
          <w:color w:val="000000" w:themeColor="text1"/>
        </w:rPr>
        <w:t xml:space="preserve"> and updating the link to information available on the Services Australia website for registering practitioners. </w:t>
      </w:r>
    </w:p>
    <w:p w14:paraId="033CE8F0" w14:textId="77777777" w:rsidR="003F7C6A" w:rsidRDefault="003F7C6A" w:rsidP="008D13D3">
      <w:pPr>
        <w:spacing w:before="120" w:after="120" w:line="264" w:lineRule="auto"/>
        <w:rPr>
          <w:rFonts w:ascii="Times New Roman" w:hAnsi="Times New Roman"/>
          <w:color w:val="000000" w:themeColor="text1"/>
        </w:rPr>
      </w:pPr>
    </w:p>
    <w:p w14:paraId="2254926D" w14:textId="6C0F1FF8" w:rsidR="008D13D3" w:rsidRDefault="00B80F2C" w:rsidP="00FD1096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Consultation</w:t>
      </w:r>
      <w:r w:rsidR="008D13D3">
        <w:rPr>
          <w:rFonts w:ascii="Times New Roman" w:hAnsi="Times New Roman"/>
          <w:color w:val="000000" w:themeColor="text1"/>
        </w:rPr>
        <w:t xml:space="preserve"> for </w:t>
      </w:r>
      <w:r>
        <w:rPr>
          <w:rFonts w:ascii="Times New Roman" w:hAnsi="Times New Roman"/>
          <w:color w:val="000000" w:themeColor="text1"/>
        </w:rPr>
        <w:t xml:space="preserve">the </w:t>
      </w:r>
      <w:r w:rsidR="008D13D3">
        <w:rPr>
          <w:rFonts w:ascii="Times New Roman" w:hAnsi="Times New Roman"/>
          <w:color w:val="000000" w:themeColor="text1"/>
        </w:rPr>
        <w:t xml:space="preserve">sunsetting </w:t>
      </w:r>
      <w:r>
        <w:rPr>
          <w:rFonts w:ascii="Times New Roman" w:hAnsi="Times New Roman"/>
          <w:color w:val="000000" w:themeColor="text1"/>
        </w:rPr>
        <w:t xml:space="preserve">of </w:t>
      </w:r>
      <w:r w:rsidR="008D13D3">
        <w:rPr>
          <w:rFonts w:ascii="Times New Roman" w:hAnsi="Times New Roman"/>
          <w:color w:val="000000" w:themeColor="text1"/>
        </w:rPr>
        <w:t>th</w:t>
      </w:r>
      <w:r w:rsidR="00D01C7B">
        <w:rPr>
          <w:rFonts w:ascii="Times New Roman" w:hAnsi="Times New Roman"/>
          <w:color w:val="000000" w:themeColor="text1"/>
        </w:rPr>
        <w:t>is</w:t>
      </w:r>
      <w:r w:rsidR="008D13D3">
        <w:rPr>
          <w:rFonts w:ascii="Times New Roman" w:hAnsi="Times New Roman"/>
          <w:color w:val="000000" w:themeColor="text1"/>
        </w:rPr>
        <w:t xml:space="preserve"> instrument followed a significant amount of consultation</w:t>
      </w:r>
      <w:r w:rsidR="00D01C7B">
        <w:rPr>
          <w:rFonts w:ascii="Times New Roman" w:hAnsi="Times New Roman"/>
          <w:color w:val="000000" w:themeColor="text1"/>
        </w:rPr>
        <w:t>,</w:t>
      </w:r>
      <w:r w:rsidR="008D13D3">
        <w:rPr>
          <w:rFonts w:ascii="Times New Roman" w:hAnsi="Times New Roman"/>
          <w:color w:val="000000" w:themeColor="text1"/>
        </w:rPr>
        <w:t xml:space="preserve"> over a period of months</w:t>
      </w:r>
      <w:r w:rsidR="00D01C7B">
        <w:rPr>
          <w:rFonts w:ascii="Times New Roman" w:hAnsi="Times New Roman"/>
          <w:color w:val="000000" w:themeColor="text1"/>
        </w:rPr>
        <w:t>,</w:t>
      </w:r>
      <w:r w:rsidR="008D13D3">
        <w:rPr>
          <w:rFonts w:ascii="Times New Roman" w:hAnsi="Times New Roman"/>
          <w:color w:val="000000" w:themeColor="text1"/>
        </w:rPr>
        <w:t xml:space="preserve"> to expand the </w:t>
      </w:r>
      <w:r w:rsidR="00D2795B">
        <w:rPr>
          <w:rFonts w:ascii="Times New Roman" w:hAnsi="Times New Roman"/>
          <w:color w:val="000000" w:themeColor="text1"/>
        </w:rPr>
        <w:t>instrument</w:t>
      </w:r>
      <w:r w:rsidR="008D13D3">
        <w:rPr>
          <w:rFonts w:ascii="Times New Roman" w:hAnsi="Times New Roman"/>
          <w:color w:val="000000" w:themeColor="text1"/>
        </w:rPr>
        <w:t xml:space="preserve"> to include all PBS medicines dispensed by community pharmacies, approved medical practitioners and private hospitals</w:t>
      </w:r>
      <w:r>
        <w:rPr>
          <w:rFonts w:ascii="Times New Roman" w:hAnsi="Times New Roman"/>
          <w:color w:val="000000" w:themeColor="text1"/>
        </w:rPr>
        <w:t>. This was implemented on 1 July 2024. On 1 January 2025</w:t>
      </w:r>
      <w:r w:rsidR="00D2795B">
        <w:rPr>
          <w:rFonts w:ascii="Times New Roman" w:hAnsi="Times New Roman"/>
          <w:color w:val="000000" w:themeColor="text1"/>
        </w:rPr>
        <w:t xml:space="preserve"> the instrument was further expanded to include</w:t>
      </w:r>
      <w:r>
        <w:rPr>
          <w:rFonts w:ascii="Times New Roman" w:hAnsi="Times New Roman"/>
          <w:color w:val="000000" w:themeColor="text1"/>
        </w:rPr>
        <w:t xml:space="preserve"> </w:t>
      </w:r>
      <w:r w:rsidR="008D13D3">
        <w:rPr>
          <w:rFonts w:ascii="Times New Roman" w:hAnsi="Times New Roman"/>
          <w:color w:val="000000" w:themeColor="text1"/>
        </w:rPr>
        <w:t>all PBS medicines dispensed by public hospitals.</w:t>
      </w:r>
      <w:r w:rsidR="00D01C7B">
        <w:rPr>
          <w:rFonts w:ascii="Times New Roman" w:hAnsi="Times New Roman"/>
          <w:color w:val="000000" w:themeColor="text1"/>
        </w:rPr>
        <w:t xml:space="preserve"> </w:t>
      </w:r>
    </w:p>
    <w:p w14:paraId="7EECEB63" w14:textId="77777777" w:rsidR="00FD1096" w:rsidRDefault="00FD1096" w:rsidP="00FD1096">
      <w:pPr>
        <w:rPr>
          <w:rFonts w:ascii="Times New Roman" w:hAnsi="Times New Roman"/>
        </w:rPr>
      </w:pPr>
    </w:p>
    <w:p w14:paraId="645F915B" w14:textId="67B3FC8F" w:rsidR="00B76738" w:rsidRDefault="008D13D3" w:rsidP="00FD1096">
      <w:pPr>
        <w:rPr>
          <w:rFonts w:ascii="Times New Roman" w:hAnsi="Times New Roman"/>
        </w:rPr>
      </w:pPr>
      <w:r w:rsidRPr="007456F6">
        <w:rPr>
          <w:rFonts w:ascii="Times New Roman" w:hAnsi="Times New Roman"/>
        </w:rPr>
        <w:t>I also note that the regulatory burden to people, business, or community organisations has been quantified using the Australian Government’s Regulatory Burden Measurement framework. These are provided below.</w:t>
      </w:r>
    </w:p>
    <w:p w14:paraId="0E1C1DE8" w14:textId="77777777" w:rsidR="00FD1096" w:rsidRDefault="00FD1096" w:rsidP="00FD1096">
      <w:pPr>
        <w:rPr>
          <w:rFonts w:ascii="Times New Roman" w:hAnsi="Times New Roman"/>
        </w:rPr>
      </w:pPr>
    </w:p>
    <w:p w14:paraId="1A8F1E9F" w14:textId="620F3551" w:rsidR="008D13D3" w:rsidRPr="007456F6" w:rsidRDefault="008D13D3" w:rsidP="00FD1096">
      <w:pPr>
        <w:rPr>
          <w:rFonts w:ascii="Times New Roman" w:hAnsi="Times New Roman"/>
        </w:rPr>
      </w:pPr>
      <w:r w:rsidRPr="007456F6">
        <w:rPr>
          <w:rFonts w:ascii="Times New Roman" w:hAnsi="Times New Roman"/>
        </w:rPr>
        <w:t>Average annual regulatory costs (from business as usual)</w:t>
      </w:r>
      <w:r w:rsidR="00FD1096">
        <w:rPr>
          <w:rFonts w:ascii="Times New Roman" w:hAnsi="Times New Roman"/>
        </w:rPr>
        <w:t>:</w:t>
      </w:r>
    </w:p>
    <w:tbl>
      <w:tblPr>
        <w:tblStyle w:val="LightGrid-Accent21"/>
        <w:tblW w:w="9356" w:type="dxa"/>
        <w:tblInd w:w="108" w:type="dxa"/>
        <w:tblLayout w:type="fixed"/>
        <w:tblLook w:val="04A0" w:firstRow="1" w:lastRow="0" w:firstColumn="1" w:lastColumn="0" w:noHBand="0" w:noVBand="1"/>
        <w:tblDescription w:val="Table 1: Regulatory burden estimate template"/>
      </w:tblPr>
      <w:tblGrid>
        <w:gridCol w:w="2009"/>
        <w:gridCol w:w="1733"/>
        <w:gridCol w:w="1871"/>
        <w:gridCol w:w="1871"/>
        <w:gridCol w:w="1872"/>
      </w:tblGrid>
      <w:tr w:rsidR="008D13D3" w:rsidRPr="007456F6" w14:paraId="5EB75F12" w14:textId="77777777" w:rsidTr="00D31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shd w:val="clear" w:color="auto" w:fill="auto"/>
            <w:noWrap/>
          </w:tcPr>
          <w:p w14:paraId="7F9686B6" w14:textId="77777777" w:rsidR="008D13D3" w:rsidRPr="007456F6" w:rsidRDefault="008D13D3" w:rsidP="00D31100">
            <w:pPr>
              <w:spacing w:before="120" w:after="120" w:line="264" w:lineRule="auto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Change in costs ($ million)</w:t>
            </w:r>
          </w:p>
        </w:tc>
        <w:tc>
          <w:tcPr>
            <w:tcW w:w="1733" w:type="dxa"/>
            <w:shd w:val="clear" w:color="auto" w:fill="auto"/>
            <w:noWrap/>
          </w:tcPr>
          <w:p w14:paraId="4CBAE2DC" w14:textId="77777777" w:rsidR="008D13D3" w:rsidRPr="007456F6" w:rsidRDefault="008D13D3" w:rsidP="00D31100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Business</w:t>
            </w:r>
          </w:p>
        </w:tc>
        <w:tc>
          <w:tcPr>
            <w:tcW w:w="1871" w:type="dxa"/>
            <w:shd w:val="clear" w:color="auto" w:fill="auto"/>
            <w:noWrap/>
          </w:tcPr>
          <w:p w14:paraId="389DFDBF" w14:textId="77777777" w:rsidR="008D13D3" w:rsidRPr="007456F6" w:rsidRDefault="008D13D3" w:rsidP="00D31100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Community organisations</w:t>
            </w:r>
          </w:p>
        </w:tc>
        <w:tc>
          <w:tcPr>
            <w:tcW w:w="1871" w:type="dxa"/>
            <w:shd w:val="clear" w:color="auto" w:fill="auto"/>
            <w:noWrap/>
          </w:tcPr>
          <w:p w14:paraId="201C4A7A" w14:textId="77777777" w:rsidR="008D13D3" w:rsidRPr="007456F6" w:rsidRDefault="008D13D3" w:rsidP="00D31100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People</w:t>
            </w:r>
          </w:p>
        </w:tc>
        <w:tc>
          <w:tcPr>
            <w:tcW w:w="1872" w:type="dxa"/>
            <w:shd w:val="clear" w:color="auto" w:fill="auto"/>
            <w:noWrap/>
          </w:tcPr>
          <w:p w14:paraId="7861E5BC" w14:textId="77777777" w:rsidR="008D13D3" w:rsidRPr="007456F6" w:rsidRDefault="008D13D3" w:rsidP="00D31100">
            <w:pPr>
              <w:spacing w:before="120"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456F6">
              <w:rPr>
                <w:rFonts w:ascii="Times New Roman" w:hAnsi="Times New Roman"/>
              </w:rPr>
              <w:t>Total change in costs</w:t>
            </w:r>
          </w:p>
        </w:tc>
      </w:tr>
      <w:tr w:rsidR="008D13D3" w:rsidRPr="007456F6" w14:paraId="13E6ECFE" w14:textId="77777777" w:rsidTr="00D311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noWrap/>
          </w:tcPr>
          <w:p w14:paraId="3BC72675" w14:textId="77777777" w:rsidR="008D13D3" w:rsidRPr="007456F6" w:rsidRDefault="008D13D3" w:rsidP="00D31100">
            <w:pPr>
              <w:spacing w:before="120" w:after="120" w:line="264" w:lineRule="auto"/>
              <w:rPr>
                <w:rFonts w:ascii="Times New Roman" w:hAnsi="Times New Roman"/>
                <w:b w:val="0"/>
              </w:rPr>
            </w:pPr>
            <w:r w:rsidRPr="007456F6">
              <w:rPr>
                <w:rFonts w:ascii="Times New Roman" w:hAnsi="Times New Roman"/>
                <w:b w:val="0"/>
              </w:rPr>
              <w:t>Total, by sector</w:t>
            </w:r>
          </w:p>
        </w:tc>
        <w:tc>
          <w:tcPr>
            <w:tcW w:w="1733" w:type="dxa"/>
            <w:noWrap/>
          </w:tcPr>
          <w:p w14:paraId="621B2613" w14:textId="171EE732" w:rsidR="008D13D3" w:rsidRPr="007456F6" w:rsidRDefault="008D13D3" w:rsidP="00D31100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71" w:type="dxa"/>
            <w:noWrap/>
          </w:tcPr>
          <w:p w14:paraId="4690A35C" w14:textId="2C6BA405" w:rsidR="008D13D3" w:rsidRPr="007456F6" w:rsidRDefault="008D13D3" w:rsidP="00D31100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71" w:type="dxa"/>
            <w:noWrap/>
          </w:tcPr>
          <w:p w14:paraId="35D7CEF3" w14:textId="5E6D914A" w:rsidR="008D13D3" w:rsidRPr="007456F6" w:rsidRDefault="008D13D3" w:rsidP="00D31100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872" w:type="dxa"/>
            <w:noWrap/>
          </w:tcPr>
          <w:p w14:paraId="332B018A" w14:textId="019F7C3B" w:rsidR="008D13D3" w:rsidRPr="007456F6" w:rsidRDefault="008D13D3" w:rsidP="00D31100">
            <w:pPr>
              <w:spacing w:before="12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56F6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0.00</w:t>
            </w:r>
          </w:p>
        </w:tc>
      </w:tr>
    </w:tbl>
    <w:p w14:paraId="5FECC03C" w14:textId="4528DF01" w:rsidR="00D73387" w:rsidRDefault="008D13D3" w:rsidP="008D13D3">
      <w:pPr>
        <w:spacing w:before="120" w:after="120" w:line="264" w:lineRule="auto"/>
        <w:rPr>
          <w:rFonts w:ascii="Times New Roman" w:hAnsi="Times New Roman"/>
        </w:rPr>
      </w:pPr>
      <w:r w:rsidRPr="007456F6">
        <w:rPr>
          <w:rFonts w:ascii="Times New Roman" w:hAnsi="Times New Roman"/>
        </w:rPr>
        <w:t xml:space="preserve">I acknowledge that </w:t>
      </w:r>
      <w:r>
        <w:rPr>
          <w:rFonts w:ascii="Times New Roman" w:hAnsi="Times New Roman"/>
        </w:rPr>
        <w:t xml:space="preserve">the </w:t>
      </w:r>
      <w:r w:rsidRPr="007456F6">
        <w:rPr>
          <w:rFonts w:ascii="Times New Roman" w:hAnsi="Times New Roman"/>
        </w:rPr>
        <w:t xml:space="preserve">OIA will publish this letter for transparency purposes. </w:t>
      </w:r>
    </w:p>
    <w:p w14:paraId="37BBC203" w14:textId="77777777" w:rsidR="003F7C6A" w:rsidRPr="008D13D3" w:rsidRDefault="003F7C6A" w:rsidP="008D13D3">
      <w:pPr>
        <w:spacing w:before="120" w:after="120" w:line="264" w:lineRule="auto"/>
        <w:rPr>
          <w:rFonts w:ascii="Times New Roman" w:hAnsi="Times New Roman"/>
        </w:rPr>
      </w:pPr>
    </w:p>
    <w:p w14:paraId="1897AAE5" w14:textId="77777777" w:rsidR="00775FE4" w:rsidRPr="003F7C6A" w:rsidRDefault="00775FE4" w:rsidP="006E7D7A">
      <w:pPr>
        <w:pStyle w:val="NoSpacing"/>
      </w:pPr>
      <w:r w:rsidRPr="003F7C6A">
        <w:t>Yours sincerely</w:t>
      </w:r>
    </w:p>
    <w:p w14:paraId="0D83D8A7" w14:textId="77777777" w:rsidR="006E7D7A" w:rsidRPr="003F7C6A" w:rsidRDefault="006E7D7A" w:rsidP="006E7D7A">
      <w:pPr>
        <w:pStyle w:val="NoSpacing"/>
      </w:pPr>
    </w:p>
    <w:p w14:paraId="161B40C2" w14:textId="77777777" w:rsidR="006E7D7A" w:rsidRPr="003F7C6A" w:rsidRDefault="006E7D7A" w:rsidP="006E7D7A">
      <w:pPr>
        <w:pStyle w:val="NoSpacing"/>
      </w:pPr>
    </w:p>
    <w:p w14:paraId="2E900DE5" w14:textId="77777777" w:rsidR="006E7D7A" w:rsidRPr="003F7C6A" w:rsidRDefault="006E7D7A" w:rsidP="006E7D7A">
      <w:pPr>
        <w:pStyle w:val="NoSpacing"/>
      </w:pPr>
    </w:p>
    <w:p w14:paraId="6771E59A" w14:textId="77777777" w:rsidR="006E7D7A" w:rsidRPr="003F7C6A" w:rsidRDefault="006E7D7A" w:rsidP="006E7D7A">
      <w:pPr>
        <w:pStyle w:val="NoSpacing"/>
      </w:pPr>
    </w:p>
    <w:p w14:paraId="51DAD4E1" w14:textId="77777777" w:rsidR="008D13D3" w:rsidRPr="003F7C6A" w:rsidRDefault="008D13D3" w:rsidP="00676983">
      <w:pPr>
        <w:rPr>
          <w:rFonts w:ascii="Times New Roman" w:hAnsi="Times New Roman"/>
        </w:rPr>
      </w:pPr>
      <w:bookmarkStart w:id="2" w:name="Signature"/>
      <w:bookmarkEnd w:id="2"/>
      <w:r w:rsidRPr="003F7C6A">
        <w:rPr>
          <w:rFonts w:ascii="Times New Roman" w:hAnsi="Times New Roman"/>
        </w:rPr>
        <w:t>Penny Shakespeare</w:t>
      </w:r>
    </w:p>
    <w:p w14:paraId="178235DD" w14:textId="5325AF34" w:rsidR="00676983" w:rsidRPr="003F7C6A" w:rsidRDefault="008D13D3" w:rsidP="00676983">
      <w:pPr>
        <w:rPr>
          <w:rFonts w:ascii="Times New Roman" w:hAnsi="Times New Roman"/>
        </w:rPr>
      </w:pPr>
      <w:r w:rsidRPr="003F7C6A">
        <w:rPr>
          <w:rFonts w:ascii="Times New Roman" w:hAnsi="Times New Roman"/>
        </w:rPr>
        <w:t>Health Resourcing Group</w:t>
      </w:r>
    </w:p>
    <w:p w14:paraId="79592EDB" w14:textId="0D43DA31" w:rsidR="006E7D7A" w:rsidRPr="003F7C6A" w:rsidRDefault="001162DE" w:rsidP="007F3885">
      <w:pPr>
        <w:tabs>
          <w:tab w:val="right" w:pos="9072"/>
        </w:tabs>
        <w:spacing w:after="720"/>
        <w:rPr>
          <w:rFonts w:ascii="Times New Roman" w:hAnsi="Times New Roman"/>
        </w:rPr>
      </w:pPr>
      <w:r w:rsidRPr="003F7C6A">
        <w:rPr>
          <w:rFonts w:ascii="Times New Roman" w:hAnsi="Times New Roman"/>
        </w:rPr>
        <w:br/>
      </w:r>
      <w:r w:rsidR="00AF08B4" w:rsidRPr="003F7C6A">
        <w:rPr>
          <w:rFonts w:ascii="Times New Roman" w:hAnsi="Times New Roman"/>
        </w:rPr>
        <w:t xml:space="preserve">   </w:t>
      </w:r>
      <w:r w:rsidR="00B7391A" w:rsidRPr="003F7C6A">
        <w:rPr>
          <w:rFonts w:ascii="Times New Roman" w:hAnsi="Times New Roman"/>
        </w:rPr>
        <w:t xml:space="preserve">   </w:t>
      </w:r>
      <w:r w:rsidR="008D13D3" w:rsidRPr="003F7C6A">
        <w:rPr>
          <w:rFonts w:ascii="Times New Roman" w:hAnsi="Times New Roman"/>
        </w:rPr>
        <w:t>August 2025</w:t>
      </w:r>
    </w:p>
    <w:sectPr w:rsidR="006E7D7A" w:rsidRPr="003F7C6A" w:rsidSect="0096629A">
      <w:headerReference w:type="default" r:id="rId9"/>
      <w:footerReference w:type="first" r:id="rId10"/>
      <w:pgSz w:w="11906" w:h="16838" w:code="9"/>
      <w:pgMar w:top="567" w:right="1418" w:bottom="993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6E6DA" w14:textId="77777777" w:rsidR="00D834DD" w:rsidRDefault="00D834DD">
      <w:r>
        <w:separator/>
      </w:r>
    </w:p>
  </w:endnote>
  <w:endnote w:type="continuationSeparator" w:id="0">
    <w:p w14:paraId="72615962" w14:textId="77777777" w:rsidR="00D834DD" w:rsidRDefault="00D8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55BB" w14:textId="77777777" w:rsidR="00D912DB" w:rsidRDefault="00D912DB" w:rsidP="0089317D">
    <w:pPr>
      <w:pStyle w:val="Footer"/>
      <w:jc w:val="center"/>
      <w:rPr>
        <w:noProof/>
        <w:position w:val="4"/>
        <w:sz w:val="18"/>
      </w:rPr>
    </w:pPr>
  </w:p>
  <w:p w14:paraId="5C42D779" w14:textId="4E7AE1EF" w:rsidR="00D912DB" w:rsidRPr="00CF3477" w:rsidRDefault="008D13D3" w:rsidP="004557B9">
    <w:pPr>
      <w:pStyle w:val="Footer"/>
      <w:spacing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Phone:</w:t>
    </w:r>
    <w:r w:rsidR="00112C7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(02) 6289 3348</w:t>
    </w:r>
    <w:r w:rsidR="00DB0AD2">
      <w:rPr>
        <w:rFonts w:ascii="Arial" w:hAnsi="Arial" w:cs="Arial"/>
        <w:sz w:val="14"/>
        <w:szCs w:val="14"/>
      </w:rPr>
      <w:t xml:space="preserve">  </w:t>
    </w:r>
    <w:r w:rsidR="00112C7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Email:</w:t>
    </w:r>
    <w:r w:rsidR="00DD5414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Penny.Shakespeare@health.gov.au</w:t>
    </w:r>
    <w:r w:rsidR="00DD5414">
      <w:rPr>
        <w:rFonts w:ascii="Arial" w:hAnsi="Arial" w:cs="Arial"/>
        <w:sz w:val="14"/>
        <w:szCs w:val="14"/>
      </w:rPr>
      <w:br/>
    </w:r>
    <w:proofErr w:type="spellStart"/>
    <w:r>
      <w:rPr>
        <w:rFonts w:ascii="Arial" w:hAnsi="Arial" w:cs="Arial"/>
        <w:sz w:val="14"/>
        <w:szCs w:val="14"/>
      </w:rPr>
      <w:t>Yaradhang</w:t>
    </w:r>
    <w:proofErr w:type="spellEnd"/>
    <w:r>
      <w:rPr>
        <w:rFonts w:ascii="Arial" w:hAnsi="Arial" w:cs="Arial"/>
        <w:sz w:val="14"/>
        <w:szCs w:val="14"/>
      </w:rPr>
      <w:t xml:space="preserve"> Building, 23 </w:t>
    </w:r>
    <w:proofErr w:type="spellStart"/>
    <w:r>
      <w:rPr>
        <w:rFonts w:ascii="Arial" w:hAnsi="Arial" w:cs="Arial"/>
        <w:sz w:val="14"/>
        <w:szCs w:val="14"/>
      </w:rPr>
      <w:t>Furzer</w:t>
    </w:r>
    <w:proofErr w:type="spellEnd"/>
    <w:r>
      <w:rPr>
        <w:rFonts w:ascii="Arial" w:hAnsi="Arial" w:cs="Arial"/>
        <w:sz w:val="14"/>
        <w:szCs w:val="14"/>
      </w:rPr>
      <w:t xml:space="preserve"> Street, Woden ACT 2606 - GPO Box 9848 Canberra ACT 2601</w:t>
    </w:r>
    <w:r w:rsidR="00DD5414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- www.health.gov.au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6DAA" w14:textId="77777777" w:rsidR="00D834DD" w:rsidRDefault="00D834DD">
      <w:r>
        <w:separator/>
      </w:r>
    </w:p>
  </w:footnote>
  <w:footnote w:type="continuationSeparator" w:id="0">
    <w:p w14:paraId="73BA3A04" w14:textId="77777777" w:rsidR="00D834DD" w:rsidRDefault="00D8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E90B" w14:textId="1D00D33F" w:rsidR="00D912DB" w:rsidRDefault="00D912D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143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D3"/>
    <w:rsid w:val="0000021D"/>
    <w:rsid w:val="000066A1"/>
    <w:rsid w:val="00032C8E"/>
    <w:rsid w:val="00041E2E"/>
    <w:rsid w:val="000460C4"/>
    <w:rsid w:val="00047105"/>
    <w:rsid w:val="00055944"/>
    <w:rsid w:val="00063FB6"/>
    <w:rsid w:val="00072F0C"/>
    <w:rsid w:val="000906BD"/>
    <w:rsid w:val="000B478D"/>
    <w:rsid w:val="000E4D22"/>
    <w:rsid w:val="000F2591"/>
    <w:rsid w:val="001014B8"/>
    <w:rsid w:val="00112C73"/>
    <w:rsid w:val="001162DE"/>
    <w:rsid w:val="001305E2"/>
    <w:rsid w:val="001360C1"/>
    <w:rsid w:val="001572D2"/>
    <w:rsid w:val="00160564"/>
    <w:rsid w:val="0017608F"/>
    <w:rsid w:val="00182C46"/>
    <w:rsid w:val="00187745"/>
    <w:rsid w:val="00190EE6"/>
    <w:rsid w:val="0019136C"/>
    <w:rsid w:val="001D75A2"/>
    <w:rsid w:val="001E4026"/>
    <w:rsid w:val="001E4F10"/>
    <w:rsid w:val="001F0D48"/>
    <w:rsid w:val="001F2752"/>
    <w:rsid w:val="00235958"/>
    <w:rsid w:val="002426B3"/>
    <w:rsid w:val="0024276B"/>
    <w:rsid w:val="00242E79"/>
    <w:rsid w:val="00250594"/>
    <w:rsid w:val="00251E49"/>
    <w:rsid w:val="00252AB1"/>
    <w:rsid w:val="0026397D"/>
    <w:rsid w:val="00273053"/>
    <w:rsid w:val="002C4D9B"/>
    <w:rsid w:val="002D1A4C"/>
    <w:rsid w:val="002D2EE7"/>
    <w:rsid w:val="002E45FF"/>
    <w:rsid w:val="002F3611"/>
    <w:rsid w:val="00300F73"/>
    <w:rsid w:val="00305883"/>
    <w:rsid w:val="003060D2"/>
    <w:rsid w:val="0030702A"/>
    <w:rsid w:val="00310CDA"/>
    <w:rsid w:val="00320BFC"/>
    <w:rsid w:val="00363CF2"/>
    <w:rsid w:val="00372506"/>
    <w:rsid w:val="00385578"/>
    <w:rsid w:val="003C1944"/>
    <w:rsid w:val="003C464D"/>
    <w:rsid w:val="003F7C6A"/>
    <w:rsid w:val="004124E0"/>
    <w:rsid w:val="00413130"/>
    <w:rsid w:val="0041683D"/>
    <w:rsid w:val="00420B2C"/>
    <w:rsid w:val="004227ED"/>
    <w:rsid w:val="00430932"/>
    <w:rsid w:val="004352FF"/>
    <w:rsid w:val="0044416F"/>
    <w:rsid w:val="0044779A"/>
    <w:rsid w:val="004557B9"/>
    <w:rsid w:val="00461016"/>
    <w:rsid w:val="00465451"/>
    <w:rsid w:val="004701C4"/>
    <w:rsid w:val="004722E8"/>
    <w:rsid w:val="004735A2"/>
    <w:rsid w:val="004776E8"/>
    <w:rsid w:val="0048137D"/>
    <w:rsid w:val="004864D9"/>
    <w:rsid w:val="00494F57"/>
    <w:rsid w:val="004972B9"/>
    <w:rsid w:val="004A0525"/>
    <w:rsid w:val="004A7774"/>
    <w:rsid w:val="004C0B1F"/>
    <w:rsid w:val="004C7B6B"/>
    <w:rsid w:val="004E33D9"/>
    <w:rsid w:val="004E37D3"/>
    <w:rsid w:val="004F3200"/>
    <w:rsid w:val="005025B0"/>
    <w:rsid w:val="005041DA"/>
    <w:rsid w:val="00516621"/>
    <w:rsid w:val="00531B2D"/>
    <w:rsid w:val="00536627"/>
    <w:rsid w:val="0054002A"/>
    <w:rsid w:val="00540C58"/>
    <w:rsid w:val="005527BE"/>
    <w:rsid w:val="00552FCD"/>
    <w:rsid w:val="00556242"/>
    <w:rsid w:val="00562816"/>
    <w:rsid w:val="00571EAE"/>
    <w:rsid w:val="0057330E"/>
    <w:rsid w:val="0057442F"/>
    <w:rsid w:val="00575EEC"/>
    <w:rsid w:val="00594712"/>
    <w:rsid w:val="005D2DB1"/>
    <w:rsid w:val="005E3018"/>
    <w:rsid w:val="005E57FD"/>
    <w:rsid w:val="005F028C"/>
    <w:rsid w:val="005F2882"/>
    <w:rsid w:val="005F7556"/>
    <w:rsid w:val="00622641"/>
    <w:rsid w:val="00631ADC"/>
    <w:rsid w:val="006344A2"/>
    <w:rsid w:val="0063526B"/>
    <w:rsid w:val="006353C6"/>
    <w:rsid w:val="00635412"/>
    <w:rsid w:val="00641F00"/>
    <w:rsid w:val="00650E1D"/>
    <w:rsid w:val="00654CE5"/>
    <w:rsid w:val="0066260C"/>
    <w:rsid w:val="00676983"/>
    <w:rsid w:val="0068129F"/>
    <w:rsid w:val="00684AF8"/>
    <w:rsid w:val="00691B7D"/>
    <w:rsid w:val="006A3B8F"/>
    <w:rsid w:val="006B4D31"/>
    <w:rsid w:val="006C0C68"/>
    <w:rsid w:val="006E7D7A"/>
    <w:rsid w:val="006F025E"/>
    <w:rsid w:val="006F3DF8"/>
    <w:rsid w:val="007004A3"/>
    <w:rsid w:val="00701E4C"/>
    <w:rsid w:val="00706A24"/>
    <w:rsid w:val="00714CE9"/>
    <w:rsid w:val="007211BC"/>
    <w:rsid w:val="0072510E"/>
    <w:rsid w:val="00730354"/>
    <w:rsid w:val="00731FCD"/>
    <w:rsid w:val="00743106"/>
    <w:rsid w:val="007744F2"/>
    <w:rsid w:val="00775FE4"/>
    <w:rsid w:val="00782FCB"/>
    <w:rsid w:val="007A3D38"/>
    <w:rsid w:val="007A6745"/>
    <w:rsid w:val="007B097B"/>
    <w:rsid w:val="007C7AFD"/>
    <w:rsid w:val="007F3885"/>
    <w:rsid w:val="007F7682"/>
    <w:rsid w:val="00820DF9"/>
    <w:rsid w:val="00822C1A"/>
    <w:rsid w:val="00834CB4"/>
    <w:rsid w:val="00845233"/>
    <w:rsid w:val="00855778"/>
    <w:rsid w:val="008621C3"/>
    <w:rsid w:val="0089317D"/>
    <w:rsid w:val="00893978"/>
    <w:rsid w:val="0089439E"/>
    <w:rsid w:val="00894F47"/>
    <w:rsid w:val="008A4ACD"/>
    <w:rsid w:val="008A79A4"/>
    <w:rsid w:val="008B0D7D"/>
    <w:rsid w:val="008D13D3"/>
    <w:rsid w:val="00910FFC"/>
    <w:rsid w:val="00911F6E"/>
    <w:rsid w:val="00912F75"/>
    <w:rsid w:val="00915116"/>
    <w:rsid w:val="00920AD6"/>
    <w:rsid w:val="0093202A"/>
    <w:rsid w:val="0093466D"/>
    <w:rsid w:val="00935E4C"/>
    <w:rsid w:val="00937489"/>
    <w:rsid w:val="009537B3"/>
    <w:rsid w:val="009539F4"/>
    <w:rsid w:val="00960916"/>
    <w:rsid w:val="0096146C"/>
    <w:rsid w:val="0096629A"/>
    <w:rsid w:val="00973568"/>
    <w:rsid w:val="009800E4"/>
    <w:rsid w:val="00990457"/>
    <w:rsid w:val="009A2CD9"/>
    <w:rsid w:val="009A7761"/>
    <w:rsid w:val="009C3F3F"/>
    <w:rsid w:val="009E3D9F"/>
    <w:rsid w:val="009F2C8F"/>
    <w:rsid w:val="009F4DAC"/>
    <w:rsid w:val="009F5453"/>
    <w:rsid w:val="00A05943"/>
    <w:rsid w:val="00A07D4C"/>
    <w:rsid w:val="00A114A1"/>
    <w:rsid w:val="00A20BC6"/>
    <w:rsid w:val="00A235B4"/>
    <w:rsid w:val="00A241EB"/>
    <w:rsid w:val="00A309A6"/>
    <w:rsid w:val="00A53488"/>
    <w:rsid w:val="00A65F12"/>
    <w:rsid w:val="00A832DF"/>
    <w:rsid w:val="00A84ACC"/>
    <w:rsid w:val="00A932D3"/>
    <w:rsid w:val="00AB2279"/>
    <w:rsid w:val="00AC08BB"/>
    <w:rsid w:val="00AC7598"/>
    <w:rsid w:val="00AD398E"/>
    <w:rsid w:val="00AD5262"/>
    <w:rsid w:val="00AD718D"/>
    <w:rsid w:val="00AE2684"/>
    <w:rsid w:val="00AF08B4"/>
    <w:rsid w:val="00B047E4"/>
    <w:rsid w:val="00B07DEA"/>
    <w:rsid w:val="00B14849"/>
    <w:rsid w:val="00B20688"/>
    <w:rsid w:val="00B21ED6"/>
    <w:rsid w:val="00B33270"/>
    <w:rsid w:val="00B33F57"/>
    <w:rsid w:val="00B372F0"/>
    <w:rsid w:val="00B51A40"/>
    <w:rsid w:val="00B53800"/>
    <w:rsid w:val="00B5725E"/>
    <w:rsid w:val="00B60BFA"/>
    <w:rsid w:val="00B61C58"/>
    <w:rsid w:val="00B7391A"/>
    <w:rsid w:val="00B76738"/>
    <w:rsid w:val="00B80F2C"/>
    <w:rsid w:val="00B8737D"/>
    <w:rsid w:val="00B9618D"/>
    <w:rsid w:val="00BE388C"/>
    <w:rsid w:val="00BF7CB2"/>
    <w:rsid w:val="00C003EA"/>
    <w:rsid w:val="00C03226"/>
    <w:rsid w:val="00C03313"/>
    <w:rsid w:val="00C12EEB"/>
    <w:rsid w:val="00C153B7"/>
    <w:rsid w:val="00C21FDA"/>
    <w:rsid w:val="00C23A31"/>
    <w:rsid w:val="00C45D29"/>
    <w:rsid w:val="00C63711"/>
    <w:rsid w:val="00C63FF6"/>
    <w:rsid w:val="00C67E28"/>
    <w:rsid w:val="00C8019D"/>
    <w:rsid w:val="00C80D41"/>
    <w:rsid w:val="00C853DD"/>
    <w:rsid w:val="00C91ACF"/>
    <w:rsid w:val="00CA627A"/>
    <w:rsid w:val="00CB6189"/>
    <w:rsid w:val="00CC0246"/>
    <w:rsid w:val="00CC44F9"/>
    <w:rsid w:val="00CD5206"/>
    <w:rsid w:val="00CE1434"/>
    <w:rsid w:val="00CE3906"/>
    <w:rsid w:val="00CE4691"/>
    <w:rsid w:val="00CE4823"/>
    <w:rsid w:val="00CF3477"/>
    <w:rsid w:val="00D01C7B"/>
    <w:rsid w:val="00D23FF4"/>
    <w:rsid w:val="00D2795B"/>
    <w:rsid w:val="00D451B8"/>
    <w:rsid w:val="00D67CDE"/>
    <w:rsid w:val="00D73387"/>
    <w:rsid w:val="00D834DD"/>
    <w:rsid w:val="00D8450A"/>
    <w:rsid w:val="00D912DB"/>
    <w:rsid w:val="00D91587"/>
    <w:rsid w:val="00DA0569"/>
    <w:rsid w:val="00DB0AD2"/>
    <w:rsid w:val="00DB603A"/>
    <w:rsid w:val="00DD5414"/>
    <w:rsid w:val="00DF116F"/>
    <w:rsid w:val="00E25AED"/>
    <w:rsid w:val="00E4209F"/>
    <w:rsid w:val="00E50657"/>
    <w:rsid w:val="00E5369D"/>
    <w:rsid w:val="00E5582E"/>
    <w:rsid w:val="00E579D8"/>
    <w:rsid w:val="00E645C6"/>
    <w:rsid w:val="00E6675A"/>
    <w:rsid w:val="00E76F9E"/>
    <w:rsid w:val="00E873F1"/>
    <w:rsid w:val="00E90961"/>
    <w:rsid w:val="00EB0ED3"/>
    <w:rsid w:val="00EC415E"/>
    <w:rsid w:val="00EC4A7B"/>
    <w:rsid w:val="00ED7514"/>
    <w:rsid w:val="00EF14F5"/>
    <w:rsid w:val="00F00237"/>
    <w:rsid w:val="00F016A4"/>
    <w:rsid w:val="00F054E3"/>
    <w:rsid w:val="00F141C6"/>
    <w:rsid w:val="00F21E8A"/>
    <w:rsid w:val="00F35708"/>
    <w:rsid w:val="00F41061"/>
    <w:rsid w:val="00F54B4A"/>
    <w:rsid w:val="00F72B1B"/>
    <w:rsid w:val="00F97EC2"/>
    <w:rsid w:val="00FB5DC3"/>
    <w:rsid w:val="00FC3B9C"/>
    <w:rsid w:val="00FC639D"/>
    <w:rsid w:val="00FD1096"/>
    <w:rsid w:val="00FE41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24327"/>
  <w15:docId w15:val="{03A3551E-0AE0-4707-A2FD-2DCC67A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B6B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FCD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rFonts w:ascii="Arial" w:hAnsi="Arial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1FCD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906BD"/>
    <w:rPr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31FCD"/>
    <w:pPr>
      <w:jc w:val="right"/>
    </w:pPr>
  </w:style>
  <w:style w:type="character" w:customStyle="1" w:styleId="TitleChar">
    <w:name w:val="Title Char"/>
    <w:basedOn w:val="DefaultParagraphFont"/>
    <w:link w:val="Title"/>
    <w:uiPriority w:val="10"/>
    <w:rsid w:val="00731FCD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stomLetterhead">
    <w:name w:val="Custom Letterhead"/>
    <w:basedOn w:val="Normal"/>
    <w:link w:val="CustomLetterheadChar"/>
    <w:qFormat/>
    <w:rsid w:val="0093202A"/>
    <w:pPr>
      <w:spacing w:before="240" w:after="240"/>
    </w:pPr>
  </w:style>
  <w:style w:type="character" w:customStyle="1" w:styleId="CustomLetterheadChar">
    <w:name w:val="Custom Letterhead Char"/>
    <w:basedOn w:val="HeaderChar"/>
    <w:link w:val="CustomLetterhead"/>
    <w:rsid w:val="0093202A"/>
    <w:rPr>
      <w:rFonts w:ascii="Book Antiqua" w:hAnsi="Book Antiqua"/>
      <w:sz w:val="24"/>
      <w:szCs w:val="24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8D13D3"/>
    <w:rPr>
      <w:rFonts w:ascii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E4E4E"/>
        <w:left w:val="single" w:sz="8" w:space="0" w:color="4E4E4E"/>
        <w:bottom w:val="single" w:sz="8" w:space="0" w:color="4E4E4E"/>
        <w:right w:val="single" w:sz="8" w:space="0" w:color="4E4E4E"/>
        <w:insideH w:val="single" w:sz="8" w:space="0" w:color="4E4E4E"/>
        <w:insideV w:val="single" w:sz="8" w:space="0" w:color="4E4E4E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nil"/>
          <w:insideV w:val="single" w:sz="8" w:space="0" w:color="4E4E4E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</w:tcBorders>
      </w:tcPr>
    </w:tblStylePr>
    <w:tblStylePr w:type="band2Horz"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V w:val="single" w:sz="8" w:space="0" w:color="4E4E4E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D13D3"/>
    <w:rPr>
      <w:color w:val="0000FF" w:themeColor="hyperlink"/>
      <w:u w:val="single"/>
    </w:rPr>
  </w:style>
  <w:style w:type="table" w:styleId="LightGrid-Accent2">
    <w:name w:val="Light Grid Accent 2"/>
    <w:basedOn w:val="TableNormal"/>
    <w:uiPriority w:val="62"/>
    <w:semiHidden/>
    <w:unhideWhenUsed/>
    <w:rsid w:val="008D13D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Revision">
    <w:name w:val="Revision"/>
    <w:hidden/>
    <w:uiPriority w:val="99"/>
    <w:semiHidden/>
    <w:rsid w:val="00DB603A"/>
    <w:rPr>
      <w:rFonts w:ascii="Book Antiqua" w:hAnsi="Book Antiqu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F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F57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F57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-OIA@pm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9322-5561-41FF-9230-7B6EF282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Letterhead Templates</vt:lpstr>
    </vt:vector>
  </TitlesOfParts>
  <Company>Department of Health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Letterhead Templates</dc:title>
  <dc:creator>WATSON, Helen</dc:creator>
  <cp:lastModifiedBy>Pynor, Erin</cp:lastModifiedBy>
  <cp:revision>2</cp:revision>
  <cp:lastPrinted>2007-10-31T23:22:00Z</cp:lastPrinted>
  <dcterms:created xsi:type="dcterms:W3CDTF">2025-09-23T23:56:00Z</dcterms:created>
  <dcterms:modified xsi:type="dcterms:W3CDTF">2025-09-23T23:56:00Z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gAddress">
    <vt:lpwstr>Yaradhang Building, 23 Furzer Street, Woden ACT 2606 - GPO Box 9848 Canberra ACT 2601</vt:lpwstr>
  </property>
  <property fmtid="{D5CDD505-2E9C-101B-9397-08002B2CF9AE}" pid="3" name="PhoneLabel">
    <vt:lpwstr>Phone:</vt:lpwstr>
  </property>
  <property fmtid="{D5CDD505-2E9C-101B-9397-08002B2CF9AE}" pid="4" name="EmailLabel">
    <vt:lpwstr>Email:</vt:lpwstr>
  </property>
  <property fmtid="{D5CDD505-2E9C-101B-9397-08002B2CF9AE}" pid="5" name="Website">
    <vt:lpwstr>- www.health.gov.au</vt:lpwstr>
  </property>
  <property fmtid="{D5CDD505-2E9C-101B-9397-08002B2CF9AE}" pid="6" name="PhoneValue">
    <vt:lpwstr>(02) 6289 3348</vt:lpwstr>
  </property>
  <property fmtid="{D5CDD505-2E9C-101B-9397-08002B2CF9AE}" pid="7" name="EmailValue">
    <vt:lpwstr>Penny.Shakespeare@health.gov.au</vt:lpwstr>
  </property>
</Properties>
</file>