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C10D" w14:textId="367485DA" w:rsidR="00A62EF3" w:rsidRPr="007B5C70" w:rsidRDefault="002B0D1D" w:rsidP="003866B6">
      <w:pPr>
        <w:pStyle w:val="TalkingPoint"/>
        <w:numPr>
          <w:ilvl w:val="0"/>
          <w:numId w:val="0"/>
        </w:numPr>
        <w:ind w:left="360" w:hanging="360"/>
        <w:rPr>
          <w:rFonts w:asciiTheme="majorHAnsi" w:hAnsiTheme="majorHAnsi" w:cstheme="majorHAnsi"/>
        </w:rPr>
      </w:pPr>
      <w:bookmarkStart w:id="0" w:name="_Toc96326909"/>
      <w:bookmarkStart w:id="1" w:name="_GoBack"/>
      <w:bookmarkEnd w:id="1"/>
      <w:r w:rsidRPr="007B5C70">
        <w:rPr>
          <w:rFonts w:asciiTheme="majorHAnsi" w:hAnsiTheme="majorHAnsi" w:cstheme="majorHAnsi"/>
        </w:rPr>
        <w:t xml:space="preserve">Resolution </w:t>
      </w:r>
      <w:r w:rsidR="007B5C70">
        <w:rPr>
          <w:rFonts w:asciiTheme="majorHAnsi" w:hAnsiTheme="majorHAnsi" w:cstheme="majorHAnsi"/>
        </w:rPr>
        <w:t>A</w:t>
      </w:r>
      <w:r w:rsidRPr="007B5C70">
        <w:rPr>
          <w:rFonts w:asciiTheme="majorHAnsi" w:hAnsiTheme="majorHAnsi" w:cstheme="majorHAnsi"/>
        </w:rPr>
        <w:t xml:space="preserve">pproach to </w:t>
      </w:r>
      <w:r w:rsidR="00204ED2" w:rsidRPr="007B5C70">
        <w:rPr>
          <w:rFonts w:asciiTheme="majorHAnsi" w:hAnsiTheme="majorHAnsi" w:cstheme="majorHAnsi"/>
        </w:rPr>
        <w:t xml:space="preserve">Income Apportionment </w:t>
      </w:r>
    </w:p>
    <w:p w14:paraId="6B50F121" w14:textId="678A3ADE" w:rsidR="00A62EF3" w:rsidRPr="007B5C70" w:rsidRDefault="00C76B32" w:rsidP="00A62EF3">
      <w:pPr>
        <w:pStyle w:val="Subtitle"/>
        <w:rPr>
          <w:rFonts w:asciiTheme="majorHAnsi" w:hAnsiTheme="majorHAnsi" w:cstheme="majorHAnsi"/>
          <w:b/>
          <w:bCs/>
        </w:rPr>
      </w:pPr>
      <w:r w:rsidRPr="007B5C70">
        <w:rPr>
          <w:rFonts w:asciiTheme="majorHAnsi" w:hAnsiTheme="majorHAnsi" w:cstheme="majorHAnsi"/>
          <w:b/>
          <w:bCs/>
        </w:rPr>
        <w:t>Impact Analysis</w:t>
      </w:r>
    </w:p>
    <w:p w14:paraId="02647470" w14:textId="11C8182E" w:rsidR="004F36A6" w:rsidRPr="007B5C70" w:rsidRDefault="009D3710" w:rsidP="00474CC8">
      <w:pPr>
        <w:spacing w:after="200" w:line="288" w:lineRule="auto"/>
        <w:rPr>
          <w:rStyle w:val="Emphasis"/>
          <w:rFonts w:asciiTheme="majorHAnsi" w:hAnsiTheme="majorHAnsi" w:cstheme="majorBidi"/>
          <w:i w:val="0"/>
        </w:rPr>
      </w:pPr>
      <w:r w:rsidRPr="205952AB">
        <w:rPr>
          <w:rStyle w:val="Emphasis"/>
          <w:rFonts w:asciiTheme="majorHAnsi" w:hAnsiTheme="majorHAnsi" w:cstheme="majorBidi"/>
          <w:i w:val="0"/>
        </w:rPr>
        <w:t xml:space="preserve">Prepared by </w:t>
      </w:r>
      <w:r w:rsidR="00774637" w:rsidRPr="205952AB">
        <w:rPr>
          <w:rStyle w:val="Emphasis"/>
          <w:rFonts w:asciiTheme="majorHAnsi" w:hAnsiTheme="majorHAnsi" w:cstheme="majorBidi"/>
          <w:i w:val="0"/>
        </w:rPr>
        <w:t xml:space="preserve">Department of Social </w:t>
      </w:r>
      <w:r w:rsidR="00774637" w:rsidRPr="0355DE50">
        <w:rPr>
          <w:rStyle w:val="Emphasis"/>
          <w:rFonts w:asciiTheme="majorHAnsi" w:hAnsiTheme="majorHAnsi" w:cstheme="majorBidi"/>
          <w:i w:val="0"/>
          <w:iCs w:val="0"/>
        </w:rPr>
        <w:t>Serv</w:t>
      </w:r>
      <w:r w:rsidR="22CAAD1C" w:rsidRPr="0355DE50">
        <w:rPr>
          <w:rStyle w:val="Emphasis"/>
          <w:rFonts w:asciiTheme="majorHAnsi" w:hAnsiTheme="majorHAnsi" w:cstheme="majorBidi"/>
          <w:i w:val="0"/>
          <w:iCs w:val="0"/>
        </w:rPr>
        <w:t>ices</w:t>
      </w:r>
      <w:r w:rsidR="00C76B32" w:rsidRPr="205952AB">
        <w:rPr>
          <w:rFonts w:asciiTheme="majorHAnsi" w:hAnsiTheme="majorHAnsi" w:cstheme="majorBidi"/>
        </w:rPr>
        <w:br w:type="page"/>
      </w:r>
      <w:bookmarkEnd w:id="0"/>
    </w:p>
    <w:sdt>
      <w:sdtPr>
        <w:rPr>
          <w:rFonts w:asciiTheme="minorHAnsi" w:eastAsiaTheme="minorEastAsia" w:hAnsiTheme="minorHAnsi" w:cstheme="minorBidi"/>
          <w:color w:val="auto"/>
          <w:sz w:val="22"/>
          <w:szCs w:val="22"/>
        </w:rPr>
        <w:id w:val="-2135005704"/>
        <w:docPartObj>
          <w:docPartGallery w:val="Table of Contents"/>
          <w:docPartUnique/>
        </w:docPartObj>
      </w:sdtPr>
      <w:sdtEndPr>
        <w:rPr>
          <w:rFonts w:asciiTheme="majorHAnsi" w:eastAsiaTheme="majorEastAsia" w:hAnsiTheme="majorHAnsi" w:cstheme="majorBidi"/>
          <w:b/>
          <w:bCs/>
          <w:color w:val="1C2B39" w:themeColor="accent1"/>
          <w:sz w:val="48"/>
          <w:szCs w:val="48"/>
        </w:rPr>
      </w:sdtEndPr>
      <w:sdtContent>
        <w:p w14:paraId="0A5645BB" w14:textId="47229E55" w:rsidR="004F36A6" w:rsidRDefault="004F36A6" w:rsidP="00CA75B0">
          <w:pPr>
            <w:pStyle w:val="TOCHeading"/>
            <w:tabs>
              <w:tab w:val="center" w:pos="4819"/>
              <w:tab w:val="left" w:pos="7485"/>
            </w:tabs>
          </w:pPr>
          <w:r>
            <w:t>Table of Contents</w:t>
          </w:r>
          <w:r w:rsidR="00F07521">
            <w:tab/>
          </w:r>
          <w:r w:rsidR="00CA75B0">
            <w:tab/>
          </w:r>
        </w:p>
        <w:p w14:paraId="7CBC54C9" w14:textId="7B7EC027" w:rsidR="001F3DFB" w:rsidRDefault="004F36A6">
          <w:pPr>
            <w:pStyle w:val="TOC1"/>
            <w:tabs>
              <w:tab w:val="right" w:leader="dot" w:pos="9628"/>
            </w:tabs>
            <w:rPr>
              <w:noProof/>
              <w:kern w:val="2"/>
              <w:sz w:val="24"/>
              <w:szCs w:val="24"/>
              <w:lang w:eastAsia="en-AU"/>
              <w14:ligatures w14:val="standardContextual"/>
            </w:rPr>
          </w:pPr>
          <w:r>
            <w:fldChar w:fldCharType="begin"/>
          </w:r>
          <w:r>
            <w:instrText xml:space="preserve"> TOC \o "1-</w:instrText>
          </w:r>
          <w:r w:rsidR="00D205DC">
            <w:instrText>2</w:instrText>
          </w:r>
          <w:r>
            <w:instrText xml:space="preserve">" \h \z \u </w:instrText>
          </w:r>
          <w:r>
            <w:fldChar w:fldCharType="separate"/>
          </w:r>
          <w:hyperlink w:anchor="_Toc207097794" w:history="1">
            <w:r w:rsidR="001F3DFB" w:rsidRPr="00B713D7">
              <w:rPr>
                <w:rStyle w:val="Hyperlink"/>
                <w:noProof/>
              </w:rPr>
              <w:t>Glossary</w:t>
            </w:r>
            <w:r w:rsidR="001F3DFB">
              <w:rPr>
                <w:noProof/>
                <w:webHidden/>
              </w:rPr>
              <w:tab/>
            </w:r>
            <w:r w:rsidR="001F3DFB">
              <w:rPr>
                <w:noProof/>
                <w:webHidden/>
              </w:rPr>
              <w:fldChar w:fldCharType="begin"/>
            </w:r>
            <w:r w:rsidR="001F3DFB">
              <w:rPr>
                <w:noProof/>
                <w:webHidden/>
              </w:rPr>
              <w:instrText xml:space="preserve"> PAGEREF _Toc207097794 \h </w:instrText>
            </w:r>
            <w:r w:rsidR="001F3DFB">
              <w:rPr>
                <w:noProof/>
                <w:webHidden/>
              </w:rPr>
            </w:r>
            <w:r w:rsidR="001F3DFB">
              <w:rPr>
                <w:noProof/>
                <w:webHidden/>
              </w:rPr>
              <w:fldChar w:fldCharType="separate"/>
            </w:r>
            <w:r w:rsidR="001F3DFB">
              <w:rPr>
                <w:noProof/>
                <w:webHidden/>
              </w:rPr>
              <w:t>3</w:t>
            </w:r>
            <w:r w:rsidR="001F3DFB">
              <w:rPr>
                <w:noProof/>
                <w:webHidden/>
              </w:rPr>
              <w:fldChar w:fldCharType="end"/>
            </w:r>
          </w:hyperlink>
        </w:p>
        <w:p w14:paraId="600D90DD" w14:textId="0584FAA4" w:rsidR="001F3DFB" w:rsidRDefault="008963DE">
          <w:pPr>
            <w:pStyle w:val="TOC1"/>
            <w:tabs>
              <w:tab w:val="right" w:leader="dot" w:pos="9628"/>
            </w:tabs>
            <w:rPr>
              <w:noProof/>
              <w:kern w:val="2"/>
              <w:sz w:val="24"/>
              <w:szCs w:val="24"/>
              <w:lang w:eastAsia="en-AU"/>
              <w14:ligatures w14:val="standardContextual"/>
            </w:rPr>
          </w:pPr>
          <w:hyperlink w:anchor="_Toc207097795" w:history="1">
            <w:r w:rsidR="001F3DFB" w:rsidRPr="00B713D7">
              <w:rPr>
                <w:rStyle w:val="Hyperlink"/>
                <w:noProof/>
              </w:rPr>
              <w:t>Introduction</w:t>
            </w:r>
            <w:r w:rsidR="001F3DFB">
              <w:rPr>
                <w:noProof/>
                <w:webHidden/>
              </w:rPr>
              <w:tab/>
            </w:r>
            <w:r w:rsidR="001F3DFB">
              <w:rPr>
                <w:noProof/>
                <w:webHidden/>
              </w:rPr>
              <w:fldChar w:fldCharType="begin"/>
            </w:r>
            <w:r w:rsidR="001F3DFB">
              <w:rPr>
                <w:noProof/>
                <w:webHidden/>
              </w:rPr>
              <w:instrText xml:space="preserve"> PAGEREF _Toc207097795 \h </w:instrText>
            </w:r>
            <w:r w:rsidR="001F3DFB">
              <w:rPr>
                <w:noProof/>
                <w:webHidden/>
              </w:rPr>
            </w:r>
            <w:r w:rsidR="001F3DFB">
              <w:rPr>
                <w:noProof/>
                <w:webHidden/>
              </w:rPr>
              <w:fldChar w:fldCharType="separate"/>
            </w:r>
            <w:r w:rsidR="001F3DFB">
              <w:rPr>
                <w:noProof/>
                <w:webHidden/>
              </w:rPr>
              <w:t>4</w:t>
            </w:r>
            <w:r w:rsidR="001F3DFB">
              <w:rPr>
                <w:noProof/>
                <w:webHidden/>
              </w:rPr>
              <w:fldChar w:fldCharType="end"/>
            </w:r>
          </w:hyperlink>
        </w:p>
        <w:p w14:paraId="037B5338" w14:textId="095D1168" w:rsidR="001F3DFB" w:rsidRDefault="008963DE">
          <w:pPr>
            <w:pStyle w:val="TOC1"/>
            <w:tabs>
              <w:tab w:val="left" w:pos="440"/>
              <w:tab w:val="right" w:leader="dot" w:pos="9628"/>
            </w:tabs>
            <w:rPr>
              <w:noProof/>
              <w:kern w:val="2"/>
              <w:sz w:val="24"/>
              <w:szCs w:val="24"/>
              <w:lang w:eastAsia="en-AU"/>
              <w14:ligatures w14:val="standardContextual"/>
            </w:rPr>
          </w:pPr>
          <w:hyperlink w:anchor="_Toc207097796" w:history="1">
            <w:r w:rsidR="001F3DFB" w:rsidRPr="00B713D7">
              <w:rPr>
                <w:rStyle w:val="Hyperlink"/>
                <w:noProof/>
              </w:rPr>
              <w:t>1.</w:t>
            </w:r>
            <w:r w:rsidR="001F3DFB">
              <w:rPr>
                <w:noProof/>
                <w:kern w:val="2"/>
                <w:sz w:val="24"/>
                <w:szCs w:val="24"/>
                <w:lang w:eastAsia="en-AU"/>
                <w14:ligatures w14:val="standardContextual"/>
              </w:rPr>
              <w:tab/>
            </w:r>
            <w:r w:rsidR="001F3DFB" w:rsidRPr="00B713D7">
              <w:rPr>
                <w:rStyle w:val="Hyperlink"/>
                <w:noProof/>
              </w:rPr>
              <w:t>What is the policy problem you are trying to solve and what data is available?</w:t>
            </w:r>
            <w:r w:rsidR="001F3DFB">
              <w:rPr>
                <w:noProof/>
                <w:webHidden/>
              </w:rPr>
              <w:tab/>
            </w:r>
            <w:r w:rsidR="001F3DFB">
              <w:rPr>
                <w:noProof/>
                <w:webHidden/>
              </w:rPr>
              <w:fldChar w:fldCharType="begin"/>
            </w:r>
            <w:r w:rsidR="001F3DFB">
              <w:rPr>
                <w:noProof/>
                <w:webHidden/>
              </w:rPr>
              <w:instrText xml:space="preserve"> PAGEREF _Toc207097796 \h </w:instrText>
            </w:r>
            <w:r w:rsidR="001F3DFB">
              <w:rPr>
                <w:noProof/>
                <w:webHidden/>
              </w:rPr>
            </w:r>
            <w:r w:rsidR="001F3DFB">
              <w:rPr>
                <w:noProof/>
                <w:webHidden/>
              </w:rPr>
              <w:fldChar w:fldCharType="separate"/>
            </w:r>
            <w:r w:rsidR="001F3DFB">
              <w:rPr>
                <w:noProof/>
                <w:webHidden/>
              </w:rPr>
              <w:t>6</w:t>
            </w:r>
            <w:r w:rsidR="001F3DFB">
              <w:rPr>
                <w:noProof/>
                <w:webHidden/>
              </w:rPr>
              <w:fldChar w:fldCharType="end"/>
            </w:r>
          </w:hyperlink>
        </w:p>
        <w:p w14:paraId="2D343228" w14:textId="66316F61" w:rsidR="001F3DFB" w:rsidRDefault="008963DE">
          <w:pPr>
            <w:pStyle w:val="TOC2"/>
            <w:tabs>
              <w:tab w:val="right" w:leader="dot" w:pos="9628"/>
            </w:tabs>
            <w:rPr>
              <w:noProof/>
              <w:kern w:val="2"/>
              <w:sz w:val="24"/>
              <w:szCs w:val="24"/>
              <w:lang w:eastAsia="en-AU"/>
              <w14:ligatures w14:val="standardContextual"/>
            </w:rPr>
          </w:pPr>
          <w:hyperlink w:anchor="_Toc207097797" w:history="1">
            <w:r w:rsidR="001F3DFB" w:rsidRPr="00B713D7">
              <w:rPr>
                <w:rStyle w:val="Hyperlink"/>
                <w:noProof/>
              </w:rPr>
              <w:t>1.1 What is Income Apportionment</w:t>
            </w:r>
            <w:r w:rsidR="001F3DFB">
              <w:rPr>
                <w:noProof/>
                <w:webHidden/>
              </w:rPr>
              <w:tab/>
            </w:r>
            <w:r w:rsidR="001F3DFB">
              <w:rPr>
                <w:noProof/>
                <w:webHidden/>
              </w:rPr>
              <w:fldChar w:fldCharType="begin"/>
            </w:r>
            <w:r w:rsidR="001F3DFB">
              <w:rPr>
                <w:noProof/>
                <w:webHidden/>
              </w:rPr>
              <w:instrText xml:space="preserve"> PAGEREF _Toc207097797 \h </w:instrText>
            </w:r>
            <w:r w:rsidR="001F3DFB">
              <w:rPr>
                <w:noProof/>
                <w:webHidden/>
              </w:rPr>
            </w:r>
            <w:r w:rsidR="001F3DFB">
              <w:rPr>
                <w:noProof/>
                <w:webHidden/>
              </w:rPr>
              <w:fldChar w:fldCharType="separate"/>
            </w:r>
            <w:r w:rsidR="001F3DFB">
              <w:rPr>
                <w:noProof/>
                <w:webHidden/>
              </w:rPr>
              <w:t>6</w:t>
            </w:r>
            <w:r w:rsidR="001F3DFB">
              <w:rPr>
                <w:noProof/>
                <w:webHidden/>
              </w:rPr>
              <w:fldChar w:fldCharType="end"/>
            </w:r>
          </w:hyperlink>
        </w:p>
        <w:p w14:paraId="467505D1" w14:textId="14047195" w:rsidR="001F3DFB" w:rsidRDefault="008963DE">
          <w:pPr>
            <w:pStyle w:val="TOC2"/>
            <w:tabs>
              <w:tab w:val="right" w:leader="dot" w:pos="9628"/>
            </w:tabs>
            <w:rPr>
              <w:noProof/>
              <w:kern w:val="2"/>
              <w:sz w:val="24"/>
              <w:szCs w:val="24"/>
              <w:lang w:eastAsia="en-AU"/>
              <w14:ligatures w14:val="standardContextual"/>
            </w:rPr>
          </w:pPr>
          <w:hyperlink w:anchor="_Toc207097798" w:history="1">
            <w:r w:rsidR="001F3DFB" w:rsidRPr="00B713D7">
              <w:rPr>
                <w:rStyle w:val="Hyperlink"/>
                <w:noProof/>
              </w:rPr>
              <w:t>1.2 Background</w:t>
            </w:r>
            <w:r w:rsidR="001F3DFB">
              <w:rPr>
                <w:noProof/>
                <w:webHidden/>
              </w:rPr>
              <w:tab/>
            </w:r>
            <w:r w:rsidR="001F3DFB">
              <w:rPr>
                <w:noProof/>
                <w:webHidden/>
              </w:rPr>
              <w:fldChar w:fldCharType="begin"/>
            </w:r>
            <w:r w:rsidR="001F3DFB">
              <w:rPr>
                <w:noProof/>
                <w:webHidden/>
              </w:rPr>
              <w:instrText xml:space="preserve"> PAGEREF _Toc207097798 \h </w:instrText>
            </w:r>
            <w:r w:rsidR="001F3DFB">
              <w:rPr>
                <w:noProof/>
                <w:webHidden/>
              </w:rPr>
            </w:r>
            <w:r w:rsidR="001F3DFB">
              <w:rPr>
                <w:noProof/>
                <w:webHidden/>
              </w:rPr>
              <w:fldChar w:fldCharType="separate"/>
            </w:r>
            <w:r w:rsidR="001F3DFB">
              <w:rPr>
                <w:noProof/>
                <w:webHidden/>
              </w:rPr>
              <w:t>8</w:t>
            </w:r>
            <w:r w:rsidR="001F3DFB">
              <w:rPr>
                <w:noProof/>
                <w:webHidden/>
              </w:rPr>
              <w:fldChar w:fldCharType="end"/>
            </w:r>
          </w:hyperlink>
        </w:p>
        <w:p w14:paraId="126D023D" w14:textId="7B498804" w:rsidR="001F3DFB" w:rsidRDefault="008963DE">
          <w:pPr>
            <w:pStyle w:val="TOC1"/>
            <w:tabs>
              <w:tab w:val="left" w:pos="440"/>
              <w:tab w:val="right" w:leader="dot" w:pos="9628"/>
            </w:tabs>
            <w:rPr>
              <w:noProof/>
              <w:kern w:val="2"/>
              <w:sz w:val="24"/>
              <w:szCs w:val="24"/>
              <w:lang w:eastAsia="en-AU"/>
              <w14:ligatures w14:val="standardContextual"/>
            </w:rPr>
          </w:pPr>
          <w:hyperlink w:anchor="_Toc207097799" w:history="1">
            <w:r w:rsidR="001F3DFB" w:rsidRPr="00B713D7">
              <w:rPr>
                <w:rStyle w:val="Hyperlink"/>
                <w:noProof/>
              </w:rPr>
              <w:t>2.</w:t>
            </w:r>
            <w:r w:rsidR="001F3DFB">
              <w:rPr>
                <w:noProof/>
                <w:kern w:val="2"/>
                <w:sz w:val="24"/>
                <w:szCs w:val="24"/>
                <w:lang w:eastAsia="en-AU"/>
                <w14:ligatures w14:val="standardContextual"/>
              </w:rPr>
              <w:tab/>
            </w:r>
            <w:r w:rsidR="001F3DFB" w:rsidRPr="00B713D7">
              <w:rPr>
                <w:rStyle w:val="Hyperlink"/>
                <w:noProof/>
              </w:rPr>
              <w:t>What are the objectives, why is government intervention needed to achieve them, and how will success be measured?</w:t>
            </w:r>
            <w:r w:rsidR="001F3DFB">
              <w:rPr>
                <w:noProof/>
                <w:webHidden/>
              </w:rPr>
              <w:tab/>
            </w:r>
            <w:r w:rsidR="001F3DFB">
              <w:rPr>
                <w:noProof/>
                <w:webHidden/>
              </w:rPr>
              <w:fldChar w:fldCharType="begin"/>
            </w:r>
            <w:r w:rsidR="001F3DFB">
              <w:rPr>
                <w:noProof/>
                <w:webHidden/>
              </w:rPr>
              <w:instrText xml:space="preserve"> PAGEREF _Toc207097799 \h </w:instrText>
            </w:r>
            <w:r w:rsidR="001F3DFB">
              <w:rPr>
                <w:noProof/>
                <w:webHidden/>
              </w:rPr>
            </w:r>
            <w:r w:rsidR="001F3DFB">
              <w:rPr>
                <w:noProof/>
                <w:webHidden/>
              </w:rPr>
              <w:fldChar w:fldCharType="separate"/>
            </w:r>
            <w:r w:rsidR="001F3DFB">
              <w:rPr>
                <w:noProof/>
                <w:webHidden/>
              </w:rPr>
              <w:t>11</w:t>
            </w:r>
            <w:r w:rsidR="001F3DFB">
              <w:rPr>
                <w:noProof/>
                <w:webHidden/>
              </w:rPr>
              <w:fldChar w:fldCharType="end"/>
            </w:r>
          </w:hyperlink>
        </w:p>
        <w:p w14:paraId="7AFB936E" w14:textId="00C28970" w:rsidR="001F3DFB" w:rsidRDefault="008963DE">
          <w:pPr>
            <w:pStyle w:val="TOC2"/>
            <w:tabs>
              <w:tab w:val="right" w:leader="dot" w:pos="9628"/>
            </w:tabs>
            <w:rPr>
              <w:noProof/>
              <w:kern w:val="2"/>
              <w:sz w:val="24"/>
              <w:szCs w:val="24"/>
              <w:lang w:eastAsia="en-AU"/>
              <w14:ligatures w14:val="standardContextual"/>
            </w:rPr>
          </w:pPr>
          <w:hyperlink w:anchor="_Toc207097800" w:history="1">
            <w:r w:rsidR="001F3DFB" w:rsidRPr="00B713D7">
              <w:rPr>
                <w:rStyle w:val="Hyperlink"/>
                <w:noProof/>
              </w:rPr>
              <w:t>2.1 Why intervention is required</w:t>
            </w:r>
            <w:r w:rsidR="001F3DFB">
              <w:rPr>
                <w:noProof/>
                <w:webHidden/>
              </w:rPr>
              <w:tab/>
            </w:r>
            <w:r w:rsidR="001F3DFB">
              <w:rPr>
                <w:noProof/>
                <w:webHidden/>
              </w:rPr>
              <w:fldChar w:fldCharType="begin"/>
            </w:r>
            <w:r w:rsidR="001F3DFB">
              <w:rPr>
                <w:noProof/>
                <w:webHidden/>
              </w:rPr>
              <w:instrText xml:space="preserve"> PAGEREF _Toc207097800 \h </w:instrText>
            </w:r>
            <w:r w:rsidR="001F3DFB">
              <w:rPr>
                <w:noProof/>
                <w:webHidden/>
              </w:rPr>
            </w:r>
            <w:r w:rsidR="001F3DFB">
              <w:rPr>
                <w:noProof/>
                <w:webHidden/>
              </w:rPr>
              <w:fldChar w:fldCharType="separate"/>
            </w:r>
            <w:r w:rsidR="001F3DFB">
              <w:rPr>
                <w:noProof/>
                <w:webHidden/>
              </w:rPr>
              <w:t>11</w:t>
            </w:r>
            <w:r w:rsidR="001F3DFB">
              <w:rPr>
                <w:noProof/>
                <w:webHidden/>
              </w:rPr>
              <w:fldChar w:fldCharType="end"/>
            </w:r>
          </w:hyperlink>
        </w:p>
        <w:p w14:paraId="2053E8C9" w14:textId="41F47260" w:rsidR="001F3DFB" w:rsidRDefault="008963DE">
          <w:pPr>
            <w:pStyle w:val="TOC2"/>
            <w:tabs>
              <w:tab w:val="right" w:leader="dot" w:pos="9628"/>
            </w:tabs>
            <w:rPr>
              <w:noProof/>
              <w:kern w:val="2"/>
              <w:sz w:val="24"/>
              <w:szCs w:val="24"/>
              <w:lang w:eastAsia="en-AU"/>
              <w14:ligatures w14:val="standardContextual"/>
            </w:rPr>
          </w:pPr>
          <w:hyperlink w:anchor="_Toc207097801" w:history="1">
            <w:r w:rsidR="001F3DFB" w:rsidRPr="00B713D7">
              <w:rPr>
                <w:rStyle w:val="Hyperlink"/>
                <w:noProof/>
              </w:rPr>
              <w:t>2.2 Measuring success- lawfulness</w:t>
            </w:r>
            <w:r w:rsidR="001F3DFB">
              <w:rPr>
                <w:noProof/>
                <w:webHidden/>
              </w:rPr>
              <w:tab/>
            </w:r>
            <w:r w:rsidR="001F3DFB">
              <w:rPr>
                <w:noProof/>
                <w:webHidden/>
              </w:rPr>
              <w:fldChar w:fldCharType="begin"/>
            </w:r>
            <w:r w:rsidR="001F3DFB">
              <w:rPr>
                <w:noProof/>
                <w:webHidden/>
              </w:rPr>
              <w:instrText xml:space="preserve"> PAGEREF _Toc207097801 \h </w:instrText>
            </w:r>
            <w:r w:rsidR="001F3DFB">
              <w:rPr>
                <w:noProof/>
                <w:webHidden/>
              </w:rPr>
            </w:r>
            <w:r w:rsidR="001F3DFB">
              <w:rPr>
                <w:noProof/>
                <w:webHidden/>
              </w:rPr>
              <w:fldChar w:fldCharType="separate"/>
            </w:r>
            <w:r w:rsidR="001F3DFB">
              <w:rPr>
                <w:noProof/>
                <w:webHidden/>
              </w:rPr>
              <w:t>11</w:t>
            </w:r>
            <w:r w:rsidR="001F3DFB">
              <w:rPr>
                <w:noProof/>
                <w:webHidden/>
              </w:rPr>
              <w:fldChar w:fldCharType="end"/>
            </w:r>
          </w:hyperlink>
        </w:p>
        <w:p w14:paraId="4E162A61" w14:textId="4BB0E74F" w:rsidR="001F3DFB" w:rsidRDefault="008963DE">
          <w:pPr>
            <w:pStyle w:val="TOC2"/>
            <w:tabs>
              <w:tab w:val="right" w:leader="dot" w:pos="9628"/>
            </w:tabs>
            <w:rPr>
              <w:noProof/>
              <w:kern w:val="2"/>
              <w:sz w:val="24"/>
              <w:szCs w:val="24"/>
              <w:lang w:eastAsia="en-AU"/>
              <w14:ligatures w14:val="standardContextual"/>
            </w:rPr>
          </w:pPr>
          <w:hyperlink w:anchor="_Toc207097802" w:history="1">
            <w:r w:rsidR="001F3DFB" w:rsidRPr="00B713D7">
              <w:rPr>
                <w:rStyle w:val="Hyperlink"/>
                <w:noProof/>
              </w:rPr>
              <w:t>2.3 Measuring success – fairness</w:t>
            </w:r>
            <w:r w:rsidR="001F3DFB">
              <w:rPr>
                <w:noProof/>
                <w:webHidden/>
              </w:rPr>
              <w:tab/>
            </w:r>
            <w:r w:rsidR="001F3DFB">
              <w:rPr>
                <w:noProof/>
                <w:webHidden/>
              </w:rPr>
              <w:fldChar w:fldCharType="begin"/>
            </w:r>
            <w:r w:rsidR="001F3DFB">
              <w:rPr>
                <w:noProof/>
                <w:webHidden/>
              </w:rPr>
              <w:instrText xml:space="preserve"> PAGEREF _Toc207097802 \h </w:instrText>
            </w:r>
            <w:r w:rsidR="001F3DFB">
              <w:rPr>
                <w:noProof/>
                <w:webHidden/>
              </w:rPr>
            </w:r>
            <w:r w:rsidR="001F3DFB">
              <w:rPr>
                <w:noProof/>
                <w:webHidden/>
              </w:rPr>
              <w:fldChar w:fldCharType="separate"/>
            </w:r>
            <w:r w:rsidR="001F3DFB">
              <w:rPr>
                <w:noProof/>
                <w:webHidden/>
              </w:rPr>
              <w:t>11</w:t>
            </w:r>
            <w:r w:rsidR="001F3DFB">
              <w:rPr>
                <w:noProof/>
                <w:webHidden/>
              </w:rPr>
              <w:fldChar w:fldCharType="end"/>
            </w:r>
          </w:hyperlink>
        </w:p>
        <w:p w14:paraId="4364B064" w14:textId="01CEAA99" w:rsidR="001F3DFB" w:rsidRDefault="008963DE">
          <w:pPr>
            <w:pStyle w:val="TOC2"/>
            <w:tabs>
              <w:tab w:val="right" w:leader="dot" w:pos="9628"/>
            </w:tabs>
            <w:rPr>
              <w:noProof/>
              <w:kern w:val="2"/>
              <w:sz w:val="24"/>
              <w:szCs w:val="24"/>
              <w:lang w:eastAsia="en-AU"/>
              <w14:ligatures w14:val="standardContextual"/>
            </w:rPr>
          </w:pPr>
          <w:hyperlink w:anchor="_Toc207097803" w:history="1">
            <w:r w:rsidR="001F3DFB" w:rsidRPr="00B713D7">
              <w:rPr>
                <w:rStyle w:val="Hyperlink"/>
                <w:noProof/>
              </w:rPr>
              <w:t>2.4 Measuring success – timeliness</w:t>
            </w:r>
            <w:r w:rsidR="001F3DFB">
              <w:rPr>
                <w:noProof/>
                <w:webHidden/>
              </w:rPr>
              <w:tab/>
            </w:r>
            <w:r w:rsidR="001F3DFB">
              <w:rPr>
                <w:noProof/>
                <w:webHidden/>
              </w:rPr>
              <w:fldChar w:fldCharType="begin"/>
            </w:r>
            <w:r w:rsidR="001F3DFB">
              <w:rPr>
                <w:noProof/>
                <w:webHidden/>
              </w:rPr>
              <w:instrText xml:space="preserve"> PAGEREF _Toc207097803 \h </w:instrText>
            </w:r>
            <w:r w:rsidR="001F3DFB">
              <w:rPr>
                <w:noProof/>
                <w:webHidden/>
              </w:rPr>
            </w:r>
            <w:r w:rsidR="001F3DFB">
              <w:rPr>
                <w:noProof/>
                <w:webHidden/>
              </w:rPr>
              <w:fldChar w:fldCharType="separate"/>
            </w:r>
            <w:r w:rsidR="001F3DFB">
              <w:rPr>
                <w:noProof/>
                <w:webHidden/>
              </w:rPr>
              <w:t>12</w:t>
            </w:r>
            <w:r w:rsidR="001F3DFB">
              <w:rPr>
                <w:noProof/>
                <w:webHidden/>
              </w:rPr>
              <w:fldChar w:fldCharType="end"/>
            </w:r>
          </w:hyperlink>
        </w:p>
        <w:p w14:paraId="08CFCE6A" w14:textId="1527CE13" w:rsidR="001F3DFB" w:rsidRDefault="008963DE">
          <w:pPr>
            <w:pStyle w:val="TOC1"/>
            <w:tabs>
              <w:tab w:val="left" w:pos="440"/>
              <w:tab w:val="right" w:leader="dot" w:pos="9628"/>
            </w:tabs>
            <w:rPr>
              <w:noProof/>
              <w:kern w:val="2"/>
              <w:sz w:val="24"/>
              <w:szCs w:val="24"/>
              <w:lang w:eastAsia="en-AU"/>
              <w14:ligatures w14:val="standardContextual"/>
            </w:rPr>
          </w:pPr>
          <w:hyperlink w:anchor="_Toc207097804" w:history="1">
            <w:r w:rsidR="001F3DFB" w:rsidRPr="00B713D7">
              <w:rPr>
                <w:rStyle w:val="Hyperlink"/>
                <w:noProof/>
              </w:rPr>
              <w:t>3.</w:t>
            </w:r>
            <w:r w:rsidR="001F3DFB">
              <w:rPr>
                <w:noProof/>
                <w:kern w:val="2"/>
                <w:sz w:val="24"/>
                <w:szCs w:val="24"/>
                <w:lang w:eastAsia="en-AU"/>
                <w14:ligatures w14:val="standardContextual"/>
              </w:rPr>
              <w:tab/>
            </w:r>
            <w:r w:rsidR="001F3DFB" w:rsidRPr="00B713D7">
              <w:rPr>
                <w:rStyle w:val="Hyperlink"/>
                <w:noProof/>
              </w:rPr>
              <w:t>What policy options are you considering?</w:t>
            </w:r>
            <w:r w:rsidR="001F3DFB">
              <w:rPr>
                <w:noProof/>
                <w:webHidden/>
              </w:rPr>
              <w:tab/>
            </w:r>
            <w:r w:rsidR="001F3DFB">
              <w:rPr>
                <w:noProof/>
                <w:webHidden/>
              </w:rPr>
              <w:fldChar w:fldCharType="begin"/>
            </w:r>
            <w:r w:rsidR="001F3DFB">
              <w:rPr>
                <w:noProof/>
                <w:webHidden/>
              </w:rPr>
              <w:instrText xml:space="preserve"> PAGEREF _Toc207097804 \h </w:instrText>
            </w:r>
            <w:r w:rsidR="001F3DFB">
              <w:rPr>
                <w:noProof/>
                <w:webHidden/>
              </w:rPr>
            </w:r>
            <w:r w:rsidR="001F3DFB">
              <w:rPr>
                <w:noProof/>
                <w:webHidden/>
              </w:rPr>
              <w:fldChar w:fldCharType="separate"/>
            </w:r>
            <w:r w:rsidR="001F3DFB">
              <w:rPr>
                <w:noProof/>
                <w:webHidden/>
              </w:rPr>
              <w:t>13</w:t>
            </w:r>
            <w:r w:rsidR="001F3DFB">
              <w:rPr>
                <w:noProof/>
                <w:webHidden/>
              </w:rPr>
              <w:fldChar w:fldCharType="end"/>
            </w:r>
          </w:hyperlink>
        </w:p>
        <w:p w14:paraId="272E6312" w14:textId="72EDD1BB" w:rsidR="001F3DFB" w:rsidRDefault="008963DE">
          <w:pPr>
            <w:pStyle w:val="TOC2"/>
            <w:tabs>
              <w:tab w:val="right" w:leader="dot" w:pos="9628"/>
            </w:tabs>
            <w:rPr>
              <w:noProof/>
              <w:kern w:val="2"/>
              <w:sz w:val="24"/>
              <w:szCs w:val="24"/>
              <w:lang w:eastAsia="en-AU"/>
              <w14:ligatures w14:val="standardContextual"/>
            </w:rPr>
          </w:pPr>
          <w:hyperlink w:anchor="_Toc207097805" w:history="1">
            <w:r w:rsidR="001F3DFB" w:rsidRPr="00B713D7">
              <w:rPr>
                <w:rStyle w:val="Hyperlink"/>
                <w:noProof/>
              </w:rPr>
              <w:t>3.1 Status quo (no Government action)</w:t>
            </w:r>
            <w:r w:rsidR="001F3DFB">
              <w:rPr>
                <w:noProof/>
                <w:webHidden/>
              </w:rPr>
              <w:tab/>
            </w:r>
            <w:r w:rsidR="001F3DFB">
              <w:rPr>
                <w:noProof/>
                <w:webHidden/>
              </w:rPr>
              <w:fldChar w:fldCharType="begin"/>
            </w:r>
            <w:r w:rsidR="001F3DFB">
              <w:rPr>
                <w:noProof/>
                <w:webHidden/>
              </w:rPr>
              <w:instrText xml:space="preserve"> PAGEREF _Toc207097805 \h </w:instrText>
            </w:r>
            <w:r w:rsidR="001F3DFB">
              <w:rPr>
                <w:noProof/>
                <w:webHidden/>
              </w:rPr>
            </w:r>
            <w:r w:rsidR="001F3DFB">
              <w:rPr>
                <w:noProof/>
                <w:webHidden/>
              </w:rPr>
              <w:fldChar w:fldCharType="separate"/>
            </w:r>
            <w:r w:rsidR="001F3DFB">
              <w:rPr>
                <w:noProof/>
                <w:webHidden/>
              </w:rPr>
              <w:t>13</w:t>
            </w:r>
            <w:r w:rsidR="001F3DFB">
              <w:rPr>
                <w:noProof/>
                <w:webHidden/>
              </w:rPr>
              <w:fldChar w:fldCharType="end"/>
            </w:r>
          </w:hyperlink>
        </w:p>
        <w:p w14:paraId="399B639C" w14:textId="4D9026B9" w:rsidR="001F3DFB" w:rsidRDefault="008963DE">
          <w:pPr>
            <w:pStyle w:val="TOC2"/>
            <w:tabs>
              <w:tab w:val="right" w:leader="dot" w:pos="9628"/>
            </w:tabs>
            <w:rPr>
              <w:noProof/>
              <w:kern w:val="2"/>
              <w:sz w:val="24"/>
              <w:szCs w:val="24"/>
              <w:lang w:eastAsia="en-AU"/>
              <w14:ligatures w14:val="standardContextual"/>
            </w:rPr>
          </w:pPr>
          <w:hyperlink w:anchor="_Toc207097806" w:history="1">
            <w:r w:rsidR="001F3DFB" w:rsidRPr="00B713D7">
              <w:rPr>
                <w:rStyle w:val="Hyperlink"/>
                <w:noProof/>
              </w:rPr>
              <w:t>3.2 Waive all potentially affected debts</w:t>
            </w:r>
            <w:r w:rsidR="001F3DFB">
              <w:rPr>
                <w:noProof/>
                <w:webHidden/>
              </w:rPr>
              <w:tab/>
            </w:r>
            <w:r w:rsidR="001F3DFB">
              <w:rPr>
                <w:noProof/>
                <w:webHidden/>
              </w:rPr>
              <w:fldChar w:fldCharType="begin"/>
            </w:r>
            <w:r w:rsidR="001F3DFB">
              <w:rPr>
                <w:noProof/>
                <w:webHidden/>
              </w:rPr>
              <w:instrText xml:space="preserve"> PAGEREF _Toc207097806 \h </w:instrText>
            </w:r>
            <w:r w:rsidR="001F3DFB">
              <w:rPr>
                <w:noProof/>
                <w:webHidden/>
              </w:rPr>
            </w:r>
            <w:r w:rsidR="001F3DFB">
              <w:rPr>
                <w:noProof/>
                <w:webHidden/>
              </w:rPr>
              <w:fldChar w:fldCharType="separate"/>
            </w:r>
            <w:r w:rsidR="001F3DFB">
              <w:rPr>
                <w:noProof/>
                <w:webHidden/>
              </w:rPr>
              <w:t>13</w:t>
            </w:r>
            <w:r w:rsidR="001F3DFB">
              <w:rPr>
                <w:noProof/>
                <w:webHidden/>
              </w:rPr>
              <w:fldChar w:fldCharType="end"/>
            </w:r>
          </w:hyperlink>
        </w:p>
        <w:p w14:paraId="194928BF" w14:textId="29F6C540" w:rsidR="001F3DFB" w:rsidRDefault="008963DE">
          <w:pPr>
            <w:pStyle w:val="TOC2"/>
            <w:tabs>
              <w:tab w:val="right" w:leader="dot" w:pos="9628"/>
            </w:tabs>
            <w:rPr>
              <w:noProof/>
              <w:kern w:val="2"/>
              <w:sz w:val="24"/>
              <w:szCs w:val="24"/>
              <w:lang w:eastAsia="en-AU"/>
              <w14:ligatures w14:val="standardContextual"/>
            </w:rPr>
          </w:pPr>
          <w:hyperlink w:anchor="_Toc207097807" w:history="1">
            <w:r w:rsidR="001F3DFB" w:rsidRPr="00B713D7">
              <w:rPr>
                <w:rStyle w:val="Hyperlink"/>
                <w:noProof/>
              </w:rPr>
              <w:t>3.3 Identify and recalculate all affected debts</w:t>
            </w:r>
            <w:r w:rsidR="001F3DFB">
              <w:rPr>
                <w:noProof/>
                <w:webHidden/>
              </w:rPr>
              <w:tab/>
            </w:r>
            <w:r w:rsidR="001F3DFB">
              <w:rPr>
                <w:noProof/>
                <w:webHidden/>
              </w:rPr>
              <w:fldChar w:fldCharType="begin"/>
            </w:r>
            <w:r w:rsidR="001F3DFB">
              <w:rPr>
                <w:noProof/>
                <w:webHidden/>
              </w:rPr>
              <w:instrText xml:space="preserve"> PAGEREF _Toc207097807 \h </w:instrText>
            </w:r>
            <w:r w:rsidR="001F3DFB">
              <w:rPr>
                <w:noProof/>
                <w:webHidden/>
              </w:rPr>
            </w:r>
            <w:r w:rsidR="001F3DFB">
              <w:rPr>
                <w:noProof/>
                <w:webHidden/>
              </w:rPr>
              <w:fldChar w:fldCharType="separate"/>
            </w:r>
            <w:r w:rsidR="001F3DFB">
              <w:rPr>
                <w:noProof/>
                <w:webHidden/>
              </w:rPr>
              <w:t>14</w:t>
            </w:r>
            <w:r w:rsidR="001F3DFB">
              <w:rPr>
                <w:noProof/>
                <w:webHidden/>
              </w:rPr>
              <w:fldChar w:fldCharType="end"/>
            </w:r>
          </w:hyperlink>
        </w:p>
        <w:p w14:paraId="26ACEF65" w14:textId="6129C0D0" w:rsidR="001F3DFB" w:rsidRDefault="008963DE">
          <w:pPr>
            <w:pStyle w:val="TOC2"/>
            <w:tabs>
              <w:tab w:val="right" w:leader="dot" w:pos="9628"/>
            </w:tabs>
            <w:rPr>
              <w:noProof/>
              <w:kern w:val="2"/>
              <w:sz w:val="24"/>
              <w:szCs w:val="24"/>
              <w:lang w:eastAsia="en-AU"/>
              <w14:ligatures w14:val="standardContextual"/>
            </w:rPr>
          </w:pPr>
          <w:hyperlink w:anchor="_Toc207097808" w:history="1">
            <w:r w:rsidR="001F3DFB" w:rsidRPr="00B713D7">
              <w:rPr>
                <w:rStyle w:val="Hyperlink"/>
                <w:noProof/>
              </w:rPr>
              <w:t>3.4 Retrospective validation of income apportionment</w:t>
            </w:r>
            <w:r w:rsidR="001F3DFB">
              <w:rPr>
                <w:noProof/>
                <w:webHidden/>
              </w:rPr>
              <w:tab/>
            </w:r>
            <w:r w:rsidR="001F3DFB">
              <w:rPr>
                <w:noProof/>
                <w:webHidden/>
              </w:rPr>
              <w:fldChar w:fldCharType="begin"/>
            </w:r>
            <w:r w:rsidR="001F3DFB">
              <w:rPr>
                <w:noProof/>
                <w:webHidden/>
              </w:rPr>
              <w:instrText xml:space="preserve"> PAGEREF _Toc207097808 \h </w:instrText>
            </w:r>
            <w:r w:rsidR="001F3DFB">
              <w:rPr>
                <w:noProof/>
                <w:webHidden/>
              </w:rPr>
            </w:r>
            <w:r w:rsidR="001F3DFB">
              <w:rPr>
                <w:noProof/>
                <w:webHidden/>
              </w:rPr>
              <w:fldChar w:fldCharType="separate"/>
            </w:r>
            <w:r w:rsidR="001F3DFB">
              <w:rPr>
                <w:noProof/>
                <w:webHidden/>
              </w:rPr>
              <w:t>15</w:t>
            </w:r>
            <w:r w:rsidR="001F3DFB">
              <w:rPr>
                <w:noProof/>
                <w:webHidden/>
              </w:rPr>
              <w:fldChar w:fldCharType="end"/>
            </w:r>
          </w:hyperlink>
        </w:p>
        <w:p w14:paraId="5368BE85" w14:textId="6478D760" w:rsidR="001F3DFB" w:rsidRDefault="008963DE">
          <w:pPr>
            <w:pStyle w:val="TOC2"/>
            <w:tabs>
              <w:tab w:val="right" w:leader="dot" w:pos="9628"/>
            </w:tabs>
            <w:rPr>
              <w:noProof/>
              <w:kern w:val="2"/>
              <w:sz w:val="24"/>
              <w:szCs w:val="24"/>
              <w:lang w:eastAsia="en-AU"/>
              <w14:ligatures w14:val="standardContextual"/>
            </w:rPr>
          </w:pPr>
          <w:hyperlink w:anchor="_Toc207097809" w:history="1">
            <w:r w:rsidR="001F3DFB" w:rsidRPr="00B713D7">
              <w:rPr>
                <w:rStyle w:val="Hyperlink"/>
                <w:noProof/>
              </w:rPr>
              <w:t>3.5 Retrospective validation and a partial waiver of paused debts</w:t>
            </w:r>
            <w:r w:rsidR="001F3DFB">
              <w:rPr>
                <w:noProof/>
                <w:webHidden/>
              </w:rPr>
              <w:tab/>
            </w:r>
            <w:r w:rsidR="001F3DFB">
              <w:rPr>
                <w:noProof/>
                <w:webHidden/>
              </w:rPr>
              <w:fldChar w:fldCharType="begin"/>
            </w:r>
            <w:r w:rsidR="001F3DFB">
              <w:rPr>
                <w:noProof/>
                <w:webHidden/>
              </w:rPr>
              <w:instrText xml:space="preserve"> PAGEREF _Toc207097809 \h </w:instrText>
            </w:r>
            <w:r w:rsidR="001F3DFB">
              <w:rPr>
                <w:noProof/>
                <w:webHidden/>
              </w:rPr>
            </w:r>
            <w:r w:rsidR="001F3DFB">
              <w:rPr>
                <w:noProof/>
                <w:webHidden/>
              </w:rPr>
              <w:fldChar w:fldCharType="separate"/>
            </w:r>
            <w:r w:rsidR="001F3DFB">
              <w:rPr>
                <w:noProof/>
                <w:webHidden/>
              </w:rPr>
              <w:t>15</w:t>
            </w:r>
            <w:r w:rsidR="001F3DFB">
              <w:rPr>
                <w:noProof/>
                <w:webHidden/>
              </w:rPr>
              <w:fldChar w:fldCharType="end"/>
            </w:r>
          </w:hyperlink>
        </w:p>
        <w:p w14:paraId="7461E36F" w14:textId="02D2CAAC" w:rsidR="001F3DFB" w:rsidRDefault="008963DE">
          <w:pPr>
            <w:pStyle w:val="TOC2"/>
            <w:tabs>
              <w:tab w:val="right" w:leader="dot" w:pos="9628"/>
            </w:tabs>
            <w:rPr>
              <w:noProof/>
              <w:kern w:val="2"/>
              <w:sz w:val="24"/>
              <w:szCs w:val="24"/>
              <w:lang w:eastAsia="en-AU"/>
              <w14:ligatures w14:val="standardContextual"/>
            </w:rPr>
          </w:pPr>
          <w:hyperlink w:anchor="_Toc207097810" w:history="1">
            <w:r w:rsidR="001F3DFB" w:rsidRPr="00B713D7">
              <w:rPr>
                <w:rStyle w:val="Hyperlink"/>
                <w:noProof/>
              </w:rPr>
              <w:t>3.6 Retrospective validation and a resolution scheme</w:t>
            </w:r>
            <w:r w:rsidR="001F3DFB">
              <w:rPr>
                <w:noProof/>
                <w:webHidden/>
              </w:rPr>
              <w:tab/>
            </w:r>
            <w:r w:rsidR="001F3DFB">
              <w:rPr>
                <w:noProof/>
                <w:webHidden/>
              </w:rPr>
              <w:fldChar w:fldCharType="begin"/>
            </w:r>
            <w:r w:rsidR="001F3DFB">
              <w:rPr>
                <w:noProof/>
                <w:webHidden/>
              </w:rPr>
              <w:instrText xml:space="preserve"> PAGEREF _Toc207097810 \h </w:instrText>
            </w:r>
            <w:r w:rsidR="001F3DFB">
              <w:rPr>
                <w:noProof/>
                <w:webHidden/>
              </w:rPr>
            </w:r>
            <w:r w:rsidR="001F3DFB">
              <w:rPr>
                <w:noProof/>
                <w:webHidden/>
              </w:rPr>
              <w:fldChar w:fldCharType="separate"/>
            </w:r>
            <w:r w:rsidR="001F3DFB">
              <w:rPr>
                <w:noProof/>
                <w:webHidden/>
              </w:rPr>
              <w:t>16</w:t>
            </w:r>
            <w:r w:rsidR="001F3DFB">
              <w:rPr>
                <w:noProof/>
                <w:webHidden/>
              </w:rPr>
              <w:fldChar w:fldCharType="end"/>
            </w:r>
          </w:hyperlink>
        </w:p>
        <w:p w14:paraId="6A5F0179" w14:textId="3A8500E3" w:rsidR="001F3DFB" w:rsidRDefault="008963DE">
          <w:pPr>
            <w:pStyle w:val="TOC1"/>
            <w:tabs>
              <w:tab w:val="left" w:pos="440"/>
              <w:tab w:val="right" w:leader="dot" w:pos="9628"/>
            </w:tabs>
            <w:rPr>
              <w:noProof/>
              <w:kern w:val="2"/>
              <w:sz w:val="24"/>
              <w:szCs w:val="24"/>
              <w:lang w:eastAsia="en-AU"/>
              <w14:ligatures w14:val="standardContextual"/>
            </w:rPr>
          </w:pPr>
          <w:hyperlink w:anchor="_Toc207097811" w:history="1">
            <w:r w:rsidR="001F3DFB" w:rsidRPr="00B713D7">
              <w:rPr>
                <w:rStyle w:val="Hyperlink"/>
                <w:noProof/>
              </w:rPr>
              <w:t>4.</w:t>
            </w:r>
            <w:r w:rsidR="001F3DFB">
              <w:rPr>
                <w:noProof/>
                <w:kern w:val="2"/>
                <w:sz w:val="24"/>
                <w:szCs w:val="24"/>
                <w:lang w:eastAsia="en-AU"/>
                <w14:ligatures w14:val="standardContextual"/>
              </w:rPr>
              <w:tab/>
            </w:r>
            <w:r w:rsidR="001F3DFB" w:rsidRPr="00B713D7">
              <w:rPr>
                <w:rStyle w:val="Hyperlink"/>
                <w:noProof/>
              </w:rPr>
              <w:t>What is the likely net benefit and risks of each option?</w:t>
            </w:r>
            <w:r w:rsidR="001F3DFB">
              <w:rPr>
                <w:noProof/>
                <w:webHidden/>
              </w:rPr>
              <w:tab/>
            </w:r>
            <w:r w:rsidR="001F3DFB">
              <w:rPr>
                <w:noProof/>
                <w:webHidden/>
              </w:rPr>
              <w:fldChar w:fldCharType="begin"/>
            </w:r>
            <w:r w:rsidR="001F3DFB">
              <w:rPr>
                <w:noProof/>
                <w:webHidden/>
              </w:rPr>
              <w:instrText xml:space="preserve"> PAGEREF _Toc207097811 \h </w:instrText>
            </w:r>
            <w:r w:rsidR="001F3DFB">
              <w:rPr>
                <w:noProof/>
                <w:webHidden/>
              </w:rPr>
            </w:r>
            <w:r w:rsidR="001F3DFB">
              <w:rPr>
                <w:noProof/>
                <w:webHidden/>
              </w:rPr>
              <w:fldChar w:fldCharType="separate"/>
            </w:r>
            <w:r w:rsidR="001F3DFB">
              <w:rPr>
                <w:noProof/>
                <w:webHidden/>
              </w:rPr>
              <w:t>17</w:t>
            </w:r>
            <w:r w:rsidR="001F3DFB">
              <w:rPr>
                <w:noProof/>
                <w:webHidden/>
              </w:rPr>
              <w:fldChar w:fldCharType="end"/>
            </w:r>
          </w:hyperlink>
        </w:p>
        <w:p w14:paraId="59C86B61" w14:textId="133B2B1D" w:rsidR="001F3DFB" w:rsidRDefault="008963DE">
          <w:pPr>
            <w:pStyle w:val="TOC2"/>
            <w:tabs>
              <w:tab w:val="right" w:leader="dot" w:pos="9628"/>
            </w:tabs>
            <w:rPr>
              <w:noProof/>
              <w:kern w:val="2"/>
              <w:sz w:val="24"/>
              <w:szCs w:val="24"/>
              <w:lang w:eastAsia="en-AU"/>
              <w14:ligatures w14:val="standardContextual"/>
            </w:rPr>
          </w:pPr>
          <w:hyperlink w:anchor="_Toc207097812" w:history="1">
            <w:r w:rsidR="001F3DFB" w:rsidRPr="00B713D7">
              <w:rPr>
                <w:rStyle w:val="Hyperlink"/>
                <w:noProof/>
              </w:rPr>
              <w:t>4.1 Status quo (no Government Action)</w:t>
            </w:r>
            <w:r w:rsidR="001F3DFB">
              <w:rPr>
                <w:noProof/>
                <w:webHidden/>
              </w:rPr>
              <w:tab/>
            </w:r>
            <w:r w:rsidR="001F3DFB">
              <w:rPr>
                <w:noProof/>
                <w:webHidden/>
              </w:rPr>
              <w:fldChar w:fldCharType="begin"/>
            </w:r>
            <w:r w:rsidR="001F3DFB">
              <w:rPr>
                <w:noProof/>
                <w:webHidden/>
              </w:rPr>
              <w:instrText xml:space="preserve"> PAGEREF _Toc207097812 \h </w:instrText>
            </w:r>
            <w:r w:rsidR="001F3DFB">
              <w:rPr>
                <w:noProof/>
                <w:webHidden/>
              </w:rPr>
            </w:r>
            <w:r w:rsidR="001F3DFB">
              <w:rPr>
                <w:noProof/>
                <w:webHidden/>
              </w:rPr>
              <w:fldChar w:fldCharType="separate"/>
            </w:r>
            <w:r w:rsidR="001F3DFB">
              <w:rPr>
                <w:noProof/>
                <w:webHidden/>
              </w:rPr>
              <w:t>17</w:t>
            </w:r>
            <w:r w:rsidR="001F3DFB">
              <w:rPr>
                <w:noProof/>
                <w:webHidden/>
              </w:rPr>
              <w:fldChar w:fldCharType="end"/>
            </w:r>
          </w:hyperlink>
        </w:p>
        <w:p w14:paraId="78CC3BB5" w14:textId="587BFE42" w:rsidR="001F3DFB" w:rsidRDefault="008963DE">
          <w:pPr>
            <w:pStyle w:val="TOC2"/>
            <w:tabs>
              <w:tab w:val="right" w:leader="dot" w:pos="9628"/>
            </w:tabs>
            <w:rPr>
              <w:noProof/>
              <w:kern w:val="2"/>
              <w:sz w:val="24"/>
              <w:szCs w:val="24"/>
              <w:lang w:eastAsia="en-AU"/>
              <w14:ligatures w14:val="standardContextual"/>
            </w:rPr>
          </w:pPr>
          <w:hyperlink w:anchor="_Toc207097813" w:history="1">
            <w:r w:rsidR="001F3DFB" w:rsidRPr="00B713D7">
              <w:rPr>
                <w:rStyle w:val="Hyperlink"/>
                <w:noProof/>
                <w:lang w:val="en-US"/>
              </w:rPr>
              <w:t xml:space="preserve">4.2 </w:t>
            </w:r>
            <w:r w:rsidR="001F3DFB" w:rsidRPr="00B713D7">
              <w:rPr>
                <w:rStyle w:val="Hyperlink"/>
                <w:noProof/>
              </w:rPr>
              <w:t>Waive all potentially affected debts</w:t>
            </w:r>
            <w:r w:rsidR="001F3DFB">
              <w:rPr>
                <w:noProof/>
                <w:webHidden/>
              </w:rPr>
              <w:tab/>
            </w:r>
            <w:r w:rsidR="001F3DFB">
              <w:rPr>
                <w:noProof/>
                <w:webHidden/>
              </w:rPr>
              <w:fldChar w:fldCharType="begin"/>
            </w:r>
            <w:r w:rsidR="001F3DFB">
              <w:rPr>
                <w:noProof/>
                <w:webHidden/>
              </w:rPr>
              <w:instrText xml:space="preserve"> PAGEREF _Toc207097813 \h </w:instrText>
            </w:r>
            <w:r w:rsidR="001F3DFB">
              <w:rPr>
                <w:noProof/>
                <w:webHidden/>
              </w:rPr>
            </w:r>
            <w:r w:rsidR="001F3DFB">
              <w:rPr>
                <w:noProof/>
                <w:webHidden/>
              </w:rPr>
              <w:fldChar w:fldCharType="separate"/>
            </w:r>
            <w:r w:rsidR="001F3DFB">
              <w:rPr>
                <w:noProof/>
                <w:webHidden/>
              </w:rPr>
              <w:t>19</w:t>
            </w:r>
            <w:r w:rsidR="001F3DFB">
              <w:rPr>
                <w:noProof/>
                <w:webHidden/>
              </w:rPr>
              <w:fldChar w:fldCharType="end"/>
            </w:r>
          </w:hyperlink>
        </w:p>
        <w:p w14:paraId="4E1B75EE" w14:textId="576BC576" w:rsidR="001F3DFB" w:rsidRDefault="008963DE">
          <w:pPr>
            <w:pStyle w:val="TOC2"/>
            <w:tabs>
              <w:tab w:val="right" w:leader="dot" w:pos="9628"/>
            </w:tabs>
            <w:rPr>
              <w:noProof/>
              <w:kern w:val="2"/>
              <w:sz w:val="24"/>
              <w:szCs w:val="24"/>
              <w:lang w:eastAsia="en-AU"/>
              <w14:ligatures w14:val="standardContextual"/>
            </w:rPr>
          </w:pPr>
          <w:hyperlink w:anchor="_Toc207097814" w:history="1">
            <w:r w:rsidR="001F3DFB" w:rsidRPr="00B713D7">
              <w:rPr>
                <w:rStyle w:val="Hyperlink"/>
                <w:noProof/>
                <w:lang w:val="en-US"/>
              </w:rPr>
              <w:t xml:space="preserve">4.3 Identify and </w:t>
            </w:r>
            <w:r w:rsidR="001F3DFB" w:rsidRPr="00B713D7">
              <w:rPr>
                <w:rStyle w:val="Hyperlink"/>
                <w:noProof/>
              </w:rPr>
              <w:t>recalculate all affected debts</w:t>
            </w:r>
            <w:r w:rsidR="001F3DFB">
              <w:rPr>
                <w:noProof/>
                <w:webHidden/>
              </w:rPr>
              <w:tab/>
            </w:r>
            <w:r w:rsidR="001F3DFB">
              <w:rPr>
                <w:noProof/>
                <w:webHidden/>
              </w:rPr>
              <w:fldChar w:fldCharType="begin"/>
            </w:r>
            <w:r w:rsidR="001F3DFB">
              <w:rPr>
                <w:noProof/>
                <w:webHidden/>
              </w:rPr>
              <w:instrText xml:space="preserve"> PAGEREF _Toc207097814 \h </w:instrText>
            </w:r>
            <w:r w:rsidR="001F3DFB">
              <w:rPr>
                <w:noProof/>
                <w:webHidden/>
              </w:rPr>
            </w:r>
            <w:r w:rsidR="001F3DFB">
              <w:rPr>
                <w:noProof/>
                <w:webHidden/>
              </w:rPr>
              <w:fldChar w:fldCharType="separate"/>
            </w:r>
            <w:r w:rsidR="001F3DFB">
              <w:rPr>
                <w:noProof/>
                <w:webHidden/>
              </w:rPr>
              <w:t>22</w:t>
            </w:r>
            <w:r w:rsidR="001F3DFB">
              <w:rPr>
                <w:noProof/>
                <w:webHidden/>
              </w:rPr>
              <w:fldChar w:fldCharType="end"/>
            </w:r>
          </w:hyperlink>
        </w:p>
        <w:p w14:paraId="0E8809F3" w14:textId="2C8F45A7" w:rsidR="001F3DFB" w:rsidRDefault="008963DE">
          <w:pPr>
            <w:pStyle w:val="TOC2"/>
            <w:tabs>
              <w:tab w:val="right" w:leader="dot" w:pos="9628"/>
            </w:tabs>
            <w:rPr>
              <w:noProof/>
              <w:kern w:val="2"/>
              <w:sz w:val="24"/>
              <w:szCs w:val="24"/>
              <w:lang w:eastAsia="en-AU"/>
              <w14:ligatures w14:val="standardContextual"/>
            </w:rPr>
          </w:pPr>
          <w:hyperlink w:anchor="_Toc207097815" w:history="1">
            <w:r w:rsidR="001F3DFB" w:rsidRPr="00B713D7">
              <w:rPr>
                <w:rStyle w:val="Hyperlink"/>
                <w:noProof/>
                <w:lang w:val="en-US"/>
              </w:rPr>
              <w:t>4.4 Retrospective validation of income apportionment</w:t>
            </w:r>
            <w:r w:rsidR="001F3DFB">
              <w:rPr>
                <w:noProof/>
                <w:webHidden/>
              </w:rPr>
              <w:tab/>
            </w:r>
            <w:r w:rsidR="001F3DFB">
              <w:rPr>
                <w:noProof/>
                <w:webHidden/>
              </w:rPr>
              <w:fldChar w:fldCharType="begin"/>
            </w:r>
            <w:r w:rsidR="001F3DFB">
              <w:rPr>
                <w:noProof/>
                <w:webHidden/>
              </w:rPr>
              <w:instrText xml:space="preserve"> PAGEREF _Toc207097815 \h </w:instrText>
            </w:r>
            <w:r w:rsidR="001F3DFB">
              <w:rPr>
                <w:noProof/>
                <w:webHidden/>
              </w:rPr>
            </w:r>
            <w:r w:rsidR="001F3DFB">
              <w:rPr>
                <w:noProof/>
                <w:webHidden/>
              </w:rPr>
              <w:fldChar w:fldCharType="separate"/>
            </w:r>
            <w:r w:rsidR="001F3DFB">
              <w:rPr>
                <w:noProof/>
                <w:webHidden/>
              </w:rPr>
              <w:t>25</w:t>
            </w:r>
            <w:r w:rsidR="001F3DFB">
              <w:rPr>
                <w:noProof/>
                <w:webHidden/>
              </w:rPr>
              <w:fldChar w:fldCharType="end"/>
            </w:r>
          </w:hyperlink>
        </w:p>
        <w:p w14:paraId="13F264A1" w14:textId="50CB055A" w:rsidR="001F3DFB" w:rsidRDefault="008963DE">
          <w:pPr>
            <w:pStyle w:val="TOC2"/>
            <w:tabs>
              <w:tab w:val="right" w:leader="dot" w:pos="9628"/>
            </w:tabs>
            <w:rPr>
              <w:noProof/>
              <w:kern w:val="2"/>
              <w:sz w:val="24"/>
              <w:szCs w:val="24"/>
              <w:lang w:eastAsia="en-AU"/>
              <w14:ligatures w14:val="standardContextual"/>
            </w:rPr>
          </w:pPr>
          <w:hyperlink w:anchor="_Toc207097816" w:history="1">
            <w:r w:rsidR="001F3DFB" w:rsidRPr="00B713D7">
              <w:rPr>
                <w:rStyle w:val="Hyperlink"/>
                <w:noProof/>
                <w:lang w:val="en-US"/>
              </w:rPr>
              <w:t xml:space="preserve">4.5 </w:t>
            </w:r>
            <w:r w:rsidR="001F3DFB" w:rsidRPr="00B713D7">
              <w:rPr>
                <w:rStyle w:val="Hyperlink"/>
                <w:noProof/>
              </w:rPr>
              <w:t>Retrospective validation and a partial waiver of paused debts</w:t>
            </w:r>
            <w:r w:rsidR="001F3DFB">
              <w:rPr>
                <w:noProof/>
                <w:webHidden/>
              </w:rPr>
              <w:tab/>
            </w:r>
            <w:r w:rsidR="001F3DFB">
              <w:rPr>
                <w:noProof/>
                <w:webHidden/>
              </w:rPr>
              <w:fldChar w:fldCharType="begin"/>
            </w:r>
            <w:r w:rsidR="001F3DFB">
              <w:rPr>
                <w:noProof/>
                <w:webHidden/>
              </w:rPr>
              <w:instrText xml:space="preserve"> PAGEREF _Toc207097816 \h </w:instrText>
            </w:r>
            <w:r w:rsidR="001F3DFB">
              <w:rPr>
                <w:noProof/>
                <w:webHidden/>
              </w:rPr>
            </w:r>
            <w:r w:rsidR="001F3DFB">
              <w:rPr>
                <w:noProof/>
                <w:webHidden/>
              </w:rPr>
              <w:fldChar w:fldCharType="separate"/>
            </w:r>
            <w:r w:rsidR="001F3DFB">
              <w:rPr>
                <w:noProof/>
                <w:webHidden/>
              </w:rPr>
              <w:t>28</w:t>
            </w:r>
            <w:r w:rsidR="001F3DFB">
              <w:rPr>
                <w:noProof/>
                <w:webHidden/>
              </w:rPr>
              <w:fldChar w:fldCharType="end"/>
            </w:r>
          </w:hyperlink>
        </w:p>
        <w:p w14:paraId="550B348D" w14:textId="6A073F02" w:rsidR="001F3DFB" w:rsidRDefault="008963DE">
          <w:pPr>
            <w:pStyle w:val="TOC2"/>
            <w:tabs>
              <w:tab w:val="right" w:leader="dot" w:pos="9628"/>
            </w:tabs>
            <w:rPr>
              <w:noProof/>
              <w:kern w:val="2"/>
              <w:sz w:val="24"/>
              <w:szCs w:val="24"/>
              <w:lang w:eastAsia="en-AU"/>
              <w14:ligatures w14:val="standardContextual"/>
            </w:rPr>
          </w:pPr>
          <w:hyperlink w:anchor="_Toc207097817" w:history="1">
            <w:r w:rsidR="001F3DFB" w:rsidRPr="00B713D7">
              <w:rPr>
                <w:rStyle w:val="Hyperlink"/>
                <w:noProof/>
              </w:rPr>
              <w:t>4</w:t>
            </w:r>
            <w:r w:rsidR="001F3DFB" w:rsidRPr="00B713D7">
              <w:rPr>
                <w:rStyle w:val="Hyperlink"/>
                <w:noProof/>
                <w:lang w:val="en-US"/>
              </w:rPr>
              <w:t>.6 Retrospective</w:t>
            </w:r>
            <w:r w:rsidR="001F3DFB" w:rsidRPr="00B713D7">
              <w:rPr>
                <w:rStyle w:val="Hyperlink"/>
                <w:noProof/>
              </w:rPr>
              <w:t xml:space="preserve"> validation and a resolution scheme</w:t>
            </w:r>
            <w:r w:rsidR="001F3DFB">
              <w:rPr>
                <w:noProof/>
                <w:webHidden/>
              </w:rPr>
              <w:tab/>
            </w:r>
            <w:r w:rsidR="001F3DFB">
              <w:rPr>
                <w:noProof/>
                <w:webHidden/>
              </w:rPr>
              <w:fldChar w:fldCharType="begin"/>
            </w:r>
            <w:r w:rsidR="001F3DFB">
              <w:rPr>
                <w:noProof/>
                <w:webHidden/>
              </w:rPr>
              <w:instrText xml:space="preserve"> PAGEREF _Toc207097817 \h </w:instrText>
            </w:r>
            <w:r w:rsidR="001F3DFB">
              <w:rPr>
                <w:noProof/>
                <w:webHidden/>
              </w:rPr>
            </w:r>
            <w:r w:rsidR="001F3DFB">
              <w:rPr>
                <w:noProof/>
                <w:webHidden/>
              </w:rPr>
              <w:fldChar w:fldCharType="separate"/>
            </w:r>
            <w:r w:rsidR="001F3DFB">
              <w:rPr>
                <w:noProof/>
                <w:webHidden/>
              </w:rPr>
              <w:t>31</w:t>
            </w:r>
            <w:r w:rsidR="001F3DFB">
              <w:rPr>
                <w:noProof/>
                <w:webHidden/>
              </w:rPr>
              <w:fldChar w:fldCharType="end"/>
            </w:r>
          </w:hyperlink>
        </w:p>
        <w:p w14:paraId="29EBEAAD" w14:textId="7F7E31CA" w:rsidR="001F3DFB" w:rsidRDefault="008963DE">
          <w:pPr>
            <w:pStyle w:val="TOC1"/>
            <w:tabs>
              <w:tab w:val="left" w:pos="440"/>
              <w:tab w:val="right" w:leader="dot" w:pos="9628"/>
            </w:tabs>
            <w:rPr>
              <w:noProof/>
              <w:kern w:val="2"/>
              <w:sz w:val="24"/>
              <w:szCs w:val="24"/>
              <w:lang w:eastAsia="en-AU"/>
              <w14:ligatures w14:val="standardContextual"/>
            </w:rPr>
          </w:pPr>
          <w:hyperlink w:anchor="_Toc207097818" w:history="1">
            <w:r w:rsidR="001F3DFB" w:rsidRPr="00B713D7">
              <w:rPr>
                <w:rStyle w:val="Hyperlink"/>
                <w:noProof/>
              </w:rPr>
              <w:t>5.</w:t>
            </w:r>
            <w:r w:rsidR="001F3DFB">
              <w:rPr>
                <w:noProof/>
                <w:kern w:val="2"/>
                <w:sz w:val="24"/>
                <w:szCs w:val="24"/>
                <w:lang w:eastAsia="en-AU"/>
                <w14:ligatures w14:val="standardContextual"/>
              </w:rPr>
              <w:tab/>
            </w:r>
            <w:r w:rsidR="001F3DFB" w:rsidRPr="00B713D7">
              <w:rPr>
                <w:rStyle w:val="Hyperlink"/>
                <w:noProof/>
              </w:rPr>
              <w:t>Who did you consult and how did you incorporate their feedback?</w:t>
            </w:r>
            <w:r w:rsidR="001F3DFB">
              <w:rPr>
                <w:noProof/>
                <w:webHidden/>
              </w:rPr>
              <w:tab/>
            </w:r>
            <w:r w:rsidR="001F3DFB">
              <w:rPr>
                <w:noProof/>
                <w:webHidden/>
              </w:rPr>
              <w:fldChar w:fldCharType="begin"/>
            </w:r>
            <w:r w:rsidR="001F3DFB">
              <w:rPr>
                <w:noProof/>
                <w:webHidden/>
              </w:rPr>
              <w:instrText xml:space="preserve"> PAGEREF _Toc207097818 \h </w:instrText>
            </w:r>
            <w:r w:rsidR="001F3DFB">
              <w:rPr>
                <w:noProof/>
                <w:webHidden/>
              </w:rPr>
            </w:r>
            <w:r w:rsidR="001F3DFB">
              <w:rPr>
                <w:noProof/>
                <w:webHidden/>
              </w:rPr>
              <w:fldChar w:fldCharType="separate"/>
            </w:r>
            <w:r w:rsidR="001F3DFB">
              <w:rPr>
                <w:noProof/>
                <w:webHidden/>
              </w:rPr>
              <w:t>36</w:t>
            </w:r>
            <w:r w:rsidR="001F3DFB">
              <w:rPr>
                <w:noProof/>
                <w:webHidden/>
              </w:rPr>
              <w:fldChar w:fldCharType="end"/>
            </w:r>
          </w:hyperlink>
        </w:p>
        <w:p w14:paraId="5A96C670" w14:textId="381324FC" w:rsidR="001F3DFB" w:rsidRDefault="008963DE">
          <w:pPr>
            <w:pStyle w:val="TOC1"/>
            <w:tabs>
              <w:tab w:val="left" w:pos="440"/>
              <w:tab w:val="right" w:leader="dot" w:pos="9628"/>
            </w:tabs>
            <w:rPr>
              <w:noProof/>
              <w:kern w:val="2"/>
              <w:sz w:val="24"/>
              <w:szCs w:val="24"/>
              <w:lang w:eastAsia="en-AU"/>
              <w14:ligatures w14:val="standardContextual"/>
            </w:rPr>
          </w:pPr>
          <w:hyperlink w:anchor="_Toc207097819" w:history="1">
            <w:r w:rsidR="001F3DFB" w:rsidRPr="00B713D7">
              <w:rPr>
                <w:rStyle w:val="Hyperlink"/>
                <w:noProof/>
              </w:rPr>
              <w:t>6.</w:t>
            </w:r>
            <w:r w:rsidR="001F3DFB">
              <w:rPr>
                <w:noProof/>
                <w:kern w:val="2"/>
                <w:sz w:val="24"/>
                <w:szCs w:val="24"/>
                <w:lang w:eastAsia="en-AU"/>
                <w14:ligatures w14:val="standardContextual"/>
              </w:rPr>
              <w:tab/>
            </w:r>
            <w:r w:rsidR="001F3DFB" w:rsidRPr="00B713D7">
              <w:rPr>
                <w:rStyle w:val="Hyperlink"/>
                <w:noProof/>
              </w:rPr>
              <w:t>What is the best option from those you have considered and how will it be implemented?</w:t>
            </w:r>
            <w:r w:rsidR="001F3DFB">
              <w:rPr>
                <w:noProof/>
                <w:webHidden/>
              </w:rPr>
              <w:tab/>
            </w:r>
            <w:r w:rsidR="001F3DFB">
              <w:rPr>
                <w:noProof/>
                <w:webHidden/>
              </w:rPr>
              <w:fldChar w:fldCharType="begin"/>
            </w:r>
            <w:r w:rsidR="001F3DFB">
              <w:rPr>
                <w:noProof/>
                <w:webHidden/>
              </w:rPr>
              <w:instrText xml:space="preserve"> PAGEREF _Toc207097819 \h </w:instrText>
            </w:r>
            <w:r w:rsidR="001F3DFB">
              <w:rPr>
                <w:noProof/>
                <w:webHidden/>
              </w:rPr>
            </w:r>
            <w:r w:rsidR="001F3DFB">
              <w:rPr>
                <w:noProof/>
                <w:webHidden/>
              </w:rPr>
              <w:fldChar w:fldCharType="separate"/>
            </w:r>
            <w:r w:rsidR="001F3DFB">
              <w:rPr>
                <w:noProof/>
                <w:webHidden/>
              </w:rPr>
              <w:t>43</w:t>
            </w:r>
            <w:r w:rsidR="001F3DFB">
              <w:rPr>
                <w:noProof/>
                <w:webHidden/>
              </w:rPr>
              <w:fldChar w:fldCharType="end"/>
            </w:r>
          </w:hyperlink>
        </w:p>
        <w:p w14:paraId="65479D7D" w14:textId="010C7B4F" w:rsidR="001F3DFB" w:rsidRDefault="008963DE">
          <w:pPr>
            <w:pStyle w:val="TOC1"/>
            <w:tabs>
              <w:tab w:val="left" w:pos="440"/>
              <w:tab w:val="right" w:leader="dot" w:pos="9628"/>
            </w:tabs>
            <w:rPr>
              <w:noProof/>
              <w:kern w:val="2"/>
              <w:sz w:val="24"/>
              <w:szCs w:val="24"/>
              <w:lang w:eastAsia="en-AU"/>
              <w14:ligatures w14:val="standardContextual"/>
            </w:rPr>
          </w:pPr>
          <w:hyperlink w:anchor="_Toc207097820" w:history="1">
            <w:r w:rsidR="001F3DFB" w:rsidRPr="00B713D7">
              <w:rPr>
                <w:rStyle w:val="Hyperlink"/>
                <w:noProof/>
              </w:rPr>
              <w:t>7.</w:t>
            </w:r>
            <w:r w:rsidR="001F3DFB">
              <w:rPr>
                <w:noProof/>
                <w:kern w:val="2"/>
                <w:sz w:val="24"/>
                <w:szCs w:val="24"/>
                <w:lang w:eastAsia="en-AU"/>
                <w14:ligatures w14:val="standardContextual"/>
              </w:rPr>
              <w:tab/>
            </w:r>
            <w:r w:rsidR="001F3DFB" w:rsidRPr="00B713D7">
              <w:rPr>
                <w:rStyle w:val="Hyperlink"/>
                <w:noProof/>
              </w:rPr>
              <w:t>How will you evaluate your chosen option against the success metrics?</w:t>
            </w:r>
            <w:r w:rsidR="001F3DFB">
              <w:rPr>
                <w:noProof/>
                <w:webHidden/>
              </w:rPr>
              <w:tab/>
            </w:r>
            <w:r w:rsidR="001F3DFB">
              <w:rPr>
                <w:noProof/>
                <w:webHidden/>
              </w:rPr>
              <w:fldChar w:fldCharType="begin"/>
            </w:r>
            <w:r w:rsidR="001F3DFB">
              <w:rPr>
                <w:noProof/>
                <w:webHidden/>
              </w:rPr>
              <w:instrText xml:space="preserve"> PAGEREF _Toc207097820 \h </w:instrText>
            </w:r>
            <w:r w:rsidR="001F3DFB">
              <w:rPr>
                <w:noProof/>
                <w:webHidden/>
              </w:rPr>
            </w:r>
            <w:r w:rsidR="001F3DFB">
              <w:rPr>
                <w:noProof/>
                <w:webHidden/>
              </w:rPr>
              <w:fldChar w:fldCharType="separate"/>
            </w:r>
            <w:r w:rsidR="001F3DFB">
              <w:rPr>
                <w:noProof/>
                <w:webHidden/>
              </w:rPr>
              <w:t>51</w:t>
            </w:r>
            <w:r w:rsidR="001F3DFB">
              <w:rPr>
                <w:noProof/>
                <w:webHidden/>
              </w:rPr>
              <w:fldChar w:fldCharType="end"/>
            </w:r>
          </w:hyperlink>
        </w:p>
        <w:p w14:paraId="5352997B" w14:textId="0771A658" w:rsidR="001D1CDD" w:rsidRDefault="004F36A6" w:rsidP="00200E82">
          <w:pPr>
            <w:pStyle w:val="Heading1"/>
            <w:rPr>
              <w:b/>
              <w:bCs/>
              <w:szCs w:val="22"/>
            </w:rPr>
          </w:pPr>
          <w:r>
            <w:rPr>
              <w:b/>
              <w:bCs/>
              <w:noProof/>
            </w:rPr>
            <w:lastRenderedPageBreak/>
            <w:fldChar w:fldCharType="end"/>
          </w:r>
        </w:p>
      </w:sdtContent>
    </w:sdt>
    <w:p w14:paraId="2E6B9D8D" w14:textId="0B9AF917" w:rsidR="00200E82" w:rsidRPr="001D1CDD" w:rsidRDefault="00200E82" w:rsidP="00200E82">
      <w:pPr>
        <w:pStyle w:val="Heading1"/>
        <w:rPr>
          <w:b/>
          <w:bCs/>
          <w:szCs w:val="22"/>
        </w:rPr>
      </w:pPr>
      <w:bookmarkStart w:id="2" w:name="_Toc207097794"/>
      <w:r>
        <w:t>Glossary</w:t>
      </w:r>
      <w:bookmarkEnd w:id="2"/>
    </w:p>
    <w:tbl>
      <w:tblPr>
        <w:tblStyle w:val="TableGrid"/>
        <w:tblW w:w="9630" w:type="dxa"/>
        <w:tblLayout w:type="fixed"/>
        <w:tblLook w:val="06A0" w:firstRow="1" w:lastRow="0" w:firstColumn="1" w:lastColumn="0" w:noHBand="1" w:noVBand="1"/>
      </w:tblPr>
      <w:tblGrid>
        <w:gridCol w:w="4815"/>
        <w:gridCol w:w="4815"/>
      </w:tblGrid>
      <w:tr w:rsidR="00200E82" w14:paraId="35D0D486" w14:textId="77777777" w:rsidTr="004F36A6">
        <w:trPr>
          <w:trHeight w:val="300"/>
        </w:trPr>
        <w:tc>
          <w:tcPr>
            <w:tcW w:w="4815" w:type="dxa"/>
          </w:tcPr>
          <w:p w14:paraId="0BEB41F5" w14:textId="77777777" w:rsidR="00200E82" w:rsidRPr="006A719C" w:rsidRDefault="00200E82">
            <w:pPr>
              <w:rPr>
                <w:b/>
              </w:rPr>
            </w:pPr>
            <w:r w:rsidRPr="006A719C">
              <w:rPr>
                <w:b/>
              </w:rPr>
              <w:t>IA</w:t>
            </w:r>
          </w:p>
          <w:p w14:paraId="5B4DFFE9" w14:textId="77777777" w:rsidR="00200E82" w:rsidRPr="006A719C" w:rsidRDefault="00200E82">
            <w:r w:rsidRPr="00001A92">
              <w:t>Income Apportionment</w:t>
            </w:r>
          </w:p>
        </w:tc>
        <w:tc>
          <w:tcPr>
            <w:tcW w:w="4815" w:type="dxa"/>
          </w:tcPr>
          <w:p w14:paraId="5A5F786B" w14:textId="77777777" w:rsidR="00200E82" w:rsidRDefault="00200E82">
            <w:r w:rsidRPr="006A719C">
              <w:rPr>
                <w:rFonts w:asciiTheme="majorHAnsi" w:eastAsiaTheme="majorEastAsia" w:hAnsiTheme="majorHAnsi" w:cstheme="majorBidi"/>
                <w:color w:val="1C2B39" w:themeColor="accent1"/>
              </w:rPr>
              <w:t xml:space="preserve">OB </w:t>
            </w:r>
          </w:p>
          <w:p w14:paraId="1B9B747E" w14:textId="77777777" w:rsidR="00200E82" w:rsidRPr="006A719C" w:rsidRDefault="00200E82">
            <w:r w:rsidRPr="00001A92">
              <w:t>Operational Blueprints</w:t>
            </w:r>
          </w:p>
        </w:tc>
      </w:tr>
      <w:tr w:rsidR="00200E82" w14:paraId="12899734" w14:textId="77777777" w:rsidTr="004F36A6">
        <w:trPr>
          <w:trHeight w:val="300"/>
        </w:trPr>
        <w:tc>
          <w:tcPr>
            <w:tcW w:w="4815" w:type="dxa"/>
          </w:tcPr>
          <w:p w14:paraId="2775EED9" w14:textId="519DA38C" w:rsidR="00200E82" w:rsidRPr="006A719C" w:rsidRDefault="00301A01">
            <w:pPr>
              <w:rPr>
                <w:b/>
              </w:rPr>
            </w:pPr>
            <w:r>
              <w:rPr>
                <w:b/>
              </w:rPr>
              <w:t xml:space="preserve">DSS / </w:t>
            </w:r>
            <w:r w:rsidR="00200E82" w:rsidRPr="006A719C">
              <w:rPr>
                <w:b/>
              </w:rPr>
              <w:t>The Department</w:t>
            </w:r>
          </w:p>
          <w:p w14:paraId="7258D053" w14:textId="5560DA07" w:rsidR="00200E82" w:rsidRPr="009E7807" w:rsidRDefault="00200E82">
            <w:pPr>
              <w:rPr>
                <w:bCs/>
              </w:rPr>
            </w:pPr>
            <w:r w:rsidRPr="009E7807">
              <w:rPr>
                <w:bCs/>
              </w:rPr>
              <w:t xml:space="preserve">The Department of </w:t>
            </w:r>
            <w:r w:rsidR="002829E0">
              <w:rPr>
                <w:bCs/>
              </w:rPr>
              <w:t xml:space="preserve">Social </w:t>
            </w:r>
            <w:r w:rsidRPr="009E7807">
              <w:rPr>
                <w:bCs/>
              </w:rPr>
              <w:t>Services</w:t>
            </w:r>
          </w:p>
        </w:tc>
        <w:tc>
          <w:tcPr>
            <w:tcW w:w="4815" w:type="dxa"/>
          </w:tcPr>
          <w:p w14:paraId="543CE3A8" w14:textId="0D6DA096" w:rsidR="00200E82" w:rsidRDefault="00200E82">
            <w:pPr>
              <w:rPr>
                <w:b/>
              </w:rPr>
            </w:pPr>
            <w:r w:rsidRPr="006A719C">
              <w:rPr>
                <w:b/>
              </w:rPr>
              <w:t xml:space="preserve">The </w:t>
            </w:r>
            <w:r w:rsidR="00AD5588">
              <w:rPr>
                <w:b/>
              </w:rPr>
              <w:t>Agency</w:t>
            </w:r>
          </w:p>
          <w:p w14:paraId="3EF68643" w14:textId="54F3D44E" w:rsidR="00200E82" w:rsidRPr="006A719C" w:rsidRDefault="00AD5588">
            <w:pPr>
              <w:rPr>
                <w:b/>
              </w:rPr>
            </w:pPr>
            <w:r>
              <w:t>Services Australia</w:t>
            </w:r>
          </w:p>
        </w:tc>
      </w:tr>
      <w:tr w:rsidR="00CC2AB4" w14:paraId="054D85FB" w14:textId="77777777" w:rsidTr="004F36A6">
        <w:trPr>
          <w:trHeight w:val="300"/>
        </w:trPr>
        <w:tc>
          <w:tcPr>
            <w:tcW w:w="4815" w:type="dxa"/>
          </w:tcPr>
          <w:p w14:paraId="6E405739" w14:textId="5D772418" w:rsidR="00CC2AB4" w:rsidRPr="009E7807" w:rsidRDefault="00CC2AB4" w:rsidP="00CC2AB4">
            <w:pPr>
              <w:rPr>
                <w:b/>
              </w:rPr>
            </w:pPr>
            <w:r w:rsidRPr="009E7807">
              <w:rPr>
                <w:b/>
              </w:rPr>
              <w:t xml:space="preserve">SS Act </w:t>
            </w:r>
          </w:p>
          <w:p w14:paraId="4783FFAA" w14:textId="77777777" w:rsidR="00CC2AB4" w:rsidRPr="00BE1427" w:rsidRDefault="00CC2AB4" w:rsidP="00CC2AB4">
            <w:pPr>
              <w:rPr>
                <w:bCs/>
                <w:i/>
                <w:iCs/>
              </w:rPr>
            </w:pPr>
            <w:r w:rsidRPr="00BE1427">
              <w:rPr>
                <w:bCs/>
                <w:i/>
                <w:iCs/>
              </w:rPr>
              <w:t>Social Security Act 1991</w:t>
            </w:r>
          </w:p>
        </w:tc>
        <w:tc>
          <w:tcPr>
            <w:tcW w:w="4815" w:type="dxa"/>
          </w:tcPr>
          <w:p w14:paraId="470B4237" w14:textId="77777777" w:rsidR="00CC2AB4" w:rsidRDefault="00CC2AB4" w:rsidP="00CC2AB4">
            <w:pPr>
              <w:rPr>
                <w:b/>
              </w:rPr>
            </w:pPr>
            <w:r w:rsidRPr="006A719C">
              <w:rPr>
                <w:b/>
              </w:rPr>
              <w:t xml:space="preserve">The Guide </w:t>
            </w:r>
          </w:p>
          <w:p w14:paraId="2DF40416" w14:textId="3D8D95D3" w:rsidR="00CC2AB4" w:rsidRDefault="00CC2AB4" w:rsidP="00CC2AB4">
            <w:r>
              <w:t>The Social Security Guide</w:t>
            </w:r>
          </w:p>
        </w:tc>
      </w:tr>
      <w:tr w:rsidR="00CC2AB4" w14:paraId="6E34A7CE" w14:textId="77777777" w:rsidTr="004F36A6">
        <w:trPr>
          <w:trHeight w:val="300"/>
        </w:trPr>
        <w:tc>
          <w:tcPr>
            <w:tcW w:w="4815" w:type="dxa"/>
          </w:tcPr>
          <w:p w14:paraId="0A199453" w14:textId="77777777" w:rsidR="00CC2AB4" w:rsidRPr="009E7807" w:rsidRDefault="00CC2AB4" w:rsidP="00CC2AB4">
            <w:pPr>
              <w:rPr>
                <w:b/>
              </w:rPr>
            </w:pPr>
            <w:r w:rsidRPr="009E7807">
              <w:rPr>
                <w:b/>
              </w:rPr>
              <w:t xml:space="preserve">SS (Admin) Act </w:t>
            </w:r>
          </w:p>
          <w:p w14:paraId="125BF917" w14:textId="7F991F32" w:rsidR="00CC2AB4" w:rsidRPr="002829E0" w:rsidRDefault="00CC2AB4" w:rsidP="00CC2AB4">
            <w:pPr>
              <w:rPr>
                <w:bCs/>
                <w:i/>
                <w:iCs/>
              </w:rPr>
            </w:pPr>
            <w:r w:rsidRPr="00BE1427">
              <w:rPr>
                <w:bCs/>
                <w:i/>
                <w:iCs/>
              </w:rPr>
              <w:t>Social Security (Administration) Act 199</w:t>
            </w:r>
            <w:r>
              <w:rPr>
                <w:bCs/>
                <w:i/>
                <w:iCs/>
              </w:rPr>
              <w:t>9</w:t>
            </w:r>
          </w:p>
        </w:tc>
        <w:tc>
          <w:tcPr>
            <w:tcW w:w="4815" w:type="dxa"/>
          </w:tcPr>
          <w:p w14:paraId="6649B40F" w14:textId="77777777" w:rsidR="00CC2AB4" w:rsidRPr="009E7807" w:rsidRDefault="00CC2AB4" w:rsidP="00CC2AB4">
            <w:pPr>
              <w:rPr>
                <w:b/>
              </w:rPr>
            </w:pPr>
            <w:r>
              <w:rPr>
                <w:b/>
              </w:rPr>
              <w:t>ACOSS</w:t>
            </w:r>
          </w:p>
          <w:p w14:paraId="6D6F9F06" w14:textId="1D9623B6" w:rsidR="00CC2AB4" w:rsidRPr="00001A92" w:rsidRDefault="00CC2AB4" w:rsidP="00CC2AB4">
            <w:pPr>
              <w:rPr>
                <w:rFonts w:asciiTheme="majorHAnsi" w:eastAsiaTheme="majorEastAsia" w:hAnsiTheme="majorHAnsi" w:cstheme="majorBidi"/>
                <w:color w:val="1C2B39" w:themeColor="accent1"/>
                <w:sz w:val="48"/>
              </w:rPr>
            </w:pPr>
            <w:r>
              <w:rPr>
                <w:bCs/>
              </w:rPr>
              <w:t>Australian Council of Social Service</w:t>
            </w:r>
          </w:p>
        </w:tc>
      </w:tr>
      <w:tr w:rsidR="00CC2AB4" w14:paraId="40694533" w14:textId="77777777" w:rsidTr="004F36A6">
        <w:trPr>
          <w:trHeight w:val="300"/>
        </w:trPr>
        <w:tc>
          <w:tcPr>
            <w:tcW w:w="4815" w:type="dxa"/>
          </w:tcPr>
          <w:p w14:paraId="7DCEFB34" w14:textId="65C60EB8" w:rsidR="00CC2AB4" w:rsidRPr="009E7807" w:rsidRDefault="00CC2AB4" w:rsidP="00CC2AB4">
            <w:pPr>
              <w:rPr>
                <w:b/>
              </w:rPr>
            </w:pPr>
            <w:r>
              <w:rPr>
                <w:b/>
              </w:rPr>
              <w:t>EJA</w:t>
            </w:r>
          </w:p>
          <w:p w14:paraId="7C97F4EE" w14:textId="5BFDC0A8" w:rsidR="00CC2AB4" w:rsidRPr="00001A92" w:rsidRDefault="00CC2AB4" w:rsidP="00CC2AB4">
            <w:r>
              <w:rPr>
                <w:bCs/>
              </w:rPr>
              <w:t>Economic Justice of Australia</w:t>
            </w:r>
          </w:p>
        </w:tc>
        <w:tc>
          <w:tcPr>
            <w:tcW w:w="4815" w:type="dxa"/>
          </w:tcPr>
          <w:p w14:paraId="33F52715" w14:textId="77777777" w:rsidR="00CC2AB4" w:rsidRPr="009E7807" w:rsidRDefault="00CC2AB4" w:rsidP="00CC2AB4">
            <w:pPr>
              <w:rPr>
                <w:b/>
              </w:rPr>
            </w:pPr>
            <w:r w:rsidRPr="009E7807">
              <w:rPr>
                <w:b/>
              </w:rPr>
              <w:t>AAT2</w:t>
            </w:r>
          </w:p>
          <w:p w14:paraId="6C9C39FB" w14:textId="373C6E75" w:rsidR="00CC2AB4" w:rsidRPr="00001A92" w:rsidRDefault="00CC2AB4" w:rsidP="00CC2AB4">
            <w:pPr>
              <w:rPr>
                <w:rFonts w:asciiTheme="majorHAnsi" w:eastAsiaTheme="majorEastAsia" w:hAnsiTheme="majorHAnsi" w:cstheme="majorBidi"/>
                <w:color w:val="1C2B39" w:themeColor="accent1"/>
                <w:sz w:val="48"/>
              </w:rPr>
            </w:pPr>
            <w:r w:rsidRPr="009E7807">
              <w:rPr>
                <w:bCs/>
              </w:rPr>
              <w:t>General Division of the Administrative Appeals Tribunal</w:t>
            </w:r>
          </w:p>
        </w:tc>
      </w:tr>
      <w:tr w:rsidR="00CC2AB4" w14:paraId="39FAC67E" w14:textId="77777777" w:rsidTr="004F36A6">
        <w:trPr>
          <w:trHeight w:val="300"/>
        </w:trPr>
        <w:tc>
          <w:tcPr>
            <w:tcW w:w="4815" w:type="dxa"/>
          </w:tcPr>
          <w:p w14:paraId="2190887A" w14:textId="77777777" w:rsidR="00CC2AB4" w:rsidRPr="009E7807" w:rsidRDefault="00CC2AB4" w:rsidP="00CC2AB4">
            <w:pPr>
              <w:rPr>
                <w:b/>
              </w:rPr>
            </w:pPr>
            <w:r w:rsidRPr="009E7807">
              <w:rPr>
                <w:b/>
              </w:rPr>
              <w:t>AAT1</w:t>
            </w:r>
          </w:p>
          <w:p w14:paraId="40D066B8" w14:textId="77777777" w:rsidR="00CC2AB4" w:rsidRPr="009E7807" w:rsidRDefault="00CC2AB4" w:rsidP="00CC2AB4">
            <w:pPr>
              <w:rPr>
                <w:bCs/>
              </w:rPr>
            </w:pPr>
            <w:r w:rsidRPr="009E7807">
              <w:rPr>
                <w:bCs/>
              </w:rPr>
              <w:t>Social Security and Child Support Division of the Administrative Appeals Tribunal</w:t>
            </w:r>
          </w:p>
        </w:tc>
        <w:tc>
          <w:tcPr>
            <w:tcW w:w="4815" w:type="dxa"/>
          </w:tcPr>
          <w:p w14:paraId="2DF5DE79" w14:textId="77777777" w:rsidR="00CC2AB4" w:rsidRDefault="00CC2AB4" w:rsidP="00CC2AB4">
            <w:pPr>
              <w:rPr>
                <w:b/>
              </w:rPr>
            </w:pPr>
            <w:r>
              <w:rPr>
                <w:b/>
              </w:rPr>
              <w:t>ART</w:t>
            </w:r>
          </w:p>
          <w:p w14:paraId="4C648300" w14:textId="77777777" w:rsidR="00CC2AB4" w:rsidRPr="00D93763" w:rsidRDefault="00CC2AB4" w:rsidP="00CC2AB4">
            <w:pPr>
              <w:rPr>
                <w:bCs/>
              </w:rPr>
            </w:pPr>
            <w:r w:rsidRPr="00D93763">
              <w:rPr>
                <w:bCs/>
              </w:rPr>
              <w:t xml:space="preserve">Administrative Reviews Tribunal </w:t>
            </w:r>
          </w:p>
          <w:p w14:paraId="510EA5C8" w14:textId="0B742DAD" w:rsidR="00CC2AB4" w:rsidRPr="009E7807" w:rsidRDefault="00D93763" w:rsidP="00CC2AB4">
            <w:pPr>
              <w:rPr>
                <w:bCs/>
              </w:rPr>
            </w:pPr>
            <w:r>
              <w:rPr>
                <w:bCs/>
              </w:rPr>
              <w:t>(</w:t>
            </w:r>
            <w:r w:rsidR="00CC2AB4" w:rsidRPr="0086141C">
              <w:rPr>
                <w:bCs/>
              </w:rPr>
              <w:t>Successor of the AAT</w:t>
            </w:r>
            <w:r>
              <w:rPr>
                <w:bCs/>
              </w:rPr>
              <w:t>)</w:t>
            </w:r>
          </w:p>
        </w:tc>
      </w:tr>
      <w:tr w:rsidR="004F63CA" w14:paraId="7C791B30" w14:textId="77777777" w:rsidTr="004F36A6">
        <w:trPr>
          <w:trHeight w:val="300"/>
        </w:trPr>
        <w:tc>
          <w:tcPr>
            <w:tcW w:w="4815" w:type="dxa"/>
          </w:tcPr>
          <w:p w14:paraId="75CFD0B8" w14:textId="77777777" w:rsidR="004F63CA" w:rsidRDefault="004F63CA">
            <w:pPr>
              <w:rPr>
                <w:b/>
              </w:rPr>
            </w:pPr>
            <w:r>
              <w:rPr>
                <w:b/>
              </w:rPr>
              <w:t>AAT</w:t>
            </w:r>
          </w:p>
          <w:p w14:paraId="55427168" w14:textId="25662A9D" w:rsidR="004F63CA" w:rsidRPr="004F63CA" w:rsidRDefault="004F63CA">
            <w:pPr>
              <w:rPr>
                <w:bCs/>
              </w:rPr>
            </w:pPr>
            <w:r>
              <w:rPr>
                <w:bCs/>
              </w:rPr>
              <w:t xml:space="preserve">Administrative Appeals Tribunal, encompassing both the </w:t>
            </w:r>
            <w:r w:rsidRPr="009E7807">
              <w:rPr>
                <w:bCs/>
              </w:rPr>
              <w:t>Social Security and Child Support Division</w:t>
            </w:r>
            <w:r>
              <w:rPr>
                <w:bCs/>
              </w:rPr>
              <w:t xml:space="preserve"> and the General Division</w:t>
            </w:r>
          </w:p>
        </w:tc>
        <w:tc>
          <w:tcPr>
            <w:tcW w:w="4815" w:type="dxa"/>
          </w:tcPr>
          <w:p w14:paraId="71058981" w14:textId="03FC6128" w:rsidR="00432043" w:rsidRPr="009E7807" w:rsidRDefault="00432043" w:rsidP="00301A01">
            <w:pPr>
              <w:rPr>
                <w:b/>
              </w:rPr>
            </w:pPr>
          </w:p>
        </w:tc>
      </w:tr>
    </w:tbl>
    <w:p w14:paraId="6DF602EF" w14:textId="77777777" w:rsidR="00200E82" w:rsidRPr="00200E82" w:rsidRDefault="00200E82" w:rsidP="00200E82"/>
    <w:p w14:paraId="216FDD81" w14:textId="77777777" w:rsidR="0014151F" w:rsidRDefault="0014151F">
      <w:pPr>
        <w:spacing w:after="200" w:line="288" w:lineRule="auto"/>
      </w:pPr>
      <w:r>
        <w:br w:type="page"/>
      </w:r>
    </w:p>
    <w:p w14:paraId="5B916E69" w14:textId="7C591456" w:rsidR="0014151F" w:rsidRPr="0014151F" w:rsidRDefault="0014151F" w:rsidP="0012638D">
      <w:pPr>
        <w:pStyle w:val="Heading1"/>
      </w:pPr>
      <w:bookmarkStart w:id="3" w:name="_Toc207097795"/>
      <w:r w:rsidRPr="0014151F">
        <w:lastRenderedPageBreak/>
        <w:t>Introduction</w:t>
      </w:r>
      <w:bookmarkEnd w:id="3"/>
      <w:r w:rsidRPr="0014151F">
        <w:t xml:space="preserve"> </w:t>
      </w:r>
    </w:p>
    <w:p w14:paraId="3A5A3A29" w14:textId="3D855DEA" w:rsidR="00DD6245" w:rsidRPr="00D579AE" w:rsidRDefault="00DD6245" w:rsidP="0012638D">
      <w:pPr>
        <w:pStyle w:val="CABParagraph"/>
        <w:spacing w:after="120"/>
        <w:rPr>
          <w:rFonts w:asciiTheme="minorHAnsi" w:eastAsiaTheme="minorEastAsia" w:hAnsiTheme="minorHAnsi"/>
        </w:rPr>
      </w:pPr>
      <w:bookmarkStart w:id="4" w:name="_Hlk189647811"/>
      <w:r w:rsidRPr="00D579AE">
        <w:rPr>
          <w:rFonts w:asciiTheme="minorHAnsi" w:eastAsiaTheme="minorEastAsia" w:hAnsiTheme="minorHAnsi"/>
        </w:rPr>
        <w:t>Income apportionment was a</w:t>
      </w:r>
      <w:r w:rsidR="00432043" w:rsidRPr="00D579AE">
        <w:rPr>
          <w:rFonts w:asciiTheme="minorHAnsi" w:eastAsiaTheme="minorEastAsia" w:hAnsiTheme="minorHAnsi"/>
        </w:rPr>
        <w:t xml:space="preserve"> </w:t>
      </w:r>
      <w:r w:rsidRPr="00D579AE">
        <w:rPr>
          <w:rFonts w:asciiTheme="minorHAnsi" w:eastAsiaTheme="minorEastAsia" w:hAnsiTheme="minorHAnsi"/>
        </w:rPr>
        <w:t>method used by Services Australia</w:t>
      </w:r>
      <w:r w:rsidR="003D7482" w:rsidRPr="00D579AE">
        <w:rPr>
          <w:rFonts w:asciiTheme="minorHAnsi" w:eastAsiaTheme="minorEastAsia" w:hAnsiTheme="minorHAnsi"/>
        </w:rPr>
        <w:t xml:space="preserve"> (and its previous incarnations)</w:t>
      </w:r>
      <w:r w:rsidRPr="00D579AE">
        <w:rPr>
          <w:rFonts w:asciiTheme="minorHAnsi" w:eastAsiaTheme="minorEastAsia" w:hAnsiTheme="minorHAnsi"/>
        </w:rPr>
        <w:t xml:space="preserve"> </w:t>
      </w:r>
      <w:r w:rsidR="003D7482" w:rsidRPr="00D579AE">
        <w:rPr>
          <w:rFonts w:asciiTheme="minorHAnsi" w:eastAsiaTheme="minorEastAsia" w:hAnsiTheme="minorHAnsi"/>
        </w:rPr>
        <w:t xml:space="preserve">when </w:t>
      </w:r>
      <w:r w:rsidR="0065182A" w:rsidRPr="00D579AE">
        <w:rPr>
          <w:rFonts w:asciiTheme="minorHAnsi" w:eastAsiaTheme="minorEastAsia" w:hAnsiTheme="minorHAnsi"/>
        </w:rPr>
        <w:t>determining social security debts</w:t>
      </w:r>
      <w:r w:rsidR="00C52370" w:rsidRPr="00D579AE">
        <w:rPr>
          <w:rFonts w:asciiTheme="minorHAnsi" w:eastAsiaTheme="minorEastAsia" w:hAnsiTheme="minorHAnsi"/>
        </w:rPr>
        <w:t xml:space="preserve"> </w:t>
      </w:r>
      <w:r w:rsidR="00D85FE7" w:rsidRPr="00D579AE">
        <w:rPr>
          <w:rFonts w:asciiTheme="minorHAnsi" w:eastAsiaTheme="minorEastAsia" w:hAnsiTheme="minorHAnsi"/>
        </w:rPr>
        <w:t>for</w:t>
      </w:r>
      <w:r w:rsidR="0065182A" w:rsidRPr="00D579AE">
        <w:rPr>
          <w:rFonts w:asciiTheme="minorHAnsi" w:eastAsiaTheme="minorEastAsia" w:hAnsiTheme="minorHAnsi"/>
        </w:rPr>
        <w:t xml:space="preserve"> those </w:t>
      </w:r>
      <w:r w:rsidR="00D34EE0" w:rsidRPr="00D579AE">
        <w:rPr>
          <w:rFonts w:asciiTheme="minorHAnsi" w:eastAsiaTheme="minorEastAsia" w:hAnsiTheme="minorHAnsi"/>
        </w:rPr>
        <w:t xml:space="preserve">income support recipients </w:t>
      </w:r>
      <w:r w:rsidR="0065182A" w:rsidRPr="00D579AE">
        <w:rPr>
          <w:rFonts w:asciiTheme="minorHAnsi" w:eastAsiaTheme="minorEastAsia" w:hAnsiTheme="minorHAnsi"/>
        </w:rPr>
        <w:t xml:space="preserve">who received employment income. </w:t>
      </w:r>
      <w:r w:rsidRPr="00D579AE">
        <w:rPr>
          <w:rFonts w:asciiTheme="minorHAnsi" w:eastAsiaTheme="minorEastAsia" w:hAnsiTheme="minorHAnsi"/>
        </w:rPr>
        <w:t>T</w:t>
      </w:r>
      <w:r w:rsidR="0065182A" w:rsidRPr="00D579AE">
        <w:rPr>
          <w:rFonts w:asciiTheme="minorHAnsi" w:eastAsiaTheme="minorEastAsia" w:hAnsiTheme="minorHAnsi"/>
        </w:rPr>
        <w:t>he</w:t>
      </w:r>
      <w:r w:rsidRPr="00D579AE">
        <w:rPr>
          <w:rFonts w:asciiTheme="minorHAnsi" w:eastAsiaTheme="minorEastAsia" w:hAnsiTheme="minorHAnsi"/>
        </w:rPr>
        <w:t xml:space="preserve"> practice involved allocating</w:t>
      </w:r>
      <w:r w:rsidR="003D7482" w:rsidRPr="00D579AE">
        <w:rPr>
          <w:rFonts w:asciiTheme="minorHAnsi" w:eastAsiaTheme="minorEastAsia" w:hAnsiTheme="minorHAnsi"/>
        </w:rPr>
        <w:t xml:space="preserve"> </w:t>
      </w:r>
      <w:r w:rsidRPr="00D579AE">
        <w:rPr>
          <w:rFonts w:asciiTheme="minorHAnsi" w:eastAsiaTheme="minorEastAsia" w:hAnsiTheme="minorHAnsi"/>
        </w:rPr>
        <w:t xml:space="preserve">employment income across </w:t>
      </w:r>
      <w:r w:rsidR="00C52370" w:rsidRPr="00D579AE">
        <w:rPr>
          <w:rFonts w:asciiTheme="minorHAnsi" w:eastAsiaTheme="minorEastAsia" w:hAnsiTheme="minorHAnsi"/>
        </w:rPr>
        <w:t xml:space="preserve">more than one </w:t>
      </w:r>
      <w:r w:rsidR="003D7482" w:rsidRPr="00D579AE">
        <w:rPr>
          <w:rFonts w:asciiTheme="minorHAnsi" w:eastAsiaTheme="minorEastAsia" w:hAnsiTheme="minorHAnsi"/>
        </w:rPr>
        <w:t xml:space="preserve">social security payment instalment </w:t>
      </w:r>
      <w:r w:rsidRPr="00D579AE">
        <w:rPr>
          <w:rFonts w:asciiTheme="minorHAnsi" w:eastAsiaTheme="minorEastAsia" w:hAnsiTheme="minorHAnsi"/>
        </w:rPr>
        <w:t>period</w:t>
      </w:r>
      <w:r w:rsidR="003D7482" w:rsidRPr="00D579AE">
        <w:rPr>
          <w:rFonts w:asciiTheme="minorHAnsi" w:eastAsiaTheme="minorEastAsia" w:hAnsiTheme="minorHAnsi"/>
        </w:rPr>
        <w:t xml:space="preserve"> (known as Centrelink instalment periods)</w:t>
      </w:r>
      <w:r w:rsidRPr="00D579AE">
        <w:rPr>
          <w:rFonts w:asciiTheme="minorHAnsi" w:eastAsiaTheme="minorEastAsia" w:hAnsiTheme="minorHAnsi"/>
        </w:rPr>
        <w:t xml:space="preserve"> </w:t>
      </w:r>
      <w:r w:rsidR="0065182A" w:rsidRPr="00D579AE">
        <w:rPr>
          <w:rFonts w:asciiTheme="minorHAnsi" w:eastAsiaTheme="minorEastAsia" w:hAnsiTheme="minorHAnsi"/>
        </w:rPr>
        <w:t>in instances when the evidence for the employment income (usually a payslip</w:t>
      </w:r>
      <w:r w:rsidR="00290FAB" w:rsidRPr="00D579AE">
        <w:rPr>
          <w:rFonts w:asciiTheme="minorHAnsi" w:eastAsiaTheme="minorEastAsia" w:hAnsiTheme="minorHAnsi"/>
        </w:rPr>
        <w:t xml:space="preserve"> provided by the individual</w:t>
      </w:r>
      <w:r w:rsidR="0065182A" w:rsidRPr="00D579AE">
        <w:rPr>
          <w:rFonts w:asciiTheme="minorHAnsi" w:eastAsiaTheme="minorEastAsia" w:hAnsiTheme="minorHAnsi"/>
        </w:rPr>
        <w:t xml:space="preserve">) did not provide the </w:t>
      </w:r>
      <w:r w:rsidR="002664C4" w:rsidRPr="00D579AE">
        <w:rPr>
          <w:rFonts w:asciiTheme="minorHAnsi" w:eastAsiaTheme="minorEastAsia" w:hAnsiTheme="minorHAnsi"/>
        </w:rPr>
        <w:t>necessary</w:t>
      </w:r>
      <w:r w:rsidR="0065182A" w:rsidRPr="00D579AE">
        <w:rPr>
          <w:rFonts w:asciiTheme="minorHAnsi" w:eastAsiaTheme="minorEastAsia" w:hAnsiTheme="minorHAnsi"/>
        </w:rPr>
        <w:t xml:space="preserve"> detail needed </w:t>
      </w:r>
      <w:r w:rsidRPr="00D579AE">
        <w:rPr>
          <w:rFonts w:asciiTheme="minorHAnsi" w:eastAsiaTheme="minorEastAsia" w:hAnsiTheme="minorHAnsi"/>
        </w:rPr>
        <w:t xml:space="preserve">to determine </w:t>
      </w:r>
      <w:r w:rsidR="00215C77" w:rsidRPr="00D579AE">
        <w:rPr>
          <w:rFonts w:asciiTheme="minorHAnsi" w:eastAsiaTheme="minorEastAsia" w:hAnsiTheme="minorHAnsi"/>
        </w:rPr>
        <w:t xml:space="preserve">how much the person earned each day.  </w:t>
      </w:r>
    </w:p>
    <w:bookmarkEnd w:id="4"/>
    <w:p w14:paraId="3BF71CCE" w14:textId="3B919DA4" w:rsidR="00275FCB" w:rsidRPr="00D579AE" w:rsidRDefault="00A05AFB" w:rsidP="0012638D">
      <w:pPr>
        <w:spacing w:line="240" w:lineRule="auto"/>
        <w:rPr>
          <w:szCs w:val="22"/>
        </w:rPr>
      </w:pPr>
      <w:r w:rsidRPr="00D579AE">
        <w:rPr>
          <w:szCs w:val="22"/>
        </w:rPr>
        <w:t xml:space="preserve">The use of income apportionment dates back to at least the </w:t>
      </w:r>
      <w:r w:rsidR="002664C4" w:rsidRPr="00D579AE">
        <w:rPr>
          <w:szCs w:val="22"/>
        </w:rPr>
        <w:t xml:space="preserve">early </w:t>
      </w:r>
      <w:r w:rsidRPr="00D579AE">
        <w:rPr>
          <w:szCs w:val="22"/>
        </w:rPr>
        <w:t>1990s</w:t>
      </w:r>
      <w:r w:rsidR="007846E5" w:rsidRPr="00D579AE">
        <w:rPr>
          <w:szCs w:val="22"/>
        </w:rPr>
        <w:t xml:space="preserve">. </w:t>
      </w:r>
      <w:r w:rsidR="00275FCB" w:rsidRPr="00D579AE">
        <w:rPr>
          <w:szCs w:val="22"/>
        </w:rPr>
        <w:t xml:space="preserve">It was a practical solution to the </w:t>
      </w:r>
      <w:r w:rsidR="00290FAB" w:rsidRPr="00D579AE">
        <w:rPr>
          <w:szCs w:val="22"/>
        </w:rPr>
        <w:t xml:space="preserve">difficulties </w:t>
      </w:r>
      <w:r w:rsidR="00275FCB" w:rsidRPr="00D579AE">
        <w:rPr>
          <w:szCs w:val="22"/>
        </w:rPr>
        <w:t xml:space="preserve">of assessing income for an employment period that </w:t>
      </w:r>
      <w:r w:rsidR="00D34EE0" w:rsidRPr="00D579AE">
        <w:rPr>
          <w:szCs w:val="22"/>
        </w:rPr>
        <w:t xml:space="preserve">did not align with the Centrelink instalment </w:t>
      </w:r>
      <w:r w:rsidR="00266613" w:rsidRPr="00D579AE">
        <w:rPr>
          <w:szCs w:val="22"/>
        </w:rPr>
        <w:t>period and</w:t>
      </w:r>
      <w:r w:rsidR="00D34EE0" w:rsidRPr="00D579AE">
        <w:rPr>
          <w:szCs w:val="22"/>
        </w:rPr>
        <w:t xml:space="preserve"> </w:t>
      </w:r>
      <w:r w:rsidR="00806033" w:rsidRPr="00D579AE">
        <w:rPr>
          <w:szCs w:val="22"/>
        </w:rPr>
        <w:t>where evidence such as payslips did not include daily earnings</w:t>
      </w:r>
      <w:r w:rsidR="00275FCB" w:rsidRPr="00D579AE">
        <w:rPr>
          <w:szCs w:val="22"/>
        </w:rPr>
        <w:t xml:space="preserve">. It was used due to </w:t>
      </w:r>
      <w:r w:rsidR="00806033" w:rsidRPr="00D579AE">
        <w:rPr>
          <w:szCs w:val="22"/>
        </w:rPr>
        <w:t xml:space="preserve">a </w:t>
      </w:r>
      <w:r w:rsidR="00275FCB" w:rsidRPr="00D579AE">
        <w:rPr>
          <w:szCs w:val="22"/>
        </w:rPr>
        <w:t>genuine misunderstanding</w:t>
      </w:r>
      <w:r w:rsidR="00806033" w:rsidRPr="00D579AE">
        <w:rPr>
          <w:szCs w:val="22"/>
        </w:rPr>
        <w:t xml:space="preserve"> </w:t>
      </w:r>
      <w:r w:rsidR="00275FCB" w:rsidRPr="00D579AE">
        <w:rPr>
          <w:szCs w:val="22"/>
        </w:rPr>
        <w:t>of how provisions in the SS Act required employment income to be assessed. Debts raised using income apportionment were based on evidence of actual</w:t>
      </w:r>
      <w:r w:rsidR="009947D1" w:rsidRPr="00D579AE">
        <w:rPr>
          <w:szCs w:val="22"/>
        </w:rPr>
        <w:t xml:space="preserve"> </w:t>
      </w:r>
      <w:r w:rsidR="00275FCB" w:rsidRPr="00D579AE">
        <w:rPr>
          <w:szCs w:val="22"/>
        </w:rPr>
        <w:t>payments of employment income but could result in some income being allocated to an instalment period before or after the instalment period in which it was earned.</w:t>
      </w:r>
    </w:p>
    <w:p w14:paraId="07FEB7E3" w14:textId="6EE17B63" w:rsidR="00D34EE0" w:rsidRPr="00D579AE" w:rsidRDefault="007846E5" w:rsidP="0012638D">
      <w:pPr>
        <w:spacing w:line="240" w:lineRule="auto"/>
        <w:rPr>
          <w:szCs w:val="22"/>
        </w:rPr>
      </w:pPr>
      <w:r w:rsidRPr="00D579AE">
        <w:rPr>
          <w:szCs w:val="22"/>
        </w:rPr>
        <w:t>C</w:t>
      </w:r>
      <w:r w:rsidR="003878CE" w:rsidRPr="00D579AE">
        <w:rPr>
          <w:szCs w:val="22"/>
        </w:rPr>
        <w:t>hanges</w:t>
      </w:r>
      <w:r w:rsidR="009947D1" w:rsidRPr="00D579AE">
        <w:rPr>
          <w:szCs w:val="22"/>
        </w:rPr>
        <w:t xml:space="preserve"> to simplify income reporting were</w:t>
      </w:r>
      <w:r w:rsidR="003878CE" w:rsidRPr="00D579AE">
        <w:rPr>
          <w:szCs w:val="22"/>
        </w:rPr>
        <w:t xml:space="preserve"> </w:t>
      </w:r>
      <w:r w:rsidR="009947D1" w:rsidRPr="00D579AE">
        <w:rPr>
          <w:szCs w:val="22"/>
        </w:rPr>
        <w:t>introduced in</w:t>
      </w:r>
      <w:r w:rsidR="0065182A" w:rsidRPr="00D579AE">
        <w:rPr>
          <w:szCs w:val="22"/>
        </w:rPr>
        <w:t xml:space="preserve"> the</w:t>
      </w:r>
      <w:r w:rsidR="003878CE" w:rsidRPr="00D579AE">
        <w:rPr>
          <w:szCs w:val="22"/>
        </w:rPr>
        <w:t xml:space="preserve"> </w:t>
      </w:r>
      <w:r w:rsidR="003878CE" w:rsidRPr="00D579AE">
        <w:rPr>
          <w:i/>
          <w:iCs/>
          <w:szCs w:val="22"/>
        </w:rPr>
        <w:t xml:space="preserve">Social Services and Other Legislation Amendment (Simplifying Income Reporting and Other Measures) Act </w:t>
      </w:r>
      <w:r w:rsidR="00B46030" w:rsidRPr="00D579AE">
        <w:rPr>
          <w:i/>
          <w:iCs/>
          <w:szCs w:val="22"/>
        </w:rPr>
        <w:t>2020</w:t>
      </w:r>
      <w:r w:rsidR="00B46030" w:rsidRPr="00D579AE">
        <w:rPr>
          <w:szCs w:val="22"/>
        </w:rPr>
        <w:t>,</w:t>
      </w:r>
      <w:r w:rsidR="009947D1" w:rsidRPr="00D579AE">
        <w:rPr>
          <w:szCs w:val="22"/>
        </w:rPr>
        <w:t xml:space="preserve"> which </w:t>
      </w:r>
      <w:r w:rsidR="003878CE" w:rsidRPr="00D579AE">
        <w:rPr>
          <w:szCs w:val="22"/>
        </w:rPr>
        <w:t>t</w:t>
      </w:r>
      <w:r w:rsidRPr="00D579AE">
        <w:rPr>
          <w:szCs w:val="22"/>
        </w:rPr>
        <w:t>ook effect from 7 December 2020</w:t>
      </w:r>
      <w:r w:rsidR="00B46030" w:rsidRPr="00D579AE">
        <w:rPr>
          <w:szCs w:val="22"/>
        </w:rPr>
        <w:t>. These changes</w:t>
      </w:r>
      <w:r w:rsidR="006C262A" w:rsidRPr="00D579AE">
        <w:rPr>
          <w:szCs w:val="22"/>
        </w:rPr>
        <w:t>,</w:t>
      </w:r>
      <w:r w:rsidR="00B46030" w:rsidRPr="00D579AE">
        <w:rPr>
          <w:szCs w:val="22"/>
        </w:rPr>
        <w:t xml:space="preserve"> </w:t>
      </w:r>
      <w:r w:rsidR="00765A27" w:rsidRPr="00D579AE">
        <w:rPr>
          <w:szCs w:val="22"/>
        </w:rPr>
        <w:t xml:space="preserve">while </w:t>
      </w:r>
      <w:r w:rsidR="00290FAB" w:rsidRPr="00D579AE">
        <w:rPr>
          <w:szCs w:val="22"/>
        </w:rPr>
        <w:t>unrelated</w:t>
      </w:r>
      <w:r w:rsidR="00765A27" w:rsidRPr="00D579AE">
        <w:rPr>
          <w:szCs w:val="22"/>
        </w:rPr>
        <w:t xml:space="preserve">, had the effect of </w:t>
      </w:r>
      <w:r w:rsidR="00B46030" w:rsidRPr="00D579AE">
        <w:rPr>
          <w:szCs w:val="22"/>
        </w:rPr>
        <w:t>ceas</w:t>
      </w:r>
      <w:r w:rsidR="00765A27" w:rsidRPr="00D579AE">
        <w:rPr>
          <w:szCs w:val="22"/>
        </w:rPr>
        <w:t>ing</w:t>
      </w:r>
      <w:r w:rsidR="00B46030" w:rsidRPr="00D579AE">
        <w:rPr>
          <w:szCs w:val="22"/>
        </w:rPr>
        <w:t xml:space="preserve"> </w:t>
      </w:r>
      <w:r w:rsidR="00C52370" w:rsidRPr="00D579AE">
        <w:rPr>
          <w:szCs w:val="22"/>
        </w:rPr>
        <w:t xml:space="preserve">the use of income apportionment </w:t>
      </w:r>
      <w:r w:rsidR="00275FCB" w:rsidRPr="00D579AE">
        <w:rPr>
          <w:szCs w:val="22"/>
        </w:rPr>
        <w:t>for</w:t>
      </w:r>
      <w:r w:rsidR="00C52370" w:rsidRPr="00D579AE">
        <w:rPr>
          <w:szCs w:val="22"/>
        </w:rPr>
        <w:t xml:space="preserve"> calculat</w:t>
      </w:r>
      <w:r w:rsidR="00275FCB" w:rsidRPr="00D579AE">
        <w:rPr>
          <w:szCs w:val="22"/>
        </w:rPr>
        <w:t>ions of</w:t>
      </w:r>
      <w:r w:rsidR="00C52370" w:rsidRPr="00D579AE">
        <w:rPr>
          <w:szCs w:val="22"/>
        </w:rPr>
        <w:t xml:space="preserve"> </w:t>
      </w:r>
      <w:r w:rsidRPr="00D579AE">
        <w:rPr>
          <w:szCs w:val="22"/>
        </w:rPr>
        <w:t>entitlements post-</w:t>
      </w:r>
      <w:r w:rsidR="00C52370" w:rsidRPr="00D579AE">
        <w:rPr>
          <w:szCs w:val="22"/>
        </w:rPr>
        <w:t xml:space="preserve">6 </w:t>
      </w:r>
      <w:r w:rsidRPr="00D579AE">
        <w:rPr>
          <w:szCs w:val="22"/>
        </w:rPr>
        <w:t xml:space="preserve">December 2020. </w:t>
      </w:r>
    </w:p>
    <w:p w14:paraId="659AF11A" w14:textId="22D6F161" w:rsidR="003878CE" w:rsidRPr="00D579AE" w:rsidRDefault="005C3F58" w:rsidP="0012638D">
      <w:pPr>
        <w:spacing w:line="240" w:lineRule="auto"/>
        <w:rPr>
          <w:szCs w:val="22"/>
        </w:rPr>
      </w:pPr>
      <w:r w:rsidRPr="00D579AE">
        <w:rPr>
          <w:szCs w:val="22"/>
        </w:rPr>
        <w:t xml:space="preserve">In mid-2021, Services Australia stopped raising debts for entitlements pre-7 December 2020, due </w:t>
      </w:r>
      <w:r w:rsidR="00955293" w:rsidRPr="00D579AE">
        <w:rPr>
          <w:szCs w:val="22"/>
        </w:rPr>
        <w:t>to concerns</w:t>
      </w:r>
      <w:r w:rsidRPr="00D579AE">
        <w:rPr>
          <w:szCs w:val="22"/>
        </w:rPr>
        <w:t xml:space="preserve"> raised about </w:t>
      </w:r>
      <w:r w:rsidR="00774264" w:rsidRPr="00D579AE">
        <w:rPr>
          <w:szCs w:val="22"/>
        </w:rPr>
        <w:t xml:space="preserve">the use of </w:t>
      </w:r>
      <w:r w:rsidRPr="00D579AE">
        <w:rPr>
          <w:szCs w:val="22"/>
        </w:rPr>
        <w:t>income apportionment.</w:t>
      </w:r>
      <w:r w:rsidR="006B0C66" w:rsidRPr="00D579AE">
        <w:rPr>
          <w:szCs w:val="22"/>
        </w:rPr>
        <w:t xml:space="preserve"> The recovery of </w:t>
      </w:r>
      <w:r w:rsidR="00BB4DB5" w:rsidRPr="00D579AE">
        <w:rPr>
          <w:szCs w:val="22"/>
        </w:rPr>
        <w:t xml:space="preserve">debts </w:t>
      </w:r>
      <w:r w:rsidR="006B0C66" w:rsidRPr="00D579AE">
        <w:rPr>
          <w:szCs w:val="22"/>
        </w:rPr>
        <w:t xml:space="preserve">potentially </w:t>
      </w:r>
      <w:r w:rsidR="00BB4DB5" w:rsidRPr="00D579AE">
        <w:rPr>
          <w:szCs w:val="22"/>
        </w:rPr>
        <w:t>affected by</w:t>
      </w:r>
      <w:r w:rsidR="006B0C66" w:rsidRPr="00D579AE">
        <w:rPr>
          <w:szCs w:val="22"/>
        </w:rPr>
        <w:t xml:space="preserve"> income apportionment was paused in October 2023, with further potentially affected debts identified and paused in April 2024. </w:t>
      </w:r>
    </w:p>
    <w:p w14:paraId="5482C26B" w14:textId="77777777" w:rsidR="00774264" w:rsidRPr="00D579AE" w:rsidRDefault="00774264" w:rsidP="0012638D">
      <w:pPr>
        <w:pStyle w:val="CABParagraph"/>
        <w:spacing w:after="120"/>
        <w:rPr>
          <w:rFonts w:asciiTheme="minorHAnsi" w:hAnsiTheme="minorHAnsi"/>
        </w:rPr>
      </w:pPr>
      <w:r w:rsidRPr="00D579AE">
        <w:rPr>
          <w:rFonts w:asciiTheme="minorHAnsi" w:hAnsiTheme="minorHAnsi"/>
        </w:rPr>
        <w:t xml:space="preserve">Income apportionment was the subject of two own motion investigations by the Commonwealth Ombudsman in 2023 (focussed on delays in progressing appeals and reviews). </w:t>
      </w:r>
    </w:p>
    <w:p w14:paraId="1E66FF1F" w14:textId="5E123F4D" w:rsidR="00944B80" w:rsidRPr="00D579AE" w:rsidRDefault="00215C77" w:rsidP="0012638D">
      <w:pPr>
        <w:spacing w:line="240" w:lineRule="auto"/>
        <w:rPr>
          <w:szCs w:val="22"/>
        </w:rPr>
      </w:pPr>
      <w:r w:rsidRPr="00D579AE">
        <w:rPr>
          <w:szCs w:val="22"/>
        </w:rPr>
        <w:t xml:space="preserve">The issue of how to correctly calculate debts prior to 7 December 2020 </w:t>
      </w:r>
      <w:r w:rsidR="00944B80" w:rsidRPr="00D579AE">
        <w:rPr>
          <w:szCs w:val="22"/>
        </w:rPr>
        <w:t>was considered by</w:t>
      </w:r>
      <w:r w:rsidR="00806033" w:rsidRPr="00D579AE">
        <w:rPr>
          <w:szCs w:val="22"/>
        </w:rPr>
        <w:t xml:space="preserve"> the</w:t>
      </w:r>
      <w:r w:rsidRPr="00D579AE">
        <w:rPr>
          <w:szCs w:val="22"/>
        </w:rPr>
        <w:t xml:space="preserve"> Full Federal Court</w:t>
      </w:r>
      <w:r w:rsidR="006B0C66" w:rsidRPr="00D579AE">
        <w:rPr>
          <w:szCs w:val="22"/>
        </w:rPr>
        <w:t xml:space="preserve"> </w:t>
      </w:r>
      <w:r w:rsidR="00793774" w:rsidRPr="00D579AE">
        <w:rPr>
          <w:szCs w:val="22"/>
        </w:rPr>
        <w:t xml:space="preserve">in </w:t>
      </w:r>
      <w:r w:rsidRPr="00D579AE">
        <w:rPr>
          <w:i/>
          <w:iCs/>
          <w:szCs w:val="22"/>
        </w:rPr>
        <w:t>Chaplin v. Secretary, Department of Social Services</w:t>
      </w:r>
      <w:r w:rsidR="00793774" w:rsidRPr="00D579AE">
        <w:rPr>
          <w:szCs w:val="22"/>
        </w:rPr>
        <w:t xml:space="preserve"> (</w:t>
      </w:r>
      <w:r w:rsidR="00793774" w:rsidRPr="00D579AE">
        <w:rPr>
          <w:i/>
          <w:szCs w:val="22"/>
        </w:rPr>
        <w:t>Chaplin</w:t>
      </w:r>
      <w:r w:rsidR="00793774" w:rsidRPr="00D579AE">
        <w:rPr>
          <w:szCs w:val="22"/>
        </w:rPr>
        <w:t>)</w:t>
      </w:r>
      <w:r w:rsidRPr="00D579AE">
        <w:rPr>
          <w:szCs w:val="22"/>
        </w:rPr>
        <w:t xml:space="preserve">. </w:t>
      </w:r>
      <w:r w:rsidR="00944B80" w:rsidRPr="00D579AE">
        <w:rPr>
          <w:szCs w:val="22"/>
        </w:rPr>
        <w:t>A decision was handed down on 15 July 2025</w:t>
      </w:r>
      <w:r w:rsidR="4DB9F25C" w:rsidRPr="00D579AE">
        <w:rPr>
          <w:szCs w:val="22"/>
        </w:rPr>
        <w:t xml:space="preserve">, which accepted the Department’s preferred methodology </w:t>
      </w:r>
      <w:r w:rsidR="103ABC3E" w:rsidRPr="00D579AE">
        <w:rPr>
          <w:szCs w:val="22"/>
        </w:rPr>
        <w:t>for calculating</w:t>
      </w:r>
      <w:r w:rsidR="103ABC3E" w:rsidRPr="00D579AE" w:rsidDel="00290FAB">
        <w:rPr>
          <w:szCs w:val="22"/>
        </w:rPr>
        <w:t xml:space="preserve"> </w:t>
      </w:r>
      <w:r w:rsidR="103ABC3E" w:rsidRPr="00D579AE">
        <w:rPr>
          <w:szCs w:val="22"/>
        </w:rPr>
        <w:t>debts</w:t>
      </w:r>
      <w:r w:rsidR="00290FAB" w:rsidRPr="00D579AE">
        <w:rPr>
          <w:szCs w:val="22"/>
        </w:rPr>
        <w:t xml:space="preserve"> prior to 7 December 2020</w:t>
      </w:r>
      <w:r w:rsidR="103ABC3E" w:rsidRPr="00D579AE">
        <w:rPr>
          <w:szCs w:val="22"/>
        </w:rPr>
        <w:t xml:space="preserve">. </w:t>
      </w:r>
    </w:p>
    <w:p w14:paraId="77A3591C" w14:textId="765AFA8D" w:rsidR="006F7FF3" w:rsidRPr="00D579AE" w:rsidRDefault="007600C3" w:rsidP="0012638D">
      <w:pPr>
        <w:spacing w:line="240" w:lineRule="auto"/>
        <w:rPr>
          <w:szCs w:val="22"/>
        </w:rPr>
      </w:pPr>
      <w:r w:rsidRPr="00D579AE">
        <w:rPr>
          <w:szCs w:val="22"/>
        </w:rPr>
        <w:t>Around 5.5 million social security debts, previously or currently held by around 3 million people and worth a total of $4.4 billion, may be potentially affected by income apportionment.</w:t>
      </w:r>
      <w:r w:rsidRPr="00D579AE">
        <w:rPr>
          <w:rStyle w:val="FootnoteReference"/>
          <w:szCs w:val="22"/>
        </w:rPr>
        <w:footnoteReference w:id="2"/>
      </w:r>
      <w:r w:rsidRPr="00D579AE">
        <w:rPr>
          <w:szCs w:val="22"/>
        </w:rPr>
        <w:t xml:space="preserve"> </w:t>
      </w:r>
      <w:r w:rsidR="00E42B44" w:rsidRPr="00D579AE">
        <w:rPr>
          <w:szCs w:val="22"/>
        </w:rPr>
        <w:t xml:space="preserve">‘Potentially’ reflects debts which </w:t>
      </w:r>
      <w:r w:rsidR="00E42B44" w:rsidRPr="00D579AE">
        <w:rPr>
          <w:i/>
          <w:szCs w:val="22"/>
        </w:rPr>
        <w:t>may have</w:t>
      </w:r>
      <w:r w:rsidR="00E42B44" w:rsidRPr="00D579AE">
        <w:rPr>
          <w:szCs w:val="22"/>
        </w:rPr>
        <w:t xml:space="preserve"> been calculated using income apportionment. However, it is not possible to determine which of these debts are </w:t>
      </w:r>
      <w:r w:rsidR="00E42B44" w:rsidRPr="00D579AE">
        <w:rPr>
          <w:i/>
          <w:iCs/>
          <w:szCs w:val="22"/>
        </w:rPr>
        <w:t>actually</w:t>
      </w:r>
      <w:r w:rsidR="00E42B44" w:rsidRPr="00D579AE">
        <w:rPr>
          <w:szCs w:val="22"/>
        </w:rPr>
        <w:t xml:space="preserve"> affected without a manual review of each individual debt. </w:t>
      </w:r>
    </w:p>
    <w:p w14:paraId="3F0701CE" w14:textId="51ED9877" w:rsidR="008F0FEE" w:rsidRPr="00D579AE" w:rsidRDefault="008F0FEE" w:rsidP="0012638D">
      <w:pPr>
        <w:spacing w:line="240" w:lineRule="auto"/>
        <w:rPr>
          <w:szCs w:val="22"/>
        </w:rPr>
      </w:pPr>
      <w:r w:rsidRPr="00D579AE">
        <w:rPr>
          <w:szCs w:val="22"/>
        </w:rPr>
        <w:lastRenderedPageBreak/>
        <w:t xml:space="preserve">However, there are relatively few </w:t>
      </w:r>
      <w:r w:rsidR="00284B23" w:rsidRPr="00D579AE">
        <w:rPr>
          <w:szCs w:val="22"/>
        </w:rPr>
        <w:t>outstanding</w:t>
      </w:r>
      <w:r w:rsidRPr="00D579AE">
        <w:rPr>
          <w:szCs w:val="22"/>
        </w:rPr>
        <w:t xml:space="preserve"> debts </w:t>
      </w:r>
      <w:r w:rsidR="000A56C1" w:rsidRPr="00D579AE">
        <w:rPr>
          <w:szCs w:val="22"/>
        </w:rPr>
        <w:t xml:space="preserve">potentially </w:t>
      </w:r>
      <w:r w:rsidRPr="00D579AE">
        <w:rPr>
          <w:szCs w:val="22"/>
        </w:rPr>
        <w:t xml:space="preserve">affected by the practice (around </w:t>
      </w:r>
      <w:r w:rsidR="00E97ED3" w:rsidRPr="00D579AE">
        <w:rPr>
          <w:szCs w:val="22"/>
        </w:rPr>
        <w:t>1</w:t>
      </w:r>
      <w:r w:rsidR="00284B23" w:rsidRPr="00D579AE">
        <w:rPr>
          <w:szCs w:val="22"/>
        </w:rPr>
        <w:t>48</w:t>
      </w:r>
      <w:r w:rsidRPr="00D579AE">
        <w:rPr>
          <w:szCs w:val="22"/>
        </w:rPr>
        <w:t>,000</w:t>
      </w:r>
      <w:r w:rsidR="00E97ED3" w:rsidRPr="00D579AE">
        <w:rPr>
          <w:szCs w:val="22"/>
        </w:rPr>
        <w:t xml:space="preserve"> debts</w:t>
      </w:r>
      <w:r w:rsidR="00CA7078" w:rsidRPr="00D579AE">
        <w:rPr>
          <w:szCs w:val="22"/>
        </w:rPr>
        <w:t>)</w:t>
      </w:r>
      <w:r w:rsidRPr="00D579AE">
        <w:rPr>
          <w:szCs w:val="22"/>
        </w:rPr>
        <w:t xml:space="preserve">. </w:t>
      </w:r>
      <w:r w:rsidR="00284B23" w:rsidRPr="00D579AE">
        <w:rPr>
          <w:szCs w:val="22"/>
        </w:rPr>
        <w:t>Around 97</w:t>
      </w:r>
      <w:r w:rsidR="00253E24" w:rsidRPr="00D579AE">
        <w:rPr>
          <w:szCs w:val="22"/>
        </w:rPr>
        <w:t xml:space="preserve">% </w:t>
      </w:r>
      <w:r w:rsidRPr="00D579AE">
        <w:rPr>
          <w:szCs w:val="22"/>
        </w:rPr>
        <w:t xml:space="preserve">of potentially affected debts </w:t>
      </w:r>
      <w:r w:rsidR="007C634A" w:rsidRPr="00D579AE">
        <w:rPr>
          <w:szCs w:val="22"/>
        </w:rPr>
        <w:t xml:space="preserve">have been </w:t>
      </w:r>
      <w:r w:rsidRPr="00D579AE">
        <w:rPr>
          <w:szCs w:val="22"/>
        </w:rPr>
        <w:t>fully repaid</w:t>
      </w:r>
      <w:r w:rsidR="00E97ED3" w:rsidRPr="00D579AE">
        <w:rPr>
          <w:szCs w:val="22"/>
        </w:rPr>
        <w:t xml:space="preserve">, </w:t>
      </w:r>
      <w:r w:rsidRPr="00D579AE">
        <w:rPr>
          <w:szCs w:val="22"/>
        </w:rPr>
        <w:t>the average age of potentially affected debts is 19 years</w:t>
      </w:r>
      <w:r w:rsidR="00E97ED3" w:rsidRPr="00D579AE">
        <w:rPr>
          <w:rStyle w:val="CommentReference"/>
          <w:sz w:val="22"/>
          <w:szCs w:val="22"/>
        </w:rPr>
        <w:t xml:space="preserve">, </w:t>
      </w:r>
      <w:r w:rsidRPr="00D579AE">
        <w:rPr>
          <w:szCs w:val="22"/>
        </w:rPr>
        <w:t>and</w:t>
      </w:r>
      <w:r w:rsidRPr="00D579AE">
        <w:rPr>
          <w:rStyle w:val="CommentReference"/>
          <w:sz w:val="22"/>
          <w:szCs w:val="22"/>
        </w:rPr>
        <w:t xml:space="preserve"> </w:t>
      </w:r>
      <w:r w:rsidRPr="00D579AE">
        <w:rPr>
          <w:szCs w:val="22"/>
        </w:rPr>
        <w:t>over half of the potentially affected debts are held by people who no longer receiv</w:t>
      </w:r>
      <w:r w:rsidR="00E92D1C" w:rsidRPr="00D579AE">
        <w:rPr>
          <w:szCs w:val="22"/>
        </w:rPr>
        <w:t>ing</w:t>
      </w:r>
      <w:r w:rsidRPr="00D579AE">
        <w:rPr>
          <w:szCs w:val="22"/>
        </w:rPr>
        <w:t xml:space="preserve"> social security or family payments.</w:t>
      </w:r>
    </w:p>
    <w:p w14:paraId="2681E09B" w14:textId="4AF39D78" w:rsidR="00AB54BF" w:rsidRPr="00D579AE" w:rsidRDefault="00847EFF" w:rsidP="0012638D">
      <w:pPr>
        <w:spacing w:line="240" w:lineRule="auto"/>
        <w:rPr>
          <w:szCs w:val="22"/>
        </w:rPr>
      </w:pPr>
      <w:r w:rsidRPr="00D579AE">
        <w:rPr>
          <w:szCs w:val="22"/>
        </w:rPr>
        <w:t xml:space="preserve">In line with Australian Government guidance, this Impact Analysis examines </w:t>
      </w:r>
      <w:r w:rsidR="007D11AF" w:rsidRPr="00D579AE">
        <w:rPr>
          <w:szCs w:val="22"/>
        </w:rPr>
        <w:t xml:space="preserve">potential resolution </w:t>
      </w:r>
      <w:r w:rsidR="00506C0F" w:rsidRPr="00D579AE">
        <w:rPr>
          <w:szCs w:val="22"/>
        </w:rPr>
        <w:t>approaches</w:t>
      </w:r>
      <w:r w:rsidRPr="00D579AE">
        <w:rPr>
          <w:szCs w:val="22"/>
        </w:rPr>
        <w:t xml:space="preserve"> </w:t>
      </w:r>
      <w:r w:rsidR="00506C0F" w:rsidRPr="00D579AE">
        <w:rPr>
          <w:szCs w:val="22"/>
        </w:rPr>
        <w:t xml:space="preserve">to income apportionment </w:t>
      </w:r>
      <w:r w:rsidRPr="00D579AE">
        <w:rPr>
          <w:szCs w:val="22"/>
        </w:rPr>
        <w:t>(including associated data, analysis, benefits, risks and expenditure)</w:t>
      </w:r>
      <w:r w:rsidR="00301A01" w:rsidRPr="00D579AE">
        <w:rPr>
          <w:szCs w:val="22"/>
        </w:rPr>
        <w:t>.</w:t>
      </w:r>
      <w:r w:rsidRPr="00D579AE">
        <w:rPr>
          <w:szCs w:val="22"/>
        </w:rPr>
        <w:t xml:space="preserve"> </w:t>
      </w:r>
    </w:p>
    <w:p w14:paraId="59277B31" w14:textId="77777777" w:rsidR="00FD4177" w:rsidRPr="00D579AE" w:rsidRDefault="00FD4177" w:rsidP="0012638D">
      <w:pPr>
        <w:spacing w:after="200" w:line="240" w:lineRule="auto"/>
        <w:rPr>
          <w:rFonts w:asciiTheme="majorHAnsi" w:eastAsiaTheme="majorEastAsia" w:hAnsiTheme="majorHAnsi" w:cstheme="majorBidi"/>
          <w:color w:val="1C2B39" w:themeColor="accent1"/>
          <w:szCs w:val="22"/>
        </w:rPr>
      </w:pPr>
      <w:r w:rsidRPr="00D579AE">
        <w:rPr>
          <w:szCs w:val="22"/>
        </w:rPr>
        <w:br w:type="page"/>
      </w:r>
    </w:p>
    <w:p w14:paraId="5F925CC5" w14:textId="10A9B23D" w:rsidR="0014151F" w:rsidRDefault="0014151F" w:rsidP="0012638D">
      <w:pPr>
        <w:pStyle w:val="Heading1"/>
        <w:numPr>
          <w:ilvl w:val="0"/>
          <w:numId w:val="12"/>
        </w:numPr>
      </w:pPr>
      <w:bookmarkStart w:id="5" w:name="_Toc207097796"/>
      <w:r>
        <w:lastRenderedPageBreak/>
        <w:t>What is the policy problem you are trying to solve and what data is available?</w:t>
      </w:r>
      <w:bookmarkEnd w:id="5"/>
    </w:p>
    <w:p w14:paraId="692B7CE7" w14:textId="1EB87AB2" w:rsidR="00550603" w:rsidRDefault="00AB54BF" w:rsidP="0012638D">
      <w:pPr>
        <w:pStyle w:val="Heading2"/>
      </w:pPr>
      <w:bookmarkStart w:id="6" w:name="_Toc159917932"/>
      <w:bookmarkStart w:id="7" w:name="_Toc207097797"/>
      <w:r>
        <w:t xml:space="preserve">1.1 </w:t>
      </w:r>
      <w:r w:rsidR="00550603">
        <w:t>What is Income Apportionment</w:t>
      </w:r>
      <w:bookmarkEnd w:id="6"/>
      <w:bookmarkEnd w:id="7"/>
    </w:p>
    <w:p w14:paraId="091E45CA" w14:textId="43A12097" w:rsidR="00FD173E" w:rsidRPr="002D7C45" w:rsidRDefault="00FD173E" w:rsidP="0012638D">
      <w:pPr>
        <w:keepLines/>
        <w:spacing w:before="120" w:after="120" w:line="240" w:lineRule="auto"/>
      </w:pPr>
      <w:r w:rsidRPr="002D7C45">
        <w:t xml:space="preserve">Australia’s social security system is funded through general revenue, with support targeted to those most in need through means testing, including income and assets tests. Under the income test, the amount of income support a person is entitled to </w:t>
      </w:r>
      <w:proofErr w:type="gramStart"/>
      <w:r w:rsidR="00A343CC">
        <w:t>is</w:t>
      </w:r>
      <w:proofErr w:type="gramEnd"/>
      <w:r w:rsidR="00A343CC">
        <w:t xml:space="preserve"> reduced</w:t>
      </w:r>
      <w:r w:rsidRPr="002D7C45">
        <w:t xml:space="preserve"> as the</w:t>
      </w:r>
      <w:r w:rsidR="00D51CE1">
        <w:t>ir income</w:t>
      </w:r>
      <w:r w:rsidRPr="002D7C45">
        <w:t xml:space="preserve"> from other sources, such as employment</w:t>
      </w:r>
      <w:r w:rsidR="00D51CE1">
        <w:t>, increases</w:t>
      </w:r>
      <w:r w:rsidRPr="002D7C45">
        <w:t>.</w:t>
      </w:r>
    </w:p>
    <w:p w14:paraId="5C7B9D17" w14:textId="5C840203" w:rsidR="00613BB8" w:rsidRDefault="00FD173E" w:rsidP="0012638D">
      <w:pPr>
        <w:keepLines/>
        <w:spacing w:before="120" w:after="120" w:line="240" w:lineRule="auto"/>
      </w:pPr>
      <w:r w:rsidRPr="002D7C45">
        <w:t xml:space="preserve">The income test requires income to be allocated to a Centrelink instalment period (usually a fortnight) to calculate a person’s </w:t>
      </w:r>
      <w:r w:rsidR="00D51CE1">
        <w:t xml:space="preserve">entitlement </w:t>
      </w:r>
      <w:r w:rsidRPr="002D7C45">
        <w:t xml:space="preserve">for that period. </w:t>
      </w:r>
      <w:r w:rsidR="00613BB8">
        <w:t xml:space="preserve">Under the SS Act </w:t>
      </w:r>
      <w:r w:rsidR="00613BB8" w:rsidRPr="002D7C45">
        <w:t>as it was in force prior to 7 December 2020</w:t>
      </w:r>
      <w:r w:rsidR="00613BB8">
        <w:t xml:space="preserve">, the income was required to be allocated to the </w:t>
      </w:r>
      <w:r w:rsidR="00A80F20">
        <w:t>fortnight</w:t>
      </w:r>
      <w:r w:rsidR="00613BB8">
        <w:t xml:space="preserve"> in which the income was “first earned, derived or received”</w:t>
      </w:r>
      <w:r w:rsidR="00613BB8" w:rsidRPr="002D7C45">
        <w:t>.</w:t>
      </w:r>
      <w:r w:rsidR="00BC6395">
        <w:t xml:space="preserve"> </w:t>
      </w:r>
    </w:p>
    <w:p w14:paraId="6967FD91" w14:textId="22FEF53C" w:rsidR="00FD173E" w:rsidRPr="002D7C45" w:rsidRDefault="00215C77" w:rsidP="0012638D">
      <w:pPr>
        <w:keepLines/>
        <w:spacing w:before="120" w:after="120" w:line="240" w:lineRule="auto"/>
      </w:pPr>
      <w:r>
        <w:t>Generally</w:t>
      </w:r>
      <w:r w:rsidR="002E4A89">
        <w:t>,</w:t>
      </w:r>
      <w:r>
        <w:t xml:space="preserve"> where a person made updates to the employment income they earned and/or Services Australia became aware of employment income not accounted for in </w:t>
      </w:r>
      <w:r w:rsidR="00E92D1C">
        <w:t xml:space="preserve">a </w:t>
      </w:r>
      <w:r>
        <w:t>person’s social security payment,</w:t>
      </w:r>
      <w:r w:rsidR="00FD173E" w:rsidRPr="002D7C45">
        <w:t xml:space="preserve"> it was difficult for the </w:t>
      </w:r>
      <w:r w:rsidR="000C38F1">
        <w:t>person</w:t>
      </w:r>
      <w:r w:rsidR="000C38F1" w:rsidRPr="002D7C45">
        <w:t xml:space="preserve"> </w:t>
      </w:r>
      <w:r w:rsidR="00FD173E" w:rsidRPr="002D7C45">
        <w:t xml:space="preserve">and/or </w:t>
      </w:r>
      <w:r w:rsidR="000C38F1">
        <w:t>Services Australia</w:t>
      </w:r>
      <w:r w:rsidR="000C38F1" w:rsidRPr="002D7C45">
        <w:t xml:space="preserve"> </w:t>
      </w:r>
      <w:r w:rsidR="00FD173E" w:rsidRPr="002D7C45">
        <w:t xml:space="preserve">to </w:t>
      </w:r>
      <w:r w:rsidR="00FD173E" w:rsidRPr="0053403E">
        <w:t xml:space="preserve">determine </w:t>
      </w:r>
      <w:r w:rsidR="002C72D2">
        <w:t xml:space="preserve">on what day </w:t>
      </w:r>
      <w:r w:rsidR="00D51CE1">
        <w:t>employment</w:t>
      </w:r>
      <w:r w:rsidR="00FD173E" w:rsidRPr="0053403E">
        <w:t xml:space="preserve"> income</w:t>
      </w:r>
      <w:r w:rsidR="00FD173E" w:rsidRPr="002D7C45">
        <w:t xml:space="preserve"> was earned, and what </w:t>
      </w:r>
      <w:r w:rsidR="00613BB8">
        <w:t xml:space="preserve">instalment </w:t>
      </w:r>
      <w:r w:rsidR="00FD173E" w:rsidRPr="002D7C45">
        <w:t>period it should be allocated to. This could be where:</w:t>
      </w:r>
    </w:p>
    <w:p w14:paraId="5577A3CD" w14:textId="77777777" w:rsidR="00FD173E" w:rsidRPr="002D7C45" w:rsidRDefault="00FD173E" w:rsidP="0012638D">
      <w:pPr>
        <w:pStyle w:val="ListParagraph"/>
        <w:keepLines/>
        <w:numPr>
          <w:ilvl w:val="0"/>
          <w:numId w:val="16"/>
        </w:numPr>
        <w:spacing w:before="120" w:after="120" w:line="240" w:lineRule="auto"/>
        <w:ind w:hanging="294"/>
      </w:pPr>
      <w:r w:rsidRPr="002D7C45">
        <w:t>payslips did not show the hours or days worked, or the different hourly rates of pay</w:t>
      </w:r>
    </w:p>
    <w:p w14:paraId="69D3E08A" w14:textId="55E00FC0" w:rsidR="00FD173E" w:rsidRPr="002D7C45" w:rsidRDefault="00FD173E" w:rsidP="0012638D">
      <w:pPr>
        <w:pStyle w:val="ListParagraph"/>
        <w:keepLines/>
        <w:numPr>
          <w:ilvl w:val="0"/>
          <w:numId w:val="16"/>
        </w:numPr>
        <w:spacing w:before="120" w:after="120" w:line="240" w:lineRule="auto"/>
        <w:ind w:hanging="294"/>
      </w:pPr>
      <w:proofErr w:type="gramStart"/>
      <w:r w:rsidRPr="002D7C45">
        <w:t>the</w:t>
      </w:r>
      <w:proofErr w:type="gramEnd"/>
      <w:r w:rsidRPr="002D7C45">
        <w:t xml:space="preserve"> </w:t>
      </w:r>
      <w:r w:rsidR="00D51CE1">
        <w:t xml:space="preserve">employment </w:t>
      </w:r>
      <w:r w:rsidRPr="002D7C45">
        <w:t>period did not align with the Centrelink instalment period</w:t>
      </w:r>
      <w:r w:rsidR="007A49C5">
        <w:t>.</w:t>
      </w:r>
    </w:p>
    <w:p w14:paraId="2A89D106" w14:textId="77777777" w:rsidR="00B5625B" w:rsidRDefault="00FD173E" w:rsidP="0012638D">
      <w:pPr>
        <w:spacing w:after="0" w:line="240" w:lineRule="auto"/>
      </w:pPr>
      <w:r w:rsidRPr="002D7C45">
        <w:t>In these cases, Services Australia adopted a practice of evenly spreading</w:t>
      </w:r>
      <w:r w:rsidR="000C38F1">
        <w:t xml:space="preserve"> the</w:t>
      </w:r>
      <w:r w:rsidRPr="002D7C45">
        <w:t xml:space="preserve"> employment income across the period </w:t>
      </w:r>
      <w:r w:rsidR="00E64199">
        <w:t xml:space="preserve">in which </w:t>
      </w:r>
      <w:r w:rsidRPr="002D7C45">
        <w:t>it was earned</w:t>
      </w:r>
      <w:r w:rsidR="00215C77">
        <w:t xml:space="preserve"> (dividing the total employment income on the payslip by the payslip period to get a daily rate)</w:t>
      </w:r>
      <w:r w:rsidRPr="002D7C45">
        <w:t xml:space="preserve">. This meant income </w:t>
      </w:r>
      <w:r w:rsidR="00806033">
        <w:t xml:space="preserve">could be </w:t>
      </w:r>
      <w:r w:rsidRPr="002D7C45">
        <w:t xml:space="preserve">apportioned across two or more Centrelink instalment periods (income apportionment). </w:t>
      </w:r>
    </w:p>
    <w:p w14:paraId="2F951F38" w14:textId="77777777" w:rsidR="009643FF" w:rsidRDefault="009643FF" w:rsidP="0012638D">
      <w:pPr>
        <w:spacing w:after="0" w:line="240" w:lineRule="auto"/>
      </w:pPr>
    </w:p>
    <w:p w14:paraId="54D46414" w14:textId="1F8E32A0" w:rsidR="00B313BA" w:rsidRDefault="00774264" w:rsidP="0012638D">
      <w:pPr>
        <w:spacing w:after="0" w:line="240" w:lineRule="auto"/>
      </w:pPr>
      <w:r>
        <w:t xml:space="preserve">It is </w:t>
      </w:r>
      <w:r w:rsidR="00955293">
        <w:t>now understood</w:t>
      </w:r>
      <w:r>
        <w:t xml:space="preserve"> a</w:t>
      </w:r>
      <w:r w:rsidR="00FD173E" w:rsidRPr="002D7C45">
        <w:t xml:space="preserve">pportioning </w:t>
      </w:r>
      <w:r w:rsidR="00806033">
        <w:t xml:space="preserve">income </w:t>
      </w:r>
      <w:r w:rsidR="00FD173E" w:rsidRPr="002D7C45">
        <w:t xml:space="preserve">across Centrelink instalment periods was </w:t>
      </w:r>
      <w:r w:rsidR="006C599E">
        <w:t xml:space="preserve">generally </w:t>
      </w:r>
      <w:r w:rsidR="00FD173E" w:rsidRPr="002D7C45">
        <w:t xml:space="preserve">not permitted </w:t>
      </w:r>
      <w:r w:rsidR="00806033">
        <w:t xml:space="preserve">under </w:t>
      </w:r>
      <w:r w:rsidR="006C599E">
        <w:t xml:space="preserve">the </w:t>
      </w:r>
      <w:r w:rsidR="00B86C23">
        <w:t>SS Ac</w:t>
      </w:r>
      <w:r w:rsidR="00613BB8">
        <w:t>t</w:t>
      </w:r>
      <w:r w:rsidR="00B86C23">
        <w:t xml:space="preserve"> </w:t>
      </w:r>
      <w:r w:rsidR="00FD173E" w:rsidRPr="002D7C45">
        <w:t>as it was in force prior to 7 December 2020.</w:t>
      </w:r>
      <w:bookmarkStart w:id="8" w:name="_Toc189673629"/>
      <w:bookmarkStart w:id="9" w:name="_Toc189673765"/>
      <w:bookmarkEnd w:id="8"/>
      <w:bookmarkEnd w:id="9"/>
    </w:p>
    <w:p w14:paraId="30F3C9D6" w14:textId="354FBA05" w:rsidR="00BF597A" w:rsidRDefault="00BF597A" w:rsidP="0012638D">
      <w:pPr>
        <w:pStyle w:val="Heading3"/>
        <w:spacing w:line="240" w:lineRule="auto"/>
      </w:pPr>
      <w:r>
        <w:t>Impact of income apportionment</w:t>
      </w:r>
    </w:p>
    <w:p w14:paraId="05347BA4" w14:textId="0E4AE6C9" w:rsidR="00BF597A" w:rsidRPr="00D579AE" w:rsidRDefault="00BF597A" w:rsidP="0012638D">
      <w:pPr>
        <w:keepLines/>
        <w:spacing w:before="120" w:after="120" w:line="240" w:lineRule="auto"/>
        <w:rPr>
          <w:szCs w:val="22"/>
        </w:rPr>
      </w:pPr>
      <w:r w:rsidRPr="00D579AE">
        <w:rPr>
          <w:szCs w:val="22"/>
        </w:rPr>
        <w:t xml:space="preserve">Around 5.5 million social security debts, </w:t>
      </w:r>
      <w:r w:rsidR="000762DF" w:rsidRPr="00D579AE">
        <w:rPr>
          <w:szCs w:val="22"/>
        </w:rPr>
        <w:t xml:space="preserve">previously or currently </w:t>
      </w:r>
      <w:r w:rsidRPr="00D579AE">
        <w:rPr>
          <w:szCs w:val="22"/>
        </w:rPr>
        <w:t>held</w:t>
      </w:r>
      <w:r w:rsidR="00361B68" w:rsidRPr="00D579AE">
        <w:rPr>
          <w:szCs w:val="22"/>
        </w:rPr>
        <w:t xml:space="preserve"> </w:t>
      </w:r>
      <w:r w:rsidRPr="00D579AE">
        <w:rPr>
          <w:szCs w:val="22"/>
        </w:rPr>
        <w:t>by around 3 million people and worth a total of $4.4 billion, may be potentially affected by income apportionment</w:t>
      </w:r>
      <w:r w:rsidR="00E521DE" w:rsidRPr="00D579AE">
        <w:rPr>
          <w:szCs w:val="22"/>
        </w:rPr>
        <w:t>.</w:t>
      </w:r>
      <w:r w:rsidR="00E521DE" w:rsidRPr="00D579AE">
        <w:rPr>
          <w:rStyle w:val="FootnoteReference"/>
          <w:szCs w:val="22"/>
        </w:rPr>
        <w:footnoteReference w:id="3"/>
      </w:r>
      <w:r w:rsidRPr="00D579AE">
        <w:rPr>
          <w:szCs w:val="22"/>
        </w:rPr>
        <w:t xml:space="preserve"> </w:t>
      </w:r>
      <w:r w:rsidR="00FC28BE" w:rsidRPr="00D579AE">
        <w:rPr>
          <w:szCs w:val="22"/>
        </w:rPr>
        <w:t>‘Potentially’ reflect</w:t>
      </w:r>
      <w:r w:rsidR="00167028" w:rsidRPr="00D579AE">
        <w:rPr>
          <w:szCs w:val="22"/>
        </w:rPr>
        <w:t>s</w:t>
      </w:r>
      <w:r w:rsidR="00FC28BE" w:rsidRPr="00D579AE">
        <w:rPr>
          <w:szCs w:val="22"/>
        </w:rPr>
        <w:t xml:space="preserve"> </w:t>
      </w:r>
      <w:r w:rsidR="00167028" w:rsidRPr="00D579AE">
        <w:rPr>
          <w:szCs w:val="22"/>
        </w:rPr>
        <w:t>debts relate</w:t>
      </w:r>
      <w:r w:rsidR="000D1409" w:rsidRPr="00D579AE">
        <w:rPr>
          <w:szCs w:val="22"/>
        </w:rPr>
        <w:t>d</w:t>
      </w:r>
      <w:r w:rsidR="00167028" w:rsidRPr="00D579AE">
        <w:rPr>
          <w:szCs w:val="22"/>
        </w:rPr>
        <w:t xml:space="preserve"> to pre-December 2020 employment income, </w:t>
      </w:r>
      <w:r w:rsidR="000D1409" w:rsidRPr="00D579AE">
        <w:rPr>
          <w:szCs w:val="22"/>
        </w:rPr>
        <w:t xml:space="preserve">which </w:t>
      </w:r>
      <w:r w:rsidR="00167028" w:rsidRPr="00D579AE">
        <w:rPr>
          <w:szCs w:val="22"/>
        </w:rPr>
        <w:t xml:space="preserve">may have been calculated using income apportionment. However, it </w:t>
      </w:r>
      <w:r w:rsidR="00FC28BE" w:rsidRPr="00D579AE">
        <w:rPr>
          <w:szCs w:val="22"/>
        </w:rPr>
        <w:t>is not possible to determine which of these debts are actually affected</w:t>
      </w:r>
      <w:r w:rsidR="00774264" w:rsidRPr="00D579AE">
        <w:rPr>
          <w:szCs w:val="22"/>
        </w:rPr>
        <w:t xml:space="preserve"> without a manual review of each individual debt</w:t>
      </w:r>
      <w:r w:rsidR="00167028" w:rsidRPr="00D579AE">
        <w:rPr>
          <w:szCs w:val="22"/>
        </w:rPr>
        <w:t xml:space="preserve">. </w:t>
      </w:r>
    </w:p>
    <w:p w14:paraId="3C9B2FF6" w14:textId="69641A5A" w:rsidR="00BF597A" w:rsidRPr="00D579AE" w:rsidRDefault="007C62E6" w:rsidP="0012638D">
      <w:pPr>
        <w:spacing w:line="240" w:lineRule="auto"/>
        <w:rPr>
          <w:szCs w:val="22"/>
        </w:rPr>
      </w:pPr>
      <w:r w:rsidRPr="00D579AE">
        <w:rPr>
          <w:szCs w:val="22"/>
        </w:rPr>
        <w:lastRenderedPageBreak/>
        <w:t>T</w:t>
      </w:r>
      <w:r w:rsidR="00BF597A" w:rsidRPr="00D579AE">
        <w:rPr>
          <w:szCs w:val="22"/>
        </w:rPr>
        <w:t>he average age of potentially affected debts is 19 years</w:t>
      </w:r>
      <w:r w:rsidR="00BF597A" w:rsidRPr="00D579AE">
        <w:rPr>
          <w:rStyle w:val="CommentReference"/>
          <w:sz w:val="22"/>
          <w:szCs w:val="22"/>
        </w:rPr>
        <w:t xml:space="preserve">; </w:t>
      </w:r>
      <w:r w:rsidR="00BF597A" w:rsidRPr="00D579AE">
        <w:rPr>
          <w:szCs w:val="22"/>
        </w:rPr>
        <w:t>and</w:t>
      </w:r>
      <w:r w:rsidR="00BF597A" w:rsidRPr="00D579AE">
        <w:rPr>
          <w:rStyle w:val="CommentReference"/>
          <w:sz w:val="22"/>
          <w:szCs w:val="22"/>
        </w:rPr>
        <w:t xml:space="preserve"> </w:t>
      </w:r>
      <w:r w:rsidR="00BF597A" w:rsidRPr="00D579AE">
        <w:rPr>
          <w:szCs w:val="22"/>
        </w:rPr>
        <w:t xml:space="preserve">over half of the potentially affected </w:t>
      </w:r>
      <w:r w:rsidRPr="00D579AE">
        <w:rPr>
          <w:szCs w:val="22"/>
        </w:rPr>
        <w:t>d</w:t>
      </w:r>
      <w:r w:rsidR="00BF597A" w:rsidRPr="00D579AE">
        <w:rPr>
          <w:szCs w:val="22"/>
        </w:rPr>
        <w:t>ebts are held by people who no longer receive social security or family payments.</w:t>
      </w:r>
      <w:r w:rsidR="009B745B" w:rsidRPr="00D579AE">
        <w:rPr>
          <w:szCs w:val="22"/>
        </w:rPr>
        <w:t xml:space="preserve"> The average potentially affected debt amount is $810, and the median amount is $330.</w:t>
      </w:r>
    </w:p>
    <w:p w14:paraId="051CE72A" w14:textId="4517BD68" w:rsidR="00774264" w:rsidRPr="00D579AE" w:rsidRDefault="00B46109" w:rsidP="0012638D">
      <w:pPr>
        <w:spacing w:before="120" w:after="120" w:line="240" w:lineRule="auto"/>
        <w:rPr>
          <w:szCs w:val="22"/>
        </w:rPr>
      </w:pPr>
      <w:r w:rsidRPr="00D579AE">
        <w:rPr>
          <w:szCs w:val="22"/>
        </w:rPr>
        <w:t xml:space="preserve">To understand the impacts of this issue, </w:t>
      </w:r>
      <w:r w:rsidR="00BF597A" w:rsidRPr="00D579AE">
        <w:rPr>
          <w:szCs w:val="22"/>
        </w:rPr>
        <w:t>Services Australia</w:t>
      </w:r>
      <w:r w:rsidRPr="00D579AE">
        <w:rPr>
          <w:szCs w:val="22"/>
        </w:rPr>
        <w:t xml:space="preserve"> conducted </w:t>
      </w:r>
      <w:r w:rsidR="00BF597A" w:rsidRPr="00D579AE">
        <w:rPr>
          <w:szCs w:val="22"/>
        </w:rPr>
        <w:t>exploratory sampling</w:t>
      </w:r>
      <w:r w:rsidR="009D0327" w:rsidRPr="00D579AE">
        <w:rPr>
          <w:szCs w:val="22"/>
        </w:rPr>
        <w:t xml:space="preserve"> of 970 </w:t>
      </w:r>
      <w:r w:rsidR="000E3CA2" w:rsidRPr="00D579AE">
        <w:rPr>
          <w:szCs w:val="22"/>
        </w:rPr>
        <w:t>pre-December 2020</w:t>
      </w:r>
      <w:r w:rsidR="00BF2211" w:rsidRPr="00D579AE">
        <w:rPr>
          <w:szCs w:val="22"/>
        </w:rPr>
        <w:t xml:space="preserve"> </w:t>
      </w:r>
      <w:r w:rsidR="009D0327" w:rsidRPr="00D579AE">
        <w:rPr>
          <w:szCs w:val="22"/>
        </w:rPr>
        <w:t>employment income debts</w:t>
      </w:r>
      <w:r w:rsidR="0059493D" w:rsidRPr="00D579AE">
        <w:rPr>
          <w:szCs w:val="22"/>
        </w:rPr>
        <w:t>.</w:t>
      </w:r>
      <w:r w:rsidR="0044454B" w:rsidRPr="00D579AE">
        <w:rPr>
          <w:szCs w:val="22"/>
        </w:rPr>
        <w:t xml:space="preserve"> </w:t>
      </w:r>
      <w:r w:rsidR="0059493D" w:rsidRPr="00D579AE">
        <w:rPr>
          <w:szCs w:val="22"/>
        </w:rPr>
        <w:t>This sampling i</w:t>
      </w:r>
      <w:r w:rsidR="00BF597A" w:rsidRPr="00D579AE">
        <w:rPr>
          <w:szCs w:val="22"/>
        </w:rPr>
        <w:t>ndicate</w:t>
      </w:r>
      <w:r w:rsidRPr="00D579AE">
        <w:rPr>
          <w:szCs w:val="22"/>
        </w:rPr>
        <w:t>d</w:t>
      </w:r>
      <w:r w:rsidR="00BF597A" w:rsidRPr="00D579AE">
        <w:rPr>
          <w:szCs w:val="22"/>
        </w:rPr>
        <w:t xml:space="preserve"> around </w:t>
      </w:r>
      <w:r w:rsidR="00933222" w:rsidRPr="00D579AE">
        <w:rPr>
          <w:szCs w:val="22"/>
        </w:rPr>
        <w:t>6</w:t>
      </w:r>
      <w:r w:rsidR="00284B23" w:rsidRPr="00D579AE">
        <w:rPr>
          <w:szCs w:val="22"/>
        </w:rPr>
        <w:t>3</w:t>
      </w:r>
      <w:r w:rsidR="00253E24" w:rsidRPr="00D579AE">
        <w:rPr>
          <w:szCs w:val="22"/>
        </w:rPr>
        <w:t>%</w:t>
      </w:r>
      <w:r w:rsidR="00BF597A" w:rsidRPr="00D579AE">
        <w:rPr>
          <w:szCs w:val="22"/>
        </w:rPr>
        <w:t xml:space="preserve"> of potentially affected debts may actually be affected by income apportionment.</w:t>
      </w:r>
      <w:r w:rsidR="00BF597A" w:rsidRPr="00D579AE" w:rsidDel="000D37D0">
        <w:rPr>
          <w:szCs w:val="22"/>
        </w:rPr>
        <w:t xml:space="preserve"> </w:t>
      </w:r>
      <w:bookmarkStart w:id="10" w:name="_Hlk204860612"/>
      <w:r w:rsidRPr="00D579AE">
        <w:rPr>
          <w:szCs w:val="22"/>
        </w:rPr>
        <w:t xml:space="preserve">Sampling </w:t>
      </w:r>
      <w:r w:rsidR="00774264" w:rsidRPr="00D579AE">
        <w:rPr>
          <w:szCs w:val="22"/>
        </w:rPr>
        <w:t xml:space="preserve">also found the effect of income apportionment on an overall debt amount is small; the median change when </w:t>
      </w:r>
      <w:r w:rsidRPr="00D579AE">
        <w:rPr>
          <w:szCs w:val="22"/>
        </w:rPr>
        <w:t>a</w:t>
      </w:r>
      <w:r w:rsidR="00774264" w:rsidRPr="00D579AE">
        <w:rPr>
          <w:szCs w:val="22"/>
        </w:rPr>
        <w:t xml:space="preserve"> debt </w:t>
      </w:r>
      <w:r w:rsidRPr="00D579AE">
        <w:rPr>
          <w:szCs w:val="22"/>
        </w:rPr>
        <w:t>was</w:t>
      </w:r>
      <w:r w:rsidR="002101A9" w:rsidRPr="00D579AE">
        <w:rPr>
          <w:szCs w:val="22"/>
        </w:rPr>
        <w:t xml:space="preserve"> </w:t>
      </w:r>
      <w:r w:rsidR="00774264" w:rsidRPr="00D579AE">
        <w:rPr>
          <w:szCs w:val="22"/>
        </w:rPr>
        <w:t xml:space="preserve">recalculated using the methodology upheld in </w:t>
      </w:r>
      <w:r w:rsidR="00774264" w:rsidRPr="00D579AE">
        <w:rPr>
          <w:i/>
          <w:iCs/>
          <w:szCs w:val="22"/>
        </w:rPr>
        <w:t xml:space="preserve">Chaplin </w:t>
      </w:r>
      <w:r w:rsidR="002101A9" w:rsidRPr="00D579AE">
        <w:rPr>
          <w:szCs w:val="22"/>
        </w:rPr>
        <w:t xml:space="preserve">was </w:t>
      </w:r>
      <w:r w:rsidR="00774264" w:rsidRPr="00D579AE">
        <w:rPr>
          <w:szCs w:val="22"/>
        </w:rPr>
        <w:t>less than $100</w:t>
      </w:r>
      <w:bookmarkEnd w:id="10"/>
      <w:r w:rsidR="00B827FC">
        <w:rPr>
          <w:szCs w:val="22"/>
        </w:rPr>
        <w:t xml:space="preserve">. </w:t>
      </w:r>
      <w:r w:rsidR="00BB3B9D" w:rsidRPr="00D579AE">
        <w:rPr>
          <w:szCs w:val="22"/>
        </w:rPr>
        <w:t>This recalculation also found around</w:t>
      </w:r>
      <w:r w:rsidR="00774264" w:rsidRPr="00D579AE">
        <w:rPr>
          <w:szCs w:val="22"/>
        </w:rPr>
        <w:t xml:space="preserve"> two thirds of debts decreased, while one third of debts increased. </w:t>
      </w:r>
    </w:p>
    <w:p w14:paraId="3A655F4C" w14:textId="2EEAF88A" w:rsidR="00737501" w:rsidRPr="00D579AE" w:rsidRDefault="00737501" w:rsidP="0012638D">
      <w:pPr>
        <w:spacing w:before="120" w:after="120" w:line="240" w:lineRule="auto"/>
        <w:rPr>
          <w:szCs w:val="22"/>
        </w:rPr>
      </w:pPr>
      <w:r w:rsidRPr="00D579AE">
        <w:rPr>
          <w:szCs w:val="22"/>
        </w:rPr>
        <w:t xml:space="preserve">There are relatively few active debts </w:t>
      </w:r>
      <w:r w:rsidR="00774264" w:rsidRPr="00D579AE">
        <w:rPr>
          <w:szCs w:val="22"/>
        </w:rPr>
        <w:t xml:space="preserve">(that is, debts under recovery) </w:t>
      </w:r>
      <w:r w:rsidRPr="00D579AE">
        <w:rPr>
          <w:szCs w:val="22"/>
        </w:rPr>
        <w:t xml:space="preserve">affected by </w:t>
      </w:r>
      <w:r w:rsidR="0059493D" w:rsidRPr="00D579AE">
        <w:rPr>
          <w:szCs w:val="22"/>
        </w:rPr>
        <w:t>income apportionment</w:t>
      </w:r>
      <w:r w:rsidR="00774264" w:rsidRPr="00D579AE">
        <w:rPr>
          <w:szCs w:val="22"/>
        </w:rPr>
        <w:t xml:space="preserve">. </w:t>
      </w:r>
      <w:r w:rsidR="00B97142" w:rsidRPr="00D579AE">
        <w:rPr>
          <w:szCs w:val="22"/>
        </w:rPr>
        <w:t>A</w:t>
      </w:r>
      <w:r w:rsidRPr="00D579AE">
        <w:rPr>
          <w:szCs w:val="22"/>
        </w:rPr>
        <w:t xml:space="preserve">round 148,000 of </w:t>
      </w:r>
      <w:r w:rsidR="0052578A" w:rsidRPr="00D579AE">
        <w:rPr>
          <w:szCs w:val="22"/>
        </w:rPr>
        <w:t>potentially affected</w:t>
      </w:r>
      <w:r w:rsidRPr="00D579AE">
        <w:rPr>
          <w:szCs w:val="22"/>
        </w:rPr>
        <w:t xml:space="preserve"> debts are subject to the pauses on debt recovery. Around 97</w:t>
      </w:r>
      <w:r w:rsidR="00253E24" w:rsidRPr="00D579AE">
        <w:rPr>
          <w:szCs w:val="22"/>
        </w:rPr>
        <w:t xml:space="preserve">% </w:t>
      </w:r>
      <w:r w:rsidRPr="00D579AE">
        <w:rPr>
          <w:szCs w:val="22"/>
        </w:rPr>
        <w:t xml:space="preserve">of </w:t>
      </w:r>
      <w:r w:rsidR="00171BDA" w:rsidRPr="00D579AE">
        <w:rPr>
          <w:szCs w:val="22"/>
        </w:rPr>
        <w:t xml:space="preserve">all </w:t>
      </w:r>
      <w:r w:rsidRPr="00D579AE">
        <w:rPr>
          <w:szCs w:val="22"/>
        </w:rPr>
        <w:t>potentially affected debts are fully repaid</w:t>
      </w:r>
      <w:r w:rsidR="001D1CDD" w:rsidRPr="00D579AE">
        <w:rPr>
          <w:szCs w:val="22"/>
        </w:rPr>
        <w:t xml:space="preserve"> </w:t>
      </w:r>
      <w:r w:rsidR="00E41427" w:rsidRPr="00D579AE">
        <w:rPr>
          <w:szCs w:val="22"/>
        </w:rPr>
        <w:t>(t</w:t>
      </w:r>
      <w:r w:rsidR="00FD4177" w:rsidRPr="00D579AE">
        <w:rPr>
          <w:szCs w:val="22"/>
        </w:rPr>
        <w:t>hese debts are not affected by the pauses</w:t>
      </w:r>
      <w:r w:rsidR="00E41427" w:rsidRPr="00D579AE">
        <w:rPr>
          <w:szCs w:val="22"/>
        </w:rPr>
        <w:t>).</w:t>
      </w:r>
    </w:p>
    <w:p w14:paraId="67ABEE44" w14:textId="0EF22A6A" w:rsidR="00FB03AD" w:rsidRPr="00D579AE" w:rsidRDefault="00C36164" w:rsidP="0012638D">
      <w:pPr>
        <w:spacing w:before="120" w:after="120" w:line="240" w:lineRule="auto"/>
        <w:rPr>
          <w:szCs w:val="22"/>
        </w:rPr>
      </w:pPr>
      <w:r w:rsidRPr="00D579AE">
        <w:rPr>
          <w:szCs w:val="22"/>
        </w:rPr>
        <w:t>In total, the</w:t>
      </w:r>
      <w:r w:rsidR="007315DD" w:rsidRPr="00D579AE">
        <w:rPr>
          <w:szCs w:val="22"/>
        </w:rPr>
        <w:t xml:space="preserve"> 148,000 debts subject to the recovery pause</w:t>
      </w:r>
      <w:r w:rsidR="00073B46">
        <w:rPr>
          <w:szCs w:val="22"/>
        </w:rPr>
        <w:t xml:space="preserve"> </w:t>
      </w:r>
      <w:r w:rsidRPr="00D579AE">
        <w:rPr>
          <w:szCs w:val="22"/>
        </w:rPr>
        <w:t>are worth $1.</w:t>
      </w:r>
      <w:r w:rsidR="007315DD" w:rsidRPr="00D579AE">
        <w:rPr>
          <w:szCs w:val="22"/>
        </w:rPr>
        <w:t>1</w:t>
      </w:r>
      <w:r w:rsidRPr="00D579AE">
        <w:rPr>
          <w:szCs w:val="22"/>
        </w:rPr>
        <w:t xml:space="preserve"> billion</w:t>
      </w:r>
      <w:r w:rsidR="007315DD" w:rsidRPr="00D579AE">
        <w:rPr>
          <w:szCs w:val="22"/>
        </w:rPr>
        <w:t>,</w:t>
      </w:r>
      <w:r w:rsidRPr="00D579AE">
        <w:rPr>
          <w:szCs w:val="22"/>
        </w:rPr>
        <w:t xml:space="preserve"> with an</w:t>
      </w:r>
      <w:r w:rsidR="007315DD" w:rsidRPr="00D579AE">
        <w:rPr>
          <w:szCs w:val="22"/>
        </w:rPr>
        <w:t xml:space="preserve"> </w:t>
      </w:r>
      <w:r w:rsidRPr="00D579AE">
        <w:rPr>
          <w:szCs w:val="22"/>
        </w:rPr>
        <w:t xml:space="preserve">average debt value </w:t>
      </w:r>
      <w:r w:rsidR="007315DD" w:rsidRPr="00D579AE">
        <w:rPr>
          <w:szCs w:val="22"/>
        </w:rPr>
        <w:t>of $7880. This average debt value is much higher for this cohort compared to the broader historical population of debts affected by income apportionment</w:t>
      </w:r>
      <w:r w:rsidR="00774264" w:rsidRPr="00D579AE">
        <w:rPr>
          <w:szCs w:val="22"/>
        </w:rPr>
        <w:t xml:space="preserve">. This </w:t>
      </w:r>
      <w:r w:rsidR="008C5411" w:rsidRPr="00D579AE">
        <w:rPr>
          <w:szCs w:val="22"/>
        </w:rPr>
        <w:t>is due to various factors</w:t>
      </w:r>
      <w:r w:rsidR="00FE3E86" w:rsidRPr="00D579AE">
        <w:rPr>
          <w:szCs w:val="22"/>
        </w:rPr>
        <w:t>, including that smaller</w:t>
      </w:r>
      <w:r w:rsidR="007315DD" w:rsidRPr="00D579AE">
        <w:rPr>
          <w:szCs w:val="22"/>
        </w:rPr>
        <w:t xml:space="preserve"> debts are more </w:t>
      </w:r>
      <w:r w:rsidR="00AF70AC" w:rsidRPr="00D579AE">
        <w:rPr>
          <w:szCs w:val="22"/>
        </w:rPr>
        <w:t>numerous and</w:t>
      </w:r>
      <w:r w:rsidR="00A6702A" w:rsidRPr="00D579AE">
        <w:rPr>
          <w:szCs w:val="22"/>
        </w:rPr>
        <w:t xml:space="preserve"> usually re</w:t>
      </w:r>
      <w:r w:rsidR="00C17F52" w:rsidRPr="00D579AE">
        <w:rPr>
          <w:szCs w:val="22"/>
        </w:rPr>
        <w:t>paid faster</w:t>
      </w:r>
      <w:r w:rsidR="00AF70AC" w:rsidRPr="00D579AE">
        <w:rPr>
          <w:szCs w:val="22"/>
        </w:rPr>
        <w:t>.</w:t>
      </w:r>
      <w:r w:rsidR="00FB03AD" w:rsidRPr="00D579AE">
        <w:rPr>
          <w:szCs w:val="22"/>
        </w:rPr>
        <w:t xml:space="preserve"> It is not possible to determine the prevalence and impact of income apportionment on these </w:t>
      </w:r>
      <w:r w:rsidR="003706C9" w:rsidRPr="00D579AE">
        <w:rPr>
          <w:szCs w:val="22"/>
        </w:rPr>
        <w:t xml:space="preserve">potentially affected </w:t>
      </w:r>
      <w:r w:rsidR="00FB03AD" w:rsidRPr="00D579AE">
        <w:rPr>
          <w:szCs w:val="22"/>
        </w:rPr>
        <w:t xml:space="preserve">debts (beyond </w:t>
      </w:r>
      <w:r w:rsidR="00774264" w:rsidRPr="00D579AE">
        <w:rPr>
          <w:szCs w:val="22"/>
        </w:rPr>
        <w:t>the</w:t>
      </w:r>
      <w:r w:rsidR="00FB03AD" w:rsidRPr="00D579AE">
        <w:rPr>
          <w:szCs w:val="22"/>
        </w:rPr>
        <w:t xml:space="preserve"> </w:t>
      </w:r>
      <w:r w:rsidR="003706C9" w:rsidRPr="00D579AE">
        <w:rPr>
          <w:szCs w:val="22"/>
        </w:rPr>
        <w:t>estimates</w:t>
      </w:r>
      <w:r w:rsidR="00FB03AD" w:rsidRPr="00D579AE">
        <w:rPr>
          <w:szCs w:val="22"/>
        </w:rPr>
        <w:t xml:space="preserve"> based on sampling)</w:t>
      </w:r>
      <w:r w:rsidR="001B0527" w:rsidRPr="00D579AE">
        <w:rPr>
          <w:szCs w:val="22"/>
        </w:rPr>
        <w:t xml:space="preserve"> </w:t>
      </w:r>
      <w:r w:rsidR="003706C9" w:rsidRPr="00D579AE">
        <w:rPr>
          <w:szCs w:val="22"/>
        </w:rPr>
        <w:t>without</w:t>
      </w:r>
      <w:r w:rsidR="00FB03AD" w:rsidRPr="00D579AE">
        <w:rPr>
          <w:szCs w:val="22"/>
        </w:rPr>
        <w:t xml:space="preserve"> a manual </w:t>
      </w:r>
      <w:r w:rsidR="003706C9" w:rsidRPr="00D579AE">
        <w:rPr>
          <w:szCs w:val="22"/>
        </w:rPr>
        <w:t xml:space="preserve">investigation of each individual debt. </w:t>
      </w:r>
    </w:p>
    <w:p w14:paraId="12E8CB06" w14:textId="61AB9D13" w:rsidR="007315DD" w:rsidRPr="00D579AE" w:rsidRDefault="007315DD" w:rsidP="0012638D">
      <w:pPr>
        <w:spacing w:before="120" w:after="120" w:line="240" w:lineRule="auto"/>
        <w:rPr>
          <w:szCs w:val="22"/>
        </w:rPr>
      </w:pPr>
      <w:r w:rsidRPr="00D579AE">
        <w:rPr>
          <w:szCs w:val="22"/>
        </w:rPr>
        <w:t xml:space="preserve">In addition to </w:t>
      </w:r>
      <w:r w:rsidR="001553DF" w:rsidRPr="00D579AE">
        <w:rPr>
          <w:szCs w:val="22"/>
        </w:rPr>
        <w:t xml:space="preserve">the 148,000 </w:t>
      </w:r>
      <w:r w:rsidRPr="00D579AE">
        <w:rPr>
          <w:szCs w:val="22"/>
        </w:rPr>
        <w:t xml:space="preserve">debts subject to </w:t>
      </w:r>
      <w:r w:rsidR="00B97142" w:rsidRPr="00D579AE">
        <w:rPr>
          <w:szCs w:val="22"/>
        </w:rPr>
        <w:t xml:space="preserve">a </w:t>
      </w:r>
      <w:r w:rsidRPr="00D579AE">
        <w:rPr>
          <w:szCs w:val="22"/>
        </w:rPr>
        <w:t xml:space="preserve">recovery pause, </w:t>
      </w:r>
      <w:r w:rsidR="001553DF" w:rsidRPr="00D579AE">
        <w:rPr>
          <w:szCs w:val="22"/>
        </w:rPr>
        <w:t>16,000 reviews and 6,000 explanations of decision have been paused due to being potentially affected by income apportionment. I</w:t>
      </w:r>
      <w:r w:rsidR="0040597E" w:rsidRPr="00D579AE">
        <w:rPr>
          <w:szCs w:val="22"/>
        </w:rPr>
        <w:t>n</w:t>
      </w:r>
      <w:r w:rsidR="001553DF" w:rsidRPr="00D579AE">
        <w:rPr>
          <w:szCs w:val="22"/>
        </w:rPr>
        <w:t xml:space="preserve"> total, an estimated 160,000 debt activities are paused due to income apportionment. This is an estimate as an unknown number of debts are subject to both recovery and review pauses.  </w:t>
      </w:r>
    </w:p>
    <w:p w14:paraId="58A67962" w14:textId="0E11630F" w:rsidR="00021843" w:rsidRPr="00D579AE" w:rsidRDefault="00774264" w:rsidP="0012638D">
      <w:pPr>
        <w:spacing w:before="120" w:after="120" w:line="240" w:lineRule="auto"/>
        <w:rPr>
          <w:szCs w:val="22"/>
        </w:rPr>
      </w:pPr>
      <w:bookmarkStart w:id="11" w:name="_Hlk206413359"/>
      <w:r w:rsidRPr="00D579AE">
        <w:rPr>
          <w:szCs w:val="22"/>
        </w:rPr>
        <w:t xml:space="preserve">Individuals with their debt activity on hold due to these pauses have been impacted by years of uncertainty </w:t>
      </w:r>
      <w:r w:rsidR="00B97142" w:rsidRPr="00D579AE">
        <w:rPr>
          <w:szCs w:val="22"/>
        </w:rPr>
        <w:t xml:space="preserve">around </w:t>
      </w:r>
      <w:r w:rsidRPr="00D579AE">
        <w:rPr>
          <w:szCs w:val="22"/>
        </w:rPr>
        <w:t xml:space="preserve">their debt. </w:t>
      </w:r>
      <w:r w:rsidR="00FC6914" w:rsidRPr="00D579AE">
        <w:rPr>
          <w:szCs w:val="22"/>
        </w:rPr>
        <w:t xml:space="preserve"> </w:t>
      </w:r>
      <w:bookmarkStart w:id="12" w:name="_Hlk206074387"/>
      <w:r w:rsidR="000374FB" w:rsidRPr="00D579AE">
        <w:rPr>
          <w:szCs w:val="22"/>
        </w:rPr>
        <w:t>S</w:t>
      </w:r>
      <w:r w:rsidR="00BF597A" w:rsidRPr="00D579AE">
        <w:rPr>
          <w:szCs w:val="22"/>
        </w:rPr>
        <w:t>ome</w:t>
      </w:r>
      <w:r w:rsidRPr="00D579AE">
        <w:rPr>
          <w:szCs w:val="22"/>
        </w:rPr>
        <w:t xml:space="preserve"> demographics </w:t>
      </w:r>
      <w:r w:rsidR="00BF597A" w:rsidRPr="00D579AE">
        <w:rPr>
          <w:szCs w:val="22"/>
        </w:rPr>
        <w:t xml:space="preserve">are over-represented within the </w:t>
      </w:r>
      <w:r w:rsidRPr="00D579AE">
        <w:rPr>
          <w:szCs w:val="22"/>
        </w:rPr>
        <w:t xml:space="preserve">broader </w:t>
      </w:r>
      <w:r w:rsidR="00167028" w:rsidRPr="00D579AE">
        <w:rPr>
          <w:szCs w:val="22"/>
        </w:rPr>
        <w:t xml:space="preserve">social security </w:t>
      </w:r>
      <w:r w:rsidR="00BF597A" w:rsidRPr="00D579AE">
        <w:rPr>
          <w:szCs w:val="22"/>
        </w:rPr>
        <w:t>debt</w:t>
      </w:r>
      <w:r w:rsidR="00167028" w:rsidRPr="00D579AE">
        <w:rPr>
          <w:szCs w:val="22"/>
        </w:rPr>
        <w:t>or</w:t>
      </w:r>
      <w:r w:rsidR="00BF597A" w:rsidRPr="00D579AE">
        <w:rPr>
          <w:szCs w:val="22"/>
        </w:rPr>
        <w:t xml:space="preserve"> population</w:t>
      </w:r>
      <w:r w:rsidRPr="00D579AE">
        <w:rPr>
          <w:szCs w:val="22"/>
        </w:rPr>
        <w:t>, including particular vulnerable cohorts</w:t>
      </w:r>
      <w:r w:rsidR="00B41DFD" w:rsidRPr="00D579AE">
        <w:rPr>
          <w:szCs w:val="22"/>
        </w:rPr>
        <w:t>. For example, around 6</w:t>
      </w:r>
      <w:r w:rsidR="00787051">
        <w:rPr>
          <w:szCs w:val="22"/>
        </w:rPr>
        <w:t>3</w:t>
      </w:r>
      <w:r w:rsidR="00B41DFD" w:rsidRPr="00D579AE">
        <w:rPr>
          <w:szCs w:val="22"/>
        </w:rPr>
        <w:t>% of those with a social security debt are women</w:t>
      </w:r>
      <w:r w:rsidR="00ED0B92" w:rsidRPr="00D579AE">
        <w:rPr>
          <w:szCs w:val="22"/>
        </w:rPr>
        <w:t>, and</w:t>
      </w:r>
      <w:r w:rsidR="00B41DFD" w:rsidRPr="00D579AE">
        <w:rPr>
          <w:szCs w:val="22"/>
        </w:rPr>
        <w:t xml:space="preserve"> First Nations people represent 9% of those with a social security debt, compared with around 4% of the total population</w:t>
      </w:r>
      <w:r w:rsidR="00B41DFD" w:rsidRPr="009867F8">
        <w:rPr>
          <w:szCs w:val="22"/>
        </w:rPr>
        <w:t xml:space="preserve">. </w:t>
      </w:r>
      <w:bookmarkEnd w:id="12"/>
      <w:r w:rsidR="00301A01" w:rsidRPr="009867F8">
        <w:rPr>
          <w:szCs w:val="22"/>
        </w:rPr>
        <w:t>While it is not possible to determine who is actually affected by income apportionment without manual review,</w:t>
      </w:r>
      <w:r w:rsidR="00301A01" w:rsidRPr="00D579AE">
        <w:rPr>
          <w:szCs w:val="22"/>
        </w:rPr>
        <w:t xml:space="preserve"> g</w:t>
      </w:r>
      <w:r w:rsidR="00B41DFD" w:rsidRPr="00D579AE">
        <w:rPr>
          <w:szCs w:val="22"/>
        </w:rPr>
        <w:t>iven this overall disproportionate representation</w:t>
      </w:r>
      <w:r w:rsidR="00301A01" w:rsidRPr="00D579AE">
        <w:rPr>
          <w:szCs w:val="22"/>
        </w:rPr>
        <w:t xml:space="preserve"> </w:t>
      </w:r>
      <w:r w:rsidR="00B41DFD" w:rsidRPr="00D579AE">
        <w:rPr>
          <w:szCs w:val="22"/>
        </w:rPr>
        <w:t xml:space="preserve">these cohorts </w:t>
      </w:r>
      <w:r w:rsidR="00BF597A" w:rsidRPr="00D579AE">
        <w:rPr>
          <w:szCs w:val="22"/>
        </w:rPr>
        <w:t xml:space="preserve">may </w:t>
      </w:r>
      <w:r w:rsidR="00B41DFD" w:rsidRPr="00D579AE">
        <w:rPr>
          <w:szCs w:val="22"/>
        </w:rPr>
        <w:t>also be over-represented within the affected population</w:t>
      </w:r>
      <w:r w:rsidR="002F68A1" w:rsidRPr="00D579AE">
        <w:rPr>
          <w:szCs w:val="22"/>
        </w:rPr>
        <w:t xml:space="preserve"> and specifically within the cohort of people affected by the pauses.</w:t>
      </w:r>
      <w:r w:rsidR="009643FF" w:rsidRPr="00D579AE">
        <w:rPr>
          <w:szCs w:val="22"/>
        </w:rPr>
        <w:t xml:space="preserve"> </w:t>
      </w:r>
      <w:r w:rsidR="00E30F1A" w:rsidRPr="00D579AE">
        <w:rPr>
          <w:szCs w:val="22"/>
        </w:rPr>
        <w:t xml:space="preserve">Around </w:t>
      </w:r>
      <w:r w:rsidR="00474CC8" w:rsidRPr="00D579AE">
        <w:rPr>
          <w:szCs w:val="22"/>
        </w:rPr>
        <w:t xml:space="preserve">52% of debts potentially affected by income apportionment are held by people who are no longer receiving a payment from Centrelink. This may indicate they are no longer in need of immediate financial assistance. </w:t>
      </w:r>
    </w:p>
    <w:bookmarkEnd w:id="11"/>
    <w:p w14:paraId="2416A1A4" w14:textId="211A9724" w:rsidR="002F68A1" w:rsidRPr="00D579AE" w:rsidRDefault="002F68A1" w:rsidP="0012638D">
      <w:pPr>
        <w:spacing w:before="120" w:after="120" w:line="240" w:lineRule="auto"/>
        <w:rPr>
          <w:szCs w:val="22"/>
        </w:rPr>
      </w:pPr>
      <w:r w:rsidRPr="00D579AE">
        <w:rPr>
          <w:szCs w:val="22"/>
        </w:rPr>
        <w:t xml:space="preserve">Planning for the future can be difficult for people with unresolved debts. </w:t>
      </w:r>
      <w:r w:rsidR="00FA4F25" w:rsidRPr="00D579AE">
        <w:rPr>
          <w:szCs w:val="22"/>
        </w:rPr>
        <w:t xml:space="preserve">During the debt pauses, </w:t>
      </w:r>
      <w:r w:rsidR="00021843" w:rsidRPr="00D579AE">
        <w:rPr>
          <w:szCs w:val="22"/>
        </w:rPr>
        <w:t>Services Australia has received correspondence from people with debts subject to income apportionment</w:t>
      </w:r>
      <w:r w:rsidR="00542448" w:rsidRPr="00D579AE">
        <w:rPr>
          <w:szCs w:val="22"/>
        </w:rPr>
        <w:t xml:space="preserve"> related pauses</w:t>
      </w:r>
      <w:r w:rsidR="00021843" w:rsidRPr="00D579AE">
        <w:rPr>
          <w:szCs w:val="22"/>
        </w:rPr>
        <w:t>, outlining the negative effects ongoing delays in resolving this issue</w:t>
      </w:r>
      <w:r w:rsidRPr="00D579AE">
        <w:rPr>
          <w:szCs w:val="22"/>
        </w:rPr>
        <w:t xml:space="preserve"> </w:t>
      </w:r>
      <w:r w:rsidR="00B97142" w:rsidRPr="00D579AE">
        <w:rPr>
          <w:szCs w:val="22"/>
        </w:rPr>
        <w:t>have</w:t>
      </w:r>
      <w:r w:rsidRPr="00D579AE">
        <w:rPr>
          <w:szCs w:val="22"/>
        </w:rPr>
        <w:t xml:space="preserve"> on them</w:t>
      </w:r>
      <w:r w:rsidR="00021843" w:rsidRPr="00D579AE">
        <w:rPr>
          <w:szCs w:val="22"/>
        </w:rPr>
        <w:t xml:space="preserve">. </w:t>
      </w:r>
      <w:r w:rsidRPr="00D579AE">
        <w:rPr>
          <w:szCs w:val="22"/>
        </w:rPr>
        <w:t xml:space="preserve">These pauses or delays in progressing a person’s debt can exacerbate frustration and distress, particularly for those already vulnerable. </w:t>
      </w:r>
      <w:r w:rsidR="00542448" w:rsidRPr="00D579AE">
        <w:rPr>
          <w:szCs w:val="22"/>
        </w:rPr>
        <w:t xml:space="preserve">In </w:t>
      </w:r>
      <w:r w:rsidRPr="00D579AE">
        <w:rPr>
          <w:szCs w:val="22"/>
        </w:rPr>
        <w:t>some instances</w:t>
      </w:r>
      <w:r w:rsidR="00542448" w:rsidRPr="00D579AE">
        <w:rPr>
          <w:szCs w:val="22"/>
        </w:rPr>
        <w:t xml:space="preserve">, </w:t>
      </w:r>
      <w:r w:rsidR="00B97142" w:rsidRPr="00D579AE">
        <w:rPr>
          <w:szCs w:val="22"/>
        </w:rPr>
        <w:t xml:space="preserve">qualitative evidence suggests </w:t>
      </w:r>
      <w:r w:rsidR="00542448" w:rsidRPr="00D579AE">
        <w:rPr>
          <w:szCs w:val="22"/>
        </w:rPr>
        <w:t xml:space="preserve">the ongoing pause of </w:t>
      </w:r>
      <w:r w:rsidRPr="00D579AE">
        <w:rPr>
          <w:szCs w:val="22"/>
        </w:rPr>
        <w:t xml:space="preserve">a person’s affected </w:t>
      </w:r>
      <w:r w:rsidR="00542448" w:rsidRPr="00D579AE">
        <w:rPr>
          <w:szCs w:val="22"/>
        </w:rPr>
        <w:t>debt has impacted the</w:t>
      </w:r>
      <w:r w:rsidRPr="00D579AE">
        <w:rPr>
          <w:szCs w:val="22"/>
        </w:rPr>
        <w:t>ir</w:t>
      </w:r>
      <w:r w:rsidR="00542448" w:rsidRPr="00D579AE">
        <w:rPr>
          <w:szCs w:val="22"/>
        </w:rPr>
        <w:t xml:space="preserve"> ability to take up employment and financial opportunities (such as applying for a loan).  </w:t>
      </w:r>
    </w:p>
    <w:p w14:paraId="482E84FE" w14:textId="142501DE" w:rsidR="008A3D50" w:rsidRPr="00D579AE" w:rsidRDefault="00542448" w:rsidP="0012638D">
      <w:pPr>
        <w:spacing w:before="120" w:after="120" w:line="240" w:lineRule="auto"/>
        <w:rPr>
          <w:szCs w:val="22"/>
        </w:rPr>
      </w:pPr>
      <w:r w:rsidRPr="00D579AE">
        <w:rPr>
          <w:szCs w:val="22"/>
        </w:rPr>
        <w:lastRenderedPageBreak/>
        <w:t xml:space="preserve">This is particularly relevant for this cohort as they are already disproportionately likely to experience difficulties relating to financial security and employment. </w:t>
      </w:r>
      <w:r w:rsidR="002E7629" w:rsidRPr="00D579AE">
        <w:rPr>
          <w:szCs w:val="22"/>
        </w:rPr>
        <w:t xml:space="preserve">There </w:t>
      </w:r>
      <w:r w:rsidR="00B607E8" w:rsidRPr="00D579AE">
        <w:rPr>
          <w:szCs w:val="22"/>
        </w:rPr>
        <w:t>are</w:t>
      </w:r>
      <w:r w:rsidR="002E7629" w:rsidRPr="00D579AE">
        <w:rPr>
          <w:szCs w:val="22"/>
        </w:rPr>
        <w:t xml:space="preserve"> also </w:t>
      </w:r>
      <w:r w:rsidR="00B607E8" w:rsidRPr="00D579AE">
        <w:rPr>
          <w:szCs w:val="22"/>
        </w:rPr>
        <w:t xml:space="preserve">associated </w:t>
      </w:r>
      <w:r w:rsidR="002E7629" w:rsidRPr="00D579AE">
        <w:rPr>
          <w:szCs w:val="22"/>
        </w:rPr>
        <w:t xml:space="preserve">psychological impacts debt pauses </w:t>
      </w:r>
      <w:r w:rsidR="00B607E8" w:rsidRPr="00D579AE">
        <w:rPr>
          <w:szCs w:val="22"/>
        </w:rPr>
        <w:t>can</w:t>
      </w:r>
      <w:r w:rsidR="002E7629" w:rsidRPr="00D579AE">
        <w:rPr>
          <w:szCs w:val="22"/>
        </w:rPr>
        <w:t xml:space="preserve"> ha</w:t>
      </w:r>
      <w:r w:rsidR="00B607E8" w:rsidRPr="00D579AE">
        <w:rPr>
          <w:szCs w:val="22"/>
        </w:rPr>
        <w:t>ve</w:t>
      </w:r>
      <w:r w:rsidR="002E7629" w:rsidRPr="00D579AE">
        <w:rPr>
          <w:szCs w:val="22"/>
        </w:rPr>
        <w:t xml:space="preserve"> on individuals.</w:t>
      </w:r>
      <w:r w:rsidR="00B607E8" w:rsidRPr="00D579AE">
        <w:rPr>
          <w:szCs w:val="22"/>
        </w:rPr>
        <w:t xml:space="preserve"> </w:t>
      </w:r>
      <w:r w:rsidR="002F68A1" w:rsidRPr="00D579AE">
        <w:rPr>
          <w:szCs w:val="22"/>
        </w:rPr>
        <w:t>Protracted</w:t>
      </w:r>
      <w:r w:rsidR="00B607E8" w:rsidRPr="00D579AE">
        <w:rPr>
          <w:szCs w:val="22"/>
        </w:rPr>
        <w:t xml:space="preserve"> pauses </w:t>
      </w:r>
      <w:r w:rsidR="002F68A1" w:rsidRPr="00D579AE">
        <w:rPr>
          <w:szCs w:val="22"/>
        </w:rPr>
        <w:t xml:space="preserve">will </w:t>
      </w:r>
      <w:r w:rsidR="00B607E8" w:rsidRPr="00D579AE">
        <w:rPr>
          <w:szCs w:val="22"/>
        </w:rPr>
        <w:t>not provide</w:t>
      </w:r>
      <w:r w:rsidR="002F68A1" w:rsidRPr="00D579AE">
        <w:rPr>
          <w:szCs w:val="22"/>
        </w:rPr>
        <w:t xml:space="preserve"> any</w:t>
      </w:r>
      <w:r w:rsidR="00B607E8" w:rsidRPr="00D579AE">
        <w:rPr>
          <w:szCs w:val="22"/>
        </w:rPr>
        <w:t xml:space="preserve"> closure</w:t>
      </w:r>
      <w:r w:rsidR="002F68A1" w:rsidRPr="00D579AE">
        <w:rPr>
          <w:szCs w:val="22"/>
        </w:rPr>
        <w:t>,</w:t>
      </w:r>
      <w:r w:rsidR="00B607E8" w:rsidRPr="00D579AE">
        <w:rPr>
          <w:szCs w:val="22"/>
        </w:rPr>
        <w:t xml:space="preserve"> and </w:t>
      </w:r>
      <w:r w:rsidR="002F68A1" w:rsidRPr="00D579AE">
        <w:rPr>
          <w:szCs w:val="22"/>
        </w:rPr>
        <w:t xml:space="preserve">this continues to have a negative impact </w:t>
      </w:r>
      <w:r w:rsidR="0038108F" w:rsidRPr="00D579AE">
        <w:rPr>
          <w:szCs w:val="22"/>
        </w:rPr>
        <w:t xml:space="preserve">on the overall quality of life for people with debts paused due to income apportionment. </w:t>
      </w:r>
    </w:p>
    <w:p w14:paraId="639F7FF0" w14:textId="2BD8D824" w:rsidR="00C60E08" w:rsidRPr="00D579AE" w:rsidRDefault="00C60E08" w:rsidP="0012638D">
      <w:pPr>
        <w:spacing w:before="120" w:after="120" w:line="240" w:lineRule="auto"/>
        <w:rPr>
          <w:szCs w:val="22"/>
        </w:rPr>
      </w:pPr>
      <w:r w:rsidRPr="00D579AE">
        <w:rPr>
          <w:szCs w:val="22"/>
        </w:rPr>
        <w:t xml:space="preserve">While debt reviews and recovery </w:t>
      </w:r>
      <w:r w:rsidR="008051DF">
        <w:rPr>
          <w:szCs w:val="22"/>
        </w:rPr>
        <w:t xml:space="preserve">of debts </w:t>
      </w:r>
      <w:r w:rsidRPr="00D579AE">
        <w:rPr>
          <w:szCs w:val="22"/>
        </w:rPr>
        <w:t>potentially affected by income apportionment have been paused, this does not address the problem. It does not provide a solution to individuals with income apportionment affected debts. It was a temporary measure while the Government resolved income apportionment.</w:t>
      </w:r>
    </w:p>
    <w:p w14:paraId="15C44EFB" w14:textId="603EAE3D" w:rsidR="002F411C" w:rsidRPr="008D2B62" w:rsidRDefault="00AB54BF" w:rsidP="0012638D">
      <w:pPr>
        <w:pStyle w:val="Heading2"/>
      </w:pPr>
      <w:bookmarkStart w:id="13" w:name="_Toc207097798"/>
      <w:r>
        <w:t xml:space="preserve">1.2 </w:t>
      </w:r>
      <w:r w:rsidR="002F411C">
        <w:t>Background</w:t>
      </w:r>
      <w:bookmarkEnd w:id="13"/>
    </w:p>
    <w:p w14:paraId="53979B0C" w14:textId="79FA3ED4" w:rsidR="00A03BFB" w:rsidRPr="00FC5C1E" w:rsidRDefault="00A03BFB" w:rsidP="0012638D">
      <w:pPr>
        <w:pStyle w:val="Heading3"/>
        <w:spacing w:line="240" w:lineRule="auto"/>
      </w:pPr>
      <w:bookmarkStart w:id="14" w:name="_Toc159917934"/>
      <w:r>
        <w:t xml:space="preserve">Emergence of income apportionment as a known issue </w:t>
      </w:r>
      <w:bookmarkEnd w:id="14"/>
    </w:p>
    <w:p w14:paraId="76364922" w14:textId="7526C419" w:rsidR="00A03BFB" w:rsidRDefault="00A03BFB" w:rsidP="0012638D">
      <w:pPr>
        <w:spacing w:before="120" w:after="120" w:line="240" w:lineRule="auto"/>
      </w:pPr>
      <w:r>
        <w:t xml:space="preserve">In October 2020 and March 2021, during Community Affairs Senate Committee hearings, </w:t>
      </w:r>
      <w:r w:rsidR="00186A56">
        <w:t xml:space="preserve">the Committee </w:t>
      </w:r>
      <w:r w:rsidR="002F68A1">
        <w:t xml:space="preserve">raised </w:t>
      </w:r>
      <w:r>
        <w:t xml:space="preserve">concerns about how employment income was being considered when raising debts. In particular, </w:t>
      </w:r>
      <w:r w:rsidR="00186A56">
        <w:t>it</w:t>
      </w:r>
      <w:r w:rsidR="002F68A1">
        <w:t xml:space="preserve"> raised </w:t>
      </w:r>
      <w:r>
        <w:t>concern</w:t>
      </w:r>
      <w:r w:rsidR="008D2958">
        <w:t>s</w:t>
      </w:r>
      <w:r>
        <w:t xml:space="preserve"> </w:t>
      </w:r>
      <w:r w:rsidR="008D2958">
        <w:t xml:space="preserve">about </w:t>
      </w:r>
      <w:r>
        <w:t xml:space="preserve">the use of payslips where the </w:t>
      </w:r>
      <w:r w:rsidR="004F63CA">
        <w:t xml:space="preserve">person’s </w:t>
      </w:r>
      <w:r>
        <w:t xml:space="preserve">employment period did not align with their </w:t>
      </w:r>
      <w:r w:rsidR="00613BB8">
        <w:t>Centrelink</w:t>
      </w:r>
      <w:r>
        <w:t xml:space="preserve"> instalment period, and where the payslip d</w:t>
      </w:r>
      <w:r w:rsidR="004F63CA">
        <w:t>id</w:t>
      </w:r>
      <w:r>
        <w:t xml:space="preserve"> not provide a daily rate of income. </w:t>
      </w:r>
    </w:p>
    <w:p w14:paraId="76E67AD8" w14:textId="0499999C" w:rsidR="003E7201" w:rsidRDefault="00A03BFB" w:rsidP="0012638D">
      <w:pPr>
        <w:spacing w:before="120" w:after="120" w:line="240" w:lineRule="auto"/>
      </w:pPr>
      <w:r>
        <w:t xml:space="preserve">Between February and April 2021, the AAT made several decisions </w:t>
      </w:r>
      <w:r w:rsidR="00FA7494">
        <w:t xml:space="preserve">which did not support the use of income apportionment and directed </w:t>
      </w:r>
      <w:r>
        <w:t xml:space="preserve">Services Australia to recalculate debts by obtaining further evidence to determine the precise amount of income earned by </w:t>
      </w:r>
      <w:r w:rsidR="00B86C23">
        <w:t xml:space="preserve">the person </w:t>
      </w:r>
      <w:r>
        <w:t xml:space="preserve">during each day in a </w:t>
      </w:r>
      <w:r w:rsidR="00B86C23">
        <w:t>Centrelink</w:t>
      </w:r>
      <w:r>
        <w:t xml:space="preserve"> instalment period. </w:t>
      </w:r>
      <w:r w:rsidR="00B86C23">
        <w:t>T</w:t>
      </w:r>
      <w:r>
        <w:t xml:space="preserve">he AAT also made </w:t>
      </w:r>
      <w:r w:rsidR="00CA145F">
        <w:t>several</w:t>
      </w:r>
      <w:r>
        <w:t xml:space="preserve"> decisions that affirmed the approach to </w:t>
      </w:r>
      <w:r w:rsidR="00B86C23">
        <w:t xml:space="preserve">calculating and </w:t>
      </w:r>
      <w:r>
        <w:t xml:space="preserve">raising debts by relying on </w:t>
      </w:r>
      <w:r w:rsidR="00C7344C">
        <w:t xml:space="preserve">income apportionment. </w:t>
      </w:r>
    </w:p>
    <w:p w14:paraId="1BA0A68C" w14:textId="33F5E38C" w:rsidR="00A03BFB" w:rsidRDefault="00636308" w:rsidP="0012638D">
      <w:pPr>
        <w:spacing w:before="120" w:after="120" w:line="240" w:lineRule="auto"/>
      </w:pPr>
      <w:r>
        <w:t>Considering</w:t>
      </w:r>
      <w:r w:rsidR="008D2958" w:rsidRPr="008D2958">
        <w:t xml:space="preserve"> </w:t>
      </w:r>
      <w:r w:rsidR="008D2958">
        <w:t>the concerns raised in the Community Affairs Senate Committee</w:t>
      </w:r>
      <w:r>
        <w:t>, and these differing findings in AAT cases</w:t>
      </w:r>
      <w:r w:rsidR="003E7201">
        <w:t>,</w:t>
      </w:r>
      <w:r>
        <w:t xml:space="preserve"> the </w:t>
      </w:r>
      <w:r w:rsidR="003E7201">
        <w:t>D</w:t>
      </w:r>
      <w:r>
        <w:t xml:space="preserve">epartment </w:t>
      </w:r>
      <w:r w:rsidR="003E7201">
        <w:t xml:space="preserve">of Social Services </w:t>
      </w:r>
      <w:r w:rsidR="008D2958">
        <w:t>sought</w:t>
      </w:r>
      <w:r>
        <w:t xml:space="preserve"> legal advice on th</w:t>
      </w:r>
      <w:r w:rsidR="00186A56">
        <w:t>is</w:t>
      </w:r>
      <w:r>
        <w:t xml:space="preserve"> issue.</w:t>
      </w:r>
    </w:p>
    <w:p w14:paraId="0F8EE1E2" w14:textId="38B95BB1" w:rsidR="002272AD" w:rsidRDefault="00301A01" w:rsidP="0012638D">
      <w:pPr>
        <w:spacing w:after="200" w:line="240" w:lineRule="auto"/>
        <w:rPr>
          <w:rFonts w:cs="Arial"/>
        </w:rPr>
      </w:pPr>
      <w:r>
        <w:rPr>
          <w:rFonts w:cs="Arial"/>
        </w:rPr>
        <w:t>I</w:t>
      </w:r>
      <w:r w:rsidR="00C250D0" w:rsidRPr="006130AA">
        <w:rPr>
          <w:rFonts w:cs="Arial"/>
        </w:rPr>
        <w:t xml:space="preserve">ncome apportionment </w:t>
      </w:r>
      <w:r w:rsidR="00C250D0">
        <w:rPr>
          <w:rFonts w:cs="Arial"/>
        </w:rPr>
        <w:t xml:space="preserve">was </w:t>
      </w:r>
      <w:r w:rsidR="00C250D0" w:rsidRPr="006130AA">
        <w:rPr>
          <w:rFonts w:cs="Arial"/>
        </w:rPr>
        <w:t xml:space="preserve">the subject of 2 own motion investigations by the Commonwealth Ombudsman. </w:t>
      </w:r>
      <w:r w:rsidR="00C250D0" w:rsidRPr="008528B7">
        <w:rPr>
          <w:rFonts w:cs="Arial"/>
          <w:i/>
          <w:iCs/>
        </w:rPr>
        <w:t>Lessons in Lawfulness</w:t>
      </w:r>
      <w:r w:rsidR="00C250D0">
        <w:rPr>
          <w:rFonts w:cs="Arial"/>
        </w:rPr>
        <w:t xml:space="preserve"> and</w:t>
      </w:r>
      <w:r w:rsidR="00C250D0" w:rsidRPr="006130AA">
        <w:rPr>
          <w:rFonts w:cs="Arial"/>
        </w:rPr>
        <w:t xml:space="preserve"> </w:t>
      </w:r>
      <w:r w:rsidR="00C250D0" w:rsidRPr="008528B7">
        <w:rPr>
          <w:rFonts w:cs="Arial"/>
          <w:i/>
          <w:iCs/>
        </w:rPr>
        <w:t>Accountability in Action</w:t>
      </w:r>
      <w:r w:rsidR="00C250D0">
        <w:rPr>
          <w:rFonts w:cs="Arial"/>
        </w:rPr>
        <w:t xml:space="preserve"> reports </w:t>
      </w:r>
      <w:r w:rsidR="00C250D0" w:rsidRPr="006130AA">
        <w:rPr>
          <w:rFonts w:cs="Arial"/>
        </w:rPr>
        <w:t xml:space="preserve">were released in August and December 2023 respectively. The Department and Services Australia </w:t>
      </w:r>
      <w:r w:rsidR="008D2958">
        <w:rPr>
          <w:rFonts w:cs="Arial"/>
        </w:rPr>
        <w:t xml:space="preserve">have actioned </w:t>
      </w:r>
      <w:r w:rsidR="00C250D0" w:rsidRPr="006130AA">
        <w:rPr>
          <w:rFonts w:cs="Arial"/>
        </w:rPr>
        <w:t>all recommendations made in these reports.</w:t>
      </w:r>
      <w:r w:rsidR="00F9263E">
        <w:rPr>
          <w:rFonts w:cs="Arial"/>
        </w:rPr>
        <w:t xml:space="preserve"> </w:t>
      </w:r>
    </w:p>
    <w:p w14:paraId="72A8C38B" w14:textId="5104FF66" w:rsidR="00C250D0" w:rsidRPr="00136601" w:rsidRDefault="00963417" w:rsidP="0012638D">
      <w:pPr>
        <w:spacing w:after="200" w:line="240" w:lineRule="auto"/>
      </w:pPr>
      <w:r w:rsidRPr="00963417">
        <w:t xml:space="preserve">In April 2024, the Presidential Bench of the AAT announced it would hear the matter of </w:t>
      </w:r>
      <w:r w:rsidRPr="002272AD">
        <w:rPr>
          <w:i/>
          <w:iCs/>
        </w:rPr>
        <w:t>Secretary, Department of Social Services vs FTXB</w:t>
      </w:r>
      <w:r w:rsidRPr="00963417">
        <w:t xml:space="preserve"> as a test case, to prov</w:t>
      </w:r>
      <w:r w:rsidR="00301A01">
        <w:t>i</w:t>
      </w:r>
      <w:r w:rsidRPr="00963417">
        <w:t xml:space="preserve">de guidance on the assessment of </w:t>
      </w:r>
      <w:r w:rsidR="00CA1150">
        <w:t>employment income as the legislation applied prior to 7 December 2020</w:t>
      </w:r>
      <w:r w:rsidRPr="00963417">
        <w:t>.</w:t>
      </w:r>
    </w:p>
    <w:p w14:paraId="446761AE" w14:textId="329D0051" w:rsidR="004F115D" w:rsidRPr="0060592E" w:rsidRDefault="004F115D" w:rsidP="0012638D">
      <w:pPr>
        <w:spacing w:after="200" w:line="240" w:lineRule="auto"/>
        <w:rPr>
          <w:rFonts w:cs="Arial"/>
        </w:rPr>
      </w:pPr>
      <w:r w:rsidRPr="008D2958">
        <w:t>On 28 August 2024, the</w:t>
      </w:r>
      <w:r w:rsidRPr="0060592E">
        <w:rPr>
          <w:rFonts w:cs="Arial"/>
        </w:rPr>
        <w:t xml:space="preserve"> Presidential Bench of the AAT handed down a decision in </w:t>
      </w:r>
      <w:r w:rsidRPr="0060592E">
        <w:rPr>
          <w:rFonts w:cs="Arial"/>
          <w:i/>
          <w:iCs/>
        </w:rPr>
        <w:t xml:space="preserve">Secretary, Department of Social Services vs FTXB. </w:t>
      </w:r>
    </w:p>
    <w:p w14:paraId="502CA5B1" w14:textId="7C5D3F05" w:rsidR="005C7393" w:rsidRDefault="00CA145F" w:rsidP="0012638D">
      <w:pPr>
        <w:keepLines/>
        <w:spacing w:before="120" w:line="240" w:lineRule="auto"/>
      </w:pPr>
      <w:r>
        <w:rPr>
          <w:rFonts w:cs="Arial"/>
        </w:rPr>
        <w:t>The appellant appealed the decision to the Full Federal Court</w:t>
      </w:r>
      <w:r w:rsidR="004F115D" w:rsidRPr="007C097F">
        <w:rPr>
          <w:rFonts w:cs="Arial"/>
        </w:rPr>
        <w:t xml:space="preserve"> in </w:t>
      </w:r>
      <w:r w:rsidR="00EE6032">
        <w:rPr>
          <w:i/>
          <w:iCs/>
        </w:rPr>
        <w:t>Chaplin</w:t>
      </w:r>
      <w:r w:rsidRPr="00D677BA">
        <w:t>.</w:t>
      </w:r>
      <w:r w:rsidR="0054592A" w:rsidRPr="00D677BA">
        <w:t xml:space="preserve"> </w:t>
      </w:r>
      <w:r>
        <w:t xml:space="preserve">The Court </w:t>
      </w:r>
      <w:r w:rsidR="00374104">
        <w:t xml:space="preserve">heard </w:t>
      </w:r>
      <w:r>
        <w:t xml:space="preserve">the matter </w:t>
      </w:r>
      <w:r w:rsidR="00374104">
        <w:t xml:space="preserve">on 6 March 2025 with the decision </w:t>
      </w:r>
      <w:r w:rsidR="00944B80">
        <w:t>handed down on 15 July 2025.</w:t>
      </w:r>
      <w:r w:rsidR="002F68A1">
        <w:t xml:space="preserve"> The decision was consistent with the Department’s interpretation of </w:t>
      </w:r>
      <w:r w:rsidR="00CA1150">
        <w:t xml:space="preserve">how the law should have been applied for the </w:t>
      </w:r>
      <w:r w:rsidR="002F68A1">
        <w:t>purposes of calculating</w:t>
      </w:r>
      <w:r w:rsidR="002F68A1" w:rsidDel="00CA1150">
        <w:t xml:space="preserve"> </w:t>
      </w:r>
      <w:r w:rsidR="002F68A1">
        <w:t>debts</w:t>
      </w:r>
      <w:r w:rsidR="00CA1150">
        <w:t xml:space="preserve"> prior to 7 December 2020</w:t>
      </w:r>
      <w:r w:rsidR="002F68A1">
        <w:t>.</w:t>
      </w:r>
    </w:p>
    <w:p w14:paraId="2B9E0EDA" w14:textId="405EA885" w:rsidR="00AA5394" w:rsidRPr="007846E5" w:rsidRDefault="00AA5394" w:rsidP="0012638D">
      <w:pPr>
        <w:pStyle w:val="Heading3"/>
        <w:spacing w:line="240" w:lineRule="auto"/>
      </w:pPr>
      <w:r>
        <w:lastRenderedPageBreak/>
        <w:t xml:space="preserve">The </w:t>
      </w:r>
      <w:r w:rsidR="00166422">
        <w:t xml:space="preserve">broader </w:t>
      </w:r>
      <w:r>
        <w:t>scope of income apportionment</w:t>
      </w:r>
    </w:p>
    <w:p w14:paraId="6FF48EF7" w14:textId="102F70D8" w:rsidR="00AA5394" w:rsidRPr="008774AD" w:rsidRDefault="002F68A1" w:rsidP="0012638D">
      <w:pPr>
        <w:keepNext/>
        <w:spacing w:line="240" w:lineRule="auto"/>
      </w:pPr>
      <w:r>
        <w:t>In addition to social security and family payments, s</w:t>
      </w:r>
      <w:r w:rsidR="00AA5394">
        <w:t xml:space="preserve">ome </w:t>
      </w:r>
      <w:r w:rsidR="00167028">
        <w:t xml:space="preserve">people who receive payments relating to </w:t>
      </w:r>
      <w:r>
        <w:t xml:space="preserve">other </w:t>
      </w:r>
      <w:r w:rsidR="00AA5394">
        <w:t>a</w:t>
      </w:r>
      <w:r w:rsidR="00AA5394" w:rsidRPr="008774AD">
        <w:t xml:space="preserve">gencies are also </w:t>
      </w:r>
      <w:r w:rsidR="00AA5394" w:rsidRPr="004C22B4">
        <w:t>affected</w:t>
      </w:r>
      <w:r w:rsidR="00AA5394" w:rsidRPr="008774AD">
        <w:t xml:space="preserve"> by income apportionment, as </w:t>
      </w:r>
      <w:r w:rsidR="00A70419">
        <w:t xml:space="preserve">these </w:t>
      </w:r>
      <w:r w:rsidR="00167028">
        <w:t xml:space="preserve">agencies </w:t>
      </w:r>
      <w:r w:rsidR="00AA5394" w:rsidRPr="008774AD">
        <w:t xml:space="preserve">administered payments which are in some way affected or influenced by the </w:t>
      </w:r>
      <w:r w:rsidR="00AA5394" w:rsidRPr="00D903A1">
        <w:rPr>
          <w:i/>
          <w:iCs/>
        </w:rPr>
        <w:t>SS Act</w:t>
      </w:r>
      <w:r w:rsidR="00AA5394" w:rsidRPr="008774AD">
        <w:t xml:space="preserve">. Specifically: </w:t>
      </w:r>
    </w:p>
    <w:p w14:paraId="141D8242" w14:textId="77777777" w:rsidR="00AA5394" w:rsidRPr="000C3CF8" w:rsidRDefault="00AA5394" w:rsidP="0012638D">
      <w:pPr>
        <w:keepNext/>
        <w:spacing w:line="240" w:lineRule="auto"/>
        <w:ind w:left="360"/>
      </w:pPr>
      <w:r w:rsidRPr="000C3CF8">
        <w:rPr>
          <w:u w:val="single"/>
        </w:rPr>
        <w:t>Department of Education</w:t>
      </w:r>
    </w:p>
    <w:p w14:paraId="4B1AE070" w14:textId="77777777" w:rsidR="00AA5394" w:rsidRDefault="00AA5394" w:rsidP="0012638D">
      <w:pPr>
        <w:numPr>
          <w:ilvl w:val="0"/>
          <w:numId w:val="22"/>
        </w:numPr>
        <w:spacing w:after="200" w:line="240" w:lineRule="auto"/>
        <w:ind w:left="1080"/>
      </w:pPr>
      <w:r>
        <w:t xml:space="preserve">Some forms of </w:t>
      </w:r>
      <w:r w:rsidRPr="000C3CF8">
        <w:rPr>
          <w:b/>
          <w:bCs/>
        </w:rPr>
        <w:t xml:space="preserve">Child Care Subsidy </w:t>
      </w:r>
      <w:r>
        <w:t>are</w:t>
      </w:r>
      <w:r w:rsidRPr="000C3CF8">
        <w:t xml:space="preserve"> indirectly affected by income apportionment as it is contingent on social security payment rate and eligibility, which could in turn be affected by income apportionment.</w:t>
      </w:r>
    </w:p>
    <w:p w14:paraId="612106F2" w14:textId="77777777" w:rsidR="00AA5394" w:rsidRDefault="00AA5394" w:rsidP="0012638D">
      <w:pPr>
        <w:numPr>
          <w:ilvl w:val="1"/>
          <w:numId w:val="22"/>
        </w:numPr>
        <w:spacing w:after="200" w:line="240" w:lineRule="auto"/>
        <w:ind w:left="1800"/>
      </w:pPr>
      <w:r>
        <w:t xml:space="preserve">The main payment affected is </w:t>
      </w:r>
      <w:r>
        <w:rPr>
          <w:b/>
          <w:bCs/>
        </w:rPr>
        <w:t>Additional Child Care Subsidy for Grandparent Carers</w:t>
      </w:r>
      <w:r>
        <w:t xml:space="preserve">, where eligibility is contingent on receiving an income support payment. </w:t>
      </w:r>
    </w:p>
    <w:p w14:paraId="4B145F16" w14:textId="77777777" w:rsidR="00AA5394" w:rsidRPr="000C3CF8" w:rsidRDefault="00AA5394" w:rsidP="0012638D">
      <w:pPr>
        <w:spacing w:line="240" w:lineRule="auto"/>
        <w:ind w:left="360"/>
        <w:rPr>
          <w:u w:val="single"/>
        </w:rPr>
      </w:pPr>
      <w:r w:rsidRPr="000C3CF8">
        <w:rPr>
          <w:u w:val="single"/>
        </w:rPr>
        <w:t>Department of Agriculture, Fisheries and Forestry</w:t>
      </w:r>
    </w:p>
    <w:p w14:paraId="67909B6B" w14:textId="5F6F675A" w:rsidR="00AA5394" w:rsidRPr="000C3CF8" w:rsidRDefault="00AA5394" w:rsidP="0012638D">
      <w:pPr>
        <w:numPr>
          <w:ilvl w:val="0"/>
          <w:numId w:val="23"/>
        </w:numPr>
        <w:spacing w:after="200" w:line="240" w:lineRule="auto"/>
        <w:ind w:left="1125"/>
        <w:rPr>
          <w:i/>
          <w:iCs/>
        </w:rPr>
      </w:pPr>
      <w:r w:rsidRPr="000C3CF8">
        <w:rPr>
          <w:b/>
          <w:bCs/>
        </w:rPr>
        <w:t>Farm Household Allowance</w:t>
      </w:r>
      <w:r w:rsidRPr="000C3CF8">
        <w:t xml:space="preserve"> is affected as its supporting legislation, the </w:t>
      </w:r>
      <w:r w:rsidRPr="000C3CF8">
        <w:rPr>
          <w:i/>
          <w:iCs/>
        </w:rPr>
        <w:t>Farm Household Support Act 2014</w:t>
      </w:r>
      <w:r w:rsidRPr="000C3CF8">
        <w:t xml:space="preserve">, mirrors the </w:t>
      </w:r>
      <w:r w:rsidRPr="000C3CF8">
        <w:rPr>
          <w:i/>
          <w:iCs/>
        </w:rPr>
        <w:t>SS</w:t>
      </w:r>
      <w:r w:rsidR="002E4A89">
        <w:rPr>
          <w:i/>
          <w:iCs/>
        </w:rPr>
        <w:t xml:space="preserve"> </w:t>
      </w:r>
      <w:r w:rsidRPr="000C3CF8">
        <w:rPr>
          <w:i/>
          <w:iCs/>
        </w:rPr>
        <w:t xml:space="preserve">Act </w:t>
      </w:r>
      <w:r w:rsidRPr="000C3CF8">
        <w:t>for relevant assessment of employment income.</w:t>
      </w:r>
      <w:r w:rsidRPr="000C3CF8">
        <w:rPr>
          <w:i/>
          <w:iCs/>
        </w:rPr>
        <w:t xml:space="preserve"> </w:t>
      </w:r>
    </w:p>
    <w:p w14:paraId="31A73C34" w14:textId="0708D607" w:rsidR="00AA5394" w:rsidRPr="008774AD" w:rsidRDefault="00AA5394" w:rsidP="0012638D">
      <w:pPr>
        <w:numPr>
          <w:ilvl w:val="0"/>
          <w:numId w:val="23"/>
        </w:numPr>
        <w:spacing w:after="200" w:line="240" w:lineRule="auto"/>
        <w:ind w:left="1125"/>
        <w:rPr>
          <w:i/>
          <w:iCs/>
        </w:rPr>
      </w:pPr>
      <w:r w:rsidRPr="000C3CF8">
        <w:t>Pre</w:t>
      </w:r>
      <w:r>
        <w:t>-</w:t>
      </w:r>
      <w:r w:rsidRPr="000C3CF8">
        <w:rPr>
          <w:i/>
          <w:iCs/>
        </w:rPr>
        <w:t>Farm Household Support Act 2014</w:t>
      </w:r>
      <w:r w:rsidRPr="000C3CF8">
        <w:t xml:space="preserve"> payments </w:t>
      </w:r>
      <w:r w:rsidR="00643163">
        <w:t>are also</w:t>
      </w:r>
      <w:r w:rsidRPr="000C3CF8">
        <w:t xml:space="preserve"> affected.</w:t>
      </w:r>
      <w:r>
        <w:rPr>
          <w:i/>
          <w:iCs/>
        </w:rPr>
        <w:t xml:space="preserve"> </w:t>
      </w:r>
      <w:r w:rsidRPr="000C3CF8">
        <w:t>This includes</w:t>
      </w:r>
      <w:r w:rsidRPr="004C22B4">
        <w:rPr>
          <w:b/>
          <w:bCs/>
        </w:rPr>
        <w:t xml:space="preserve"> the Exceptional Circumstance Relief</w:t>
      </w:r>
      <w:r w:rsidRPr="000C3CF8">
        <w:t xml:space="preserve"> </w:t>
      </w:r>
      <w:r w:rsidRPr="004C22B4">
        <w:rPr>
          <w:b/>
          <w:bCs/>
        </w:rPr>
        <w:t xml:space="preserve">Payment </w:t>
      </w:r>
      <w:r w:rsidRPr="000C3CF8">
        <w:t xml:space="preserve">(and its precursor </w:t>
      </w:r>
      <w:r w:rsidRPr="004C22B4">
        <w:rPr>
          <w:b/>
          <w:bCs/>
        </w:rPr>
        <w:t>Drought Relief Payment</w:t>
      </w:r>
      <w:r w:rsidRPr="000C3CF8">
        <w:t>)</w:t>
      </w:r>
      <w:r>
        <w:t>.</w:t>
      </w:r>
      <w:r w:rsidR="003C58F0">
        <w:t xml:space="preserve"> </w:t>
      </w:r>
      <w:r w:rsidR="003C58F0" w:rsidRPr="000A640C">
        <w:rPr>
          <w:b/>
          <w:bCs/>
        </w:rPr>
        <w:t>Farm Help Income Support</w:t>
      </w:r>
      <w:r w:rsidR="003C58F0">
        <w:t xml:space="preserve"> (and its precursor </w:t>
      </w:r>
      <w:r w:rsidR="003C58F0" w:rsidRPr="000A640C">
        <w:rPr>
          <w:b/>
          <w:bCs/>
        </w:rPr>
        <w:t>Restart Income Support</w:t>
      </w:r>
      <w:r w:rsidR="003C58F0">
        <w:t xml:space="preserve">) and, likely, </w:t>
      </w:r>
      <w:r w:rsidR="003C58F0">
        <w:rPr>
          <w:b/>
          <w:bCs/>
        </w:rPr>
        <w:t>Farm Household Support</w:t>
      </w:r>
      <w:r w:rsidR="003C58F0">
        <w:t>.</w:t>
      </w:r>
    </w:p>
    <w:p w14:paraId="77BD52AE" w14:textId="77777777" w:rsidR="00AA5394" w:rsidRPr="000C3CF8" w:rsidRDefault="00AA5394" w:rsidP="0012638D">
      <w:pPr>
        <w:spacing w:line="240" w:lineRule="auto"/>
        <w:ind w:left="360"/>
        <w:rPr>
          <w:u w:val="single"/>
        </w:rPr>
      </w:pPr>
      <w:r w:rsidRPr="000C3CF8">
        <w:rPr>
          <w:u w:val="single"/>
        </w:rPr>
        <w:t>Department of Veterans’ Affairs</w:t>
      </w:r>
      <w:r>
        <w:rPr>
          <w:u w:val="single"/>
        </w:rPr>
        <w:t xml:space="preserve"> (DVA)</w:t>
      </w:r>
    </w:p>
    <w:p w14:paraId="3519DB77" w14:textId="77777777" w:rsidR="00AA5394" w:rsidRPr="000C3CF8" w:rsidRDefault="00AA5394" w:rsidP="0012638D">
      <w:pPr>
        <w:numPr>
          <w:ilvl w:val="0"/>
          <w:numId w:val="22"/>
        </w:numPr>
        <w:spacing w:after="200" w:line="240" w:lineRule="auto"/>
        <w:ind w:left="1080"/>
      </w:pPr>
      <w:r>
        <w:rPr>
          <w:b/>
          <w:bCs/>
        </w:rPr>
        <w:t xml:space="preserve">DSS </w:t>
      </w:r>
      <w:r w:rsidRPr="000C3CF8">
        <w:rPr>
          <w:b/>
          <w:bCs/>
        </w:rPr>
        <w:t>Age Pensions</w:t>
      </w:r>
      <w:r w:rsidRPr="00821B08">
        <w:rPr>
          <w:b/>
          <w:bCs/>
        </w:rPr>
        <w:t xml:space="preserve"> administered by the Department of Veterans Affairs </w:t>
      </w:r>
      <w:r w:rsidRPr="000C3CF8">
        <w:t xml:space="preserve">could be affected by income apportionment. This cohort would be </w:t>
      </w:r>
      <w:r>
        <w:t>relatively</w:t>
      </w:r>
      <w:r w:rsidRPr="000C3CF8">
        <w:t xml:space="preserve"> small given </w:t>
      </w:r>
      <w:r>
        <w:t>the limited number of DSS recipients who receive their payments through DVA and who earn</w:t>
      </w:r>
      <w:r w:rsidRPr="000C3CF8">
        <w:t xml:space="preserve"> employment income. </w:t>
      </w:r>
    </w:p>
    <w:p w14:paraId="5677C6B8" w14:textId="7707D469" w:rsidR="008D2958" w:rsidRPr="000C3CF8" w:rsidRDefault="00BF2855" w:rsidP="0012638D">
      <w:pPr>
        <w:numPr>
          <w:ilvl w:val="0"/>
          <w:numId w:val="22"/>
        </w:numPr>
        <w:spacing w:after="200" w:line="240" w:lineRule="auto"/>
        <w:ind w:left="1080"/>
      </w:pPr>
      <w:r>
        <w:t>There is no issue</w:t>
      </w:r>
      <w:r w:rsidR="00020613">
        <w:t xml:space="preserve"> in the</w:t>
      </w:r>
      <w:r w:rsidR="00AA5394">
        <w:t xml:space="preserve"> administration of DVA’s own income support payments, due to the distinct provisions for assessing income in the </w:t>
      </w:r>
      <w:r w:rsidR="00AA5394" w:rsidRPr="00821B08">
        <w:rPr>
          <w:i/>
          <w:iCs/>
        </w:rPr>
        <w:t>Veterans’ Entitlements Act 1986</w:t>
      </w:r>
      <w:r w:rsidR="00AA5394">
        <w:t xml:space="preserve">. An exception may be </w:t>
      </w:r>
      <w:r w:rsidR="00AA5394" w:rsidRPr="00821B08">
        <w:rPr>
          <w:b/>
          <w:bCs/>
        </w:rPr>
        <w:t>Defence Force Income Support Allowance</w:t>
      </w:r>
      <w:r w:rsidR="00AA5394">
        <w:rPr>
          <w:b/>
          <w:bCs/>
        </w:rPr>
        <w:t xml:space="preserve"> (DFISA), </w:t>
      </w:r>
      <w:r w:rsidR="00AA5394">
        <w:t xml:space="preserve">where the amount of employment income assessable under the </w:t>
      </w:r>
      <w:r w:rsidR="00AA5394">
        <w:rPr>
          <w:i/>
          <w:iCs/>
        </w:rPr>
        <w:t>Social Security Act 1991</w:t>
      </w:r>
      <w:r w:rsidR="00AA5394">
        <w:t xml:space="preserve"> may have impacted the rate of DFISA paid under the </w:t>
      </w:r>
      <w:r w:rsidR="00AA5394">
        <w:rPr>
          <w:i/>
          <w:iCs/>
        </w:rPr>
        <w:t>Veterans’ Entitlements Act 1986</w:t>
      </w:r>
      <w:r w:rsidR="00AA5394">
        <w:t xml:space="preserve">. </w:t>
      </w:r>
    </w:p>
    <w:p w14:paraId="0602AB68" w14:textId="77777777" w:rsidR="00331885" w:rsidRDefault="00331885" w:rsidP="0012638D">
      <w:pPr>
        <w:spacing w:after="200" w:line="240" w:lineRule="auto"/>
        <w:rPr>
          <w:u w:val="single"/>
        </w:rPr>
      </w:pPr>
      <w:r>
        <w:rPr>
          <w:u w:val="single"/>
        </w:rPr>
        <w:br w:type="page"/>
      </w:r>
    </w:p>
    <w:p w14:paraId="308CC5D1" w14:textId="283EA312" w:rsidR="00AA5394" w:rsidRPr="000C3CF8" w:rsidRDefault="00AA5394" w:rsidP="0012638D">
      <w:pPr>
        <w:spacing w:line="240" w:lineRule="auto"/>
        <w:ind w:left="360"/>
      </w:pPr>
      <w:r w:rsidRPr="000C3CF8">
        <w:rPr>
          <w:u w:val="single"/>
        </w:rPr>
        <w:lastRenderedPageBreak/>
        <w:t>Home Affairs/ National Emergency Management Agency</w:t>
      </w:r>
    </w:p>
    <w:p w14:paraId="238DA34B" w14:textId="320E08AB" w:rsidR="00AA5394" w:rsidRPr="000C3CF8" w:rsidRDefault="00AA5394" w:rsidP="0012638D">
      <w:pPr>
        <w:numPr>
          <w:ilvl w:val="0"/>
          <w:numId w:val="22"/>
        </w:numPr>
        <w:spacing w:after="200" w:line="240" w:lineRule="auto"/>
        <w:ind w:left="1080"/>
      </w:pPr>
      <w:r>
        <w:rPr>
          <w:b/>
          <w:bCs/>
        </w:rPr>
        <w:t xml:space="preserve">The </w:t>
      </w:r>
      <w:r w:rsidRPr="000C3CF8">
        <w:rPr>
          <w:b/>
          <w:bCs/>
        </w:rPr>
        <w:t xml:space="preserve">Disaster Recovery Allowance </w:t>
      </w:r>
      <w:r w:rsidRPr="000C3CF8">
        <w:t>rate</w:t>
      </w:r>
      <w:r w:rsidRPr="000C3CF8">
        <w:rPr>
          <w:b/>
          <w:bCs/>
        </w:rPr>
        <w:t xml:space="preserve"> </w:t>
      </w:r>
      <w:r w:rsidRPr="000C3CF8">
        <w:t xml:space="preserve">is </w:t>
      </w:r>
      <w:r w:rsidR="00CE0A97">
        <w:t xml:space="preserve">typically </w:t>
      </w:r>
      <w:r w:rsidRPr="000C3CF8">
        <w:t xml:space="preserve">determined by the relevant Minister, but it </w:t>
      </w:r>
      <w:r w:rsidR="008D2958">
        <w:t xml:space="preserve">may be </w:t>
      </w:r>
      <w:r w:rsidRPr="000C3CF8">
        <w:t>affected by income apportionment as historical legislative instruments setting out the rate calculations make relevant references to the</w:t>
      </w:r>
      <w:r w:rsidRPr="000C3CF8">
        <w:rPr>
          <w:i/>
          <w:iCs/>
        </w:rPr>
        <w:t xml:space="preserve"> SS</w:t>
      </w:r>
      <w:r w:rsidR="002E4A89">
        <w:rPr>
          <w:i/>
          <w:iCs/>
        </w:rPr>
        <w:t xml:space="preserve"> </w:t>
      </w:r>
      <w:r w:rsidRPr="000C3CF8">
        <w:rPr>
          <w:i/>
          <w:iCs/>
        </w:rPr>
        <w:t>Act.</w:t>
      </w:r>
    </w:p>
    <w:p w14:paraId="0BBE28D9" w14:textId="17203B63" w:rsidR="00AA5394" w:rsidRPr="00D903A1" w:rsidRDefault="00AA5394" w:rsidP="0012638D">
      <w:pPr>
        <w:numPr>
          <w:ilvl w:val="0"/>
          <w:numId w:val="22"/>
        </w:numPr>
        <w:spacing w:after="200" w:line="240" w:lineRule="auto"/>
        <w:ind w:left="1080"/>
      </w:pPr>
      <w:r w:rsidRPr="00D903A1">
        <w:rPr>
          <w:b/>
          <w:bCs/>
        </w:rPr>
        <w:t>Status Resolution Support Services payment</w:t>
      </w:r>
      <w:r w:rsidR="00C7202F">
        <w:rPr>
          <w:b/>
          <w:bCs/>
        </w:rPr>
        <w:t xml:space="preserve"> </w:t>
      </w:r>
      <w:r w:rsidR="00C7202F" w:rsidRPr="00C7202F">
        <w:t xml:space="preserve">debt recovery was </w:t>
      </w:r>
      <w:proofErr w:type="spellStart"/>
      <w:r w:rsidR="00C7202F" w:rsidRPr="00C7202F">
        <w:t>paused</w:t>
      </w:r>
      <w:proofErr w:type="spellEnd"/>
      <w:r w:rsidR="00C7202F">
        <w:t xml:space="preserve"> </w:t>
      </w:r>
      <w:r w:rsidR="00C22E0B" w:rsidRPr="00D903A1">
        <w:t xml:space="preserve">by Services Australia due to close alignment between this payment and relevant employment income and debt processing approaches. </w:t>
      </w:r>
    </w:p>
    <w:p w14:paraId="4262B41C" w14:textId="3C0DAB3F" w:rsidR="00BF597A" w:rsidRPr="00BE1427" w:rsidRDefault="00BF597A" w:rsidP="0012638D">
      <w:pPr>
        <w:pStyle w:val="Heading3"/>
        <w:spacing w:line="240" w:lineRule="auto"/>
      </w:pPr>
      <w:r>
        <w:t>Debt activity pauses</w:t>
      </w:r>
    </w:p>
    <w:p w14:paraId="55171399" w14:textId="02AE0019" w:rsidR="00425F58" w:rsidRPr="00C82468" w:rsidRDefault="00425F58" w:rsidP="0012638D">
      <w:pPr>
        <w:keepLines/>
        <w:spacing w:before="120" w:line="240" w:lineRule="auto"/>
      </w:pPr>
      <w:r w:rsidRPr="00C82468">
        <w:t xml:space="preserve">In response to the emerging concerns about </w:t>
      </w:r>
      <w:r w:rsidR="00BF597A">
        <w:t>income apportionment</w:t>
      </w:r>
      <w:r w:rsidRPr="00C82468">
        <w:t>, in 2021 Services Australia paused the raising and review</w:t>
      </w:r>
      <w:r w:rsidRPr="00C82468" w:rsidDel="00024DC7">
        <w:t xml:space="preserve"> </w:t>
      </w:r>
      <w:r w:rsidRPr="00C82468">
        <w:t xml:space="preserve">of debts potentially affected by income apportionment. There are currently </w:t>
      </w:r>
      <w:r w:rsidR="00F053AD" w:rsidRPr="00C82468">
        <w:t>1</w:t>
      </w:r>
      <w:r w:rsidR="00D903A1">
        <w:t>6</w:t>
      </w:r>
      <w:r w:rsidRPr="00C82468">
        <w:t>,000 formal reviews</w:t>
      </w:r>
      <w:r w:rsidR="00D903A1">
        <w:t xml:space="preserve"> and</w:t>
      </w:r>
      <w:r w:rsidRPr="00C82468">
        <w:t xml:space="preserve"> </w:t>
      </w:r>
      <w:r w:rsidR="00D903A1">
        <w:t>6</w:t>
      </w:r>
      <w:r w:rsidR="00F053AD">
        <w:t xml:space="preserve">,000 </w:t>
      </w:r>
      <w:r w:rsidRPr="00C82468">
        <w:t>explanations of decisions</w:t>
      </w:r>
      <w:r w:rsidR="00D903A1">
        <w:t xml:space="preserve"> paused as they are potentially affected by income apportionment. The investigation and raising of around </w:t>
      </w:r>
      <w:r w:rsidR="00ED0B92" w:rsidRPr="00C82468">
        <w:t>8</w:t>
      </w:r>
      <w:r w:rsidR="00F053AD">
        <w:t>7</w:t>
      </w:r>
      <w:r w:rsidRPr="00C82468">
        <w:t>,000 potential overpayments</w:t>
      </w:r>
      <w:r w:rsidR="00D903A1">
        <w:t xml:space="preserve"> </w:t>
      </w:r>
      <w:r w:rsidR="00024DC7">
        <w:t xml:space="preserve">is </w:t>
      </w:r>
      <w:r w:rsidR="00D903A1">
        <w:t>also</w:t>
      </w:r>
      <w:r w:rsidRPr="00C82468">
        <w:t xml:space="preserve"> paused.</w:t>
      </w:r>
      <w:r w:rsidR="008978D4">
        <w:t xml:space="preserve"> </w:t>
      </w:r>
    </w:p>
    <w:p w14:paraId="7157B2D7" w14:textId="684676D4" w:rsidR="00425F58" w:rsidRPr="00C82468" w:rsidRDefault="00425F58" w:rsidP="0012638D">
      <w:pPr>
        <w:keepLines/>
        <w:spacing w:before="120" w:line="240" w:lineRule="auto"/>
      </w:pPr>
      <w:r w:rsidRPr="000D1281">
        <w:t xml:space="preserve">The recovery of debts potentially affected by income apportionment was paused on 30 October 2023, with further debts paused on 11 April 2024 </w:t>
      </w:r>
      <w:r w:rsidR="00061F46">
        <w:t>because</w:t>
      </w:r>
      <w:r w:rsidRPr="000D1281">
        <w:t xml:space="preserve"> of</w:t>
      </w:r>
      <w:r w:rsidR="00061F46">
        <w:t xml:space="preserve"> an</w:t>
      </w:r>
      <w:r w:rsidRPr="000D1281">
        <w:t xml:space="preserve"> improved understanding of those affected. In total around 1</w:t>
      </w:r>
      <w:r>
        <w:t xml:space="preserve">48,000 </w:t>
      </w:r>
      <w:r w:rsidRPr="000D1281">
        <w:t>current debts potentially affected by income apportionment ha</w:t>
      </w:r>
      <w:r>
        <w:t>d</w:t>
      </w:r>
      <w:r w:rsidRPr="000D1281">
        <w:t xml:space="preserve"> recovery paused. </w:t>
      </w:r>
    </w:p>
    <w:p w14:paraId="3AA2B48B" w14:textId="2E8B4837" w:rsidR="00F40CFA" w:rsidRPr="007C7AAE" w:rsidRDefault="00A70419" w:rsidP="0012638D">
      <w:pPr>
        <w:keepLines/>
        <w:spacing w:before="120" w:line="240" w:lineRule="auto"/>
      </w:pPr>
      <w:r>
        <w:t>Following the</w:t>
      </w:r>
      <w:r w:rsidRPr="00C71C93">
        <w:rPr>
          <w:i/>
          <w:iCs/>
        </w:rPr>
        <w:t xml:space="preserve"> Chaplin </w:t>
      </w:r>
      <w:r w:rsidRPr="0068683F">
        <w:rPr>
          <w:szCs w:val="22"/>
        </w:rPr>
        <w:t xml:space="preserve">decision, the Secretary </w:t>
      </w:r>
      <w:r w:rsidR="00024DC7" w:rsidRPr="0068683F">
        <w:rPr>
          <w:szCs w:val="22"/>
        </w:rPr>
        <w:t>of</w:t>
      </w:r>
      <w:r w:rsidR="00024DC7" w:rsidRPr="0068683F" w:rsidDel="00C7202F">
        <w:rPr>
          <w:szCs w:val="22"/>
        </w:rPr>
        <w:t xml:space="preserve"> </w:t>
      </w:r>
      <w:r w:rsidR="00024DC7" w:rsidRPr="0068683F">
        <w:rPr>
          <w:szCs w:val="22"/>
        </w:rPr>
        <w:t xml:space="preserve">DSS </w:t>
      </w:r>
      <w:r w:rsidRPr="0068683F">
        <w:rPr>
          <w:szCs w:val="22"/>
        </w:rPr>
        <w:t xml:space="preserve">announced paused debts activities would recommence </w:t>
      </w:r>
      <w:r w:rsidRPr="00B95A61">
        <w:rPr>
          <w:rFonts w:cs="Open Sans"/>
          <w:color w:val="060F11"/>
          <w:szCs w:val="22"/>
          <w:shd w:val="clear" w:color="auto" w:fill="FFFFFF"/>
        </w:rPr>
        <w:t>in line with the Federal Court’s decision, and his obligations as Secretary.</w:t>
      </w:r>
      <w:r w:rsidR="00F40CFA" w:rsidRPr="007C7AAE">
        <w:br w:type="page"/>
      </w:r>
    </w:p>
    <w:p w14:paraId="0EF51184" w14:textId="77777777" w:rsidR="00F40CFA" w:rsidRDefault="00F40CFA" w:rsidP="0012638D">
      <w:pPr>
        <w:pStyle w:val="Heading1"/>
        <w:numPr>
          <w:ilvl w:val="0"/>
          <w:numId w:val="12"/>
        </w:numPr>
      </w:pPr>
      <w:bookmarkStart w:id="15" w:name="_Toc189673635"/>
      <w:bookmarkStart w:id="16" w:name="_Toc189673771"/>
      <w:bookmarkStart w:id="17" w:name="_Toc207097799"/>
      <w:bookmarkStart w:id="18" w:name="_Toc96326922"/>
      <w:bookmarkEnd w:id="15"/>
      <w:bookmarkEnd w:id="16"/>
      <w:r>
        <w:lastRenderedPageBreak/>
        <w:t>What are the objectives, why is government intervention needed to achieve them, and how will success be measured?</w:t>
      </w:r>
      <w:bookmarkEnd w:id="17"/>
    </w:p>
    <w:p w14:paraId="2BB62CA0" w14:textId="77777777" w:rsidR="00710FD6" w:rsidRDefault="00710FD6" w:rsidP="0012638D">
      <w:pPr>
        <w:pStyle w:val="Heading2"/>
      </w:pPr>
      <w:bookmarkStart w:id="19" w:name="_Toc159917937"/>
      <w:bookmarkStart w:id="20" w:name="_Toc207097800"/>
      <w:r>
        <w:t>2.1 Why intervention is required</w:t>
      </w:r>
      <w:bookmarkEnd w:id="19"/>
      <w:bookmarkEnd w:id="20"/>
    </w:p>
    <w:p w14:paraId="333C78F2" w14:textId="21BCE0D7" w:rsidR="00A70419" w:rsidRPr="0072677E" w:rsidRDefault="00A70419" w:rsidP="0012638D">
      <w:pPr>
        <w:spacing w:line="240" w:lineRule="auto"/>
      </w:pPr>
      <w:bookmarkStart w:id="21" w:name="_Hlk182234920"/>
      <w:r>
        <w:rPr>
          <w:color w:val="231F20"/>
        </w:rPr>
        <w:t>The Government has acknowledged th</w:t>
      </w:r>
      <w:r w:rsidR="0059493D">
        <w:rPr>
          <w:color w:val="231F20"/>
        </w:rPr>
        <w:t xml:space="preserve">e </w:t>
      </w:r>
      <w:r>
        <w:rPr>
          <w:color w:val="231F20"/>
        </w:rPr>
        <w:t xml:space="preserve">need </w:t>
      </w:r>
      <w:r w:rsidR="0059493D">
        <w:rPr>
          <w:color w:val="231F20"/>
        </w:rPr>
        <w:t>for intervention</w:t>
      </w:r>
      <w:r>
        <w:rPr>
          <w:color w:val="231F20"/>
        </w:rPr>
        <w:t xml:space="preserve"> previously, stating i</w:t>
      </w:r>
      <w:r w:rsidRPr="002E41B6">
        <w:rPr>
          <w:color w:val="231F20"/>
        </w:rPr>
        <w:t>n August 2023</w:t>
      </w:r>
      <w:r>
        <w:rPr>
          <w:color w:val="231F20"/>
        </w:rPr>
        <w:t xml:space="preserve"> that </w:t>
      </w:r>
      <w:r w:rsidRPr="002E41B6">
        <w:rPr>
          <w:color w:val="231F20"/>
        </w:rPr>
        <w:t>the issue</w:t>
      </w:r>
      <w:r>
        <w:rPr>
          <w:color w:val="231F20"/>
        </w:rPr>
        <w:t xml:space="preserve"> needs to </w:t>
      </w:r>
      <w:r w:rsidRPr="0072677E">
        <w:rPr>
          <w:color w:val="231F20"/>
        </w:rPr>
        <w:t xml:space="preserve">be settled as quickly as possible. The Court’s decision in </w:t>
      </w:r>
      <w:r w:rsidRPr="0072677E">
        <w:rPr>
          <w:i/>
          <w:iCs/>
          <w:color w:val="231F20"/>
        </w:rPr>
        <w:t xml:space="preserve">Chaplin </w:t>
      </w:r>
      <w:r w:rsidRPr="0072677E">
        <w:rPr>
          <w:color w:val="231F20"/>
        </w:rPr>
        <w:t xml:space="preserve">has now given certainty to the legal position, and this </w:t>
      </w:r>
      <w:r w:rsidR="00FE0F76" w:rsidRPr="0072677E">
        <w:rPr>
          <w:color w:val="231F20"/>
        </w:rPr>
        <w:t>must</w:t>
      </w:r>
      <w:r w:rsidRPr="0072677E">
        <w:rPr>
          <w:color w:val="231F20"/>
        </w:rPr>
        <w:t xml:space="preserve"> be acted upon, consistent with the DSS Secretary’s obligations under the SS Act.  The status quo, with 160,000 debts on pause, cannot persist. </w:t>
      </w:r>
      <w:r>
        <w:rPr>
          <w:color w:val="231F20"/>
        </w:rPr>
        <w:t>Aside from the legal obligations, given the negative impacts on people, it is not defensible that the Government continues to leave those affected with their debt activity paused in perpetuity.</w:t>
      </w:r>
    </w:p>
    <w:p w14:paraId="31F8A472" w14:textId="34E59197" w:rsidR="00A70419" w:rsidRDefault="00A70419" w:rsidP="0012638D">
      <w:pPr>
        <w:spacing w:line="240" w:lineRule="auto"/>
        <w:rPr>
          <w:color w:val="231F20"/>
        </w:rPr>
      </w:pPr>
      <w:r>
        <w:rPr>
          <w:color w:val="231F20"/>
        </w:rPr>
        <w:t xml:space="preserve">In addition, while the outcome in the </w:t>
      </w:r>
      <w:r w:rsidRPr="00733885">
        <w:rPr>
          <w:i/>
          <w:iCs/>
          <w:color w:val="231F20"/>
        </w:rPr>
        <w:t xml:space="preserve">Chaplin </w:t>
      </w:r>
      <w:r>
        <w:rPr>
          <w:color w:val="231F20"/>
        </w:rPr>
        <w:t xml:space="preserve">case agreed with the Department’s preferred methodology for recalculating income apportionment affected debts, there </w:t>
      </w:r>
      <w:r w:rsidR="0059493D">
        <w:rPr>
          <w:color w:val="231F20"/>
        </w:rPr>
        <w:t>are</w:t>
      </w:r>
      <w:r w:rsidR="002C2771">
        <w:rPr>
          <w:color w:val="231F20"/>
        </w:rPr>
        <w:t xml:space="preserve"> </w:t>
      </w:r>
      <w:r>
        <w:rPr>
          <w:color w:val="231F20"/>
        </w:rPr>
        <w:t xml:space="preserve">still around </w:t>
      </w:r>
      <w:r w:rsidR="00FE0F76">
        <w:rPr>
          <w:color w:val="231F20"/>
        </w:rPr>
        <w:t xml:space="preserve">5.5 million </w:t>
      </w:r>
      <w:r>
        <w:rPr>
          <w:color w:val="231F20"/>
        </w:rPr>
        <w:t>historical debts that may be affected by income apportionment.</w:t>
      </w:r>
      <w:r w:rsidR="008E6F4F">
        <w:rPr>
          <w:color w:val="231F20"/>
        </w:rPr>
        <w:t xml:space="preserve"> </w:t>
      </w:r>
      <w:r w:rsidR="00A2167F">
        <w:rPr>
          <w:color w:val="231F20"/>
        </w:rPr>
        <w:t>M</w:t>
      </w:r>
      <w:r w:rsidR="008E6F4F">
        <w:rPr>
          <w:color w:val="231F20"/>
        </w:rPr>
        <w:t xml:space="preserve">any of these historical debts are </w:t>
      </w:r>
      <w:r w:rsidR="009C3C6B">
        <w:rPr>
          <w:color w:val="231F20"/>
        </w:rPr>
        <w:t>old (the average a</w:t>
      </w:r>
      <w:r w:rsidR="004143FF">
        <w:rPr>
          <w:color w:val="231F20"/>
        </w:rPr>
        <w:t>ge is 19 years)</w:t>
      </w:r>
      <w:r w:rsidR="00FE0F76">
        <w:rPr>
          <w:color w:val="231F20"/>
        </w:rPr>
        <w:t>. Re</w:t>
      </w:r>
      <w:r w:rsidR="009C3C6B">
        <w:rPr>
          <w:color w:val="231F20"/>
        </w:rPr>
        <w:t>calculation</w:t>
      </w:r>
      <w:r w:rsidR="00B61AC0">
        <w:rPr>
          <w:color w:val="231F20"/>
        </w:rPr>
        <w:t xml:space="preserve"> </w:t>
      </w:r>
      <w:r w:rsidR="00FE0F76">
        <w:rPr>
          <w:color w:val="231F20"/>
        </w:rPr>
        <w:t xml:space="preserve">of these debts is not </w:t>
      </w:r>
      <w:r w:rsidR="00B61AC0">
        <w:rPr>
          <w:color w:val="231F20"/>
        </w:rPr>
        <w:t>feasible</w:t>
      </w:r>
      <w:r w:rsidR="009C3C6B">
        <w:rPr>
          <w:color w:val="231F20"/>
        </w:rPr>
        <w:t>.</w:t>
      </w:r>
      <w:r w:rsidR="00966B98">
        <w:rPr>
          <w:color w:val="231F20"/>
        </w:rPr>
        <w:t xml:space="preserve"> </w:t>
      </w:r>
    </w:p>
    <w:p w14:paraId="2AC97CA9" w14:textId="77777777" w:rsidR="00A70419" w:rsidRPr="006C5268" w:rsidRDefault="00A70419" w:rsidP="0012638D">
      <w:pPr>
        <w:spacing w:line="240" w:lineRule="auto"/>
        <w:rPr>
          <w:color w:val="231F20"/>
        </w:rPr>
      </w:pPr>
      <w:r>
        <w:rPr>
          <w:color w:val="231F20"/>
        </w:rPr>
        <w:t>T</w:t>
      </w:r>
      <w:r w:rsidRPr="006C5268">
        <w:rPr>
          <w:color w:val="231F20"/>
        </w:rPr>
        <w:t>here are</w:t>
      </w:r>
      <w:r>
        <w:rPr>
          <w:color w:val="231F20"/>
        </w:rPr>
        <w:t xml:space="preserve"> </w:t>
      </w:r>
      <w:r w:rsidRPr="006C5268">
        <w:rPr>
          <w:color w:val="231F20"/>
        </w:rPr>
        <w:t>no alternatives to Government action, as th</w:t>
      </w:r>
      <w:r>
        <w:rPr>
          <w:color w:val="231F20"/>
        </w:rPr>
        <w:t>e issue</w:t>
      </w:r>
      <w:r w:rsidRPr="006C5268">
        <w:rPr>
          <w:color w:val="231F20"/>
        </w:rPr>
        <w:t xml:space="preserve"> relates to debts administered, raised and recovered by the Government.  </w:t>
      </w:r>
    </w:p>
    <w:p w14:paraId="79170A13" w14:textId="1F7B560D" w:rsidR="00501FFD" w:rsidRPr="00D172F1" w:rsidRDefault="00501FFD" w:rsidP="0012638D">
      <w:pPr>
        <w:pStyle w:val="Default"/>
      </w:pPr>
      <w:r w:rsidRPr="00D172F1">
        <w:rPr>
          <w:rFonts w:asciiTheme="minorHAnsi" w:hAnsiTheme="minorHAnsi" w:cstheme="minorBidi"/>
          <w:color w:val="auto"/>
          <w:sz w:val="22"/>
          <w:szCs w:val="21"/>
        </w:rPr>
        <w:t xml:space="preserve">Government </w:t>
      </w:r>
      <w:r w:rsidR="00D27CC3" w:rsidRPr="00D172F1">
        <w:rPr>
          <w:rFonts w:asciiTheme="minorHAnsi" w:hAnsiTheme="minorHAnsi" w:cstheme="minorBidi"/>
          <w:color w:val="auto"/>
          <w:sz w:val="22"/>
          <w:szCs w:val="21"/>
        </w:rPr>
        <w:t>action</w:t>
      </w:r>
      <w:r w:rsidR="009E52BE" w:rsidRPr="00D172F1">
        <w:rPr>
          <w:rFonts w:asciiTheme="minorHAnsi" w:hAnsiTheme="minorHAnsi" w:cstheme="minorBidi"/>
          <w:color w:val="auto"/>
          <w:sz w:val="22"/>
          <w:szCs w:val="21"/>
        </w:rPr>
        <w:t xml:space="preserve"> on this issue</w:t>
      </w:r>
      <w:r w:rsidRPr="00D172F1">
        <w:rPr>
          <w:rFonts w:asciiTheme="minorHAnsi" w:hAnsiTheme="minorHAnsi" w:cstheme="minorBidi"/>
          <w:color w:val="auto"/>
          <w:sz w:val="22"/>
          <w:szCs w:val="21"/>
        </w:rPr>
        <w:t xml:space="preserve"> </w:t>
      </w:r>
      <w:r w:rsidR="00A02656" w:rsidRPr="00D172F1">
        <w:rPr>
          <w:rFonts w:asciiTheme="minorHAnsi" w:hAnsiTheme="minorHAnsi" w:cstheme="minorBidi"/>
          <w:color w:val="auto"/>
          <w:sz w:val="22"/>
          <w:szCs w:val="21"/>
        </w:rPr>
        <w:t>will still face the following limitations and challenges</w:t>
      </w:r>
      <w:r w:rsidRPr="00D172F1">
        <w:rPr>
          <w:rFonts w:asciiTheme="minorHAnsi" w:hAnsiTheme="minorHAnsi" w:cstheme="minorBidi"/>
          <w:color w:val="auto"/>
          <w:sz w:val="22"/>
          <w:szCs w:val="21"/>
        </w:rPr>
        <w:t>:</w:t>
      </w:r>
    </w:p>
    <w:p w14:paraId="56A2A756" w14:textId="6165BBF4" w:rsidR="00501FFD" w:rsidRDefault="00501FFD" w:rsidP="0012638D">
      <w:pPr>
        <w:pStyle w:val="ListParagraph"/>
        <w:numPr>
          <w:ilvl w:val="0"/>
          <w:numId w:val="30"/>
        </w:numPr>
        <w:spacing w:line="240" w:lineRule="auto"/>
        <w:rPr>
          <w:color w:val="231F20"/>
        </w:rPr>
      </w:pPr>
      <w:r>
        <w:rPr>
          <w:color w:val="231F20"/>
        </w:rPr>
        <w:t xml:space="preserve">This issue is widespread, potentially affecting 5.5 million debts over decades. </w:t>
      </w:r>
    </w:p>
    <w:p w14:paraId="19AAC2CF" w14:textId="6BC66117" w:rsidR="00940A2B" w:rsidRDefault="00940A2B" w:rsidP="0012638D">
      <w:pPr>
        <w:pStyle w:val="ListParagraph"/>
        <w:numPr>
          <w:ilvl w:val="0"/>
          <w:numId w:val="30"/>
        </w:numPr>
        <w:spacing w:line="240" w:lineRule="auto"/>
        <w:rPr>
          <w:color w:val="231F20"/>
        </w:rPr>
      </w:pPr>
      <w:r>
        <w:rPr>
          <w:color w:val="231F20"/>
        </w:rPr>
        <w:t xml:space="preserve">Most debts have been repaid in full, with </w:t>
      </w:r>
      <w:r w:rsidR="009A6773">
        <w:rPr>
          <w:color w:val="231F20"/>
        </w:rPr>
        <w:t>many of those</w:t>
      </w:r>
      <w:r>
        <w:rPr>
          <w:color w:val="231F20"/>
        </w:rPr>
        <w:t xml:space="preserve"> </w:t>
      </w:r>
      <w:r w:rsidR="00D27CC3">
        <w:rPr>
          <w:color w:val="231F20"/>
        </w:rPr>
        <w:t xml:space="preserve">individuals </w:t>
      </w:r>
      <w:r>
        <w:rPr>
          <w:color w:val="231F20"/>
        </w:rPr>
        <w:t xml:space="preserve">affected </w:t>
      </w:r>
      <w:r w:rsidR="009A6773">
        <w:rPr>
          <w:color w:val="231F20"/>
        </w:rPr>
        <w:t xml:space="preserve">no longer in the </w:t>
      </w:r>
      <w:r w:rsidR="00D27CC3">
        <w:rPr>
          <w:color w:val="231F20"/>
        </w:rPr>
        <w:t xml:space="preserve">social security </w:t>
      </w:r>
      <w:r w:rsidR="009A6773">
        <w:rPr>
          <w:color w:val="231F20"/>
        </w:rPr>
        <w:t>system</w:t>
      </w:r>
      <w:r>
        <w:rPr>
          <w:color w:val="231F20"/>
        </w:rPr>
        <w:t xml:space="preserve">. </w:t>
      </w:r>
    </w:p>
    <w:p w14:paraId="5663D4D8" w14:textId="4F21829A" w:rsidR="00FA4F25" w:rsidRDefault="00501FFD" w:rsidP="0012638D">
      <w:pPr>
        <w:pStyle w:val="ListParagraph"/>
        <w:numPr>
          <w:ilvl w:val="0"/>
          <w:numId w:val="30"/>
        </w:numPr>
        <w:spacing w:line="240" w:lineRule="auto"/>
      </w:pPr>
      <w:r w:rsidRPr="00FE0F76">
        <w:rPr>
          <w:color w:val="231F20"/>
        </w:rPr>
        <w:t>Many debts potentially affected by this issue are old</w:t>
      </w:r>
      <w:r w:rsidR="009E52BE" w:rsidRPr="00FE0F76">
        <w:rPr>
          <w:color w:val="231F20"/>
        </w:rPr>
        <w:t xml:space="preserve"> (the average age is 19 years)</w:t>
      </w:r>
      <w:r w:rsidR="00940A2B" w:rsidRPr="00FE0F76">
        <w:rPr>
          <w:color w:val="231F20"/>
        </w:rPr>
        <w:t xml:space="preserve">. </w:t>
      </w:r>
      <w:r w:rsidR="009E52BE" w:rsidRPr="00FE0F76">
        <w:rPr>
          <w:color w:val="231F20"/>
        </w:rPr>
        <w:t xml:space="preserve"> </w:t>
      </w:r>
    </w:p>
    <w:p w14:paraId="38EE758D" w14:textId="55A2B7E6" w:rsidR="00FA4F25" w:rsidRDefault="00FA4F25" w:rsidP="0012638D">
      <w:pPr>
        <w:pStyle w:val="Heading2"/>
      </w:pPr>
      <w:bookmarkStart w:id="22" w:name="_Toc207097801"/>
      <w:r>
        <w:t>2.2 Measuring success- lawfulness</w:t>
      </w:r>
      <w:bookmarkEnd w:id="22"/>
    </w:p>
    <w:p w14:paraId="202A6CD8" w14:textId="28E144F4" w:rsidR="000E2027" w:rsidRPr="000E2027" w:rsidRDefault="000E2027" w:rsidP="0012638D">
      <w:pPr>
        <w:spacing w:line="240" w:lineRule="auto"/>
      </w:pPr>
      <w:r>
        <w:t xml:space="preserve">Any solution must be lawful, </w:t>
      </w:r>
      <w:r w:rsidR="00AF2215">
        <w:t>that is,</w:t>
      </w:r>
      <w:r>
        <w:t xml:space="preserve"> authorised by legislation</w:t>
      </w:r>
      <w:r w:rsidR="00934084">
        <w:t>.</w:t>
      </w:r>
    </w:p>
    <w:p w14:paraId="3BA80B8D" w14:textId="0BCB1159" w:rsidR="00D0149B" w:rsidRPr="00623A7C" w:rsidRDefault="00D0149B" w:rsidP="0012638D">
      <w:pPr>
        <w:pStyle w:val="Heading2"/>
      </w:pPr>
      <w:bookmarkStart w:id="23" w:name="_Toc159917939"/>
      <w:bookmarkStart w:id="24" w:name="_Toc207097802"/>
      <w:r>
        <w:t>2.</w:t>
      </w:r>
      <w:r w:rsidR="00FA4F25">
        <w:t>3</w:t>
      </w:r>
      <w:r w:rsidR="00042F76">
        <w:t xml:space="preserve"> </w:t>
      </w:r>
      <w:r>
        <w:t xml:space="preserve">Measuring success </w:t>
      </w:r>
      <w:r w:rsidR="00E261D1">
        <w:t>–</w:t>
      </w:r>
      <w:r>
        <w:t xml:space="preserve"> fairness</w:t>
      </w:r>
      <w:bookmarkEnd w:id="23"/>
      <w:bookmarkEnd w:id="24"/>
    </w:p>
    <w:p w14:paraId="173AE084" w14:textId="4E168EB1" w:rsidR="00CF24B2" w:rsidRDefault="007713E1" w:rsidP="0012638D">
      <w:pPr>
        <w:spacing w:line="240" w:lineRule="auto"/>
      </w:pPr>
      <w:r>
        <w:t xml:space="preserve">Any </w:t>
      </w:r>
      <w:r w:rsidR="00042F76">
        <w:t>solution</w:t>
      </w:r>
      <w:r>
        <w:t xml:space="preserve"> must be fair. </w:t>
      </w:r>
      <w:r w:rsidR="00CF24B2">
        <w:t>The</w:t>
      </w:r>
      <w:r w:rsidR="00C86672">
        <w:t xml:space="preserve"> resolution approach</w:t>
      </w:r>
      <w:r w:rsidR="00CF24B2">
        <w:t xml:space="preserve"> should be reasonably expected to be broadly accepted by stakeholders and the public</w:t>
      </w:r>
      <w:r w:rsidR="00DC5B6F">
        <w:t xml:space="preserve"> as fair and reasonable</w:t>
      </w:r>
      <w:r w:rsidR="00CF24B2">
        <w:t xml:space="preserve">. </w:t>
      </w:r>
    </w:p>
    <w:p w14:paraId="38CFF2B8" w14:textId="2EEEFE95" w:rsidR="00D0149B" w:rsidRDefault="00CF24B2" w:rsidP="0012638D">
      <w:pPr>
        <w:spacing w:line="240" w:lineRule="auto"/>
      </w:pPr>
      <w:r>
        <w:t xml:space="preserve">In particular, the impacts on </w:t>
      </w:r>
      <w:r w:rsidR="00106623">
        <w:t xml:space="preserve">affected </w:t>
      </w:r>
      <w:r>
        <w:t>individuals</w:t>
      </w:r>
      <w:r w:rsidR="00110B39">
        <w:t xml:space="preserve"> and stakeholders</w:t>
      </w:r>
      <w:r>
        <w:t xml:space="preserve"> should be considered, including</w:t>
      </w:r>
      <w:r w:rsidR="00D0149B">
        <w:t xml:space="preserve">: </w:t>
      </w:r>
    </w:p>
    <w:p w14:paraId="1C9F5629" w14:textId="69F91818" w:rsidR="00D0149B" w:rsidRDefault="00DC5B6F" w:rsidP="0012638D">
      <w:pPr>
        <w:pStyle w:val="ListParagraph"/>
        <w:numPr>
          <w:ilvl w:val="0"/>
          <w:numId w:val="17"/>
        </w:numPr>
        <w:spacing w:after="200" w:line="240" w:lineRule="auto"/>
      </w:pPr>
      <w:proofErr w:type="gramStart"/>
      <w:r>
        <w:t>the</w:t>
      </w:r>
      <w:proofErr w:type="gramEnd"/>
      <w:r w:rsidRPr="00485B82">
        <w:t xml:space="preserve"> </w:t>
      </w:r>
      <w:r w:rsidR="00D0149B" w:rsidRPr="00485B82">
        <w:t>potential for people to be worse off, for example debts increasing due to recalculation</w:t>
      </w:r>
      <w:r w:rsidR="002A77F6">
        <w:t xml:space="preserve"> of their debt without using income apportionment</w:t>
      </w:r>
      <w:r w:rsidR="00D0149B">
        <w:t>.</w:t>
      </w:r>
    </w:p>
    <w:p w14:paraId="27B92A27" w14:textId="792007EE" w:rsidR="00D0149B" w:rsidRDefault="00D0149B" w:rsidP="0012638D">
      <w:pPr>
        <w:pStyle w:val="ListParagraph"/>
        <w:numPr>
          <w:ilvl w:val="0"/>
          <w:numId w:val="17"/>
        </w:numPr>
        <w:spacing w:after="200" w:line="240" w:lineRule="auto"/>
      </w:pPr>
      <w:proofErr w:type="gramStart"/>
      <w:r>
        <w:lastRenderedPageBreak/>
        <w:t>the</w:t>
      </w:r>
      <w:proofErr w:type="gramEnd"/>
      <w:r>
        <w:t xml:space="preserve"> ability of people to engage with (where applicable) any options</w:t>
      </w:r>
      <w:r w:rsidR="00DC5B6F">
        <w:t xml:space="preserve">, </w:t>
      </w:r>
      <w:r w:rsidR="00106623">
        <w:t xml:space="preserve">including recognition of any administrative impost, </w:t>
      </w:r>
      <w:r w:rsidR="00DC5B6F">
        <w:t>n</w:t>
      </w:r>
      <w:r>
        <w:t xml:space="preserve">oting many affected people may </w:t>
      </w:r>
      <w:r w:rsidR="00DC5B6F">
        <w:t>be vulnerable</w:t>
      </w:r>
      <w:r>
        <w:t>.</w:t>
      </w:r>
    </w:p>
    <w:p w14:paraId="65066A14" w14:textId="02A4675B" w:rsidR="00CF24B2" w:rsidRDefault="00DC5B6F" w:rsidP="0012638D">
      <w:pPr>
        <w:pStyle w:val="ListParagraph"/>
        <w:numPr>
          <w:ilvl w:val="0"/>
          <w:numId w:val="17"/>
        </w:numPr>
        <w:spacing w:after="200" w:line="240" w:lineRule="auto"/>
      </w:pPr>
      <w:r>
        <w:t xml:space="preserve">the </w:t>
      </w:r>
      <w:r w:rsidR="00D0149B">
        <w:t>potential for people to receive different treatment depending on timing, for example</w:t>
      </w:r>
      <w:r w:rsidR="00A83A83">
        <w:t>,</w:t>
      </w:r>
      <w:r w:rsidR="00D0149B">
        <w:t xml:space="preserve"> when the</w:t>
      </w:r>
      <w:r w:rsidR="00E3533B">
        <w:t xml:space="preserve">ir debt was raised </w:t>
      </w:r>
      <w:r w:rsidR="00BE2323">
        <w:t>or paid off</w:t>
      </w:r>
      <w:r w:rsidR="00AE4A7F">
        <w:t xml:space="preserve"> or when they </w:t>
      </w:r>
      <w:r w:rsidR="00D0149B">
        <w:t>request</w:t>
      </w:r>
      <w:r w:rsidR="00C15920">
        <w:t>ed</w:t>
      </w:r>
      <w:r w:rsidR="00D0149B">
        <w:t xml:space="preserve"> a review of a potentially income apportioned debt</w:t>
      </w:r>
    </w:p>
    <w:p w14:paraId="651E04DB" w14:textId="77777777" w:rsidR="00A70419" w:rsidRDefault="00A70419" w:rsidP="0012638D">
      <w:pPr>
        <w:pStyle w:val="ListParagraph"/>
        <w:numPr>
          <w:ilvl w:val="0"/>
          <w:numId w:val="17"/>
        </w:numPr>
        <w:spacing w:after="200" w:line="240" w:lineRule="auto"/>
      </w:pPr>
      <w:proofErr w:type="gramStart"/>
      <w:r>
        <w:t>the</w:t>
      </w:r>
      <w:proofErr w:type="gramEnd"/>
      <w:r>
        <w:t xml:space="preserve"> potential for people with income apportioned debts to be treated differently (for example, whether their debt is fully paid off or not) under the different options. </w:t>
      </w:r>
    </w:p>
    <w:p w14:paraId="4534FD39" w14:textId="177354BF" w:rsidR="00110B39" w:rsidRPr="00686C0D" w:rsidRDefault="00110B39" w:rsidP="0012638D">
      <w:pPr>
        <w:pStyle w:val="ListParagraph"/>
        <w:numPr>
          <w:ilvl w:val="0"/>
          <w:numId w:val="17"/>
        </w:numPr>
        <w:spacing w:after="200" w:line="240" w:lineRule="auto"/>
      </w:pPr>
      <w:proofErr w:type="gramStart"/>
      <w:r>
        <w:t>the</w:t>
      </w:r>
      <w:proofErr w:type="gramEnd"/>
      <w:r>
        <w:t xml:space="preserve"> potential impost </w:t>
      </w:r>
      <w:r w:rsidR="00106623">
        <w:t xml:space="preserve">on </w:t>
      </w:r>
      <w:r>
        <w:t xml:space="preserve">community organisations, employers and financial institutions. </w:t>
      </w:r>
    </w:p>
    <w:p w14:paraId="2FD49BC4" w14:textId="6AE3A422" w:rsidR="00D0149B" w:rsidRDefault="00D0149B" w:rsidP="0012638D">
      <w:pPr>
        <w:spacing w:line="240" w:lineRule="auto"/>
      </w:pPr>
      <w:r>
        <w:t>Post</w:t>
      </w:r>
      <w:r w:rsidR="00A83A83">
        <w:t>-</w:t>
      </w:r>
      <w:r>
        <w:t>implementation, success in this aspect will be measured by stakeholder opinion. While difficult to quantify, this would include feedback from people affected by income apportionment, and peak bodies</w:t>
      </w:r>
      <w:r w:rsidR="00042F76">
        <w:t xml:space="preserve"> in the social services space</w:t>
      </w:r>
      <w:r w:rsidR="00FD44D9">
        <w:t xml:space="preserve">. </w:t>
      </w:r>
    </w:p>
    <w:p w14:paraId="7EBEC888" w14:textId="086531A4" w:rsidR="0064398E" w:rsidRPr="00623A7C" w:rsidRDefault="0064398E" w:rsidP="0012638D">
      <w:pPr>
        <w:pStyle w:val="Heading2"/>
      </w:pPr>
      <w:bookmarkStart w:id="25" w:name="_Toc159917940"/>
      <w:bookmarkStart w:id="26" w:name="_Toc207097803"/>
      <w:r>
        <w:t>2.</w:t>
      </w:r>
      <w:r w:rsidR="00FA4F25">
        <w:t>4</w:t>
      </w:r>
      <w:r w:rsidR="00042F76">
        <w:t xml:space="preserve"> </w:t>
      </w:r>
      <w:r>
        <w:t xml:space="preserve">Measuring success </w:t>
      </w:r>
      <w:r w:rsidR="00E261D1">
        <w:t>–</w:t>
      </w:r>
      <w:r>
        <w:t xml:space="preserve"> timeliness</w:t>
      </w:r>
      <w:bookmarkEnd w:id="25"/>
      <w:bookmarkEnd w:id="26"/>
    </w:p>
    <w:p w14:paraId="156FFD33" w14:textId="781DB16C" w:rsidR="000D37CB" w:rsidRDefault="008655D0" w:rsidP="0012638D">
      <w:pPr>
        <w:spacing w:line="240" w:lineRule="auto"/>
      </w:pPr>
      <w:r>
        <w:t>O</w:t>
      </w:r>
      <w:r w:rsidR="0064398E">
        <w:t xml:space="preserve">ptions must be considered </w:t>
      </w:r>
      <w:r w:rsidR="00A83A83">
        <w:t xml:space="preserve">with regard to </w:t>
      </w:r>
      <w:r w:rsidR="0064398E">
        <w:t xml:space="preserve">the ability of </w:t>
      </w:r>
      <w:r>
        <w:t>Government</w:t>
      </w:r>
      <w:r w:rsidR="0064398E">
        <w:t xml:space="preserve"> to implement them in a timely manner. This is particularly relevant given the </w:t>
      </w:r>
      <w:r>
        <w:t xml:space="preserve">number </w:t>
      </w:r>
      <w:r w:rsidR="0064398E">
        <w:t>of debts within the scope of income apportionment and the resource intensive</w:t>
      </w:r>
      <w:r w:rsidR="00A83A83">
        <w:t xml:space="preserve"> nature</w:t>
      </w:r>
      <w:r w:rsidR="0064398E">
        <w:t xml:space="preserve"> of </w:t>
      </w:r>
      <w:r w:rsidR="00A83A83">
        <w:t xml:space="preserve">debt </w:t>
      </w:r>
      <w:r w:rsidR="0064398E">
        <w:t>calculation</w:t>
      </w:r>
      <w:r w:rsidR="00A83A83">
        <w:t>s</w:t>
      </w:r>
      <w:r w:rsidR="0064398E">
        <w:t>.</w:t>
      </w:r>
    </w:p>
    <w:p w14:paraId="1AE96416" w14:textId="24798AA6" w:rsidR="008978D4" w:rsidRDefault="000D37CB" w:rsidP="0012638D">
      <w:pPr>
        <w:spacing w:line="240" w:lineRule="auto"/>
      </w:pPr>
      <w:r>
        <w:t>Pe</w:t>
      </w:r>
      <w:r w:rsidR="008978D4">
        <w:t xml:space="preserve">ople </w:t>
      </w:r>
      <w:r w:rsidR="003C01E5">
        <w:t xml:space="preserve">who hold the approximately </w:t>
      </w:r>
      <w:r w:rsidR="00176E7F">
        <w:t>160</w:t>
      </w:r>
      <w:r w:rsidR="003C01E5">
        <w:t>,000</w:t>
      </w:r>
      <w:r w:rsidR="008978D4">
        <w:t xml:space="preserve"> </w:t>
      </w:r>
      <w:r w:rsidR="006928AB">
        <w:t xml:space="preserve">outstanding </w:t>
      </w:r>
      <w:r w:rsidR="008978D4">
        <w:t xml:space="preserve">debts subject to income apportionment related pauses </w:t>
      </w:r>
      <w:r w:rsidR="001D1A71">
        <w:t xml:space="preserve">(including reviews and explanations of decision) </w:t>
      </w:r>
      <w:r w:rsidR="008978D4">
        <w:t xml:space="preserve">have been subject to </w:t>
      </w:r>
      <w:r>
        <w:t xml:space="preserve">an extended period of </w:t>
      </w:r>
      <w:r w:rsidR="008978D4">
        <w:t xml:space="preserve">ongoing </w:t>
      </w:r>
      <w:r w:rsidR="00C93EEC">
        <w:t xml:space="preserve">delays and </w:t>
      </w:r>
      <w:r w:rsidR="008978D4">
        <w:t xml:space="preserve">uncertainty. A timely resolution of this issue will bring these people closure. </w:t>
      </w:r>
    </w:p>
    <w:p w14:paraId="7E0C8F36" w14:textId="2180E4EC" w:rsidR="0064398E" w:rsidRDefault="0064398E" w:rsidP="0012638D">
      <w:pPr>
        <w:spacing w:line="240" w:lineRule="auto"/>
      </w:pPr>
      <w:r>
        <w:t>Depending on the option</w:t>
      </w:r>
      <w:r w:rsidR="00224D3C">
        <w:t>s</w:t>
      </w:r>
      <w:r>
        <w:t xml:space="preserve"> chose</w:t>
      </w:r>
      <w:r w:rsidR="00C93EEC">
        <w:t>n</w:t>
      </w:r>
      <w:r>
        <w:t>, success against this criterion could be measured by:</w:t>
      </w:r>
    </w:p>
    <w:p w14:paraId="712DA278" w14:textId="0BCC6021" w:rsidR="0064398E" w:rsidRDefault="0064398E" w:rsidP="0012638D">
      <w:pPr>
        <w:pStyle w:val="ListParagraph"/>
        <w:numPr>
          <w:ilvl w:val="0"/>
          <w:numId w:val="18"/>
        </w:numPr>
        <w:spacing w:line="240" w:lineRule="auto"/>
      </w:pPr>
      <w:r>
        <w:t>Time from implementation of</w:t>
      </w:r>
      <w:r w:rsidR="00A83A83">
        <w:t xml:space="preserve"> the</w:t>
      </w:r>
      <w:r>
        <w:t xml:space="preserve"> option to </w:t>
      </w:r>
      <w:r w:rsidR="00A83A83">
        <w:t>outcomes for affected individuals</w:t>
      </w:r>
      <w:r w:rsidR="00140E5A">
        <w:t>.</w:t>
      </w:r>
    </w:p>
    <w:p w14:paraId="2252ECBD" w14:textId="539C1C05" w:rsidR="00A66437" w:rsidRDefault="00A66437" w:rsidP="0012638D">
      <w:pPr>
        <w:pStyle w:val="ListParagraph"/>
        <w:numPr>
          <w:ilvl w:val="0"/>
          <w:numId w:val="18"/>
        </w:numPr>
        <w:spacing w:line="240" w:lineRule="auto"/>
      </w:pPr>
      <w:r>
        <w:t xml:space="preserve">Time from engaging with the resolution approach to outcomes for affected individuals (e.g. time between contact from Services Australia and </w:t>
      </w:r>
      <w:r w:rsidR="00C00464">
        <w:t xml:space="preserve">a finalisation of the person’s engagement with </w:t>
      </w:r>
      <w:r w:rsidR="009E0322">
        <w:t xml:space="preserve">any </w:t>
      </w:r>
      <w:r w:rsidR="00C00464">
        <w:t xml:space="preserve">resolution approach). </w:t>
      </w:r>
    </w:p>
    <w:p w14:paraId="57A5C723" w14:textId="3F973DDB" w:rsidR="00106623" w:rsidRDefault="00106623" w:rsidP="0012638D">
      <w:pPr>
        <w:pStyle w:val="ListParagraph"/>
        <w:numPr>
          <w:ilvl w:val="0"/>
          <w:numId w:val="18"/>
        </w:numPr>
        <w:spacing w:line="240" w:lineRule="auto"/>
      </w:pPr>
      <w:r>
        <w:t>Any impost the options</w:t>
      </w:r>
      <w:r w:rsidDel="009E0322">
        <w:t xml:space="preserve"> </w:t>
      </w:r>
      <w:r>
        <w:t>may have on community organisations, financial institutions and employers.</w:t>
      </w:r>
    </w:p>
    <w:bookmarkEnd w:id="21"/>
    <w:p w14:paraId="246B8F71" w14:textId="177742EC" w:rsidR="00405232" w:rsidRDefault="00E261D1" w:rsidP="0012638D">
      <w:pPr>
        <w:spacing w:after="200" w:line="240" w:lineRule="auto"/>
      </w:pPr>
      <w:r>
        <w:t xml:space="preserve">Included in timeliness is also an appreciation of the skills and resources required (and their availability) to implement the option in a timely manner. </w:t>
      </w:r>
      <w:r w:rsidR="00405232">
        <w:br w:type="page"/>
      </w:r>
    </w:p>
    <w:p w14:paraId="4D6A9F0B" w14:textId="77777777" w:rsidR="00405232" w:rsidRDefault="00405232" w:rsidP="0012638D">
      <w:pPr>
        <w:pStyle w:val="Heading1"/>
        <w:numPr>
          <w:ilvl w:val="0"/>
          <w:numId w:val="12"/>
        </w:numPr>
      </w:pPr>
      <w:bookmarkStart w:id="27" w:name="_Toc207097804"/>
      <w:bookmarkStart w:id="28" w:name="_Toc96326924"/>
      <w:bookmarkEnd w:id="18"/>
      <w:r>
        <w:lastRenderedPageBreak/>
        <w:t>What policy options are you considering?</w:t>
      </w:r>
      <w:bookmarkEnd w:id="27"/>
    </w:p>
    <w:p w14:paraId="77BCAC38" w14:textId="49102939" w:rsidR="00AC0B9D" w:rsidRPr="00DD0582" w:rsidRDefault="00AC0B9D" w:rsidP="0012638D">
      <w:pPr>
        <w:pStyle w:val="Heading2"/>
      </w:pPr>
      <w:bookmarkStart w:id="29" w:name="_Toc207097805"/>
      <w:r>
        <w:t xml:space="preserve">3.1 </w:t>
      </w:r>
      <w:r w:rsidR="007B464A">
        <w:t>S</w:t>
      </w:r>
      <w:r>
        <w:t>tatus quo</w:t>
      </w:r>
      <w:r w:rsidR="005967FB">
        <w:t xml:space="preserve"> </w:t>
      </w:r>
      <w:r w:rsidR="00A70419">
        <w:t>(no Government action)</w:t>
      </w:r>
      <w:bookmarkEnd w:id="29"/>
    </w:p>
    <w:p w14:paraId="0B729310" w14:textId="614469FF" w:rsidR="00F143D3" w:rsidRDefault="00A70419" w:rsidP="0012638D">
      <w:pPr>
        <w:pStyle w:val="Heading3"/>
        <w:spacing w:line="240" w:lineRule="auto"/>
        <w:rPr>
          <w:rFonts w:asciiTheme="minorHAnsi" w:eastAsiaTheme="minorEastAsia" w:hAnsiTheme="minorHAnsi" w:cstheme="minorBidi"/>
          <w:color w:val="auto"/>
          <w:sz w:val="22"/>
          <w:szCs w:val="21"/>
        </w:rPr>
      </w:pPr>
      <w:r w:rsidRPr="004251ED">
        <w:rPr>
          <w:rFonts w:asciiTheme="minorHAnsi" w:eastAsiaTheme="minorEastAsia" w:hAnsiTheme="minorHAnsi" w:cstheme="minorBidi"/>
          <w:color w:val="auto"/>
          <w:sz w:val="22"/>
          <w:szCs w:val="21"/>
        </w:rPr>
        <w:t xml:space="preserve">The status quo option </w:t>
      </w:r>
      <w:r w:rsidR="00367344">
        <w:rPr>
          <w:rFonts w:asciiTheme="minorHAnsi" w:eastAsiaTheme="minorEastAsia" w:hAnsiTheme="minorHAnsi" w:cstheme="minorBidi"/>
          <w:color w:val="auto"/>
          <w:sz w:val="22"/>
          <w:szCs w:val="21"/>
        </w:rPr>
        <w:t>is for</w:t>
      </w:r>
      <w:r w:rsidRPr="004251ED">
        <w:rPr>
          <w:rFonts w:asciiTheme="minorHAnsi" w:eastAsiaTheme="minorEastAsia" w:hAnsiTheme="minorHAnsi" w:cstheme="minorBidi"/>
          <w:color w:val="auto"/>
          <w:sz w:val="22"/>
          <w:szCs w:val="21"/>
        </w:rPr>
        <w:t xml:space="preserve"> the Government not </w:t>
      </w:r>
      <w:r w:rsidR="000C39B4">
        <w:rPr>
          <w:rFonts w:asciiTheme="minorHAnsi" w:eastAsiaTheme="minorEastAsia" w:hAnsiTheme="minorHAnsi" w:cstheme="minorBidi"/>
          <w:color w:val="auto"/>
          <w:sz w:val="22"/>
          <w:szCs w:val="21"/>
        </w:rPr>
        <w:t xml:space="preserve">to </w:t>
      </w:r>
      <w:r w:rsidRPr="004251ED">
        <w:rPr>
          <w:rFonts w:asciiTheme="minorHAnsi" w:eastAsiaTheme="minorEastAsia" w:hAnsiTheme="minorHAnsi" w:cstheme="minorBidi"/>
          <w:color w:val="auto"/>
          <w:sz w:val="22"/>
          <w:szCs w:val="21"/>
        </w:rPr>
        <w:t>respond to income apportionment</w:t>
      </w:r>
      <w:r w:rsidR="00F2650B">
        <w:rPr>
          <w:rFonts w:asciiTheme="minorHAnsi" w:eastAsiaTheme="minorEastAsia" w:hAnsiTheme="minorHAnsi" w:cstheme="minorBidi"/>
          <w:color w:val="auto"/>
          <w:sz w:val="22"/>
          <w:szCs w:val="21"/>
        </w:rPr>
        <w:t>. This</w:t>
      </w:r>
      <w:r w:rsidRPr="004251ED">
        <w:rPr>
          <w:rFonts w:asciiTheme="minorHAnsi" w:eastAsiaTheme="minorEastAsia" w:hAnsiTheme="minorHAnsi" w:cstheme="minorBidi"/>
          <w:color w:val="auto"/>
          <w:sz w:val="22"/>
          <w:szCs w:val="21"/>
        </w:rPr>
        <w:t xml:space="preserve"> would mean the 160,000 debt activities paused due to income apportionment would continue </w:t>
      </w:r>
      <w:r w:rsidR="003F538B" w:rsidRPr="004251ED">
        <w:rPr>
          <w:rFonts w:asciiTheme="minorHAnsi" w:eastAsiaTheme="minorEastAsia" w:hAnsiTheme="minorHAnsi" w:cstheme="minorBidi"/>
          <w:color w:val="auto"/>
          <w:sz w:val="22"/>
          <w:szCs w:val="21"/>
        </w:rPr>
        <w:t>to be paused</w:t>
      </w:r>
      <w:r w:rsidR="00450840" w:rsidRPr="004251ED">
        <w:rPr>
          <w:rFonts w:asciiTheme="minorHAnsi" w:eastAsiaTheme="minorEastAsia" w:hAnsiTheme="minorHAnsi" w:cstheme="minorBidi"/>
          <w:color w:val="auto"/>
          <w:sz w:val="22"/>
          <w:szCs w:val="21"/>
        </w:rPr>
        <w:t>,</w:t>
      </w:r>
      <w:r w:rsidR="003F538B" w:rsidRPr="004251ED">
        <w:rPr>
          <w:rFonts w:asciiTheme="minorHAnsi" w:eastAsiaTheme="minorEastAsia" w:hAnsiTheme="minorHAnsi" w:cstheme="minorBidi"/>
          <w:color w:val="auto"/>
          <w:sz w:val="22"/>
          <w:szCs w:val="21"/>
        </w:rPr>
        <w:t xml:space="preserve"> </w:t>
      </w:r>
      <w:r w:rsidRPr="004251ED">
        <w:rPr>
          <w:rFonts w:asciiTheme="minorHAnsi" w:eastAsiaTheme="minorEastAsia" w:hAnsiTheme="minorHAnsi" w:cstheme="minorBidi"/>
          <w:color w:val="auto"/>
          <w:sz w:val="22"/>
          <w:szCs w:val="21"/>
        </w:rPr>
        <w:t xml:space="preserve">in perpetuity. Historical debt decisions using income apportionment would remain </w:t>
      </w:r>
      <w:r w:rsidR="0074353E" w:rsidRPr="004251ED">
        <w:rPr>
          <w:rFonts w:asciiTheme="minorHAnsi" w:eastAsiaTheme="minorEastAsia" w:hAnsiTheme="minorHAnsi" w:cstheme="minorBidi"/>
          <w:color w:val="auto"/>
          <w:sz w:val="22"/>
          <w:szCs w:val="21"/>
        </w:rPr>
        <w:t>unchanged.</w:t>
      </w:r>
      <w:r w:rsidR="00110B39">
        <w:rPr>
          <w:rFonts w:asciiTheme="minorHAnsi" w:eastAsiaTheme="minorEastAsia" w:hAnsiTheme="minorHAnsi" w:cstheme="minorBidi"/>
          <w:color w:val="auto"/>
          <w:sz w:val="22"/>
          <w:szCs w:val="21"/>
        </w:rPr>
        <w:t xml:space="preserve"> </w:t>
      </w:r>
    </w:p>
    <w:p w14:paraId="48BC93C9" w14:textId="335EBD72" w:rsidR="00934CCF" w:rsidRPr="004251ED" w:rsidRDefault="001254AB" w:rsidP="0012638D">
      <w:pPr>
        <w:pStyle w:val="Heading3"/>
        <w:spacing w:line="240" w:lineRule="auto"/>
      </w:pPr>
      <w:r w:rsidRPr="00F143D3">
        <w:t>The Chaplin decision and the need to act</w:t>
      </w:r>
      <w:r w:rsidRPr="004251ED">
        <w:t xml:space="preserve"> </w:t>
      </w:r>
    </w:p>
    <w:p w14:paraId="6A7FBC38" w14:textId="5BCE93DD" w:rsidR="007B464A" w:rsidRDefault="007B464A" w:rsidP="0012638D">
      <w:pPr>
        <w:spacing w:line="240" w:lineRule="auto"/>
        <w:rPr>
          <w:lang w:val="en-US"/>
        </w:rPr>
      </w:pPr>
      <w:r>
        <w:t xml:space="preserve">As outlined in Part 2, retaining the status quo in relation to income apportionment is not a defensible approach. The decision of </w:t>
      </w:r>
      <w:r w:rsidRPr="00FF4FB6">
        <w:rPr>
          <w:i/>
          <w:iCs/>
        </w:rPr>
        <w:t>Chaplin</w:t>
      </w:r>
      <w:r>
        <w:rPr>
          <w:i/>
          <w:iCs/>
        </w:rPr>
        <w:t xml:space="preserve"> </w:t>
      </w:r>
      <w:r>
        <w:t xml:space="preserve">brings further urgency to resolving this issue, given its significant implications for debts affected by this issue. </w:t>
      </w:r>
      <w:r>
        <w:rPr>
          <w:lang w:val="en-US"/>
        </w:rPr>
        <w:t xml:space="preserve">Doing nothing is not a feasible option. The </w:t>
      </w:r>
      <w:r w:rsidRPr="003C647A">
        <w:rPr>
          <w:i/>
          <w:iCs/>
          <w:lang w:val="en-US"/>
        </w:rPr>
        <w:t>Chaplin</w:t>
      </w:r>
      <w:r>
        <w:rPr>
          <w:lang w:val="en-US"/>
        </w:rPr>
        <w:t xml:space="preserve"> decision provides an interpretation of social security law, as it relates to calculating pre-December 2020 employment income debts, which is legally binding and incompatible with income apportionment. </w:t>
      </w:r>
      <w:r w:rsidRPr="003047F3">
        <w:rPr>
          <w:lang w:val="en-US"/>
        </w:rPr>
        <w:t>Doing nothing also means</w:t>
      </w:r>
      <w:r w:rsidRPr="003047F3" w:rsidDel="00EC0B8B">
        <w:rPr>
          <w:lang w:val="en-US"/>
        </w:rPr>
        <w:t xml:space="preserve"> </w:t>
      </w:r>
      <w:r w:rsidRPr="003047F3">
        <w:rPr>
          <w:lang w:val="en-US"/>
        </w:rPr>
        <w:t>there are ongoing delays and uncertainty for affected people and continued potential long-term costs and administrative imposts.</w:t>
      </w:r>
    </w:p>
    <w:p w14:paraId="41649C77" w14:textId="1F0B5DC7" w:rsidR="007B464A" w:rsidRPr="0072677E" w:rsidRDefault="007B464A" w:rsidP="0012638D">
      <w:pPr>
        <w:spacing w:line="240" w:lineRule="auto"/>
        <w:rPr>
          <w:lang w:val="en-US"/>
        </w:rPr>
      </w:pPr>
      <w:r>
        <w:rPr>
          <w:lang w:val="en-US"/>
        </w:rPr>
        <w:t xml:space="preserve">In response to the </w:t>
      </w:r>
      <w:r w:rsidRPr="0072677E">
        <w:rPr>
          <w:i/>
          <w:iCs/>
          <w:lang w:val="en-US"/>
        </w:rPr>
        <w:t>Chaplin</w:t>
      </w:r>
      <w:r w:rsidRPr="0072677E">
        <w:rPr>
          <w:lang w:val="en-US"/>
        </w:rPr>
        <w:t xml:space="preserve"> </w:t>
      </w:r>
      <w:r>
        <w:rPr>
          <w:lang w:val="en-US"/>
        </w:rPr>
        <w:t xml:space="preserve">decision, the Secretary </w:t>
      </w:r>
      <w:r w:rsidR="00EC0B8B">
        <w:rPr>
          <w:lang w:val="en-US"/>
        </w:rPr>
        <w:t xml:space="preserve">of DSS </w:t>
      </w:r>
      <w:r>
        <w:rPr>
          <w:lang w:val="en-US"/>
        </w:rPr>
        <w:t>released a statement that, n</w:t>
      </w:r>
      <w:r w:rsidRPr="0072677E">
        <w:rPr>
          <w:lang w:val="en-US"/>
        </w:rPr>
        <w:t>ow there is certainty to the legal position, assessment activities will re-commence in line with the Court’s decision and his obligations as Secretary.</w:t>
      </w:r>
    </w:p>
    <w:p w14:paraId="4BD35F31" w14:textId="101AD737" w:rsidR="007B464A" w:rsidRDefault="007B464A" w:rsidP="0012638D">
      <w:pPr>
        <w:pStyle w:val="CABParagraph"/>
        <w:rPr>
          <w:rFonts w:asciiTheme="minorHAnsi" w:eastAsiaTheme="minorEastAsia" w:hAnsiTheme="minorHAnsi"/>
          <w:szCs w:val="21"/>
          <w:lang w:val="en-US"/>
        </w:rPr>
      </w:pPr>
      <w:r>
        <w:rPr>
          <w:rFonts w:asciiTheme="minorHAnsi" w:eastAsiaTheme="minorEastAsia" w:hAnsiTheme="minorHAnsi"/>
          <w:szCs w:val="21"/>
          <w:lang w:val="en-US"/>
        </w:rPr>
        <w:t xml:space="preserve">To be consistent with the </w:t>
      </w:r>
      <w:r w:rsidRPr="009E28A3">
        <w:rPr>
          <w:rFonts w:asciiTheme="minorHAnsi" w:eastAsiaTheme="minorEastAsia" w:hAnsiTheme="minorHAnsi"/>
          <w:i/>
          <w:iCs/>
          <w:szCs w:val="21"/>
          <w:lang w:val="en-US"/>
        </w:rPr>
        <w:t>Chaplin</w:t>
      </w:r>
      <w:r>
        <w:rPr>
          <w:rFonts w:asciiTheme="minorHAnsi" w:eastAsiaTheme="minorEastAsia" w:hAnsiTheme="minorHAnsi"/>
          <w:szCs w:val="21"/>
          <w:lang w:val="en-US"/>
        </w:rPr>
        <w:t xml:space="preserve"> decision, Services Australia would need to</w:t>
      </w:r>
      <w:r w:rsidR="00AD15AC">
        <w:rPr>
          <w:rFonts w:asciiTheme="minorHAnsi" w:eastAsiaTheme="minorEastAsia" w:hAnsiTheme="minorHAnsi"/>
          <w:szCs w:val="21"/>
          <w:lang w:val="en-US"/>
        </w:rPr>
        <w:t xml:space="preserve"> take action to</w:t>
      </w:r>
      <w:r>
        <w:rPr>
          <w:rFonts w:asciiTheme="minorHAnsi" w:eastAsiaTheme="minorEastAsia" w:hAnsiTheme="minorHAnsi"/>
          <w:szCs w:val="21"/>
          <w:lang w:val="en-US"/>
        </w:rPr>
        <w:t xml:space="preserve"> investigate and recalculate the 160,000 debt</w:t>
      </w:r>
      <w:r w:rsidR="000E2D3C">
        <w:rPr>
          <w:rFonts w:asciiTheme="minorHAnsi" w:eastAsiaTheme="minorEastAsia" w:hAnsiTheme="minorHAnsi"/>
          <w:szCs w:val="21"/>
          <w:lang w:val="en-US"/>
        </w:rPr>
        <w:t xml:space="preserve"> activities that were paused</w:t>
      </w:r>
      <w:r>
        <w:rPr>
          <w:rFonts w:asciiTheme="minorHAnsi" w:eastAsiaTheme="minorEastAsia" w:hAnsiTheme="minorHAnsi"/>
          <w:szCs w:val="21"/>
          <w:lang w:val="en-US"/>
        </w:rPr>
        <w:t>.</w:t>
      </w:r>
    </w:p>
    <w:p w14:paraId="600C865F" w14:textId="45FEBCB6" w:rsidR="00627E04" w:rsidRDefault="00970F11" w:rsidP="0012638D">
      <w:pPr>
        <w:pStyle w:val="CABParagraph"/>
        <w:rPr>
          <w:rFonts w:asciiTheme="minorHAnsi" w:eastAsiaTheme="minorEastAsia" w:hAnsiTheme="minorHAnsi"/>
          <w:szCs w:val="21"/>
          <w:lang w:val="en-US"/>
        </w:rPr>
      </w:pPr>
      <w:r>
        <w:rPr>
          <w:rFonts w:asciiTheme="minorHAnsi" w:eastAsiaTheme="minorEastAsia" w:hAnsiTheme="minorHAnsi"/>
          <w:szCs w:val="21"/>
          <w:lang w:val="en-US"/>
        </w:rPr>
        <w:t>To adequately consider options for resolving historical debts calculated using income apportionment</w:t>
      </w:r>
      <w:r w:rsidR="00627E04" w:rsidDel="00EC0B8B">
        <w:rPr>
          <w:rFonts w:asciiTheme="minorHAnsi" w:eastAsiaTheme="minorEastAsia" w:hAnsiTheme="minorHAnsi"/>
          <w:szCs w:val="21"/>
          <w:lang w:val="en-US"/>
        </w:rPr>
        <w:t xml:space="preserve"> </w:t>
      </w:r>
      <w:r w:rsidR="00627E04">
        <w:rPr>
          <w:rFonts w:asciiTheme="minorHAnsi" w:eastAsiaTheme="minorEastAsia" w:hAnsiTheme="minorHAnsi"/>
          <w:szCs w:val="21"/>
          <w:lang w:val="en-US"/>
        </w:rPr>
        <w:t>t</w:t>
      </w:r>
      <w:r w:rsidR="005E2306">
        <w:rPr>
          <w:rFonts w:asciiTheme="minorHAnsi" w:eastAsiaTheme="minorEastAsia" w:hAnsiTheme="minorHAnsi"/>
          <w:szCs w:val="21"/>
          <w:lang w:val="en-US"/>
        </w:rPr>
        <w:t>his impact analysis considers</w:t>
      </w:r>
      <w:r w:rsidR="00322044">
        <w:rPr>
          <w:rFonts w:asciiTheme="minorHAnsi" w:eastAsiaTheme="minorEastAsia" w:hAnsiTheme="minorHAnsi"/>
          <w:szCs w:val="21"/>
          <w:lang w:val="en-US"/>
        </w:rPr>
        <w:t xml:space="preserve"> the following options</w:t>
      </w:r>
      <w:r w:rsidR="005E2306">
        <w:rPr>
          <w:rFonts w:asciiTheme="minorHAnsi" w:eastAsiaTheme="minorEastAsia" w:hAnsiTheme="minorHAnsi"/>
          <w:szCs w:val="21"/>
          <w:lang w:val="en-US"/>
        </w:rPr>
        <w:t>:</w:t>
      </w:r>
    </w:p>
    <w:p w14:paraId="62B97ACD" w14:textId="346CA594" w:rsidR="005E2306" w:rsidRDefault="00322044" w:rsidP="0012638D">
      <w:pPr>
        <w:pStyle w:val="CABParagraph"/>
        <w:numPr>
          <w:ilvl w:val="0"/>
          <w:numId w:val="45"/>
        </w:numPr>
        <w:rPr>
          <w:rFonts w:asciiTheme="minorHAnsi" w:eastAsiaTheme="minorEastAsia" w:hAnsiTheme="minorHAnsi"/>
          <w:szCs w:val="21"/>
          <w:lang w:val="en-US"/>
        </w:rPr>
      </w:pPr>
      <w:r>
        <w:rPr>
          <w:rFonts w:asciiTheme="minorHAnsi" w:eastAsiaTheme="minorEastAsia" w:hAnsiTheme="minorHAnsi"/>
          <w:szCs w:val="21"/>
          <w:lang w:val="en-US"/>
        </w:rPr>
        <w:t>Waiving all potentially affected debts</w:t>
      </w:r>
    </w:p>
    <w:p w14:paraId="046C1C4D" w14:textId="4718E81F" w:rsidR="00322044" w:rsidRDefault="00322044" w:rsidP="0012638D">
      <w:pPr>
        <w:pStyle w:val="CABParagraph"/>
        <w:numPr>
          <w:ilvl w:val="0"/>
          <w:numId w:val="45"/>
        </w:numPr>
        <w:rPr>
          <w:rFonts w:asciiTheme="minorHAnsi" w:eastAsiaTheme="minorEastAsia" w:hAnsiTheme="minorHAnsi"/>
          <w:szCs w:val="21"/>
          <w:lang w:val="en-US"/>
        </w:rPr>
      </w:pPr>
      <w:r>
        <w:rPr>
          <w:rFonts w:asciiTheme="minorHAnsi" w:eastAsiaTheme="minorEastAsia" w:hAnsiTheme="minorHAnsi"/>
          <w:szCs w:val="21"/>
          <w:lang w:val="en-US"/>
        </w:rPr>
        <w:t>Identifying and recalculating all affected debts</w:t>
      </w:r>
    </w:p>
    <w:p w14:paraId="1CB734B7" w14:textId="2AB2F8DD" w:rsidR="00117E93" w:rsidRPr="004251ED" w:rsidRDefault="005938D5" w:rsidP="0012638D">
      <w:pPr>
        <w:pStyle w:val="CABParagraph"/>
        <w:numPr>
          <w:ilvl w:val="0"/>
          <w:numId w:val="45"/>
        </w:numPr>
        <w:rPr>
          <w:lang w:val="en-US"/>
        </w:rPr>
      </w:pPr>
      <w:r>
        <w:rPr>
          <w:rFonts w:asciiTheme="minorHAnsi" w:eastAsiaTheme="minorEastAsia" w:hAnsiTheme="minorHAnsi"/>
          <w:szCs w:val="21"/>
          <w:lang w:val="en-US"/>
        </w:rPr>
        <w:t xml:space="preserve">Retrospectively validating income </w:t>
      </w:r>
      <w:r w:rsidR="00F862A9">
        <w:rPr>
          <w:rFonts w:asciiTheme="minorHAnsi" w:eastAsiaTheme="minorEastAsia" w:hAnsiTheme="minorHAnsi"/>
          <w:szCs w:val="21"/>
          <w:lang w:val="en-US"/>
        </w:rPr>
        <w:t>apportionment</w:t>
      </w:r>
    </w:p>
    <w:p w14:paraId="7C9C4787" w14:textId="218DC06F" w:rsidR="00B20789" w:rsidRPr="004251ED" w:rsidRDefault="00A81385" w:rsidP="0012638D">
      <w:pPr>
        <w:pStyle w:val="CABParagraph"/>
        <w:numPr>
          <w:ilvl w:val="0"/>
          <w:numId w:val="45"/>
        </w:numPr>
        <w:rPr>
          <w:lang w:val="en-US"/>
        </w:rPr>
      </w:pPr>
      <w:r w:rsidRPr="004251ED">
        <w:rPr>
          <w:rFonts w:asciiTheme="minorHAnsi" w:eastAsiaTheme="minorEastAsia" w:hAnsiTheme="minorHAnsi"/>
          <w:szCs w:val="21"/>
          <w:lang w:val="en-US"/>
        </w:rPr>
        <w:t>Retrospectively validating income apportionment</w:t>
      </w:r>
      <w:r w:rsidR="00F862A9" w:rsidRPr="004251ED">
        <w:rPr>
          <w:rFonts w:asciiTheme="minorHAnsi" w:eastAsiaTheme="minorEastAsia" w:hAnsiTheme="minorHAnsi"/>
          <w:szCs w:val="21"/>
          <w:lang w:val="en-US"/>
        </w:rPr>
        <w:t>,</w:t>
      </w:r>
      <w:r w:rsidRPr="004251ED">
        <w:rPr>
          <w:rFonts w:asciiTheme="minorHAnsi" w:eastAsiaTheme="minorEastAsia" w:hAnsiTheme="minorHAnsi"/>
          <w:szCs w:val="21"/>
          <w:lang w:val="en-US"/>
        </w:rPr>
        <w:t xml:space="preserve"> and a</w:t>
      </w:r>
      <w:r w:rsidR="00B20789" w:rsidRPr="004251ED">
        <w:rPr>
          <w:rFonts w:asciiTheme="minorHAnsi" w:eastAsiaTheme="minorEastAsia" w:hAnsiTheme="minorHAnsi"/>
          <w:szCs w:val="21"/>
          <w:lang w:val="en-US"/>
        </w:rPr>
        <w:t xml:space="preserve"> partial waiver of debts subject to </w:t>
      </w:r>
      <w:r w:rsidRPr="004251ED">
        <w:rPr>
          <w:rFonts w:asciiTheme="minorHAnsi" w:eastAsiaTheme="minorEastAsia" w:hAnsiTheme="minorHAnsi"/>
          <w:szCs w:val="21"/>
          <w:lang w:val="en-US"/>
        </w:rPr>
        <w:t xml:space="preserve">the </w:t>
      </w:r>
      <w:r w:rsidR="00B20789" w:rsidRPr="004251ED">
        <w:rPr>
          <w:rFonts w:asciiTheme="minorHAnsi" w:eastAsiaTheme="minorEastAsia" w:hAnsiTheme="minorHAnsi"/>
          <w:szCs w:val="21"/>
          <w:lang w:val="en-US"/>
        </w:rPr>
        <w:t>income apportionment-related pauses</w:t>
      </w:r>
    </w:p>
    <w:p w14:paraId="5563BCF3" w14:textId="184501CA" w:rsidR="00B20789" w:rsidRPr="00584A4A" w:rsidRDefault="00A81385" w:rsidP="0012638D">
      <w:pPr>
        <w:pStyle w:val="CABParagraph"/>
        <w:numPr>
          <w:ilvl w:val="0"/>
          <w:numId w:val="45"/>
        </w:numPr>
        <w:rPr>
          <w:rFonts w:asciiTheme="minorHAnsi" w:eastAsiaTheme="minorEastAsia" w:hAnsiTheme="minorHAnsi"/>
          <w:szCs w:val="21"/>
          <w:lang w:val="en-US"/>
        </w:rPr>
      </w:pPr>
      <w:r w:rsidRPr="00584A4A">
        <w:rPr>
          <w:rFonts w:asciiTheme="minorHAnsi" w:eastAsiaTheme="minorEastAsia" w:hAnsiTheme="minorHAnsi"/>
          <w:szCs w:val="21"/>
          <w:lang w:val="en-US"/>
        </w:rPr>
        <w:t>Retrospectively validating income apportionment</w:t>
      </w:r>
      <w:r w:rsidR="00F862A9" w:rsidRPr="00584A4A">
        <w:rPr>
          <w:rFonts w:asciiTheme="minorHAnsi" w:eastAsiaTheme="minorEastAsia" w:hAnsiTheme="minorHAnsi"/>
          <w:szCs w:val="21"/>
          <w:lang w:val="en-US"/>
        </w:rPr>
        <w:t>,</w:t>
      </w:r>
      <w:r w:rsidRPr="00584A4A">
        <w:rPr>
          <w:rFonts w:asciiTheme="minorHAnsi" w:eastAsiaTheme="minorEastAsia" w:hAnsiTheme="minorHAnsi"/>
          <w:szCs w:val="21"/>
          <w:lang w:val="en-US"/>
        </w:rPr>
        <w:t xml:space="preserve"> </w:t>
      </w:r>
      <w:r w:rsidR="00E0728B" w:rsidRPr="00584A4A">
        <w:rPr>
          <w:rFonts w:asciiTheme="minorHAnsi" w:eastAsiaTheme="minorEastAsia" w:hAnsiTheme="minorHAnsi"/>
          <w:szCs w:val="21"/>
          <w:lang w:val="en-US"/>
        </w:rPr>
        <w:t>and a</w:t>
      </w:r>
      <w:r w:rsidR="00B313BA">
        <w:rPr>
          <w:rFonts w:asciiTheme="minorHAnsi" w:eastAsiaTheme="minorEastAsia" w:hAnsiTheme="minorHAnsi"/>
          <w:szCs w:val="21"/>
          <w:lang w:val="en-US"/>
        </w:rPr>
        <w:t xml:space="preserve"> </w:t>
      </w:r>
      <w:r w:rsidR="00135693">
        <w:rPr>
          <w:rFonts w:asciiTheme="minorHAnsi" w:eastAsiaTheme="minorEastAsia" w:hAnsiTheme="minorHAnsi"/>
          <w:szCs w:val="21"/>
          <w:lang w:val="en-US"/>
        </w:rPr>
        <w:t>resolution scheme</w:t>
      </w:r>
      <w:r w:rsidR="00B20789" w:rsidRPr="00584A4A">
        <w:rPr>
          <w:rFonts w:asciiTheme="minorHAnsi" w:eastAsiaTheme="minorEastAsia" w:hAnsiTheme="minorHAnsi"/>
          <w:szCs w:val="21"/>
          <w:lang w:val="en-US"/>
        </w:rPr>
        <w:t xml:space="preserve"> </w:t>
      </w:r>
      <w:r w:rsidR="00E0728B" w:rsidRPr="00584A4A">
        <w:rPr>
          <w:rFonts w:asciiTheme="minorHAnsi" w:eastAsiaTheme="minorEastAsia" w:hAnsiTheme="minorHAnsi"/>
          <w:szCs w:val="21"/>
          <w:lang w:val="en-US"/>
        </w:rPr>
        <w:t>for those affected.</w:t>
      </w:r>
    </w:p>
    <w:p w14:paraId="033ADBD4" w14:textId="1B30381B" w:rsidR="00A05575" w:rsidRDefault="00A05575" w:rsidP="0012638D">
      <w:pPr>
        <w:pStyle w:val="Heading2"/>
      </w:pPr>
      <w:bookmarkStart w:id="30" w:name="_Toc207097806"/>
      <w:r>
        <w:t>3.</w:t>
      </w:r>
      <w:r w:rsidR="008A3D50">
        <w:t>2</w:t>
      </w:r>
      <w:r w:rsidR="00AA5394">
        <w:t xml:space="preserve"> </w:t>
      </w:r>
      <w:r w:rsidR="007E2B7B">
        <w:t>W</w:t>
      </w:r>
      <w:r>
        <w:t>aive all potentially affected debts</w:t>
      </w:r>
      <w:bookmarkEnd w:id="30"/>
    </w:p>
    <w:p w14:paraId="13860391" w14:textId="660F0B85" w:rsidR="00471DF0" w:rsidRDefault="00521BB5" w:rsidP="0012638D">
      <w:pPr>
        <w:spacing w:line="240" w:lineRule="auto"/>
        <w:rPr>
          <w:lang w:val="en-US"/>
        </w:rPr>
      </w:pPr>
      <w:r w:rsidRPr="00C7202F">
        <w:rPr>
          <w:lang w:val="en-US"/>
        </w:rPr>
        <w:t xml:space="preserve">In this option </w:t>
      </w:r>
      <w:r w:rsidR="00C32E47" w:rsidRPr="00C7202F">
        <w:rPr>
          <w:lang w:val="en-US"/>
        </w:rPr>
        <w:t xml:space="preserve">the </w:t>
      </w:r>
      <w:r w:rsidR="003F2924" w:rsidRPr="00C7202F">
        <w:rPr>
          <w:lang w:val="en-US"/>
        </w:rPr>
        <w:t>Government would</w:t>
      </w:r>
      <w:r w:rsidR="00F513EE" w:rsidRPr="00C7202F">
        <w:rPr>
          <w:lang w:val="en-US"/>
        </w:rPr>
        <w:t xml:space="preserve"> </w:t>
      </w:r>
      <w:r w:rsidR="003F2924" w:rsidRPr="00C7202F">
        <w:rPr>
          <w:lang w:val="en-US"/>
        </w:rPr>
        <w:t>waiv</w:t>
      </w:r>
      <w:r w:rsidR="00037A39" w:rsidRPr="00C7202F">
        <w:rPr>
          <w:lang w:val="en-US"/>
        </w:rPr>
        <w:t>e</w:t>
      </w:r>
      <w:r w:rsidR="003F2924" w:rsidRPr="00C7202F">
        <w:rPr>
          <w:lang w:val="en-US"/>
        </w:rPr>
        <w:t xml:space="preserve"> all potentially affected debts</w:t>
      </w:r>
      <w:r w:rsidR="006C2919">
        <w:rPr>
          <w:lang w:val="en-US"/>
        </w:rPr>
        <w:t xml:space="preserve">. </w:t>
      </w:r>
      <w:r w:rsidR="00D30E2B">
        <w:rPr>
          <w:lang w:val="en-US"/>
        </w:rPr>
        <w:t>Waiving</w:t>
      </w:r>
      <w:r w:rsidR="00370C1E" w:rsidRPr="00370C1E">
        <w:rPr>
          <w:lang w:val="en-US"/>
        </w:rPr>
        <w:t xml:space="preserve"> </w:t>
      </w:r>
      <w:r w:rsidR="00CE6FA4">
        <w:rPr>
          <w:lang w:val="en-US"/>
        </w:rPr>
        <w:t>means</w:t>
      </w:r>
      <w:r w:rsidR="00CE6FA4" w:rsidRPr="00370C1E">
        <w:rPr>
          <w:lang w:val="en-US"/>
        </w:rPr>
        <w:t xml:space="preserve"> </w:t>
      </w:r>
      <w:r w:rsidR="00D85FE7">
        <w:rPr>
          <w:lang w:val="en-US"/>
        </w:rPr>
        <w:t>the Government forfeiting its right to recover the debt</w:t>
      </w:r>
      <w:r w:rsidR="00370C1E" w:rsidRPr="00370C1E">
        <w:rPr>
          <w:lang w:val="en-US"/>
        </w:rPr>
        <w:t xml:space="preserve">. </w:t>
      </w:r>
    </w:p>
    <w:p w14:paraId="6275780E" w14:textId="248E4E8E" w:rsidR="00A05575" w:rsidRDefault="00370C1E" w:rsidP="0012638D">
      <w:pPr>
        <w:spacing w:line="240" w:lineRule="auto"/>
        <w:rPr>
          <w:lang w:val="en-US"/>
        </w:rPr>
      </w:pPr>
      <w:r w:rsidRPr="00370C1E">
        <w:rPr>
          <w:lang w:val="en-US"/>
        </w:rPr>
        <w:lastRenderedPageBreak/>
        <w:t xml:space="preserve">All amounts paid toward </w:t>
      </w:r>
      <w:r w:rsidR="00471DF0">
        <w:rPr>
          <w:lang w:val="en-US"/>
        </w:rPr>
        <w:t xml:space="preserve">a potentially affected </w:t>
      </w:r>
      <w:r w:rsidRPr="00370C1E">
        <w:rPr>
          <w:lang w:val="en-US"/>
        </w:rPr>
        <w:t xml:space="preserve">debt would be refunded. </w:t>
      </w:r>
      <w:r w:rsidR="00471DF0">
        <w:rPr>
          <w:lang w:val="en-US"/>
        </w:rPr>
        <w:t>Recovery of outstanding debts (which has been paused) would no longer be pursued.</w:t>
      </w:r>
    </w:p>
    <w:p w14:paraId="608E9EDD" w14:textId="336BF17D" w:rsidR="00F2210E" w:rsidRDefault="00FC02F0" w:rsidP="0012638D">
      <w:pPr>
        <w:spacing w:line="240" w:lineRule="auto"/>
      </w:pPr>
      <w:r>
        <w:t>T</w:t>
      </w:r>
      <w:r w:rsidR="007C016E">
        <w:t xml:space="preserve">here are </w:t>
      </w:r>
      <w:r w:rsidR="009F5F1F">
        <w:t>around 5.5 million debts potentially affected by income apportionment</w:t>
      </w:r>
      <w:r w:rsidR="00C96BBC">
        <w:t xml:space="preserve"> and </w:t>
      </w:r>
      <w:r w:rsidR="009F5F1F">
        <w:t>9</w:t>
      </w:r>
      <w:r w:rsidR="00D30E2B">
        <w:t>7</w:t>
      </w:r>
      <w:r w:rsidR="009F5F1F">
        <w:t xml:space="preserve">% of these </w:t>
      </w:r>
      <w:r w:rsidR="00FB12B6">
        <w:t xml:space="preserve">have </w:t>
      </w:r>
      <w:r w:rsidR="009F5F1F">
        <w:t xml:space="preserve">already </w:t>
      </w:r>
      <w:r w:rsidR="00FB12B6">
        <w:t xml:space="preserve">been </w:t>
      </w:r>
      <w:r w:rsidR="009F5F1F">
        <w:t>repaid</w:t>
      </w:r>
      <w:r w:rsidR="007C016E">
        <w:t xml:space="preserve">. </w:t>
      </w:r>
      <w:r w:rsidR="00AF2215">
        <w:t>W</w:t>
      </w:r>
      <w:r w:rsidR="009F5F1F">
        <w:t>aiv</w:t>
      </w:r>
      <w:r w:rsidR="00471DF0">
        <w:t>ing</w:t>
      </w:r>
      <w:r w:rsidR="009F5F1F" w:rsidRPr="009F5F1F">
        <w:t xml:space="preserve"> </w:t>
      </w:r>
      <w:r w:rsidR="009F5F1F">
        <w:t xml:space="preserve">and </w:t>
      </w:r>
      <w:r w:rsidR="009F5F1F" w:rsidRPr="009F5F1F">
        <w:t xml:space="preserve">refunding </w:t>
      </w:r>
      <w:r w:rsidR="00471DF0">
        <w:t xml:space="preserve">all </w:t>
      </w:r>
      <w:r w:rsidR="007A2F47">
        <w:t>pote</w:t>
      </w:r>
      <w:r w:rsidR="00E746CA">
        <w:t xml:space="preserve">ntially </w:t>
      </w:r>
      <w:r w:rsidR="00FB12B6">
        <w:t xml:space="preserve">affected </w:t>
      </w:r>
      <w:r w:rsidR="009F5F1F" w:rsidRPr="009F5F1F">
        <w:t xml:space="preserve">debts </w:t>
      </w:r>
      <w:r w:rsidR="009F5F1F" w:rsidDel="00EC0B8B">
        <w:t xml:space="preserve">would </w:t>
      </w:r>
      <w:r w:rsidR="00B94418">
        <w:t xml:space="preserve">entail waiving </w:t>
      </w:r>
      <w:r w:rsidR="005924D4">
        <w:t xml:space="preserve">some </w:t>
      </w:r>
      <w:r w:rsidR="00B94418">
        <w:t xml:space="preserve">debts which </w:t>
      </w:r>
      <w:r>
        <w:t>we</w:t>
      </w:r>
      <w:r w:rsidR="00B94418">
        <w:t>re actually lower due to income apportionment</w:t>
      </w:r>
      <w:r w:rsidR="00EB782D">
        <w:t xml:space="preserve"> (sampling indicates </w:t>
      </w:r>
      <w:r w:rsidR="00EB782D" w:rsidRPr="00E37DC0">
        <w:t>around 31% of debts affected by income apportionment would be higher if recalculated</w:t>
      </w:r>
      <w:r w:rsidR="00EB782D">
        <w:t>)</w:t>
      </w:r>
      <w:r w:rsidR="00B94418">
        <w:t xml:space="preserve">, </w:t>
      </w:r>
      <w:r w:rsidR="007C016E">
        <w:t xml:space="preserve">and </w:t>
      </w:r>
      <w:r w:rsidR="005924D4">
        <w:t xml:space="preserve">other </w:t>
      </w:r>
      <w:r w:rsidR="00B94418">
        <w:t>debts which are unaffected by the issue</w:t>
      </w:r>
      <w:r w:rsidR="007C016E">
        <w:t xml:space="preserve"> (sampling indicates around </w:t>
      </w:r>
      <w:r w:rsidR="00471DF0">
        <w:t>37</w:t>
      </w:r>
      <w:r w:rsidR="007C016E">
        <w:t xml:space="preserve">% of potentially affected debts are </w:t>
      </w:r>
      <w:r w:rsidR="00471DF0">
        <w:t xml:space="preserve">not </w:t>
      </w:r>
      <w:r w:rsidR="007C016E">
        <w:t>actually affected)</w:t>
      </w:r>
      <w:r w:rsidR="00B94418">
        <w:t xml:space="preserve">. </w:t>
      </w:r>
    </w:p>
    <w:p w14:paraId="4C64B18B" w14:textId="3DB65410" w:rsidR="00471DF0" w:rsidRDefault="00EC0B8B" w:rsidP="0012638D">
      <w:pPr>
        <w:spacing w:line="240" w:lineRule="auto"/>
      </w:pPr>
      <w:r>
        <w:t xml:space="preserve">It would </w:t>
      </w:r>
      <w:r w:rsidR="005924D4">
        <w:t>have a</w:t>
      </w:r>
      <w:r>
        <w:t xml:space="preserve"> </w:t>
      </w:r>
      <w:r w:rsidRPr="009F5F1F">
        <w:t>very high cost</w:t>
      </w:r>
      <w:r w:rsidR="00F2210E">
        <w:t>. W</w:t>
      </w:r>
      <w:r w:rsidR="00861C5E">
        <w:t xml:space="preserve">aiving all </w:t>
      </w:r>
      <w:r w:rsidR="00471DF0">
        <w:t xml:space="preserve">potentially affected </w:t>
      </w:r>
      <w:r w:rsidR="00861C5E">
        <w:t>debts</w:t>
      </w:r>
      <w:r w:rsidR="00F2210E">
        <w:t xml:space="preserve"> would </w:t>
      </w:r>
      <w:r w:rsidR="00861C5E">
        <w:t xml:space="preserve">necessarily include </w:t>
      </w:r>
      <w:r w:rsidR="008035B1">
        <w:t xml:space="preserve">waiving and refunding a </w:t>
      </w:r>
      <w:r w:rsidR="00C32E47">
        <w:t xml:space="preserve">large </w:t>
      </w:r>
      <w:r w:rsidR="008035B1">
        <w:t xml:space="preserve">proportion of </w:t>
      </w:r>
      <w:r w:rsidR="00471DF0">
        <w:t xml:space="preserve">people </w:t>
      </w:r>
      <w:r w:rsidR="00C32E47">
        <w:t xml:space="preserve">who </w:t>
      </w:r>
      <w:r w:rsidR="005924D4">
        <w:t xml:space="preserve">would still </w:t>
      </w:r>
      <w:r w:rsidR="00C32E47">
        <w:t>have a social security debt</w:t>
      </w:r>
      <w:r w:rsidR="005924D4">
        <w:t xml:space="preserve"> if calculated using a different methodology</w:t>
      </w:r>
      <w:r w:rsidR="00471DF0">
        <w:t>. S</w:t>
      </w:r>
      <w:r w:rsidR="00D70258">
        <w:t>ampling</w:t>
      </w:r>
      <w:r w:rsidR="007C016E">
        <w:t xml:space="preserve"> found that in </w:t>
      </w:r>
      <w:r w:rsidR="00253E24">
        <w:t xml:space="preserve">over 90% of </w:t>
      </w:r>
      <w:r w:rsidR="007C016E">
        <w:t>instances, even without income apportionment applied, a debt would still exist</w:t>
      </w:r>
      <w:r w:rsidR="00F2210E">
        <w:t>.</w:t>
      </w:r>
    </w:p>
    <w:p w14:paraId="21C7D832" w14:textId="32F60310" w:rsidR="009F5F1F" w:rsidRDefault="007E2B7B" w:rsidP="0012638D">
      <w:pPr>
        <w:spacing w:line="240" w:lineRule="auto"/>
      </w:pPr>
      <w:r>
        <w:t xml:space="preserve">Australia’s social security system is funded </w:t>
      </w:r>
      <w:r w:rsidR="00471DF0">
        <w:t xml:space="preserve">by taxpayers </w:t>
      </w:r>
      <w:r>
        <w:t xml:space="preserve">from general revenue, and if a </w:t>
      </w:r>
      <w:r w:rsidR="00861C5E">
        <w:t>social security</w:t>
      </w:r>
      <w:r>
        <w:t xml:space="preserve"> recipient is overpaid, </w:t>
      </w:r>
      <w:r w:rsidR="00827F9C">
        <w:t xml:space="preserve">Government has a legislative obligation to </w:t>
      </w:r>
      <w:r w:rsidR="00C7501B">
        <w:t>recover</w:t>
      </w:r>
      <w:r w:rsidR="00827F9C">
        <w:t xml:space="preserve"> those amounts</w:t>
      </w:r>
      <w:r w:rsidR="00861C5E">
        <w:t xml:space="preserve">. Allowing recipients to avoid this obligation </w:t>
      </w:r>
      <w:r w:rsidR="00CF3F8C">
        <w:t xml:space="preserve">through a debt waiver </w:t>
      </w:r>
      <w:r w:rsidR="00861C5E">
        <w:t>would create equity issues for those who have had debts unaffected by income apportionment, as well as other income support recipients who have complied with their obligations and have not received overpayments.</w:t>
      </w:r>
      <w:r w:rsidR="00C32E47" w:rsidRPr="00C32E47">
        <w:t xml:space="preserve"> </w:t>
      </w:r>
    </w:p>
    <w:p w14:paraId="277FF267" w14:textId="35483CFB" w:rsidR="006A2DF8" w:rsidRDefault="00F2210E" w:rsidP="00F2210E">
      <w:pPr>
        <w:spacing w:line="240" w:lineRule="auto"/>
      </w:pPr>
      <w:r>
        <w:t xml:space="preserve">Waiving and refunding potentially affected debts would </w:t>
      </w:r>
      <w:r w:rsidR="006A2DF8">
        <w:t>also have significant service delivery</w:t>
      </w:r>
      <w:r w:rsidR="006A2DF8" w:rsidRPr="009F5F1F">
        <w:t xml:space="preserve"> </w:t>
      </w:r>
      <w:r w:rsidR="006A2DF8">
        <w:t>impacts, due to the necessary diversion of Services Australia expertise.</w:t>
      </w:r>
    </w:p>
    <w:p w14:paraId="5921740A" w14:textId="0C29A846" w:rsidR="00D70258" w:rsidRPr="00370C1E" w:rsidRDefault="00F2210E" w:rsidP="0012638D">
      <w:pPr>
        <w:spacing w:line="240" w:lineRule="auto"/>
        <w:rPr>
          <w:lang w:val="en-US"/>
        </w:rPr>
      </w:pPr>
      <w:r>
        <w:rPr>
          <w:lang w:val="en-US"/>
        </w:rPr>
        <w:t xml:space="preserve">It </w:t>
      </w:r>
      <w:r w:rsidR="005924D4">
        <w:rPr>
          <w:lang w:val="en-US"/>
        </w:rPr>
        <w:t>require</w:t>
      </w:r>
      <w:r>
        <w:rPr>
          <w:lang w:val="en-US"/>
        </w:rPr>
        <w:t>s</w:t>
      </w:r>
      <w:r w:rsidR="005924D4">
        <w:rPr>
          <w:lang w:val="en-US"/>
        </w:rPr>
        <w:t xml:space="preserve"> </w:t>
      </w:r>
      <w:r w:rsidR="00D70258">
        <w:rPr>
          <w:lang w:val="en-US"/>
        </w:rPr>
        <w:t xml:space="preserve">legislative change. </w:t>
      </w:r>
    </w:p>
    <w:p w14:paraId="476CDF99" w14:textId="006B20A5" w:rsidR="007E2B7B" w:rsidRPr="007E2B7B" w:rsidRDefault="00A05575" w:rsidP="0012638D">
      <w:pPr>
        <w:pStyle w:val="Heading2"/>
      </w:pPr>
      <w:bookmarkStart w:id="31" w:name="_Toc207097807"/>
      <w:r>
        <w:t>3.</w:t>
      </w:r>
      <w:r w:rsidR="008A3D50">
        <w:t>3</w:t>
      </w:r>
      <w:r w:rsidR="00AA5394">
        <w:t xml:space="preserve"> </w:t>
      </w:r>
      <w:r w:rsidR="007E2B7B">
        <w:t>I</w:t>
      </w:r>
      <w:r w:rsidR="00E61018">
        <w:t xml:space="preserve">dentify and </w:t>
      </w:r>
      <w:r w:rsidR="00B97E25">
        <w:t>r</w:t>
      </w:r>
      <w:r>
        <w:t>ecalculate all affected debts</w:t>
      </w:r>
      <w:bookmarkEnd w:id="31"/>
    </w:p>
    <w:p w14:paraId="06BA04E1" w14:textId="314D952A" w:rsidR="0003133F" w:rsidRDefault="003F2924" w:rsidP="0012638D">
      <w:pPr>
        <w:spacing w:line="240" w:lineRule="auto"/>
      </w:pPr>
      <w:r>
        <w:rPr>
          <w:lang w:val="en-US"/>
        </w:rPr>
        <w:t>In this option</w:t>
      </w:r>
      <w:r w:rsidR="00471DF0">
        <w:rPr>
          <w:lang w:val="en-US"/>
        </w:rPr>
        <w:t>,</w:t>
      </w:r>
      <w:r>
        <w:rPr>
          <w:lang w:val="en-US"/>
        </w:rPr>
        <w:t xml:space="preserve"> the Government would identify and recalculat</w:t>
      </w:r>
      <w:r w:rsidR="007E2B7B">
        <w:rPr>
          <w:lang w:val="en-US"/>
        </w:rPr>
        <w:t xml:space="preserve">e all </w:t>
      </w:r>
      <w:r>
        <w:rPr>
          <w:lang w:val="en-US"/>
        </w:rPr>
        <w:t>debts affected by income apportionment</w:t>
      </w:r>
      <w:r w:rsidRPr="00370C1E">
        <w:rPr>
          <w:lang w:val="en-US"/>
        </w:rPr>
        <w:t>.</w:t>
      </w:r>
      <w:r w:rsidR="00B948E2">
        <w:t xml:space="preserve"> T</w:t>
      </w:r>
      <w:r w:rsidR="007E2B7B">
        <w:t>hese</w:t>
      </w:r>
      <w:r w:rsidR="00B948E2">
        <w:t xml:space="preserve"> debts would be recalculat</w:t>
      </w:r>
      <w:r w:rsidR="00EB735B">
        <w:t xml:space="preserve">ed </w:t>
      </w:r>
      <w:r w:rsidR="00B948E2">
        <w:t>consistent with</w:t>
      </w:r>
      <w:r w:rsidR="007E2B7B">
        <w:t xml:space="preserve"> the method endorsed by the </w:t>
      </w:r>
      <w:r w:rsidR="00406DD5">
        <w:rPr>
          <w:i/>
          <w:iCs/>
        </w:rPr>
        <w:t>Chaplin</w:t>
      </w:r>
      <w:r w:rsidR="007E2B7B">
        <w:rPr>
          <w:i/>
          <w:iCs/>
        </w:rPr>
        <w:t xml:space="preserve"> </w:t>
      </w:r>
      <w:r w:rsidR="007E2B7B">
        <w:t>decision</w:t>
      </w:r>
      <w:r w:rsidR="0003133F" w:rsidRPr="00B251CF">
        <w:t>. This would ensure the comprehensive</w:t>
      </w:r>
      <w:r w:rsidR="00C8539E">
        <w:t xml:space="preserve"> and correct</w:t>
      </w:r>
      <w:r w:rsidR="0003133F" w:rsidRPr="00B251CF">
        <w:t xml:space="preserve"> application of the social security law as</w:t>
      </w:r>
      <w:r w:rsidR="00B82C5D">
        <w:t xml:space="preserve"> </w:t>
      </w:r>
      <w:r w:rsidR="00A02656">
        <w:t>it</w:t>
      </w:r>
      <w:r w:rsidR="007C016E">
        <w:t xml:space="preserve"> </w:t>
      </w:r>
      <w:r w:rsidR="00920CDA">
        <w:t xml:space="preserve">should </w:t>
      </w:r>
      <w:r w:rsidR="007C016E">
        <w:t xml:space="preserve">have </w:t>
      </w:r>
      <w:r w:rsidR="0003133F" w:rsidRPr="00B251CF">
        <w:t>applied prior to 7</w:t>
      </w:r>
      <w:r w:rsidR="00284B23">
        <w:t> </w:t>
      </w:r>
      <w:r w:rsidR="0003133F" w:rsidRPr="00B251CF">
        <w:t>December 2020</w:t>
      </w:r>
      <w:r w:rsidR="007C016E">
        <w:t xml:space="preserve">. </w:t>
      </w:r>
    </w:p>
    <w:p w14:paraId="63BB7F72" w14:textId="59E1FB77" w:rsidR="00405232" w:rsidRDefault="0003133F" w:rsidP="0012638D">
      <w:pPr>
        <w:spacing w:line="240" w:lineRule="auto"/>
      </w:pPr>
      <w:r>
        <w:t>Under this option</w:t>
      </w:r>
      <w:r w:rsidR="00AA0BAF">
        <w:t xml:space="preserve"> the 5.5 million debts potentially </w:t>
      </w:r>
      <w:r w:rsidR="00D30E2B">
        <w:t>impacted by</w:t>
      </w:r>
      <w:r>
        <w:t xml:space="preserve"> income apportion</w:t>
      </w:r>
      <w:r w:rsidR="00D30E2B">
        <w:t xml:space="preserve">ment, </w:t>
      </w:r>
      <w:r w:rsidR="00C8539E">
        <w:t xml:space="preserve">would be </w:t>
      </w:r>
      <w:r>
        <w:t>manually investigated and recalculated</w:t>
      </w:r>
      <w:r w:rsidR="00AA0BAF">
        <w:t xml:space="preserve"> (where income apportionment was</w:t>
      </w:r>
      <w:r w:rsidR="003D3C8F">
        <w:t xml:space="preserve"> found to have been</w:t>
      </w:r>
      <w:r w:rsidR="00AA0BAF">
        <w:t xml:space="preserve"> used)</w:t>
      </w:r>
      <w:r>
        <w:t>.</w:t>
      </w:r>
    </w:p>
    <w:p w14:paraId="1172B1BD" w14:textId="5AA9B462" w:rsidR="009F5F1F" w:rsidRPr="009F5F1F" w:rsidRDefault="00AA0BAF" w:rsidP="0012638D">
      <w:pPr>
        <w:spacing w:line="240" w:lineRule="auto"/>
      </w:pPr>
      <w:r>
        <w:t xml:space="preserve">This option </w:t>
      </w:r>
      <w:r w:rsidR="009F5F1F" w:rsidRPr="009F5F1F">
        <w:t xml:space="preserve">would </w:t>
      </w:r>
      <w:r w:rsidR="009F5F1F">
        <w:t xml:space="preserve">be resource and time intensive, </w:t>
      </w:r>
      <w:r w:rsidR="009F5F1F" w:rsidRPr="009F5F1F">
        <w:t>requir</w:t>
      </w:r>
      <w:r w:rsidR="009F5F1F">
        <w:t>ing</w:t>
      </w:r>
      <w:r w:rsidR="009F5F1F" w:rsidRPr="009F5F1F">
        <w:t>:</w:t>
      </w:r>
    </w:p>
    <w:p w14:paraId="78196CC2" w14:textId="086032D8" w:rsidR="009F5F1F" w:rsidRPr="009F5F1F" w:rsidRDefault="009F5F1F" w:rsidP="0012638D">
      <w:pPr>
        <w:numPr>
          <w:ilvl w:val="0"/>
          <w:numId w:val="21"/>
        </w:numPr>
        <w:spacing w:line="240" w:lineRule="auto"/>
      </w:pPr>
      <w:r w:rsidRPr="009F5F1F">
        <w:t xml:space="preserve">Manually reviewing each of the historical debts related to employment income to see if it was affected by income apportionment </w:t>
      </w:r>
    </w:p>
    <w:p w14:paraId="026E4B29" w14:textId="1F159A1C" w:rsidR="009F5F1F" w:rsidRPr="009F5F1F" w:rsidRDefault="009F5F1F" w:rsidP="0012638D">
      <w:pPr>
        <w:numPr>
          <w:ilvl w:val="0"/>
          <w:numId w:val="21"/>
        </w:numPr>
        <w:spacing w:line="240" w:lineRule="auto"/>
      </w:pPr>
      <w:r w:rsidRPr="009F5F1F">
        <w:t xml:space="preserve">Seeking additional information from the individual and, if necessary, employers and banks </w:t>
      </w:r>
    </w:p>
    <w:p w14:paraId="5C4620F6" w14:textId="241B35F0" w:rsidR="009F5F1F" w:rsidRPr="009F5F1F" w:rsidRDefault="009F5F1F" w:rsidP="0012638D">
      <w:pPr>
        <w:numPr>
          <w:ilvl w:val="0"/>
          <w:numId w:val="21"/>
        </w:numPr>
        <w:spacing w:line="240" w:lineRule="auto"/>
      </w:pPr>
      <w:r w:rsidRPr="009F5F1F">
        <w:t>Recalculating the debt based on the new information</w:t>
      </w:r>
      <w:r>
        <w:t>, and</w:t>
      </w:r>
    </w:p>
    <w:p w14:paraId="096B58A3" w14:textId="77777777" w:rsidR="009F5F1F" w:rsidRPr="009F5F1F" w:rsidRDefault="009F5F1F" w:rsidP="0012638D">
      <w:pPr>
        <w:numPr>
          <w:ilvl w:val="0"/>
          <w:numId w:val="21"/>
        </w:numPr>
        <w:spacing w:line="240" w:lineRule="auto"/>
      </w:pPr>
      <w:r w:rsidRPr="009F5F1F">
        <w:t xml:space="preserve">Making refunds to customers where debts have been over-recovered. </w:t>
      </w:r>
    </w:p>
    <w:p w14:paraId="04BB87C3" w14:textId="654458F2" w:rsidR="009F5F1F" w:rsidRPr="009F5F1F" w:rsidRDefault="00920CDA" w:rsidP="0012638D">
      <w:pPr>
        <w:spacing w:line="240" w:lineRule="auto"/>
      </w:pPr>
      <w:r>
        <w:t xml:space="preserve">This option would have significant regulatory impacts on individuals and businesses to provide </w:t>
      </w:r>
      <w:r w:rsidR="00F0600D">
        <w:t xml:space="preserve">additional information </w:t>
      </w:r>
      <w:r>
        <w:t xml:space="preserve">for debt recalculation. </w:t>
      </w:r>
      <w:r w:rsidR="00F2210E">
        <w:t>T</w:t>
      </w:r>
      <w:r w:rsidR="009F5F1F">
        <w:t>he</w:t>
      </w:r>
      <w:r w:rsidR="009F5F1F" w:rsidRPr="009F5F1F">
        <w:t xml:space="preserve"> large-scale </w:t>
      </w:r>
      <w:r w:rsidR="009F5F1F">
        <w:t>recalculation</w:t>
      </w:r>
      <w:r w:rsidR="009F5F1F" w:rsidRPr="009F5F1F">
        <w:t xml:space="preserve"> </w:t>
      </w:r>
      <w:r w:rsidR="009F5F1F">
        <w:t xml:space="preserve">(and where applicable </w:t>
      </w:r>
      <w:r w:rsidR="009F5F1F" w:rsidRPr="009F5F1F">
        <w:lastRenderedPageBreak/>
        <w:t>refunding</w:t>
      </w:r>
      <w:r w:rsidR="009F5F1F">
        <w:t>)</w:t>
      </w:r>
      <w:r w:rsidR="009F5F1F" w:rsidRPr="009F5F1F">
        <w:t xml:space="preserve"> </w:t>
      </w:r>
      <w:r w:rsidR="00F2210E">
        <w:t>would also have significant service delivery</w:t>
      </w:r>
      <w:r w:rsidR="00F2210E" w:rsidRPr="009F5F1F">
        <w:t xml:space="preserve"> </w:t>
      </w:r>
      <w:r w:rsidR="00F2210E">
        <w:t>impacts</w:t>
      </w:r>
      <w:r w:rsidR="006A2DF8">
        <w:t>,</w:t>
      </w:r>
      <w:r w:rsidR="009348D7">
        <w:t xml:space="preserve"> due to the necessary diversion of Services Australia expertise</w:t>
      </w:r>
      <w:r w:rsidR="00F2210E">
        <w:t>.</w:t>
      </w:r>
      <w:r w:rsidR="007238EB">
        <w:t xml:space="preserve"> </w:t>
      </w:r>
    </w:p>
    <w:p w14:paraId="4D3EE5B6" w14:textId="1BC93D98" w:rsidR="00AA5394" w:rsidRPr="00DC226F" w:rsidRDefault="00AA5394" w:rsidP="0012638D">
      <w:pPr>
        <w:pStyle w:val="Heading2"/>
      </w:pPr>
      <w:bookmarkStart w:id="32" w:name="_Toc207097808"/>
      <w:r w:rsidRPr="00DC226F">
        <w:t>3.</w:t>
      </w:r>
      <w:r w:rsidR="008A3D50" w:rsidRPr="00DC226F">
        <w:t>4</w:t>
      </w:r>
      <w:r w:rsidR="005F11ED" w:rsidRPr="00DC226F">
        <w:t xml:space="preserve"> </w:t>
      </w:r>
      <w:r w:rsidRPr="00DC226F">
        <w:t xml:space="preserve">Retrospective </w:t>
      </w:r>
      <w:r w:rsidR="00D30E2B" w:rsidRPr="00DC226F">
        <w:t>validation of</w:t>
      </w:r>
      <w:r w:rsidRPr="00DC226F">
        <w:t xml:space="preserve"> income apportionment</w:t>
      </w:r>
      <w:bookmarkEnd w:id="32"/>
      <w:r w:rsidRPr="00DC226F">
        <w:t xml:space="preserve"> </w:t>
      </w:r>
    </w:p>
    <w:p w14:paraId="396A5198" w14:textId="4492360E" w:rsidR="001F080F" w:rsidRDefault="00471DF0" w:rsidP="0012638D">
      <w:pPr>
        <w:spacing w:line="240" w:lineRule="auto"/>
      </w:pPr>
      <w:r>
        <w:t xml:space="preserve">Under this option, the </w:t>
      </w:r>
      <w:r w:rsidR="0062548E">
        <w:t xml:space="preserve">Parliament </w:t>
      </w:r>
      <w:r>
        <w:t xml:space="preserve">would </w:t>
      </w:r>
      <w:r w:rsidR="00AA5394" w:rsidRPr="005C6A14">
        <w:t>pass legislation validating the use of income apportionment</w:t>
      </w:r>
      <w:r w:rsidR="001F080F">
        <w:t>.</w:t>
      </w:r>
    </w:p>
    <w:p w14:paraId="01E54607" w14:textId="704D17D4" w:rsidR="00471DF0" w:rsidRDefault="00471DF0" w:rsidP="0012638D">
      <w:pPr>
        <w:spacing w:line="240" w:lineRule="auto"/>
      </w:pPr>
      <w:bookmarkStart w:id="33" w:name="_Hlk204860551"/>
      <w:r>
        <w:t>Evidence from sampling shows that in most instances, without i</w:t>
      </w:r>
      <w:r w:rsidR="00A2756F">
        <w:t>ncome</w:t>
      </w:r>
      <w:r>
        <w:t xml:space="preserve"> apportionment, a debt would still exist</w:t>
      </w:r>
      <w:r w:rsidR="00A2756F">
        <w:t xml:space="preserve">. The median difference between a </w:t>
      </w:r>
      <w:proofErr w:type="gramStart"/>
      <w:r w:rsidR="00A2756F">
        <w:t>debt</w:t>
      </w:r>
      <w:proofErr w:type="gramEnd"/>
      <w:r w:rsidR="00A2756F">
        <w:t xml:space="preserve"> calculated with income apportionment and calculated using the method confirmed by </w:t>
      </w:r>
      <w:r w:rsidR="00A2756F" w:rsidRPr="00A2756F">
        <w:rPr>
          <w:i/>
          <w:iCs/>
        </w:rPr>
        <w:t>Chaplin</w:t>
      </w:r>
      <w:r w:rsidR="00A2756F">
        <w:t xml:space="preserve">, is </w:t>
      </w:r>
      <w:r w:rsidR="005924D4">
        <w:t>around</w:t>
      </w:r>
      <w:r w:rsidR="00A2756F">
        <w:t xml:space="preserve"> $100.</w:t>
      </w:r>
    </w:p>
    <w:bookmarkEnd w:id="33"/>
    <w:p w14:paraId="119C3867" w14:textId="3B0E49B9" w:rsidR="00AA5394" w:rsidRPr="007F2526" w:rsidRDefault="00AA5394" w:rsidP="0012638D">
      <w:pPr>
        <w:spacing w:line="240" w:lineRule="auto"/>
      </w:pPr>
      <w:r w:rsidRPr="007F2526">
        <w:t>By validating income apportionment as a historical debt calculation methodology, the Government w</w:t>
      </w:r>
      <w:r>
        <w:t>ould</w:t>
      </w:r>
      <w:r w:rsidRPr="007F2526">
        <w:t xml:space="preserve"> no longer have raised or recovered any debt amounts </w:t>
      </w:r>
      <w:r w:rsidR="009C615C">
        <w:t>incorrectly</w:t>
      </w:r>
      <w:r w:rsidRPr="007F2526">
        <w:t xml:space="preserve">. </w:t>
      </w:r>
      <w:r w:rsidR="00661CF5">
        <w:t>D</w:t>
      </w:r>
      <w:r w:rsidR="00661CF5" w:rsidRPr="005C6A14">
        <w:t>ebts calculated using income apportionment would stand and be enforceable.</w:t>
      </w:r>
    </w:p>
    <w:p w14:paraId="312C7619" w14:textId="02FAB9C6" w:rsidR="00AA5394" w:rsidRPr="00526D97" w:rsidRDefault="00AA5394" w:rsidP="0012638D">
      <w:pPr>
        <w:spacing w:line="240" w:lineRule="auto"/>
      </w:pPr>
      <w:r w:rsidRPr="00526D97">
        <w:t>The</w:t>
      </w:r>
      <w:r>
        <w:t xml:space="preserve"> </w:t>
      </w:r>
      <w:r w:rsidR="000C325F">
        <w:t>validating</w:t>
      </w:r>
      <w:r w:rsidRPr="00526D97">
        <w:t xml:space="preserve"> legislation would not validate:</w:t>
      </w:r>
    </w:p>
    <w:p w14:paraId="11BB7D25" w14:textId="148F45A4" w:rsidR="00AA5394" w:rsidRPr="00281EB9" w:rsidRDefault="00AA5394" w:rsidP="0012638D">
      <w:pPr>
        <w:pStyle w:val="NoSpacing"/>
        <w:numPr>
          <w:ilvl w:val="0"/>
          <w:numId w:val="19"/>
        </w:numPr>
        <w:ind w:hanging="294"/>
        <w:rPr>
          <w:sz w:val="22"/>
          <w:szCs w:val="22"/>
        </w:rPr>
      </w:pPr>
      <w:r w:rsidRPr="00281EB9">
        <w:rPr>
          <w:sz w:val="22"/>
          <w:szCs w:val="22"/>
        </w:rPr>
        <w:t>The full debt or entitlement amount</w:t>
      </w:r>
      <w:r w:rsidR="0003643F">
        <w:rPr>
          <w:sz w:val="22"/>
          <w:szCs w:val="22"/>
        </w:rPr>
        <w:t xml:space="preserve"> (only the income apportioned component)</w:t>
      </w:r>
      <w:r>
        <w:rPr>
          <w:sz w:val="22"/>
          <w:szCs w:val="22"/>
        </w:rPr>
        <w:t>.</w:t>
      </w:r>
    </w:p>
    <w:p w14:paraId="60BCA2AC" w14:textId="268A2F73" w:rsidR="00AA5394" w:rsidRPr="00281EB9" w:rsidRDefault="00AA5394" w:rsidP="0012638D">
      <w:pPr>
        <w:pStyle w:val="ListParagraph"/>
        <w:keepLines/>
        <w:numPr>
          <w:ilvl w:val="0"/>
          <w:numId w:val="19"/>
        </w:numPr>
        <w:spacing w:before="120" w:after="120" w:line="240" w:lineRule="auto"/>
        <w:ind w:hanging="294"/>
        <w:contextualSpacing w:val="0"/>
        <w:rPr>
          <w:szCs w:val="22"/>
        </w:rPr>
      </w:pPr>
      <w:r w:rsidRPr="00281EB9">
        <w:rPr>
          <w:szCs w:val="22"/>
        </w:rPr>
        <w:t xml:space="preserve">The validity of the employment income amount itself (e.g. situations where the employment income was incorrectly coded).  </w:t>
      </w:r>
    </w:p>
    <w:p w14:paraId="3FB97D19" w14:textId="41882B2C" w:rsidR="00AA5394" w:rsidRDefault="00AA5394" w:rsidP="0012638D">
      <w:pPr>
        <w:spacing w:line="240" w:lineRule="auto"/>
      </w:pPr>
      <w:r>
        <w:t xml:space="preserve">The retrospective legislation would </w:t>
      </w:r>
      <w:r w:rsidR="000C325F">
        <w:t xml:space="preserve">also clarify income apportionment </w:t>
      </w:r>
      <w:r w:rsidR="00B15ADE">
        <w:t xml:space="preserve">could </w:t>
      </w:r>
      <w:r w:rsidR="000C325F">
        <w:t>be used where a new debt is raised, or an old debt is reviewed, if it relates to entitlements pre</w:t>
      </w:r>
      <w:r w:rsidR="00284B23">
        <w:t>-</w:t>
      </w:r>
      <w:r w:rsidR="000C325F">
        <w:t>7</w:t>
      </w:r>
      <w:r w:rsidR="00284B23">
        <w:t> </w:t>
      </w:r>
      <w:r w:rsidR="000C325F">
        <w:t>December 2020</w:t>
      </w:r>
      <w:r w:rsidR="00B15ADE">
        <w:t>,</w:t>
      </w:r>
      <w:r w:rsidR="00752E2A">
        <w:t xml:space="preserve"> </w:t>
      </w:r>
      <w:r w:rsidR="000C325F">
        <w:t>involves the assessment of employment income</w:t>
      </w:r>
      <w:r w:rsidR="00117E93">
        <w:t>,</w:t>
      </w:r>
      <w:r w:rsidR="00B15ADE">
        <w:t xml:space="preserve"> and data about the timing of earnings is </w:t>
      </w:r>
      <w:r w:rsidR="00C7660E">
        <w:t>un</w:t>
      </w:r>
      <w:r w:rsidR="00B15ADE">
        <w:t>available</w:t>
      </w:r>
      <w:r>
        <w:t xml:space="preserve">. </w:t>
      </w:r>
      <w:r w:rsidR="00B15ADE">
        <w:t xml:space="preserve">This would ensure that </w:t>
      </w:r>
      <w:r w:rsidR="00A2756F">
        <w:t xml:space="preserve">in the future, </w:t>
      </w:r>
      <w:r w:rsidR="00B15ADE">
        <w:t>debts relating to periods pre-7 December 2020 are assessed on the same basis.</w:t>
      </w:r>
    </w:p>
    <w:p w14:paraId="5DA2B22B" w14:textId="4A98AC74" w:rsidR="00DC226F" w:rsidDel="005C4C24" w:rsidRDefault="00DC226F" w:rsidP="0012638D">
      <w:pPr>
        <w:pStyle w:val="Heading2"/>
      </w:pPr>
      <w:bookmarkStart w:id="34" w:name="_Toc207097809"/>
      <w:r>
        <w:t>3.5 Retrospective validation and a</w:t>
      </w:r>
      <w:r w:rsidRPr="000C325F">
        <w:t xml:space="preserve"> </w:t>
      </w:r>
      <w:r>
        <w:t>partial waiver of paused debts</w:t>
      </w:r>
      <w:bookmarkEnd w:id="34"/>
      <w:r>
        <w:t xml:space="preserve"> </w:t>
      </w:r>
    </w:p>
    <w:p w14:paraId="459A14A1" w14:textId="383088D5" w:rsidR="00DC226F" w:rsidRDefault="00DC226F" w:rsidP="0012638D">
      <w:pPr>
        <w:spacing w:line="240" w:lineRule="auto"/>
      </w:pPr>
      <w:r>
        <w:t>Together with</w:t>
      </w:r>
      <w:r w:rsidRPr="00A17FC9">
        <w:t xml:space="preserve"> retrospective legislation, the Government could choose </w:t>
      </w:r>
      <w:r>
        <w:t>to partially waive</w:t>
      </w:r>
      <w:r w:rsidRPr="00A17FC9">
        <w:t xml:space="preserve"> a subset of debts potentially affected by income apportionment</w:t>
      </w:r>
      <w:r w:rsidR="00A2756F">
        <w:t xml:space="preserve">, to provide </w:t>
      </w:r>
      <w:r w:rsidR="0062548E">
        <w:t xml:space="preserve">reparation </w:t>
      </w:r>
      <w:r w:rsidR="00A2756F">
        <w:t>to those affected by the income apportionment-related pauses.</w:t>
      </w:r>
      <w:r w:rsidRPr="00A17FC9">
        <w:t xml:space="preserve"> </w:t>
      </w:r>
      <w:r w:rsidR="00A2756F">
        <w:t>Under this option, t</w:t>
      </w:r>
      <w:r w:rsidRPr="00A17FC9">
        <w:t xml:space="preserve">his </w:t>
      </w:r>
      <w:r w:rsidR="001C3139">
        <w:t>waiver</w:t>
      </w:r>
      <w:r w:rsidRPr="00A17FC9">
        <w:t xml:space="preserve"> </w:t>
      </w:r>
      <w:r>
        <w:t xml:space="preserve">would apply </w:t>
      </w:r>
      <w:r w:rsidR="000F1E28">
        <w:t xml:space="preserve">to </w:t>
      </w:r>
      <w:r>
        <w:t xml:space="preserve">the approximately 160,000 debts </w:t>
      </w:r>
      <w:r w:rsidR="00A2756F">
        <w:t xml:space="preserve">with </w:t>
      </w:r>
      <w:r>
        <w:t>debt recovery, reviews and explanations of decision</w:t>
      </w:r>
      <w:r w:rsidR="00A2756F">
        <w:t xml:space="preserve"> paused</w:t>
      </w:r>
      <w:r>
        <w:t xml:space="preserve">. </w:t>
      </w:r>
    </w:p>
    <w:p w14:paraId="43164BBD" w14:textId="06BF122F" w:rsidR="00DC226F" w:rsidRDefault="00DC226F" w:rsidP="0012638D">
      <w:pPr>
        <w:spacing w:line="240" w:lineRule="auto"/>
      </w:pPr>
      <w:r>
        <w:t>A</w:t>
      </w:r>
      <w:r w:rsidR="0023227E">
        <w:t>s opposed to a full waiver</w:t>
      </w:r>
      <w:r w:rsidR="00A2756F">
        <w:t xml:space="preserve"> of these debts</w:t>
      </w:r>
      <w:r w:rsidR="0023227E">
        <w:t xml:space="preserve">, </w:t>
      </w:r>
      <w:r w:rsidR="00A2756F">
        <w:t xml:space="preserve">this option applies a </w:t>
      </w:r>
      <w:r>
        <w:t xml:space="preserve">partial waiver as: </w:t>
      </w:r>
    </w:p>
    <w:p w14:paraId="4964770A" w14:textId="5D2A4747" w:rsidR="00DC226F" w:rsidRDefault="00DC226F" w:rsidP="0012638D">
      <w:pPr>
        <w:pStyle w:val="ListParagraph"/>
        <w:numPr>
          <w:ilvl w:val="0"/>
          <w:numId w:val="44"/>
        </w:numPr>
        <w:spacing w:line="240" w:lineRule="auto"/>
      </w:pPr>
      <w:r>
        <w:t xml:space="preserve">Sampling indicates debts can be higher or lower due to income apportionment and, </w:t>
      </w:r>
      <w:r w:rsidRPr="001816CD">
        <w:t>in over 90</w:t>
      </w:r>
      <w:r w:rsidR="00253E24">
        <w:t xml:space="preserve">% </w:t>
      </w:r>
      <w:r w:rsidRPr="001816CD">
        <w:t xml:space="preserve">of cases, </w:t>
      </w:r>
      <w:r w:rsidR="002B785C">
        <w:t xml:space="preserve">affected debts </w:t>
      </w:r>
      <w:r w:rsidRPr="001816CD">
        <w:t xml:space="preserve">would still exist when recalculated using the </w:t>
      </w:r>
      <w:r>
        <w:t>methodology</w:t>
      </w:r>
      <w:r w:rsidR="0023227E">
        <w:t xml:space="preserve"> upheld in </w:t>
      </w:r>
      <w:r w:rsidR="0023227E" w:rsidRPr="007B5C70">
        <w:rPr>
          <w:i/>
          <w:iCs/>
        </w:rPr>
        <w:t>Chaplin</w:t>
      </w:r>
      <w:r w:rsidRPr="007B5C70">
        <w:rPr>
          <w:i/>
          <w:iCs/>
        </w:rPr>
        <w:t>.</w:t>
      </w:r>
      <w:r w:rsidRPr="001816CD">
        <w:t xml:space="preserve"> </w:t>
      </w:r>
    </w:p>
    <w:p w14:paraId="2E378B42" w14:textId="77777777" w:rsidR="00DC226F" w:rsidRDefault="00DC226F" w:rsidP="0012638D">
      <w:pPr>
        <w:pStyle w:val="ListParagraph"/>
        <w:numPr>
          <w:ilvl w:val="0"/>
          <w:numId w:val="44"/>
        </w:numPr>
        <w:spacing w:line="240" w:lineRule="auto"/>
      </w:pPr>
      <w:r w:rsidRPr="001816CD">
        <w:t>There are also cases where only part of a debt is impacted by income apportionment, with the remainder of the debt unaffected.</w:t>
      </w:r>
    </w:p>
    <w:p w14:paraId="23E6278A" w14:textId="76989DD9" w:rsidR="00DC226F" w:rsidRDefault="00DC226F" w:rsidP="0012638D">
      <w:pPr>
        <w:pStyle w:val="ListParagraph"/>
        <w:numPr>
          <w:ilvl w:val="0"/>
          <w:numId w:val="44"/>
        </w:numPr>
        <w:spacing w:line="240" w:lineRule="auto"/>
      </w:pPr>
      <w:r>
        <w:t xml:space="preserve">Income apportionment, while a misapplication of pre-December 2020 social security law, was nonetheless a </w:t>
      </w:r>
      <w:r w:rsidR="005924D4">
        <w:t>defensible</w:t>
      </w:r>
      <w:r>
        <w:t xml:space="preserve"> attempt at determining a person’s need for support in a given Centrelink instalment period. </w:t>
      </w:r>
    </w:p>
    <w:p w14:paraId="4F879453" w14:textId="38FE33BD" w:rsidR="00DC226F" w:rsidRDefault="0062548E" w:rsidP="0012638D">
      <w:pPr>
        <w:spacing w:line="240" w:lineRule="auto"/>
      </w:pPr>
      <w:r>
        <w:lastRenderedPageBreak/>
        <w:t>Based on</w:t>
      </w:r>
      <w:r w:rsidR="00DC226F">
        <w:t xml:space="preserve"> sampling results </w:t>
      </w:r>
      <w:r w:rsidR="00D02CB1">
        <w:t>on</w:t>
      </w:r>
      <w:r w:rsidR="00DC226F">
        <w:t xml:space="preserve"> the</w:t>
      </w:r>
      <w:r w:rsidR="00D02CB1">
        <w:t xml:space="preserve"> actual</w:t>
      </w:r>
      <w:r w:rsidR="00DC226F">
        <w:t xml:space="preserve"> impact of income apportionment on debts, and the above considerations, a </w:t>
      </w:r>
      <w:r w:rsidR="00DC226F" w:rsidRPr="00184AB2">
        <w:t>partial waiver of up to $200 ($200 or the full debt amount, whichever is lower) is proposed</w:t>
      </w:r>
      <w:r w:rsidR="00DC226F">
        <w:t xml:space="preserve"> </w:t>
      </w:r>
      <w:r w:rsidR="00A2756F">
        <w:t xml:space="preserve">under </w:t>
      </w:r>
      <w:r w:rsidR="00DC226F">
        <w:t>this option</w:t>
      </w:r>
      <w:r w:rsidR="00DC226F" w:rsidRPr="00184AB2">
        <w:t>.</w:t>
      </w:r>
    </w:p>
    <w:p w14:paraId="1F522107" w14:textId="366CE931" w:rsidR="00DC226F" w:rsidRPr="00FA2BBF" w:rsidRDefault="00DC226F" w:rsidP="0012638D">
      <w:pPr>
        <w:spacing w:line="240" w:lineRule="auto"/>
      </w:pPr>
      <w:r>
        <w:t>The waiver</w:t>
      </w:r>
      <w:r w:rsidRPr="00DD3C9E">
        <w:t xml:space="preserve"> would provide relief to those who have been most affected by the issue since </w:t>
      </w:r>
      <w:r w:rsidR="00BC2960">
        <w:t>it</w:t>
      </w:r>
      <w:r w:rsidRPr="00DD3C9E">
        <w:t xml:space="preserve"> was </w:t>
      </w:r>
      <w:r w:rsidR="00BC2960">
        <w:t>identified.</w:t>
      </w:r>
      <w:r w:rsidRPr="00DD3C9E">
        <w:t xml:space="preserve"> It would recognise these people have faced ongoing delays and uncertainty around their debts, and that time and resources required to recalculate all of them would not be in the best interests of individuals or the taxpayer.</w:t>
      </w:r>
      <w:r>
        <w:t xml:space="preserve"> </w:t>
      </w:r>
    </w:p>
    <w:p w14:paraId="2CC9BA19" w14:textId="1315CA12" w:rsidR="00DC226F" w:rsidDel="005C4C24" w:rsidRDefault="00DC226F" w:rsidP="0012638D">
      <w:pPr>
        <w:pStyle w:val="Heading2"/>
      </w:pPr>
      <w:bookmarkStart w:id="35" w:name="_Toc207097810"/>
      <w:bookmarkStart w:id="36" w:name="_Toc204152068"/>
      <w:r>
        <w:t>3.6 Retrospective validation and a</w:t>
      </w:r>
      <w:r w:rsidRPr="000C325F">
        <w:t xml:space="preserve"> </w:t>
      </w:r>
      <w:r>
        <w:t>re</w:t>
      </w:r>
      <w:r w:rsidR="005061FE">
        <w:t>solution</w:t>
      </w:r>
      <w:r w:rsidRPr="000C325F">
        <w:t xml:space="preserve"> scheme</w:t>
      </w:r>
      <w:bookmarkEnd w:id="35"/>
      <w:r w:rsidRPr="000C325F">
        <w:t xml:space="preserve"> </w:t>
      </w:r>
      <w:bookmarkEnd w:id="36"/>
    </w:p>
    <w:p w14:paraId="51F51F88" w14:textId="06ECD46E" w:rsidR="00DC226F" w:rsidRDefault="00DC226F" w:rsidP="0012638D">
      <w:pPr>
        <w:spacing w:line="240" w:lineRule="auto"/>
      </w:pPr>
      <w:r>
        <w:t xml:space="preserve">Together with retrospective legislation, </w:t>
      </w:r>
      <w:r w:rsidR="00A2756F">
        <w:t>under this option</w:t>
      </w:r>
      <w:r w:rsidR="0027105D">
        <w:t>,</w:t>
      </w:r>
      <w:r w:rsidR="00A2756F">
        <w:t xml:space="preserve"> </w:t>
      </w:r>
      <w:r>
        <w:t>Government could</w:t>
      </w:r>
      <w:r w:rsidRPr="00FF023D">
        <w:t xml:space="preserve"> create a</w:t>
      </w:r>
      <w:r>
        <w:t xml:space="preserve"> </w:t>
      </w:r>
      <w:r w:rsidR="005061FE">
        <w:t>resolution</w:t>
      </w:r>
      <w:r>
        <w:t xml:space="preserve"> scheme. </w:t>
      </w:r>
    </w:p>
    <w:p w14:paraId="43C78510" w14:textId="0032371B" w:rsidR="00DC226F" w:rsidRDefault="00DC226F" w:rsidP="0012638D">
      <w:pPr>
        <w:spacing w:line="240" w:lineRule="auto"/>
      </w:pPr>
      <w:r>
        <w:t>A re</w:t>
      </w:r>
      <w:r w:rsidR="005061FE">
        <w:t>solution</w:t>
      </w:r>
      <w:r>
        <w:t xml:space="preserve"> scheme</w:t>
      </w:r>
      <w:r w:rsidR="005061FE">
        <w:t xml:space="preserve"> would</w:t>
      </w:r>
      <w:r w:rsidRPr="008D75A1">
        <w:t xml:space="preserve"> acknowledge </w:t>
      </w:r>
      <w:r>
        <w:t xml:space="preserve">income apportionment led to incorrect debt amounts and would offer individuals </w:t>
      </w:r>
      <w:r w:rsidR="009E586E">
        <w:t xml:space="preserve">with an affected debt </w:t>
      </w:r>
      <w:r>
        <w:t xml:space="preserve">a </w:t>
      </w:r>
      <w:r w:rsidR="000560D1">
        <w:t xml:space="preserve">simple way of </w:t>
      </w:r>
      <w:r>
        <w:t>seek</w:t>
      </w:r>
      <w:r w:rsidR="000560D1">
        <w:t>ing</w:t>
      </w:r>
      <w:r>
        <w:t xml:space="preserve"> fair and reasonable</w:t>
      </w:r>
      <w:r w:rsidR="005061FE">
        <w:t xml:space="preserve"> compensation</w:t>
      </w:r>
      <w:r>
        <w:t>.</w:t>
      </w:r>
      <w:r w:rsidRPr="00520ECE">
        <w:t xml:space="preserve"> </w:t>
      </w:r>
    </w:p>
    <w:p w14:paraId="646278C2" w14:textId="2E8067F3" w:rsidR="002D780D" w:rsidRDefault="009E586E" w:rsidP="0012638D">
      <w:pPr>
        <w:spacing w:line="240" w:lineRule="auto"/>
      </w:pPr>
      <w:r w:rsidRPr="0027105D">
        <w:t xml:space="preserve">The scheme would </w:t>
      </w:r>
      <w:r w:rsidR="00AF2215" w:rsidRPr="0027105D">
        <w:t xml:space="preserve">cover </w:t>
      </w:r>
      <w:r w:rsidRPr="0027105D">
        <w:t xml:space="preserve">debts occurring </w:t>
      </w:r>
      <w:proofErr w:type="gramStart"/>
      <w:r w:rsidRPr="0027105D">
        <w:t xml:space="preserve">between </w:t>
      </w:r>
      <w:r w:rsidRPr="00584A4A">
        <w:rPr>
          <w:rFonts w:cstheme="minorHAnsi"/>
        </w:rPr>
        <w:t>20 September 2003 to 6</w:t>
      </w:r>
      <w:r w:rsidR="00A3009A" w:rsidRPr="00584A4A">
        <w:rPr>
          <w:rFonts w:cstheme="minorHAnsi"/>
        </w:rPr>
        <w:t> </w:t>
      </w:r>
      <w:r w:rsidRPr="00584A4A">
        <w:rPr>
          <w:rFonts w:cstheme="minorHAnsi"/>
        </w:rPr>
        <w:t>December 2020</w:t>
      </w:r>
      <w:proofErr w:type="gramEnd"/>
      <w:r w:rsidRPr="00584A4A">
        <w:rPr>
          <w:rFonts w:cstheme="minorHAnsi"/>
        </w:rPr>
        <w:t xml:space="preserve">. This </w:t>
      </w:r>
      <w:r w:rsidR="00AF2215" w:rsidRPr="00584A4A">
        <w:rPr>
          <w:rFonts w:cstheme="minorHAnsi"/>
        </w:rPr>
        <w:t xml:space="preserve">timeframe aligns with legislative changes in 2003 that made income apportionment clearly unlawful for most payment types and </w:t>
      </w:r>
      <w:r w:rsidR="0027105D">
        <w:rPr>
          <w:rFonts w:cstheme="minorHAnsi"/>
        </w:rPr>
        <w:t xml:space="preserve">unrelated </w:t>
      </w:r>
      <w:r w:rsidR="00AF2215" w:rsidRPr="00EE7963">
        <w:rPr>
          <w:rFonts w:cstheme="minorHAnsi"/>
        </w:rPr>
        <w:t>legislative changes in 2020 that resulted in the practice</w:t>
      </w:r>
      <w:r w:rsidR="0027105D">
        <w:rPr>
          <w:rFonts w:cstheme="minorHAnsi"/>
        </w:rPr>
        <w:t xml:space="preserve"> ceasing</w:t>
      </w:r>
      <w:r w:rsidR="009924C9">
        <w:rPr>
          <w:rFonts w:cstheme="minorHAnsi"/>
        </w:rPr>
        <w:t>.</w:t>
      </w:r>
      <w:r w:rsidR="002D780D" w:rsidRPr="002D780D">
        <w:t xml:space="preserve"> </w:t>
      </w:r>
    </w:p>
    <w:p w14:paraId="13C93B1F" w14:textId="2AC10EE8" w:rsidR="00C7202F" w:rsidRPr="00EB05C8" w:rsidRDefault="00C7202F" w:rsidP="0012638D">
      <w:pPr>
        <w:spacing w:line="240" w:lineRule="auto"/>
      </w:pPr>
      <w:r>
        <w:t xml:space="preserve">To apply for the scheme, people would need to confirm some basic identification details, including to ensure Services Australia has their current contact and bank details. </w:t>
      </w:r>
    </w:p>
    <w:p w14:paraId="74B3D363" w14:textId="25202982" w:rsidR="00DC226F" w:rsidRDefault="00DC226F" w:rsidP="0012638D">
      <w:pPr>
        <w:spacing w:line="240" w:lineRule="auto"/>
      </w:pPr>
      <w:r w:rsidRPr="00257884">
        <w:t xml:space="preserve">The value of the </w:t>
      </w:r>
      <w:r w:rsidR="005061FE">
        <w:t>compensation</w:t>
      </w:r>
      <w:r>
        <w:t xml:space="preserve"> amount</w:t>
      </w:r>
      <w:r w:rsidRPr="00257884">
        <w:t xml:space="preserve"> </w:t>
      </w:r>
      <w:r>
        <w:t xml:space="preserve">will be determined </w:t>
      </w:r>
      <w:r w:rsidRPr="00257884">
        <w:t xml:space="preserve">by reference to the </w:t>
      </w:r>
      <w:r w:rsidR="00F256EF">
        <w:t xml:space="preserve">determined </w:t>
      </w:r>
      <w:r w:rsidRPr="00257884">
        <w:t>debt value</w:t>
      </w:r>
      <w:r>
        <w:t xml:space="preserve"> (that would have been</w:t>
      </w:r>
      <w:r w:rsidRPr="00257884">
        <w:t xml:space="preserve"> retrospectively validated</w:t>
      </w:r>
      <w:r>
        <w:t>). No</w:t>
      </w:r>
      <w:r w:rsidRPr="00B15ADE">
        <w:t xml:space="preserve"> </w:t>
      </w:r>
      <w:r w:rsidRPr="000C325F">
        <w:t>further information from employers or financial institutions</w:t>
      </w:r>
      <w:r w:rsidRPr="00257884">
        <w:t xml:space="preserve"> </w:t>
      </w:r>
      <w:r>
        <w:t xml:space="preserve">would need to be sought and no </w:t>
      </w:r>
      <w:r w:rsidRPr="00257884">
        <w:t xml:space="preserve">recalculation </w:t>
      </w:r>
      <w:r>
        <w:t xml:space="preserve">would be required. </w:t>
      </w:r>
    </w:p>
    <w:p w14:paraId="5C079530" w14:textId="5DE5386A" w:rsidR="003F2403" w:rsidRDefault="00DC226F" w:rsidP="0012638D">
      <w:pPr>
        <w:spacing w:line="240" w:lineRule="auto"/>
      </w:pPr>
      <w:r w:rsidRPr="000C325F">
        <w:t xml:space="preserve">The retrospective </w:t>
      </w:r>
      <w:r>
        <w:t xml:space="preserve">validating </w:t>
      </w:r>
      <w:r w:rsidRPr="000C325F">
        <w:t xml:space="preserve">legislation would </w:t>
      </w:r>
      <w:r>
        <w:t xml:space="preserve">also </w:t>
      </w:r>
      <w:r w:rsidRPr="000C325F">
        <w:t xml:space="preserve">include a </w:t>
      </w:r>
      <w:r>
        <w:t xml:space="preserve">preservation </w:t>
      </w:r>
      <w:r w:rsidRPr="000C325F">
        <w:t xml:space="preserve">clause to make </w:t>
      </w:r>
      <w:r>
        <w:t xml:space="preserve">it </w:t>
      </w:r>
      <w:r w:rsidRPr="000C325F">
        <w:t xml:space="preserve">clear </w:t>
      </w:r>
      <w:r>
        <w:t xml:space="preserve">a </w:t>
      </w:r>
      <w:r w:rsidRPr="000C325F">
        <w:t xml:space="preserve">person is entitled to </w:t>
      </w:r>
      <w:r>
        <w:t xml:space="preserve">go </w:t>
      </w:r>
      <w:r w:rsidRPr="000C325F">
        <w:t>through the courts</w:t>
      </w:r>
      <w:r>
        <w:t>, should they not wish to access the scheme</w:t>
      </w:r>
      <w:r w:rsidR="00D03602">
        <w:t xml:space="preserve"> </w:t>
      </w:r>
      <w:r w:rsidR="000B1183" w:rsidRPr="007B5C70">
        <w:t>at all</w:t>
      </w:r>
      <w:r w:rsidR="000B1183" w:rsidRPr="000B1183">
        <w:t xml:space="preserve"> </w:t>
      </w:r>
      <w:r w:rsidR="000B1183" w:rsidRPr="007B5C70">
        <w:t>or choose not to accept an amount they are eligible to receive under it</w:t>
      </w:r>
      <w:r w:rsidRPr="000C325F">
        <w:t xml:space="preserve">. Individuals who access the scheme will not be able to seek judicial review or external merits review under social security law in relation to </w:t>
      </w:r>
      <w:r w:rsidR="008F3DAE">
        <w:t>a</w:t>
      </w:r>
      <w:r w:rsidR="008F3DAE" w:rsidRPr="000C325F">
        <w:t xml:space="preserve"> </w:t>
      </w:r>
      <w:r w:rsidRPr="000C325F">
        <w:t xml:space="preserve">decision </w:t>
      </w:r>
      <w:r w:rsidR="00340E63">
        <w:t xml:space="preserve">they are </w:t>
      </w:r>
      <w:r w:rsidR="00CA7FFE">
        <w:t>eligible for</w:t>
      </w:r>
      <w:r w:rsidR="0027105D">
        <w:t xml:space="preserve"> </w:t>
      </w:r>
      <w:r w:rsidRPr="000C325F">
        <w:t xml:space="preserve">a </w:t>
      </w:r>
      <w:r w:rsidR="00F256EF">
        <w:t>resolution payment</w:t>
      </w:r>
      <w:r w:rsidRPr="000C325F">
        <w:t>.</w:t>
      </w:r>
    </w:p>
    <w:p w14:paraId="3A24F434" w14:textId="1E028493" w:rsidR="00253E24" w:rsidRDefault="00DC226F" w:rsidP="0012638D">
      <w:pPr>
        <w:spacing w:line="240" w:lineRule="auto"/>
      </w:pPr>
      <w:r w:rsidRPr="005C0060">
        <w:t xml:space="preserve">The </w:t>
      </w:r>
      <w:r>
        <w:t>re</w:t>
      </w:r>
      <w:r w:rsidR="00135693">
        <w:t>solution</w:t>
      </w:r>
      <w:r>
        <w:t xml:space="preserve"> scheme</w:t>
      </w:r>
      <w:r w:rsidRPr="00FF023D">
        <w:t xml:space="preserve"> </w:t>
      </w:r>
      <w:r w:rsidRPr="005C0060">
        <w:t xml:space="preserve">would be open </w:t>
      </w:r>
      <w:r w:rsidRPr="002B72BC">
        <w:t xml:space="preserve">for </w:t>
      </w:r>
      <w:r w:rsidR="008B105B">
        <w:t>applications for</w:t>
      </w:r>
      <w:r w:rsidRPr="002B72BC">
        <w:t xml:space="preserve"> </w:t>
      </w:r>
      <w:r>
        <w:t>1</w:t>
      </w:r>
      <w:r w:rsidRPr="00745DD0">
        <w:t xml:space="preserve"> year</w:t>
      </w:r>
      <w:r w:rsidRPr="005C0060">
        <w:t xml:space="preserve"> from its commencement</w:t>
      </w:r>
      <w:r w:rsidR="005924D4">
        <w:t xml:space="preserve">, allowing a </w:t>
      </w:r>
      <w:r>
        <w:t xml:space="preserve">reasonable timeframe for people to seek reparation. </w:t>
      </w:r>
      <w:r w:rsidR="008B105B">
        <w:t xml:space="preserve">Services Australia will process these applications </w:t>
      </w:r>
      <w:r w:rsidR="00870AA7">
        <w:t>by June 2029</w:t>
      </w:r>
      <w:r w:rsidR="00AF2215">
        <w:t>, depending on uptake</w:t>
      </w:r>
      <w:r w:rsidR="001E4E27">
        <w:t xml:space="preserve">. </w:t>
      </w:r>
      <w:r>
        <w:t>The scheme</w:t>
      </w:r>
      <w:r w:rsidRPr="00FF023D">
        <w:t xml:space="preserve"> </w:t>
      </w:r>
      <w:r w:rsidRPr="005C0060">
        <w:t>would be accompanied by effective communication and support measures, with particular focus on vulnerable and disengaged cohorts</w:t>
      </w:r>
      <w:r>
        <w:t>, to ensure people are aware of and able to engage with the scheme</w:t>
      </w:r>
      <w:r w:rsidRPr="005C0060">
        <w:t xml:space="preserve">. </w:t>
      </w:r>
    </w:p>
    <w:p w14:paraId="6ECF8C36" w14:textId="57BA2227" w:rsidR="009D22E3" w:rsidRDefault="00253E24" w:rsidP="0012638D">
      <w:pPr>
        <w:spacing w:line="240" w:lineRule="auto"/>
      </w:pPr>
      <w:r>
        <w:br w:type="page"/>
      </w:r>
    </w:p>
    <w:p w14:paraId="311E6E35" w14:textId="080182FF" w:rsidR="00B308A2" w:rsidRPr="00B308A2" w:rsidRDefault="00405232" w:rsidP="0012638D">
      <w:pPr>
        <w:pStyle w:val="Heading1"/>
        <w:numPr>
          <w:ilvl w:val="0"/>
          <w:numId w:val="12"/>
        </w:numPr>
      </w:pPr>
      <w:bookmarkStart w:id="37" w:name="_Toc207097811"/>
      <w:r>
        <w:lastRenderedPageBreak/>
        <w:t>What is the likely net benefit</w:t>
      </w:r>
      <w:r w:rsidR="00400D83">
        <w:t xml:space="preserve"> and risks</w:t>
      </w:r>
      <w:r>
        <w:t xml:space="preserve"> of each option?</w:t>
      </w:r>
      <w:bookmarkEnd w:id="37"/>
    </w:p>
    <w:p w14:paraId="0E20C516" w14:textId="22D46B75" w:rsidR="00621C0D" w:rsidRDefault="00304EA3" w:rsidP="0012638D">
      <w:pPr>
        <w:spacing w:line="240" w:lineRule="auto"/>
      </w:pPr>
      <w:r>
        <w:t xml:space="preserve">This </w:t>
      </w:r>
      <w:r w:rsidR="00621C0D" w:rsidRPr="00304EA3">
        <w:t>I</w:t>
      </w:r>
      <w:r w:rsidR="00621C0D">
        <w:t xml:space="preserve">mpact </w:t>
      </w:r>
      <w:r w:rsidR="00621C0D" w:rsidRPr="00304EA3">
        <w:t>A</w:t>
      </w:r>
      <w:r w:rsidR="00621C0D">
        <w:t>nalysis</w:t>
      </w:r>
      <w:r w:rsidR="00621C0D" w:rsidRPr="00304EA3">
        <w:t xml:space="preserve"> uses a multi-criteria analysis as the method to compare impacts of option</w:t>
      </w:r>
      <w:r w:rsidR="00253E24">
        <w:t>s</w:t>
      </w:r>
      <w:r w:rsidR="00621C0D" w:rsidRPr="00304EA3">
        <w:t xml:space="preserve">, </w:t>
      </w:r>
      <w:r w:rsidR="00621C0D">
        <w:t>focussing on lawfulness, fairness and timeliness.</w:t>
      </w:r>
      <w:r>
        <w:t xml:space="preserve"> This is because a</w:t>
      </w:r>
      <w:r w:rsidR="00621C0D">
        <w:t xml:space="preserve">vailable data does not enable a cost-benefit </w:t>
      </w:r>
      <w:r>
        <w:t xml:space="preserve">analysis </w:t>
      </w:r>
      <w:r w:rsidR="00621C0D">
        <w:t xml:space="preserve">or cost-effectiveness analysis as it is not possible to ascertain all individuals who have </w:t>
      </w:r>
      <w:r w:rsidR="00117E93">
        <w:t xml:space="preserve">(or have had) debts affected </w:t>
      </w:r>
      <w:r w:rsidR="00621C0D">
        <w:t>by income apportionment</w:t>
      </w:r>
      <w:r w:rsidR="00117E93">
        <w:t>, and the extent to which each individual debt has been affected</w:t>
      </w:r>
      <w:r w:rsidR="00621C0D">
        <w:t xml:space="preserve">. Rather, it is more appropriate to have a </w:t>
      </w:r>
      <w:r w:rsidR="006121F5">
        <w:t>solution focus</w:t>
      </w:r>
      <w:r w:rsidR="00E746A5">
        <w:t>ed</w:t>
      </w:r>
      <w:r w:rsidR="006121F5">
        <w:t xml:space="preserve"> on outcomes that are</w:t>
      </w:r>
      <w:r w:rsidR="00621C0D">
        <w:t xml:space="preserve"> fair </w:t>
      </w:r>
      <w:r w:rsidR="006121F5">
        <w:t>across stakeholder groups</w:t>
      </w:r>
      <w:r w:rsidR="00E746A5">
        <w:t>, lawful</w:t>
      </w:r>
      <w:r w:rsidR="00621C0D">
        <w:t xml:space="preserve"> and timely in implementation.  </w:t>
      </w:r>
    </w:p>
    <w:p w14:paraId="53BCB3BA" w14:textId="501ACDF1" w:rsidR="006121F5" w:rsidRPr="006121F5" w:rsidRDefault="006121F5" w:rsidP="0012638D">
      <w:pPr>
        <w:spacing w:line="240" w:lineRule="auto"/>
      </w:pPr>
      <w:r>
        <w:t xml:space="preserve">The limitations of this analysis are outlined below.  </w:t>
      </w:r>
    </w:p>
    <w:p w14:paraId="2EDCDC2B" w14:textId="454C5DB6" w:rsidR="0025374B" w:rsidRPr="009E506A" w:rsidRDefault="0025374B" w:rsidP="0012638D">
      <w:pPr>
        <w:spacing w:line="240" w:lineRule="auto"/>
        <w:rPr>
          <w:b/>
          <w:bCs/>
          <w:i/>
          <w:iCs/>
          <w:lang w:val="en-US"/>
        </w:rPr>
      </w:pPr>
      <w:r w:rsidRPr="009E506A">
        <w:rPr>
          <w:b/>
          <w:bCs/>
          <w:i/>
          <w:iCs/>
          <w:lang w:val="en-US"/>
        </w:rPr>
        <w:t xml:space="preserve">Limitations </w:t>
      </w:r>
    </w:p>
    <w:p w14:paraId="3DF50266" w14:textId="4C323C57" w:rsidR="00B308A2" w:rsidRDefault="00B308A2" w:rsidP="0012638D">
      <w:pPr>
        <w:spacing w:line="240" w:lineRule="auto"/>
      </w:pPr>
      <w:r>
        <w:t xml:space="preserve">In providing an assessment of the net benefits and risks of each option, it is important to acknowledge </w:t>
      </w:r>
      <w:r w:rsidR="00A60CC5">
        <w:t xml:space="preserve">this </w:t>
      </w:r>
      <w:r>
        <w:t xml:space="preserve">analysis </w:t>
      </w:r>
      <w:r w:rsidR="007317B0">
        <w:t xml:space="preserve">is </w:t>
      </w:r>
      <w:r>
        <w:t>affected by the following limitations:</w:t>
      </w:r>
    </w:p>
    <w:p w14:paraId="7F746022" w14:textId="0E8FE362" w:rsidR="00B308A2" w:rsidRDefault="007317B0" w:rsidP="0012638D">
      <w:pPr>
        <w:pStyle w:val="ListParagraph"/>
        <w:numPr>
          <w:ilvl w:val="0"/>
          <w:numId w:val="31"/>
        </w:numPr>
        <w:spacing w:line="240" w:lineRule="auto"/>
      </w:pPr>
      <w:r>
        <w:t xml:space="preserve">Income apportionment goes back </w:t>
      </w:r>
      <w:r w:rsidR="0079419E">
        <w:t>several years</w:t>
      </w:r>
      <w:r w:rsidR="003F59F2">
        <w:t>.</w:t>
      </w:r>
      <w:r>
        <w:t xml:space="preserve"> </w:t>
      </w:r>
      <w:r w:rsidR="00B308A2">
        <w:t xml:space="preserve">It is unclear exactly how </w:t>
      </w:r>
      <w:r>
        <w:t xml:space="preserve">many debts are affected by income apportionment. </w:t>
      </w:r>
      <w:r w:rsidR="003B2ED7">
        <w:t xml:space="preserve">The </w:t>
      </w:r>
      <w:r>
        <w:t xml:space="preserve">best estimate is at least </w:t>
      </w:r>
      <w:r w:rsidR="00A60CC5">
        <w:t xml:space="preserve">5.5 million </w:t>
      </w:r>
      <w:r>
        <w:t xml:space="preserve">debts are </w:t>
      </w:r>
      <w:r w:rsidR="00A60CC5">
        <w:t>potentially affected</w:t>
      </w:r>
      <w:r>
        <w:t xml:space="preserve">. </w:t>
      </w:r>
    </w:p>
    <w:p w14:paraId="547A161F" w14:textId="76013E81" w:rsidR="00544743" w:rsidRPr="00544743" w:rsidRDefault="00A60CC5" w:rsidP="0012638D">
      <w:pPr>
        <w:pStyle w:val="ListParagraph"/>
        <w:numPr>
          <w:ilvl w:val="0"/>
          <w:numId w:val="31"/>
        </w:numPr>
        <w:spacing w:line="240" w:lineRule="auto"/>
      </w:pPr>
      <w:r>
        <w:t xml:space="preserve">The exploratory sampling undertaken by Services Australia provides an indication of the overall </w:t>
      </w:r>
      <w:r w:rsidR="0025374B">
        <w:t xml:space="preserve">prevalence and </w:t>
      </w:r>
      <w:r>
        <w:t>effect of income apportionment</w:t>
      </w:r>
      <w:r w:rsidR="00544743">
        <w:t xml:space="preserve">. The </w:t>
      </w:r>
      <w:r w:rsidR="00544743" w:rsidRPr="00544743">
        <w:t xml:space="preserve">sample was selected to ensure it was representative in terms of payments potentially affected, and the years in which income apportionment was likely used. </w:t>
      </w:r>
      <w:r w:rsidR="00021843">
        <w:t xml:space="preserve">It is also based on the calculation methodology upheld in </w:t>
      </w:r>
      <w:r w:rsidR="00021843" w:rsidRPr="002C237E">
        <w:rPr>
          <w:i/>
          <w:iCs/>
        </w:rPr>
        <w:t>Chaplin</w:t>
      </w:r>
      <w:r w:rsidR="00021843">
        <w:t xml:space="preserve">. </w:t>
      </w:r>
      <w:r w:rsidR="00544743">
        <w:t xml:space="preserve">However: </w:t>
      </w:r>
    </w:p>
    <w:p w14:paraId="0A1812E7" w14:textId="5385AFBC" w:rsidR="00A60CC5" w:rsidRDefault="00A60CC5" w:rsidP="0012638D">
      <w:pPr>
        <w:pStyle w:val="ListParagraph"/>
        <w:numPr>
          <w:ilvl w:val="1"/>
          <w:numId w:val="31"/>
        </w:numPr>
        <w:spacing w:line="240" w:lineRule="auto"/>
      </w:pPr>
      <w:r>
        <w:t xml:space="preserve">Services Australia did not contact employers or financial institutions for additional </w:t>
      </w:r>
      <w:r w:rsidR="00F0600D">
        <w:t>information</w:t>
      </w:r>
      <w:r>
        <w:t xml:space="preserve"> </w:t>
      </w:r>
      <w:r w:rsidR="00414AB3">
        <w:t>when reviewing debts in the sample</w:t>
      </w:r>
      <w:r w:rsidR="0025374B">
        <w:t>.</w:t>
      </w:r>
    </w:p>
    <w:p w14:paraId="12CAB7C4" w14:textId="543B9185" w:rsidR="00414AB3" w:rsidRDefault="00414AB3" w:rsidP="0012638D">
      <w:pPr>
        <w:pStyle w:val="ListParagraph"/>
        <w:numPr>
          <w:ilvl w:val="1"/>
          <w:numId w:val="31"/>
        </w:numPr>
        <w:spacing w:line="240" w:lineRule="auto"/>
      </w:pPr>
      <w:r>
        <w:t>It only incudes debts relating to payments</w:t>
      </w:r>
      <w:r w:rsidRPr="00A60CC5">
        <w:t xml:space="preserve"> </w:t>
      </w:r>
      <w:r>
        <w:t xml:space="preserve">after </w:t>
      </w:r>
      <w:r w:rsidRPr="00A60CC5">
        <w:t>2003.</w:t>
      </w:r>
    </w:p>
    <w:p w14:paraId="1CFDA9F9" w14:textId="199DA368" w:rsidR="00E20B67" w:rsidRDefault="00E20B67" w:rsidP="0012638D">
      <w:pPr>
        <w:pStyle w:val="ListParagraph"/>
        <w:numPr>
          <w:ilvl w:val="0"/>
          <w:numId w:val="31"/>
        </w:numPr>
        <w:spacing w:line="240" w:lineRule="auto"/>
      </w:pPr>
      <w:r>
        <w:t xml:space="preserve">It is not possible to confidently predict how people will respond to certain options (for example, how many eligible people will choose to apply for a </w:t>
      </w:r>
      <w:r w:rsidR="00135693">
        <w:t>resolution scheme</w:t>
      </w:r>
      <w:r>
        <w:t xml:space="preserve">). </w:t>
      </w:r>
    </w:p>
    <w:p w14:paraId="703E2456" w14:textId="52BBE2A6" w:rsidR="00C23088" w:rsidRDefault="00AC2699" w:rsidP="0012638D">
      <w:pPr>
        <w:pStyle w:val="Heading2"/>
      </w:pPr>
      <w:bookmarkStart w:id="38" w:name="_Toc204152071"/>
      <w:bookmarkStart w:id="39" w:name="_Toc207097812"/>
      <w:r>
        <w:t>4.1 S</w:t>
      </w:r>
      <w:r w:rsidR="00C23088">
        <w:t>tatus quo (no Government Action)</w:t>
      </w:r>
      <w:bookmarkEnd w:id="38"/>
      <w:bookmarkEnd w:id="39"/>
    </w:p>
    <w:p w14:paraId="1B04DDAC" w14:textId="77777777" w:rsidR="00C23088" w:rsidRPr="003061F5" w:rsidRDefault="00C23088" w:rsidP="0012638D">
      <w:pPr>
        <w:pStyle w:val="Heading3"/>
        <w:spacing w:line="240" w:lineRule="auto"/>
      </w:pPr>
      <w:r w:rsidRPr="003061F5">
        <w:t>Lawfulness</w:t>
      </w:r>
      <w:r>
        <w:t xml:space="preserve"> </w:t>
      </w:r>
    </w:p>
    <w:p w14:paraId="055C6ECC" w14:textId="02424A4C" w:rsidR="003D37AE" w:rsidRDefault="003D37AE" w:rsidP="0012638D">
      <w:pPr>
        <w:spacing w:line="240" w:lineRule="auto"/>
      </w:pPr>
      <w:r w:rsidRPr="00ED1A82">
        <w:t>Retaining the status quo would mean that the 5.5 million historical debts potentially affected by income apportionment would remain as is</w:t>
      </w:r>
      <w:r w:rsidRPr="001A2301">
        <w:t xml:space="preserve">. </w:t>
      </w:r>
      <w:r w:rsidRPr="00ED1A82">
        <w:t>The 160,000 paused debts would remain that way in perpetuity</w:t>
      </w:r>
      <w:r w:rsidR="00AB7E14">
        <w:t>.</w:t>
      </w:r>
      <w:r w:rsidRPr="00ED1A82">
        <w:t xml:space="preserve"> This would not be consistent with the Government’s public position that income apportionment needs to be resolved; nor with the decision in </w:t>
      </w:r>
      <w:r w:rsidRPr="00ED1A82">
        <w:rPr>
          <w:i/>
          <w:iCs/>
        </w:rPr>
        <w:t>Chaplin</w:t>
      </w:r>
      <w:r w:rsidRPr="00ED1A82">
        <w:rPr>
          <w:iCs/>
        </w:rPr>
        <w:t>, which has</w:t>
      </w:r>
      <w:r w:rsidRPr="00ED1A82">
        <w:t xml:space="preserve"> provided a methodology for recalculating income apportionment affected debts (and one which aligns with the approach contended by the </w:t>
      </w:r>
      <w:r w:rsidR="0079419E">
        <w:t>Department</w:t>
      </w:r>
      <w:r w:rsidRPr="00ED1A82">
        <w:t>).</w:t>
      </w:r>
    </w:p>
    <w:p w14:paraId="60DC94DD" w14:textId="293184A2" w:rsidR="00C23088" w:rsidRPr="003061F5" w:rsidRDefault="00C23088" w:rsidP="0012638D">
      <w:pPr>
        <w:pStyle w:val="Heading3"/>
        <w:spacing w:line="240" w:lineRule="auto"/>
      </w:pPr>
      <w:r w:rsidRPr="003061F5">
        <w:lastRenderedPageBreak/>
        <w:t xml:space="preserve">Fairness </w:t>
      </w:r>
    </w:p>
    <w:p w14:paraId="0947C4F8" w14:textId="0AEE1F7F" w:rsidR="00C23088" w:rsidRDefault="00C23088" w:rsidP="0012638D">
      <w:pPr>
        <w:spacing w:after="0" w:line="240" w:lineRule="auto"/>
        <w:rPr>
          <w:rFonts w:ascii="Times New Roman" w:hAnsi="Times New Roman" w:cs="Times New Roman"/>
          <w:sz w:val="24"/>
          <w:szCs w:val="24"/>
          <w:lang w:eastAsia="en-AU"/>
        </w:rPr>
      </w:pPr>
      <w:r w:rsidRPr="003061F5">
        <w:t xml:space="preserve">This approach </w:t>
      </w:r>
      <w:r>
        <w:t xml:space="preserve">is not fair, particularly for those people who have had their debt activity paused while the Government resolved income apportionment, but also for those with a </w:t>
      </w:r>
      <w:r w:rsidR="00D57B5B">
        <w:t>historical</w:t>
      </w:r>
      <w:r>
        <w:t xml:space="preserve"> debt they have paid off</w:t>
      </w:r>
      <w:r w:rsidR="0087728F">
        <w:t>,</w:t>
      </w:r>
      <w:r>
        <w:t xml:space="preserve"> but which may have been affected by income apportionment.</w:t>
      </w:r>
      <w:r>
        <w:rPr>
          <w:rFonts w:ascii="Times New Roman" w:hAnsi="Times New Roman" w:cs="Times New Roman"/>
          <w:sz w:val="24"/>
          <w:szCs w:val="24"/>
          <w:lang w:eastAsia="en-AU"/>
        </w:rPr>
        <w:t xml:space="preserve"> </w:t>
      </w:r>
    </w:p>
    <w:p w14:paraId="215C1A0A" w14:textId="77777777" w:rsidR="00C23088" w:rsidRDefault="00C23088" w:rsidP="0012638D">
      <w:pPr>
        <w:spacing w:after="0" w:line="240" w:lineRule="auto"/>
        <w:rPr>
          <w:rFonts w:ascii="Times New Roman" w:hAnsi="Times New Roman" w:cs="Times New Roman"/>
          <w:sz w:val="24"/>
          <w:szCs w:val="24"/>
          <w:lang w:eastAsia="en-AU"/>
        </w:rPr>
      </w:pPr>
    </w:p>
    <w:p w14:paraId="655FB118" w14:textId="3BC3F8CE" w:rsidR="00C23088" w:rsidRPr="003061F5" w:rsidRDefault="00C23088" w:rsidP="0012638D">
      <w:pPr>
        <w:spacing w:line="240" w:lineRule="auto"/>
      </w:pPr>
      <w:r>
        <w:t xml:space="preserve">Those with recovery paused </w:t>
      </w:r>
      <w:r w:rsidR="00D504ED">
        <w:t xml:space="preserve">won’t have to repay their debt but </w:t>
      </w:r>
      <w:r>
        <w:t xml:space="preserve">would have to live with the possibility of recovery recommencing at any point in the future. The difficulties reported by </w:t>
      </w:r>
      <w:r w:rsidRPr="003061F5">
        <w:t xml:space="preserve">people with </w:t>
      </w:r>
      <w:r>
        <w:t xml:space="preserve">paused </w:t>
      </w:r>
      <w:r w:rsidRPr="003061F5">
        <w:t xml:space="preserve">debts </w:t>
      </w:r>
      <w:r>
        <w:t xml:space="preserve">(including those </w:t>
      </w:r>
      <w:r w:rsidRPr="003061F5">
        <w:t>under review</w:t>
      </w:r>
      <w:r>
        <w:t xml:space="preserve">), such as </w:t>
      </w:r>
      <w:r w:rsidR="00FB307C">
        <w:t xml:space="preserve">those relating to </w:t>
      </w:r>
      <w:r w:rsidRPr="003061F5">
        <w:t>loan approvals, employment opportunities or the finalisation of estates hindered due to an outstanding social security debt</w:t>
      </w:r>
      <w:r>
        <w:t xml:space="preserve">, would continue. This impact must be considered in decision making. Using the value of a </w:t>
      </w:r>
      <w:r w:rsidRPr="0062098C">
        <w:t xml:space="preserve">statistical life year </w:t>
      </w:r>
      <w:r>
        <w:t>of</w:t>
      </w:r>
      <w:r w:rsidRPr="0062098C">
        <w:t xml:space="preserve"> $2</w:t>
      </w:r>
      <w:r w:rsidR="00154504">
        <w:t>4</w:t>
      </w:r>
      <w:r w:rsidRPr="0062098C">
        <w:t>5,000 in 202</w:t>
      </w:r>
      <w:r w:rsidR="00154504">
        <w:t>4</w:t>
      </w:r>
      <w:r w:rsidRPr="0062098C">
        <w:t xml:space="preserve"> dollars</w:t>
      </w:r>
      <w:r>
        <w:t>,</w:t>
      </w:r>
      <w:r>
        <w:rPr>
          <w:rStyle w:val="FootnoteReference"/>
        </w:rPr>
        <w:footnoteReference w:id="4"/>
      </w:r>
      <w:r>
        <w:t xml:space="preserve"> if the inconvenience and uncertainty around </w:t>
      </w:r>
      <w:r w:rsidR="009E26B3">
        <w:t xml:space="preserve">each of the 160,000 </w:t>
      </w:r>
      <w:r>
        <w:t>perpetually paused debt</w:t>
      </w:r>
      <w:r w:rsidR="009E26B3">
        <w:t xml:space="preserve"> activities</w:t>
      </w:r>
      <w:r>
        <w:t xml:space="preserve"> </w:t>
      </w:r>
      <w:r w:rsidR="009E26B3">
        <w:t xml:space="preserve">was associated with </w:t>
      </w:r>
      <w:r w:rsidR="0068683F">
        <w:t xml:space="preserve">even just a </w:t>
      </w:r>
      <w:r w:rsidR="0079419E">
        <w:t>0.5</w:t>
      </w:r>
      <w:r w:rsidRPr="0031691C">
        <w:t>%</w:t>
      </w:r>
      <w:r>
        <w:t xml:space="preserve"> reduction in quality of life</w:t>
      </w:r>
      <w:r w:rsidR="009E26B3">
        <w:t xml:space="preserve"> (noting some people may have multiple affected debt activities)</w:t>
      </w:r>
      <w:r>
        <w:t>, every year these debts remain paused would cost around $</w:t>
      </w:r>
      <w:r w:rsidR="0079419E">
        <w:t xml:space="preserve">196 </w:t>
      </w:r>
      <w:r>
        <w:t>million annually (in 202</w:t>
      </w:r>
      <w:r w:rsidR="00A9485C">
        <w:t>4</w:t>
      </w:r>
      <w:r>
        <w:t xml:space="preserve"> dollars) in statistical life year terms.  </w:t>
      </w:r>
    </w:p>
    <w:p w14:paraId="2319E027" w14:textId="4216ADC9" w:rsidR="00C23088" w:rsidRDefault="00C23088" w:rsidP="0012638D">
      <w:pPr>
        <w:spacing w:line="240" w:lineRule="auto"/>
      </w:pPr>
      <w:r>
        <w:t xml:space="preserve">Those with historical debts potentially affected by income apportionment </w:t>
      </w:r>
      <w:r w:rsidR="008F25BB">
        <w:t xml:space="preserve">that are fully paid off </w:t>
      </w:r>
      <w:r w:rsidR="00B87DEA">
        <w:t>will r</w:t>
      </w:r>
      <w:r w:rsidR="008F4C08">
        <w:t>emain likely unaware they have a</w:t>
      </w:r>
      <w:r w:rsidR="00112D6F">
        <w:t xml:space="preserve"> potentially </w:t>
      </w:r>
      <w:r w:rsidR="008F4C08">
        <w:t>affected debt.</w:t>
      </w:r>
      <w:r w:rsidR="00B87DEA">
        <w:t xml:space="preserve"> </w:t>
      </w:r>
    </w:p>
    <w:p w14:paraId="32B90A5E" w14:textId="77777777" w:rsidR="00C23088" w:rsidRDefault="00C23088" w:rsidP="0012638D">
      <w:pPr>
        <w:pStyle w:val="Heading3"/>
        <w:spacing w:line="240" w:lineRule="auto"/>
      </w:pPr>
      <w:r>
        <w:t>Timeliness</w:t>
      </w:r>
    </w:p>
    <w:p w14:paraId="7FCF7596" w14:textId="0CBC7225" w:rsidR="00C23088" w:rsidRDefault="00C23088" w:rsidP="0012638D">
      <w:pPr>
        <w:spacing w:line="240" w:lineRule="auto"/>
      </w:pPr>
      <w:r>
        <w:t xml:space="preserve">While this option, being the status quo, won’t take any time to deliver, it is not timely in the sense it does not provide any meaningful resolution to potentially affected </w:t>
      </w:r>
      <w:r w:rsidR="00BC5F23">
        <w:t xml:space="preserve">people </w:t>
      </w:r>
      <w:r w:rsidR="00A542A6">
        <w:t xml:space="preserve">and perpetuates uncertainty for an indeterminate </w:t>
      </w:r>
      <w:r w:rsidR="00AE3EF8">
        <w:t>length of time.</w:t>
      </w:r>
    </w:p>
    <w:p w14:paraId="54DEF998" w14:textId="77777777" w:rsidR="00C23088" w:rsidRDefault="00C23088" w:rsidP="0012638D">
      <w:pPr>
        <w:pStyle w:val="Heading4"/>
        <w:spacing w:line="240" w:lineRule="auto"/>
      </w:pPr>
      <w:r>
        <w:t>Regulatory burden estimate</w:t>
      </w:r>
    </w:p>
    <w:p w14:paraId="091A3109" w14:textId="26B7EC0C" w:rsidR="00C23088" w:rsidRDefault="004E0A0A" w:rsidP="0012638D">
      <w:pPr>
        <w:spacing w:before="120" w:after="120" w:line="240" w:lineRule="auto"/>
      </w:pPr>
      <w:r>
        <w:t xml:space="preserve">As this option is the status quo, there are no additional regulatory costs on individuals, businesses or community organisations. However, as outlined above, the impacts of maintaining the status quo will be ongoing. </w:t>
      </w:r>
    </w:p>
    <w:p w14:paraId="047365F1" w14:textId="77777777" w:rsidR="00981685" w:rsidRDefault="00981685">
      <w:pPr>
        <w:spacing w:after="200" w:line="288" w:lineRule="auto"/>
        <w:rPr>
          <w:rFonts w:asciiTheme="majorHAnsi" w:eastAsiaTheme="majorEastAsia" w:hAnsiTheme="majorHAnsi" w:cstheme="majorBidi"/>
          <w:color w:val="1C2B39" w:themeColor="accent1"/>
          <w:sz w:val="36"/>
          <w:szCs w:val="28"/>
          <w:lang w:val="en-US"/>
        </w:rPr>
      </w:pPr>
      <w:r>
        <w:rPr>
          <w:lang w:val="en-US"/>
        </w:rPr>
        <w:br w:type="page"/>
      </w:r>
    </w:p>
    <w:p w14:paraId="2C764E6A" w14:textId="44978919" w:rsidR="00322C18" w:rsidRDefault="00322C18" w:rsidP="0012638D">
      <w:pPr>
        <w:pStyle w:val="Heading2"/>
        <w:rPr>
          <w:lang w:val="en-US"/>
        </w:rPr>
      </w:pPr>
      <w:bookmarkStart w:id="40" w:name="_Toc207097813"/>
      <w:r w:rsidRPr="00995541">
        <w:rPr>
          <w:lang w:val="en-US"/>
        </w:rPr>
        <w:lastRenderedPageBreak/>
        <w:t>4.</w:t>
      </w:r>
      <w:r w:rsidR="00AD1074">
        <w:rPr>
          <w:lang w:val="en-US"/>
        </w:rPr>
        <w:t>2</w:t>
      </w:r>
      <w:r w:rsidR="00B968E3">
        <w:rPr>
          <w:lang w:val="en-US"/>
        </w:rPr>
        <w:t xml:space="preserve"> </w:t>
      </w:r>
      <w:r w:rsidR="003D4304">
        <w:t>W</w:t>
      </w:r>
      <w:r w:rsidR="00895729">
        <w:t>aive all potentially affected debts</w:t>
      </w:r>
      <w:bookmarkEnd w:id="40"/>
    </w:p>
    <w:p w14:paraId="51AB15DE" w14:textId="2D2175DA" w:rsidR="00322C18" w:rsidRDefault="00322C18" w:rsidP="0012638D">
      <w:pPr>
        <w:pStyle w:val="Heading3"/>
        <w:spacing w:line="240" w:lineRule="auto"/>
      </w:pPr>
      <w:r>
        <w:t>Lawfulness</w:t>
      </w:r>
    </w:p>
    <w:p w14:paraId="09795E68" w14:textId="090B7D8F" w:rsidR="00F70981" w:rsidRDefault="00F70981" w:rsidP="0012638D">
      <w:pPr>
        <w:keepLines/>
        <w:spacing w:before="120" w:after="120" w:line="240" w:lineRule="auto"/>
      </w:pPr>
      <w:r>
        <w:t xml:space="preserve">This option would </w:t>
      </w:r>
      <w:r w:rsidR="00604B66">
        <w:t xml:space="preserve">involve </w:t>
      </w:r>
      <w:r>
        <w:t xml:space="preserve">a </w:t>
      </w:r>
      <w:r w:rsidR="00C355D3">
        <w:t>legislative change</w:t>
      </w:r>
      <w:r>
        <w:t xml:space="preserve"> specifying the </w:t>
      </w:r>
      <w:r w:rsidR="00C355D3">
        <w:t>eligibility for the waiver</w:t>
      </w:r>
      <w:r>
        <w:t>.</w:t>
      </w:r>
    </w:p>
    <w:p w14:paraId="7B37D8DD" w14:textId="77777777" w:rsidR="00322C18" w:rsidRPr="00370C1E" w:rsidRDefault="00322C18" w:rsidP="0012638D">
      <w:pPr>
        <w:pStyle w:val="Heading3"/>
        <w:spacing w:line="240" w:lineRule="auto"/>
      </w:pPr>
      <w:r w:rsidRPr="00370C1E">
        <w:t>Fairness</w:t>
      </w:r>
    </w:p>
    <w:p w14:paraId="58398046" w14:textId="77777777" w:rsidR="000E7356" w:rsidRDefault="000E7356" w:rsidP="0012638D">
      <w:pPr>
        <w:pStyle w:val="Heading4"/>
        <w:spacing w:line="240" w:lineRule="auto"/>
        <w:rPr>
          <w:i/>
          <w:iCs/>
        </w:rPr>
      </w:pPr>
      <w:r w:rsidRPr="00370C1E">
        <w:rPr>
          <w:i/>
          <w:iCs/>
        </w:rPr>
        <w:t>For affected individuals</w:t>
      </w:r>
    </w:p>
    <w:p w14:paraId="4084B588" w14:textId="04ABCD5A" w:rsidR="006C209C" w:rsidRPr="00215CEE" w:rsidRDefault="006C209C" w:rsidP="006C209C">
      <w:pPr>
        <w:keepLines/>
        <w:spacing w:before="120" w:after="120" w:line="240" w:lineRule="auto"/>
      </w:pPr>
      <w:r w:rsidRPr="00215CEE">
        <w:t xml:space="preserve">Given it is </w:t>
      </w:r>
      <w:r>
        <w:t>im</w:t>
      </w:r>
      <w:r w:rsidRPr="00215CEE">
        <w:t xml:space="preserve">possible to identify which of the historical cohort of debts potentially affected by income apportionment are actually affected by this issue without a manual investigation of each individual debt, this </w:t>
      </w:r>
      <w:r w:rsidR="000B6126">
        <w:t>option</w:t>
      </w:r>
      <w:r w:rsidRPr="00215CEE">
        <w:t xml:space="preserve"> would entail </w:t>
      </w:r>
      <w:r>
        <w:t>waiving</w:t>
      </w:r>
      <w:r w:rsidRPr="00215CEE">
        <w:t xml:space="preserve"> and refunding</w:t>
      </w:r>
      <w:r>
        <w:t xml:space="preserve"> </w:t>
      </w:r>
      <w:r w:rsidRPr="00215CEE">
        <w:t>all</w:t>
      </w:r>
      <w:r w:rsidRPr="00215CEE" w:rsidDel="00C7202F">
        <w:t xml:space="preserve"> </w:t>
      </w:r>
      <w:r w:rsidRPr="00215CEE">
        <w:t>potentially affected debts.</w:t>
      </w:r>
    </w:p>
    <w:p w14:paraId="30FAE07C" w14:textId="776A4B09" w:rsidR="000E7356" w:rsidRDefault="000E7356" w:rsidP="0012638D">
      <w:pPr>
        <w:spacing w:before="120" w:after="120" w:line="240" w:lineRule="auto"/>
      </w:pPr>
      <w:r>
        <w:t xml:space="preserve">Those eligible for the waiver would receive a refund of any amounts paid towards their debt and may consider this a fair outcome. The amount of the refund would be equivalent to the amount of debt paid. For those currently paying off their debt, they would no longer be required to do so. </w:t>
      </w:r>
    </w:p>
    <w:p w14:paraId="2382D3D5" w14:textId="6FA2BF5C" w:rsidR="000E7356" w:rsidRDefault="000E7356" w:rsidP="0012638D">
      <w:pPr>
        <w:spacing w:before="120" w:after="120" w:line="240" w:lineRule="auto"/>
      </w:pPr>
      <w:r>
        <w:t xml:space="preserve">This approach also means people with outstanding debts no longer </w:t>
      </w:r>
      <w:r w:rsidR="0079419E">
        <w:t xml:space="preserve">need </w:t>
      </w:r>
      <w:r>
        <w:t>to engage with the administrative processes regarding their debt, including:</w:t>
      </w:r>
    </w:p>
    <w:p w14:paraId="6D056399" w14:textId="77777777" w:rsidR="000E7356" w:rsidRDefault="000E7356" w:rsidP="0012638D">
      <w:pPr>
        <w:pStyle w:val="ListParagraph"/>
        <w:numPr>
          <w:ilvl w:val="0"/>
          <w:numId w:val="20"/>
        </w:numPr>
        <w:spacing w:before="120" w:after="120" w:line="240" w:lineRule="auto"/>
      </w:pPr>
      <w:r>
        <w:t>Engaging with Services Australia around repayments</w:t>
      </w:r>
    </w:p>
    <w:p w14:paraId="02CAE0E4" w14:textId="77777777" w:rsidR="000E7356" w:rsidRDefault="000E7356" w:rsidP="0012638D">
      <w:pPr>
        <w:pStyle w:val="ListParagraph"/>
        <w:numPr>
          <w:ilvl w:val="0"/>
          <w:numId w:val="20"/>
        </w:numPr>
        <w:spacing w:before="120" w:after="120" w:line="240" w:lineRule="auto"/>
      </w:pPr>
      <w:r>
        <w:t>Understanding and responding to notices from Services Australia</w:t>
      </w:r>
    </w:p>
    <w:p w14:paraId="3C224B7E" w14:textId="77777777" w:rsidR="000E7356" w:rsidRDefault="000E7356" w:rsidP="0012638D">
      <w:pPr>
        <w:pStyle w:val="ListParagraph"/>
        <w:numPr>
          <w:ilvl w:val="0"/>
          <w:numId w:val="20"/>
        </w:numPr>
        <w:spacing w:before="120" w:after="120" w:line="240" w:lineRule="auto"/>
      </w:pPr>
      <w:r>
        <w:t xml:space="preserve">Engaging with the review and appeal process for their debts. </w:t>
      </w:r>
    </w:p>
    <w:p w14:paraId="0AB6F141" w14:textId="77777777" w:rsidR="000E7356" w:rsidRDefault="000E7356" w:rsidP="0012638D">
      <w:pPr>
        <w:spacing w:before="120" w:after="120" w:line="240" w:lineRule="auto"/>
      </w:pPr>
      <w:r>
        <w:t xml:space="preserve">However, for a substantial cohort of people, they will need to re-engage with Services Australia to update their details for the waiver to be applied. </w:t>
      </w:r>
    </w:p>
    <w:p w14:paraId="2751F1E1" w14:textId="67527535" w:rsidR="000E7356" w:rsidRDefault="000E7356" w:rsidP="0012638D">
      <w:pPr>
        <w:spacing w:before="120" w:after="120" w:line="240" w:lineRule="auto"/>
      </w:pPr>
      <w:r>
        <w:t xml:space="preserve">Many people will have changed addresses, contact details or bank details; this will complicate refunds. Some people will never be able to be refunded, as Services Australia will </w:t>
      </w:r>
      <w:r w:rsidR="00EB6DEE">
        <w:t xml:space="preserve">be unable </w:t>
      </w:r>
      <w:r>
        <w:t xml:space="preserve">to contact them. </w:t>
      </w:r>
      <w:r w:rsidR="00291077">
        <w:t>Given income apportionment is a longstanding issue, there will be affected debts that belonged to people who have since passed away.</w:t>
      </w:r>
    </w:p>
    <w:p w14:paraId="0DB8FF1C" w14:textId="6F3B9604" w:rsidR="000E7356" w:rsidRDefault="000E7356" w:rsidP="0012638D">
      <w:pPr>
        <w:spacing w:before="120" w:after="120" w:line="240" w:lineRule="auto"/>
      </w:pPr>
      <w:r>
        <w:t>Given the above considerations, waiving all potentially affected debts will take many years to be completed by Services Australia though would be quicker than identification and recalculation of debts (</w:t>
      </w:r>
      <w:r w:rsidR="000B3669">
        <w:t xml:space="preserve">refer </w:t>
      </w:r>
      <w:r>
        <w:t xml:space="preserve">option 3). </w:t>
      </w:r>
    </w:p>
    <w:p w14:paraId="767C75F2" w14:textId="5E7B177E" w:rsidR="00322C18" w:rsidRDefault="00322C18" w:rsidP="0012638D">
      <w:pPr>
        <w:pStyle w:val="Heading4"/>
        <w:spacing w:line="240" w:lineRule="auto"/>
        <w:rPr>
          <w:i/>
          <w:iCs/>
        </w:rPr>
      </w:pPr>
      <w:r w:rsidRPr="00370C1E">
        <w:rPr>
          <w:i/>
          <w:iCs/>
        </w:rPr>
        <w:t>For the broader public</w:t>
      </w:r>
    </w:p>
    <w:p w14:paraId="5B4B7737" w14:textId="34B211FA" w:rsidR="003D4304" w:rsidRDefault="006C209C" w:rsidP="0012638D">
      <w:pPr>
        <w:spacing w:line="240" w:lineRule="auto"/>
      </w:pPr>
      <w:r>
        <w:t>This option</w:t>
      </w:r>
      <w:r w:rsidR="00AF2215">
        <w:t xml:space="preserve"> </w:t>
      </w:r>
      <w:r w:rsidR="0058426E">
        <w:t xml:space="preserve">would </w:t>
      </w:r>
      <w:r w:rsidR="00AF2215">
        <w:t>avoid a</w:t>
      </w:r>
      <w:r w:rsidR="00215CEE" w:rsidRPr="00215CEE">
        <w:t xml:space="preserve"> time consuming and disruptive identification and recalculation of individual debts</w:t>
      </w:r>
      <w:r w:rsidR="00AF2215">
        <w:t xml:space="preserve">, however </w:t>
      </w:r>
      <w:r>
        <w:t>it</w:t>
      </w:r>
      <w:r w:rsidR="00AF2215">
        <w:t xml:space="preserve"> would still require thousands of Services Australia staff over many </w:t>
      </w:r>
      <w:r w:rsidR="00AF2215" w:rsidRPr="00331942">
        <w:t>years</w:t>
      </w:r>
      <w:r w:rsidR="00AF2215">
        <w:t xml:space="preserve"> to complete. </w:t>
      </w:r>
      <w:bookmarkStart w:id="41" w:name="_Hlk204102639"/>
      <w:r w:rsidR="003D4304">
        <w:t xml:space="preserve">This would require the diversion of substantial expert resources from elsewhere in Services Australia. It cannot be addressed by simply increasing staffing, given the levels of expertise required. </w:t>
      </w:r>
      <w:bookmarkEnd w:id="41"/>
    </w:p>
    <w:p w14:paraId="6837F6E7" w14:textId="55B5DF66" w:rsidR="00981685" w:rsidRDefault="00E249AC" w:rsidP="0012638D">
      <w:pPr>
        <w:spacing w:line="240" w:lineRule="auto"/>
      </w:pPr>
      <w:r>
        <w:t xml:space="preserve">While efficiencies are possible through automation, there would still need to be significant manual effort to ensure correct contact and financial details are in place to enable </w:t>
      </w:r>
      <w:r w:rsidR="004F1D76">
        <w:t xml:space="preserve">around </w:t>
      </w:r>
      <w:r>
        <w:t>5.5 million refunds to be processed</w:t>
      </w:r>
      <w:r w:rsidR="00752E2A">
        <w:t xml:space="preserve"> (noting not all affected people would be contactable)</w:t>
      </w:r>
      <w:r>
        <w:t xml:space="preserve">. </w:t>
      </w:r>
    </w:p>
    <w:p w14:paraId="0C0F5ABC" w14:textId="4742C979" w:rsidR="003778CB" w:rsidRDefault="00C355D3" w:rsidP="0012638D">
      <w:pPr>
        <w:spacing w:line="240" w:lineRule="auto"/>
      </w:pPr>
      <w:r>
        <w:t>This</w:t>
      </w:r>
      <w:r w:rsidR="003D4304">
        <w:t xml:space="preserve"> would </w:t>
      </w:r>
      <w:r>
        <w:t xml:space="preserve">affect other deliverables for Services Australia, including payment timeliness and claims processing, affecting those most vulnerable and in need of support today. </w:t>
      </w:r>
    </w:p>
    <w:p w14:paraId="2C99B47A" w14:textId="426B0698" w:rsidR="00275CC0" w:rsidRDefault="00275CC0" w:rsidP="0012638D">
      <w:pPr>
        <w:spacing w:line="240" w:lineRule="auto"/>
      </w:pPr>
      <w:r>
        <w:lastRenderedPageBreak/>
        <w:t xml:space="preserve">It would come at a very high cost. The total estimated value of debts potentially affected by income apportionment is around </w:t>
      </w:r>
      <w:r w:rsidRPr="00686965">
        <w:t>$4.</w:t>
      </w:r>
      <w:r>
        <w:t>4</w:t>
      </w:r>
      <w:r w:rsidRPr="00686965">
        <w:t xml:space="preserve"> billion</w:t>
      </w:r>
      <w:r>
        <w:t xml:space="preserve"> (not including </w:t>
      </w:r>
      <w:r w:rsidRPr="00EB5209">
        <w:t>overturned debts and debts belonging to deceased people), with $</w:t>
      </w:r>
      <w:r>
        <w:t>4</w:t>
      </w:r>
      <w:r w:rsidRPr="00EB5209">
        <w:t xml:space="preserve"> billion having already been repaid</w:t>
      </w:r>
      <w:r>
        <w:t>.</w:t>
      </w:r>
      <w:r w:rsidRPr="00EB5209">
        <w:t xml:space="preserve"> </w:t>
      </w:r>
      <w:r w:rsidR="004F1D76">
        <w:t>Sampling indicated 3</w:t>
      </w:r>
      <w:r w:rsidR="00AE462E">
        <w:t>7</w:t>
      </w:r>
      <w:r w:rsidR="004F1D76">
        <w:t xml:space="preserve">% of potentially impacted debts were not </w:t>
      </w:r>
      <w:r w:rsidR="00F563A6">
        <w:t>actually</w:t>
      </w:r>
      <w:r w:rsidR="004F1D76">
        <w:t xml:space="preserve"> affected by income apportionment. Of the </w:t>
      </w:r>
      <w:r w:rsidR="002857C9">
        <w:t>63</w:t>
      </w:r>
      <w:r w:rsidR="004F1D76">
        <w:t>% of debts that were affected, 31% went up when recalculated.</w:t>
      </w:r>
    </w:p>
    <w:p w14:paraId="0BA6CA67" w14:textId="409E36AD" w:rsidR="003D4304" w:rsidRDefault="00275CC0" w:rsidP="0012638D">
      <w:pPr>
        <w:spacing w:line="240" w:lineRule="auto"/>
      </w:pPr>
      <w:r>
        <w:t>W</w:t>
      </w:r>
      <w:r w:rsidR="005453C8">
        <w:t xml:space="preserve">aiving all potential affected debts </w:t>
      </w:r>
      <w:r>
        <w:t xml:space="preserve">would create inequities with people with social security debts </w:t>
      </w:r>
      <w:r w:rsidR="00D03412">
        <w:t>un</w:t>
      </w:r>
      <w:r>
        <w:t>affected by income apportionment and other Commonwealth debts who are required to repay their debts.</w:t>
      </w:r>
      <w:r w:rsidR="00C355D3">
        <w:t xml:space="preserve"> In </w:t>
      </w:r>
      <w:r w:rsidR="00E84A79">
        <w:t>most</w:t>
      </w:r>
      <w:r w:rsidR="00C355D3">
        <w:t xml:space="preserve"> cases, </w:t>
      </w:r>
      <w:r w:rsidR="00284B23">
        <w:t xml:space="preserve">sampling has shown </w:t>
      </w:r>
      <w:r w:rsidR="00C355D3">
        <w:t>the use of income apportionment only has a slight impact on the debt amount</w:t>
      </w:r>
      <w:r w:rsidR="00531379">
        <w:t>, and</w:t>
      </w:r>
      <w:r w:rsidR="00284B23">
        <w:t xml:space="preserve"> </w:t>
      </w:r>
      <w:r w:rsidR="00531379">
        <w:t>if recalculated,</w:t>
      </w:r>
      <w:r>
        <w:t xml:space="preserve"> a debt would still exist.</w:t>
      </w:r>
      <w:r w:rsidR="00284B23">
        <w:t xml:space="preserve"> </w:t>
      </w:r>
    </w:p>
    <w:p w14:paraId="099AD67A" w14:textId="31518432" w:rsidR="00284B23" w:rsidRDefault="005453C8" w:rsidP="0012638D">
      <w:pPr>
        <w:spacing w:line="240" w:lineRule="auto"/>
      </w:pPr>
      <w:r w:rsidRPr="00284B23">
        <w:t>Implementation</w:t>
      </w:r>
      <w:r>
        <w:t xml:space="preserve"> of this option would result in many legitimate </w:t>
      </w:r>
      <w:r w:rsidR="00284B23">
        <w:t>overpayments</w:t>
      </w:r>
      <w:r>
        <w:t xml:space="preserve"> being refunded</w:t>
      </w:r>
      <w:r w:rsidR="00284B23">
        <w:t xml:space="preserve"> – including some overpayments that were actually lower than they should have been</w:t>
      </w:r>
      <w:r w:rsidR="00E84A79">
        <w:t xml:space="preserve"> and </w:t>
      </w:r>
      <w:r w:rsidR="00284B23">
        <w:t xml:space="preserve">debts that were not actually affected by income apportionment </w:t>
      </w:r>
      <w:r w:rsidR="00E84A79">
        <w:t>at all</w:t>
      </w:r>
      <w:r w:rsidR="00284B23">
        <w:t>.</w:t>
      </w:r>
    </w:p>
    <w:p w14:paraId="1201C111" w14:textId="64D5A709" w:rsidR="00275CC0" w:rsidRDefault="005453C8" w:rsidP="0012638D">
      <w:pPr>
        <w:spacing w:line="240" w:lineRule="auto"/>
      </w:pPr>
      <w:r>
        <w:t>This raises significant concerns regarding the fairness and appropriateness of such an extensive waiver.</w:t>
      </w:r>
      <w:r w:rsidR="00FD509E">
        <w:t xml:space="preserve"> </w:t>
      </w:r>
      <w:r w:rsidR="00275CC0">
        <w:t>It is also not targeted to need given it would provide relief indiscriminately</w:t>
      </w:r>
      <w:r w:rsidR="00EA5075">
        <w:t xml:space="preserve"> </w:t>
      </w:r>
      <w:r w:rsidR="00275CC0">
        <w:t>rather than addressing specific cases of hardship. Half of those with a potentially affected debt (either outstanding or fully repaid) are no longer recipients of any sort of income support.</w:t>
      </w:r>
      <w:r w:rsidR="00275CC0" w:rsidDel="005E6B48">
        <w:t xml:space="preserve"> </w:t>
      </w:r>
    </w:p>
    <w:p w14:paraId="5AB38846" w14:textId="10A4643E" w:rsidR="00284B23" w:rsidRDefault="00275CC0" w:rsidP="0012638D">
      <w:pPr>
        <w:spacing w:line="240" w:lineRule="auto"/>
      </w:pPr>
      <w:r>
        <w:t>In addition, the</w:t>
      </w:r>
      <w:r w:rsidR="00284B23">
        <w:t xml:space="preserve"> Government has a legislative obligation to recover overpayments of social security and other payments. This is part of the broader expectation of the Australian public that Government resources be used in a targeted and fiscally responsible manner. This option would amount to the Government choosing</w:t>
      </w:r>
      <w:r>
        <w:t xml:space="preserve"> to waive</w:t>
      </w:r>
      <w:r w:rsidR="00284B23">
        <w:t xml:space="preserve"> billions in debt legitimately owed to the Commonwealth.</w:t>
      </w:r>
      <w:r w:rsidR="00E163D4">
        <w:t xml:space="preserve"> </w:t>
      </w:r>
    </w:p>
    <w:p w14:paraId="4D0E7E35" w14:textId="77777777" w:rsidR="00322C18" w:rsidRDefault="00322C18" w:rsidP="0012638D">
      <w:pPr>
        <w:pStyle w:val="Heading4"/>
        <w:spacing w:line="240" w:lineRule="auto"/>
        <w:rPr>
          <w:i/>
          <w:iCs/>
        </w:rPr>
      </w:pPr>
      <w:r w:rsidRPr="00370C1E">
        <w:rPr>
          <w:i/>
          <w:iCs/>
        </w:rPr>
        <w:t>For businesses and organisations</w:t>
      </w:r>
    </w:p>
    <w:p w14:paraId="67A496B0" w14:textId="3F68E167" w:rsidR="003778CB" w:rsidRDefault="003778CB" w:rsidP="0012638D">
      <w:pPr>
        <w:spacing w:before="120" w:after="120" w:line="240" w:lineRule="auto"/>
      </w:pPr>
      <w:r>
        <w:t>This option would have no significant impact on business</w:t>
      </w:r>
      <w:r w:rsidR="0002028B">
        <w:t>.</w:t>
      </w:r>
    </w:p>
    <w:p w14:paraId="3035CB1C" w14:textId="5A248D1A" w:rsidR="003778CB" w:rsidRPr="00803F3B" w:rsidRDefault="003778CB" w:rsidP="0012638D">
      <w:pPr>
        <w:spacing w:before="120" w:after="120" w:line="240" w:lineRule="auto"/>
      </w:pPr>
      <w:r>
        <w:t xml:space="preserve">This option would reduce the number of debts referred to community legal organisations, as it would waive a substantial number of outstanding debts that otherwise </w:t>
      </w:r>
      <w:r w:rsidR="004B57E1">
        <w:t xml:space="preserve">may </w:t>
      </w:r>
      <w:r>
        <w:t xml:space="preserve">have required their assistance. </w:t>
      </w:r>
    </w:p>
    <w:p w14:paraId="47628F15" w14:textId="77777777" w:rsidR="008C2522" w:rsidRPr="00370C1E" w:rsidRDefault="008C2522" w:rsidP="0012638D">
      <w:pPr>
        <w:pStyle w:val="Heading3"/>
        <w:spacing w:line="240" w:lineRule="auto"/>
      </w:pPr>
      <w:r w:rsidRPr="00370C1E">
        <w:t>Timelines</w:t>
      </w:r>
      <w:r>
        <w:t>s</w:t>
      </w:r>
    </w:p>
    <w:p w14:paraId="2B17E74E" w14:textId="2D73E5DE" w:rsidR="008C2522" w:rsidRDefault="008C2522" w:rsidP="0012638D">
      <w:pPr>
        <w:pStyle w:val="CABParagraph"/>
        <w:spacing w:after="120"/>
      </w:pPr>
      <w:r w:rsidRPr="00584A4A">
        <w:rPr>
          <w:rFonts w:asciiTheme="minorHAnsi" w:eastAsiaTheme="minorEastAsia" w:hAnsiTheme="minorHAnsi"/>
          <w:szCs w:val="21"/>
        </w:rPr>
        <w:t xml:space="preserve">This option would take years to implement. </w:t>
      </w:r>
      <w:r>
        <w:rPr>
          <w:rFonts w:asciiTheme="minorHAnsi" w:eastAsiaTheme="minorEastAsia" w:hAnsiTheme="minorHAnsi"/>
          <w:szCs w:val="21"/>
        </w:rPr>
        <w:t>T</w:t>
      </w:r>
      <w:r w:rsidRPr="00FF0D0A">
        <w:rPr>
          <w:rFonts w:asciiTheme="minorHAnsi" w:eastAsiaTheme="minorEastAsia" w:hAnsiTheme="minorHAnsi"/>
          <w:szCs w:val="21"/>
        </w:rPr>
        <w:t xml:space="preserve">he process of refunding debts </w:t>
      </w:r>
      <w:r>
        <w:rPr>
          <w:rFonts w:asciiTheme="minorHAnsi" w:eastAsiaTheme="minorEastAsia" w:hAnsiTheme="minorHAnsi"/>
          <w:szCs w:val="21"/>
        </w:rPr>
        <w:t xml:space="preserve">would </w:t>
      </w:r>
      <w:r w:rsidRPr="00FF0D0A">
        <w:rPr>
          <w:rFonts w:asciiTheme="minorHAnsi" w:eastAsiaTheme="minorEastAsia" w:hAnsiTheme="minorHAnsi"/>
          <w:szCs w:val="21"/>
        </w:rPr>
        <w:t>be time consuming, given</w:t>
      </w:r>
      <w:r>
        <w:rPr>
          <w:rFonts w:asciiTheme="minorHAnsi" w:eastAsiaTheme="minorEastAsia" w:hAnsiTheme="minorHAnsi"/>
          <w:szCs w:val="21"/>
        </w:rPr>
        <w:t xml:space="preserve"> the numbers of debts and people involved and the complexities of making refunds, particularly </w:t>
      </w:r>
      <w:r w:rsidR="004B57E1">
        <w:rPr>
          <w:rFonts w:asciiTheme="minorHAnsi" w:eastAsiaTheme="minorEastAsia" w:hAnsiTheme="minorHAnsi"/>
          <w:szCs w:val="21"/>
        </w:rPr>
        <w:t xml:space="preserve">to </w:t>
      </w:r>
      <w:r>
        <w:rPr>
          <w:rFonts w:asciiTheme="minorHAnsi" w:eastAsiaTheme="minorEastAsia" w:hAnsiTheme="minorHAnsi"/>
          <w:szCs w:val="21"/>
        </w:rPr>
        <w:t>those who are no longer in the system.</w:t>
      </w:r>
    </w:p>
    <w:p w14:paraId="4F116A89" w14:textId="77777777" w:rsidR="008C2522" w:rsidRDefault="008C2522" w:rsidP="0012638D">
      <w:pPr>
        <w:pStyle w:val="ListParagraph"/>
        <w:numPr>
          <w:ilvl w:val="0"/>
          <w:numId w:val="25"/>
        </w:numPr>
        <w:spacing w:line="240" w:lineRule="auto"/>
      </w:pPr>
      <w:r>
        <w:t xml:space="preserve">Affected individuals would need to update their details with Services Australia. For those no longer in regular contact with Services Australia, this would be challenging. Services Australia may not have readily available contact information to let them know about the waiver, or bank details to allow the waiver to be administered. </w:t>
      </w:r>
    </w:p>
    <w:p w14:paraId="6A30E362" w14:textId="5FFFE9A5" w:rsidR="008C2522" w:rsidRDefault="008C2522" w:rsidP="0012638D">
      <w:pPr>
        <w:pStyle w:val="ListParagraph"/>
        <w:numPr>
          <w:ilvl w:val="1"/>
          <w:numId w:val="25"/>
        </w:numPr>
        <w:spacing w:line="240" w:lineRule="auto"/>
      </w:pPr>
      <w:r>
        <w:t xml:space="preserve">Given over half of those with income apportionment affected debts are no longer receiving a payment from Services Australia, and the average age of income apportionment affected debts is 19 years, it is likely Services Australia would need to attempt to make multiple contacts with affected </w:t>
      </w:r>
      <w:r w:rsidR="004F1D76">
        <w:t xml:space="preserve">individuals </w:t>
      </w:r>
      <w:r>
        <w:t xml:space="preserve">through many different </w:t>
      </w:r>
      <w:r>
        <w:lastRenderedPageBreak/>
        <w:t xml:space="preserve">communication channels. There would be some people for whom Services Australia would never be able to provide a waiver to. </w:t>
      </w:r>
    </w:p>
    <w:p w14:paraId="709009BB" w14:textId="2B6CD072" w:rsidR="008C2522" w:rsidRPr="0099704A" w:rsidRDefault="008C2522" w:rsidP="0012638D">
      <w:pPr>
        <w:pStyle w:val="ListParagraph"/>
        <w:numPr>
          <w:ilvl w:val="0"/>
          <w:numId w:val="25"/>
        </w:numPr>
        <w:spacing w:line="240" w:lineRule="auto"/>
      </w:pPr>
      <w:r>
        <w:t xml:space="preserve">Once Services Australia has correct contact details and bank details on file the waiver process would be relatively quick. This approach eliminates the need for individual debt assessment and would result in more timely resolution of debts compared to recalculating each debt. </w:t>
      </w:r>
    </w:p>
    <w:p w14:paraId="38631A86" w14:textId="239B6A14" w:rsidR="00322C18" w:rsidRDefault="00322C18" w:rsidP="0012638D">
      <w:pPr>
        <w:pStyle w:val="Heading4"/>
        <w:spacing w:line="240" w:lineRule="auto"/>
      </w:pPr>
      <w:r>
        <w:t>Regulatory burden estimate</w:t>
      </w:r>
    </w:p>
    <w:p w14:paraId="783E3194" w14:textId="07661C75" w:rsidR="007A62DB" w:rsidRDefault="008B3A91" w:rsidP="0012638D">
      <w:pPr>
        <w:spacing w:before="120" w:after="120" w:line="240" w:lineRule="auto"/>
      </w:pPr>
      <w:r>
        <w:t>A regulatory burden estimate has been calculated, assuming:</w:t>
      </w:r>
    </w:p>
    <w:p w14:paraId="425744DF" w14:textId="69E7F168" w:rsidR="008B3A91" w:rsidRPr="008B3A91" w:rsidRDefault="008B3A91" w:rsidP="0012638D">
      <w:pPr>
        <w:spacing w:before="120" w:after="120" w:line="240" w:lineRule="auto"/>
        <w:rPr>
          <w:b/>
          <w:bCs/>
        </w:rPr>
      </w:pPr>
      <w:r>
        <w:rPr>
          <w:b/>
          <w:bCs/>
        </w:rPr>
        <w:t>For individuals</w:t>
      </w:r>
    </w:p>
    <w:p w14:paraId="52326D31" w14:textId="79603D96" w:rsidR="008B3A91" w:rsidRDefault="008B3A91" w:rsidP="0012638D">
      <w:pPr>
        <w:pStyle w:val="ListParagraph"/>
        <w:numPr>
          <w:ilvl w:val="0"/>
          <w:numId w:val="24"/>
        </w:numPr>
        <w:spacing w:line="240" w:lineRule="auto"/>
      </w:pPr>
      <w:r>
        <w:t>Th</w:t>
      </w:r>
      <w:r w:rsidR="003C2172">
        <w:t xml:space="preserve">ose holding the </w:t>
      </w:r>
      <w:r>
        <w:t xml:space="preserve">148,000 outstanding debts affected by income apportionment </w:t>
      </w:r>
      <w:r w:rsidR="003068C6">
        <w:t xml:space="preserve">(based on debts subject to recovery pauses) </w:t>
      </w:r>
      <w:r>
        <w:t xml:space="preserve">would no longer need to engage with Services Australia. </w:t>
      </w:r>
      <w:r w:rsidR="003C2172">
        <w:t>Based on Services Australia administrative data, we have assumed that the average debtor has 1.8 debts. Per person with debts, this</w:t>
      </w:r>
      <w:r>
        <w:t xml:space="preserve"> is estimated to</w:t>
      </w:r>
      <w:r w:rsidRPr="00FF6456">
        <w:rPr>
          <w:i/>
          <w:iCs/>
        </w:rPr>
        <w:t xml:space="preserve"> save</w:t>
      </w:r>
      <w:r>
        <w:t xml:space="preserve"> around 1 hour per year of engagement with Services Australia</w:t>
      </w:r>
      <w:r w:rsidR="00415D4C">
        <w:t xml:space="preserve"> across the 10-year regulatory burden estimate period</w:t>
      </w:r>
      <w:r>
        <w:t xml:space="preserve">. </w:t>
      </w:r>
      <w:r w:rsidR="00B025D8">
        <w:t xml:space="preserve">This would cost $37.00 per hour based on </w:t>
      </w:r>
      <w:r w:rsidR="00B025D8" w:rsidRPr="00B025D8">
        <w:t>PM&amp;C Regulatory Burden Measurement Framework</w:t>
      </w:r>
      <w:r w:rsidR="00B025D8">
        <w:t>.</w:t>
      </w:r>
    </w:p>
    <w:p w14:paraId="1D0A0200" w14:textId="01AF1442" w:rsidR="00415D4C" w:rsidRDefault="00E926CE" w:rsidP="0012638D">
      <w:pPr>
        <w:spacing w:before="120" w:after="120" w:line="240" w:lineRule="auto"/>
      </w:pPr>
      <m:oMathPara>
        <m:oMath>
          <m:r>
            <w:rPr>
              <w:rFonts w:ascii="Cambria Math" w:hAnsi="Cambria Math"/>
            </w:rPr>
            <m:t>(148,000÷1.8) ×-1×10×$37.00=-$30.4 million</m:t>
          </m:r>
        </m:oMath>
      </m:oMathPara>
    </w:p>
    <w:p w14:paraId="3C93F720" w14:textId="7444A1AE" w:rsidR="008B3A91" w:rsidRDefault="008B3A91" w:rsidP="0012638D">
      <w:pPr>
        <w:pStyle w:val="ListParagraph"/>
        <w:numPr>
          <w:ilvl w:val="0"/>
          <w:numId w:val="24"/>
        </w:numPr>
        <w:spacing w:before="120" w:after="120" w:line="240" w:lineRule="auto"/>
      </w:pPr>
      <w:r>
        <w:t xml:space="preserve">The 16,000 outstanding formal reviews and 6,000 outstanding explanations of decisions would be finalised, as no debt would be owed. This is estimated to save around 20 hours of engagement with Services Australia, reflecting the time required </w:t>
      </w:r>
      <w:r w:rsidRPr="008B3A91">
        <w:t>to apply</w:t>
      </w:r>
      <w:r>
        <w:t xml:space="preserve"> for review</w:t>
      </w:r>
      <w:r w:rsidRPr="008B3A91">
        <w:t xml:space="preserve">, comply with </w:t>
      </w:r>
      <w:r>
        <w:t xml:space="preserve">any requests for </w:t>
      </w:r>
      <w:r w:rsidRPr="008B3A91">
        <w:t>additional information, engage with the reviewing officer, and where necessary, prepare for and attend an ART hearing, and then understand the revised decision.</w:t>
      </w:r>
    </w:p>
    <w:p w14:paraId="6F23B3EE" w14:textId="4D7EDCBC" w:rsidR="004C7A31" w:rsidRPr="004C7A31" w:rsidRDefault="004C7A31" w:rsidP="0012638D">
      <w:pPr>
        <w:spacing w:before="120" w:after="120" w:line="240" w:lineRule="auto"/>
      </w:pPr>
      <m:oMathPara>
        <m:oMathParaPr>
          <m:jc m:val="center"/>
        </m:oMathParaPr>
        <m:oMath>
          <m:r>
            <w:rPr>
              <w:rFonts w:ascii="Cambria Math" w:hAnsi="Cambria Math"/>
            </w:rPr>
            <m:t>22,000×-1×20×$37.00=-$16.3 million</m:t>
          </m:r>
        </m:oMath>
      </m:oMathPara>
    </w:p>
    <w:p w14:paraId="4BA325FA" w14:textId="2A1C566B" w:rsidR="00415D4C" w:rsidRDefault="008B3A91" w:rsidP="0012638D">
      <w:pPr>
        <w:pStyle w:val="ListParagraph"/>
        <w:numPr>
          <w:ilvl w:val="0"/>
          <w:numId w:val="24"/>
        </w:numPr>
        <w:spacing w:before="120" w:after="120" w:line="240" w:lineRule="auto"/>
      </w:pPr>
      <w:r>
        <w:t>An estimated 1.</w:t>
      </w:r>
      <w:r w:rsidR="00B025D8">
        <w:t>56</w:t>
      </w:r>
      <w:r>
        <w:t xml:space="preserve"> million people</w:t>
      </w:r>
      <w:r w:rsidR="00640788">
        <w:t xml:space="preserve"> (52% of people </w:t>
      </w:r>
      <w:r w:rsidR="00292B1F">
        <w:t xml:space="preserve">potentially </w:t>
      </w:r>
      <w:r w:rsidR="00640788">
        <w:t xml:space="preserve">affected by income </w:t>
      </w:r>
      <w:r w:rsidR="00640788" w:rsidRPr="000708A6">
        <w:t>apportionment</w:t>
      </w:r>
      <w:r w:rsidR="00292B1F">
        <w:t>, which is the</w:t>
      </w:r>
      <w:r w:rsidR="00275CC0">
        <w:t xml:space="preserve"> </w:t>
      </w:r>
      <w:r w:rsidR="000708A6" w:rsidRPr="00745DD0">
        <w:t>proportion of potentially affected people who are no longer social security recipients</w:t>
      </w:r>
      <w:r w:rsidR="00640788" w:rsidRPr="000708A6">
        <w:t>)</w:t>
      </w:r>
      <w:r>
        <w:t xml:space="preserve"> would need to engage with Services Australia </w:t>
      </w:r>
      <w:r w:rsidR="003C2172">
        <w:t xml:space="preserve">to update their payment details. We estimate this would take around half an hour to do. </w:t>
      </w:r>
    </w:p>
    <w:p w14:paraId="70E53346" w14:textId="37FD56B2" w:rsidR="004C7A31" w:rsidRPr="004C7A31" w:rsidRDefault="004C7A31" w:rsidP="0012638D">
      <w:pPr>
        <w:spacing w:before="120" w:after="120" w:line="240" w:lineRule="auto"/>
      </w:pPr>
      <m:oMathPara>
        <m:oMathParaPr>
          <m:jc m:val="center"/>
        </m:oMathParaPr>
        <m:oMath>
          <m:r>
            <w:rPr>
              <w:rFonts w:ascii="Cambria Math" w:hAnsi="Cambria Math"/>
            </w:rPr>
            <m:t>1.56 million ×0.5 ×$37.00 =$28.9 million</m:t>
          </m:r>
        </m:oMath>
      </m:oMathPara>
    </w:p>
    <w:p w14:paraId="24EDBE1B" w14:textId="22ADA535" w:rsidR="00C14158" w:rsidRDefault="00C14158" w:rsidP="0012638D">
      <w:pPr>
        <w:pStyle w:val="ListParagraph"/>
        <w:numPr>
          <w:ilvl w:val="0"/>
          <w:numId w:val="24"/>
        </w:numPr>
        <w:spacing w:before="120" w:after="120" w:line="240" w:lineRule="auto"/>
      </w:pPr>
      <w:r>
        <w:t>Total regulatory impact</w:t>
      </w:r>
    </w:p>
    <w:p w14:paraId="74C015D0" w14:textId="293A4793" w:rsidR="00C14158" w:rsidRPr="007C3032" w:rsidRDefault="00C14158" w:rsidP="0012638D">
      <w:pPr>
        <w:pStyle w:val="ListParagraph"/>
        <w:numPr>
          <w:ilvl w:val="1"/>
          <w:numId w:val="24"/>
        </w:numPr>
        <w:spacing w:before="120" w:after="120" w:line="240" w:lineRule="auto"/>
      </w:pPr>
      <w:r>
        <w:t xml:space="preserve">= </w:t>
      </w:r>
      <w:r w:rsidRPr="00745DD0">
        <w:t>$28</w:t>
      </w:r>
      <w:r w:rsidR="00210145">
        <w:t xml:space="preserve">.9 million </w:t>
      </w:r>
      <w:r>
        <w:t>– (</w:t>
      </w:r>
      <w:r w:rsidRPr="00745DD0">
        <w:t>$30</w:t>
      </w:r>
      <w:r w:rsidR="00210145">
        <w:t>.</w:t>
      </w:r>
      <w:r w:rsidRPr="00745DD0">
        <w:t>4</w:t>
      </w:r>
      <w:r w:rsidR="00210145">
        <w:t xml:space="preserve"> million </w:t>
      </w:r>
      <w:r w:rsidR="003068C6">
        <w:t>+</w:t>
      </w:r>
      <w:r w:rsidRPr="00745DD0">
        <w:t>$16</w:t>
      </w:r>
      <w:r w:rsidR="00210145">
        <w:t>.3 million</w:t>
      </w:r>
      <w:r w:rsidR="003068C6">
        <w:t>)</w:t>
      </w:r>
    </w:p>
    <w:p w14:paraId="1CDFD363" w14:textId="264F3034" w:rsidR="00C14158" w:rsidRPr="00F2210E" w:rsidRDefault="00C14158" w:rsidP="0012638D">
      <w:pPr>
        <w:pStyle w:val="ListParagraph"/>
        <w:numPr>
          <w:ilvl w:val="1"/>
          <w:numId w:val="24"/>
        </w:numPr>
        <w:spacing w:before="120" w:after="120" w:line="240" w:lineRule="auto"/>
        <w:rPr>
          <w:b/>
          <w:bCs/>
        </w:rPr>
      </w:pPr>
      <w:r w:rsidRPr="00F2210E">
        <w:t xml:space="preserve">= </w:t>
      </w:r>
      <w:r w:rsidRPr="00F2210E">
        <w:rPr>
          <w:b/>
          <w:bCs/>
        </w:rPr>
        <w:t>-$17</w:t>
      </w:r>
      <w:r w:rsidR="00210145" w:rsidRPr="00F2210E">
        <w:rPr>
          <w:b/>
          <w:bCs/>
        </w:rPr>
        <w:t>.</w:t>
      </w:r>
      <w:r w:rsidRPr="00F2210E">
        <w:rPr>
          <w:b/>
          <w:bCs/>
        </w:rPr>
        <w:t>8</w:t>
      </w:r>
      <w:r w:rsidR="00210145" w:rsidRPr="00F2210E">
        <w:rPr>
          <w:b/>
          <w:bCs/>
        </w:rPr>
        <w:t xml:space="preserve"> million</w:t>
      </w:r>
    </w:p>
    <w:p w14:paraId="409FC8B7" w14:textId="76538AD3" w:rsidR="00C14158" w:rsidRPr="00F2210E" w:rsidRDefault="00C14158" w:rsidP="0012638D">
      <w:pPr>
        <w:pStyle w:val="ListParagraph"/>
        <w:numPr>
          <w:ilvl w:val="1"/>
          <w:numId w:val="24"/>
        </w:numPr>
        <w:spacing w:before="120" w:after="120" w:line="240" w:lineRule="auto"/>
      </w:pPr>
      <w:r w:rsidRPr="00F2210E">
        <w:t>Negative figure represent</w:t>
      </w:r>
      <w:r w:rsidR="003516CC" w:rsidRPr="00F2210E">
        <w:t>s</w:t>
      </w:r>
      <w:r w:rsidRPr="00F2210E">
        <w:t xml:space="preserve"> overall regulatory saving for individuals</w:t>
      </w:r>
      <w:r w:rsidR="00E93935" w:rsidRPr="00F2210E">
        <w:t>.</w:t>
      </w:r>
      <w:r w:rsidR="00210145" w:rsidRPr="00F2210E">
        <w:t xml:space="preserve"> </w:t>
      </w:r>
      <w:r w:rsidR="00092543" w:rsidRPr="00F2210E">
        <w:t xml:space="preserve">A component of the </w:t>
      </w:r>
      <w:r w:rsidR="00687563" w:rsidRPr="00F2210E">
        <w:t>regulatory burden estimate</w:t>
      </w:r>
      <w:r w:rsidR="00092543" w:rsidRPr="00F2210E">
        <w:t xml:space="preserve"> will occur over 10 years, while </w:t>
      </w:r>
      <w:r w:rsidR="0050235F" w:rsidRPr="00F2210E">
        <w:t xml:space="preserve">other components will be in the first year only. </w:t>
      </w:r>
    </w:p>
    <w:p w14:paraId="560EB1B7" w14:textId="12A8638A" w:rsidR="003C2172" w:rsidRPr="00F2210E" w:rsidRDefault="003C2172" w:rsidP="0012638D">
      <w:pPr>
        <w:spacing w:before="120" w:after="120" w:line="240" w:lineRule="auto"/>
        <w:rPr>
          <w:b/>
          <w:bCs/>
        </w:rPr>
      </w:pPr>
      <w:r w:rsidRPr="00F2210E">
        <w:rPr>
          <w:b/>
          <w:bCs/>
        </w:rPr>
        <w:t>For community organisations</w:t>
      </w:r>
    </w:p>
    <w:p w14:paraId="40449B58" w14:textId="0EFD35C2" w:rsidR="003C2172" w:rsidRPr="00F2210E" w:rsidRDefault="003C2172" w:rsidP="0012638D">
      <w:pPr>
        <w:pStyle w:val="ListParagraph"/>
        <w:numPr>
          <w:ilvl w:val="0"/>
          <w:numId w:val="25"/>
        </w:numPr>
        <w:spacing w:before="120" w:after="120" w:line="240" w:lineRule="auto"/>
      </w:pPr>
      <w:r w:rsidRPr="00F2210E">
        <w:t xml:space="preserve">Some community organisations provide support to those undertaking reviews and appeals at Services Australia. If income apportionment-related debts are waived, this support is no longer needed. </w:t>
      </w:r>
      <w:r w:rsidR="007C3816" w:rsidRPr="00F2210E">
        <w:t xml:space="preserve">Previous feedback has indicated that most people </w:t>
      </w:r>
      <w:r w:rsidR="002F2CC4" w:rsidRPr="00F2210E">
        <w:t>do no</w:t>
      </w:r>
      <w:r w:rsidR="000025BA">
        <w:t xml:space="preserve">t </w:t>
      </w:r>
      <w:r w:rsidR="007C3816" w:rsidRPr="00F2210E">
        <w:t xml:space="preserve">get legal help </w:t>
      </w:r>
      <w:r w:rsidR="009F60A3" w:rsidRPr="00F2210E">
        <w:t xml:space="preserve">for </w:t>
      </w:r>
      <w:r w:rsidR="007C3816" w:rsidRPr="00F2210E">
        <w:t>an appeal, so we have assumed that</w:t>
      </w:r>
      <w:r w:rsidRPr="00F2210E">
        <w:t xml:space="preserve"> 5% of the appeals related to income apportionment </w:t>
      </w:r>
      <w:r w:rsidRPr="00F2210E">
        <w:lastRenderedPageBreak/>
        <w:t xml:space="preserve">would involve community organisation support, and that the organisation would spend around 4 hours (in total) on that person’s case. </w:t>
      </w:r>
      <w:r w:rsidR="00020402" w:rsidRPr="00F2210E">
        <w:t>This would cost $85.17 per hour based on PM&amp;C Regulatory Burden Measurement Framework.</w:t>
      </w:r>
    </w:p>
    <w:p w14:paraId="24449EE0" w14:textId="2D82E2A4" w:rsidR="00544CFE" w:rsidRPr="00020402" w:rsidRDefault="00020402" w:rsidP="0012638D">
      <w:pPr>
        <w:spacing w:before="120" w:after="120" w:line="240" w:lineRule="auto"/>
      </w:pPr>
      <m:oMathPara>
        <m:oMath>
          <m:r>
            <w:rPr>
              <w:rFonts w:ascii="Cambria Math" w:hAnsi="Cambria Math"/>
            </w:rPr>
            <m:t>22,000×0.05 ×4×$85.17=-$374,748</m:t>
          </m:r>
        </m:oMath>
      </m:oMathPara>
    </w:p>
    <w:p w14:paraId="6E669514" w14:textId="77777777" w:rsidR="00511E79" w:rsidRDefault="00511E79" w:rsidP="0012638D">
      <w:pPr>
        <w:spacing w:before="120" w:after="120" w:line="240" w:lineRule="auto"/>
      </w:pPr>
    </w:p>
    <w:p w14:paraId="38835430" w14:textId="017F5D54" w:rsidR="00511E79" w:rsidRPr="003C2172" w:rsidRDefault="00E83A8E" w:rsidP="0012638D">
      <w:pPr>
        <w:spacing w:before="120" w:after="120" w:line="240" w:lineRule="auto"/>
      </w:pPr>
      <w:r>
        <w:t>This results in a total regulatory cost over 10 years of -$1</w:t>
      </w:r>
      <w:r w:rsidR="00C40C14">
        <w:t>8</w:t>
      </w:r>
      <w:r>
        <w:t>.</w:t>
      </w:r>
      <w:r w:rsidR="00C40C14">
        <w:t>2</w:t>
      </w:r>
      <w:r>
        <w:t xml:space="preserve"> million. The </w:t>
      </w:r>
      <w:proofErr w:type="spellStart"/>
      <w:r>
        <w:t>average</w:t>
      </w:r>
      <w:r w:rsidR="00B27E9B">
        <w:t>d</w:t>
      </w:r>
      <w:proofErr w:type="spellEnd"/>
      <w:r>
        <w:t xml:space="preserve"> annual regulatory costs</w:t>
      </w:r>
      <w:r w:rsidR="00940661">
        <w:t xml:space="preserve"> over 10 years</w:t>
      </w:r>
      <w:r>
        <w:t xml:space="preserve"> are displayed below.</w:t>
      </w:r>
      <w:r w:rsidR="00112D6F">
        <w:t xml:space="preserve"> </w:t>
      </w:r>
      <w:r w:rsidR="000025BA">
        <w:t>B</w:t>
      </w:r>
      <w:r w:rsidR="00112D6F">
        <w:t>rackets indicate a negative figure.</w:t>
      </w:r>
    </w:p>
    <w:tbl>
      <w:tblPr>
        <w:tblW w:w="0" w:type="auto"/>
        <w:tblLook w:val="0660" w:firstRow="1" w:lastRow="1" w:firstColumn="0" w:lastColumn="0" w:noHBand="1" w:noVBand="1"/>
      </w:tblPr>
      <w:tblGrid>
        <w:gridCol w:w="2555"/>
        <w:gridCol w:w="1256"/>
        <w:gridCol w:w="1417"/>
        <w:gridCol w:w="2435"/>
        <w:gridCol w:w="1659"/>
      </w:tblGrid>
      <w:tr w:rsidR="00322C18" w:rsidRPr="006B3DA2" w14:paraId="6794F288" w14:textId="77777777" w:rsidTr="003778CB">
        <w:trPr>
          <w:trHeight w:val="350"/>
          <w:tblHeader/>
        </w:trPr>
        <w:tc>
          <w:tcPr>
            <w:tcW w:w="9322" w:type="dxa"/>
            <w:gridSpan w:val="5"/>
            <w:tcBorders>
              <w:top w:val="single" w:sz="4" w:space="0" w:color="1C2B39" w:themeColor="accent1"/>
              <w:left w:val="nil"/>
              <w:bottom w:val="single" w:sz="4" w:space="0" w:color="1C2B39" w:themeColor="accent1"/>
              <w:right w:val="nil"/>
            </w:tcBorders>
            <w:hideMark/>
          </w:tcPr>
          <w:p w14:paraId="2EC8C75C" w14:textId="6946E4DE" w:rsidR="00322C18" w:rsidRPr="00607D45" w:rsidRDefault="00322C18" w:rsidP="00511E79">
            <w:pPr>
              <w:pStyle w:val="CAB-NumberedParagraph"/>
              <w:spacing w:after="0"/>
              <w:rPr>
                <w:rFonts w:asciiTheme="minorHAnsi" w:hAnsiTheme="minorHAnsi"/>
                <w:b/>
              </w:rPr>
            </w:pPr>
            <w:r w:rsidRPr="00607D45">
              <w:rPr>
                <w:rFonts w:asciiTheme="minorHAnsi" w:hAnsiTheme="minorHAnsi"/>
                <w:b/>
              </w:rPr>
              <w:t>Average annual regulatory costs</w:t>
            </w:r>
            <w:r w:rsidR="00A005FD" w:rsidRPr="00607D45">
              <w:rPr>
                <w:rFonts w:asciiTheme="minorHAnsi" w:hAnsiTheme="minorHAnsi"/>
                <w:b/>
              </w:rPr>
              <w:t xml:space="preserve"> (over 10 years</w:t>
            </w:r>
            <w:r w:rsidR="00E521DE" w:rsidRPr="00607D45">
              <w:rPr>
                <w:rFonts w:asciiTheme="minorHAnsi" w:hAnsiTheme="minorHAnsi"/>
                <w:b/>
              </w:rPr>
              <w:t>, discrepancy due to rounding)</w:t>
            </w:r>
          </w:p>
        </w:tc>
      </w:tr>
      <w:tr w:rsidR="00322C18" w:rsidRPr="006B3DA2" w14:paraId="1AB74F0A" w14:textId="77777777" w:rsidTr="003778CB">
        <w:trPr>
          <w:trHeight w:val="350"/>
        </w:trPr>
        <w:tc>
          <w:tcPr>
            <w:tcW w:w="2555" w:type="dxa"/>
            <w:tcBorders>
              <w:top w:val="single" w:sz="4" w:space="0" w:color="1C2B39" w:themeColor="accent1"/>
              <w:left w:val="nil"/>
              <w:bottom w:val="single" w:sz="4" w:space="0" w:color="1C2B39" w:themeColor="accent1"/>
              <w:right w:val="nil"/>
            </w:tcBorders>
            <w:hideMark/>
          </w:tcPr>
          <w:p w14:paraId="58292AA4" w14:textId="2B585040" w:rsidR="00322C18" w:rsidRPr="00607D45" w:rsidRDefault="00322C18" w:rsidP="00511E79">
            <w:pPr>
              <w:pStyle w:val="CAB-NumberedParagraph"/>
              <w:spacing w:after="0"/>
              <w:rPr>
                <w:rFonts w:asciiTheme="minorHAnsi" w:hAnsiTheme="minorHAnsi"/>
              </w:rPr>
            </w:pPr>
            <w:r w:rsidRPr="00607D45">
              <w:rPr>
                <w:rFonts w:asciiTheme="minorHAnsi" w:hAnsiTheme="minorHAnsi"/>
              </w:rPr>
              <w:t xml:space="preserve">Change in costs </w:t>
            </w:r>
            <w:r w:rsidR="003C2172" w:rsidRPr="00607D45">
              <w:rPr>
                <w:rFonts w:asciiTheme="minorHAnsi" w:hAnsiTheme="minorHAnsi"/>
              </w:rPr>
              <w:br/>
            </w:r>
            <w:r w:rsidRPr="00607D45">
              <w:rPr>
                <w:rFonts w:asciiTheme="minorHAnsi" w:hAnsiTheme="minorHAnsi"/>
              </w:rPr>
              <w:t>($ million)</w:t>
            </w:r>
          </w:p>
        </w:tc>
        <w:tc>
          <w:tcPr>
            <w:tcW w:w="1256" w:type="dxa"/>
            <w:tcBorders>
              <w:top w:val="single" w:sz="4" w:space="0" w:color="1C2B39" w:themeColor="accent1"/>
              <w:left w:val="nil"/>
              <w:bottom w:val="single" w:sz="4" w:space="0" w:color="1C2B39" w:themeColor="accent1"/>
              <w:right w:val="nil"/>
            </w:tcBorders>
            <w:hideMark/>
          </w:tcPr>
          <w:p w14:paraId="3E55AA3F" w14:textId="77777777" w:rsidR="00322C18" w:rsidRPr="00607D45" w:rsidRDefault="00322C18" w:rsidP="00511E79">
            <w:pPr>
              <w:pStyle w:val="CAB-NumberedParagraph"/>
              <w:spacing w:after="0"/>
              <w:rPr>
                <w:rFonts w:asciiTheme="minorHAnsi" w:hAnsiTheme="minorHAnsi"/>
              </w:rPr>
            </w:pPr>
            <w:r w:rsidRPr="00607D45">
              <w:rPr>
                <w:rFonts w:asciiTheme="minorHAnsi" w:hAnsiTheme="minorHAnsi"/>
              </w:rPr>
              <w:t>Individuals</w:t>
            </w:r>
          </w:p>
        </w:tc>
        <w:tc>
          <w:tcPr>
            <w:tcW w:w="1417" w:type="dxa"/>
            <w:tcBorders>
              <w:top w:val="single" w:sz="4" w:space="0" w:color="1C2B39" w:themeColor="accent1"/>
              <w:left w:val="nil"/>
              <w:bottom w:val="single" w:sz="4" w:space="0" w:color="1C2B39" w:themeColor="accent1"/>
              <w:right w:val="nil"/>
            </w:tcBorders>
            <w:hideMark/>
          </w:tcPr>
          <w:p w14:paraId="77711677" w14:textId="77777777" w:rsidR="00322C18" w:rsidRPr="00607D45" w:rsidRDefault="00322C18" w:rsidP="00511E79">
            <w:pPr>
              <w:pStyle w:val="CAB-NumberedParagraph"/>
              <w:spacing w:after="0"/>
              <w:rPr>
                <w:rFonts w:asciiTheme="minorHAnsi" w:hAnsiTheme="minorHAnsi"/>
              </w:rPr>
            </w:pPr>
            <w:r w:rsidRPr="00607D45">
              <w:rPr>
                <w:rFonts w:asciiTheme="minorHAnsi" w:hAnsiTheme="minorHAnsi"/>
              </w:rPr>
              <w:t xml:space="preserve">Business </w:t>
            </w:r>
          </w:p>
        </w:tc>
        <w:tc>
          <w:tcPr>
            <w:tcW w:w="2435" w:type="dxa"/>
            <w:tcBorders>
              <w:top w:val="single" w:sz="4" w:space="0" w:color="1C2B39" w:themeColor="accent1"/>
              <w:left w:val="nil"/>
              <w:bottom w:val="single" w:sz="4" w:space="0" w:color="1C2B39" w:themeColor="accent1"/>
              <w:right w:val="nil"/>
            </w:tcBorders>
            <w:hideMark/>
          </w:tcPr>
          <w:p w14:paraId="4877BC6E" w14:textId="77777777" w:rsidR="00322C18" w:rsidRPr="00607D45" w:rsidRDefault="00322C18" w:rsidP="00511E79">
            <w:pPr>
              <w:pStyle w:val="CAB-NumberedParagraph"/>
              <w:spacing w:after="0"/>
              <w:rPr>
                <w:rFonts w:asciiTheme="minorHAnsi" w:hAnsiTheme="minorHAnsi"/>
              </w:rPr>
            </w:pPr>
            <w:r w:rsidRPr="00607D45">
              <w:rPr>
                <w:rFonts w:asciiTheme="minorHAnsi" w:hAnsiTheme="minorHAnsi"/>
              </w:rPr>
              <w:t>Community</w:t>
            </w:r>
          </w:p>
          <w:p w14:paraId="3484A2B3" w14:textId="77777777" w:rsidR="00322C18" w:rsidRPr="00607D45" w:rsidRDefault="00322C18" w:rsidP="00511E79">
            <w:pPr>
              <w:pStyle w:val="CAB-NumberedParagraph"/>
              <w:spacing w:after="0"/>
              <w:rPr>
                <w:rFonts w:asciiTheme="minorHAnsi" w:hAnsiTheme="minorHAnsi"/>
              </w:rPr>
            </w:pPr>
            <w:r w:rsidRPr="00607D45">
              <w:rPr>
                <w:rFonts w:asciiTheme="minorHAnsi" w:hAnsiTheme="minorHAnsi"/>
              </w:rPr>
              <w:t>organisations</w:t>
            </w:r>
          </w:p>
        </w:tc>
        <w:tc>
          <w:tcPr>
            <w:tcW w:w="1659" w:type="dxa"/>
            <w:tcBorders>
              <w:top w:val="single" w:sz="4" w:space="0" w:color="1C2B39" w:themeColor="accent1"/>
              <w:left w:val="nil"/>
              <w:bottom w:val="single" w:sz="4" w:space="0" w:color="1C2B39" w:themeColor="accent1"/>
              <w:right w:val="nil"/>
            </w:tcBorders>
            <w:hideMark/>
          </w:tcPr>
          <w:p w14:paraId="5F628597" w14:textId="77777777" w:rsidR="00322C18" w:rsidRPr="00607D45" w:rsidRDefault="00322C18" w:rsidP="00511E79">
            <w:pPr>
              <w:pStyle w:val="CAB-NumberedParagraph"/>
              <w:spacing w:after="0"/>
              <w:rPr>
                <w:rFonts w:asciiTheme="minorHAnsi" w:hAnsiTheme="minorHAnsi"/>
              </w:rPr>
            </w:pPr>
            <w:r w:rsidRPr="00607D45">
              <w:rPr>
                <w:rFonts w:asciiTheme="minorHAnsi" w:hAnsiTheme="minorHAnsi"/>
              </w:rPr>
              <w:t>Total change</w:t>
            </w:r>
          </w:p>
          <w:p w14:paraId="61ABE684" w14:textId="77777777" w:rsidR="00322C18" w:rsidRPr="00607D45" w:rsidRDefault="00322C18" w:rsidP="00511E79">
            <w:pPr>
              <w:pStyle w:val="CAB-NumberedParagraph"/>
              <w:spacing w:after="0"/>
              <w:rPr>
                <w:rFonts w:asciiTheme="minorHAnsi" w:hAnsiTheme="minorHAnsi"/>
              </w:rPr>
            </w:pPr>
            <w:r w:rsidRPr="00607D45">
              <w:rPr>
                <w:rFonts w:asciiTheme="minorHAnsi" w:hAnsiTheme="minorHAnsi"/>
              </w:rPr>
              <w:t>in cost</w:t>
            </w:r>
          </w:p>
        </w:tc>
      </w:tr>
      <w:tr w:rsidR="00322C18" w:rsidRPr="006B3DA2" w14:paraId="33CFA37B" w14:textId="77777777" w:rsidTr="003778CB">
        <w:trPr>
          <w:trHeight w:val="350"/>
        </w:trPr>
        <w:tc>
          <w:tcPr>
            <w:tcW w:w="2555" w:type="dxa"/>
            <w:tcBorders>
              <w:top w:val="single" w:sz="4" w:space="0" w:color="1C2B39" w:themeColor="accent1"/>
              <w:left w:val="nil"/>
              <w:bottom w:val="single" w:sz="12" w:space="0" w:color="1C2B39" w:themeColor="accent1"/>
              <w:right w:val="nil"/>
            </w:tcBorders>
            <w:hideMark/>
          </w:tcPr>
          <w:p w14:paraId="055FFA7E" w14:textId="77777777" w:rsidR="00322C18" w:rsidRPr="00607D45" w:rsidRDefault="00322C18" w:rsidP="00511E79">
            <w:pPr>
              <w:pStyle w:val="CAB-NumberedParagraph"/>
              <w:spacing w:after="0"/>
              <w:rPr>
                <w:rFonts w:asciiTheme="minorHAnsi" w:hAnsiTheme="minorHAnsi"/>
              </w:rPr>
            </w:pPr>
            <w:r w:rsidRPr="00607D45">
              <w:rPr>
                <w:rFonts w:asciiTheme="minorHAnsi" w:hAnsiTheme="minorHAnsi"/>
              </w:rPr>
              <w:t>Total, by sector</w:t>
            </w:r>
          </w:p>
        </w:tc>
        <w:tc>
          <w:tcPr>
            <w:tcW w:w="1256" w:type="dxa"/>
            <w:tcBorders>
              <w:top w:val="single" w:sz="4" w:space="0" w:color="1C2B39" w:themeColor="accent1"/>
              <w:left w:val="nil"/>
              <w:bottom w:val="single" w:sz="12" w:space="0" w:color="1C2B39" w:themeColor="accent1"/>
              <w:right w:val="nil"/>
            </w:tcBorders>
            <w:hideMark/>
          </w:tcPr>
          <w:p w14:paraId="4E196EAB" w14:textId="095734B1" w:rsidR="00322C18" w:rsidRPr="00607D45" w:rsidRDefault="00C90062" w:rsidP="00511E79">
            <w:pPr>
              <w:pStyle w:val="CAB-NumberedParagraph"/>
              <w:spacing w:after="0"/>
              <w:rPr>
                <w:rFonts w:asciiTheme="minorHAnsi" w:hAnsiTheme="minorHAnsi"/>
              </w:rPr>
            </w:pPr>
            <w:r w:rsidRPr="00607D45">
              <w:rPr>
                <w:rFonts w:asciiTheme="minorHAnsi" w:hAnsiTheme="minorHAnsi"/>
              </w:rPr>
              <w:t>(</w:t>
            </w:r>
            <w:r w:rsidR="008E7DC6" w:rsidRPr="00607D45">
              <w:rPr>
                <w:rFonts w:asciiTheme="minorHAnsi" w:hAnsiTheme="minorHAnsi"/>
              </w:rPr>
              <w:t>$</w:t>
            </w:r>
            <w:r w:rsidR="006D3CB0" w:rsidRPr="00607D45">
              <w:rPr>
                <w:rFonts w:asciiTheme="minorHAnsi" w:hAnsiTheme="minorHAnsi"/>
              </w:rPr>
              <w:t>1</w:t>
            </w:r>
            <w:r w:rsidRPr="00607D45">
              <w:rPr>
                <w:rFonts w:asciiTheme="minorHAnsi" w:hAnsiTheme="minorHAnsi"/>
              </w:rPr>
              <w:t>.</w:t>
            </w:r>
            <w:r w:rsidR="00C40C14" w:rsidRPr="00607D45">
              <w:rPr>
                <w:rFonts w:asciiTheme="minorHAnsi" w:hAnsiTheme="minorHAnsi"/>
              </w:rPr>
              <w:t>7</w:t>
            </w:r>
            <w:r w:rsidR="006D3CB0" w:rsidRPr="00607D45">
              <w:rPr>
                <w:rFonts w:asciiTheme="minorHAnsi" w:hAnsiTheme="minorHAnsi"/>
              </w:rPr>
              <w:t>8</w:t>
            </w:r>
            <w:r w:rsidRPr="00607D45">
              <w:rPr>
                <w:rFonts w:asciiTheme="minorHAnsi" w:hAnsiTheme="minorHAnsi"/>
              </w:rPr>
              <w:t>)</w:t>
            </w:r>
          </w:p>
        </w:tc>
        <w:tc>
          <w:tcPr>
            <w:tcW w:w="1417" w:type="dxa"/>
            <w:tcBorders>
              <w:top w:val="single" w:sz="4" w:space="0" w:color="1C2B39" w:themeColor="accent1"/>
              <w:left w:val="nil"/>
              <w:bottom w:val="single" w:sz="12" w:space="0" w:color="1C2B39" w:themeColor="accent1"/>
              <w:right w:val="nil"/>
            </w:tcBorders>
            <w:hideMark/>
          </w:tcPr>
          <w:p w14:paraId="40B7671E" w14:textId="453E14C9" w:rsidR="00322C18" w:rsidRPr="00607D45" w:rsidRDefault="008249E4" w:rsidP="00511E79">
            <w:pPr>
              <w:pStyle w:val="CAB-NumberedParagraph"/>
              <w:spacing w:after="0"/>
              <w:rPr>
                <w:rFonts w:asciiTheme="minorHAnsi" w:hAnsiTheme="minorHAnsi"/>
              </w:rPr>
            </w:pPr>
            <w:r w:rsidRPr="00607D45">
              <w:rPr>
                <w:rFonts w:asciiTheme="minorHAnsi" w:hAnsiTheme="minorHAnsi"/>
              </w:rPr>
              <w:t>-</w:t>
            </w:r>
          </w:p>
        </w:tc>
        <w:tc>
          <w:tcPr>
            <w:tcW w:w="2435" w:type="dxa"/>
            <w:tcBorders>
              <w:top w:val="single" w:sz="4" w:space="0" w:color="1C2B39" w:themeColor="accent1"/>
              <w:left w:val="nil"/>
              <w:bottom w:val="single" w:sz="12" w:space="0" w:color="1C2B39" w:themeColor="accent1"/>
              <w:right w:val="nil"/>
            </w:tcBorders>
            <w:hideMark/>
          </w:tcPr>
          <w:p w14:paraId="56FBD14C" w14:textId="718D2890" w:rsidR="00322C18" w:rsidRPr="00607D45" w:rsidRDefault="00C90062" w:rsidP="00511E79">
            <w:pPr>
              <w:pStyle w:val="CAB-NumberedParagraph"/>
              <w:spacing w:after="0"/>
              <w:rPr>
                <w:rFonts w:asciiTheme="minorHAnsi" w:hAnsiTheme="minorHAnsi"/>
              </w:rPr>
            </w:pPr>
            <w:r w:rsidRPr="00607D45">
              <w:rPr>
                <w:rFonts w:asciiTheme="minorHAnsi" w:hAnsiTheme="minorHAnsi"/>
              </w:rPr>
              <w:t>(</w:t>
            </w:r>
            <w:r w:rsidR="00A005FD" w:rsidRPr="00607D45">
              <w:rPr>
                <w:rFonts w:asciiTheme="minorHAnsi" w:hAnsiTheme="minorHAnsi"/>
              </w:rPr>
              <w:t>$0.</w:t>
            </w:r>
            <w:r w:rsidRPr="00607D45">
              <w:rPr>
                <w:rFonts w:asciiTheme="minorHAnsi" w:hAnsiTheme="minorHAnsi"/>
              </w:rPr>
              <w:t>04)</w:t>
            </w:r>
          </w:p>
        </w:tc>
        <w:tc>
          <w:tcPr>
            <w:tcW w:w="1659" w:type="dxa"/>
            <w:tcBorders>
              <w:top w:val="single" w:sz="4" w:space="0" w:color="1C2B39" w:themeColor="accent1"/>
              <w:left w:val="nil"/>
              <w:bottom w:val="single" w:sz="12" w:space="0" w:color="1C2B39" w:themeColor="accent1"/>
              <w:right w:val="nil"/>
            </w:tcBorders>
            <w:hideMark/>
          </w:tcPr>
          <w:p w14:paraId="159943ED" w14:textId="233EED2C" w:rsidR="00322C18" w:rsidRPr="00607D45" w:rsidRDefault="00C90062" w:rsidP="00511E79">
            <w:pPr>
              <w:pStyle w:val="CAB-NumberedParagraph"/>
              <w:spacing w:after="0"/>
              <w:rPr>
                <w:rFonts w:asciiTheme="minorHAnsi" w:hAnsiTheme="minorHAnsi"/>
              </w:rPr>
            </w:pPr>
            <w:r w:rsidRPr="00607D45">
              <w:rPr>
                <w:rFonts w:asciiTheme="minorHAnsi" w:hAnsiTheme="minorHAnsi"/>
              </w:rPr>
              <w:t>($1.82)</w:t>
            </w:r>
          </w:p>
        </w:tc>
      </w:tr>
    </w:tbl>
    <w:p w14:paraId="08B9A8D3" w14:textId="73C8FD88" w:rsidR="00D74F04" w:rsidRDefault="00D74F04" w:rsidP="0012638D">
      <w:pPr>
        <w:pStyle w:val="Heading2"/>
        <w:rPr>
          <w:lang w:val="en-US"/>
        </w:rPr>
      </w:pPr>
      <w:bookmarkStart w:id="42" w:name="_Toc207097814"/>
      <w:r w:rsidRPr="00995541">
        <w:rPr>
          <w:lang w:val="en-US"/>
        </w:rPr>
        <w:t>4.</w:t>
      </w:r>
      <w:r w:rsidR="00AD1074">
        <w:rPr>
          <w:lang w:val="en-US"/>
        </w:rPr>
        <w:t>3</w:t>
      </w:r>
      <w:r w:rsidR="00B968E3">
        <w:rPr>
          <w:lang w:val="en-US"/>
        </w:rPr>
        <w:t xml:space="preserve"> </w:t>
      </w:r>
      <w:r w:rsidR="00AE3B3B">
        <w:rPr>
          <w:lang w:val="en-US"/>
        </w:rPr>
        <w:t>I</w:t>
      </w:r>
      <w:r w:rsidR="00097F21">
        <w:rPr>
          <w:lang w:val="en-US"/>
        </w:rPr>
        <w:t xml:space="preserve">dentify and </w:t>
      </w:r>
      <w:r w:rsidR="003F2924">
        <w:t>r</w:t>
      </w:r>
      <w:r>
        <w:t>ecalculate all affected debts</w:t>
      </w:r>
      <w:bookmarkEnd w:id="42"/>
    </w:p>
    <w:p w14:paraId="558E6105" w14:textId="77777777" w:rsidR="00D74F04" w:rsidRDefault="00D74F04" w:rsidP="0012638D">
      <w:pPr>
        <w:pStyle w:val="Heading3"/>
        <w:spacing w:line="240" w:lineRule="auto"/>
      </w:pPr>
      <w:r>
        <w:t>Lawfulness</w:t>
      </w:r>
    </w:p>
    <w:p w14:paraId="6F861AF6" w14:textId="58F20D1A" w:rsidR="003778CB" w:rsidRDefault="003778CB" w:rsidP="0012638D">
      <w:pPr>
        <w:spacing w:line="240" w:lineRule="auto"/>
      </w:pPr>
      <w:r>
        <w:t xml:space="preserve">This option would not </w:t>
      </w:r>
      <w:r w:rsidR="00916684">
        <w:t xml:space="preserve">involve </w:t>
      </w:r>
      <w:r>
        <w:t xml:space="preserve">legislation. </w:t>
      </w:r>
    </w:p>
    <w:p w14:paraId="27971113" w14:textId="4746071F" w:rsidR="003778CB" w:rsidRPr="000102B5" w:rsidRDefault="003778CB" w:rsidP="0012638D">
      <w:pPr>
        <w:spacing w:line="240" w:lineRule="auto"/>
      </w:pPr>
      <w:r>
        <w:t>The</w:t>
      </w:r>
      <w:r w:rsidR="00AE3B3B">
        <w:t xml:space="preserve"> </w:t>
      </w:r>
      <w:r w:rsidR="00AE3B3B" w:rsidRPr="00AE3B3B">
        <w:rPr>
          <w:i/>
          <w:iCs/>
        </w:rPr>
        <w:t xml:space="preserve">Chaplin </w:t>
      </w:r>
      <w:r w:rsidR="00AE3B3B">
        <w:t>decision has confirmed the</w:t>
      </w:r>
      <w:r>
        <w:t xml:space="preserve"> method to calculate</w:t>
      </w:r>
      <w:r w:rsidR="00A711D9">
        <w:t xml:space="preserve"> </w:t>
      </w:r>
      <w:r w:rsidR="00A12841">
        <w:t xml:space="preserve">debts prior to 7 December 2020 and therefor how to recalculate </w:t>
      </w:r>
      <w:r w:rsidR="00A711D9">
        <w:t>income apportionment</w:t>
      </w:r>
      <w:r>
        <w:t xml:space="preserve"> affected debts</w:t>
      </w:r>
      <w:r w:rsidR="00AE3B3B">
        <w:t xml:space="preserve">. </w:t>
      </w:r>
      <w:r>
        <w:t xml:space="preserve"> </w:t>
      </w:r>
    </w:p>
    <w:p w14:paraId="3CFE98E6" w14:textId="77777777" w:rsidR="00D74F04" w:rsidRDefault="00D74F04" w:rsidP="0012638D">
      <w:pPr>
        <w:pStyle w:val="Heading3"/>
        <w:spacing w:line="240" w:lineRule="auto"/>
      </w:pPr>
      <w:r w:rsidRPr="00370C1E">
        <w:t>Fairness</w:t>
      </w:r>
    </w:p>
    <w:p w14:paraId="479B6C93" w14:textId="77777777" w:rsidR="000E7356" w:rsidRPr="00370C1E" w:rsidRDefault="000E7356" w:rsidP="0012638D">
      <w:pPr>
        <w:pStyle w:val="Heading4"/>
        <w:spacing w:line="240" w:lineRule="auto"/>
        <w:rPr>
          <w:i/>
          <w:iCs/>
        </w:rPr>
      </w:pPr>
      <w:r w:rsidRPr="00370C1E">
        <w:rPr>
          <w:i/>
          <w:iCs/>
        </w:rPr>
        <w:t>For affected individuals</w:t>
      </w:r>
    </w:p>
    <w:p w14:paraId="30A10C62" w14:textId="4C0A9007" w:rsidR="000E7356" w:rsidRDefault="001C5E5A" w:rsidP="0012638D">
      <w:pPr>
        <w:spacing w:line="240" w:lineRule="auto"/>
      </w:pPr>
      <w:r>
        <w:t xml:space="preserve">It is fair people have their debts recalculated, as it would be applying the law as </w:t>
      </w:r>
      <w:r w:rsidR="003E666C">
        <w:t xml:space="preserve">confirmed in the </w:t>
      </w:r>
      <w:r w:rsidR="003E666C" w:rsidRPr="00810433">
        <w:rPr>
          <w:i/>
          <w:iCs/>
        </w:rPr>
        <w:t>Chaplin</w:t>
      </w:r>
      <w:r w:rsidR="003E666C">
        <w:t xml:space="preserve"> decision</w:t>
      </w:r>
      <w:r w:rsidR="009A7D1C">
        <w:t>.</w:t>
      </w:r>
    </w:p>
    <w:p w14:paraId="2D64E24C" w14:textId="1D5FF45C" w:rsidR="000E7356" w:rsidRPr="001C5E5A" w:rsidRDefault="000E7356" w:rsidP="0012638D">
      <w:pPr>
        <w:pStyle w:val="CABNumberedParagraph"/>
        <w:tabs>
          <w:tab w:val="clear" w:pos="340"/>
        </w:tabs>
        <w:spacing w:before="120" w:after="120" w:line="240" w:lineRule="auto"/>
        <w:ind w:left="0"/>
        <w:rPr>
          <w:rFonts w:asciiTheme="minorHAnsi" w:eastAsiaTheme="minorEastAsia" w:hAnsiTheme="minorHAnsi"/>
          <w:szCs w:val="21"/>
        </w:rPr>
      </w:pPr>
      <w:r w:rsidRPr="004E3070">
        <w:rPr>
          <w:rFonts w:asciiTheme="minorHAnsi" w:hAnsiTheme="minorHAnsi"/>
        </w:rPr>
        <w:t xml:space="preserve">However, </w:t>
      </w:r>
      <w:r w:rsidR="001C5E5A">
        <w:rPr>
          <w:rFonts w:asciiTheme="minorHAnsi" w:hAnsiTheme="minorHAnsi"/>
        </w:rPr>
        <w:t>r</w:t>
      </w:r>
      <w:r w:rsidR="001C5E5A" w:rsidRPr="001C5E5A">
        <w:rPr>
          <w:rFonts w:asciiTheme="minorHAnsi" w:eastAsiaTheme="minorEastAsia" w:hAnsiTheme="minorHAnsi"/>
          <w:szCs w:val="21"/>
        </w:rPr>
        <w:t>ecalculating all potentially affected debts could significantly disrupt the lives of millions of people.</w:t>
      </w:r>
      <w:r w:rsidR="001C5E5A" w:rsidRPr="0097272C">
        <w:rPr>
          <w:rFonts w:asciiTheme="minorHAnsi" w:hAnsiTheme="minorHAnsi"/>
        </w:rPr>
        <w:t xml:space="preserve"> </w:t>
      </w:r>
      <w:r w:rsidR="001C5E5A" w:rsidRPr="001C5E5A">
        <w:rPr>
          <w:rFonts w:asciiTheme="minorHAnsi" w:eastAsiaTheme="minorEastAsia" w:hAnsiTheme="minorHAnsi"/>
          <w:szCs w:val="21"/>
        </w:rPr>
        <w:t xml:space="preserve">Debts, some many decades old and fully repaid, would be re-opened, which could cause distress to affected individuals. </w:t>
      </w:r>
      <w:r w:rsidR="001C5E5A">
        <w:rPr>
          <w:rFonts w:asciiTheme="minorHAnsi" w:hAnsiTheme="minorHAnsi"/>
        </w:rPr>
        <w:t>It</w:t>
      </w:r>
      <w:r w:rsidRPr="004E3070">
        <w:rPr>
          <w:rFonts w:asciiTheme="minorHAnsi" w:hAnsiTheme="minorHAnsi"/>
        </w:rPr>
        <w:t xml:space="preserve"> is likely</w:t>
      </w:r>
      <w:r w:rsidRPr="004E3070" w:rsidDel="00E84D8E">
        <w:rPr>
          <w:rFonts w:asciiTheme="minorHAnsi" w:hAnsiTheme="minorHAnsi"/>
        </w:rPr>
        <w:t xml:space="preserve"> </w:t>
      </w:r>
      <w:r w:rsidRPr="004E3070">
        <w:rPr>
          <w:rFonts w:asciiTheme="minorHAnsi" w:hAnsiTheme="minorHAnsi"/>
        </w:rPr>
        <w:t xml:space="preserve">most people affected don’t know they have a debt where income apportionment was used. Engaging and refunding </w:t>
      </w:r>
      <w:r w:rsidR="001C5E5A">
        <w:rPr>
          <w:rFonts w:asciiTheme="minorHAnsi" w:hAnsiTheme="minorHAnsi"/>
        </w:rPr>
        <w:t>those</w:t>
      </w:r>
      <w:r w:rsidRPr="004E3070">
        <w:rPr>
          <w:rFonts w:asciiTheme="minorHAnsi" w:hAnsiTheme="minorHAnsi"/>
        </w:rPr>
        <w:t xml:space="preserve"> no longer in the system, vulnerable customers or deceased customers will be particularly difficult, and would often be for very small amounts</w:t>
      </w:r>
      <w:r w:rsidRPr="001C5E5A">
        <w:rPr>
          <w:rFonts w:asciiTheme="minorHAnsi" w:eastAsiaTheme="minorEastAsia" w:hAnsiTheme="minorHAnsi"/>
          <w:szCs w:val="21"/>
        </w:rPr>
        <w:t>. Recalculation would require seeking additional information fr</w:t>
      </w:r>
      <w:r w:rsidR="001C5E5A">
        <w:rPr>
          <w:rFonts w:asciiTheme="minorHAnsi" w:eastAsiaTheme="minorEastAsia" w:hAnsiTheme="minorHAnsi"/>
          <w:szCs w:val="21"/>
        </w:rPr>
        <w:t xml:space="preserve">om people for </w:t>
      </w:r>
      <w:r w:rsidRPr="001C5E5A">
        <w:rPr>
          <w:rFonts w:asciiTheme="minorHAnsi" w:eastAsiaTheme="minorEastAsia" w:hAnsiTheme="minorHAnsi"/>
          <w:szCs w:val="21"/>
        </w:rPr>
        <w:t xml:space="preserve">overpayments potentially many years old. Many </w:t>
      </w:r>
      <w:r w:rsidR="001C5E5A">
        <w:rPr>
          <w:rFonts w:asciiTheme="minorHAnsi" w:eastAsiaTheme="minorEastAsia" w:hAnsiTheme="minorHAnsi"/>
          <w:szCs w:val="21"/>
        </w:rPr>
        <w:t>will</w:t>
      </w:r>
      <w:r w:rsidRPr="001C5E5A">
        <w:rPr>
          <w:rFonts w:asciiTheme="minorHAnsi" w:eastAsiaTheme="minorEastAsia" w:hAnsiTheme="minorHAnsi"/>
          <w:szCs w:val="21"/>
        </w:rPr>
        <w:t xml:space="preserve"> have changed addresses, contact details or bank details; this will complicate recalculation and </w:t>
      </w:r>
      <w:r w:rsidR="00E84D8E">
        <w:rPr>
          <w:rFonts w:asciiTheme="minorHAnsi" w:eastAsiaTheme="minorEastAsia" w:hAnsiTheme="minorHAnsi"/>
          <w:szCs w:val="21"/>
        </w:rPr>
        <w:t xml:space="preserve">any </w:t>
      </w:r>
      <w:r w:rsidRPr="001C5E5A">
        <w:rPr>
          <w:rFonts w:asciiTheme="minorHAnsi" w:eastAsiaTheme="minorEastAsia" w:hAnsiTheme="minorHAnsi"/>
          <w:szCs w:val="21"/>
        </w:rPr>
        <w:t xml:space="preserve">refund efforts. </w:t>
      </w:r>
    </w:p>
    <w:p w14:paraId="124A3728" w14:textId="09353ABE" w:rsidR="000E7356" w:rsidRPr="00A222BA" w:rsidRDefault="000E7356" w:rsidP="0012638D">
      <w:pPr>
        <w:pStyle w:val="CABNumberedParagraph"/>
        <w:tabs>
          <w:tab w:val="clear" w:pos="340"/>
        </w:tabs>
        <w:spacing w:before="120" w:after="120" w:line="240" w:lineRule="auto"/>
        <w:ind w:left="0"/>
      </w:pPr>
      <w:r w:rsidRPr="004E3070">
        <w:rPr>
          <w:rFonts w:asciiTheme="minorHAnsi" w:hAnsiTheme="minorHAnsi"/>
        </w:rPr>
        <w:t>In addition, recalculation could lead to some people’s debts actually increasing (sampling shows that over a third of affected debts would</w:t>
      </w:r>
      <w:r w:rsidR="00E84D8E">
        <w:rPr>
          <w:rFonts w:asciiTheme="minorHAnsi" w:hAnsiTheme="minorHAnsi"/>
        </w:rPr>
        <w:t xml:space="preserve"> be</w:t>
      </w:r>
      <w:r w:rsidRPr="004E3070">
        <w:rPr>
          <w:rFonts w:asciiTheme="minorHAnsi" w:hAnsiTheme="minorHAnsi"/>
        </w:rPr>
        <w:t xml:space="preserve"> higher if income apportionment </w:t>
      </w:r>
      <w:r w:rsidR="00E84D8E">
        <w:rPr>
          <w:rFonts w:asciiTheme="minorHAnsi" w:hAnsiTheme="minorHAnsi"/>
        </w:rPr>
        <w:t>was</w:t>
      </w:r>
      <w:r w:rsidR="00E84D8E" w:rsidRPr="004E3070">
        <w:rPr>
          <w:rFonts w:asciiTheme="minorHAnsi" w:hAnsiTheme="minorHAnsi"/>
        </w:rPr>
        <w:t xml:space="preserve"> </w:t>
      </w:r>
      <w:r w:rsidRPr="004E3070">
        <w:rPr>
          <w:rFonts w:asciiTheme="minorHAnsi" w:hAnsiTheme="minorHAnsi"/>
        </w:rPr>
        <w:t>not used)</w:t>
      </w:r>
      <w:r w:rsidR="00E84D8E">
        <w:rPr>
          <w:rFonts w:asciiTheme="minorHAnsi" w:hAnsiTheme="minorHAnsi"/>
        </w:rPr>
        <w:t>.</w:t>
      </w:r>
      <w:r w:rsidRPr="004E3070">
        <w:rPr>
          <w:rFonts w:asciiTheme="minorHAnsi" w:hAnsiTheme="minorHAnsi"/>
        </w:rPr>
        <w:t xml:space="preserve"> </w:t>
      </w:r>
    </w:p>
    <w:p w14:paraId="4483ACF3" w14:textId="23C3C607" w:rsidR="00D74F04" w:rsidRDefault="00D74F04" w:rsidP="0012638D">
      <w:pPr>
        <w:pStyle w:val="Heading4"/>
        <w:spacing w:line="240" w:lineRule="auto"/>
        <w:rPr>
          <w:i/>
          <w:iCs/>
        </w:rPr>
      </w:pPr>
      <w:r w:rsidRPr="00370C1E">
        <w:rPr>
          <w:i/>
          <w:iCs/>
        </w:rPr>
        <w:lastRenderedPageBreak/>
        <w:t>For the broader public</w:t>
      </w:r>
    </w:p>
    <w:p w14:paraId="62B18F7A" w14:textId="578E8439" w:rsidR="0065719C" w:rsidRDefault="00DC7921" w:rsidP="0012638D">
      <w:pPr>
        <w:spacing w:line="240" w:lineRule="auto"/>
      </w:pPr>
      <w:r>
        <w:t>T</w:t>
      </w:r>
      <w:r w:rsidR="008611A5">
        <w:t xml:space="preserve">he implementation of this </w:t>
      </w:r>
      <w:r w:rsidR="009F342D">
        <w:t>option</w:t>
      </w:r>
      <w:r w:rsidR="008611A5">
        <w:t xml:space="preserve"> </w:t>
      </w:r>
      <w:r w:rsidR="007A0E8C">
        <w:t xml:space="preserve">would </w:t>
      </w:r>
      <w:r w:rsidR="0025527C">
        <w:t xml:space="preserve">involve </w:t>
      </w:r>
      <w:r w:rsidR="008611A5">
        <w:t>significant administrative and operational cost</w:t>
      </w:r>
      <w:r w:rsidR="00440674">
        <w:t xml:space="preserve"> </w:t>
      </w:r>
      <w:r w:rsidR="001C5E5A">
        <w:t xml:space="preserve">and </w:t>
      </w:r>
      <w:r w:rsidR="0065719C">
        <w:t xml:space="preserve">require the diversion of substantial expert resources from elsewhere in Services Australia. It cannot be addressed by simply increasing staffing, given the levels of expertise required. </w:t>
      </w:r>
    </w:p>
    <w:p w14:paraId="736CCA19" w14:textId="17A3A458" w:rsidR="0065719C" w:rsidRDefault="0065719C" w:rsidP="0012638D">
      <w:pPr>
        <w:spacing w:line="240" w:lineRule="auto"/>
      </w:pPr>
      <w:r>
        <w:t xml:space="preserve">This diversion of </w:t>
      </w:r>
      <w:r w:rsidR="001C5E5A">
        <w:t xml:space="preserve">government </w:t>
      </w:r>
      <w:r>
        <w:t xml:space="preserve">resources </w:t>
      </w:r>
      <w:r w:rsidDel="003E184E">
        <w:t xml:space="preserve">would </w:t>
      </w:r>
      <w:r>
        <w:t xml:space="preserve">likely lead to significant delays and inefficiencies in </w:t>
      </w:r>
      <w:r w:rsidR="00A711D9">
        <w:t>providing</w:t>
      </w:r>
      <w:r>
        <w:t xml:space="preserve"> </w:t>
      </w:r>
      <w:r w:rsidR="00FB307C">
        <w:t xml:space="preserve">income </w:t>
      </w:r>
      <w:r>
        <w:t xml:space="preserve">support </w:t>
      </w:r>
      <w:r w:rsidR="001C5E5A">
        <w:t xml:space="preserve">(e.g. claims processing, telephony, </w:t>
      </w:r>
      <w:proofErr w:type="gramStart"/>
      <w:r w:rsidR="001C5E5A">
        <w:t>face</w:t>
      </w:r>
      <w:proofErr w:type="gramEnd"/>
      <w:r w:rsidR="001C5E5A">
        <w:t xml:space="preserve">-to-face support) </w:t>
      </w:r>
      <w:r>
        <w:t xml:space="preserve">to those who </w:t>
      </w:r>
      <w:r w:rsidR="00A711D9">
        <w:t xml:space="preserve">currently </w:t>
      </w:r>
      <w:r>
        <w:t xml:space="preserve">need it most. </w:t>
      </w:r>
    </w:p>
    <w:p w14:paraId="6E78E093" w14:textId="77777777" w:rsidR="00D74F04" w:rsidRDefault="00D74F04" w:rsidP="0012638D">
      <w:pPr>
        <w:pStyle w:val="Heading4"/>
        <w:spacing w:line="240" w:lineRule="auto"/>
        <w:rPr>
          <w:i/>
          <w:iCs/>
        </w:rPr>
      </w:pPr>
      <w:r w:rsidRPr="00370C1E">
        <w:rPr>
          <w:i/>
          <w:iCs/>
        </w:rPr>
        <w:t>For businesses and organisations</w:t>
      </w:r>
    </w:p>
    <w:p w14:paraId="52FBC818" w14:textId="1C313F2B" w:rsidR="00AD01D2" w:rsidRPr="007203C6" w:rsidRDefault="004D387E" w:rsidP="0012638D">
      <w:pPr>
        <w:pStyle w:val="CABNumberedParagraph"/>
        <w:tabs>
          <w:tab w:val="clear" w:pos="340"/>
        </w:tabs>
        <w:spacing w:before="120" w:after="120" w:line="240" w:lineRule="auto"/>
        <w:ind w:left="0"/>
        <w:rPr>
          <w:rFonts w:asciiTheme="minorHAnsi" w:eastAsiaTheme="minorEastAsia" w:hAnsiTheme="minorHAnsi"/>
          <w:szCs w:val="21"/>
        </w:rPr>
      </w:pPr>
      <w:r>
        <w:rPr>
          <w:rFonts w:asciiTheme="minorHAnsi" w:eastAsiaTheme="minorEastAsia" w:hAnsiTheme="minorHAnsi"/>
          <w:szCs w:val="21"/>
        </w:rPr>
        <w:t xml:space="preserve">This option </w:t>
      </w:r>
      <w:r w:rsidR="00943F7C">
        <w:rPr>
          <w:rFonts w:asciiTheme="minorHAnsi" w:eastAsiaTheme="minorEastAsia" w:hAnsiTheme="minorHAnsi"/>
          <w:szCs w:val="21"/>
        </w:rPr>
        <w:t>could significantly amplify</w:t>
      </w:r>
      <w:r w:rsidR="008363FB">
        <w:rPr>
          <w:rFonts w:asciiTheme="minorHAnsi" w:eastAsiaTheme="minorEastAsia" w:hAnsiTheme="minorHAnsi"/>
          <w:szCs w:val="21"/>
        </w:rPr>
        <w:t xml:space="preserve"> demand for the services of community organisations as potentially thousands of people seek assistance if their debt is to be recalculated.</w:t>
      </w:r>
    </w:p>
    <w:p w14:paraId="2BCC056B" w14:textId="47EE28CF" w:rsidR="003778CB" w:rsidRPr="00D91D1E" w:rsidRDefault="00D91D1E" w:rsidP="0012638D">
      <w:pPr>
        <w:pStyle w:val="CABNumberedParagraph"/>
        <w:tabs>
          <w:tab w:val="clear" w:pos="340"/>
        </w:tabs>
        <w:spacing w:before="120" w:after="120" w:line="240" w:lineRule="auto"/>
        <w:ind w:left="0"/>
        <w:rPr>
          <w:rFonts w:asciiTheme="minorHAnsi" w:eastAsiaTheme="minorEastAsia" w:hAnsiTheme="minorHAnsi"/>
          <w:szCs w:val="21"/>
        </w:rPr>
      </w:pPr>
      <w:r>
        <w:rPr>
          <w:rFonts w:asciiTheme="minorHAnsi" w:eastAsiaTheme="minorEastAsia" w:hAnsiTheme="minorHAnsi"/>
          <w:szCs w:val="21"/>
        </w:rPr>
        <w:t>R</w:t>
      </w:r>
      <w:r w:rsidR="003778CB" w:rsidRPr="007203C6">
        <w:rPr>
          <w:rFonts w:asciiTheme="minorHAnsi" w:eastAsiaTheme="minorEastAsia" w:hAnsiTheme="minorHAnsi"/>
          <w:szCs w:val="21"/>
        </w:rPr>
        <w:t xml:space="preserve">ecalculation of all affected debts </w:t>
      </w:r>
      <w:r w:rsidR="00A577FB">
        <w:rPr>
          <w:rFonts w:asciiTheme="minorHAnsi" w:eastAsiaTheme="minorEastAsia" w:hAnsiTheme="minorHAnsi"/>
          <w:szCs w:val="21"/>
        </w:rPr>
        <w:t xml:space="preserve">would likely </w:t>
      </w:r>
      <w:r w:rsidR="003778CB" w:rsidRPr="007203C6">
        <w:rPr>
          <w:rFonts w:asciiTheme="minorHAnsi" w:eastAsiaTheme="minorEastAsia" w:hAnsiTheme="minorHAnsi"/>
          <w:szCs w:val="21"/>
        </w:rPr>
        <w:t xml:space="preserve">involve reaching out to employers or financial institutions for further information about the debtor’s </w:t>
      </w:r>
      <w:r w:rsidR="002245B3">
        <w:rPr>
          <w:rFonts w:asciiTheme="minorHAnsi" w:eastAsiaTheme="minorEastAsia" w:hAnsiTheme="minorHAnsi"/>
          <w:szCs w:val="21"/>
        </w:rPr>
        <w:t>debt</w:t>
      </w:r>
      <w:r w:rsidR="003778CB" w:rsidRPr="007203C6">
        <w:rPr>
          <w:rFonts w:asciiTheme="minorHAnsi" w:eastAsiaTheme="minorEastAsia" w:hAnsiTheme="minorHAnsi"/>
          <w:szCs w:val="21"/>
        </w:rPr>
        <w:t xml:space="preserve">. </w:t>
      </w:r>
      <w:r>
        <w:rPr>
          <w:rFonts w:asciiTheme="minorHAnsi" w:eastAsiaTheme="minorEastAsia" w:hAnsiTheme="minorHAnsi"/>
          <w:szCs w:val="21"/>
        </w:rPr>
        <w:t>This would pose a large</w:t>
      </w:r>
      <w:r w:rsidR="00BF5243" w:rsidRPr="007203C6">
        <w:rPr>
          <w:rFonts w:asciiTheme="minorHAnsi" w:eastAsiaTheme="minorEastAsia" w:hAnsiTheme="minorHAnsi"/>
          <w:szCs w:val="21"/>
        </w:rPr>
        <w:t xml:space="preserve"> administrative impost for employers and financial institution</w:t>
      </w:r>
      <w:r w:rsidR="00885384">
        <w:rPr>
          <w:rFonts w:asciiTheme="minorHAnsi" w:eastAsiaTheme="minorEastAsia" w:hAnsiTheme="minorHAnsi"/>
          <w:szCs w:val="21"/>
        </w:rPr>
        <w:t>s.</w:t>
      </w:r>
      <w:r>
        <w:rPr>
          <w:rFonts w:asciiTheme="minorHAnsi" w:eastAsiaTheme="minorEastAsia" w:hAnsiTheme="minorHAnsi"/>
          <w:szCs w:val="21"/>
        </w:rPr>
        <w:t xml:space="preserve"> </w:t>
      </w:r>
    </w:p>
    <w:p w14:paraId="5A488966" w14:textId="1F25E5FC" w:rsidR="003778CB" w:rsidRDefault="003778CB" w:rsidP="0012638D">
      <w:pPr>
        <w:pStyle w:val="CABNumberedParagraph"/>
        <w:tabs>
          <w:tab w:val="clear" w:pos="340"/>
        </w:tabs>
        <w:spacing w:before="120" w:after="120" w:line="240" w:lineRule="auto"/>
        <w:ind w:left="0"/>
        <w:rPr>
          <w:rFonts w:asciiTheme="minorHAnsi" w:eastAsiaTheme="minorEastAsia" w:hAnsiTheme="minorHAnsi"/>
          <w:szCs w:val="21"/>
        </w:rPr>
      </w:pPr>
      <w:r w:rsidRPr="007203C6">
        <w:rPr>
          <w:rFonts w:asciiTheme="minorHAnsi" w:eastAsiaTheme="minorEastAsia" w:hAnsiTheme="minorHAnsi"/>
          <w:szCs w:val="21"/>
        </w:rPr>
        <w:t xml:space="preserve">The recalculation of these affected debts would likely result in </w:t>
      </w:r>
      <w:r w:rsidR="00BD7718">
        <w:rPr>
          <w:rFonts w:asciiTheme="minorHAnsi" w:eastAsiaTheme="minorEastAsia" w:hAnsiTheme="minorHAnsi"/>
          <w:szCs w:val="21"/>
        </w:rPr>
        <w:t xml:space="preserve">a </w:t>
      </w:r>
      <w:r w:rsidRPr="007203C6">
        <w:rPr>
          <w:rFonts w:asciiTheme="minorHAnsi" w:eastAsiaTheme="minorEastAsia" w:hAnsiTheme="minorHAnsi"/>
          <w:szCs w:val="21"/>
        </w:rPr>
        <w:t xml:space="preserve">greater number of individuals seeking assistance from community legal services </w:t>
      </w:r>
      <w:r w:rsidR="00BD7718">
        <w:rPr>
          <w:rFonts w:asciiTheme="minorHAnsi" w:eastAsiaTheme="minorEastAsia" w:hAnsiTheme="minorHAnsi"/>
          <w:szCs w:val="21"/>
        </w:rPr>
        <w:t xml:space="preserve">which </w:t>
      </w:r>
      <w:r w:rsidRPr="007203C6">
        <w:rPr>
          <w:rFonts w:asciiTheme="minorHAnsi" w:eastAsiaTheme="minorEastAsia" w:hAnsiTheme="minorHAnsi"/>
          <w:szCs w:val="21"/>
        </w:rPr>
        <w:t xml:space="preserve">would not be met within </w:t>
      </w:r>
      <w:r w:rsidR="00732D88">
        <w:rPr>
          <w:rFonts w:asciiTheme="minorHAnsi" w:eastAsiaTheme="minorEastAsia" w:hAnsiTheme="minorHAnsi"/>
          <w:szCs w:val="21"/>
        </w:rPr>
        <w:t>current</w:t>
      </w:r>
      <w:r w:rsidRPr="007203C6">
        <w:rPr>
          <w:rFonts w:asciiTheme="minorHAnsi" w:eastAsiaTheme="minorEastAsia" w:hAnsiTheme="minorHAnsi"/>
          <w:szCs w:val="21"/>
        </w:rPr>
        <w:t xml:space="preserve"> arrangements.</w:t>
      </w:r>
      <w:r w:rsidR="00B604C3" w:rsidRPr="007203C6">
        <w:rPr>
          <w:rFonts w:asciiTheme="minorHAnsi" w:eastAsiaTheme="minorEastAsia" w:hAnsiTheme="minorHAnsi"/>
          <w:szCs w:val="21"/>
        </w:rPr>
        <w:t xml:space="preserve"> </w:t>
      </w:r>
    </w:p>
    <w:p w14:paraId="517DE7D0" w14:textId="77777777" w:rsidR="004D387E" w:rsidRPr="00370C1E" w:rsidRDefault="004D387E" w:rsidP="0012638D">
      <w:pPr>
        <w:pStyle w:val="Heading3"/>
        <w:spacing w:line="240" w:lineRule="auto"/>
      </w:pPr>
      <w:r w:rsidRPr="00370C1E">
        <w:t>Timeliness</w:t>
      </w:r>
    </w:p>
    <w:p w14:paraId="6632FFFC" w14:textId="5E212981" w:rsidR="004D387E" w:rsidRPr="001C5E5A" w:rsidRDefault="004D387E" w:rsidP="0012638D">
      <w:pPr>
        <w:spacing w:line="240" w:lineRule="auto"/>
      </w:pPr>
      <w:r w:rsidRPr="001C5E5A">
        <w:t>The process of manually reviewing and recalculating all affected debts will be highly resource intensive and complex. It would be extremely time consuming, and this process could not be implemented in a timely manner. It would occupy a significant amount of Services Australia’s resources and take thousands of officials</w:t>
      </w:r>
      <w:r w:rsidR="004F5DCB">
        <w:t>,</w:t>
      </w:r>
      <w:r w:rsidRPr="001C5E5A">
        <w:t xml:space="preserve"> years to complete. Recalculation would require:</w:t>
      </w:r>
    </w:p>
    <w:p w14:paraId="4D935631" w14:textId="77777777" w:rsidR="004D387E" w:rsidRPr="001C5E5A" w:rsidRDefault="004D387E" w:rsidP="0012638D">
      <w:pPr>
        <w:pStyle w:val="ListParagraph"/>
        <w:numPr>
          <w:ilvl w:val="0"/>
          <w:numId w:val="43"/>
        </w:numPr>
        <w:spacing w:line="240" w:lineRule="auto"/>
      </w:pPr>
      <w:r w:rsidRPr="001C5E5A">
        <w:t>Manually reviewing each of the millions of historical debts related to employment income to see if it was affected by income apportionment</w:t>
      </w:r>
      <w:r>
        <w:t>.</w:t>
      </w:r>
    </w:p>
    <w:p w14:paraId="285E6201" w14:textId="77777777" w:rsidR="004D387E" w:rsidRDefault="004D387E" w:rsidP="0012638D">
      <w:pPr>
        <w:pStyle w:val="ListParagraph"/>
        <w:numPr>
          <w:ilvl w:val="0"/>
          <w:numId w:val="43"/>
        </w:numPr>
        <w:spacing w:line="240" w:lineRule="auto"/>
      </w:pPr>
      <w:r w:rsidRPr="001C5E5A">
        <w:t>Seeking additional information from the individual</w:t>
      </w:r>
      <w:r>
        <w:t>:</w:t>
      </w:r>
    </w:p>
    <w:p w14:paraId="47E28FCA" w14:textId="77777777" w:rsidR="004D387E" w:rsidRDefault="004D387E" w:rsidP="0012638D">
      <w:pPr>
        <w:pStyle w:val="ListParagraph"/>
        <w:numPr>
          <w:ilvl w:val="1"/>
          <w:numId w:val="43"/>
        </w:numPr>
        <w:spacing w:line="240" w:lineRule="auto"/>
      </w:pPr>
      <w:r>
        <w:t>Affected individuals would need to update their details with Services Australia</w:t>
      </w:r>
    </w:p>
    <w:p w14:paraId="59B3008A" w14:textId="09D21F0B" w:rsidR="004D387E" w:rsidRDefault="004D387E" w:rsidP="0012638D">
      <w:pPr>
        <w:pStyle w:val="ListParagraph"/>
        <w:numPr>
          <w:ilvl w:val="1"/>
          <w:numId w:val="43"/>
        </w:numPr>
        <w:spacing w:line="240" w:lineRule="auto"/>
      </w:pPr>
      <w:r>
        <w:t xml:space="preserve">Given over half of those with income apportionment affected debts are no longer receiving a payment from Services Australia, and the average age of income apportionment affected debts is 19 years old, it is likely Services Australia would need to attempt to make multiple contacts with affected </w:t>
      </w:r>
      <w:r w:rsidR="004F5DCB">
        <w:t xml:space="preserve">individuals </w:t>
      </w:r>
      <w:r>
        <w:t xml:space="preserve">through many different communication channels. There would be some people for whom Services Australia would never be able to get in contact with to progress a recalculation of their debt. </w:t>
      </w:r>
    </w:p>
    <w:p w14:paraId="432884E6" w14:textId="537EB5C7" w:rsidR="004D387E" w:rsidRPr="001C5E5A" w:rsidRDefault="004D387E" w:rsidP="0012638D">
      <w:pPr>
        <w:pStyle w:val="ListParagraph"/>
        <w:numPr>
          <w:ilvl w:val="0"/>
          <w:numId w:val="43"/>
        </w:numPr>
        <w:spacing w:line="240" w:lineRule="auto"/>
      </w:pPr>
      <w:r>
        <w:t xml:space="preserve">If </w:t>
      </w:r>
      <w:r w:rsidRPr="001C5E5A">
        <w:t xml:space="preserve">necessary, </w:t>
      </w:r>
      <w:r>
        <w:t xml:space="preserve">contacting </w:t>
      </w:r>
      <w:r w:rsidRPr="001C5E5A">
        <w:t>employers and banks (some of which may no longer exist)</w:t>
      </w:r>
      <w:r>
        <w:t xml:space="preserve"> for additional information for the recalculation </w:t>
      </w:r>
      <w:r w:rsidR="00975585">
        <w:t>process</w:t>
      </w:r>
      <w:r>
        <w:t>.</w:t>
      </w:r>
    </w:p>
    <w:p w14:paraId="047F526F" w14:textId="753AB4A1" w:rsidR="004D387E" w:rsidRPr="001C5E5A" w:rsidRDefault="004D387E" w:rsidP="0012638D">
      <w:pPr>
        <w:pStyle w:val="ListParagraph"/>
        <w:numPr>
          <w:ilvl w:val="0"/>
          <w:numId w:val="43"/>
        </w:numPr>
        <w:spacing w:line="240" w:lineRule="auto"/>
      </w:pPr>
      <w:r w:rsidRPr="001C5E5A">
        <w:t>Recalculating the debt</w:t>
      </w:r>
      <w:r w:rsidR="00CB09FA">
        <w:t>.</w:t>
      </w:r>
    </w:p>
    <w:p w14:paraId="07349327" w14:textId="69E6E1D5" w:rsidR="004D387E" w:rsidRDefault="004D387E" w:rsidP="0012638D">
      <w:pPr>
        <w:pStyle w:val="ListParagraph"/>
        <w:numPr>
          <w:ilvl w:val="0"/>
          <w:numId w:val="43"/>
        </w:numPr>
        <w:spacing w:line="240" w:lineRule="auto"/>
      </w:pPr>
      <w:r w:rsidRPr="001C5E5A">
        <w:t>Making refunds to customers where debts have been over-recovered.</w:t>
      </w:r>
    </w:p>
    <w:p w14:paraId="06FE01DC" w14:textId="141CEA45" w:rsidR="004D387E" w:rsidRPr="009B6278" w:rsidRDefault="004D387E" w:rsidP="0012638D">
      <w:pPr>
        <w:spacing w:line="240" w:lineRule="auto"/>
      </w:pPr>
      <w:r w:rsidRPr="003D3029">
        <w:t>Services Australia advise</w:t>
      </w:r>
      <w:r>
        <w:t>s</w:t>
      </w:r>
      <w:r w:rsidRPr="003D3029">
        <w:t xml:space="preserve"> the end-to-end recalculation process can take on average between 7.5 hours for each simple debt to 30 hours for each complex debt. </w:t>
      </w:r>
      <w:r w:rsidR="00FA4F1F">
        <w:t>Allowing time for</w:t>
      </w:r>
      <w:r>
        <w:t xml:space="preserve"> </w:t>
      </w:r>
      <w:r w:rsidR="00752797">
        <w:t>each step</w:t>
      </w:r>
      <w:r w:rsidR="002F4F9D">
        <w:t xml:space="preserve"> (above), in total </w:t>
      </w:r>
      <w:r>
        <w:t xml:space="preserve">a recalculation can take around 2 months. </w:t>
      </w:r>
    </w:p>
    <w:p w14:paraId="034CD93C" w14:textId="77777777" w:rsidR="004D387E" w:rsidRPr="003778CB" w:rsidRDefault="004D387E" w:rsidP="0012638D">
      <w:pPr>
        <w:spacing w:before="120" w:after="120" w:line="240" w:lineRule="auto"/>
      </w:pPr>
      <w:r>
        <w:lastRenderedPageBreak/>
        <w:t>This will subject people with potentially affected debts to years of waiting and uncertainty before any resolution is provided. This includes those people with the 160,000 paused debts, who have already faced an extended period of uncertainty.</w:t>
      </w:r>
    </w:p>
    <w:p w14:paraId="363679FC" w14:textId="77777777" w:rsidR="004D387E" w:rsidRDefault="004D387E" w:rsidP="0012638D">
      <w:pPr>
        <w:spacing w:line="240" w:lineRule="auto"/>
      </w:pPr>
      <w:r w:rsidRPr="002D7C45">
        <w:t>This could also affect Services Australia’s other deliverables, including timeliness of payments processing</w:t>
      </w:r>
      <w:r>
        <w:t xml:space="preserve"> to individuals who need support now</w:t>
      </w:r>
      <w:r w:rsidRPr="002D7C45">
        <w:t xml:space="preserve">. </w:t>
      </w:r>
    </w:p>
    <w:p w14:paraId="315D9397" w14:textId="0E6B4972" w:rsidR="00D74F04" w:rsidRDefault="00D74F04" w:rsidP="0012638D">
      <w:pPr>
        <w:pStyle w:val="Heading4"/>
        <w:spacing w:line="240" w:lineRule="auto"/>
      </w:pPr>
      <w:r>
        <w:t>Regulatory burden estimate</w:t>
      </w:r>
    </w:p>
    <w:p w14:paraId="60A77F8D" w14:textId="3D62C160" w:rsidR="00E37306" w:rsidRDefault="00E37306" w:rsidP="0012638D">
      <w:pPr>
        <w:spacing w:before="120" w:after="120" w:line="240" w:lineRule="auto"/>
      </w:pPr>
      <w:r>
        <w:t>A regulatory burden estimate has been calculated, assuming:</w:t>
      </w:r>
    </w:p>
    <w:p w14:paraId="14D53478" w14:textId="77777777" w:rsidR="00E37306" w:rsidRPr="008B3A91" w:rsidRDefault="00E37306" w:rsidP="0012638D">
      <w:pPr>
        <w:spacing w:before="120" w:after="120" w:line="240" w:lineRule="auto"/>
        <w:rPr>
          <w:b/>
          <w:bCs/>
        </w:rPr>
      </w:pPr>
      <w:r>
        <w:rPr>
          <w:b/>
          <w:bCs/>
        </w:rPr>
        <w:t>For individuals</w:t>
      </w:r>
    </w:p>
    <w:p w14:paraId="17018CBB" w14:textId="3D917807" w:rsidR="00E37306" w:rsidRDefault="00E37306" w:rsidP="0012638D">
      <w:pPr>
        <w:pStyle w:val="ListParagraph"/>
        <w:numPr>
          <w:ilvl w:val="0"/>
          <w:numId w:val="24"/>
        </w:numPr>
        <w:spacing w:before="120" w:after="120" w:line="240" w:lineRule="auto"/>
      </w:pPr>
      <w:r>
        <w:t xml:space="preserve">Around 3 million individuals will need to engage with Services Australia, in some way, regarding the recalculation of their debt. This could range from only needing to </w:t>
      </w:r>
      <w:r w:rsidR="005E558E">
        <w:t xml:space="preserve">review correspondence from Services Australia, to providing additional information for their debt to be recalculated or updating payment details to allow any refund to be processed. Once the debt has been recalculated, individuals will need to consider the decision and decide whether to seek a review of the decision. Overall, this is estimated to take around 4 hours on average. </w:t>
      </w:r>
      <w:r w:rsidR="00F558D1">
        <w:t xml:space="preserve">This would cost $37.00 per hour based on </w:t>
      </w:r>
      <w:r w:rsidR="00F558D1" w:rsidRPr="00B025D8">
        <w:t>PM&amp;C Regulatory Burden Measurement Framework</w:t>
      </w:r>
      <w:r w:rsidR="00F558D1">
        <w:t>.</w:t>
      </w:r>
    </w:p>
    <w:p w14:paraId="4B9AA7D5" w14:textId="5FC715C7" w:rsidR="00020402" w:rsidRDefault="00210145" w:rsidP="0012638D">
      <w:pPr>
        <w:spacing w:before="120" w:after="120" w:line="240" w:lineRule="auto"/>
        <w:ind w:left="720"/>
      </w:pPr>
      <m:oMathPara>
        <m:oMath>
          <m:r>
            <w:rPr>
              <w:rFonts w:ascii="Cambria Math" w:hAnsi="Cambria Math"/>
            </w:rPr>
            <m:t>3 million ×4 ×$37.00=$444 million</m:t>
          </m:r>
        </m:oMath>
      </m:oMathPara>
    </w:p>
    <w:p w14:paraId="3FBDF89C" w14:textId="69F0CAB0" w:rsidR="005E558E" w:rsidRDefault="005E558E" w:rsidP="0012638D">
      <w:pPr>
        <w:pStyle w:val="ListParagraph"/>
        <w:numPr>
          <w:ilvl w:val="0"/>
          <w:numId w:val="24"/>
        </w:numPr>
        <w:spacing w:before="120" w:after="120" w:line="240" w:lineRule="auto"/>
      </w:pPr>
      <w:r>
        <w:t xml:space="preserve">3% of those who have their debts recalculated are expected to appeal the recalculation of their debt. This is estimated to require around 20 hours of engagement with Services Australia, reflecting the time required </w:t>
      </w:r>
      <w:r w:rsidRPr="008B3A91">
        <w:t>to apply</w:t>
      </w:r>
      <w:r>
        <w:t xml:space="preserve"> for review</w:t>
      </w:r>
      <w:r w:rsidRPr="008B3A91">
        <w:t xml:space="preserve">, comply with </w:t>
      </w:r>
      <w:r>
        <w:t xml:space="preserve">any requests for </w:t>
      </w:r>
      <w:r w:rsidRPr="008B3A91">
        <w:t>additional information, engage with the reviewing officer, and where necessary, prepare for and attend an ART hearing, and then understand the revised decision.</w:t>
      </w:r>
    </w:p>
    <w:p w14:paraId="26E7C8E2" w14:textId="739B5A2B" w:rsidR="00210145" w:rsidRDefault="00210145" w:rsidP="0012638D">
      <w:pPr>
        <w:spacing w:before="120" w:after="120" w:line="240" w:lineRule="auto"/>
        <w:ind w:left="360"/>
      </w:pPr>
      <m:oMathPara>
        <m:oMath>
          <m:r>
            <w:rPr>
              <w:rFonts w:ascii="Cambria Math" w:hAnsi="Cambria Math"/>
            </w:rPr>
            <m:t>3 million ×0.03 ×20 ×$37.00 =$66.6 million</m:t>
          </m:r>
        </m:oMath>
      </m:oMathPara>
    </w:p>
    <w:p w14:paraId="7877EA19" w14:textId="77777777" w:rsidR="001801EC" w:rsidRDefault="001801EC" w:rsidP="0012638D">
      <w:pPr>
        <w:pStyle w:val="ListParagraph"/>
        <w:numPr>
          <w:ilvl w:val="0"/>
          <w:numId w:val="24"/>
        </w:numPr>
        <w:spacing w:before="120" w:after="120" w:line="240" w:lineRule="auto"/>
      </w:pPr>
      <w:r>
        <w:t xml:space="preserve">Total cost </w:t>
      </w:r>
    </w:p>
    <w:p w14:paraId="1512628F" w14:textId="014C3325" w:rsidR="001801EC" w:rsidRDefault="001801EC" w:rsidP="0012638D">
      <w:pPr>
        <w:pStyle w:val="ListParagraph"/>
        <w:numPr>
          <w:ilvl w:val="1"/>
          <w:numId w:val="24"/>
        </w:numPr>
        <w:spacing w:before="120" w:after="120" w:line="240" w:lineRule="auto"/>
      </w:pPr>
      <w:r>
        <w:t>=$44</w:t>
      </w:r>
      <w:r w:rsidR="00210145">
        <w:t xml:space="preserve">4 million </w:t>
      </w:r>
      <w:r>
        <w:t>+$66</w:t>
      </w:r>
      <w:r w:rsidR="00415CFA">
        <w:t>.</w:t>
      </w:r>
      <w:r>
        <w:t>6</w:t>
      </w:r>
      <w:r w:rsidR="00210145">
        <w:t xml:space="preserve"> million </w:t>
      </w:r>
    </w:p>
    <w:p w14:paraId="5C8EAC7A" w14:textId="792F1DA9" w:rsidR="00D64C0A" w:rsidRPr="0013562C" w:rsidRDefault="001801EC" w:rsidP="0012638D">
      <w:pPr>
        <w:pStyle w:val="ListParagraph"/>
        <w:numPr>
          <w:ilvl w:val="1"/>
          <w:numId w:val="24"/>
        </w:numPr>
        <w:spacing w:before="120" w:after="120" w:line="240" w:lineRule="auto"/>
      </w:pPr>
      <w:r>
        <w:t>=</w:t>
      </w:r>
      <w:r w:rsidRPr="00745DD0">
        <w:rPr>
          <w:b/>
          <w:bCs/>
        </w:rPr>
        <w:t>$510</w:t>
      </w:r>
      <w:r w:rsidR="00210145">
        <w:rPr>
          <w:b/>
          <w:bCs/>
        </w:rPr>
        <w:t>.</w:t>
      </w:r>
      <w:r w:rsidRPr="00745DD0">
        <w:rPr>
          <w:b/>
          <w:bCs/>
        </w:rPr>
        <w:t>6</w:t>
      </w:r>
      <w:r w:rsidR="00210145">
        <w:rPr>
          <w:b/>
          <w:bCs/>
        </w:rPr>
        <w:t xml:space="preserve"> million</w:t>
      </w:r>
    </w:p>
    <w:p w14:paraId="5664B8D7" w14:textId="118D0B4F" w:rsidR="005E558E" w:rsidRPr="00440674" w:rsidRDefault="005E558E" w:rsidP="0012638D">
      <w:pPr>
        <w:spacing w:before="120" w:after="120" w:line="240" w:lineRule="auto"/>
        <w:rPr>
          <w:b/>
          <w:bCs/>
        </w:rPr>
      </w:pPr>
      <w:r w:rsidRPr="00607D45">
        <w:rPr>
          <w:b/>
          <w:bCs/>
        </w:rPr>
        <w:t>For businesses</w:t>
      </w:r>
    </w:p>
    <w:p w14:paraId="1E90804A" w14:textId="23E562A4" w:rsidR="006E7CA0" w:rsidRPr="00F2210E" w:rsidRDefault="005E558E" w:rsidP="0012638D">
      <w:pPr>
        <w:pStyle w:val="ListParagraph"/>
        <w:numPr>
          <w:ilvl w:val="0"/>
          <w:numId w:val="27"/>
        </w:numPr>
        <w:spacing w:before="120" w:after="120" w:line="240" w:lineRule="auto"/>
      </w:pPr>
      <w:r w:rsidRPr="00440674">
        <w:t xml:space="preserve">Employers and financial institutions </w:t>
      </w:r>
      <w:r w:rsidR="00391736" w:rsidRPr="00440674">
        <w:t>may</w:t>
      </w:r>
      <w:r w:rsidR="004A3E70" w:rsidRPr="00440674">
        <w:t xml:space="preserve"> </w:t>
      </w:r>
      <w:r w:rsidRPr="00440674">
        <w:t xml:space="preserve">need to be contacted </w:t>
      </w:r>
      <w:r w:rsidR="00AE462E">
        <w:t>for information</w:t>
      </w:r>
      <w:r w:rsidRPr="00440674">
        <w:t xml:space="preserve">. It is estimated around </w:t>
      </w:r>
      <w:r w:rsidR="009E55E3" w:rsidRPr="00440674">
        <w:t>2.6</w:t>
      </w:r>
      <w:r w:rsidRPr="00440674">
        <w:t xml:space="preserve"> million</w:t>
      </w:r>
      <w:r w:rsidRPr="001B6497">
        <w:t xml:space="preserve"> requests to employers and financial institutions will be </w:t>
      </w:r>
      <w:r w:rsidRPr="0060413B">
        <w:t>required</w:t>
      </w:r>
      <w:r w:rsidR="006E7CA0" w:rsidRPr="0060413B">
        <w:t xml:space="preserve">. </w:t>
      </w:r>
      <w:r w:rsidR="006E7CA0" w:rsidRPr="00F2210E">
        <w:t>Thi</w:t>
      </w:r>
      <w:r w:rsidRPr="00F2210E">
        <w:t>s assumes</w:t>
      </w:r>
      <w:r w:rsidR="006E7CA0" w:rsidRPr="00F2210E">
        <w:t>:</w:t>
      </w:r>
    </w:p>
    <w:p w14:paraId="71D7F565" w14:textId="19634BCC" w:rsidR="006E7CA0" w:rsidRPr="00F2210E" w:rsidRDefault="00CE411E" w:rsidP="0012638D">
      <w:pPr>
        <w:pStyle w:val="ListParagraph"/>
        <w:numPr>
          <w:ilvl w:val="1"/>
          <w:numId w:val="27"/>
        </w:numPr>
        <w:spacing w:before="120" w:after="120" w:line="240" w:lineRule="auto"/>
      </w:pPr>
      <w:r w:rsidRPr="00F2210E">
        <w:t>63% of the 5.5 million potentially affected debts would be actually affected</w:t>
      </w:r>
      <w:r w:rsidR="0043280E" w:rsidRPr="00F2210E">
        <w:t xml:space="preserve"> by income apportionment</w:t>
      </w:r>
      <w:r w:rsidR="006D3B04" w:rsidRPr="00F2210E">
        <w:t xml:space="preserve"> </w:t>
      </w:r>
      <w:r w:rsidR="006B3E3F" w:rsidRPr="00F2210E">
        <w:t>(based on sampling)</w:t>
      </w:r>
    </w:p>
    <w:p w14:paraId="482E5800" w14:textId="35090974" w:rsidR="006E7CA0" w:rsidRPr="002734D0" w:rsidRDefault="006E7CA0" w:rsidP="0012638D">
      <w:pPr>
        <w:pStyle w:val="ListParagraph"/>
        <w:numPr>
          <w:ilvl w:val="1"/>
          <w:numId w:val="27"/>
        </w:numPr>
        <w:spacing w:before="120" w:after="120" w:line="240" w:lineRule="auto"/>
      </w:pPr>
      <w:r w:rsidRPr="00F2210E" w:rsidDel="00815499">
        <w:t xml:space="preserve">For around </w:t>
      </w:r>
      <w:r w:rsidR="0053140F" w:rsidRPr="00F2210E">
        <w:t>a third</w:t>
      </w:r>
      <w:r w:rsidRPr="00F2210E" w:rsidDel="00815499">
        <w:t xml:space="preserve"> of these cases, </w:t>
      </w:r>
      <w:r w:rsidR="006D3B04" w:rsidRPr="00F2210E">
        <w:t xml:space="preserve">Services Australia </w:t>
      </w:r>
      <w:r w:rsidR="00B74E0C" w:rsidRPr="002734D0">
        <w:t>would seek</w:t>
      </w:r>
      <w:r w:rsidR="00F0600D" w:rsidRPr="002734D0">
        <w:t xml:space="preserve"> additional information</w:t>
      </w:r>
      <w:r w:rsidR="00E77C82" w:rsidRPr="002734D0">
        <w:t>.</w:t>
      </w:r>
    </w:p>
    <w:p w14:paraId="00D7B024" w14:textId="6BA6F51D" w:rsidR="006E7CA0" w:rsidRPr="00F2210E" w:rsidRDefault="006E7CA0" w:rsidP="0012638D">
      <w:pPr>
        <w:pStyle w:val="ListParagraph"/>
        <w:numPr>
          <w:ilvl w:val="1"/>
          <w:numId w:val="27"/>
        </w:numPr>
        <w:spacing w:before="120" w:after="120" w:line="240" w:lineRule="auto"/>
      </w:pPr>
      <w:r w:rsidRPr="002734D0">
        <w:t xml:space="preserve">Each debt involves </w:t>
      </w:r>
      <w:r w:rsidR="005E558E" w:rsidRPr="002734D0">
        <w:t>1.5 employers</w:t>
      </w:r>
      <w:r w:rsidR="009E6335" w:rsidRPr="002734D0">
        <w:t xml:space="preserve"> and in around </w:t>
      </w:r>
      <w:r w:rsidR="005E558E" w:rsidRPr="002734D0">
        <w:t>half of the</w:t>
      </w:r>
      <w:r w:rsidR="00F0600D" w:rsidRPr="002734D0">
        <w:t>se</w:t>
      </w:r>
      <w:r w:rsidR="005E558E" w:rsidRPr="00F2210E">
        <w:t xml:space="preserve"> situations </w:t>
      </w:r>
      <w:r w:rsidR="009E6335">
        <w:t>financial institutions would also need to be contacted</w:t>
      </w:r>
      <w:r w:rsidR="00EE4C7A">
        <w:t>.</w:t>
      </w:r>
      <w:r w:rsidR="003C08FA" w:rsidRPr="00F2210E">
        <w:t xml:space="preserve"> </w:t>
      </w:r>
    </w:p>
    <w:p w14:paraId="1BE9C15E" w14:textId="33ABA914" w:rsidR="006D3B04" w:rsidRDefault="006E7CA0" w:rsidP="0012638D">
      <w:pPr>
        <w:pStyle w:val="ListParagraph"/>
        <w:numPr>
          <w:ilvl w:val="0"/>
          <w:numId w:val="27"/>
        </w:numPr>
        <w:spacing w:before="120" w:after="120" w:line="240" w:lineRule="auto"/>
      </w:pPr>
      <w:r>
        <w:t>T</w:t>
      </w:r>
      <w:r w:rsidR="006F146F">
        <w:t xml:space="preserve">his gives an estimate of </w:t>
      </w:r>
      <w:r w:rsidR="00D00294">
        <w:t>2</w:t>
      </w:r>
      <w:r w:rsidR="006F146F" w:rsidRPr="00DD6C2A">
        <w:t>,</w:t>
      </w:r>
      <w:r w:rsidR="00D00294">
        <w:t>615</w:t>
      </w:r>
      <w:r w:rsidR="00820D8F" w:rsidRPr="00DD6C2A">
        <w:t>,</w:t>
      </w:r>
      <w:r w:rsidR="00D00294">
        <w:t>335</w:t>
      </w:r>
      <w:r w:rsidR="006F146F">
        <w:t xml:space="preserve"> requests</w:t>
      </w:r>
      <w:r w:rsidR="006D3B04">
        <w:t xml:space="preserve"> (noting some discrepancy due to rounding)</w:t>
      </w:r>
      <w:r w:rsidR="006F146F">
        <w:t>.</w:t>
      </w:r>
      <w:r w:rsidR="005E558E" w:rsidRPr="00745DD0">
        <w:t xml:space="preserve"> </w:t>
      </w:r>
    </w:p>
    <w:p w14:paraId="0352B5AD" w14:textId="77777777" w:rsidR="006D3B04" w:rsidRDefault="006D3B04" w:rsidP="0012638D">
      <w:pPr>
        <w:pStyle w:val="ListParagraph"/>
        <w:spacing w:before="120" w:after="120" w:line="240" w:lineRule="auto"/>
      </w:pPr>
    </w:p>
    <w:p w14:paraId="676B81FA" w14:textId="5B822B25" w:rsidR="006D3B04" w:rsidRPr="006D3B04" w:rsidRDefault="00051BCB" w:rsidP="0012638D">
      <w:pPr>
        <w:pStyle w:val="ListParagraph"/>
        <w:spacing w:before="120" w:after="120" w:line="240" w:lineRule="auto"/>
      </w:pPr>
      <m:oMathPara>
        <m:oMath>
          <m:r>
            <w:rPr>
              <w:rFonts w:ascii="Cambria Math" w:hAnsi="Cambria Math"/>
            </w:rPr>
            <m:t>5.5 million ×0.63×0.33×1.5×1.5=2,615,335</m:t>
          </m:r>
        </m:oMath>
      </m:oMathPara>
    </w:p>
    <w:p w14:paraId="73A9B195" w14:textId="77777777" w:rsidR="006D3B04" w:rsidRPr="006D3B04" w:rsidRDefault="006D3B04" w:rsidP="0012638D">
      <w:pPr>
        <w:pStyle w:val="ListParagraph"/>
        <w:spacing w:before="120" w:after="120" w:line="240" w:lineRule="auto"/>
      </w:pPr>
    </w:p>
    <w:p w14:paraId="326C6ED2" w14:textId="46F6DC81" w:rsidR="005E558E" w:rsidRDefault="006D3B04" w:rsidP="0012638D">
      <w:pPr>
        <w:pStyle w:val="ListParagraph"/>
        <w:numPr>
          <w:ilvl w:val="0"/>
          <w:numId w:val="27"/>
        </w:numPr>
        <w:spacing w:before="120" w:after="120" w:line="240" w:lineRule="auto"/>
      </w:pPr>
      <w:r>
        <w:lastRenderedPageBreak/>
        <w:t>I</w:t>
      </w:r>
      <w:r w:rsidR="005E558E" w:rsidRPr="00745DD0">
        <w:t>t is estimated employers and financial institutions would take around 4 hours to complete each request. This</w:t>
      </w:r>
      <w:r w:rsidR="005E558E">
        <w:t xml:space="preserve"> estimate is based on feedback from employers and financial institutions on recalculation requests to date (where they have occurred due to cases before the Administrative Review Tribunal). Organisations have regularly told Services Australia undertaking searches for historical information is onerous. </w:t>
      </w:r>
      <w:r w:rsidR="00F558D1">
        <w:t xml:space="preserve">This would cost $85.17 per hour based on </w:t>
      </w:r>
      <w:r w:rsidR="00F558D1" w:rsidRPr="00B025D8">
        <w:t>PM&amp;C Regulatory Burden Measurement Framework</w:t>
      </w:r>
      <w:r w:rsidR="00F558D1">
        <w:t>.</w:t>
      </w:r>
    </w:p>
    <w:p w14:paraId="402372FB" w14:textId="111D721D" w:rsidR="00415CFA" w:rsidRDefault="00051BCB" w:rsidP="0012638D">
      <w:pPr>
        <w:spacing w:before="120" w:after="120" w:line="240" w:lineRule="auto"/>
      </w:pPr>
      <m:oMathPara>
        <m:oMath>
          <m:r>
            <w:rPr>
              <w:rFonts w:ascii="Cambria Math" w:hAnsi="Cambria Math"/>
            </w:rPr>
            <m:t>2,615,335×4 ×$85.17=$891.0 million</m:t>
          </m:r>
        </m:oMath>
      </m:oMathPara>
    </w:p>
    <w:p w14:paraId="6945D516" w14:textId="77777777" w:rsidR="00E37306" w:rsidRPr="0060413B" w:rsidRDefault="00E37306" w:rsidP="0012638D">
      <w:pPr>
        <w:spacing w:before="120" w:after="120" w:line="240" w:lineRule="auto"/>
        <w:rPr>
          <w:b/>
          <w:bCs/>
        </w:rPr>
      </w:pPr>
      <w:r w:rsidRPr="0060413B">
        <w:rPr>
          <w:b/>
          <w:bCs/>
        </w:rPr>
        <w:t>For community organisations</w:t>
      </w:r>
    </w:p>
    <w:p w14:paraId="370CAED8" w14:textId="23B6E367" w:rsidR="00E37306" w:rsidRPr="0060413B" w:rsidRDefault="00E37306" w:rsidP="0012638D">
      <w:pPr>
        <w:pStyle w:val="ListParagraph"/>
        <w:numPr>
          <w:ilvl w:val="0"/>
          <w:numId w:val="25"/>
        </w:numPr>
        <w:spacing w:before="120" w:after="120" w:line="240" w:lineRule="auto"/>
      </w:pPr>
      <w:r w:rsidRPr="00F2210E">
        <w:t>Some community organisations provide support to those undertaking reviews and appeals at Services Australia</w:t>
      </w:r>
      <w:r w:rsidR="002027B0" w:rsidRPr="00F2210E">
        <w:t>.</w:t>
      </w:r>
      <w:r w:rsidRPr="00F2210E">
        <w:t xml:space="preserve"> </w:t>
      </w:r>
      <w:r w:rsidR="002E04D4" w:rsidRPr="00F2210E">
        <w:t xml:space="preserve">Due to the numbers of people involved, we </w:t>
      </w:r>
      <w:r w:rsidRPr="00F2210E">
        <w:t xml:space="preserve">have assumed </w:t>
      </w:r>
      <w:r w:rsidR="005E558E" w:rsidRPr="00F2210E">
        <w:t>2</w:t>
      </w:r>
      <w:r w:rsidRPr="00F2210E">
        <w:t xml:space="preserve">% of </w:t>
      </w:r>
      <w:r w:rsidR="009B6278" w:rsidRPr="00F2210E">
        <w:t>those</w:t>
      </w:r>
      <w:r w:rsidR="009B6278" w:rsidRPr="0060413B">
        <w:t xml:space="preserve"> contacted by Services Australia about a recalculation </w:t>
      </w:r>
      <w:r w:rsidR="002E04D4" w:rsidRPr="0060413B">
        <w:t xml:space="preserve">would be able </w:t>
      </w:r>
      <w:r w:rsidR="0081670A">
        <w:t xml:space="preserve">to </w:t>
      </w:r>
      <w:r w:rsidR="002E04D4" w:rsidRPr="0060413B">
        <w:t xml:space="preserve">access </w:t>
      </w:r>
      <w:r w:rsidRPr="0060413B">
        <w:t>community organisation support</w:t>
      </w:r>
      <w:r w:rsidR="009B6278" w:rsidRPr="0060413B">
        <w:t xml:space="preserve"> – either to speak directly with a support person, or to access information that would need to be developed and maintained by community organisations. We have assumed</w:t>
      </w:r>
      <w:r w:rsidRPr="0060413B">
        <w:t xml:space="preserve"> organisation</w:t>
      </w:r>
      <w:r w:rsidR="009B6278" w:rsidRPr="0060413B">
        <w:t>s</w:t>
      </w:r>
      <w:r w:rsidRPr="0060413B">
        <w:t xml:space="preserve"> would spend around 4 hours (in total) on </w:t>
      </w:r>
      <w:r w:rsidR="009B6278" w:rsidRPr="0060413B">
        <w:t>each person’s</w:t>
      </w:r>
      <w:r w:rsidRPr="0060413B">
        <w:t xml:space="preserve"> case. </w:t>
      </w:r>
    </w:p>
    <w:p w14:paraId="2D8012C0" w14:textId="2DBCDDCA" w:rsidR="00DE0CD1" w:rsidRDefault="00DE0CD1" w:rsidP="0012638D">
      <w:pPr>
        <w:pStyle w:val="ListParagraph"/>
        <w:numPr>
          <w:ilvl w:val="0"/>
          <w:numId w:val="25"/>
        </w:numPr>
        <w:spacing w:before="120" w:after="120" w:line="240" w:lineRule="auto"/>
        <w:jc w:val="center"/>
      </w:pPr>
      <m:oMath>
        <m:r>
          <w:rPr>
            <w:rFonts w:ascii="Cambria Math" w:hAnsi="Cambria Math"/>
          </w:rPr>
          <m:t xml:space="preserve">3 million ×0.02×4 ×$85.17=$20.4 million </m:t>
        </m:r>
      </m:oMath>
    </w:p>
    <w:p w14:paraId="639EB891" w14:textId="77777777" w:rsidR="009B6504" w:rsidRDefault="009B6504" w:rsidP="0012638D">
      <w:pPr>
        <w:spacing w:line="240" w:lineRule="auto"/>
      </w:pPr>
    </w:p>
    <w:p w14:paraId="12C40541" w14:textId="02DB15A2" w:rsidR="00D91D1E" w:rsidRPr="00607D45" w:rsidRDefault="00D671C7" w:rsidP="0012638D">
      <w:pPr>
        <w:spacing w:line="240" w:lineRule="auto"/>
      </w:pPr>
      <w:r>
        <w:t xml:space="preserve">This results in a total regulatory cost over 10 years </w:t>
      </w:r>
      <w:r w:rsidRPr="0079071C">
        <w:t xml:space="preserve">of </w:t>
      </w:r>
      <w:r w:rsidRPr="009E55E3">
        <w:t>$</w:t>
      </w:r>
      <w:r w:rsidR="0079071C" w:rsidRPr="009E55E3">
        <w:t>1,</w:t>
      </w:r>
      <w:r w:rsidR="00105154" w:rsidRPr="009E55E3">
        <w:t>4</w:t>
      </w:r>
      <w:r w:rsidR="005C0813">
        <w:t>2</w:t>
      </w:r>
      <w:r w:rsidR="00105154" w:rsidRPr="009E55E3">
        <w:t>2</w:t>
      </w:r>
      <w:r w:rsidR="0079071C" w:rsidRPr="009E55E3">
        <w:t>.</w:t>
      </w:r>
      <w:r w:rsidR="00105154" w:rsidRPr="009E55E3">
        <w:t>0</w:t>
      </w:r>
      <w:r w:rsidR="0079071C" w:rsidRPr="009E55E3">
        <w:t xml:space="preserve"> million.</w:t>
      </w:r>
      <w:r w:rsidR="0079071C">
        <w:t xml:space="preserve"> </w:t>
      </w:r>
      <w:r w:rsidR="005317F0">
        <w:t>Average</w:t>
      </w:r>
      <w:r w:rsidR="00DB274C">
        <w:t>d</w:t>
      </w:r>
      <w:r w:rsidR="005317F0">
        <w:t xml:space="preserve"> annual costs</w:t>
      </w:r>
      <w:r w:rsidR="00940661">
        <w:t xml:space="preserve"> over 10 years</w:t>
      </w:r>
      <w:r w:rsidR="005317F0">
        <w:t xml:space="preserve"> </w:t>
      </w:r>
      <w:r w:rsidR="005317F0" w:rsidRPr="00607D45">
        <w:t xml:space="preserve">are provided in the table below. </w:t>
      </w:r>
    </w:p>
    <w:tbl>
      <w:tblPr>
        <w:tblW w:w="0" w:type="auto"/>
        <w:tblLook w:val="0660" w:firstRow="1" w:lastRow="1" w:firstColumn="0" w:lastColumn="0" w:noHBand="1" w:noVBand="1"/>
      </w:tblPr>
      <w:tblGrid>
        <w:gridCol w:w="2555"/>
        <w:gridCol w:w="1256"/>
        <w:gridCol w:w="1417"/>
        <w:gridCol w:w="2435"/>
        <w:gridCol w:w="1659"/>
      </w:tblGrid>
      <w:tr w:rsidR="00D74F04" w:rsidRPr="00607D45" w14:paraId="403D3A4D" w14:textId="77777777" w:rsidTr="009916F9">
        <w:trPr>
          <w:trHeight w:val="350"/>
          <w:tblHeader/>
        </w:trPr>
        <w:tc>
          <w:tcPr>
            <w:tcW w:w="9322" w:type="dxa"/>
            <w:gridSpan w:val="5"/>
            <w:tcBorders>
              <w:top w:val="single" w:sz="4" w:space="0" w:color="1C2B39" w:themeColor="accent1"/>
              <w:left w:val="nil"/>
              <w:bottom w:val="single" w:sz="4" w:space="0" w:color="1C2B39" w:themeColor="accent1"/>
              <w:right w:val="nil"/>
            </w:tcBorders>
            <w:hideMark/>
          </w:tcPr>
          <w:p w14:paraId="6DF3E24B" w14:textId="1E67FDAE" w:rsidR="00D74F04" w:rsidRPr="00607D45" w:rsidRDefault="00D74F04" w:rsidP="0012638D">
            <w:pPr>
              <w:pStyle w:val="CAB-NumberedParagraph"/>
              <w:rPr>
                <w:rFonts w:asciiTheme="minorHAnsi" w:hAnsiTheme="minorHAnsi"/>
                <w:b/>
              </w:rPr>
            </w:pPr>
            <w:r w:rsidRPr="00607D45">
              <w:rPr>
                <w:rFonts w:asciiTheme="minorHAnsi" w:hAnsiTheme="minorHAnsi"/>
                <w:b/>
              </w:rPr>
              <w:t>Average annual regulatory costs</w:t>
            </w:r>
            <w:r w:rsidR="00A005FD" w:rsidRPr="00607D45">
              <w:rPr>
                <w:rFonts w:asciiTheme="minorHAnsi" w:hAnsiTheme="minorHAnsi"/>
                <w:b/>
              </w:rPr>
              <w:t xml:space="preserve"> (over 10 years)</w:t>
            </w:r>
          </w:p>
        </w:tc>
      </w:tr>
      <w:tr w:rsidR="00D74F04" w:rsidRPr="00607D45" w14:paraId="01F9CD9D" w14:textId="77777777" w:rsidTr="009916F9">
        <w:trPr>
          <w:trHeight w:val="350"/>
        </w:trPr>
        <w:tc>
          <w:tcPr>
            <w:tcW w:w="2555" w:type="dxa"/>
            <w:tcBorders>
              <w:top w:val="single" w:sz="4" w:space="0" w:color="1C2B39" w:themeColor="accent1"/>
              <w:left w:val="nil"/>
              <w:bottom w:val="single" w:sz="4" w:space="0" w:color="1C2B39" w:themeColor="accent1"/>
              <w:right w:val="nil"/>
            </w:tcBorders>
            <w:hideMark/>
          </w:tcPr>
          <w:p w14:paraId="07F27AE9" w14:textId="3FB878DA" w:rsidR="00D74F04" w:rsidRPr="00607D45" w:rsidRDefault="00D74F04" w:rsidP="0012638D">
            <w:pPr>
              <w:pStyle w:val="CAB-NumberedParagraph"/>
              <w:rPr>
                <w:rFonts w:asciiTheme="minorHAnsi" w:hAnsiTheme="minorHAnsi"/>
              </w:rPr>
            </w:pPr>
            <w:r w:rsidRPr="00607D45">
              <w:rPr>
                <w:rFonts w:asciiTheme="minorHAnsi" w:hAnsiTheme="minorHAnsi"/>
              </w:rPr>
              <w:t xml:space="preserve">Change in costs </w:t>
            </w:r>
            <w:r w:rsidR="00A005FD" w:rsidRPr="00607D45">
              <w:rPr>
                <w:rFonts w:asciiTheme="minorHAnsi" w:hAnsiTheme="minorHAnsi"/>
              </w:rPr>
              <w:br/>
            </w:r>
            <w:r w:rsidRPr="00607D45">
              <w:rPr>
                <w:rFonts w:asciiTheme="minorHAnsi" w:hAnsiTheme="minorHAnsi"/>
              </w:rPr>
              <w:t>($ million)</w:t>
            </w:r>
          </w:p>
        </w:tc>
        <w:tc>
          <w:tcPr>
            <w:tcW w:w="1256" w:type="dxa"/>
            <w:tcBorders>
              <w:top w:val="single" w:sz="4" w:space="0" w:color="1C2B39" w:themeColor="accent1"/>
              <w:left w:val="nil"/>
              <w:bottom w:val="single" w:sz="4" w:space="0" w:color="1C2B39" w:themeColor="accent1"/>
              <w:right w:val="nil"/>
            </w:tcBorders>
            <w:hideMark/>
          </w:tcPr>
          <w:p w14:paraId="7C61F570" w14:textId="77777777" w:rsidR="00D74F04" w:rsidRPr="00607D45" w:rsidRDefault="00D74F04" w:rsidP="0012638D">
            <w:pPr>
              <w:pStyle w:val="CAB-NumberedParagraph"/>
              <w:rPr>
                <w:rFonts w:asciiTheme="minorHAnsi" w:hAnsiTheme="minorHAnsi"/>
              </w:rPr>
            </w:pPr>
            <w:r w:rsidRPr="00607D45">
              <w:rPr>
                <w:rFonts w:asciiTheme="minorHAnsi" w:hAnsiTheme="minorHAnsi"/>
              </w:rPr>
              <w:t>Individuals</w:t>
            </w:r>
          </w:p>
        </w:tc>
        <w:tc>
          <w:tcPr>
            <w:tcW w:w="1417" w:type="dxa"/>
            <w:tcBorders>
              <w:top w:val="single" w:sz="4" w:space="0" w:color="1C2B39" w:themeColor="accent1"/>
              <w:left w:val="nil"/>
              <w:bottom w:val="single" w:sz="4" w:space="0" w:color="1C2B39" w:themeColor="accent1"/>
              <w:right w:val="nil"/>
            </w:tcBorders>
            <w:hideMark/>
          </w:tcPr>
          <w:p w14:paraId="5511BDC0" w14:textId="77777777" w:rsidR="00D74F04" w:rsidRPr="00607D45" w:rsidRDefault="00D74F04" w:rsidP="0012638D">
            <w:pPr>
              <w:pStyle w:val="CAB-NumberedParagraph"/>
              <w:rPr>
                <w:rFonts w:asciiTheme="minorHAnsi" w:hAnsiTheme="minorHAnsi"/>
              </w:rPr>
            </w:pPr>
            <w:r w:rsidRPr="00607D45">
              <w:rPr>
                <w:rFonts w:asciiTheme="minorHAnsi" w:hAnsiTheme="minorHAnsi"/>
              </w:rPr>
              <w:t xml:space="preserve">Business </w:t>
            </w:r>
          </w:p>
        </w:tc>
        <w:tc>
          <w:tcPr>
            <w:tcW w:w="2435" w:type="dxa"/>
            <w:tcBorders>
              <w:top w:val="single" w:sz="4" w:space="0" w:color="1C2B39" w:themeColor="accent1"/>
              <w:left w:val="nil"/>
              <w:bottom w:val="single" w:sz="4" w:space="0" w:color="1C2B39" w:themeColor="accent1"/>
              <w:right w:val="nil"/>
            </w:tcBorders>
            <w:hideMark/>
          </w:tcPr>
          <w:p w14:paraId="24A95687" w14:textId="77777777" w:rsidR="00D74F04" w:rsidRPr="00607D45" w:rsidRDefault="00D74F04" w:rsidP="0012638D">
            <w:pPr>
              <w:pStyle w:val="CAB-NumberedParagraph"/>
              <w:rPr>
                <w:rFonts w:asciiTheme="minorHAnsi" w:hAnsiTheme="minorHAnsi"/>
              </w:rPr>
            </w:pPr>
            <w:r w:rsidRPr="00607D45">
              <w:rPr>
                <w:rFonts w:asciiTheme="minorHAnsi" w:hAnsiTheme="minorHAnsi"/>
              </w:rPr>
              <w:t>Community</w:t>
            </w:r>
          </w:p>
          <w:p w14:paraId="0F69427A" w14:textId="77777777" w:rsidR="00D74F04" w:rsidRPr="00607D45" w:rsidRDefault="00D74F04" w:rsidP="0012638D">
            <w:pPr>
              <w:pStyle w:val="CAB-NumberedParagraph"/>
              <w:rPr>
                <w:rFonts w:asciiTheme="minorHAnsi" w:hAnsiTheme="minorHAnsi"/>
              </w:rPr>
            </w:pPr>
            <w:r w:rsidRPr="00607D45">
              <w:rPr>
                <w:rFonts w:asciiTheme="minorHAnsi" w:hAnsiTheme="minorHAnsi"/>
              </w:rPr>
              <w:t>organisations</w:t>
            </w:r>
          </w:p>
        </w:tc>
        <w:tc>
          <w:tcPr>
            <w:tcW w:w="1659" w:type="dxa"/>
            <w:tcBorders>
              <w:top w:val="single" w:sz="4" w:space="0" w:color="1C2B39" w:themeColor="accent1"/>
              <w:left w:val="nil"/>
              <w:bottom w:val="single" w:sz="4" w:space="0" w:color="1C2B39" w:themeColor="accent1"/>
              <w:right w:val="nil"/>
            </w:tcBorders>
            <w:hideMark/>
          </w:tcPr>
          <w:p w14:paraId="5427F618" w14:textId="77777777" w:rsidR="00D74F04" w:rsidRPr="00607D45" w:rsidRDefault="00D74F04" w:rsidP="0012638D">
            <w:pPr>
              <w:pStyle w:val="CAB-NumberedParagraph"/>
              <w:rPr>
                <w:rFonts w:asciiTheme="minorHAnsi" w:hAnsiTheme="minorHAnsi"/>
              </w:rPr>
            </w:pPr>
            <w:r w:rsidRPr="00607D45">
              <w:rPr>
                <w:rFonts w:asciiTheme="minorHAnsi" w:hAnsiTheme="minorHAnsi"/>
              </w:rPr>
              <w:t>Total change</w:t>
            </w:r>
          </w:p>
          <w:p w14:paraId="1C18E444" w14:textId="77777777" w:rsidR="00D74F04" w:rsidRPr="00607D45" w:rsidRDefault="00D74F04" w:rsidP="0012638D">
            <w:pPr>
              <w:pStyle w:val="CAB-NumberedParagraph"/>
              <w:rPr>
                <w:rFonts w:asciiTheme="minorHAnsi" w:hAnsiTheme="minorHAnsi"/>
              </w:rPr>
            </w:pPr>
            <w:r w:rsidRPr="00607D45">
              <w:rPr>
                <w:rFonts w:asciiTheme="minorHAnsi" w:hAnsiTheme="minorHAnsi"/>
              </w:rPr>
              <w:t>in cost</w:t>
            </w:r>
          </w:p>
        </w:tc>
      </w:tr>
      <w:tr w:rsidR="00D74F04" w:rsidRPr="00607D45" w14:paraId="10743F2A" w14:textId="77777777" w:rsidTr="009916F9">
        <w:trPr>
          <w:trHeight w:val="350"/>
        </w:trPr>
        <w:tc>
          <w:tcPr>
            <w:tcW w:w="2555" w:type="dxa"/>
            <w:tcBorders>
              <w:top w:val="single" w:sz="4" w:space="0" w:color="1C2B39" w:themeColor="accent1"/>
              <w:left w:val="nil"/>
              <w:bottom w:val="single" w:sz="12" w:space="0" w:color="1C2B39" w:themeColor="accent1"/>
              <w:right w:val="nil"/>
            </w:tcBorders>
            <w:hideMark/>
          </w:tcPr>
          <w:p w14:paraId="6751A965" w14:textId="77777777" w:rsidR="00D74F04" w:rsidRPr="00607D45" w:rsidRDefault="00D74F04" w:rsidP="0012638D">
            <w:pPr>
              <w:pStyle w:val="CAB-NumberedParagraph"/>
              <w:rPr>
                <w:rFonts w:asciiTheme="minorHAnsi" w:hAnsiTheme="minorHAnsi"/>
              </w:rPr>
            </w:pPr>
            <w:r w:rsidRPr="00607D45">
              <w:rPr>
                <w:rFonts w:asciiTheme="minorHAnsi" w:hAnsiTheme="minorHAnsi"/>
              </w:rPr>
              <w:t>Total, by sector</w:t>
            </w:r>
          </w:p>
        </w:tc>
        <w:tc>
          <w:tcPr>
            <w:tcW w:w="1256" w:type="dxa"/>
            <w:tcBorders>
              <w:top w:val="single" w:sz="4" w:space="0" w:color="1C2B39" w:themeColor="accent1"/>
              <w:left w:val="nil"/>
              <w:bottom w:val="single" w:sz="12" w:space="0" w:color="1C2B39" w:themeColor="accent1"/>
              <w:right w:val="nil"/>
            </w:tcBorders>
            <w:hideMark/>
          </w:tcPr>
          <w:p w14:paraId="42DC6BB9" w14:textId="3AEBBA3E" w:rsidR="00D74F04" w:rsidRPr="00607D45" w:rsidRDefault="00F17657" w:rsidP="0012638D">
            <w:pPr>
              <w:pStyle w:val="CAB-NumberedParagraph"/>
              <w:rPr>
                <w:rFonts w:asciiTheme="minorHAnsi" w:hAnsiTheme="minorHAnsi"/>
              </w:rPr>
            </w:pPr>
            <w:r w:rsidRPr="00607D45">
              <w:rPr>
                <w:rFonts w:asciiTheme="minorHAnsi" w:hAnsiTheme="minorHAnsi"/>
              </w:rPr>
              <w:t>$</w:t>
            </w:r>
            <w:r w:rsidR="00A005FD" w:rsidRPr="00607D45">
              <w:rPr>
                <w:rFonts w:asciiTheme="minorHAnsi" w:hAnsiTheme="minorHAnsi"/>
              </w:rPr>
              <w:t>51</w:t>
            </w:r>
            <w:r w:rsidR="008626E8" w:rsidRPr="00607D45">
              <w:rPr>
                <w:rFonts w:asciiTheme="minorHAnsi" w:hAnsiTheme="minorHAnsi"/>
              </w:rPr>
              <w:t>.</w:t>
            </w:r>
            <w:r w:rsidR="008C464A" w:rsidRPr="00607D45">
              <w:rPr>
                <w:rFonts w:asciiTheme="minorHAnsi" w:hAnsiTheme="minorHAnsi"/>
              </w:rPr>
              <w:t>1</w:t>
            </w:r>
          </w:p>
        </w:tc>
        <w:tc>
          <w:tcPr>
            <w:tcW w:w="1417" w:type="dxa"/>
            <w:tcBorders>
              <w:top w:val="single" w:sz="4" w:space="0" w:color="1C2B39" w:themeColor="accent1"/>
              <w:left w:val="nil"/>
              <w:bottom w:val="single" w:sz="12" w:space="0" w:color="1C2B39" w:themeColor="accent1"/>
              <w:right w:val="nil"/>
            </w:tcBorders>
            <w:hideMark/>
          </w:tcPr>
          <w:p w14:paraId="1D1D757F" w14:textId="30BCF749" w:rsidR="00D74F04" w:rsidRPr="00607D45" w:rsidRDefault="00ED59CC" w:rsidP="0012638D">
            <w:pPr>
              <w:pStyle w:val="CAB-NumberedParagraph"/>
              <w:rPr>
                <w:rFonts w:asciiTheme="minorHAnsi" w:hAnsiTheme="minorHAnsi"/>
              </w:rPr>
            </w:pPr>
            <w:r w:rsidRPr="00607D45">
              <w:rPr>
                <w:rFonts w:asciiTheme="minorHAnsi" w:hAnsiTheme="minorHAnsi"/>
              </w:rPr>
              <w:t>$</w:t>
            </w:r>
            <w:r w:rsidR="008F0227" w:rsidRPr="00607D45">
              <w:rPr>
                <w:rFonts w:asciiTheme="minorHAnsi" w:hAnsiTheme="minorHAnsi"/>
              </w:rPr>
              <w:t>89</w:t>
            </w:r>
            <w:r w:rsidR="008626E8" w:rsidRPr="00607D45">
              <w:rPr>
                <w:rFonts w:asciiTheme="minorHAnsi" w:hAnsiTheme="minorHAnsi"/>
              </w:rPr>
              <w:t>.</w:t>
            </w:r>
            <w:r w:rsidR="008F0227" w:rsidRPr="00607D45">
              <w:rPr>
                <w:rFonts w:asciiTheme="minorHAnsi" w:hAnsiTheme="minorHAnsi"/>
              </w:rPr>
              <w:t>1</w:t>
            </w:r>
          </w:p>
        </w:tc>
        <w:tc>
          <w:tcPr>
            <w:tcW w:w="2435" w:type="dxa"/>
            <w:tcBorders>
              <w:top w:val="single" w:sz="4" w:space="0" w:color="1C2B39" w:themeColor="accent1"/>
              <w:left w:val="nil"/>
              <w:bottom w:val="single" w:sz="12" w:space="0" w:color="1C2B39" w:themeColor="accent1"/>
              <w:right w:val="nil"/>
            </w:tcBorders>
            <w:hideMark/>
          </w:tcPr>
          <w:p w14:paraId="0E314216" w14:textId="49F4B6A7" w:rsidR="00D74F04" w:rsidRPr="00607D45" w:rsidRDefault="00ED59CC" w:rsidP="0012638D">
            <w:pPr>
              <w:pStyle w:val="CAB-NumberedParagraph"/>
              <w:rPr>
                <w:rFonts w:asciiTheme="minorHAnsi" w:hAnsiTheme="minorHAnsi"/>
              </w:rPr>
            </w:pPr>
            <w:r w:rsidRPr="00607D45">
              <w:rPr>
                <w:rFonts w:asciiTheme="minorHAnsi" w:hAnsiTheme="minorHAnsi"/>
              </w:rPr>
              <w:t>$</w:t>
            </w:r>
            <w:r w:rsidR="00A005FD" w:rsidRPr="00607D45">
              <w:rPr>
                <w:rFonts w:asciiTheme="minorHAnsi" w:hAnsiTheme="minorHAnsi"/>
              </w:rPr>
              <w:t>2</w:t>
            </w:r>
            <w:r w:rsidR="008C464A" w:rsidRPr="00607D45">
              <w:rPr>
                <w:rFonts w:asciiTheme="minorHAnsi" w:hAnsiTheme="minorHAnsi"/>
              </w:rPr>
              <w:t>.0</w:t>
            </w:r>
          </w:p>
        </w:tc>
        <w:tc>
          <w:tcPr>
            <w:tcW w:w="1659" w:type="dxa"/>
            <w:tcBorders>
              <w:top w:val="single" w:sz="4" w:space="0" w:color="1C2B39" w:themeColor="accent1"/>
              <w:left w:val="nil"/>
              <w:bottom w:val="single" w:sz="12" w:space="0" w:color="1C2B39" w:themeColor="accent1"/>
              <w:right w:val="nil"/>
            </w:tcBorders>
            <w:hideMark/>
          </w:tcPr>
          <w:p w14:paraId="12C0FB45" w14:textId="01567B01" w:rsidR="00D74F04" w:rsidRPr="00607D45" w:rsidRDefault="00ED59CC" w:rsidP="0012638D">
            <w:pPr>
              <w:pStyle w:val="CAB-NumberedParagraph"/>
              <w:rPr>
                <w:rFonts w:asciiTheme="minorHAnsi" w:hAnsiTheme="minorHAnsi"/>
              </w:rPr>
            </w:pPr>
            <w:r w:rsidRPr="00607D45">
              <w:rPr>
                <w:rFonts w:asciiTheme="minorHAnsi" w:hAnsiTheme="minorHAnsi"/>
              </w:rPr>
              <w:t>$</w:t>
            </w:r>
            <w:r w:rsidR="009B6278" w:rsidRPr="00607D45">
              <w:rPr>
                <w:rFonts w:asciiTheme="minorHAnsi" w:hAnsiTheme="minorHAnsi"/>
              </w:rPr>
              <w:t>1</w:t>
            </w:r>
            <w:r w:rsidR="00F305D7" w:rsidRPr="00607D45">
              <w:rPr>
                <w:rFonts w:asciiTheme="minorHAnsi" w:hAnsiTheme="minorHAnsi"/>
              </w:rPr>
              <w:t>42</w:t>
            </w:r>
            <w:r w:rsidR="00820D8F" w:rsidRPr="00607D45">
              <w:rPr>
                <w:rFonts w:asciiTheme="minorHAnsi" w:hAnsiTheme="minorHAnsi"/>
              </w:rPr>
              <w:t>.</w:t>
            </w:r>
            <w:r w:rsidR="00F305D7" w:rsidRPr="00607D45">
              <w:rPr>
                <w:rFonts w:asciiTheme="minorHAnsi" w:hAnsiTheme="minorHAnsi"/>
              </w:rPr>
              <w:t>2</w:t>
            </w:r>
          </w:p>
        </w:tc>
      </w:tr>
    </w:tbl>
    <w:p w14:paraId="2D181C36" w14:textId="5B1B7CB3" w:rsidR="00D91D1E" w:rsidRPr="00AC2699" w:rsidRDefault="005B3E78" w:rsidP="0012638D">
      <w:pPr>
        <w:pStyle w:val="Heading2"/>
        <w:rPr>
          <w:lang w:val="en-US"/>
        </w:rPr>
      </w:pPr>
      <w:bookmarkStart w:id="43" w:name="_Toc207097815"/>
      <w:bookmarkEnd w:id="28"/>
      <w:r w:rsidRPr="00AC2699">
        <w:rPr>
          <w:lang w:val="en-US"/>
        </w:rPr>
        <w:t>4.4</w:t>
      </w:r>
      <w:r w:rsidR="00AC2699" w:rsidRPr="00AC2699">
        <w:rPr>
          <w:lang w:val="en-US"/>
        </w:rPr>
        <w:t xml:space="preserve"> R</w:t>
      </w:r>
      <w:r w:rsidR="00B968E3" w:rsidRPr="00AC2699">
        <w:rPr>
          <w:lang w:val="en-US"/>
        </w:rPr>
        <w:t xml:space="preserve">etrospective </w:t>
      </w:r>
      <w:r w:rsidR="00D91D1E" w:rsidRPr="00AC2699">
        <w:rPr>
          <w:lang w:val="en-US"/>
        </w:rPr>
        <w:t>validation of income apportionment</w:t>
      </w:r>
      <w:bookmarkEnd w:id="43"/>
    </w:p>
    <w:p w14:paraId="764AC478" w14:textId="77777777" w:rsidR="00B968E3" w:rsidRDefault="00B968E3" w:rsidP="0012638D">
      <w:pPr>
        <w:pStyle w:val="Heading3"/>
        <w:spacing w:line="240" w:lineRule="auto"/>
      </w:pPr>
      <w:r>
        <w:t>Lawfulness</w:t>
      </w:r>
    </w:p>
    <w:p w14:paraId="065EFDF7" w14:textId="77777777" w:rsidR="00032446" w:rsidRDefault="00B968E3" w:rsidP="0012638D">
      <w:pPr>
        <w:pStyle w:val="CAB-NumberedParagraph"/>
        <w:spacing w:before="0" w:after="160"/>
        <w:ind w:left="0" w:firstLine="0"/>
        <w:rPr>
          <w:rFonts w:asciiTheme="minorHAnsi" w:eastAsiaTheme="minorEastAsia" w:hAnsiTheme="minorHAnsi"/>
          <w:szCs w:val="21"/>
        </w:rPr>
      </w:pPr>
      <w:r w:rsidRPr="00E16666">
        <w:rPr>
          <w:rFonts w:asciiTheme="minorHAnsi" w:eastAsiaTheme="minorEastAsia" w:hAnsiTheme="minorHAnsi"/>
          <w:szCs w:val="21"/>
        </w:rPr>
        <w:t xml:space="preserve">By </w:t>
      </w:r>
      <w:r w:rsidR="00116B4D">
        <w:rPr>
          <w:rFonts w:asciiTheme="minorHAnsi" w:eastAsiaTheme="minorEastAsia" w:hAnsiTheme="minorHAnsi"/>
          <w:szCs w:val="21"/>
        </w:rPr>
        <w:t xml:space="preserve">legislating to </w:t>
      </w:r>
      <w:r w:rsidRPr="00E16666">
        <w:rPr>
          <w:rFonts w:asciiTheme="minorHAnsi" w:eastAsiaTheme="minorEastAsia" w:hAnsiTheme="minorHAnsi"/>
          <w:szCs w:val="21"/>
        </w:rPr>
        <w:t>validat</w:t>
      </w:r>
      <w:r w:rsidR="00116B4D">
        <w:rPr>
          <w:rFonts w:asciiTheme="minorHAnsi" w:eastAsiaTheme="minorEastAsia" w:hAnsiTheme="minorHAnsi"/>
          <w:szCs w:val="21"/>
        </w:rPr>
        <w:t>e</w:t>
      </w:r>
      <w:r w:rsidRPr="00E16666">
        <w:rPr>
          <w:rFonts w:asciiTheme="minorHAnsi" w:eastAsiaTheme="minorEastAsia" w:hAnsiTheme="minorHAnsi"/>
          <w:szCs w:val="21"/>
        </w:rPr>
        <w:t xml:space="preserve"> income apportionment as a historical debt calculation methodology, the Government will no longer have raised or recovered any </w:t>
      </w:r>
      <w:r w:rsidR="0075247C">
        <w:rPr>
          <w:rFonts w:asciiTheme="minorHAnsi" w:eastAsiaTheme="minorEastAsia" w:hAnsiTheme="minorHAnsi"/>
          <w:szCs w:val="21"/>
        </w:rPr>
        <w:t xml:space="preserve">incorrect </w:t>
      </w:r>
      <w:r w:rsidRPr="00E16666">
        <w:rPr>
          <w:rFonts w:asciiTheme="minorHAnsi" w:eastAsiaTheme="minorEastAsia" w:hAnsiTheme="minorHAnsi"/>
          <w:szCs w:val="21"/>
        </w:rPr>
        <w:t>debt amounts.</w:t>
      </w:r>
    </w:p>
    <w:p w14:paraId="09341493" w14:textId="77777777" w:rsidR="00B968E3" w:rsidRPr="00370C1E" w:rsidRDefault="00B968E3" w:rsidP="0012638D">
      <w:pPr>
        <w:pStyle w:val="Heading3"/>
        <w:spacing w:line="240" w:lineRule="auto"/>
      </w:pPr>
      <w:r w:rsidRPr="00370C1E">
        <w:t>Fairness</w:t>
      </w:r>
    </w:p>
    <w:p w14:paraId="6D27A3D4" w14:textId="77777777" w:rsidR="00D756A3" w:rsidRDefault="00D756A3" w:rsidP="0012638D">
      <w:pPr>
        <w:pStyle w:val="Heading4"/>
        <w:spacing w:line="240" w:lineRule="auto"/>
        <w:rPr>
          <w:i/>
          <w:iCs/>
        </w:rPr>
      </w:pPr>
      <w:r w:rsidRPr="00370C1E">
        <w:rPr>
          <w:i/>
          <w:iCs/>
        </w:rPr>
        <w:t>For affected individuals</w:t>
      </w:r>
    </w:p>
    <w:p w14:paraId="24C4F720" w14:textId="0DA6C353" w:rsidR="00D756A3" w:rsidRDefault="00D756A3" w:rsidP="0012638D">
      <w:pPr>
        <w:spacing w:line="240" w:lineRule="auto"/>
      </w:pPr>
      <w:r>
        <w:t xml:space="preserve">Given these debts have already been raised, and in </w:t>
      </w:r>
      <w:r w:rsidR="006F1A56">
        <w:t>most</w:t>
      </w:r>
      <w:r>
        <w:t xml:space="preserve"> cases already repaid, the practical impact of the retrospective validation on individuals is minimal as it simply confirms the debt they already hold/have repaid.</w:t>
      </w:r>
    </w:p>
    <w:p w14:paraId="2CB101E3" w14:textId="3E9BB933" w:rsidR="00E5300E" w:rsidRDefault="00E5300E" w:rsidP="0012638D">
      <w:pPr>
        <w:spacing w:line="240" w:lineRule="auto"/>
      </w:pPr>
      <w:r>
        <w:t>T</w:t>
      </w:r>
      <w:r w:rsidR="00D756A3">
        <w:t xml:space="preserve">here may be objection to debts being validated which are higher than they otherwise </w:t>
      </w:r>
      <w:r w:rsidR="003E3745">
        <w:t xml:space="preserve">may </w:t>
      </w:r>
      <w:r w:rsidR="00D756A3">
        <w:t>have been due to income apportionment</w:t>
      </w:r>
      <w:r>
        <w:t>.</w:t>
      </w:r>
    </w:p>
    <w:p w14:paraId="33494AE3" w14:textId="0186CC76" w:rsidR="00D756A3" w:rsidRDefault="00E5300E" w:rsidP="0012638D">
      <w:pPr>
        <w:spacing w:line="240" w:lineRule="auto"/>
      </w:pPr>
      <w:r>
        <w:lastRenderedPageBreak/>
        <w:t>However,</w:t>
      </w:r>
      <w:r w:rsidR="00D756A3" w:rsidDel="00E5300E">
        <w:t xml:space="preserve"> </w:t>
      </w:r>
      <w:r w:rsidR="00D756A3">
        <w:t xml:space="preserve">income apportionment </w:t>
      </w:r>
      <w:r>
        <w:t xml:space="preserve">was a </w:t>
      </w:r>
      <w:r w:rsidR="00D756A3">
        <w:t>reasonable means of assessing a person’s need for support at a given time</w:t>
      </w:r>
      <w:r w:rsidR="0054451D">
        <w:t>, based on evidence supplied by the individual such as payslips</w:t>
      </w:r>
      <w:r w:rsidR="00D756A3">
        <w:t xml:space="preserve">. This is evidenced by the fact income apportionment went largely unnoticed and unchallenged for decades. </w:t>
      </w:r>
    </w:p>
    <w:p w14:paraId="033B04CD" w14:textId="45477304" w:rsidR="00D756A3" w:rsidRDefault="00D756A3" w:rsidP="0012638D">
      <w:pPr>
        <w:spacing w:line="240" w:lineRule="auto"/>
      </w:pPr>
      <w:r w:rsidRPr="00C8539E">
        <w:t xml:space="preserve">Exploratory sampling undertaken by Services Australia showed that not all the 5.5 million debts </w:t>
      </w:r>
      <w:r w:rsidR="0081670A">
        <w:t>would</w:t>
      </w:r>
      <w:r w:rsidR="0081670A" w:rsidRPr="00C8539E">
        <w:t xml:space="preserve"> </w:t>
      </w:r>
      <w:r w:rsidRPr="00C8539E">
        <w:t>be affected by income apportionment. Exploratory sampling has found around 6</w:t>
      </w:r>
      <w:r>
        <w:t>3%</w:t>
      </w:r>
      <w:r w:rsidRPr="00C8539E">
        <w:t xml:space="preserve"> of employment income related debts relied on income apportionment. It is impossible to know if a debt is or is not affected without a manual review of each debt.</w:t>
      </w:r>
      <w:r w:rsidRPr="003F7F02">
        <w:rPr>
          <w:rFonts w:cstheme="minorHAnsi"/>
          <w:b/>
          <w:sz w:val="24"/>
          <w:szCs w:val="24"/>
        </w:rPr>
        <w:t xml:space="preserve"> </w:t>
      </w:r>
      <w:r>
        <w:t xml:space="preserve">The findings of the sampling activity are as follows (noting a ‘determined debt’ is a debt which has already been raised by Services Australia): </w:t>
      </w:r>
    </w:p>
    <w:p w14:paraId="0A33DB88" w14:textId="77777777" w:rsidR="00D756A3" w:rsidRDefault="00D756A3" w:rsidP="0012638D">
      <w:pPr>
        <w:spacing w:line="240" w:lineRule="auto"/>
        <w:rPr>
          <w:rFonts w:cstheme="minorHAnsi"/>
          <w:b/>
          <w:sz w:val="24"/>
          <w:szCs w:val="24"/>
        </w:rPr>
      </w:pPr>
      <w:r>
        <w:br/>
      </w:r>
      <w:r w:rsidRPr="00F60746">
        <w:rPr>
          <w:rFonts w:cstheme="minorHAnsi"/>
          <w:b/>
          <w:sz w:val="24"/>
          <w:szCs w:val="24"/>
        </w:rPr>
        <w:t xml:space="preserve">Table </w:t>
      </w:r>
      <w:r>
        <w:rPr>
          <w:rFonts w:cstheme="minorHAnsi"/>
          <w:b/>
          <w:sz w:val="24"/>
          <w:szCs w:val="24"/>
        </w:rPr>
        <w:t>2</w:t>
      </w:r>
      <w:r w:rsidRPr="00F60746">
        <w:rPr>
          <w:rFonts w:cstheme="minorHAnsi"/>
          <w:b/>
          <w:sz w:val="24"/>
          <w:szCs w:val="24"/>
        </w:rPr>
        <w:t xml:space="preserve"> – </w:t>
      </w:r>
      <w:r>
        <w:rPr>
          <w:rFonts w:cstheme="minorHAnsi"/>
          <w:b/>
          <w:sz w:val="24"/>
          <w:szCs w:val="24"/>
        </w:rPr>
        <w:t>I</w:t>
      </w:r>
      <w:r w:rsidRPr="00F60746">
        <w:rPr>
          <w:rFonts w:cstheme="minorHAnsi"/>
          <w:b/>
          <w:sz w:val="24"/>
          <w:szCs w:val="24"/>
        </w:rPr>
        <w:t xml:space="preserve">ncome apportionment affected determined debts able to be recalculated </w:t>
      </w:r>
    </w:p>
    <w:tbl>
      <w:tblPr>
        <w:tblW w:w="9315" w:type="dxa"/>
        <w:tblLayout w:type="fixed"/>
        <w:tblLook w:val="04A0" w:firstRow="1" w:lastRow="0" w:firstColumn="1" w:lastColumn="0" w:noHBand="0" w:noVBand="1"/>
      </w:tblPr>
      <w:tblGrid>
        <w:gridCol w:w="5613"/>
        <w:gridCol w:w="3702"/>
      </w:tblGrid>
      <w:tr w:rsidR="00D756A3" w:rsidRPr="00A97CC4" w14:paraId="4A4B13B3" w14:textId="77777777" w:rsidTr="00282634">
        <w:trPr>
          <w:trHeight w:val="132"/>
        </w:trPr>
        <w:tc>
          <w:tcPr>
            <w:tcW w:w="5613" w:type="dxa"/>
            <w:tcBorders>
              <w:top w:val="single" w:sz="4" w:space="0" w:color="auto"/>
              <w:left w:val="single" w:sz="4" w:space="0" w:color="auto"/>
              <w:bottom w:val="single" w:sz="4" w:space="0" w:color="auto"/>
              <w:right w:val="single" w:sz="4" w:space="0" w:color="auto"/>
            </w:tcBorders>
            <w:noWrap/>
            <w:vAlign w:val="bottom"/>
            <w:hideMark/>
          </w:tcPr>
          <w:p w14:paraId="0279A696" w14:textId="77777777" w:rsidR="00D756A3" w:rsidRPr="006B3E55" w:rsidRDefault="00D756A3" w:rsidP="0012638D">
            <w:pPr>
              <w:spacing w:after="0" w:line="240" w:lineRule="auto"/>
              <w:rPr>
                <w:rFonts w:eastAsia="Times New Roman" w:cstheme="minorHAnsi"/>
                <w:color w:val="000000"/>
                <w:lang w:eastAsia="en-AU"/>
              </w:rPr>
            </w:pPr>
          </w:p>
        </w:tc>
        <w:tc>
          <w:tcPr>
            <w:tcW w:w="3702" w:type="dxa"/>
            <w:tcBorders>
              <w:top w:val="single" w:sz="4" w:space="0" w:color="auto"/>
              <w:left w:val="nil"/>
              <w:bottom w:val="single" w:sz="4" w:space="0" w:color="auto"/>
              <w:right w:val="single" w:sz="4" w:space="0" w:color="auto"/>
            </w:tcBorders>
            <w:vAlign w:val="center"/>
            <w:hideMark/>
          </w:tcPr>
          <w:p w14:paraId="0FF8791D" w14:textId="77777777" w:rsidR="00D756A3" w:rsidRPr="00707904" w:rsidRDefault="00D756A3" w:rsidP="0012638D">
            <w:pPr>
              <w:spacing w:after="0" w:line="240" w:lineRule="auto"/>
              <w:jc w:val="right"/>
              <w:rPr>
                <w:rFonts w:eastAsia="Times New Roman" w:cstheme="minorHAnsi"/>
                <w:b/>
                <w:bCs/>
                <w:color w:val="000000"/>
                <w:lang w:eastAsia="en-AU"/>
              </w:rPr>
            </w:pPr>
            <w:r w:rsidRPr="00707904">
              <w:rPr>
                <w:rFonts w:eastAsia="Times New Roman" w:cstheme="minorHAnsi"/>
                <w:b/>
                <w:bCs/>
                <w:color w:val="000000"/>
                <w:lang w:eastAsia="en-AU"/>
              </w:rPr>
              <w:t>Determined debt outcomes</w:t>
            </w:r>
          </w:p>
        </w:tc>
      </w:tr>
      <w:tr w:rsidR="00D756A3" w:rsidRPr="00A97CC4" w14:paraId="33072064" w14:textId="77777777" w:rsidTr="00282634">
        <w:trPr>
          <w:trHeight w:val="359"/>
        </w:trPr>
        <w:tc>
          <w:tcPr>
            <w:tcW w:w="5613"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3D3F8C81" w14:textId="77777777" w:rsidR="00D756A3" w:rsidRPr="006B3E55" w:rsidRDefault="00D756A3" w:rsidP="0012638D">
            <w:pPr>
              <w:spacing w:after="0" w:line="240" w:lineRule="auto"/>
              <w:rPr>
                <w:rFonts w:eastAsia="Times New Roman" w:cstheme="minorHAnsi"/>
                <w:color w:val="000000"/>
                <w:lang w:eastAsia="en-AU"/>
              </w:rPr>
            </w:pPr>
            <w:r>
              <w:rPr>
                <w:rFonts w:eastAsia="Times New Roman" w:cstheme="minorHAnsi"/>
                <w:color w:val="000000"/>
                <w:lang w:eastAsia="en-AU"/>
              </w:rPr>
              <w:t>Determined debts r</w:t>
            </w:r>
            <w:r w:rsidRPr="006B3E55">
              <w:rPr>
                <w:rFonts w:eastAsia="Times New Roman" w:cstheme="minorHAnsi"/>
                <w:color w:val="000000"/>
                <w:lang w:eastAsia="en-AU"/>
              </w:rPr>
              <w:t>elated to employment income</w:t>
            </w:r>
          </w:p>
        </w:tc>
        <w:tc>
          <w:tcPr>
            <w:tcW w:w="3702"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14:paraId="49FE120C" w14:textId="77777777" w:rsidR="00D756A3" w:rsidRPr="006B3E55" w:rsidRDefault="00D756A3" w:rsidP="0012638D">
            <w:pPr>
              <w:spacing w:after="0" w:line="240" w:lineRule="auto"/>
              <w:jc w:val="right"/>
              <w:rPr>
                <w:rFonts w:eastAsia="Times New Roman" w:cstheme="minorHAnsi"/>
                <w:color w:val="000000"/>
                <w:sz w:val="24"/>
                <w:szCs w:val="24"/>
                <w:lang w:eastAsia="en-AU"/>
              </w:rPr>
            </w:pPr>
            <w:r w:rsidRPr="006B3E55">
              <w:rPr>
                <w:rFonts w:eastAsia="Times New Roman" w:cstheme="minorHAnsi"/>
                <w:color w:val="000000"/>
                <w:sz w:val="24"/>
                <w:szCs w:val="24"/>
                <w:lang w:eastAsia="en-AU"/>
              </w:rPr>
              <w:t>970</w:t>
            </w:r>
          </w:p>
        </w:tc>
      </w:tr>
      <w:tr w:rsidR="00D756A3" w:rsidRPr="00A97CC4" w14:paraId="591BE9D0" w14:textId="77777777" w:rsidTr="00282634">
        <w:trPr>
          <w:trHeight w:val="70"/>
        </w:trPr>
        <w:tc>
          <w:tcPr>
            <w:tcW w:w="5613" w:type="dxa"/>
            <w:tcBorders>
              <w:top w:val="single" w:sz="4" w:space="0" w:color="auto"/>
              <w:left w:val="single" w:sz="4" w:space="0" w:color="auto"/>
              <w:right w:val="single" w:sz="4" w:space="0" w:color="auto"/>
            </w:tcBorders>
            <w:vAlign w:val="bottom"/>
            <w:hideMark/>
          </w:tcPr>
          <w:p w14:paraId="3372617D" w14:textId="77777777" w:rsidR="00D756A3" w:rsidRPr="00707904" w:rsidRDefault="00D756A3" w:rsidP="0012638D">
            <w:pPr>
              <w:spacing w:after="0" w:line="240" w:lineRule="auto"/>
              <w:rPr>
                <w:rFonts w:eastAsia="Times New Roman" w:cstheme="minorHAnsi"/>
                <w:color w:val="000000"/>
                <w:sz w:val="24"/>
                <w:szCs w:val="24"/>
                <w:lang w:eastAsia="en-AU"/>
              </w:rPr>
            </w:pPr>
            <w:r w:rsidRPr="00707904">
              <w:rPr>
                <w:rFonts w:eastAsia="Times New Roman" w:cstheme="minorHAnsi"/>
                <w:color w:val="000000"/>
                <w:sz w:val="24"/>
                <w:szCs w:val="24"/>
                <w:lang w:eastAsia="en-AU"/>
              </w:rPr>
              <w:t xml:space="preserve">As above and impacted by income apportionment </w:t>
            </w:r>
          </w:p>
        </w:tc>
        <w:tc>
          <w:tcPr>
            <w:tcW w:w="3702" w:type="dxa"/>
            <w:tcBorders>
              <w:top w:val="single" w:sz="4" w:space="0" w:color="auto"/>
              <w:left w:val="single" w:sz="4" w:space="0" w:color="auto"/>
              <w:right w:val="single" w:sz="4" w:space="0" w:color="auto"/>
            </w:tcBorders>
            <w:noWrap/>
            <w:vAlign w:val="center"/>
            <w:hideMark/>
          </w:tcPr>
          <w:p w14:paraId="4612C4FD" w14:textId="77777777" w:rsidR="00D756A3" w:rsidRPr="00751778" w:rsidRDefault="00D756A3" w:rsidP="0012638D">
            <w:pPr>
              <w:spacing w:after="0" w:line="240" w:lineRule="auto"/>
              <w:jc w:val="right"/>
              <w:rPr>
                <w:rFonts w:eastAsia="Times New Roman" w:cstheme="minorHAnsi"/>
                <w:color w:val="000000"/>
                <w:sz w:val="24"/>
                <w:szCs w:val="24"/>
                <w:lang w:eastAsia="en-AU"/>
              </w:rPr>
            </w:pPr>
            <w:r w:rsidRPr="00751778">
              <w:rPr>
                <w:rFonts w:eastAsia="Times New Roman" w:cstheme="minorHAnsi"/>
                <w:color w:val="000000"/>
                <w:sz w:val="24"/>
                <w:szCs w:val="24"/>
                <w:lang w:eastAsia="en-AU"/>
              </w:rPr>
              <w:t>614</w:t>
            </w:r>
          </w:p>
        </w:tc>
      </w:tr>
      <w:tr w:rsidR="00D756A3" w:rsidRPr="00A97CC4" w14:paraId="3B14CCA3" w14:textId="77777777" w:rsidTr="00282634">
        <w:trPr>
          <w:trHeight w:val="80"/>
        </w:trPr>
        <w:tc>
          <w:tcPr>
            <w:tcW w:w="5613" w:type="dxa"/>
            <w:tcBorders>
              <w:top w:val="nil"/>
              <w:left w:val="single" w:sz="4" w:space="0" w:color="auto"/>
              <w:bottom w:val="single" w:sz="4" w:space="0" w:color="auto"/>
              <w:right w:val="single" w:sz="4" w:space="0" w:color="auto"/>
            </w:tcBorders>
            <w:vAlign w:val="bottom"/>
            <w:hideMark/>
          </w:tcPr>
          <w:p w14:paraId="1EE5AA7B" w14:textId="77777777" w:rsidR="00D756A3" w:rsidRPr="006B3E55" w:rsidRDefault="00D756A3" w:rsidP="0012638D">
            <w:pPr>
              <w:spacing w:after="0" w:line="240" w:lineRule="auto"/>
              <w:rPr>
                <w:rFonts w:eastAsia="Times New Roman" w:cstheme="minorHAnsi"/>
                <w:color w:val="15202A" w:themeColor="accent1" w:themeShade="BF"/>
                <w:lang w:eastAsia="en-AU"/>
              </w:rPr>
            </w:pPr>
            <w:r w:rsidRPr="006B3E55">
              <w:rPr>
                <w:rFonts w:eastAsia="Times New Roman" w:cstheme="minorHAnsi"/>
                <w:color w:val="15202A" w:themeColor="accent1" w:themeShade="BF"/>
                <w:lang w:eastAsia="en-AU"/>
              </w:rPr>
              <w:t>(%</w:t>
            </w:r>
            <w:r>
              <w:rPr>
                <w:rFonts w:eastAsia="Times New Roman" w:cstheme="minorHAnsi"/>
                <w:color w:val="15202A" w:themeColor="accent1" w:themeShade="BF"/>
                <w:lang w:eastAsia="en-AU"/>
              </w:rPr>
              <w:t xml:space="preserve"> of employment income debts</w:t>
            </w:r>
            <w:r w:rsidRPr="006B3E55">
              <w:rPr>
                <w:rFonts w:eastAsia="Times New Roman" w:cstheme="minorHAnsi"/>
                <w:color w:val="15202A" w:themeColor="accent1" w:themeShade="BF"/>
                <w:lang w:eastAsia="en-AU"/>
              </w:rPr>
              <w:t>)</w:t>
            </w:r>
          </w:p>
        </w:tc>
        <w:tc>
          <w:tcPr>
            <w:tcW w:w="3702" w:type="dxa"/>
            <w:tcBorders>
              <w:top w:val="nil"/>
              <w:left w:val="single" w:sz="4" w:space="0" w:color="auto"/>
              <w:bottom w:val="single" w:sz="4" w:space="0" w:color="auto"/>
              <w:right w:val="single" w:sz="4" w:space="0" w:color="auto"/>
            </w:tcBorders>
            <w:noWrap/>
            <w:vAlign w:val="center"/>
            <w:hideMark/>
          </w:tcPr>
          <w:p w14:paraId="6BC9E2F5" w14:textId="77777777" w:rsidR="00D756A3" w:rsidRPr="006B3E55" w:rsidRDefault="00D756A3" w:rsidP="0012638D">
            <w:pPr>
              <w:spacing w:after="0" w:line="240" w:lineRule="auto"/>
              <w:jc w:val="right"/>
              <w:rPr>
                <w:rFonts w:eastAsia="Times New Roman" w:cstheme="minorHAnsi"/>
                <w:color w:val="15202A" w:themeColor="accent1" w:themeShade="BF"/>
                <w:sz w:val="24"/>
                <w:szCs w:val="24"/>
                <w:lang w:eastAsia="en-AU"/>
              </w:rPr>
            </w:pPr>
            <w:r w:rsidRPr="006B3E55">
              <w:rPr>
                <w:rFonts w:eastAsia="Times New Roman" w:cstheme="minorHAnsi"/>
                <w:color w:val="15202A" w:themeColor="accent1" w:themeShade="BF"/>
                <w:sz w:val="24"/>
                <w:szCs w:val="24"/>
                <w:lang w:eastAsia="en-AU"/>
              </w:rPr>
              <w:t>(63.3</w:t>
            </w:r>
            <w:r>
              <w:rPr>
                <w:rFonts w:eastAsia="Times New Roman" w:cstheme="minorHAnsi"/>
                <w:color w:val="15202A" w:themeColor="accent1" w:themeShade="BF"/>
                <w:sz w:val="24"/>
                <w:szCs w:val="24"/>
                <w:lang w:eastAsia="en-AU"/>
              </w:rPr>
              <w:t>%</w:t>
            </w:r>
            <w:r w:rsidRPr="006B3E55">
              <w:rPr>
                <w:rFonts w:eastAsia="Times New Roman" w:cstheme="minorHAnsi"/>
                <w:color w:val="15202A" w:themeColor="accent1" w:themeShade="BF"/>
                <w:sz w:val="24"/>
                <w:szCs w:val="24"/>
                <w:lang w:eastAsia="en-AU"/>
              </w:rPr>
              <w:t>)</w:t>
            </w:r>
          </w:p>
        </w:tc>
      </w:tr>
      <w:tr w:rsidR="00D756A3" w:rsidRPr="00A97CC4" w14:paraId="3F13710C" w14:textId="77777777" w:rsidTr="00282634">
        <w:trPr>
          <w:trHeight w:val="69"/>
        </w:trPr>
        <w:tc>
          <w:tcPr>
            <w:tcW w:w="5613" w:type="dxa"/>
            <w:tcBorders>
              <w:top w:val="single" w:sz="4" w:space="0" w:color="auto"/>
              <w:left w:val="single" w:sz="4" w:space="0" w:color="auto"/>
              <w:right w:val="single" w:sz="4" w:space="0" w:color="auto"/>
            </w:tcBorders>
            <w:shd w:val="clear" w:color="auto" w:fill="D9D9D9" w:themeFill="background1" w:themeFillShade="D9"/>
            <w:vAlign w:val="bottom"/>
            <w:hideMark/>
          </w:tcPr>
          <w:p w14:paraId="27FB57F7" w14:textId="77777777" w:rsidR="00D756A3" w:rsidRPr="006B3E55" w:rsidRDefault="00D756A3" w:rsidP="0012638D">
            <w:pPr>
              <w:spacing w:after="0" w:line="240" w:lineRule="auto"/>
              <w:rPr>
                <w:rFonts w:eastAsia="Times New Roman" w:cstheme="minorHAnsi"/>
                <w:color w:val="000000"/>
                <w:lang w:eastAsia="en-AU"/>
              </w:rPr>
            </w:pPr>
            <w:r w:rsidRPr="006B3E55">
              <w:rPr>
                <w:rFonts w:eastAsia="Times New Roman" w:cstheme="minorHAnsi"/>
                <w:color w:val="000000"/>
                <w:lang w:eastAsia="en-AU"/>
              </w:rPr>
              <w:t xml:space="preserve">As above and </w:t>
            </w:r>
            <w:r>
              <w:rPr>
                <w:rFonts w:eastAsia="Times New Roman" w:cstheme="minorHAnsi"/>
                <w:color w:val="000000"/>
                <w:lang w:eastAsia="en-AU"/>
              </w:rPr>
              <w:t>have sufficient information on employment income for recalculation</w:t>
            </w:r>
          </w:p>
        </w:tc>
        <w:tc>
          <w:tcPr>
            <w:tcW w:w="3702"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14:paraId="706A74E5" w14:textId="77777777" w:rsidR="00D756A3" w:rsidRPr="006B3E55" w:rsidRDefault="00D756A3" w:rsidP="0012638D">
            <w:pPr>
              <w:spacing w:after="0" w:line="240" w:lineRule="auto"/>
              <w:jc w:val="right"/>
              <w:rPr>
                <w:rFonts w:eastAsia="Times New Roman" w:cstheme="minorHAnsi"/>
                <w:color w:val="000000"/>
                <w:sz w:val="24"/>
                <w:szCs w:val="24"/>
                <w:lang w:eastAsia="en-AU"/>
              </w:rPr>
            </w:pPr>
            <w:r w:rsidRPr="006B3E55">
              <w:rPr>
                <w:rFonts w:eastAsia="Times New Roman" w:cstheme="minorHAnsi"/>
                <w:color w:val="000000"/>
                <w:sz w:val="24"/>
                <w:szCs w:val="24"/>
                <w:lang w:eastAsia="en-AU"/>
              </w:rPr>
              <w:t>4</w:t>
            </w:r>
            <w:r>
              <w:rPr>
                <w:rFonts w:eastAsia="Times New Roman" w:cstheme="minorHAnsi"/>
                <w:color w:val="000000"/>
                <w:sz w:val="24"/>
                <w:szCs w:val="24"/>
                <w:lang w:eastAsia="en-AU"/>
              </w:rPr>
              <w:t>09</w:t>
            </w:r>
          </w:p>
        </w:tc>
      </w:tr>
      <w:tr w:rsidR="00D756A3" w:rsidRPr="00A97CC4" w14:paraId="7280ACB3" w14:textId="77777777" w:rsidTr="00282634">
        <w:trPr>
          <w:trHeight w:val="69"/>
        </w:trPr>
        <w:tc>
          <w:tcPr>
            <w:tcW w:w="5613"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7E4BCF0" w14:textId="77777777" w:rsidR="00D756A3" w:rsidRPr="006B3E55" w:rsidRDefault="00D756A3" w:rsidP="0012638D">
            <w:pPr>
              <w:spacing w:after="0" w:line="240" w:lineRule="auto"/>
              <w:rPr>
                <w:rFonts w:eastAsia="Times New Roman" w:cstheme="minorHAnsi"/>
                <w:color w:val="15202A" w:themeColor="accent1" w:themeShade="BF"/>
                <w:lang w:eastAsia="en-AU"/>
              </w:rPr>
            </w:pPr>
            <w:r w:rsidRPr="006B3E55">
              <w:rPr>
                <w:rFonts w:eastAsia="Times New Roman" w:cstheme="minorHAnsi"/>
                <w:color w:val="15202A" w:themeColor="accent1" w:themeShade="BF"/>
                <w:lang w:eastAsia="en-AU"/>
              </w:rPr>
              <w:t>(%</w:t>
            </w:r>
            <w:r>
              <w:rPr>
                <w:rFonts w:eastAsia="Times New Roman" w:cstheme="minorHAnsi"/>
                <w:color w:val="15202A" w:themeColor="accent1" w:themeShade="BF"/>
                <w:lang w:eastAsia="en-AU"/>
              </w:rPr>
              <w:t xml:space="preserve"> of income apportionment debts</w:t>
            </w:r>
            <w:r w:rsidRPr="006B3E55">
              <w:rPr>
                <w:rFonts w:eastAsia="Times New Roman" w:cstheme="minorHAnsi"/>
                <w:color w:val="15202A" w:themeColor="accent1" w:themeShade="BF"/>
                <w:lang w:eastAsia="en-AU"/>
              </w:rPr>
              <w:t>)</w:t>
            </w:r>
          </w:p>
        </w:tc>
        <w:tc>
          <w:tcPr>
            <w:tcW w:w="370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312C63" w14:textId="77777777" w:rsidR="00D756A3" w:rsidRPr="006B3E55" w:rsidRDefault="00D756A3" w:rsidP="0012638D">
            <w:pPr>
              <w:spacing w:after="0" w:line="240" w:lineRule="auto"/>
              <w:jc w:val="right"/>
              <w:rPr>
                <w:rFonts w:eastAsia="Times New Roman" w:cstheme="minorHAnsi"/>
                <w:color w:val="15202A" w:themeColor="accent1" w:themeShade="BF"/>
                <w:sz w:val="24"/>
                <w:szCs w:val="24"/>
                <w:lang w:eastAsia="en-AU"/>
              </w:rPr>
            </w:pPr>
            <w:r w:rsidRPr="006B3E55">
              <w:rPr>
                <w:rFonts w:eastAsia="Times New Roman" w:cstheme="minorHAnsi"/>
                <w:color w:val="15202A" w:themeColor="accent1" w:themeShade="BF"/>
                <w:sz w:val="24"/>
                <w:szCs w:val="24"/>
                <w:lang w:eastAsia="en-AU"/>
              </w:rPr>
              <w:t>(66.</w:t>
            </w:r>
            <w:r>
              <w:rPr>
                <w:rFonts w:eastAsia="Times New Roman" w:cstheme="minorHAnsi"/>
                <w:color w:val="15202A" w:themeColor="accent1" w:themeShade="BF"/>
                <w:sz w:val="24"/>
                <w:szCs w:val="24"/>
                <w:lang w:eastAsia="en-AU"/>
              </w:rPr>
              <w:t>8%</w:t>
            </w:r>
            <w:r w:rsidRPr="006B3E55">
              <w:rPr>
                <w:rFonts w:eastAsia="Times New Roman" w:cstheme="minorHAnsi"/>
                <w:color w:val="15202A" w:themeColor="accent1" w:themeShade="BF"/>
                <w:sz w:val="24"/>
                <w:szCs w:val="24"/>
                <w:lang w:eastAsia="en-AU"/>
              </w:rPr>
              <w:t>)</w:t>
            </w:r>
          </w:p>
        </w:tc>
      </w:tr>
    </w:tbl>
    <w:p w14:paraId="4D6E4DF5" w14:textId="77777777" w:rsidR="00D756A3" w:rsidRDefault="00D756A3" w:rsidP="0012638D">
      <w:pPr>
        <w:spacing w:line="240" w:lineRule="auto"/>
        <w:rPr>
          <w:rFonts w:cstheme="minorHAnsi"/>
          <w:b/>
          <w:sz w:val="24"/>
          <w:szCs w:val="24"/>
        </w:rPr>
      </w:pPr>
    </w:p>
    <w:p w14:paraId="1BB17E75" w14:textId="0B6C214C" w:rsidR="00D756A3" w:rsidRPr="00707904" w:rsidRDefault="00D756A3" w:rsidP="0012638D">
      <w:pPr>
        <w:spacing w:line="240" w:lineRule="auto"/>
        <w:rPr>
          <w:rFonts w:cstheme="minorHAnsi"/>
          <w:b/>
          <w:sz w:val="24"/>
          <w:szCs w:val="24"/>
        </w:rPr>
      </w:pPr>
      <w:r w:rsidRPr="00707904">
        <w:rPr>
          <w:rFonts w:cstheme="minorHAnsi"/>
          <w:b/>
          <w:sz w:val="24"/>
          <w:szCs w:val="24"/>
        </w:rPr>
        <w:t xml:space="preserve">Table </w:t>
      </w:r>
      <w:r>
        <w:rPr>
          <w:rFonts w:cstheme="minorHAnsi"/>
          <w:b/>
          <w:sz w:val="24"/>
          <w:szCs w:val="24"/>
        </w:rPr>
        <w:t>3</w:t>
      </w:r>
      <w:r w:rsidRPr="00707904">
        <w:rPr>
          <w:rFonts w:cstheme="minorHAnsi"/>
          <w:b/>
          <w:sz w:val="24"/>
          <w:szCs w:val="24"/>
        </w:rPr>
        <w:t xml:space="preserve"> – Outcomes of determined debt recalculation</w:t>
      </w:r>
      <w:r>
        <w:rPr>
          <w:rFonts w:cstheme="minorHAnsi"/>
          <w:b/>
          <w:sz w:val="24"/>
          <w:szCs w:val="24"/>
        </w:rPr>
        <w:t>s</w:t>
      </w:r>
    </w:p>
    <w:tbl>
      <w:tblPr>
        <w:tblpPr w:leftFromText="180" w:rightFromText="180" w:vertAnchor="text" w:horzAnchor="margin" w:tblpY="17"/>
        <w:tblW w:w="9363" w:type="dxa"/>
        <w:tblLayout w:type="fixed"/>
        <w:tblLook w:val="04A0" w:firstRow="1" w:lastRow="0" w:firstColumn="1" w:lastColumn="0" w:noHBand="0" w:noVBand="1"/>
      </w:tblPr>
      <w:tblGrid>
        <w:gridCol w:w="6232"/>
        <w:gridCol w:w="3131"/>
      </w:tblGrid>
      <w:tr w:rsidR="00D756A3" w:rsidRPr="00A97CC4" w14:paraId="5C0E0E00" w14:textId="77777777" w:rsidTr="00282634">
        <w:trPr>
          <w:trHeight w:val="136"/>
        </w:trPr>
        <w:tc>
          <w:tcPr>
            <w:tcW w:w="6232" w:type="dxa"/>
            <w:tcBorders>
              <w:top w:val="single" w:sz="4" w:space="0" w:color="auto"/>
              <w:left w:val="single" w:sz="4" w:space="0" w:color="auto"/>
              <w:right w:val="single" w:sz="4" w:space="0" w:color="auto"/>
            </w:tcBorders>
            <w:noWrap/>
            <w:vAlign w:val="bottom"/>
          </w:tcPr>
          <w:p w14:paraId="034D08CD" w14:textId="77777777" w:rsidR="00D756A3" w:rsidRDefault="00D756A3" w:rsidP="0012638D">
            <w:pPr>
              <w:spacing w:after="0" w:line="240" w:lineRule="auto"/>
              <w:rPr>
                <w:rFonts w:eastAsia="Times New Roman" w:cstheme="minorHAnsi"/>
                <w:color w:val="000000"/>
                <w:lang w:eastAsia="en-AU"/>
              </w:rPr>
            </w:pPr>
          </w:p>
        </w:tc>
        <w:tc>
          <w:tcPr>
            <w:tcW w:w="3131" w:type="dxa"/>
            <w:tcBorders>
              <w:top w:val="single" w:sz="4" w:space="0" w:color="auto"/>
              <w:left w:val="nil"/>
              <w:bottom w:val="single" w:sz="4" w:space="0" w:color="auto"/>
              <w:right w:val="single" w:sz="4" w:space="0" w:color="auto"/>
            </w:tcBorders>
            <w:noWrap/>
            <w:vAlign w:val="center"/>
          </w:tcPr>
          <w:p w14:paraId="3D576016" w14:textId="77777777" w:rsidR="00D756A3" w:rsidRPr="00707904" w:rsidRDefault="00D756A3" w:rsidP="0012638D">
            <w:pPr>
              <w:spacing w:after="0" w:line="240" w:lineRule="auto"/>
              <w:jc w:val="right"/>
              <w:rPr>
                <w:rFonts w:eastAsia="Times New Roman" w:cstheme="minorHAnsi"/>
                <w:b/>
                <w:bCs/>
                <w:color w:val="000000"/>
                <w:lang w:eastAsia="en-AU"/>
              </w:rPr>
            </w:pPr>
            <w:r w:rsidRPr="00CD6647">
              <w:rPr>
                <w:rFonts w:eastAsia="Times New Roman" w:cstheme="minorHAnsi"/>
                <w:b/>
                <w:bCs/>
                <w:color w:val="000000"/>
                <w:lang w:eastAsia="en-AU"/>
              </w:rPr>
              <w:t>Determined debt outcomes</w:t>
            </w:r>
          </w:p>
        </w:tc>
      </w:tr>
      <w:tr w:rsidR="00D756A3" w:rsidRPr="00A97CC4" w14:paraId="077FE34D" w14:textId="77777777" w:rsidTr="00282634">
        <w:trPr>
          <w:trHeight w:val="198"/>
        </w:trPr>
        <w:tc>
          <w:tcPr>
            <w:tcW w:w="6232"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14:paraId="223BF6F6" w14:textId="77777777" w:rsidR="00D756A3" w:rsidRPr="00A97CC4" w:rsidRDefault="00D756A3" w:rsidP="0012638D">
            <w:pPr>
              <w:spacing w:after="0" w:line="240" w:lineRule="auto"/>
              <w:rPr>
                <w:rFonts w:eastAsia="Times New Roman" w:cstheme="minorHAnsi"/>
                <w:color w:val="000000"/>
                <w:lang w:eastAsia="en-AU"/>
              </w:rPr>
            </w:pPr>
            <w:r w:rsidRPr="00CD6647">
              <w:rPr>
                <w:rFonts w:eastAsia="Times New Roman" w:cstheme="minorHAnsi"/>
                <w:color w:val="000000"/>
                <w:lang w:eastAsia="en-AU"/>
              </w:rPr>
              <w:t xml:space="preserve">Total no. of debts decreased </w:t>
            </w:r>
          </w:p>
        </w:tc>
        <w:tc>
          <w:tcPr>
            <w:tcW w:w="3131" w:type="dxa"/>
            <w:tcBorders>
              <w:top w:val="single" w:sz="4" w:space="0" w:color="auto"/>
              <w:left w:val="single" w:sz="4" w:space="0" w:color="auto"/>
              <w:right w:val="single" w:sz="4" w:space="0" w:color="auto"/>
            </w:tcBorders>
            <w:shd w:val="clear" w:color="auto" w:fill="D9D9D9" w:themeFill="background1" w:themeFillShade="D9"/>
            <w:noWrap/>
            <w:vAlign w:val="center"/>
          </w:tcPr>
          <w:p w14:paraId="717DF07D" w14:textId="77777777" w:rsidR="00D756A3" w:rsidRPr="00A97CC4" w:rsidRDefault="00D756A3" w:rsidP="0012638D">
            <w:pPr>
              <w:spacing w:after="0" w:line="240" w:lineRule="auto"/>
              <w:jc w:val="right"/>
              <w:rPr>
                <w:rFonts w:eastAsia="Times New Roman" w:cstheme="minorHAnsi"/>
                <w:color w:val="000000"/>
                <w:sz w:val="24"/>
                <w:szCs w:val="24"/>
                <w:lang w:eastAsia="en-AU"/>
              </w:rPr>
            </w:pPr>
            <w:r w:rsidRPr="00CD6647">
              <w:rPr>
                <w:rFonts w:eastAsia="Times New Roman" w:cstheme="minorHAnsi"/>
                <w:color w:val="000000"/>
                <w:lang w:eastAsia="en-AU"/>
              </w:rPr>
              <w:t>272</w:t>
            </w:r>
          </w:p>
        </w:tc>
      </w:tr>
      <w:tr w:rsidR="00D756A3" w:rsidRPr="00A97CC4" w14:paraId="0C0FB72A" w14:textId="77777777" w:rsidTr="00282634">
        <w:trPr>
          <w:trHeight w:val="198"/>
        </w:trPr>
        <w:tc>
          <w:tcPr>
            <w:tcW w:w="6232" w:type="dxa"/>
            <w:tcBorders>
              <w:left w:val="single" w:sz="4" w:space="0" w:color="auto"/>
              <w:bottom w:val="single" w:sz="4" w:space="0" w:color="auto"/>
              <w:right w:val="single" w:sz="4" w:space="0" w:color="auto"/>
            </w:tcBorders>
            <w:shd w:val="clear" w:color="auto" w:fill="D9D9D9" w:themeFill="background1" w:themeFillShade="D9"/>
            <w:noWrap/>
            <w:vAlign w:val="center"/>
          </w:tcPr>
          <w:p w14:paraId="503FA610" w14:textId="77777777" w:rsidR="00D756A3" w:rsidRPr="009F1889" w:rsidRDefault="00D756A3" w:rsidP="0012638D">
            <w:pPr>
              <w:spacing w:after="0" w:line="240" w:lineRule="auto"/>
              <w:rPr>
                <w:rFonts w:eastAsia="Times New Roman" w:cstheme="minorHAnsi"/>
                <w:color w:val="15202A" w:themeColor="accent1" w:themeShade="BF"/>
                <w:lang w:eastAsia="en-AU"/>
              </w:rPr>
            </w:pPr>
            <w:r w:rsidRPr="00CD6647">
              <w:rPr>
                <w:rFonts w:eastAsia="Times New Roman" w:cstheme="minorHAnsi"/>
                <w:color w:val="15202A" w:themeColor="accent1" w:themeShade="BF"/>
                <w:lang w:eastAsia="en-AU"/>
              </w:rPr>
              <w:t>(% of recalculations, % decrease in total debt value)</w:t>
            </w:r>
          </w:p>
        </w:tc>
        <w:tc>
          <w:tcPr>
            <w:tcW w:w="3131" w:type="dxa"/>
            <w:tcBorders>
              <w:left w:val="single" w:sz="4" w:space="0" w:color="auto"/>
              <w:bottom w:val="single" w:sz="4" w:space="0" w:color="auto"/>
              <w:right w:val="single" w:sz="4" w:space="0" w:color="auto"/>
            </w:tcBorders>
            <w:shd w:val="clear" w:color="auto" w:fill="D9D9D9" w:themeFill="background1" w:themeFillShade="D9"/>
            <w:noWrap/>
            <w:vAlign w:val="center"/>
          </w:tcPr>
          <w:p w14:paraId="34D28A48" w14:textId="77777777" w:rsidR="00D756A3" w:rsidRPr="009F1889" w:rsidRDefault="00D756A3" w:rsidP="0012638D">
            <w:pPr>
              <w:spacing w:after="0" w:line="240" w:lineRule="auto"/>
              <w:jc w:val="right"/>
              <w:rPr>
                <w:rFonts w:eastAsia="Times New Roman" w:cstheme="minorHAnsi"/>
                <w:color w:val="15202A" w:themeColor="accent1" w:themeShade="BF"/>
                <w:sz w:val="24"/>
                <w:szCs w:val="24"/>
                <w:lang w:eastAsia="en-AU"/>
              </w:rPr>
            </w:pPr>
            <w:r w:rsidRPr="00CD6647">
              <w:rPr>
                <w:rFonts w:eastAsia="Times New Roman" w:cstheme="minorHAnsi"/>
                <w:color w:val="000000"/>
                <w:lang w:eastAsia="en-AU"/>
              </w:rPr>
              <w:t>(</w:t>
            </w:r>
            <w:r w:rsidRPr="00CD6647">
              <w:rPr>
                <w:rFonts w:eastAsia="Times New Roman" w:cstheme="minorHAnsi"/>
                <w:color w:val="15202A" w:themeColor="accent1" w:themeShade="BF"/>
                <w:lang w:eastAsia="en-AU"/>
              </w:rPr>
              <w:t>66%, 20%)</w:t>
            </w:r>
          </w:p>
        </w:tc>
      </w:tr>
      <w:tr w:rsidR="00D756A3" w:rsidRPr="00A97CC4" w14:paraId="7D52496E" w14:textId="77777777" w:rsidTr="00282634">
        <w:trPr>
          <w:trHeight w:val="135"/>
        </w:trPr>
        <w:tc>
          <w:tcPr>
            <w:tcW w:w="6232" w:type="dxa"/>
            <w:tcBorders>
              <w:top w:val="single" w:sz="4" w:space="0" w:color="auto"/>
              <w:left w:val="single" w:sz="4" w:space="0" w:color="auto"/>
              <w:right w:val="single" w:sz="4" w:space="0" w:color="auto"/>
            </w:tcBorders>
            <w:vAlign w:val="bottom"/>
          </w:tcPr>
          <w:p w14:paraId="51F272EA" w14:textId="77777777" w:rsidR="00D756A3" w:rsidRDefault="00D756A3" w:rsidP="0012638D">
            <w:pPr>
              <w:spacing w:after="0" w:line="240" w:lineRule="auto"/>
              <w:ind w:left="720"/>
              <w:rPr>
                <w:rFonts w:eastAsia="Times New Roman" w:cstheme="minorHAnsi"/>
                <w:color w:val="000000"/>
                <w:lang w:eastAsia="en-AU"/>
              </w:rPr>
            </w:pPr>
            <w:r w:rsidRPr="00CD6647">
              <w:rPr>
                <w:rFonts w:eastAsia="Times New Roman" w:cstheme="minorHAnsi"/>
                <w:color w:val="000000"/>
                <w:lang w:eastAsia="en-AU"/>
              </w:rPr>
              <w:t>No. of debts decreased, but debt still owed</w:t>
            </w:r>
          </w:p>
        </w:tc>
        <w:tc>
          <w:tcPr>
            <w:tcW w:w="3131" w:type="dxa"/>
            <w:tcBorders>
              <w:top w:val="single" w:sz="4" w:space="0" w:color="auto"/>
              <w:left w:val="single" w:sz="4" w:space="0" w:color="auto"/>
              <w:right w:val="single" w:sz="4" w:space="0" w:color="auto"/>
            </w:tcBorders>
            <w:noWrap/>
            <w:vAlign w:val="center"/>
          </w:tcPr>
          <w:p w14:paraId="5D2F5EBC" w14:textId="77777777" w:rsidR="00D756A3" w:rsidRPr="009F1889" w:rsidRDefault="00D756A3" w:rsidP="0012638D">
            <w:pPr>
              <w:spacing w:after="0" w:line="240" w:lineRule="auto"/>
              <w:jc w:val="right"/>
              <w:rPr>
                <w:rFonts w:eastAsia="Times New Roman" w:cstheme="minorHAnsi"/>
                <w:color w:val="000000"/>
                <w:sz w:val="24"/>
                <w:szCs w:val="24"/>
                <w:lang w:eastAsia="en-AU"/>
              </w:rPr>
            </w:pPr>
            <w:r w:rsidRPr="00CD6647">
              <w:rPr>
                <w:rFonts w:eastAsia="Times New Roman" w:cstheme="minorHAnsi"/>
                <w:color w:val="000000"/>
                <w:lang w:eastAsia="en-AU"/>
              </w:rPr>
              <w:t>243</w:t>
            </w:r>
          </w:p>
        </w:tc>
      </w:tr>
      <w:tr w:rsidR="00D756A3" w:rsidRPr="00A97CC4" w14:paraId="09ADCF71" w14:textId="77777777" w:rsidTr="00282634">
        <w:trPr>
          <w:trHeight w:val="135"/>
        </w:trPr>
        <w:tc>
          <w:tcPr>
            <w:tcW w:w="6232" w:type="dxa"/>
            <w:tcBorders>
              <w:left w:val="single" w:sz="4" w:space="0" w:color="auto"/>
              <w:bottom w:val="single" w:sz="4" w:space="0" w:color="auto"/>
              <w:right w:val="single" w:sz="4" w:space="0" w:color="auto"/>
            </w:tcBorders>
            <w:vAlign w:val="bottom"/>
          </w:tcPr>
          <w:p w14:paraId="58D7F9D2" w14:textId="77777777" w:rsidR="00D756A3" w:rsidRDefault="00D756A3" w:rsidP="0012638D">
            <w:pPr>
              <w:spacing w:after="0" w:line="240" w:lineRule="auto"/>
              <w:ind w:left="720"/>
              <w:rPr>
                <w:rFonts w:eastAsia="Times New Roman" w:cstheme="minorHAnsi"/>
                <w:color w:val="000000"/>
                <w:lang w:eastAsia="en-AU"/>
              </w:rPr>
            </w:pPr>
            <w:r w:rsidRPr="00CD6647">
              <w:rPr>
                <w:rFonts w:eastAsia="Times New Roman" w:cstheme="minorHAnsi"/>
                <w:color w:val="15202A" w:themeColor="accent1" w:themeShade="BF"/>
                <w:lang w:eastAsia="en-AU"/>
              </w:rPr>
              <w:t>(% of recalculations, % decrease in total debt value)</w:t>
            </w:r>
          </w:p>
        </w:tc>
        <w:tc>
          <w:tcPr>
            <w:tcW w:w="3131" w:type="dxa"/>
            <w:tcBorders>
              <w:left w:val="single" w:sz="4" w:space="0" w:color="auto"/>
              <w:bottom w:val="single" w:sz="4" w:space="0" w:color="auto"/>
              <w:right w:val="single" w:sz="4" w:space="0" w:color="auto"/>
            </w:tcBorders>
            <w:noWrap/>
            <w:vAlign w:val="center"/>
          </w:tcPr>
          <w:p w14:paraId="7097C6AD" w14:textId="77777777" w:rsidR="00D756A3" w:rsidRPr="009F1889" w:rsidRDefault="00D756A3" w:rsidP="0012638D">
            <w:pPr>
              <w:spacing w:after="0" w:line="240" w:lineRule="auto"/>
              <w:jc w:val="right"/>
              <w:rPr>
                <w:rFonts w:eastAsia="Times New Roman" w:cstheme="minorHAnsi"/>
                <w:color w:val="000000"/>
                <w:sz w:val="24"/>
                <w:szCs w:val="24"/>
                <w:lang w:eastAsia="en-AU"/>
              </w:rPr>
            </w:pPr>
            <w:r w:rsidRPr="00CD6647">
              <w:rPr>
                <w:rFonts w:eastAsia="Times New Roman" w:cstheme="minorHAnsi"/>
                <w:color w:val="15202A" w:themeColor="accent1" w:themeShade="BF"/>
                <w:lang w:eastAsia="en-AU"/>
              </w:rPr>
              <w:t>(59%, 18%)</w:t>
            </w:r>
          </w:p>
        </w:tc>
      </w:tr>
      <w:tr w:rsidR="00D756A3" w:rsidRPr="00A97CC4" w14:paraId="02371B94" w14:textId="77777777" w:rsidTr="00282634">
        <w:trPr>
          <w:trHeight w:val="135"/>
        </w:trPr>
        <w:tc>
          <w:tcPr>
            <w:tcW w:w="6232" w:type="dxa"/>
            <w:tcBorders>
              <w:top w:val="single" w:sz="4" w:space="0" w:color="auto"/>
              <w:left w:val="single" w:sz="4" w:space="0" w:color="auto"/>
              <w:right w:val="single" w:sz="4" w:space="0" w:color="auto"/>
            </w:tcBorders>
            <w:shd w:val="clear" w:color="auto" w:fill="D9D9D9" w:themeFill="background1" w:themeFillShade="D9"/>
            <w:vAlign w:val="bottom"/>
            <w:hideMark/>
          </w:tcPr>
          <w:p w14:paraId="6BFBC770" w14:textId="77777777" w:rsidR="00D756A3" w:rsidRPr="00A97CC4" w:rsidRDefault="00D756A3" w:rsidP="0012638D">
            <w:pPr>
              <w:spacing w:after="0" w:line="240" w:lineRule="auto"/>
              <w:ind w:left="720"/>
              <w:rPr>
                <w:rFonts w:eastAsia="Times New Roman" w:cstheme="minorHAnsi"/>
                <w:color w:val="000000"/>
                <w:lang w:eastAsia="en-AU"/>
              </w:rPr>
            </w:pPr>
            <w:r w:rsidRPr="00CD6647">
              <w:rPr>
                <w:rFonts w:eastAsia="Times New Roman" w:cstheme="minorHAnsi"/>
                <w:color w:val="000000"/>
                <w:lang w:eastAsia="en-AU"/>
              </w:rPr>
              <w:t xml:space="preserve">No. of debts decreased to zero or below </w:t>
            </w:r>
          </w:p>
        </w:tc>
        <w:tc>
          <w:tcPr>
            <w:tcW w:w="3131" w:type="dxa"/>
            <w:tcBorders>
              <w:top w:val="single" w:sz="4" w:space="0" w:color="auto"/>
              <w:left w:val="single" w:sz="4" w:space="0" w:color="auto"/>
              <w:right w:val="single" w:sz="4" w:space="0" w:color="auto"/>
            </w:tcBorders>
            <w:shd w:val="clear" w:color="auto" w:fill="D9D9D9" w:themeFill="background1" w:themeFillShade="D9"/>
            <w:noWrap/>
            <w:vAlign w:val="center"/>
          </w:tcPr>
          <w:p w14:paraId="351F0607" w14:textId="77777777" w:rsidR="00D756A3" w:rsidRPr="00A97CC4" w:rsidRDefault="00D756A3" w:rsidP="0012638D">
            <w:pPr>
              <w:spacing w:after="0" w:line="240" w:lineRule="auto"/>
              <w:jc w:val="right"/>
              <w:rPr>
                <w:rFonts w:eastAsia="Times New Roman" w:cstheme="minorHAnsi"/>
                <w:color w:val="000000"/>
                <w:sz w:val="24"/>
                <w:szCs w:val="24"/>
                <w:lang w:eastAsia="en-AU"/>
              </w:rPr>
            </w:pPr>
            <w:r w:rsidRPr="00CD6647">
              <w:rPr>
                <w:rFonts w:eastAsia="Times New Roman" w:cstheme="minorHAnsi"/>
                <w:color w:val="000000"/>
                <w:lang w:eastAsia="en-AU"/>
              </w:rPr>
              <w:t>29</w:t>
            </w:r>
          </w:p>
        </w:tc>
      </w:tr>
      <w:tr w:rsidR="00D756A3" w:rsidRPr="00A97CC4" w14:paraId="0A915BFD" w14:textId="77777777" w:rsidTr="00282634">
        <w:trPr>
          <w:trHeight w:val="154"/>
        </w:trPr>
        <w:tc>
          <w:tcPr>
            <w:tcW w:w="6232" w:type="dxa"/>
            <w:tcBorders>
              <w:left w:val="single" w:sz="4" w:space="0" w:color="auto"/>
              <w:bottom w:val="single" w:sz="4" w:space="0" w:color="auto"/>
              <w:right w:val="single" w:sz="4" w:space="0" w:color="auto"/>
            </w:tcBorders>
            <w:shd w:val="clear" w:color="auto" w:fill="D9D9D9" w:themeFill="background1" w:themeFillShade="D9"/>
            <w:vAlign w:val="bottom"/>
            <w:hideMark/>
          </w:tcPr>
          <w:p w14:paraId="1729B8DC" w14:textId="77777777" w:rsidR="00D756A3" w:rsidRPr="00A97CC4" w:rsidRDefault="00D756A3" w:rsidP="0012638D">
            <w:pPr>
              <w:spacing w:after="0" w:line="240" w:lineRule="auto"/>
              <w:ind w:left="720"/>
              <w:rPr>
                <w:rFonts w:eastAsia="Times New Roman" w:cstheme="minorHAnsi"/>
                <w:color w:val="15202A" w:themeColor="accent1" w:themeShade="BF"/>
                <w:lang w:eastAsia="en-AU"/>
              </w:rPr>
            </w:pPr>
            <w:r w:rsidRPr="00CD6647">
              <w:rPr>
                <w:rFonts w:eastAsia="Times New Roman" w:cstheme="minorHAnsi"/>
                <w:color w:val="15202A" w:themeColor="accent1" w:themeShade="BF"/>
                <w:lang w:eastAsia="en-AU"/>
              </w:rPr>
              <w:t>(% of recalculations, % decrease in total debt value)</w:t>
            </w:r>
          </w:p>
        </w:tc>
        <w:tc>
          <w:tcPr>
            <w:tcW w:w="3131" w:type="dxa"/>
            <w:tcBorders>
              <w:left w:val="single" w:sz="4" w:space="0" w:color="auto"/>
              <w:bottom w:val="single" w:sz="4" w:space="0" w:color="auto"/>
              <w:right w:val="single" w:sz="4" w:space="0" w:color="auto"/>
            </w:tcBorders>
            <w:shd w:val="clear" w:color="auto" w:fill="D9D9D9" w:themeFill="background1" w:themeFillShade="D9"/>
            <w:noWrap/>
            <w:vAlign w:val="center"/>
          </w:tcPr>
          <w:p w14:paraId="36A59D53" w14:textId="77777777" w:rsidR="00D756A3" w:rsidRPr="00A97CC4" w:rsidRDefault="00D756A3" w:rsidP="0012638D">
            <w:pPr>
              <w:spacing w:after="0" w:line="240" w:lineRule="auto"/>
              <w:jc w:val="right"/>
              <w:rPr>
                <w:rFonts w:eastAsia="Times New Roman" w:cstheme="minorHAnsi"/>
                <w:color w:val="15202A" w:themeColor="accent1" w:themeShade="BF"/>
                <w:sz w:val="24"/>
                <w:szCs w:val="24"/>
                <w:lang w:eastAsia="en-AU"/>
              </w:rPr>
            </w:pPr>
            <w:r w:rsidRPr="00CD6647">
              <w:rPr>
                <w:rFonts w:eastAsia="Times New Roman" w:cstheme="minorHAnsi"/>
                <w:color w:val="15202A" w:themeColor="accent1" w:themeShade="BF"/>
                <w:lang w:eastAsia="en-AU"/>
              </w:rPr>
              <w:t>(7%, 129%)</w:t>
            </w:r>
          </w:p>
        </w:tc>
      </w:tr>
      <w:tr w:rsidR="00D756A3" w:rsidRPr="00A97CC4" w14:paraId="6EF9E2E4" w14:textId="77777777" w:rsidTr="00282634">
        <w:trPr>
          <w:trHeight w:val="106"/>
        </w:trPr>
        <w:tc>
          <w:tcPr>
            <w:tcW w:w="6232" w:type="dxa"/>
            <w:tcBorders>
              <w:top w:val="single" w:sz="4" w:space="0" w:color="auto"/>
              <w:left w:val="single" w:sz="4" w:space="0" w:color="auto"/>
              <w:right w:val="single" w:sz="4" w:space="0" w:color="auto"/>
            </w:tcBorders>
            <w:vAlign w:val="center"/>
          </w:tcPr>
          <w:p w14:paraId="05829C6E" w14:textId="77777777" w:rsidR="00D756A3" w:rsidRDefault="00D756A3" w:rsidP="0012638D">
            <w:pPr>
              <w:spacing w:after="0" w:line="240" w:lineRule="auto"/>
              <w:rPr>
                <w:rFonts w:eastAsia="Times New Roman" w:cstheme="minorHAnsi"/>
                <w:color w:val="000000"/>
                <w:lang w:eastAsia="en-AU"/>
              </w:rPr>
            </w:pPr>
            <w:r w:rsidRPr="00CD6647">
              <w:rPr>
                <w:rFonts w:eastAsia="Times New Roman" w:cstheme="minorHAnsi"/>
                <w:color w:val="000000"/>
                <w:lang w:eastAsia="en-AU"/>
              </w:rPr>
              <w:t>No. of debts increased</w:t>
            </w:r>
          </w:p>
        </w:tc>
        <w:tc>
          <w:tcPr>
            <w:tcW w:w="3131" w:type="dxa"/>
            <w:tcBorders>
              <w:top w:val="single" w:sz="4" w:space="0" w:color="auto"/>
              <w:left w:val="single" w:sz="4" w:space="0" w:color="auto"/>
              <w:right w:val="single" w:sz="4" w:space="0" w:color="auto"/>
            </w:tcBorders>
            <w:noWrap/>
            <w:vAlign w:val="center"/>
          </w:tcPr>
          <w:p w14:paraId="7EB7DF2E" w14:textId="77777777" w:rsidR="00D756A3" w:rsidRPr="009F1889" w:rsidRDefault="00D756A3" w:rsidP="0012638D">
            <w:pPr>
              <w:spacing w:after="0" w:line="240" w:lineRule="auto"/>
              <w:jc w:val="right"/>
              <w:rPr>
                <w:rFonts w:eastAsia="Times New Roman" w:cstheme="minorHAnsi"/>
                <w:color w:val="000000"/>
                <w:sz w:val="24"/>
                <w:szCs w:val="24"/>
                <w:lang w:eastAsia="en-AU"/>
              </w:rPr>
            </w:pPr>
            <w:r w:rsidRPr="00CD6647">
              <w:rPr>
                <w:rFonts w:eastAsia="Times New Roman" w:cstheme="minorHAnsi"/>
                <w:color w:val="000000"/>
                <w:lang w:eastAsia="en-AU"/>
              </w:rPr>
              <w:t>126</w:t>
            </w:r>
          </w:p>
        </w:tc>
      </w:tr>
      <w:tr w:rsidR="00D756A3" w:rsidRPr="00A97CC4" w14:paraId="7F257574" w14:textId="77777777" w:rsidTr="00282634">
        <w:trPr>
          <w:trHeight w:val="80"/>
        </w:trPr>
        <w:tc>
          <w:tcPr>
            <w:tcW w:w="6232" w:type="dxa"/>
            <w:tcBorders>
              <w:left w:val="single" w:sz="4" w:space="0" w:color="auto"/>
              <w:right w:val="single" w:sz="4" w:space="0" w:color="auto"/>
            </w:tcBorders>
            <w:vAlign w:val="bottom"/>
          </w:tcPr>
          <w:p w14:paraId="03823659" w14:textId="77777777" w:rsidR="00D756A3" w:rsidRDefault="00D756A3" w:rsidP="0012638D">
            <w:pPr>
              <w:spacing w:after="0" w:line="240" w:lineRule="auto"/>
              <w:rPr>
                <w:rFonts w:eastAsia="Times New Roman" w:cstheme="minorHAnsi"/>
                <w:color w:val="000000"/>
                <w:lang w:eastAsia="en-AU"/>
              </w:rPr>
            </w:pPr>
            <w:r w:rsidRPr="00CD6647">
              <w:rPr>
                <w:rFonts w:eastAsia="Times New Roman" w:cstheme="minorHAnsi"/>
                <w:color w:val="15202A" w:themeColor="accent1" w:themeShade="BF"/>
                <w:lang w:eastAsia="en-AU"/>
              </w:rPr>
              <w:t>(% of recalculations, % increase in total debt value)</w:t>
            </w:r>
          </w:p>
        </w:tc>
        <w:tc>
          <w:tcPr>
            <w:tcW w:w="3131" w:type="dxa"/>
            <w:tcBorders>
              <w:left w:val="single" w:sz="4" w:space="0" w:color="auto"/>
              <w:right w:val="single" w:sz="4" w:space="0" w:color="auto"/>
            </w:tcBorders>
            <w:noWrap/>
            <w:vAlign w:val="center"/>
          </w:tcPr>
          <w:p w14:paraId="356BAF00" w14:textId="77777777" w:rsidR="00D756A3" w:rsidRPr="00707904" w:rsidRDefault="00D756A3" w:rsidP="0012638D">
            <w:pPr>
              <w:spacing w:after="0" w:line="240" w:lineRule="auto"/>
              <w:jc w:val="right"/>
              <w:rPr>
                <w:rFonts w:eastAsia="Times New Roman" w:cstheme="minorHAnsi"/>
                <w:color w:val="15202A" w:themeColor="accent1" w:themeShade="BF"/>
                <w:sz w:val="24"/>
                <w:szCs w:val="24"/>
                <w:lang w:eastAsia="en-AU"/>
              </w:rPr>
            </w:pPr>
            <w:r w:rsidRPr="00CD6647">
              <w:rPr>
                <w:rFonts w:eastAsia="Times New Roman" w:cstheme="minorHAnsi"/>
                <w:color w:val="15202A" w:themeColor="accent1" w:themeShade="BF"/>
                <w:lang w:eastAsia="en-AU"/>
              </w:rPr>
              <w:t>(31%, 19%)</w:t>
            </w:r>
          </w:p>
        </w:tc>
      </w:tr>
      <w:tr w:rsidR="00D756A3" w:rsidRPr="00A97CC4" w14:paraId="53703AFD" w14:textId="77777777" w:rsidTr="00282634">
        <w:trPr>
          <w:trHeight w:val="80"/>
        </w:trPr>
        <w:tc>
          <w:tcPr>
            <w:tcW w:w="6232" w:type="dxa"/>
            <w:tcBorders>
              <w:left w:val="single" w:sz="4" w:space="0" w:color="auto"/>
              <w:right w:val="single" w:sz="4" w:space="0" w:color="auto"/>
            </w:tcBorders>
            <w:vAlign w:val="center"/>
          </w:tcPr>
          <w:p w14:paraId="5B17D6E7" w14:textId="77777777" w:rsidR="00D756A3" w:rsidRPr="00CD6647" w:rsidRDefault="00D756A3" w:rsidP="0012638D">
            <w:pPr>
              <w:spacing w:after="0" w:line="240" w:lineRule="auto"/>
              <w:rPr>
                <w:rFonts w:eastAsia="Times New Roman" w:cstheme="minorHAnsi"/>
                <w:color w:val="15202A" w:themeColor="accent1" w:themeShade="BF"/>
                <w:lang w:eastAsia="en-AU"/>
              </w:rPr>
            </w:pPr>
            <w:r w:rsidRPr="00CD6647">
              <w:rPr>
                <w:rFonts w:eastAsia="Times New Roman" w:cstheme="minorHAnsi"/>
                <w:color w:val="000000"/>
                <w:lang w:eastAsia="en-AU"/>
              </w:rPr>
              <w:t>Nil change</w:t>
            </w:r>
          </w:p>
        </w:tc>
        <w:tc>
          <w:tcPr>
            <w:tcW w:w="3131" w:type="dxa"/>
            <w:tcBorders>
              <w:left w:val="single" w:sz="4" w:space="0" w:color="auto"/>
              <w:right w:val="single" w:sz="4" w:space="0" w:color="auto"/>
            </w:tcBorders>
            <w:noWrap/>
            <w:vAlign w:val="center"/>
          </w:tcPr>
          <w:p w14:paraId="3C9C4E2F" w14:textId="77777777" w:rsidR="00D756A3" w:rsidRPr="00CD6647" w:rsidRDefault="00D756A3" w:rsidP="0012638D">
            <w:pPr>
              <w:spacing w:after="0" w:line="240" w:lineRule="auto"/>
              <w:jc w:val="right"/>
              <w:rPr>
                <w:rFonts w:eastAsia="Times New Roman" w:cstheme="minorHAnsi"/>
                <w:color w:val="15202A" w:themeColor="accent1" w:themeShade="BF"/>
                <w:lang w:eastAsia="en-AU"/>
              </w:rPr>
            </w:pPr>
            <w:r w:rsidRPr="00CD6647">
              <w:rPr>
                <w:rFonts w:eastAsia="Times New Roman" w:cstheme="minorHAnsi"/>
                <w:color w:val="000000"/>
                <w:lang w:eastAsia="en-AU"/>
              </w:rPr>
              <w:t>11</w:t>
            </w:r>
          </w:p>
        </w:tc>
      </w:tr>
      <w:tr w:rsidR="00D756A3" w:rsidRPr="00A97CC4" w14:paraId="2F8F8260" w14:textId="77777777" w:rsidTr="00282634">
        <w:trPr>
          <w:trHeight w:val="80"/>
        </w:trPr>
        <w:tc>
          <w:tcPr>
            <w:tcW w:w="6232" w:type="dxa"/>
            <w:tcBorders>
              <w:left w:val="single" w:sz="4" w:space="0" w:color="auto"/>
              <w:bottom w:val="single" w:sz="4" w:space="0" w:color="auto"/>
              <w:right w:val="single" w:sz="4" w:space="0" w:color="auto"/>
            </w:tcBorders>
            <w:vAlign w:val="center"/>
          </w:tcPr>
          <w:p w14:paraId="1393D48E" w14:textId="77777777" w:rsidR="00D756A3" w:rsidRPr="00CD6647" w:rsidRDefault="00D756A3" w:rsidP="0012638D">
            <w:pPr>
              <w:spacing w:after="0" w:line="240" w:lineRule="auto"/>
              <w:rPr>
                <w:rFonts w:eastAsia="Times New Roman" w:cstheme="minorHAnsi"/>
                <w:color w:val="15202A" w:themeColor="accent1" w:themeShade="BF"/>
                <w:lang w:eastAsia="en-AU"/>
              </w:rPr>
            </w:pPr>
            <w:r w:rsidRPr="00CD6647">
              <w:rPr>
                <w:rFonts w:eastAsia="Times New Roman" w:cstheme="minorHAnsi"/>
                <w:color w:val="15202A" w:themeColor="accent1" w:themeShade="BF"/>
                <w:lang w:eastAsia="en-AU"/>
              </w:rPr>
              <w:t>(% of recalculations)</w:t>
            </w:r>
          </w:p>
        </w:tc>
        <w:tc>
          <w:tcPr>
            <w:tcW w:w="3131" w:type="dxa"/>
            <w:tcBorders>
              <w:left w:val="single" w:sz="4" w:space="0" w:color="auto"/>
              <w:bottom w:val="single" w:sz="4" w:space="0" w:color="auto"/>
              <w:right w:val="single" w:sz="4" w:space="0" w:color="auto"/>
            </w:tcBorders>
            <w:noWrap/>
            <w:vAlign w:val="center"/>
          </w:tcPr>
          <w:p w14:paraId="294DFA7E" w14:textId="77777777" w:rsidR="00D756A3" w:rsidRPr="00CD6647" w:rsidRDefault="00D756A3" w:rsidP="0012638D">
            <w:pPr>
              <w:spacing w:after="0" w:line="240" w:lineRule="auto"/>
              <w:jc w:val="right"/>
              <w:rPr>
                <w:rFonts w:eastAsia="Times New Roman" w:cstheme="minorHAnsi"/>
                <w:color w:val="15202A" w:themeColor="accent1" w:themeShade="BF"/>
                <w:lang w:eastAsia="en-AU"/>
              </w:rPr>
            </w:pPr>
            <w:r w:rsidRPr="00CD6647">
              <w:rPr>
                <w:rFonts w:eastAsia="Times New Roman" w:cstheme="minorHAnsi"/>
                <w:color w:val="15202A" w:themeColor="accent1" w:themeShade="BF"/>
                <w:lang w:eastAsia="en-AU"/>
              </w:rPr>
              <w:t>(3%)</w:t>
            </w:r>
          </w:p>
        </w:tc>
      </w:tr>
    </w:tbl>
    <w:p w14:paraId="2E061343" w14:textId="667F7806" w:rsidR="00B968E3" w:rsidRDefault="00B968E3" w:rsidP="0012638D">
      <w:pPr>
        <w:pStyle w:val="Heading4"/>
        <w:spacing w:line="240" w:lineRule="auto"/>
        <w:rPr>
          <w:i/>
          <w:iCs/>
        </w:rPr>
      </w:pPr>
      <w:r w:rsidRPr="00370C1E">
        <w:rPr>
          <w:i/>
          <w:iCs/>
        </w:rPr>
        <w:t>For the broader public</w:t>
      </w:r>
    </w:p>
    <w:p w14:paraId="502661DC" w14:textId="6DB98A8F" w:rsidR="00AB0D59" w:rsidRPr="00AB0D59" w:rsidRDefault="00AB0D59" w:rsidP="0012638D">
      <w:pPr>
        <w:spacing w:line="240" w:lineRule="auto"/>
      </w:pPr>
      <w:r w:rsidRPr="00AB0D59">
        <w:t xml:space="preserve">Retrospective </w:t>
      </w:r>
      <w:r>
        <w:t>validation</w:t>
      </w:r>
      <w:r w:rsidRPr="00AB0D59">
        <w:t xml:space="preserve"> recognises income apportionment w</w:t>
      </w:r>
      <w:r w:rsidR="00B4262C">
        <w:t>as</w:t>
      </w:r>
      <w:r w:rsidRPr="00AB0D59">
        <w:t xml:space="preserve"> a reasonable approach to determine a person’s entitlement to social security. It was a method which used probative evidence (usually a person’s payslip) to assess </w:t>
      </w:r>
      <w:r w:rsidR="00677A67">
        <w:t>their</w:t>
      </w:r>
      <w:r w:rsidR="00677A67" w:rsidRPr="00AB0D59">
        <w:t xml:space="preserve"> </w:t>
      </w:r>
      <w:r w:rsidRPr="00AB0D59">
        <w:t xml:space="preserve">means to support themselves in a given Centrelink payment instalment period. </w:t>
      </w:r>
    </w:p>
    <w:p w14:paraId="6B850970" w14:textId="78CB2FA6" w:rsidR="00AB0D59" w:rsidRPr="00AB0D59" w:rsidRDefault="00AB0D59" w:rsidP="0012638D">
      <w:pPr>
        <w:spacing w:line="240" w:lineRule="auto"/>
      </w:pPr>
      <w:r w:rsidRPr="00AB0D59">
        <w:t>Income apportionment was a genuine misunderstanding of how the law worked and was standard practice that went largely unquestioned for a</w:t>
      </w:r>
      <w:r w:rsidR="00FB307C">
        <w:t xml:space="preserve"> significant amount of time</w:t>
      </w:r>
      <w:r w:rsidRPr="00AB0D59">
        <w:t xml:space="preserve">. </w:t>
      </w:r>
      <w:r w:rsidR="00B4262C">
        <w:t>Th</w:t>
      </w:r>
      <w:r w:rsidRPr="00AB0D59">
        <w:t xml:space="preserve">e use of income </w:t>
      </w:r>
      <w:r w:rsidRPr="00AB0D59">
        <w:lastRenderedPageBreak/>
        <w:t xml:space="preserve">apportionment </w:t>
      </w:r>
      <w:r w:rsidR="00FB307C">
        <w:t xml:space="preserve">resulted in some debts being higher than they otherwise might have been and vice versa. </w:t>
      </w:r>
    </w:p>
    <w:p w14:paraId="541CA0EC" w14:textId="1CE96356" w:rsidR="00AB0D59" w:rsidRDefault="00AB0D59" w:rsidP="0012638D">
      <w:pPr>
        <w:spacing w:line="240" w:lineRule="auto"/>
      </w:pPr>
      <w:r w:rsidRPr="00AB0D59">
        <w:t>For most debts affected by income apportionment, there is clear probative evidence that the person was overpaid income support.</w:t>
      </w:r>
      <w:r w:rsidRPr="00AB0D59" w:rsidDel="00677A67">
        <w:t xml:space="preserve"> </w:t>
      </w:r>
      <w:r w:rsidRPr="00AB0D59">
        <w:t>Codifying the long-standing, reasonable method of income apportionment resolves th</w:t>
      </w:r>
      <w:r w:rsidR="00677A67">
        <w:t>e current</w:t>
      </w:r>
      <w:r w:rsidRPr="00AB0D59">
        <w:t xml:space="preserve"> uncertainty. </w:t>
      </w:r>
    </w:p>
    <w:p w14:paraId="610ACA22" w14:textId="4094AEB0" w:rsidR="00AB0D59" w:rsidRDefault="00AB0D59" w:rsidP="0012638D">
      <w:pPr>
        <w:spacing w:line="240" w:lineRule="auto"/>
      </w:pPr>
      <w:r w:rsidRPr="00AB0D59">
        <w:t xml:space="preserve">Retrospective validation of income apportionment removes the need to review and recalculate historic debts, avoiding </w:t>
      </w:r>
      <w:r>
        <w:t xml:space="preserve">the </w:t>
      </w:r>
      <w:r w:rsidR="00D909D7">
        <w:t xml:space="preserve">complexities </w:t>
      </w:r>
      <w:r>
        <w:t>associated with th</w:t>
      </w:r>
      <w:r w:rsidR="00E80C41">
        <w:t>ose</w:t>
      </w:r>
      <w:r>
        <w:t xml:space="preserve"> options</w:t>
      </w:r>
      <w:r w:rsidRPr="00AB0D59">
        <w:t xml:space="preserve">.  </w:t>
      </w:r>
    </w:p>
    <w:p w14:paraId="25DC4DAA" w14:textId="77777777" w:rsidR="00B968E3" w:rsidRDefault="00B968E3" w:rsidP="0012638D">
      <w:pPr>
        <w:pStyle w:val="Heading4"/>
        <w:spacing w:line="240" w:lineRule="auto"/>
        <w:rPr>
          <w:i/>
          <w:iCs/>
        </w:rPr>
      </w:pPr>
      <w:r w:rsidRPr="00370C1E">
        <w:rPr>
          <w:i/>
          <w:iCs/>
        </w:rPr>
        <w:t>For businesses and organisations</w:t>
      </w:r>
    </w:p>
    <w:p w14:paraId="35BC6924" w14:textId="67DD97DE" w:rsidR="004254F6" w:rsidRDefault="004254F6" w:rsidP="0012638D">
      <w:pPr>
        <w:spacing w:line="240" w:lineRule="auto"/>
      </w:pPr>
      <w:r>
        <w:t xml:space="preserve">Employers and financial institutions would not be impacted by retrospective validation of income apportionment. </w:t>
      </w:r>
    </w:p>
    <w:p w14:paraId="22AB37FF" w14:textId="1466AA3D" w:rsidR="004254F6" w:rsidRDefault="004254F6" w:rsidP="0012638D">
      <w:pPr>
        <w:spacing w:line="240" w:lineRule="auto"/>
      </w:pPr>
      <w:r>
        <w:t>Some community organisations provide support to those undertaking reviews and appeals at Services Australia</w:t>
      </w:r>
      <w:r w:rsidR="007C117D">
        <w:t>.</w:t>
      </w:r>
      <w:r>
        <w:t xml:space="preserve"> </w:t>
      </w:r>
      <w:r w:rsidR="007C117D">
        <w:t>T</w:t>
      </w:r>
      <w:r>
        <w:t xml:space="preserve">hese organisations may be contacted by people looking to understand how the retrospective validation affects their debt. </w:t>
      </w:r>
      <w:r w:rsidR="0023227E">
        <w:t>This impact is expected to be minimal, given retrospective legislation will not alter existing debt amounts.</w:t>
      </w:r>
    </w:p>
    <w:p w14:paraId="4963029F" w14:textId="77777777" w:rsidR="00D756A3" w:rsidRPr="00370C1E" w:rsidRDefault="00D756A3" w:rsidP="0012638D">
      <w:pPr>
        <w:pStyle w:val="Heading3"/>
        <w:spacing w:line="240" w:lineRule="auto"/>
      </w:pPr>
      <w:r w:rsidRPr="00370C1E">
        <w:t>Timeliness</w:t>
      </w:r>
    </w:p>
    <w:p w14:paraId="76686BDE" w14:textId="419D9969" w:rsidR="00D756A3" w:rsidRDefault="00D756A3" w:rsidP="0012638D">
      <w:pPr>
        <w:spacing w:before="120" w:after="120" w:line="240" w:lineRule="auto"/>
      </w:pPr>
      <w:r>
        <w:t>Retrospective validation could be progressed quickly, subject to passage of legislation through the Parliament. It is the quickest option for providing a resolution to income apportionment.</w:t>
      </w:r>
    </w:p>
    <w:p w14:paraId="256A6DBA" w14:textId="77777777" w:rsidR="004254F6" w:rsidRDefault="004254F6" w:rsidP="0012638D">
      <w:pPr>
        <w:pStyle w:val="Heading4"/>
        <w:spacing w:line="240" w:lineRule="auto"/>
      </w:pPr>
      <w:r>
        <w:t>Regulatory burden estimate</w:t>
      </w:r>
    </w:p>
    <w:p w14:paraId="4C3B0FDB" w14:textId="77777777" w:rsidR="004254F6" w:rsidRDefault="004254F6" w:rsidP="0012638D">
      <w:pPr>
        <w:spacing w:before="120" w:after="120" w:line="240" w:lineRule="auto"/>
      </w:pPr>
      <w:r>
        <w:t>A regulatory burden estimate has been calculated, assuming:</w:t>
      </w:r>
    </w:p>
    <w:p w14:paraId="4AAB4C77" w14:textId="1D7A430D" w:rsidR="008738DA" w:rsidRDefault="008738DA" w:rsidP="008738DA">
      <w:pPr>
        <w:spacing w:before="120" w:after="120" w:line="240" w:lineRule="auto"/>
        <w:rPr>
          <w:b/>
          <w:bCs/>
        </w:rPr>
      </w:pPr>
      <w:r w:rsidRPr="00F2210E">
        <w:rPr>
          <w:b/>
          <w:bCs/>
        </w:rPr>
        <w:t xml:space="preserve">For </w:t>
      </w:r>
      <w:r>
        <w:rPr>
          <w:b/>
          <w:bCs/>
        </w:rPr>
        <w:t>individuals</w:t>
      </w:r>
    </w:p>
    <w:p w14:paraId="28A14899" w14:textId="723D0B14" w:rsidR="008738DA" w:rsidRDefault="009D35B3" w:rsidP="008738DA">
      <w:pPr>
        <w:pStyle w:val="ListParagraph"/>
        <w:numPr>
          <w:ilvl w:val="0"/>
          <w:numId w:val="50"/>
        </w:numPr>
        <w:spacing w:before="120" w:after="120" w:line="240" w:lineRule="auto"/>
      </w:pPr>
      <w:r>
        <w:t>P</w:t>
      </w:r>
      <w:r w:rsidR="008738DA" w:rsidRPr="008738DA">
        <w:t xml:space="preserve">eople </w:t>
      </w:r>
      <w:r w:rsidR="00E9211C">
        <w:t>with</w:t>
      </w:r>
      <w:r>
        <w:t xml:space="preserve"> debt activities paused due to income apportionment</w:t>
      </w:r>
      <w:r w:rsidR="00EB35E3">
        <w:t xml:space="preserve"> may take time to understand</w:t>
      </w:r>
      <w:r w:rsidR="000F75ED">
        <w:t xml:space="preserve"> the</w:t>
      </w:r>
      <w:r>
        <w:t xml:space="preserve"> </w:t>
      </w:r>
      <w:r w:rsidR="00E9211C">
        <w:t>implications</w:t>
      </w:r>
      <w:r w:rsidR="008738DA">
        <w:t xml:space="preserve"> </w:t>
      </w:r>
      <w:r w:rsidR="00626F57">
        <w:t xml:space="preserve">of </w:t>
      </w:r>
      <w:r w:rsidR="008738DA">
        <w:t>retrospective validation and potentially seek further explanation.</w:t>
      </w:r>
      <w:r w:rsidR="008738DA" w:rsidRPr="008738DA">
        <w:t xml:space="preserve"> </w:t>
      </w:r>
      <w:r w:rsidR="005F6158">
        <w:t>Based on Services Australia administrative data, we have assumed that the average debtor has 1.8 debts.</w:t>
      </w:r>
      <w:r w:rsidR="00EA0EE5">
        <w:t xml:space="preserve"> </w:t>
      </w:r>
      <w:r w:rsidR="00974DDB">
        <w:t xml:space="preserve">This </w:t>
      </w:r>
      <w:r w:rsidR="00EA0EE5">
        <w:t xml:space="preserve">is expected to take </w:t>
      </w:r>
      <w:r w:rsidR="008738DA">
        <w:t>an average of a quarter of an hour. This reflect</w:t>
      </w:r>
      <w:r w:rsidR="00E9211C">
        <w:t>s</w:t>
      </w:r>
      <w:r w:rsidR="008738DA">
        <w:t xml:space="preserve"> </w:t>
      </w:r>
      <w:r w:rsidR="00E9211C">
        <w:t>that</w:t>
      </w:r>
      <w:r w:rsidR="008738DA">
        <w:t xml:space="preserve"> some people in this cohort will </w:t>
      </w:r>
      <w:r w:rsidR="00E9211C">
        <w:t xml:space="preserve">choose to </w:t>
      </w:r>
      <w:r w:rsidR="008738DA">
        <w:t xml:space="preserve">spend little </w:t>
      </w:r>
      <w:r w:rsidR="00E9211C">
        <w:t>or</w:t>
      </w:r>
      <w:r w:rsidR="008738DA">
        <w:t xml:space="preserve"> no time on this activity, while others may choose to seek further information</w:t>
      </w:r>
      <w:r w:rsidR="00457774">
        <w:t xml:space="preserve"> from Services Australia</w:t>
      </w:r>
      <w:r w:rsidR="006D75F9">
        <w:t>.</w:t>
      </w:r>
    </w:p>
    <w:p w14:paraId="2ABFDF8E" w14:textId="37B7FDBE" w:rsidR="008738DA" w:rsidRDefault="000B68CC" w:rsidP="009D50B0">
      <w:pPr>
        <w:spacing w:before="120" w:after="120" w:line="240" w:lineRule="auto"/>
      </w:pPr>
      <m:oMathPara>
        <m:oMath>
          <m:r>
            <w:rPr>
              <w:rFonts w:ascii="Cambria Math" w:hAnsi="Cambria Math"/>
            </w:rPr>
            <m:t>89,000×0.25×$37.00=$823,250</m:t>
          </m:r>
        </m:oMath>
      </m:oMathPara>
    </w:p>
    <w:p w14:paraId="179E647B" w14:textId="77777777" w:rsidR="008738DA" w:rsidRDefault="008738DA" w:rsidP="0012638D">
      <w:pPr>
        <w:spacing w:before="120" w:after="120" w:line="240" w:lineRule="auto"/>
        <w:rPr>
          <w:b/>
          <w:bCs/>
        </w:rPr>
      </w:pPr>
    </w:p>
    <w:p w14:paraId="20F47D2E" w14:textId="77777777" w:rsidR="004254F6" w:rsidRPr="00F2210E" w:rsidRDefault="004254F6" w:rsidP="0012638D">
      <w:pPr>
        <w:spacing w:before="120" w:after="120" w:line="240" w:lineRule="auto"/>
        <w:rPr>
          <w:b/>
          <w:bCs/>
        </w:rPr>
      </w:pPr>
      <w:r w:rsidRPr="00F2210E">
        <w:rPr>
          <w:b/>
          <w:bCs/>
        </w:rPr>
        <w:t>For community organisations</w:t>
      </w:r>
    </w:p>
    <w:p w14:paraId="6AB75BFF" w14:textId="2C59FA5B" w:rsidR="004254F6" w:rsidRPr="0060413B" w:rsidRDefault="00C22FB9" w:rsidP="0012638D">
      <w:pPr>
        <w:pStyle w:val="ListParagraph"/>
        <w:numPr>
          <w:ilvl w:val="0"/>
          <w:numId w:val="28"/>
        </w:numPr>
        <w:spacing w:before="120" w:after="120" w:line="240" w:lineRule="auto"/>
      </w:pPr>
      <w:r w:rsidRPr="00F2210E">
        <w:t xml:space="preserve">Consistent with </w:t>
      </w:r>
      <w:r w:rsidRPr="00D01A1E">
        <w:t>the approach taken for other options, we</w:t>
      </w:r>
      <w:r w:rsidR="00053493" w:rsidRPr="00D01A1E">
        <w:t xml:space="preserve"> </w:t>
      </w:r>
      <w:r w:rsidR="004254F6" w:rsidRPr="00D01A1E">
        <w:t xml:space="preserve">have assumed 5% of </w:t>
      </w:r>
      <w:r w:rsidR="00CB7936" w:rsidRPr="00D01A1E">
        <w:t xml:space="preserve">the 160,000 </w:t>
      </w:r>
      <w:r w:rsidR="004254F6" w:rsidRPr="00D01A1E">
        <w:t xml:space="preserve">debts </w:t>
      </w:r>
      <w:r w:rsidR="00CB7936" w:rsidRPr="00D01A1E">
        <w:t xml:space="preserve">subject to pauses </w:t>
      </w:r>
      <w:r w:rsidR="00406988" w:rsidRPr="00D01A1E">
        <w:t xml:space="preserve">will </w:t>
      </w:r>
      <w:r w:rsidR="00DB4EB2" w:rsidRPr="00D01A1E">
        <w:t xml:space="preserve">be referred to </w:t>
      </w:r>
      <w:r w:rsidR="004254F6" w:rsidRPr="00D01A1E">
        <w:t>community organisations</w:t>
      </w:r>
      <w:r w:rsidR="004D3ED3">
        <w:t xml:space="preserve"> by individuals</w:t>
      </w:r>
      <w:r w:rsidR="00406988" w:rsidRPr="00D01A1E">
        <w:t xml:space="preserve"> for further support</w:t>
      </w:r>
      <w:r w:rsidR="00D01A1E" w:rsidRPr="00D01A1E">
        <w:t xml:space="preserve">, with </w:t>
      </w:r>
      <w:r w:rsidR="004254F6" w:rsidRPr="00D01A1E">
        <w:t>organisations</w:t>
      </w:r>
      <w:r w:rsidR="00D01A1E" w:rsidRPr="00D01A1E">
        <w:t xml:space="preserve"> spending</w:t>
      </w:r>
      <w:r w:rsidR="004254F6" w:rsidRPr="00D01A1E">
        <w:t xml:space="preserve"> around 3 hours per request (on average)</w:t>
      </w:r>
      <w:r w:rsidR="00D01A1E" w:rsidRPr="00D01A1E">
        <w:t xml:space="preserve">. </w:t>
      </w:r>
      <w:r w:rsidR="00F558D1" w:rsidRPr="00D01A1E">
        <w:t>This</w:t>
      </w:r>
      <w:r w:rsidR="00F558D1" w:rsidRPr="0060413B">
        <w:t xml:space="preserve"> would cost $85.17 per hour based on PM&amp;C Regulatory Burden Measurement Framework.</w:t>
      </w:r>
    </w:p>
    <w:p w14:paraId="43B42BAF" w14:textId="3FB11E8A" w:rsidR="0048441F" w:rsidRDefault="00DE0CD1" w:rsidP="0012638D">
      <w:pPr>
        <w:spacing w:before="120" w:after="120" w:line="240" w:lineRule="auto"/>
      </w:pPr>
      <m:oMathPara>
        <m:oMath>
          <m:r>
            <w:rPr>
              <w:rFonts w:ascii="Cambria Math" w:hAnsi="Cambria Math"/>
            </w:rPr>
            <m:t>160,000 ×0.05 ×3×$85.17=$2.0 million</m:t>
          </m:r>
        </m:oMath>
      </m:oMathPara>
    </w:p>
    <w:p w14:paraId="33494AE0" w14:textId="77777777" w:rsidR="00246950" w:rsidRDefault="00246950" w:rsidP="0012638D">
      <w:pPr>
        <w:spacing w:before="120" w:after="120" w:line="240" w:lineRule="auto"/>
      </w:pPr>
    </w:p>
    <w:p w14:paraId="55D61813" w14:textId="409F5645" w:rsidR="008B2F4F" w:rsidRPr="00D93763" w:rsidRDefault="0079071C" w:rsidP="0012638D">
      <w:pPr>
        <w:spacing w:before="120" w:after="120" w:line="240" w:lineRule="auto"/>
      </w:pPr>
      <w:r>
        <w:lastRenderedPageBreak/>
        <w:t>This results in total regulatory cost of $2</w:t>
      </w:r>
      <w:r w:rsidR="006D0056">
        <w:t>.8</w:t>
      </w:r>
      <w:r>
        <w:t xml:space="preserve"> million over 10 years</w:t>
      </w:r>
      <w:r w:rsidR="00DB274C">
        <w:t xml:space="preserve"> (</w:t>
      </w:r>
      <w:r w:rsidR="0099435A">
        <w:t>t</w:t>
      </w:r>
      <w:r w:rsidR="00DB274C">
        <w:t>his cost occurs in the first year</w:t>
      </w:r>
      <w:r w:rsidR="0099435A">
        <w:t>)</w:t>
      </w:r>
      <w:r>
        <w:t xml:space="preserve">. </w:t>
      </w:r>
      <w:r w:rsidR="00BA67F7">
        <w:t>Average</w:t>
      </w:r>
      <w:r w:rsidR="0099435A">
        <w:t>d</w:t>
      </w:r>
      <w:r w:rsidR="00BA67F7">
        <w:t xml:space="preserve"> annual costs </w:t>
      </w:r>
      <w:r w:rsidR="00940661">
        <w:t xml:space="preserve">over 10 years </w:t>
      </w:r>
      <w:r w:rsidR="00BA67F7">
        <w:t>are provided below.</w:t>
      </w:r>
    </w:p>
    <w:tbl>
      <w:tblPr>
        <w:tblW w:w="0" w:type="auto"/>
        <w:tblLook w:val="0660" w:firstRow="1" w:lastRow="1" w:firstColumn="0" w:lastColumn="0" w:noHBand="1" w:noVBand="1"/>
      </w:tblPr>
      <w:tblGrid>
        <w:gridCol w:w="2555"/>
        <w:gridCol w:w="1256"/>
        <w:gridCol w:w="1417"/>
        <w:gridCol w:w="2435"/>
        <w:gridCol w:w="1659"/>
      </w:tblGrid>
      <w:tr w:rsidR="004254F6" w:rsidRPr="006B3DA2" w14:paraId="59B32126" w14:textId="77777777">
        <w:trPr>
          <w:trHeight w:val="350"/>
          <w:tblHeader/>
        </w:trPr>
        <w:tc>
          <w:tcPr>
            <w:tcW w:w="9322" w:type="dxa"/>
            <w:gridSpan w:val="5"/>
            <w:tcBorders>
              <w:top w:val="single" w:sz="4" w:space="0" w:color="1C2B39" w:themeColor="accent1"/>
              <w:left w:val="nil"/>
              <w:bottom w:val="single" w:sz="4" w:space="0" w:color="1C2B39" w:themeColor="accent1"/>
              <w:right w:val="nil"/>
            </w:tcBorders>
            <w:hideMark/>
          </w:tcPr>
          <w:p w14:paraId="473BBC49" w14:textId="77777777" w:rsidR="004254F6" w:rsidRPr="00607D45" w:rsidRDefault="004254F6" w:rsidP="0012638D">
            <w:pPr>
              <w:pStyle w:val="CAB-NumberedParagraph"/>
              <w:rPr>
                <w:rFonts w:asciiTheme="minorHAnsi" w:hAnsiTheme="minorHAnsi"/>
                <w:b/>
                <w:highlight w:val="yellow"/>
              </w:rPr>
            </w:pPr>
            <w:r w:rsidRPr="00607D45">
              <w:rPr>
                <w:rFonts w:asciiTheme="minorHAnsi" w:hAnsiTheme="minorHAnsi"/>
                <w:b/>
              </w:rPr>
              <w:t>Average annual regulatory costs (over 10 years)</w:t>
            </w:r>
          </w:p>
        </w:tc>
      </w:tr>
      <w:tr w:rsidR="004254F6" w:rsidRPr="006B3DA2" w14:paraId="10C6B72D" w14:textId="77777777">
        <w:trPr>
          <w:trHeight w:val="350"/>
        </w:trPr>
        <w:tc>
          <w:tcPr>
            <w:tcW w:w="2555" w:type="dxa"/>
            <w:tcBorders>
              <w:top w:val="single" w:sz="4" w:space="0" w:color="1C2B39" w:themeColor="accent1"/>
              <w:left w:val="nil"/>
              <w:bottom w:val="single" w:sz="4" w:space="0" w:color="1C2B39" w:themeColor="accent1"/>
              <w:right w:val="nil"/>
            </w:tcBorders>
            <w:hideMark/>
          </w:tcPr>
          <w:p w14:paraId="480B8678" w14:textId="77777777" w:rsidR="004254F6" w:rsidRPr="00607D45" w:rsidRDefault="004254F6" w:rsidP="0012638D">
            <w:pPr>
              <w:pStyle w:val="CAB-NumberedParagraph"/>
              <w:rPr>
                <w:rFonts w:asciiTheme="minorHAnsi" w:hAnsiTheme="minorHAnsi"/>
              </w:rPr>
            </w:pPr>
            <w:r w:rsidRPr="00607D45">
              <w:rPr>
                <w:rFonts w:asciiTheme="minorHAnsi" w:hAnsiTheme="minorHAnsi"/>
              </w:rPr>
              <w:t>Change in costs ($ million)</w:t>
            </w:r>
          </w:p>
        </w:tc>
        <w:tc>
          <w:tcPr>
            <w:tcW w:w="1256" w:type="dxa"/>
            <w:tcBorders>
              <w:top w:val="single" w:sz="4" w:space="0" w:color="1C2B39" w:themeColor="accent1"/>
              <w:left w:val="nil"/>
              <w:bottom w:val="single" w:sz="4" w:space="0" w:color="1C2B39" w:themeColor="accent1"/>
              <w:right w:val="nil"/>
            </w:tcBorders>
            <w:hideMark/>
          </w:tcPr>
          <w:p w14:paraId="7D32975C" w14:textId="77777777" w:rsidR="004254F6" w:rsidRPr="00607D45" w:rsidRDefault="004254F6" w:rsidP="0012638D">
            <w:pPr>
              <w:pStyle w:val="CAB-NumberedParagraph"/>
              <w:rPr>
                <w:rFonts w:asciiTheme="minorHAnsi" w:hAnsiTheme="minorHAnsi"/>
              </w:rPr>
            </w:pPr>
            <w:r w:rsidRPr="00607D45">
              <w:rPr>
                <w:rFonts w:asciiTheme="minorHAnsi" w:hAnsiTheme="minorHAnsi"/>
              </w:rPr>
              <w:t>Individuals</w:t>
            </w:r>
          </w:p>
        </w:tc>
        <w:tc>
          <w:tcPr>
            <w:tcW w:w="1417" w:type="dxa"/>
            <w:tcBorders>
              <w:top w:val="single" w:sz="4" w:space="0" w:color="1C2B39" w:themeColor="accent1"/>
              <w:left w:val="nil"/>
              <w:bottom w:val="single" w:sz="4" w:space="0" w:color="1C2B39" w:themeColor="accent1"/>
              <w:right w:val="nil"/>
            </w:tcBorders>
            <w:hideMark/>
          </w:tcPr>
          <w:p w14:paraId="18E5A899" w14:textId="77777777" w:rsidR="004254F6" w:rsidRPr="00607D45" w:rsidRDefault="004254F6" w:rsidP="0012638D">
            <w:pPr>
              <w:pStyle w:val="CAB-NumberedParagraph"/>
              <w:rPr>
                <w:rFonts w:asciiTheme="minorHAnsi" w:hAnsiTheme="minorHAnsi"/>
              </w:rPr>
            </w:pPr>
            <w:r w:rsidRPr="00607D45">
              <w:rPr>
                <w:rFonts w:asciiTheme="minorHAnsi" w:hAnsiTheme="minorHAnsi"/>
              </w:rPr>
              <w:t xml:space="preserve">Business </w:t>
            </w:r>
          </w:p>
        </w:tc>
        <w:tc>
          <w:tcPr>
            <w:tcW w:w="2435" w:type="dxa"/>
            <w:tcBorders>
              <w:top w:val="single" w:sz="4" w:space="0" w:color="1C2B39" w:themeColor="accent1"/>
              <w:left w:val="nil"/>
              <w:bottom w:val="single" w:sz="4" w:space="0" w:color="1C2B39" w:themeColor="accent1"/>
              <w:right w:val="nil"/>
            </w:tcBorders>
            <w:hideMark/>
          </w:tcPr>
          <w:p w14:paraId="3D81B8F1" w14:textId="77777777" w:rsidR="004254F6" w:rsidRPr="00607D45" w:rsidRDefault="004254F6" w:rsidP="0012638D">
            <w:pPr>
              <w:pStyle w:val="CAB-NumberedParagraph"/>
              <w:rPr>
                <w:rFonts w:asciiTheme="minorHAnsi" w:hAnsiTheme="minorHAnsi"/>
              </w:rPr>
            </w:pPr>
            <w:r w:rsidRPr="00607D45">
              <w:rPr>
                <w:rFonts w:asciiTheme="minorHAnsi" w:hAnsiTheme="minorHAnsi"/>
              </w:rPr>
              <w:t>Community</w:t>
            </w:r>
          </w:p>
          <w:p w14:paraId="34A0DAB4" w14:textId="77777777" w:rsidR="004254F6" w:rsidRPr="00607D45" w:rsidRDefault="004254F6" w:rsidP="0012638D">
            <w:pPr>
              <w:pStyle w:val="CAB-NumberedParagraph"/>
              <w:rPr>
                <w:rFonts w:asciiTheme="minorHAnsi" w:hAnsiTheme="minorHAnsi"/>
              </w:rPr>
            </w:pPr>
            <w:r w:rsidRPr="00607D45">
              <w:rPr>
                <w:rFonts w:asciiTheme="minorHAnsi" w:hAnsiTheme="minorHAnsi"/>
              </w:rPr>
              <w:t>organisations</w:t>
            </w:r>
          </w:p>
        </w:tc>
        <w:tc>
          <w:tcPr>
            <w:tcW w:w="1659" w:type="dxa"/>
            <w:tcBorders>
              <w:top w:val="single" w:sz="4" w:space="0" w:color="1C2B39" w:themeColor="accent1"/>
              <w:left w:val="nil"/>
              <w:bottom w:val="single" w:sz="4" w:space="0" w:color="1C2B39" w:themeColor="accent1"/>
              <w:right w:val="nil"/>
            </w:tcBorders>
            <w:hideMark/>
          </w:tcPr>
          <w:p w14:paraId="19F30D79" w14:textId="77777777" w:rsidR="004254F6" w:rsidRPr="00607D45" w:rsidRDefault="004254F6" w:rsidP="0012638D">
            <w:pPr>
              <w:pStyle w:val="CAB-NumberedParagraph"/>
              <w:rPr>
                <w:rFonts w:asciiTheme="minorHAnsi" w:hAnsiTheme="minorHAnsi"/>
              </w:rPr>
            </w:pPr>
            <w:r w:rsidRPr="00607D45">
              <w:rPr>
                <w:rFonts w:asciiTheme="minorHAnsi" w:hAnsiTheme="minorHAnsi"/>
              </w:rPr>
              <w:t>Total change</w:t>
            </w:r>
          </w:p>
          <w:p w14:paraId="1C58ABE2" w14:textId="77777777" w:rsidR="004254F6" w:rsidRPr="00607D45" w:rsidRDefault="004254F6" w:rsidP="0012638D">
            <w:pPr>
              <w:pStyle w:val="CAB-NumberedParagraph"/>
              <w:rPr>
                <w:rFonts w:asciiTheme="minorHAnsi" w:hAnsiTheme="minorHAnsi"/>
              </w:rPr>
            </w:pPr>
            <w:r w:rsidRPr="00607D45">
              <w:rPr>
                <w:rFonts w:asciiTheme="minorHAnsi" w:hAnsiTheme="minorHAnsi"/>
              </w:rPr>
              <w:t>in cost</w:t>
            </w:r>
          </w:p>
        </w:tc>
      </w:tr>
      <w:tr w:rsidR="004254F6" w:rsidRPr="006B3DA2" w14:paraId="3AB8A2AE" w14:textId="77777777">
        <w:trPr>
          <w:trHeight w:val="350"/>
        </w:trPr>
        <w:tc>
          <w:tcPr>
            <w:tcW w:w="2555" w:type="dxa"/>
            <w:tcBorders>
              <w:top w:val="single" w:sz="4" w:space="0" w:color="1C2B39" w:themeColor="accent1"/>
              <w:left w:val="nil"/>
              <w:bottom w:val="single" w:sz="12" w:space="0" w:color="1C2B39" w:themeColor="accent1"/>
              <w:right w:val="nil"/>
            </w:tcBorders>
            <w:hideMark/>
          </w:tcPr>
          <w:p w14:paraId="326DE40F" w14:textId="77777777" w:rsidR="004254F6" w:rsidRPr="00607D45" w:rsidRDefault="004254F6" w:rsidP="0012638D">
            <w:pPr>
              <w:pStyle w:val="CAB-NumberedParagraph"/>
              <w:rPr>
                <w:rFonts w:asciiTheme="minorHAnsi" w:hAnsiTheme="minorHAnsi"/>
              </w:rPr>
            </w:pPr>
            <w:r w:rsidRPr="00607D45">
              <w:rPr>
                <w:rFonts w:asciiTheme="minorHAnsi" w:hAnsiTheme="minorHAnsi"/>
              </w:rPr>
              <w:t>Total, by sector</w:t>
            </w:r>
          </w:p>
        </w:tc>
        <w:tc>
          <w:tcPr>
            <w:tcW w:w="1256" w:type="dxa"/>
            <w:tcBorders>
              <w:top w:val="single" w:sz="4" w:space="0" w:color="1C2B39" w:themeColor="accent1"/>
              <w:left w:val="nil"/>
              <w:bottom w:val="single" w:sz="12" w:space="0" w:color="1C2B39" w:themeColor="accent1"/>
              <w:right w:val="nil"/>
            </w:tcBorders>
            <w:hideMark/>
          </w:tcPr>
          <w:p w14:paraId="3CD2DB75" w14:textId="3F0A0F67" w:rsidR="004254F6" w:rsidRPr="00607D45" w:rsidRDefault="00E9211C" w:rsidP="0012638D">
            <w:pPr>
              <w:pStyle w:val="CAB-NumberedParagraph"/>
              <w:rPr>
                <w:rFonts w:asciiTheme="minorHAnsi" w:hAnsiTheme="minorHAnsi"/>
              </w:rPr>
            </w:pPr>
            <w:r w:rsidRPr="00607D45">
              <w:rPr>
                <w:rFonts w:asciiTheme="minorHAnsi" w:hAnsiTheme="minorHAnsi"/>
              </w:rPr>
              <w:t>$</w:t>
            </w:r>
            <w:r>
              <w:rPr>
                <w:rFonts w:asciiTheme="minorHAnsi" w:hAnsiTheme="minorHAnsi"/>
              </w:rPr>
              <w:t>0.</w:t>
            </w:r>
            <w:r w:rsidR="009D50B0">
              <w:rPr>
                <w:rFonts w:asciiTheme="minorHAnsi" w:hAnsiTheme="minorHAnsi"/>
              </w:rPr>
              <w:t>08</w:t>
            </w:r>
          </w:p>
        </w:tc>
        <w:tc>
          <w:tcPr>
            <w:tcW w:w="1417" w:type="dxa"/>
            <w:tcBorders>
              <w:top w:val="single" w:sz="4" w:space="0" w:color="1C2B39" w:themeColor="accent1"/>
              <w:left w:val="nil"/>
              <w:bottom w:val="single" w:sz="12" w:space="0" w:color="1C2B39" w:themeColor="accent1"/>
              <w:right w:val="nil"/>
            </w:tcBorders>
            <w:hideMark/>
          </w:tcPr>
          <w:p w14:paraId="0039E057" w14:textId="0556DE33" w:rsidR="004254F6" w:rsidRPr="00607D45" w:rsidRDefault="004D2686" w:rsidP="0012638D">
            <w:pPr>
              <w:pStyle w:val="CAB-NumberedParagraph"/>
              <w:rPr>
                <w:rFonts w:asciiTheme="minorHAnsi" w:hAnsiTheme="minorHAnsi"/>
              </w:rPr>
            </w:pPr>
            <w:r w:rsidRPr="00607D45">
              <w:rPr>
                <w:rFonts w:asciiTheme="minorHAnsi" w:hAnsiTheme="minorHAnsi"/>
              </w:rPr>
              <w:t>$</w:t>
            </w:r>
            <w:r w:rsidR="004254F6" w:rsidRPr="00607D45">
              <w:rPr>
                <w:rFonts w:asciiTheme="minorHAnsi" w:hAnsiTheme="minorHAnsi"/>
              </w:rPr>
              <w:t>-</w:t>
            </w:r>
          </w:p>
        </w:tc>
        <w:tc>
          <w:tcPr>
            <w:tcW w:w="2435" w:type="dxa"/>
            <w:tcBorders>
              <w:top w:val="single" w:sz="4" w:space="0" w:color="1C2B39" w:themeColor="accent1"/>
              <w:left w:val="nil"/>
              <w:bottom w:val="single" w:sz="12" w:space="0" w:color="1C2B39" w:themeColor="accent1"/>
              <w:right w:val="nil"/>
            </w:tcBorders>
            <w:hideMark/>
          </w:tcPr>
          <w:p w14:paraId="47600BFF" w14:textId="363DACB5" w:rsidR="004254F6" w:rsidRPr="00607D45" w:rsidRDefault="008249E4" w:rsidP="0012638D">
            <w:pPr>
              <w:pStyle w:val="CAB-NumberedParagraph"/>
              <w:rPr>
                <w:rFonts w:asciiTheme="minorHAnsi" w:hAnsiTheme="minorHAnsi"/>
              </w:rPr>
            </w:pPr>
            <w:r w:rsidRPr="00607D45">
              <w:rPr>
                <w:rFonts w:asciiTheme="minorHAnsi" w:hAnsiTheme="minorHAnsi"/>
              </w:rPr>
              <w:t>$</w:t>
            </w:r>
            <w:r w:rsidR="00BE3429" w:rsidRPr="00607D45">
              <w:rPr>
                <w:rFonts w:asciiTheme="minorHAnsi" w:hAnsiTheme="minorHAnsi"/>
              </w:rPr>
              <w:t>0</w:t>
            </w:r>
            <w:r w:rsidR="008C464A" w:rsidRPr="00607D45">
              <w:rPr>
                <w:rFonts w:asciiTheme="minorHAnsi" w:hAnsiTheme="minorHAnsi"/>
              </w:rPr>
              <w:t>.2</w:t>
            </w:r>
          </w:p>
        </w:tc>
        <w:tc>
          <w:tcPr>
            <w:tcW w:w="1659" w:type="dxa"/>
            <w:tcBorders>
              <w:top w:val="single" w:sz="4" w:space="0" w:color="1C2B39" w:themeColor="accent1"/>
              <w:left w:val="nil"/>
              <w:bottom w:val="single" w:sz="12" w:space="0" w:color="1C2B39" w:themeColor="accent1"/>
              <w:right w:val="nil"/>
            </w:tcBorders>
            <w:hideMark/>
          </w:tcPr>
          <w:p w14:paraId="4AB91DCA" w14:textId="7FFDB369" w:rsidR="004254F6" w:rsidRPr="00607D45" w:rsidRDefault="008249E4" w:rsidP="0012638D">
            <w:pPr>
              <w:pStyle w:val="CAB-NumberedParagraph"/>
              <w:rPr>
                <w:rFonts w:asciiTheme="minorHAnsi" w:hAnsiTheme="minorHAnsi"/>
              </w:rPr>
            </w:pPr>
            <w:r w:rsidRPr="00607D45">
              <w:rPr>
                <w:rFonts w:asciiTheme="minorHAnsi" w:hAnsiTheme="minorHAnsi"/>
              </w:rPr>
              <w:t>$</w:t>
            </w:r>
            <w:r w:rsidR="00BE3429" w:rsidRPr="00607D45">
              <w:rPr>
                <w:rFonts w:asciiTheme="minorHAnsi" w:hAnsiTheme="minorHAnsi"/>
              </w:rPr>
              <w:t>0</w:t>
            </w:r>
            <w:r w:rsidR="008C464A" w:rsidRPr="00607D45">
              <w:rPr>
                <w:rFonts w:asciiTheme="minorHAnsi" w:hAnsiTheme="minorHAnsi"/>
              </w:rPr>
              <w:t>.</w:t>
            </w:r>
            <w:r w:rsidR="009D50B0">
              <w:rPr>
                <w:rFonts w:asciiTheme="minorHAnsi" w:hAnsiTheme="minorHAnsi"/>
              </w:rPr>
              <w:t>28</w:t>
            </w:r>
          </w:p>
        </w:tc>
      </w:tr>
    </w:tbl>
    <w:p w14:paraId="33E1682E" w14:textId="77777777" w:rsidR="00741623" w:rsidRDefault="00741623" w:rsidP="0012638D">
      <w:pPr>
        <w:spacing w:before="120" w:after="120" w:line="240" w:lineRule="auto"/>
      </w:pPr>
    </w:p>
    <w:p w14:paraId="7A2E56FA" w14:textId="45DA874A" w:rsidR="00B20789" w:rsidRDefault="00B20789" w:rsidP="0012638D">
      <w:pPr>
        <w:pStyle w:val="Heading2"/>
        <w:rPr>
          <w:lang w:val="en-US"/>
        </w:rPr>
      </w:pPr>
      <w:bookmarkStart w:id="44" w:name="_Toc189673786"/>
      <w:bookmarkStart w:id="45" w:name="_Toc204152073"/>
      <w:bookmarkStart w:id="46" w:name="_Toc207097816"/>
      <w:r>
        <w:rPr>
          <w:lang w:val="en-US"/>
        </w:rPr>
        <w:t>4.</w:t>
      </w:r>
      <w:bookmarkEnd w:id="44"/>
      <w:r>
        <w:rPr>
          <w:lang w:val="en-US"/>
        </w:rPr>
        <w:t xml:space="preserve">5 </w:t>
      </w:r>
      <w:r w:rsidR="00E20B67">
        <w:t xml:space="preserve">Retrospective validation and a </w:t>
      </w:r>
      <w:r>
        <w:t>partial waiver of paused debts</w:t>
      </w:r>
      <w:bookmarkEnd w:id="45"/>
      <w:bookmarkEnd w:id="46"/>
    </w:p>
    <w:p w14:paraId="781E0C73" w14:textId="23AF232A" w:rsidR="004B0666" w:rsidRDefault="007207E0" w:rsidP="0012638D">
      <w:pPr>
        <w:spacing w:line="240" w:lineRule="auto"/>
      </w:pPr>
      <w:r>
        <w:t>T</w:t>
      </w:r>
      <w:r w:rsidR="004B0666">
        <w:t>hese impacts are in addition to those identified under the retrospective validation only option.</w:t>
      </w:r>
    </w:p>
    <w:p w14:paraId="5ECBB3AC" w14:textId="77777777" w:rsidR="00B20789" w:rsidRDefault="00B20789" w:rsidP="0012638D">
      <w:pPr>
        <w:pStyle w:val="Heading3"/>
        <w:spacing w:line="240" w:lineRule="auto"/>
      </w:pPr>
      <w:r>
        <w:t>Lawfulness</w:t>
      </w:r>
    </w:p>
    <w:p w14:paraId="47B8BB41" w14:textId="24418E37" w:rsidR="00B20789" w:rsidRDefault="00B20789" w:rsidP="0012638D">
      <w:pPr>
        <w:spacing w:before="120" w:after="120" w:line="240" w:lineRule="auto"/>
      </w:pPr>
      <w:r>
        <w:t xml:space="preserve">This option would </w:t>
      </w:r>
      <w:r w:rsidR="00D03567">
        <w:t xml:space="preserve">involve </w:t>
      </w:r>
      <w:r>
        <w:t xml:space="preserve">legislation. </w:t>
      </w:r>
    </w:p>
    <w:p w14:paraId="046F3AF6" w14:textId="77777777" w:rsidR="00B20789" w:rsidRDefault="00B20789" w:rsidP="0012638D">
      <w:pPr>
        <w:pStyle w:val="Heading3"/>
        <w:spacing w:line="240" w:lineRule="auto"/>
      </w:pPr>
      <w:r>
        <w:t>Fairness</w:t>
      </w:r>
    </w:p>
    <w:p w14:paraId="5CCEB6C1" w14:textId="77777777" w:rsidR="00D756A3" w:rsidRDefault="00D756A3" w:rsidP="0012638D">
      <w:pPr>
        <w:pStyle w:val="Heading4"/>
        <w:spacing w:line="240" w:lineRule="auto"/>
        <w:rPr>
          <w:i/>
          <w:iCs/>
        </w:rPr>
      </w:pPr>
      <w:r>
        <w:rPr>
          <w:i/>
          <w:iCs/>
        </w:rPr>
        <w:t>For affected individuals</w:t>
      </w:r>
    </w:p>
    <w:p w14:paraId="0145ECCD" w14:textId="1E40DE35" w:rsidR="00D756A3" w:rsidRDefault="00D756A3" w:rsidP="0012638D">
      <w:pPr>
        <w:spacing w:before="120" w:after="120" w:line="240" w:lineRule="auto"/>
      </w:pPr>
      <w:r>
        <w:t xml:space="preserve">Partially waiving debts subject to income apportionment related pauses provides relief to those people </w:t>
      </w:r>
      <w:r w:rsidR="00CD4383">
        <w:t xml:space="preserve">holding the 160,000 debts that have been on pause and </w:t>
      </w:r>
      <w:r>
        <w:t>who have been most immediately affected by the issue. It recognises</w:t>
      </w:r>
      <w:r w:rsidDel="007C117D">
        <w:t xml:space="preserve"> </w:t>
      </w:r>
      <w:r>
        <w:t>these people have faced ongoing delays and uncertainty around their debts. Th</w:t>
      </w:r>
      <w:r w:rsidR="00F82FCC">
        <w:t xml:space="preserve">is </w:t>
      </w:r>
      <w:r>
        <w:t>prolonged uncertainty has also disadvantaged some people</w:t>
      </w:r>
      <w:r w:rsidR="00F82FCC">
        <w:t xml:space="preserve">. </w:t>
      </w:r>
      <w:r>
        <w:t>For example, Services Australia is aware of people with debts under review who have had loan approvals, employment opportunities or the finalisation of estates hindered due to an outstanding social security debt.</w:t>
      </w:r>
    </w:p>
    <w:p w14:paraId="729A17B0" w14:textId="5393F4DB" w:rsidR="00D756A3" w:rsidRDefault="00F82FCC" w:rsidP="0012638D">
      <w:pPr>
        <w:spacing w:before="120" w:after="120" w:line="240" w:lineRule="auto"/>
      </w:pPr>
      <w:r>
        <w:t>The partial waiver would</w:t>
      </w:r>
      <w:r w:rsidR="00D756A3">
        <w:t xml:space="preserve"> mean people </w:t>
      </w:r>
      <w:r w:rsidR="00813879">
        <w:t>with debts below $200</w:t>
      </w:r>
      <w:r w:rsidR="002B67ED">
        <w:t xml:space="preserve"> (</w:t>
      </w:r>
      <w:r>
        <w:t xml:space="preserve">that is, </w:t>
      </w:r>
      <w:r w:rsidR="002B67ED">
        <w:t xml:space="preserve">equal to, or lower than the total waiver amount) </w:t>
      </w:r>
      <w:r w:rsidR="00D756A3">
        <w:t>may no longer have to engage with the administrative processes regarding their debt, including:</w:t>
      </w:r>
    </w:p>
    <w:p w14:paraId="1C8BA304" w14:textId="48A80EFC" w:rsidR="00D756A3" w:rsidRDefault="00D756A3" w:rsidP="0012638D">
      <w:pPr>
        <w:pStyle w:val="ListParagraph"/>
        <w:numPr>
          <w:ilvl w:val="0"/>
          <w:numId w:val="20"/>
        </w:numPr>
        <w:spacing w:before="120" w:after="120" w:line="240" w:lineRule="auto"/>
      </w:pPr>
      <w:r>
        <w:t>Engaging with Services Australia around repayments</w:t>
      </w:r>
    </w:p>
    <w:p w14:paraId="33F99B02" w14:textId="0FCDD1E0" w:rsidR="00D756A3" w:rsidRDefault="00D756A3" w:rsidP="0012638D">
      <w:pPr>
        <w:pStyle w:val="ListParagraph"/>
        <w:numPr>
          <w:ilvl w:val="0"/>
          <w:numId w:val="20"/>
        </w:numPr>
        <w:spacing w:before="120" w:after="120" w:line="240" w:lineRule="auto"/>
      </w:pPr>
      <w:r>
        <w:t>Understanding and responding to notices from Services Australia</w:t>
      </w:r>
    </w:p>
    <w:p w14:paraId="09BC6B4E" w14:textId="5247F930" w:rsidR="00D756A3" w:rsidRDefault="00D756A3" w:rsidP="0012638D">
      <w:pPr>
        <w:pStyle w:val="ListParagraph"/>
        <w:numPr>
          <w:ilvl w:val="0"/>
          <w:numId w:val="20"/>
        </w:numPr>
        <w:spacing w:before="120" w:after="120" w:line="240" w:lineRule="auto"/>
      </w:pPr>
      <w:r>
        <w:t xml:space="preserve">Engaging with the review and appeal process for their debts. </w:t>
      </w:r>
    </w:p>
    <w:p w14:paraId="3A35AE28" w14:textId="420D5287" w:rsidR="00B20789" w:rsidRDefault="00B20789" w:rsidP="0012638D">
      <w:pPr>
        <w:pStyle w:val="Heading4"/>
        <w:spacing w:line="240" w:lineRule="auto"/>
        <w:rPr>
          <w:i/>
          <w:iCs/>
        </w:rPr>
      </w:pPr>
      <w:r>
        <w:rPr>
          <w:i/>
          <w:iCs/>
        </w:rPr>
        <w:t>For the broader public</w:t>
      </w:r>
    </w:p>
    <w:p w14:paraId="3867169D" w14:textId="56B60967" w:rsidR="00B20789" w:rsidRDefault="00B20789" w:rsidP="0012638D">
      <w:pPr>
        <w:spacing w:before="120" w:after="120" w:line="240" w:lineRule="auto"/>
      </w:pPr>
      <w:r>
        <w:t xml:space="preserve">Many individuals who would benefit from </w:t>
      </w:r>
      <w:r w:rsidR="008108BE">
        <w:t xml:space="preserve">the partial waiver </w:t>
      </w:r>
      <w:r>
        <w:t xml:space="preserve">are not currently recipients of social security payments. The partial waiver </w:t>
      </w:r>
      <w:r w:rsidR="00F82FCC">
        <w:t>would</w:t>
      </w:r>
      <w:r>
        <w:t xml:space="preserve"> not effectively target those in genuine need of assistance and may not be seen as an equitable or efficient use of government resources, particularly if </w:t>
      </w:r>
      <w:r w:rsidR="00F82FCC">
        <w:t>it diverts</w:t>
      </w:r>
      <w:r>
        <w:t xml:space="preserve"> resources from </w:t>
      </w:r>
      <w:r w:rsidR="00F82FCC">
        <w:t xml:space="preserve">critical frontline services </w:t>
      </w:r>
      <w:r>
        <w:t xml:space="preserve">designed to support vulnerable individuals. </w:t>
      </w:r>
    </w:p>
    <w:p w14:paraId="65DB55F5" w14:textId="2B327502" w:rsidR="00B20789" w:rsidRDefault="00B20789" w:rsidP="0012638D">
      <w:pPr>
        <w:spacing w:before="120" w:after="120" w:line="240" w:lineRule="auto"/>
      </w:pPr>
      <w:r>
        <w:lastRenderedPageBreak/>
        <w:t>Sampling indicates</w:t>
      </w:r>
      <w:r w:rsidDel="008108BE">
        <w:t xml:space="preserve"> </w:t>
      </w:r>
      <w:r>
        <w:t>in over 90</w:t>
      </w:r>
      <w:r w:rsidR="00253E24">
        <w:t xml:space="preserve">% </w:t>
      </w:r>
      <w:r>
        <w:t xml:space="preserve">of cases, debts affected by income apportionment would still exist when recalculated using the method confirmed by the </w:t>
      </w:r>
      <w:r w:rsidRPr="00C96B92">
        <w:rPr>
          <w:i/>
          <w:iCs/>
        </w:rPr>
        <w:t xml:space="preserve">Chaplin </w:t>
      </w:r>
      <w:r>
        <w:t xml:space="preserve">decision. The sampling also indicated that </w:t>
      </w:r>
      <w:r w:rsidRPr="00C96B92">
        <w:t xml:space="preserve">the median change to debts was $100 or less when recalculated </w:t>
      </w:r>
      <w:r>
        <w:t>using this method.</w:t>
      </w:r>
    </w:p>
    <w:p w14:paraId="2A7D7870" w14:textId="49BF8985" w:rsidR="00B20789" w:rsidRDefault="00B20789" w:rsidP="0012638D">
      <w:pPr>
        <w:spacing w:before="120" w:after="120" w:line="240" w:lineRule="auto"/>
      </w:pPr>
      <w:r>
        <w:t xml:space="preserve">There are also cases where only part of a debt is impacted by income apportionment, with the remainder of the debt unaffected. </w:t>
      </w:r>
    </w:p>
    <w:p w14:paraId="2A8231C3" w14:textId="015569E7" w:rsidR="00B20789" w:rsidRDefault="00B20789" w:rsidP="0012638D">
      <w:pPr>
        <w:spacing w:before="120" w:after="120" w:line="240" w:lineRule="auto"/>
      </w:pPr>
      <w:r>
        <w:t xml:space="preserve">The proposed partial waiver would therefore involve waiving debts that are legitimate overpayments of income support. </w:t>
      </w:r>
    </w:p>
    <w:p w14:paraId="5FBBCDD8" w14:textId="66843777" w:rsidR="00B20789" w:rsidRPr="00F82FCC" w:rsidRDefault="00B20789" w:rsidP="0012638D">
      <w:pPr>
        <w:pStyle w:val="CABParagraph"/>
        <w:spacing w:after="120"/>
        <w:rPr>
          <w:rFonts w:asciiTheme="minorHAnsi" w:eastAsiaTheme="minorEastAsia" w:hAnsiTheme="minorHAnsi"/>
          <w:szCs w:val="21"/>
        </w:rPr>
      </w:pPr>
      <w:r w:rsidRPr="00F82FCC">
        <w:rPr>
          <w:rFonts w:asciiTheme="minorHAnsi" w:eastAsiaTheme="minorEastAsia" w:hAnsiTheme="minorHAnsi"/>
          <w:szCs w:val="21"/>
        </w:rPr>
        <w:t>This option would require investment in Services Australia to process the partial waiver (and any associated refunds) of an estimated 160,000 debts</w:t>
      </w:r>
      <w:r w:rsidR="005C7A41" w:rsidRPr="00F82FCC">
        <w:rPr>
          <w:rFonts w:asciiTheme="minorHAnsi" w:eastAsiaTheme="minorEastAsia" w:hAnsiTheme="minorHAnsi"/>
          <w:szCs w:val="21"/>
        </w:rPr>
        <w:t xml:space="preserve">, however this </w:t>
      </w:r>
      <w:r w:rsidR="00780C18" w:rsidRPr="00F82FCC">
        <w:rPr>
          <w:rFonts w:asciiTheme="minorHAnsi" w:eastAsiaTheme="minorEastAsia" w:hAnsiTheme="minorHAnsi"/>
          <w:szCs w:val="21"/>
        </w:rPr>
        <w:t xml:space="preserve">cannot </w:t>
      </w:r>
      <w:r w:rsidR="00780C18" w:rsidRPr="00F82FCC">
        <w:rPr>
          <w:rFonts w:asciiTheme="minorHAnsi" w:hAnsiTheme="minorHAnsi"/>
        </w:rPr>
        <w:t xml:space="preserve">be addressed by simply increasing staffing, given the levels of expertise required. </w:t>
      </w:r>
      <w:r w:rsidR="005C7A41" w:rsidRPr="00F82FCC">
        <w:rPr>
          <w:rFonts w:asciiTheme="minorHAnsi" w:eastAsiaTheme="minorEastAsia" w:hAnsiTheme="minorHAnsi"/>
          <w:szCs w:val="21"/>
        </w:rPr>
        <w:t xml:space="preserve"> </w:t>
      </w:r>
    </w:p>
    <w:p w14:paraId="42D4C6AA" w14:textId="56C2583C" w:rsidR="00B20789" w:rsidRDefault="00B20789" w:rsidP="0012638D">
      <w:pPr>
        <w:spacing w:before="120" w:after="120" w:line="240" w:lineRule="auto"/>
      </w:pPr>
      <w:r>
        <w:t xml:space="preserve">Issuing a $200 waiver to some debts but not others may be seen as unfair by those with current or historical debts that are ineligible for the waiver, particularly if these debts were also potentially affected by income apportionment. Many debtors have also been subject to delays and incorrect calculations </w:t>
      </w:r>
      <w:r w:rsidR="00F82FCC">
        <w:t xml:space="preserve">for reasons </w:t>
      </w:r>
      <w:r>
        <w:t>unrelated to income apportionment</w:t>
      </w:r>
      <w:r w:rsidR="00F82FCC">
        <w:t xml:space="preserve"> and</w:t>
      </w:r>
      <w:r>
        <w:t xml:space="preserve"> would not be eligible for a partial waiver under this approach.</w:t>
      </w:r>
    </w:p>
    <w:p w14:paraId="626DA0D9" w14:textId="77777777" w:rsidR="00B20789" w:rsidRDefault="00B20789" w:rsidP="0012638D">
      <w:pPr>
        <w:pStyle w:val="Heading4"/>
        <w:spacing w:line="240" w:lineRule="auto"/>
        <w:rPr>
          <w:i/>
          <w:iCs/>
        </w:rPr>
      </w:pPr>
      <w:r>
        <w:rPr>
          <w:i/>
          <w:iCs/>
        </w:rPr>
        <w:t>For businesses and organisations</w:t>
      </w:r>
    </w:p>
    <w:p w14:paraId="22C08232" w14:textId="1831116E" w:rsidR="00B20789" w:rsidRDefault="00B20789" w:rsidP="0012638D">
      <w:pPr>
        <w:spacing w:before="120" w:after="120" w:line="240" w:lineRule="auto"/>
      </w:pPr>
      <w:r>
        <w:t>This option would have no significant impact on business</w:t>
      </w:r>
      <w:r w:rsidR="005B444D">
        <w:t>.</w:t>
      </w:r>
      <w:r>
        <w:t xml:space="preserve"> </w:t>
      </w:r>
      <w:r w:rsidR="00F82FCC">
        <w:t xml:space="preserve">It </w:t>
      </w:r>
      <w:r>
        <w:t>may reduce the number of debts referred to community legal organisations, as it would waive a number of</w:t>
      </w:r>
      <w:r w:rsidR="00B32C81">
        <w:t xml:space="preserve"> </w:t>
      </w:r>
      <w:r w:rsidR="0019754D">
        <w:t xml:space="preserve">smaller (less than $200) </w:t>
      </w:r>
      <w:r>
        <w:t xml:space="preserve">outstanding debts that otherwise would have required their assistance. </w:t>
      </w:r>
    </w:p>
    <w:p w14:paraId="2E684589" w14:textId="77777777" w:rsidR="00792CBD" w:rsidRDefault="00792CBD" w:rsidP="0012638D">
      <w:pPr>
        <w:pStyle w:val="Heading3"/>
        <w:spacing w:line="240" w:lineRule="auto"/>
      </w:pPr>
      <w:r>
        <w:t>Timeliness</w:t>
      </w:r>
    </w:p>
    <w:p w14:paraId="02DEB37C" w14:textId="77E8DA4B" w:rsidR="00792CBD" w:rsidRDefault="00792CBD" w:rsidP="0012638D">
      <w:pPr>
        <w:spacing w:before="120" w:after="120" w:line="240" w:lineRule="auto"/>
      </w:pPr>
      <w:r w:rsidRPr="00F764EC">
        <w:t>This</w:t>
      </w:r>
      <w:r w:rsidR="0060076A" w:rsidRPr="00F764EC">
        <w:t xml:space="preserve"> option limits the scope of eligibility </w:t>
      </w:r>
      <w:r w:rsidR="00C02902" w:rsidRPr="00F764EC">
        <w:t>for the partial waiver to those people affected by the pauses</w:t>
      </w:r>
      <w:r w:rsidR="00145065" w:rsidRPr="00F764EC">
        <w:t xml:space="preserve"> </w:t>
      </w:r>
      <w:r w:rsidR="003759F9" w:rsidRPr="00F764EC">
        <w:t>and could</w:t>
      </w:r>
      <w:r w:rsidR="006477E0" w:rsidRPr="00F764EC">
        <w:t xml:space="preserve"> be delivered in a relatively timely </w:t>
      </w:r>
      <w:r w:rsidR="00041481" w:rsidRPr="00F764EC">
        <w:t>manner, compar</w:t>
      </w:r>
      <w:r w:rsidR="00145065" w:rsidRPr="00F764EC">
        <w:t xml:space="preserve">ed to options such as recalculating or waiving all potentially affected debts. </w:t>
      </w:r>
    </w:p>
    <w:p w14:paraId="4E4F7814" w14:textId="77777777" w:rsidR="00B20789" w:rsidRPr="002C3817" w:rsidRDefault="00B20789" w:rsidP="0012638D">
      <w:pPr>
        <w:pStyle w:val="Heading4"/>
        <w:spacing w:line="240" w:lineRule="auto"/>
      </w:pPr>
      <w:r w:rsidRPr="002C3817">
        <w:t>Regulatory burden estimate</w:t>
      </w:r>
    </w:p>
    <w:p w14:paraId="59BE6EC8" w14:textId="77777777" w:rsidR="00B20789" w:rsidRPr="009C3A26" w:rsidRDefault="00B20789" w:rsidP="0012638D">
      <w:pPr>
        <w:spacing w:before="120" w:after="120" w:line="240" w:lineRule="auto"/>
      </w:pPr>
      <w:r>
        <w:t>A regulatory burden estimate has been calculated, assuming:</w:t>
      </w:r>
    </w:p>
    <w:p w14:paraId="79ACCE7D" w14:textId="77777777" w:rsidR="00B20789" w:rsidRPr="008B3A91" w:rsidRDefault="00B20789" w:rsidP="0012638D">
      <w:pPr>
        <w:spacing w:before="120" w:after="120" w:line="240" w:lineRule="auto"/>
        <w:rPr>
          <w:b/>
          <w:bCs/>
        </w:rPr>
      </w:pPr>
      <w:r>
        <w:rPr>
          <w:b/>
          <w:bCs/>
        </w:rPr>
        <w:t>For individuals</w:t>
      </w:r>
    </w:p>
    <w:p w14:paraId="757A7776" w14:textId="77777777" w:rsidR="00B20789" w:rsidRPr="002C3817" w:rsidRDefault="00B20789" w:rsidP="0012638D">
      <w:pPr>
        <w:pStyle w:val="ListParagraph"/>
        <w:numPr>
          <w:ilvl w:val="0"/>
          <w:numId w:val="24"/>
        </w:numPr>
        <w:spacing w:line="240" w:lineRule="auto"/>
      </w:pPr>
      <w:r w:rsidRPr="0060413B">
        <w:t>Those subject to income apportionment recovery pauses with debts lower than $200 would no longer need to engage with Services Australia, as their debt would no longer exist. This is around 6496 people, or 7.9% of 82,222 people subject to recovery pauses (based on Services Australia administrative data we have assumed that the average debtor has ~1.8 debts). Per person</w:t>
      </w:r>
      <w:r w:rsidRPr="002C3817">
        <w:t xml:space="preserve"> with debts, this is estimated to</w:t>
      </w:r>
      <w:r w:rsidRPr="002C3817">
        <w:rPr>
          <w:i/>
          <w:iCs/>
        </w:rPr>
        <w:t xml:space="preserve"> save</w:t>
      </w:r>
      <w:r w:rsidRPr="002C3817">
        <w:t xml:space="preserve"> around 1 hour per year of engagement with Services Australia across the 10-year regulatory burden estimate period. This would cost $37.00 per hour based on PM&amp;C Regulatory Burden Measurement Framework.</w:t>
      </w:r>
    </w:p>
    <w:p w14:paraId="7645D2FD" w14:textId="77777777" w:rsidR="00B20789" w:rsidRPr="002C3817" w:rsidRDefault="00B20789" w:rsidP="0012638D">
      <w:pPr>
        <w:spacing w:before="120" w:after="120" w:line="240" w:lineRule="auto"/>
      </w:pPr>
      <m:oMathPara>
        <m:oMath>
          <m:r>
            <w:rPr>
              <w:rFonts w:ascii="Cambria Math" w:hAnsi="Cambria Math"/>
            </w:rPr>
            <m:t>6496 ×-1×10×$37.00=-$2.4 million</m:t>
          </m:r>
        </m:oMath>
      </m:oMathPara>
    </w:p>
    <w:p w14:paraId="6FBC2E1E" w14:textId="3D849582" w:rsidR="00B20789" w:rsidRDefault="00B20789" w:rsidP="0012638D">
      <w:pPr>
        <w:pStyle w:val="ListParagraph"/>
        <w:numPr>
          <w:ilvl w:val="0"/>
          <w:numId w:val="24"/>
        </w:numPr>
        <w:spacing w:before="120" w:after="120" w:line="240" w:lineRule="auto"/>
      </w:pPr>
      <w:r w:rsidRPr="002C3817">
        <w:t xml:space="preserve">7.9%, or 1,738, (representing debts under $200) of the 16,000 outstanding formal reviews and 6,000 outstanding explanations of decisions would be finalised, as no debt would be </w:t>
      </w:r>
      <w:r w:rsidRPr="002C3817">
        <w:lastRenderedPageBreak/>
        <w:t>owed. This is estimated to save around 20 hours of engagement with Services Australia, reflecting the time required to apply for review, comply with</w:t>
      </w:r>
      <w:r w:rsidRPr="008B3A91">
        <w:t xml:space="preserve"> </w:t>
      </w:r>
      <w:r>
        <w:t xml:space="preserve">any requests for </w:t>
      </w:r>
      <w:r w:rsidRPr="008B3A91">
        <w:t>additional information, engage with the reviewing officer, and where necessary, prepare for and attend an ART hearing, and then understand the revised decision.</w:t>
      </w:r>
    </w:p>
    <w:p w14:paraId="214218A1" w14:textId="6371B71C" w:rsidR="00B20789" w:rsidRPr="004C7A31" w:rsidRDefault="00B20789" w:rsidP="0012638D">
      <w:pPr>
        <w:spacing w:before="120" w:after="120" w:line="240" w:lineRule="auto"/>
      </w:pPr>
      <m:oMathPara>
        <m:oMathParaPr>
          <m:jc m:val="center"/>
        </m:oMathParaPr>
        <m:oMath>
          <m:r>
            <w:rPr>
              <w:rFonts w:ascii="Cambria Math" w:hAnsi="Cambria Math"/>
            </w:rPr>
            <m:t>1738×-1×20×$37.00=-$1.29 million</m:t>
          </m:r>
        </m:oMath>
      </m:oMathPara>
    </w:p>
    <w:p w14:paraId="7FB7A955" w14:textId="77777777" w:rsidR="00B20789" w:rsidRDefault="00B20789" w:rsidP="0012638D">
      <w:pPr>
        <w:pStyle w:val="ListParagraph"/>
        <w:numPr>
          <w:ilvl w:val="0"/>
          <w:numId w:val="24"/>
        </w:numPr>
        <w:spacing w:before="120" w:after="120" w:line="240" w:lineRule="auto"/>
      </w:pPr>
      <w:r>
        <w:t xml:space="preserve">An estimated 8,222 people (10% of people affected by income </w:t>
      </w:r>
      <w:r w:rsidRPr="000708A6">
        <w:t>apportionment</w:t>
      </w:r>
      <w:r>
        <w:t xml:space="preserve"> pauses</w:t>
      </w:r>
      <w:r w:rsidRPr="000708A6">
        <w:t>)</w:t>
      </w:r>
      <w:r>
        <w:t xml:space="preserve"> would need to engage with Services Australia to update their payment details. We estimate this would take around half an hour to do. </w:t>
      </w:r>
    </w:p>
    <w:p w14:paraId="43E821B5" w14:textId="77777777" w:rsidR="00B20789" w:rsidRPr="004C7A31" w:rsidRDefault="00B20789" w:rsidP="0012638D">
      <w:pPr>
        <w:spacing w:before="120" w:after="120" w:line="240" w:lineRule="auto"/>
      </w:pPr>
      <m:oMathPara>
        <m:oMathParaPr>
          <m:jc m:val="center"/>
        </m:oMathParaPr>
        <m:oMath>
          <m:r>
            <w:rPr>
              <w:rFonts w:ascii="Cambria Math" w:hAnsi="Cambria Math"/>
            </w:rPr>
            <m:t>8,222 ×0.5 ×$37.00 =$152,107</m:t>
          </m:r>
        </m:oMath>
      </m:oMathPara>
    </w:p>
    <w:p w14:paraId="3B61F219" w14:textId="77777777" w:rsidR="00B20789" w:rsidRDefault="00B20789" w:rsidP="0012638D">
      <w:pPr>
        <w:pStyle w:val="ListParagraph"/>
        <w:numPr>
          <w:ilvl w:val="0"/>
          <w:numId w:val="24"/>
        </w:numPr>
        <w:spacing w:before="120" w:after="120" w:line="240" w:lineRule="auto"/>
      </w:pPr>
      <w:r>
        <w:t>Total regulatory impact</w:t>
      </w:r>
    </w:p>
    <w:p w14:paraId="37917EA7" w14:textId="05C187AA" w:rsidR="00B20789" w:rsidRPr="007C3032" w:rsidRDefault="00B20789" w:rsidP="0012638D">
      <w:pPr>
        <w:pStyle w:val="ListParagraph"/>
        <w:numPr>
          <w:ilvl w:val="1"/>
          <w:numId w:val="24"/>
        </w:numPr>
        <w:spacing w:before="120" w:after="120" w:line="240" w:lineRule="auto"/>
      </w:pPr>
      <w:r>
        <w:t xml:space="preserve">= </w:t>
      </w:r>
      <w:r w:rsidRPr="00745DD0">
        <w:t>$</w:t>
      </w:r>
      <w:r>
        <w:t>0.15 million – (</w:t>
      </w:r>
      <w:r w:rsidRPr="00745DD0">
        <w:t>$</w:t>
      </w:r>
      <w:r>
        <w:t>2.4</w:t>
      </w:r>
      <w:r w:rsidR="007F4ABA">
        <w:t xml:space="preserve"> </w:t>
      </w:r>
      <w:r>
        <w:t>million +</w:t>
      </w:r>
      <w:r w:rsidRPr="00745DD0">
        <w:t>$</w:t>
      </w:r>
      <w:r>
        <w:t>1.29 million)</w:t>
      </w:r>
    </w:p>
    <w:p w14:paraId="63B490C7" w14:textId="5EE73632" w:rsidR="00B20789" w:rsidRPr="00745DD0" w:rsidRDefault="00B20789" w:rsidP="0012638D">
      <w:pPr>
        <w:pStyle w:val="ListParagraph"/>
        <w:numPr>
          <w:ilvl w:val="1"/>
          <w:numId w:val="24"/>
        </w:numPr>
        <w:spacing w:before="120" w:after="120" w:line="240" w:lineRule="auto"/>
        <w:rPr>
          <w:b/>
          <w:bCs/>
        </w:rPr>
      </w:pPr>
      <w:r>
        <w:t xml:space="preserve">= </w:t>
      </w:r>
      <w:r w:rsidRPr="00745DD0">
        <w:rPr>
          <w:b/>
          <w:bCs/>
        </w:rPr>
        <w:t>-$</w:t>
      </w:r>
      <w:r>
        <w:rPr>
          <w:b/>
          <w:bCs/>
        </w:rPr>
        <w:t>3.54 million</w:t>
      </w:r>
    </w:p>
    <w:p w14:paraId="3254B060" w14:textId="391214A1" w:rsidR="00747232" w:rsidRDefault="00B20789" w:rsidP="0012638D">
      <w:pPr>
        <w:pStyle w:val="ListParagraph"/>
        <w:numPr>
          <w:ilvl w:val="1"/>
          <w:numId w:val="24"/>
        </w:numPr>
        <w:spacing w:before="120" w:after="120" w:line="240" w:lineRule="auto"/>
      </w:pPr>
      <w:r>
        <w:t>Negative figure</w:t>
      </w:r>
      <w:r w:rsidR="008108BE">
        <w:t>s</w:t>
      </w:r>
      <w:r>
        <w:t xml:space="preserve"> represent</w:t>
      </w:r>
      <w:r w:rsidR="000F6E8E">
        <w:t xml:space="preserve"> </w:t>
      </w:r>
      <w:r>
        <w:t>overall regulatory saving</w:t>
      </w:r>
      <w:r w:rsidR="000F6E8E">
        <w:t>s</w:t>
      </w:r>
      <w:r>
        <w:t xml:space="preserve"> for individuals. </w:t>
      </w:r>
      <w:r w:rsidR="00747232">
        <w:t xml:space="preserve">A component of the regulatory burden estimate will occur over 10 years, while other components will be in the first year only. </w:t>
      </w:r>
    </w:p>
    <w:p w14:paraId="037D3157" w14:textId="77777777" w:rsidR="00B20789" w:rsidRDefault="00B20789" w:rsidP="0012638D">
      <w:pPr>
        <w:spacing w:before="120" w:after="120" w:line="240" w:lineRule="auto"/>
        <w:rPr>
          <w:b/>
          <w:bCs/>
        </w:rPr>
      </w:pPr>
      <w:r>
        <w:rPr>
          <w:b/>
          <w:bCs/>
        </w:rPr>
        <w:t>For community organisations</w:t>
      </w:r>
    </w:p>
    <w:p w14:paraId="74DA93D2" w14:textId="0E685438" w:rsidR="00B20789" w:rsidRDefault="0D723B93" w:rsidP="0012638D">
      <w:pPr>
        <w:pStyle w:val="ListParagraph"/>
        <w:numPr>
          <w:ilvl w:val="0"/>
          <w:numId w:val="25"/>
        </w:numPr>
        <w:spacing w:before="120" w:after="120" w:line="240" w:lineRule="auto"/>
      </w:pPr>
      <w:r>
        <w:t xml:space="preserve">Some community organisations provide support to those undertaking reviews and appeals </w:t>
      </w:r>
      <w:r w:rsidRPr="0060413B">
        <w:t>at Services Australia. If income apportionment-related debts are waived, this support is no longer needed</w:t>
      </w:r>
      <w:r w:rsidR="3EBFCF4F" w:rsidRPr="0060413B">
        <w:t xml:space="preserve">. This would be </w:t>
      </w:r>
      <w:r w:rsidR="06A1E4A5" w:rsidRPr="0060413B">
        <w:t>an estimated</w:t>
      </w:r>
      <w:r w:rsidR="3EBFCF4F" w:rsidRPr="0060413B">
        <w:t xml:space="preserve"> 1738</w:t>
      </w:r>
      <w:r w:rsidR="000F6E8E">
        <w:t xml:space="preserve"> </w:t>
      </w:r>
      <w:r w:rsidR="3EBFCF4F" w:rsidRPr="0060413B">
        <w:t xml:space="preserve">debts, based on 7.9% of the 22,000 paused reviews and explanations of </w:t>
      </w:r>
      <w:r w:rsidR="4A908B7F" w:rsidRPr="0060413B">
        <w:t>decision</w:t>
      </w:r>
      <w:r w:rsidR="3EBFCF4F" w:rsidRPr="0060413B">
        <w:t xml:space="preserve"> being under $200</w:t>
      </w:r>
      <w:r w:rsidR="3F8D0757" w:rsidRPr="0060413B">
        <w:t>.</w:t>
      </w:r>
      <w:r w:rsidRPr="0060413B">
        <w:t xml:space="preserve"> </w:t>
      </w:r>
      <w:r w:rsidR="3C77D58D" w:rsidRPr="0060413B">
        <w:t>Consistent with our approach for other options, we</w:t>
      </w:r>
      <w:r w:rsidRPr="0060413B">
        <w:t xml:space="preserve"> have assumed 5% of the appeals related to income</w:t>
      </w:r>
      <w:r>
        <w:t xml:space="preserve"> apportionment would involve community organisation support, and that the organisation would spend around 4 hours (in total) on that person’s case. This would cost $85.17 per hour based on PM&amp;C Regulatory Burden Measurement Framework.</w:t>
      </w:r>
    </w:p>
    <w:p w14:paraId="0065C87E" w14:textId="5B54BD4D" w:rsidR="00B20789" w:rsidRPr="00020402" w:rsidRDefault="00B20789" w:rsidP="0012638D">
      <w:pPr>
        <w:spacing w:before="120" w:after="120" w:line="240" w:lineRule="auto"/>
      </w:pPr>
      <m:oMathPara>
        <m:oMathParaPr>
          <m:jc m:val="center"/>
        </m:oMathParaPr>
        <m:oMath>
          <m:r>
            <w:rPr>
              <w:rFonts w:ascii="Cambria Math" w:hAnsi="Cambria Math"/>
            </w:rPr>
            <m:t>1738×0.05 ×4×$85.17=-$29,605</m:t>
          </m:r>
        </m:oMath>
      </m:oMathPara>
    </w:p>
    <w:p w14:paraId="3AF9A126" w14:textId="77777777" w:rsidR="00720620" w:rsidRDefault="00720620" w:rsidP="0012638D">
      <w:pPr>
        <w:spacing w:line="240" w:lineRule="auto"/>
        <w:ind w:left="360"/>
      </w:pPr>
    </w:p>
    <w:p w14:paraId="5262105F" w14:textId="2B37FA65" w:rsidR="00B20789" w:rsidRPr="00184AB2" w:rsidRDefault="00134C73" w:rsidP="0012638D">
      <w:pPr>
        <w:spacing w:line="240" w:lineRule="auto"/>
        <w:ind w:left="360"/>
      </w:pPr>
      <w:r>
        <w:t>In total, t</w:t>
      </w:r>
      <w:r w:rsidR="00B20789" w:rsidRPr="00D93763">
        <w:t xml:space="preserve">his results in a total regulatory </w:t>
      </w:r>
      <w:r w:rsidR="00697C1C">
        <w:t>save</w:t>
      </w:r>
      <w:r w:rsidR="00697C1C" w:rsidRPr="00D93763">
        <w:t xml:space="preserve"> </w:t>
      </w:r>
      <w:r w:rsidR="00B20789" w:rsidRPr="00D93763">
        <w:t>of $-3.57 million over 10 years</w:t>
      </w:r>
      <w:r w:rsidR="00720620">
        <w:t xml:space="preserve">. </w:t>
      </w:r>
      <w:r w:rsidR="00ED7FA5">
        <w:t xml:space="preserve">Averaged annual costs </w:t>
      </w:r>
      <w:r w:rsidR="00940661">
        <w:t xml:space="preserve">over 10 years </w:t>
      </w:r>
      <w:r w:rsidR="00ED7FA5">
        <w:t>are provided below.</w:t>
      </w:r>
    </w:p>
    <w:tbl>
      <w:tblPr>
        <w:tblW w:w="0" w:type="auto"/>
        <w:tblLook w:val="0660" w:firstRow="1" w:lastRow="1" w:firstColumn="0" w:lastColumn="0" w:noHBand="1" w:noVBand="1"/>
      </w:tblPr>
      <w:tblGrid>
        <w:gridCol w:w="2555"/>
        <w:gridCol w:w="1254"/>
        <w:gridCol w:w="1417"/>
        <w:gridCol w:w="2435"/>
        <w:gridCol w:w="1659"/>
      </w:tblGrid>
      <w:tr w:rsidR="00B20789" w:rsidRPr="00607D45" w14:paraId="7E711773" w14:textId="77777777">
        <w:trPr>
          <w:trHeight w:val="350"/>
          <w:tblHeader/>
        </w:trPr>
        <w:tc>
          <w:tcPr>
            <w:tcW w:w="9319" w:type="dxa"/>
            <w:gridSpan w:val="5"/>
            <w:tcBorders>
              <w:top w:val="single" w:sz="4" w:space="0" w:color="1C2B39" w:themeColor="accent1"/>
              <w:left w:val="nil"/>
              <w:bottom w:val="single" w:sz="4" w:space="0" w:color="1C2B39" w:themeColor="accent1"/>
              <w:right w:val="nil"/>
            </w:tcBorders>
            <w:hideMark/>
          </w:tcPr>
          <w:p w14:paraId="171AE933" w14:textId="77777777" w:rsidR="00B20789" w:rsidRPr="00607D45" w:rsidRDefault="00B20789" w:rsidP="0012638D">
            <w:pPr>
              <w:pStyle w:val="CAB-NumberedParagraph"/>
              <w:rPr>
                <w:rFonts w:asciiTheme="minorHAnsi" w:hAnsiTheme="minorHAnsi"/>
                <w:b/>
              </w:rPr>
            </w:pPr>
            <w:r w:rsidRPr="00607D45">
              <w:rPr>
                <w:rFonts w:asciiTheme="minorHAnsi" w:hAnsiTheme="minorHAnsi"/>
                <w:b/>
              </w:rPr>
              <w:t>Average annual regulatory costs (over 10 years)</w:t>
            </w:r>
          </w:p>
        </w:tc>
      </w:tr>
      <w:tr w:rsidR="00B20789" w:rsidRPr="00607D45" w14:paraId="701C38B6" w14:textId="77777777">
        <w:trPr>
          <w:trHeight w:val="350"/>
        </w:trPr>
        <w:tc>
          <w:tcPr>
            <w:tcW w:w="2555" w:type="dxa"/>
            <w:tcBorders>
              <w:top w:val="single" w:sz="4" w:space="0" w:color="1C2B39" w:themeColor="accent1"/>
              <w:left w:val="nil"/>
              <w:bottom w:val="single" w:sz="4" w:space="0" w:color="1C2B39" w:themeColor="accent1"/>
              <w:right w:val="nil"/>
            </w:tcBorders>
            <w:hideMark/>
          </w:tcPr>
          <w:p w14:paraId="539D9362" w14:textId="77777777" w:rsidR="00B20789" w:rsidRPr="00607D45" w:rsidRDefault="00B20789" w:rsidP="0012638D">
            <w:pPr>
              <w:pStyle w:val="CAB-NumberedParagraph"/>
              <w:rPr>
                <w:rFonts w:asciiTheme="minorHAnsi" w:hAnsiTheme="minorHAnsi"/>
              </w:rPr>
            </w:pPr>
            <w:r w:rsidRPr="00607D45">
              <w:rPr>
                <w:rFonts w:asciiTheme="minorHAnsi" w:hAnsiTheme="minorHAnsi"/>
              </w:rPr>
              <w:t>Change in costs ($ million)</w:t>
            </w:r>
          </w:p>
        </w:tc>
        <w:tc>
          <w:tcPr>
            <w:tcW w:w="1254" w:type="dxa"/>
            <w:tcBorders>
              <w:top w:val="single" w:sz="4" w:space="0" w:color="1C2B39" w:themeColor="accent1"/>
              <w:left w:val="nil"/>
              <w:bottom w:val="single" w:sz="4" w:space="0" w:color="1C2B39" w:themeColor="accent1"/>
              <w:right w:val="nil"/>
            </w:tcBorders>
            <w:hideMark/>
          </w:tcPr>
          <w:p w14:paraId="5F2BF323" w14:textId="77777777" w:rsidR="00B20789" w:rsidRPr="00607D45" w:rsidRDefault="00B20789" w:rsidP="0012638D">
            <w:pPr>
              <w:pStyle w:val="CAB-NumberedParagraph"/>
              <w:rPr>
                <w:rFonts w:asciiTheme="minorHAnsi" w:hAnsiTheme="minorHAnsi"/>
              </w:rPr>
            </w:pPr>
            <w:r w:rsidRPr="00607D45">
              <w:rPr>
                <w:rFonts w:asciiTheme="minorHAnsi" w:hAnsiTheme="minorHAnsi"/>
              </w:rPr>
              <w:t>Individuals</w:t>
            </w:r>
          </w:p>
        </w:tc>
        <w:tc>
          <w:tcPr>
            <w:tcW w:w="1417" w:type="dxa"/>
            <w:tcBorders>
              <w:top w:val="single" w:sz="4" w:space="0" w:color="1C2B39" w:themeColor="accent1"/>
              <w:left w:val="nil"/>
              <w:bottom w:val="single" w:sz="4" w:space="0" w:color="1C2B39" w:themeColor="accent1"/>
              <w:right w:val="nil"/>
            </w:tcBorders>
            <w:hideMark/>
          </w:tcPr>
          <w:p w14:paraId="341B6C11" w14:textId="77777777" w:rsidR="00B20789" w:rsidRPr="00607D45" w:rsidRDefault="00B20789" w:rsidP="0012638D">
            <w:pPr>
              <w:pStyle w:val="CAB-NumberedParagraph"/>
              <w:rPr>
                <w:rFonts w:asciiTheme="minorHAnsi" w:hAnsiTheme="minorHAnsi"/>
              </w:rPr>
            </w:pPr>
            <w:r w:rsidRPr="00607D45">
              <w:rPr>
                <w:rFonts w:asciiTheme="minorHAnsi" w:hAnsiTheme="minorHAnsi"/>
              </w:rPr>
              <w:t xml:space="preserve">Business </w:t>
            </w:r>
          </w:p>
        </w:tc>
        <w:tc>
          <w:tcPr>
            <w:tcW w:w="2435" w:type="dxa"/>
            <w:tcBorders>
              <w:top w:val="single" w:sz="4" w:space="0" w:color="1C2B39" w:themeColor="accent1"/>
              <w:left w:val="nil"/>
              <w:bottom w:val="single" w:sz="4" w:space="0" w:color="1C2B39" w:themeColor="accent1"/>
              <w:right w:val="nil"/>
            </w:tcBorders>
            <w:hideMark/>
          </w:tcPr>
          <w:p w14:paraId="1B0DA6AA" w14:textId="77777777" w:rsidR="00B20789" w:rsidRPr="00607D45" w:rsidRDefault="00B20789" w:rsidP="0012638D">
            <w:pPr>
              <w:pStyle w:val="CAB-NumberedParagraph"/>
              <w:rPr>
                <w:rFonts w:asciiTheme="minorHAnsi" w:hAnsiTheme="minorHAnsi"/>
              </w:rPr>
            </w:pPr>
            <w:r w:rsidRPr="00607D45">
              <w:rPr>
                <w:rFonts w:asciiTheme="minorHAnsi" w:hAnsiTheme="minorHAnsi"/>
              </w:rPr>
              <w:t>Community</w:t>
            </w:r>
          </w:p>
          <w:p w14:paraId="75BF7D1B" w14:textId="77777777" w:rsidR="00B20789" w:rsidRPr="00607D45" w:rsidRDefault="00B20789" w:rsidP="0012638D">
            <w:pPr>
              <w:pStyle w:val="CAB-NumberedParagraph"/>
              <w:rPr>
                <w:rFonts w:asciiTheme="minorHAnsi" w:hAnsiTheme="minorHAnsi"/>
              </w:rPr>
            </w:pPr>
            <w:r w:rsidRPr="00607D45">
              <w:rPr>
                <w:rFonts w:asciiTheme="minorHAnsi" w:hAnsiTheme="minorHAnsi"/>
              </w:rPr>
              <w:t>organisations</w:t>
            </w:r>
          </w:p>
        </w:tc>
        <w:tc>
          <w:tcPr>
            <w:tcW w:w="1658" w:type="dxa"/>
            <w:tcBorders>
              <w:top w:val="single" w:sz="4" w:space="0" w:color="1C2B39" w:themeColor="accent1"/>
              <w:left w:val="nil"/>
              <w:bottom w:val="single" w:sz="4" w:space="0" w:color="1C2B39" w:themeColor="accent1"/>
              <w:right w:val="nil"/>
            </w:tcBorders>
            <w:hideMark/>
          </w:tcPr>
          <w:p w14:paraId="4E2F5B3C" w14:textId="77777777" w:rsidR="00B20789" w:rsidRPr="00607D45" w:rsidRDefault="00B20789" w:rsidP="0012638D">
            <w:pPr>
              <w:pStyle w:val="CAB-NumberedParagraph"/>
              <w:rPr>
                <w:rFonts w:asciiTheme="minorHAnsi" w:hAnsiTheme="minorHAnsi"/>
              </w:rPr>
            </w:pPr>
            <w:r w:rsidRPr="00607D45">
              <w:rPr>
                <w:rFonts w:asciiTheme="minorHAnsi" w:hAnsiTheme="minorHAnsi"/>
              </w:rPr>
              <w:t>Total change</w:t>
            </w:r>
          </w:p>
          <w:p w14:paraId="09CBF254" w14:textId="77777777" w:rsidR="00B20789" w:rsidRPr="00607D45" w:rsidRDefault="00B20789" w:rsidP="0012638D">
            <w:pPr>
              <w:pStyle w:val="CAB-NumberedParagraph"/>
              <w:rPr>
                <w:rFonts w:asciiTheme="minorHAnsi" w:hAnsiTheme="minorHAnsi"/>
              </w:rPr>
            </w:pPr>
            <w:r w:rsidRPr="00607D45">
              <w:rPr>
                <w:rFonts w:asciiTheme="minorHAnsi" w:hAnsiTheme="minorHAnsi"/>
              </w:rPr>
              <w:t>in cost</w:t>
            </w:r>
          </w:p>
        </w:tc>
      </w:tr>
      <w:tr w:rsidR="00B20789" w:rsidRPr="00607D45" w14:paraId="44849D26" w14:textId="77777777">
        <w:trPr>
          <w:trHeight w:val="350"/>
        </w:trPr>
        <w:tc>
          <w:tcPr>
            <w:tcW w:w="2555" w:type="dxa"/>
            <w:tcBorders>
              <w:top w:val="single" w:sz="4" w:space="0" w:color="1C2B39" w:themeColor="accent1"/>
              <w:left w:val="nil"/>
              <w:bottom w:val="single" w:sz="12" w:space="0" w:color="1C2B39" w:themeColor="accent1"/>
              <w:right w:val="nil"/>
            </w:tcBorders>
            <w:hideMark/>
          </w:tcPr>
          <w:p w14:paraId="05B880CD" w14:textId="77777777" w:rsidR="00B20789" w:rsidRPr="00607D45" w:rsidRDefault="00B20789" w:rsidP="0012638D">
            <w:pPr>
              <w:pStyle w:val="CAB-NumberedParagraph"/>
              <w:rPr>
                <w:rFonts w:asciiTheme="minorHAnsi" w:hAnsiTheme="minorHAnsi"/>
              </w:rPr>
            </w:pPr>
            <w:r w:rsidRPr="00607D45">
              <w:rPr>
                <w:rFonts w:asciiTheme="minorHAnsi" w:hAnsiTheme="minorHAnsi"/>
              </w:rPr>
              <w:t>Total, by sector</w:t>
            </w:r>
          </w:p>
        </w:tc>
        <w:tc>
          <w:tcPr>
            <w:tcW w:w="1254" w:type="dxa"/>
            <w:tcBorders>
              <w:top w:val="single" w:sz="4" w:space="0" w:color="1C2B39" w:themeColor="accent1"/>
              <w:left w:val="nil"/>
              <w:bottom w:val="single" w:sz="12" w:space="0" w:color="1C2B39" w:themeColor="accent1"/>
              <w:right w:val="nil"/>
            </w:tcBorders>
            <w:hideMark/>
          </w:tcPr>
          <w:p w14:paraId="1231F47E" w14:textId="36AF854E" w:rsidR="00B20789" w:rsidRPr="00607D45" w:rsidRDefault="00B20789" w:rsidP="0012638D">
            <w:pPr>
              <w:pStyle w:val="CAB-NumberedParagraph"/>
              <w:rPr>
                <w:rFonts w:asciiTheme="minorHAnsi" w:hAnsiTheme="minorHAnsi"/>
              </w:rPr>
            </w:pPr>
            <w:r w:rsidRPr="00607D45">
              <w:rPr>
                <w:rFonts w:asciiTheme="minorHAnsi" w:hAnsiTheme="minorHAnsi"/>
              </w:rPr>
              <w:t>($0.35)</w:t>
            </w:r>
          </w:p>
        </w:tc>
        <w:tc>
          <w:tcPr>
            <w:tcW w:w="1417" w:type="dxa"/>
            <w:tcBorders>
              <w:top w:val="single" w:sz="4" w:space="0" w:color="1C2B39" w:themeColor="accent1"/>
              <w:left w:val="nil"/>
              <w:bottom w:val="single" w:sz="12" w:space="0" w:color="1C2B39" w:themeColor="accent1"/>
              <w:right w:val="nil"/>
            </w:tcBorders>
            <w:hideMark/>
          </w:tcPr>
          <w:p w14:paraId="217D4C35" w14:textId="77777777" w:rsidR="00B20789" w:rsidRPr="00607D45" w:rsidRDefault="00B20789" w:rsidP="0012638D">
            <w:pPr>
              <w:pStyle w:val="CAB-NumberedParagraph"/>
              <w:rPr>
                <w:rFonts w:asciiTheme="minorHAnsi" w:hAnsiTheme="minorHAnsi"/>
              </w:rPr>
            </w:pPr>
            <w:r w:rsidRPr="00607D45">
              <w:rPr>
                <w:rFonts w:asciiTheme="minorHAnsi" w:hAnsiTheme="minorHAnsi"/>
              </w:rPr>
              <w:t>-</w:t>
            </w:r>
          </w:p>
        </w:tc>
        <w:tc>
          <w:tcPr>
            <w:tcW w:w="2435" w:type="dxa"/>
            <w:tcBorders>
              <w:top w:val="single" w:sz="4" w:space="0" w:color="1C2B39" w:themeColor="accent1"/>
              <w:left w:val="nil"/>
              <w:bottom w:val="single" w:sz="12" w:space="0" w:color="1C2B39" w:themeColor="accent1"/>
              <w:right w:val="nil"/>
            </w:tcBorders>
            <w:hideMark/>
          </w:tcPr>
          <w:p w14:paraId="5EE15D33" w14:textId="07E87CE1" w:rsidR="00B20789" w:rsidRPr="00607D45" w:rsidRDefault="00B20789" w:rsidP="0012638D">
            <w:pPr>
              <w:pStyle w:val="CAB-NumberedParagraph"/>
              <w:rPr>
                <w:rFonts w:asciiTheme="minorHAnsi" w:hAnsiTheme="minorHAnsi"/>
              </w:rPr>
            </w:pPr>
            <w:r w:rsidRPr="00607D45">
              <w:rPr>
                <w:rFonts w:asciiTheme="minorHAnsi" w:hAnsiTheme="minorHAnsi"/>
              </w:rPr>
              <w:t>(</w:t>
            </w:r>
            <w:r w:rsidR="00B31DEA" w:rsidRPr="00607D45">
              <w:rPr>
                <w:rFonts w:asciiTheme="minorHAnsi" w:hAnsiTheme="minorHAnsi"/>
              </w:rPr>
              <w:t>&gt;</w:t>
            </w:r>
            <w:r w:rsidRPr="00607D45">
              <w:rPr>
                <w:rFonts w:asciiTheme="minorHAnsi" w:hAnsiTheme="minorHAnsi"/>
              </w:rPr>
              <w:t>$0.0</w:t>
            </w:r>
            <w:r w:rsidR="00B31DEA" w:rsidRPr="00607D45">
              <w:rPr>
                <w:rFonts w:asciiTheme="minorHAnsi" w:hAnsiTheme="minorHAnsi"/>
              </w:rPr>
              <w:t>1</w:t>
            </w:r>
            <w:r w:rsidRPr="00607D45">
              <w:rPr>
                <w:rFonts w:asciiTheme="minorHAnsi" w:hAnsiTheme="minorHAnsi"/>
              </w:rPr>
              <w:t>)</w:t>
            </w:r>
          </w:p>
        </w:tc>
        <w:tc>
          <w:tcPr>
            <w:tcW w:w="1659" w:type="dxa"/>
            <w:tcBorders>
              <w:top w:val="single" w:sz="4" w:space="0" w:color="1C2B39" w:themeColor="accent1"/>
              <w:left w:val="nil"/>
              <w:bottom w:val="single" w:sz="12" w:space="0" w:color="1C2B39" w:themeColor="accent1"/>
              <w:right w:val="nil"/>
            </w:tcBorders>
            <w:hideMark/>
          </w:tcPr>
          <w:p w14:paraId="06C16677" w14:textId="45FCFC96" w:rsidR="00B20789" w:rsidRPr="00607D45" w:rsidRDefault="00B20789" w:rsidP="0012638D">
            <w:pPr>
              <w:pStyle w:val="CAB-NumberedParagraph"/>
              <w:jc w:val="center"/>
              <w:rPr>
                <w:rFonts w:asciiTheme="minorHAnsi" w:hAnsiTheme="minorHAnsi"/>
              </w:rPr>
            </w:pPr>
            <w:r w:rsidRPr="00607D45">
              <w:rPr>
                <w:rFonts w:asciiTheme="minorHAnsi" w:hAnsiTheme="minorHAnsi"/>
              </w:rPr>
              <w:t>($0.3</w:t>
            </w:r>
            <w:r w:rsidRPr="00607D45" w:rsidDel="000838C1">
              <w:rPr>
                <w:rFonts w:asciiTheme="minorHAnsi" w:hAnsiTheme="minorHAnsi"/>
              </w:rPr>
              <w:t>6</w:t>
            </w:r>
            <w:r w:rsidR="000838C1" w:rsidRPr="00607D45">
              <w:rPr>
                <w:rFonts w:asciiTheme="minorHAnsi" w:hAnsiTheme="minorHAnsi"/>
              </w:rPr>
              <w:t>)</w:t>
            </w:r>
          </w:p>
        </w:tc>
      </w:tr>
    </w:tbl>
    <w:p w14:paraId="410C9D43" w14:textId="77777777" w:rsidR="00F57580" w:rsidRDefault="00F57580">
      <w:pPr>
        <w:spacing w:after="200" w:line="288" w:lineRule="auto"/>
        <w:rPr>
          <w:rFonts w:asciiTheme="majorHAnsi" w:eastAsiaTheme="majorEastAsia" w:hAnsiTheme="majorHAnsi" w:cstheme="majorBidi"/>
          <w:color w:val="1C2B39" w:themeColor="accent1"/>
          <w:sz w:val="36"/>
          <w:szCs w:val="28"/>
        </w:rPr>
      </w:pPr>
      <w:bookmarkStart w:id="47" w:name="_Toc204152074"/>
      <w:r>
        <w:br w:type="page"/>
      </w:r>
    </w:p>
    <w:p w14:paraId="4C5E8533" w14:textId="7C256124" w:rsidR="00B20789" w:rsidRDefault="00B20789" w:rsidP="0012638D">
      <w:pPr>
        <w:pStyle w:val="Heading2"/>
      </w:pPr>
      <w:bookmarkStart w:id="48" w:name="_Toc207097817"/>
      <w:r>
        <w:lastRenderedPageBreak/>
        <w:t>4</w:t>
      </w:r>
      <w:r w:rsidRPr="00E23B88">
        <w:rPr>
          <w:lang w:val="en-US"/>
        </w:rPr>
        <w:t>.6</w:t>
      </w:r>
      <w:r w:rsidR="00E23B88">
        <w:rPr>
          <w:lang w:val="en-US"/>
        </w:rPr>
        <w:t xml:space="preserve"> </w:t>
      </w:r>
      <w:r w:rsidR="00E20B67" w:rsidRPr="00E23B88">
        <w:rPr>
          <w:lang w:val="en-US"/>
        </w:rPr>
        <w:t>Retrospective</w:t>
      </w:r>
      <w:r w:rsidR="00E20B67">
        <w:t xml:space="preserve"> validation and a </w:t>
      </w:r>
      <w:r>
        <w:t>re</w:t>
      </w:r>
      <w:r w:rsidR="00135693">
        <w:t>solution</w:t>
      </w:r>
      <w:r>
        <w:t xml:space="preserve"> </w:t>
      </w:r>
      <w:r w:rsidRPr="00D91D1E">
        <w:t>scheme</w:t>
      </w:r>
      <w:bookmarkEnd w:id="48"/>
      <w:r w:rsidRPr="00D91D1E">
        <w:t xml:space="preserve"> </w:t>
      </w:r>
      <w:bookmarkEnd w:id="47"/>
    </w:p>
    <w:p w14:paraId="54D99DC2" w14:textId="1430A1B5" w:rsidR="00EE1C2D" w:rsidRDefault="00EE1C2D" w:rsidP="0012638D">
      <w:pPr>
        <w:spacing w:line="240" w:lineRule="auto"/>
      </w:pPr>
      <w:r>
        <w:t>These impacts are in addition to those identified under the retrospective validation only option.</w:t>
      </w:r>
    </w:p>
    <w:p w14:paraId="6128E086" w14:textId="178E9AE9" w:rsidR="00B20789" w:rsidRPr="00370C1E" w:rsidRDefault="00B20789" w:rsidP="0012638D">
      <w:pPr>
        <w:pStyle w:val="Heading3"/>
        <w:spacing w:line="240" w:lineRule="auto"/>
      </w:pPr>
      <w:r>
        <w:t>Lawfulness</w:t>
      </w:r>
    </w:p>
    <w:p w14:paraId="03909619" w14:textId="5BB0D025" w:rsidR="00B20789" w:rsidRPr="00D91D1E" w:rsidRDefault="00B20789" w:rsidP="0012638D">
      <w:pPr>
        <w:spacing w:line="240" w:lineRule="auto"/>
      </w:pPr>
      <w:r>
        <w:t>Along with retrospective validation, a re</w:t>
      </w:r>
      <w:r w:rsidR="00135693">
        <w:t>solution</w:t>
      </w:r>
      <w:r>
        <w:t xml:space="preserve"> scheme would </w:t>
      </w:r>
      <w:r w:rsidR="00280124">
        <w:t xml:space="preserve">involve </w:t>
      </w:r>
      <w:r>
        <w:t xml:space="preserve">legislation. </w:t>
      </w:r>
    </w:p>
    <w:p w14:paraId="5CDAE072" w14:textId="77777777" w:rsidR="00B20789" w:rsidRDefault="00B20789" w:rsidP="0012638D">
      <w:pPr>
        <w:pStyle w:val="Heading3"/>
        <w:spacing w:line="240" w:lineRule="auto"/>
      </w:pPr>
      <w:r>
        <w:t>Fairness</w:t>
      </w:r>
    </w:p>
    <w:p w14:paraId="52C41174" w14:textId="77777777" w:rsidR="00AB356B" w:rsidRDefault="00AB356B" w:rsidP="0012638D">
      <w:pPr>
        <w:pStyle w:val="Heading4"/>
        <w:spacing w:line="240" w:lineRule="auto"/>
        <w:rPr>
          <w:i/>
          <w:iCs/>
        </w:rPr>
      </w:pPr>
      <w:r w:rsidRPr="00370C1E">
        <w:rPr>
          <w:i/>
          <w:iCs/>
        </w:rPr>
        <w:t xml:space="preserve">For </w:t>
      </w:r>
      <w:r>
        <w:rPr>
          <w:i/>
          <w:iCs/>
        </w:rPr>
        <w:t>individuals</w:t>
      </w:r>
    </w:p>
    <w:p w14:paraId="46DE7412" w14:textId="0738C2ED" w:rsidR="00AB356B" w:rsidRDefault="00AB356B" w:rsidP="0012638D">
      <w:pPr>
        <w:spacing w:before="120" w:after="120" w:line="240" w:lineRule="auto"/>
      </w:pPr>
      <w:r>
        <w:t>A re</w:t>
      </w:r>
      <w:r w:rsidR="00135693">
        <w:t>solution</w:t>
      </w:r>
      <w:r>
        <w:t xml:space="preserve"> scheme is an equitable approach that would offer many individuals affected by income apportionment a convenient method to seek fair and reasonable </w:t>
      </w:r>
      <w:r w:rsidR="008C091A">
        <w:t xml:space="preserve">reparation </w:t>
      </w:r>
      <w:r>
        <w:t xml:space="preserve">from the Government. </w:t>
      </w:r>
    </w:p>
    <w:p w14:paraId="5F17A3B7" w14:textId="5C350EAF" w:rsidR="00AB356B" w:rsidRPr="001C1009" w:rsidRDefault="00AB356B" w:rsidP="0012638D">
      <w:pPr>
        <w:spacing w:before="120" w:after="120" w:line="240" w:lineRule="auto"/>
        <w:rPr>
          <w:b/>
          <w:bCs/>
        </w:rPr>
      </w:pPr>
      <w:r>
        <w:t>Unlike a partial debt waiver, a re</w:t>
      </w:r>
      <w:r w:rsidR="00135693">
        <w:t xml:space="preserve">solution </w:t>
      </w:r>
      <w:r>
        <w:t xml:space="preserve">scheme would provide a pathway for individuals with debts affected by income apportionment </w:t>
      </w:r>
      <w:r w:rsidR="00FB307C">
        <w:t>(</w:t>
      </w:r>
      <w:r>
        <w:t>back to 2003</w:t>
      </w:r>
      <w:r w:rsidR="00FB307C">
        <w:t>)</w:t>
      </w:r>
      <w:r>
        <w:t xml:space="preserve">, not just for those with </w:t>
      </w:r>
      <w:r w:rsidR="00697C1C">
        <w:t>paused</w:t>
      </w:r>
      <w:r w:rsidR="00E31A31">
        <w:t xml:space="preserve"> </w:t>
      </w:r>
      <w:r>
        <w:t>debts</w:t>
      </w:r>
      <w:r w:rsidR="002A2157">
        <w:t>.</w:t>
      </w:r>
    </w:p>
    <w:p w14:paraId="28F080C5" w14:textId="5217CD7D" w:rsidR="00AB356B" w:rsidRPr="00F57580" w:rsidRDefault="00AB356B" w:rsidP="0012638D">
      <w:pPr>
        <w:spacing w:before="120" w:after="120" w:line="240" w:lineRule="auto"/>
      </w:pPr>
      <w:r>
        <w:t xml:space="preserve">Such a scheme would be public acknowledgement </w:t>
      </w:r>
      <w:r w:rsidR="00697C1C">
        <w:t>that although income apportionment was a genuine misunderstanding of the law as it applied and based on evidence supplied by the individual such as payslips, it was nonetheless an error.</w:t>
      </w:r>
    </w:p>
    <w:p w14:paraId="2D88BE83" w14:textId="283F1C1A" w:rsidR="00AB356B" w:rsidRDefault="00AB356B" w:rsidP="0012638D">
      <w:pPr>
        <w:spacing w:before="120" w:after="120" w:line="240" w:lineRule="auto"/>
      </w:pPr>
      <w:r w:rsidRPr="00F57580">
        <w:t xml:space="preserve">Those eligible for the scheme would receive a </w:t>
      </w:r>
      <w:r w:rsidR="00F256EF" w:rsidRPr="00F57580">
        <w:t>resolution payment</w:t>
      </w:r>
      <w:r w:rsidR="008C091A" w:rsidRPr="00F57580">
        <w:t xml:space="preserve"> commensurate with </w:t>
      </w:r>
      <w:r w:rsidRPr="00F57580">
        <w:t>their debt amount.</w:t>
      </w:r>
      <w:r w:rsidRPr="00F57580" w:rsidDel="008C091A">
        <w:t xml:space="preserve"> </w:t>
      </w:r>
      <w:r w:rsidRPr="00F57580">
        <w:t>Th</w:t>
      </w:r>
      <w:r w:rsidR="00411624" w:rsidRPr="00F57580">
        <w:t>is will be</w:t>
      </w:r>
      <w:r w:rsidRPr="00F57580">
        <w:t xml:space="preserve"> based on the results from the Services Australia sampling exercise</w:t>
      </w:r>
      <w:r w:rsidR="00411624" w:rsidRPr="00F57580">
        <w:t>.</w:t>
      </w:r>
    </w:p>
    <w:p w14:paraId="72018339" w14:textId="0301876A" w:rsidR="00AB356B" w:rsidRDefault="00AB356B" w:rsidP="0012638D">
      <w:pPr>
        <w:pStyle w:val="CABNETParagraph"/>
        <w:rPr>
          <w:rFonts w:asciiTheme="minorHAnsi" w:hAnsiTheme="minorHAnsi"/>
        </w:rPr>
      </w:pPr>
      <w:r w:rsidRPr="00B37DDF">
        <w:rPr>
          <w:rFonts w:asciiTheme="minorHAnsi" w:hAnsiTheme="minorHAnsi"/>
        </w:rPr>
        <w:t xml:space="preserve">Based on available data, the </w:t>
      </w:r>
      <w:r w:rsidR="00F256EF">
        <w:rPr>
          <w:rFonts w:asciiTheme="minorHAnsi" w:hAnsiTheme="minorHAnsi"/>
        </w:rPr>
        <w:t>resolution payment</w:t>
      </w:r>
      <w:r w:rsidRPr="00B37DDF">
        <w:rPr>
          <w:rFonts w:asciiTheme="minorHAnsi" w:hAnsiTheme="minorHAnsi"/>
        </w:rPr>
        <w:t xml:space="preserve"> scale reflects that very small debts (i.e. those less than $200) are the most likely to significantly decrease due to income apportionment (in terms of % of total debt value). For larger debts, the more likely outcome is an increase in debt value or only a small reduction in debt. However, the </w:t>
      </w:r>
      <w:r w:rsidR="00F256EF">
        <w:rPr>
          <w:rFonts w:asciiTheme="minorHAnsi" w:hAnsiTheme="minorHAnsi"/>
        </w:rPr>
        <w:t>resolution payment</w:t>
      </w:r>
      <w:r w:rsidRPr="00B37DDF">
        <w:rPr>
          <w:rFonts w:asciiTheme="minorHAnsi" w:hAnsiTheme="minorHAnsi"/>
        </w:rPr>
        <w:t xml:space="preserve"> scale increases slightly as the debt value increases to reflect the slight trend that higher debt values have higher reductions in their debts, on average.</w:t>
      </w:r>
      <w:r>
        <w:rPr>
          <w:rFonts w:asciiTheme="minorHAnsi" w:hAnsiTheme="minorHAnsi"/>
        </w:rPr>
        <w:t xml:space="preserve"> The proposed </w:t>
      </w:r>
      <w:r w:rsidR="00F256EF">
        <w:rPr>
          <w:rFonts w:asciiTheme="minorHAnsi" w:hAnsiTheme="minorHAnsi"/>
        </w:rPr>
        <w:t>resolution payment</w:t>
      </w:r>
      <w:r w:rsidR="00001E0C">
        <w:rPr>
          <w:rFonts w:asciiTheme="minorHAnsi" w:hAnsiTheme="minorHAnsi"/>
        </w:rPr>
        <w:t xml:space="preserve"> amounts will be</w:t>
      </w:r>
      <w:r>
        <w:rPr>
          <w:rFonts w:asciiTheme="minorHAnsi" w:hAnsiTheme="minorHAnsi"/>
        </w:rPr>
        <w:t xml:space="preserve"> skewed in favour of individuals. </w:t>
      </w:r>
    </w:p>
    <w:p w14:paraId="3F142788" w14:textId="452A911B" w:rsidR="00AB356B" w:rsidRPr="00DA460A" w:rsidRDefault="00AB356B" w:rsidP="0012638D">
      <w:pPr>
        <w:spacing w:before="120" w:after="120" w:line="240" w:lineRule="auto"/>
      </w:pPr>
      <w:r w:rsidRPr="00DA460A">
        <w:t xml:space="preserve">Individuals who struggle to engage with Government may not participate in the </w:t>
      </w:r>
      <w:r>
        <w:t>re</w:t>
      </w:r>
      <w:r w:rsidR="00135693">
        <w:t>solution</w:t>
      </w:r>
      <w:r>
        <w:t xml:space="preserve"> scheme</w:t>
      </w:r>
      <w:r w:rsidRPr="00DA460A">
        <w:t xml:space="preserve">, even though it may leave them better off. To mitigate this risk, the </w:t>
      </w:r>
      <w:r w:rsidR="00135693">
        <w:t>resolution scheme</w:t>
      </w:r>
      <w:r w:rsidRPr="00DA460A">
        <w:t xml:space="preserve"> </w:t>
      </w:r>
      <w:r>
        <w:t>would</w:t>
      </w:r>
      <w:r w:rsidRPr="00DA460A">
        <w:t xml:space="preserve"> </w:t>
      </w:r>
      <w:r>
        <w:t xml:space="preserve">need to </w:t>
      </w:r>
      <w:r w:rsidRPr="00DA460A">
        <w:t>include measures to communicate with and assist potentially eligible people to make an informed choice.</w:t>
      </w:r>
      <w:r>
        <w:t xml:space="preserve"> </w:t>
      </w:r>
      <w:r w:rsidRPr="00EB5209">
        <w:t xml:space="preserve">This would involve updates to Services Australia’s communication channels (e.g. website), and engagement with peak bodies and stakeholders to make them aware of the </w:t>
      </w:r>
      <w:r>
        <w:t>scheme</w:t>
      </w:r>
      <w:r w:rsidRPr="00EB5209">
        <w:t xml:space="preserve">. </w:t>
      </w:r>
    </w:p>
    <w:p w14:paraId="033D4FC5" w14:textId="5F29C02B" w:rsidR="00AB356B" w:rsidRPr="007846E5" w:rsidRDefault="00AB356B" w:rsidP="0012638D">
      <w:pPr>
        <w:spacing w:line="240" w:lineRule="auto"/>
        <w:rPr>
          <w:i/>
          <w:iCs/>
          <w:u w:val="single"/>
        </w:rPr>
      </w:pPr>
      <w:r w:rsidRPr="00DA460A">
        <w:t xml:space="preserve">Some people with income apportionment affected debts will be ineligible for the </w:t>
      </w:r>
      <w:r w:rsidR="00135693">
        <w:rPr>
          <w:rFonts w:cs="Arial"/>
        </w:rPr>
        <w:t>resolution scheme</w:t>
      </w:r>
      <w:r w:rsidRPr="00B05FEB">
        <w:t>,</w:t>
      </w:r>
      <w:r w:rsidRPr="00DA460A">
        <w:t xml:space="preserve"> for reasons including: </w:t>
      </w:r>
    </w:p>
    <w:p w14:paraId="6229F75B" w14:textId="4EA64291" w:rsidR="00AB356B" w:rsidRPr="00DA460A" w:rsidRDefault="00AB356B" w:rsidP="0012638D">
      <w:pPr>
        <w:pStyle w:val="ListParagraph"/>
        <w:numPr>
          <w:ilvl w:val="0"/>
          <w:numId w:val="24"/>
        </w:numPr>
        <w:spacing w:before="120" w:after="120" w:line="240" w:lineRule="auto"/>
      </w:pPr>
      <w:proofErr w:type="gramStart"/>
      <w:r w:rsidRPr="00DA460A">
        <w:t>they</w:t>
      </w:r>
      <w:proofErr w:type="gramEnd"/>
      <w:r w:rsidRPr="00DA460A">
        <w:t xml:space="preserve"> are unable to obtain sufficient evidence required to support </w:t>
      </w:r>
      <w:r w:rsidR="004428ED">
        <w:t xml:space="preserve">an application to the scheme or </w:t>
      </w:r>
      <w:r w:rsidRPr="00DA460A">
        <w:t xml:space="preserve">the </w:t>
      </w:r>
      <w:r>
        <w:t>assessment</w:t>
      </w:r>
      <w:r w:rsidRPr="00DA460A">
        <w:t xml:space="preserve"> of </w:t>
      </w:r>
      <w:r>
        <w:t xml:space="preserve">the </w:t>
      </w:r>
      <w:r w:rsidRPr="00DA460A">
        <w:t>debt</w:t>
      </w:r>
      <w:r>
        <w:t xml:space="preserve"> (i.e. they do not have sufficient information to demonstrate they had a historical social security debt)</w:t>
      </w:r>
      <w:r w:rsidRPr="00DA460A">
        <w:t>.</w:t>
      </w:r>
    </w:p>
    <w:p w14:paraId="3AC08D01" w14:textId="1DEC2471" w:rsidR="00AB356B" w:rsidRPr="00DA460A" w:rsidRDefault="00AB356B" w:rsidP="0012638D">
      <w:pPr>
        <w:pStyle w:val="ListParagraph"/>
        <w:numPr>
          <w:ilvl w:val="0"/>
          <w:numId w:val="24"/>
        </w:numPr>
        <w:spacing w:before="120" w:after="120" w:line="240" w:lineRule="auto"/>
      </w:pPr>
      <w:proofErr w:type="gramStart"/>
      <w:r w:rsidRPr="00DA460A">
        <w:t>they</w:t>
      </w:r>
      <w:proofErr w:type="gramEnd"/>
      <w:r w:rsidRPr="00DA460A">
        <w:t xml:space="preserve"> are unable to apply before the </w:t>
      </w:r>
      <w:r w:rsidR="00135693">
        <w:t>resolution scheme</w:t>
      </w:r>
      <w:r w:rsidRPr="00DA460A">
        <w:t xml:space="preserve"> closes.</w:t>
      </w:r>
    </w:p>
    <w:p w14:paraId="07EE36CF" w14:textId="77777777" w:rsidR="00AB356B" w:rsidRPr="00DA460A" w:rsidRDefault="00AB356B" w:rsidP="0012638D">
      <w:pPr>
        <w:spacing w:line="240" w:lineRule="auto"/>
      </w:pPr>
      <w:r w:rsidRPr="00DA460A">
        <w:t xml:space="preserve">These people would not have access to </w:t>
      </w:r>
      <w:r>
        <w:t xml:space="preserve">reparation which </w:t>
      </w:r>
      <w:r w:rsidRPr="00DA460A">
        <w:t>may be criticised as unfair for this reason.</w:t>
      </w:r>
    </w:p>
    <w:p w14:paraId="58B955B3" w14:textId="0B54D193" w:rsidR="00AB356B" w:rsidRDefault="00AB356B" w:rsidP="0012638D">
      <w:pPr>
        <w:spacing w:line="240" w:lineRule="auto"/>
      </w:pPr>
      <w:r>
        <w:lastRenderedPageBreak/>
        <w:t xml:space="preserve">Engaging with the </w:t>
      </w:r>
      <w:r w:rsidR="00135693">
        <w:t>resolution scheme</w:t>
      </w:r>
      <w:r>
        <w:t xml:space="preserve"> would place some regulatory impost on individuals, who would need to:</w:t>
      </w:r>
    </w:p>
    <w:p w14:paraId="59199E33" w14:textId="0F78A97E" w:rsidR="00AB356B" w:rsidRDefault="00AB356B" w:rsidP="0012638D">
      <w:pPr>
        <w:pStyle w:val="ListParagraph"/>
        <w:numPr>
          <w:ilvl w:val="0"/>
          <w:numId w:val="24"/>
        </w:numPr>
        <w:spacing w:before="120" w:after="120" w:line="240" w:lineRule="auto"/>
      </w:pPr>
      <w:r>
        <w:t xml:space="preserve">Inform themselves of the </w:t>
      </w:r>
      <w:r w:rsidR="00135693">
        <w:t>resolution scheme</w:t>
      </w:r>
      <w:r>
        <w:t xml:space="preserve"> and its eligibility criteria, including seeking advice or support where appropriate</w:t>
      </w:r>
    </w:p>
    <w:p w14:paraId="46D6F321" w14:textId="7A0C39F1" w:rsidR="00AB356B" w:rsidRDefault="00AB356B" w:rsidP="0012638D">
      <w:pPr>
        <w:pStyle w:val="ListParagraph"/>
        <w:numPr>
          <w:ilvl w:val="0"/>
          <w:numId w:val="24"/>
        </w:numPr>
        <w:spacing w:before="120" w:after="120" w:line="240" w:lineRule="auto"/>
      </w:pPr>
      <w:r>
        <w:t xml:space="preserve">Apply for the </w:t>
      </w:r>
      <w:r w:rsidR="00135693">
        <w:t>resolution scheme</w:t>
      </w:r>
      <w:r>
        <w:t xml:space="preserve"> through Services Australia</w:t>
      </w:r>
    </w:p>
    <w:p w14:paraId="3F3A0258" w14:textId="77777777" w:rsidR="00AB356B" w:rsidRDefault="00AB356B" w:rsidP="0012638D">
      <w:pPr>
        <w:pStyle w:val="ListParagraph"/>
        <w:numPr>
          <w:ilvl w:val="0"/>
          <w:numId w:val="24"/>
        </w:numPr>
        <w:spacing w:before="120" w:after="120" w:line="240" w:lineRule="auto"/>
      </w:pPr>
      <w:r>
        <w:t>Engage with requests from Services Australia regarding their debt.</w:t>
      </w:r>
    </w:p>
    <w:p w14:paraId="2F78BD24" w14:textId="41290471" w:rsidR="00AB356B" w:rsidRDefault="00AB356B" w:rsidP="0012638D">
      <w:pPr>
        <w:pStyle w:val="ListParagraph"/>
        <w:numPr>
          <w:ilvl w:val="0"/>
          <w:numId w:val="24"/>
        </w:numPr>
        <w:spacing w:before="120" w:after="120" w:line="240" w:lineRule="auto"/>
      </w:pPr>
      <w:r>
        <w:t xml:space="preserve">Understand the decision made under the </w:t>
      </w:r>
      <w:r w:rsidR="00135693">
        <w:t>resolution scheme</w:t>
      </w:r>
      <w:r>
        <w:t>, and decide whether to seek</w:t>
      </w:r>
      <w:r w:rsidR="00171B0C">
        <w:t xml:space="preserve"> review</w:t>
      </w:r>
      <w:r w:rsidR="00EA5075">
        <w:t>,</w:t>
      </w:r>
      <w:r>
        <w:t xml:space="preserve"> </w:t>
      </w:r>
      <w:r w:rsidR="00232A68">
        <w:t>n</w:t>
      </w:r>
      <w:r w:rsidR="004C5C8A">
        <w:t>oting i</w:t>
      </w:r>
      <w:r w:rsidR="004C5C8A" w:rsidRPr="004C5C8A">
        <w:t xml:space="preserve">ndividuals </w:t>
      </w:r>
      <w:r w:rsidR="008707AF">
        <w:t xml:space="preserve">will </w:t>
      </w:r>
      <w:r w:rsidR="004C5C8A" w:rsidRPr="004C5C8A">
        <w:t>not be able to seek judicial review or external merits review under social security law in relation to a decision they are eligible</w:t>
      </w:r>
      <w:r w:rsidR="006318D8">
        <w:t>/ineligible</w:t>
      </w:r>
      <w:r w:rsidR="004C5C8A" w:rsidRPr="004C5C8A">
        <w:t xml:space="preserve"> for a </w:t>
      </w:r>
      <w:r w:rsidR="00F256EF">
        <w:t>resolution payment</w:t>
      </w:r>
      <w:r w:rsidR="004C5C8A" w:rsidRPr="004C5C8A">
        <w:t>.</w:t>
      </w:r>
    </w:p>
    <w:p w14:paraId="45FCD962" w14:textId="671DE916" w:rsidR="00AB356B" w:rsidRPr="00741623" w:rsidRDefault="00AB356B" w:rsidP="0012638D">
      <w:pPr>
        <w:pStyle w:val="ListParagraph"/>
        <w:numPr>
          <w:ilvl w:val="0"/>
          <w:numId w:val="24"/>
        </w:numPr>
        <w:spacing w:before="120" w:after="120" w:line="240" w:lineRule="auto"/>
      </w:pPr>
      <w:r>
        <w:t xml:space="preserve">Engage with the review and appeal process, as required. </w:t>
      </w:r>
    </w:p>
    <w:p w14:paraId="3E889786" w14:textId="7B2595A5" w:rsidR="00AB356B" w:rsidRDefault="00AB356B" w:rsidP="0012638D">
      <w:pPr>
        <w:keepLines/>
        <w:spacing w:before="120" w:after="120" w:line="240" w:lineRule="auto"/>
      </w:pPr>
      <w:r>
        <w:t xml:space="preserve">This may be criticised as placing additional regulatory burden on individuals. </w:t>
      </w:r>
    </w:p>
    <w:p w14:paraId="53E16B6D" w14:textId="77777777" w:rsidR="00B20789" w:rsidRDefault="00B20789" w:rsidP="0012638D">
      <w:pPr>
        <w:pStyle w:val="Heading4"/>
        <w:spacing w:line="240" w:lineRule="auto"/>
        <w:rPr>
          <w:i/>
          <w:iCs/>
        </w:rPr>
      </w:pPr>
      <w:r w:rsidRPr="00370C1E">
        <w:rPr>
          <w:i/>
          <w:iCs/>
        </w:rPr>
        <w:t xml:space="preserve">For </w:t>
      </w:r>
      <w:r>
        <w:rPr>
          <w:i/>
          <w:iCs/>
        </w:rPr>
        <w:t>the broader public</w:t>
      </w:r>
    </w:p>
    <w:p w14:paraId="09E311AA" w14:textId="2354A771" w:rsidR="00B20789" w:rsidRPr="008D75A1" w:rsidRDefault="00B20789" w:rsidP="0012638D">
      <w:pPr>
        <w:spacing w:line="240" w:lineRule="auto"/>
      </w:pPr>
      <w:r>
        <w:t xml:space="preserve">A </w:t>
      </w:r>
      <w:r w:rsidR="00135693">
        <w:t>resolution scheme</w:t>
      </w:r>
      <w:r w:rsidRPr="008D75A1">
        <w:t xml:space="preserve"> acknowledges </w:t>
      </w:r>
      <w:r>
        <w:t>income apportionment led to incorrect debt amounts.</w:t>
      </w:r>
      <w:r w:rsidRPr="008D75A1">
        <w:t xml:space="preserve"> </w:t>
      </w:r>
      <w:r>
        <w:t>I</w:t>
      </w:r>
      <w:r w:rsidRPr="008D75A1">
        <w:t xml:space="preserve">t also reflects </w:t>
      </w:r>
      <w:r>
        <w:t>income apportionment was a</w:t>
      </w:r>
      <w:r w:rsidRPr="008D75A1">
        <w:t xml:space="preserve"> </w:t>
      </w:r>
      <w:r w:rsidR="00694D25">
        <w:t>genuine</w:t>
      </w:r>
      <w:r w:rsidR="00694D25" w:rsidRPr="008D75A1">
        <w:t xml:space="preserve"> </w:t>
      </w:r>
      <w:r w:rsidRPr="008D75A1">
        <w:t>mis</w:t>
      </w:r>
      <w:r>
        <w:t>understanding</w:t>
      </w:r>
      <w:r w:rsidRPr="008D75A1">
        <w:t xml:space="preserve"> about the appropriate calculation methodology to be used for e</w:t>
      </w:r>
      <w:r>
        <w:t>mployment</w:t>
      </w:r>
      <w:r w:rsidRPr="008D75A1">
        <w:t xml:space="preserve"> income.</w:t>
      </w:r>
      <w:r>
        <w:t xml:space="preserve"> It is highly likely individuals owe debts to the Commonwealth in approximately the same amount as the </w:t>
      </w:r>
      <w:r w:rsidR="004428ED">
        <w:t xml:space="preserve">determined </w:t>
      </w:r>
      <w:r>
        <w:t>debt value that is affected by income apportionment.</w:t>
      </w:r>
    </w:p>
    <w:p w14:paraId="67294ACC" w14:textId="1F5A7E6F" w:rsidR="00B20789" w:rsidRPr="008D75A1" w:rsidRDefault="00B20789" w:rsidP="0012638D">
      <w:pPr>
        <w:pStyle w:val="CABNETParagraph"/>
        <w:spacing w:after="0"/>
        <w:rPr>
          <w:rFonts w:asciiTheme="minorHAnsi" w:hAnsiTheme="minorHAnsi"/>
        </w:rPr>
      </w:pPr>
      <w:bookmarkStart w:id="49" w:name="_Hlk200706227"/>
      <w:r w:rsidRPr="008D75A1">
        <w:rPr>
          <w:rFonts w:asciiTheme="minorHAnsi" w:hAnsiTheme="minorHAnsi"/>
        </w:rPr>
        <w:t>A streamlined scheme of this nature ensures that one</w:t>
      </w:r>
      <w:r>
        <w:rPr>
          <w:rFonts w:asciiTheme="minorHAnsi" w:hAnsiTheme="minorHAnsi"/>
        </w:rPr>
        <w:t>-</w:t>
      </w:r>
      <w:r w:rsidRPr="008D75A1">
        <w:rPr>
          <w:rFonts w:asciiTheme="minorHAnsi" w:hAnsiTheme="minorHAnsi"/>
        </w:rPr>
        <w:t xml:space="preserve">off </w:t>
      </w:r>
      <w:r w:rsidR="00694D25">
        <w:rPr>
          <w:rFonts w:asciiTheme="minorHAnsi" w:hAnsiTheme="minorHAnsi"/>
        </w:rPr>
        <w:t>reparations</w:t>
      </w:r>
      <w:r w:rsidRPr="008D75A1">
        <w:rPr>
          <w:rFonts w:asciiTheme="minorHAnsi" w:hAnsiTheme="minorHAnsi"/>
        </w:rPr>
        <w:t xml:space="preserve"> are targeted </w:t>
      </w:r>
      <w:r>
        <w:rPr>
          <w:rFonts w:asciiTheme="minorHAnsi" w:hAnsiTheme="minorHAnsi"/>
        </w:rPr>
        <w:t>to reflect</w:t>
      </w:r>
      <w:r w:rsidRPr="008D75A1">
        <w:rPr>
          <w:rFonts w:asciiTheme="minorHAnsi" w:hAnsiTheme="minorHAnsi"/>
        </w:rPr>
        <w:t xml:space="preserve"> the debt amount</w:t>
      </w:r>
      <w:bookmarkEnd w:id="49"/>
      <w:r>
        <w:rPr>
          <w:rFonts w:asciiTheme="minorHAnsi" w:hAnsiTheme="minorHAnsi"/>
        </w:rPr>
        <w:t xml:space="preserve"> and average variances in sampling data</w:t>
      </w:r>
      <w:r w:rsidRPr="008D75A1">
        <w:rPr>
          <w:rFonts w:asciiTheme="minorHAnsi" w:hAnsiTheme="minorHAnsi"/>
        </w:rPr>
        <w:t>.</w:t>
      </w:r>
    </w:p>
    <w:p w14:paraId="36275C1C" w14:textId="41ADB40C" w:rsidR="00B20789" w:rsidRPr="008D75A1" w:rsidRDefault="00B20789" w:rsidP="0012638D">
      <w:pPr>
        <w:pStyle w:val="CABNETParagraph"/>
        <w:spacing w:after="0"/>
        <w:rPr>
          <w:rFonts w:asciiTheme="minorHAnsi" w:hAnsiTheme="minorHAnsi"/>
        </w:rPr>
      </w:pPr>
      <w:r w:rsidRPr="008D75A1">
        <w:rPr>
          <w:rFonts w:asciiTheme="minorHAnsi" w:hAnsiTheme="minorHAnsi"/>
        </w:rPr>
        <w:t xml:space="preserve">A </w:t>
      </w:r>
      <w:r w:rsidR="00135693">
        <w:rPr>
          <w:rFonts w:asciiTheme="minorHAnsi" w:hAnsiTheme="minorHAnsi"/>
        </w:rPr>
        <w:t>resolution scheme</w:t>
      </w:r>
      <w:r w:rsidRPr="008D75A1">
        <w:rPr>
          <w:rFonts w:asciiTheme="minorHAnsi" w:hAnsiTheme="minorHAnsi"/>
        </w:rPr>
        <w:t xml:space="preserve">, accompanied by clear communication and support measures, will give people choice about whether to apply </w:t>
      </w:r>
      <w:r>
        <w:rPr>
          <w:rFonts w:asciiTheme="minorHAnsi" w:hAnsiTheme="minorHAnsi"/>
        </w:rPr>
        <w:t>to the scheme</w:t>
      </w:r>
      <w:r w:rsidRPr="008D75A1">
        <w:rPr>
          <w:rFonts w:asciiTheme="minorHAnsi" w:hAnsiTheme="minorHAnsi"/>
        </w:rPr>
        <w:t xml:space="preserve">, safe in the knowledge if they choose to do so, they will not be worse off. </w:t>
      </w:r>
    </w:p>
    <w:p w14:paraId="1F057C82" w14:textId="77777777" w:rsidR="00B20789" w:rsidRDefault="00B20789" w:rsidP="0012638D">
      <w:pPr>
        <w:spacing w:before="120" w:after="120" w:line="240" w:lineRule="auto"/>
      </w:pPr>
      <w:r>
        <w:t xml:space="preserve">A review scheme may come at a high cost, albeit less than full recalculation or waiver of all debts potentially affected by income apportionment. Services Australia would be required to investigate each application to the scheme to determine whether it was affected by income apportionment. </w:t>
      </w:r>
    </w:p>
    <w:p w14:paraId="2C77CFAC" w14:textId="1461F9E4" w:rsidR="00B20789" w:rsidRDefault="00C75730" w:rsidP="0012638D">
      <w:pPr>
        <w:spacing w:before="120" w:after="120" w:line="240" w:lineRule="auto"/>
      </w:pPr>
      <w:r>
        <w:t>A</w:t>
      </w:r>
      <w:r w:rsidR="00B20789">
        <w:t>dministering</w:t>
      </w:r>
      <w:r w:rsidR="00B20789" w:rsidDel="00C75730">
        <w:t xml:space="preserve"> of the scheme </w:t>
      </w:r>
      <w:r>
        <w:t xml:space="preserve">may </w:t>
      </w:r>
      <w:r w:rsidR="00B20789">
        <w:t>be resource intensive</w:t>
      </w:r>
      <w:r>
        <w:t xml:space="preserve"> depending on take-up</w:t>
      </w:r>
      <w:r w:rsidR="00B20789">
        <w:t>, which may divert Services Australia expertise</w:t>
      </w:r>
      <w:r w:rsidR="00B20789" w:rsidDel="00C75730">
        <w:t xml:space="preserve"> </w:t>
      </w:r>
      <w:r w:rsidR="00B20789">
        <w:t xml:space="preserve">away from other people who need support. </w:t>
      </w:r>
    </w:p>
    <w:p w14:paraId="7EA6F849" w14:textId="37C13328" w:rsidR="00B20789" w:rsidRDefault="00B20789" w:rsidP="0012638D">
      <w:pPr>
        <w:spacing w:line="240" w:lineRule="auto"/>
      </w:pPr>
      <w:r>
        <w:t xml:space="preserve">As with the option to waive all potentially affected debts, the </w:t>
      </w:r>
      <w:r w:rsidR="00135693">
        <w:t>resolution scheme</w:t>
      </w:r>
      <w:r>
        <w:t xml:space="preserve"> would leave many people better off than if their debt had not been calculated using income apportionment. </w:t>
      </w:r>
      <w:r w:rsidRPr="00284B23">
        <w:t>Implementation</w:t>
      </w:r>
      <w:r>
        <w:t xml:space="preserve"> of this option would result in part of many legitimate overpayments being refunded – including some overpayments that were actually lower than they should have been. In addition, as with the option to waive all potentially affected debts, half of those with a potentially affected debt (either outstanding or fully repaid) are no longer recipients of any sort of income support payment. Making payments to these individuals would not be providing support to those most in need. </w:t>
      </w:r>
    </w:p>
    <w:p w14:paraId="668FF22B" w14:textId="1696375D" w:rsidR="00B20789" w:rsidRDefault="00B20789" w:rsidP="0012638D">
      <w:pPr>
        <w:spacing w:line="240" w:lineRule="auto"/>
      </w:pPr>
      <w:r>
        <w:t xml:space="preserve">However, unlike the option to waive potentially affected debts, this option would not involve providing amounts to those who are </w:t>
      </w:r>
      <w:r w:rsidR="00694D25">
        <w:t>un</w:t>
      </w:r>
      <w:r>
        <w:t>affected</w:t>
      </w:r>
      <w:r w:rsidDel="00694D25">
        <w:t xml:space="preserve"> </w:t>
      </w:r>
      <w:r>
        <w:t xml:space="preserve">by income apportionment. This makes the approach arguably fairer than the waiver of all potentially affected debts. </w:t>
      </w:r>
    </w:p>
    <w:p w14:paraId="60C301AA" w14:textId="77777777" w:rsidR="00B20789" w:rsidRDefault="00B20789" w:rsidP="0012638D">
      <w:pPr>
        <w:pStyle w:val="Heading4"/>
        <w:spacing w:line="240" w:lineRule="auto"/>
        <w:rPr>
          <w:i/>
          <w:iCs/>
        </w:rPr>
      </w:pPr>
      <w:r w:rsidRPr="00370C1E">
        <w:rPr>
          <w:i/>
          <w:iCs/>
        </w:rPr>
        <w:lastRenderedPageBreak/>
        <w:t>For businesses and organisations</w:t>
      </w:r>
    </w:p>
    <w:p w14:paraId="3423B88A" w14:textId="32337E81" w:rsidR="00B20789" w:rsidRDefault="00B20789" w:rsidP="0012638D">
      <w:pPr>
        <w:keepLines/>
        <w:spacing w:before="120" w:after="120" w:line="240" w:lineRule="auto"/>
      </w:pPr>
      <w:r>
        <w:t>Community organisations such as legal aid organisations or welfare rights organisations would likely be called on to support those who require assistance</w:t>
      </w:r>
      <w:r w:rsidR="003548C5">
        <w:t xml:space="preserve"> accessing the </w:t>
      </w:r>
      <w:r w:rsidR="00135693">
        <w:t>resolution scheme</w:t>
      </w:r>
      <w:r>
        <w:t xml:space="preserve">. This may result in additional costs for community organisations. </w:t>
      </w:r>
    </w:p>
    <w:p w14:paraId="45167D0F" w14:textId="77777777" w:rsidR="00AB356B" w:rsidRPr="00370C1E" w:rsidRDefault="00AB356B" w:rsidP="0012638D">
      <w:pPr>
        <w:pStyle w:val="Heading3"/>
        <w:spacing w:line="240" w:lineRule="auto"/>
      </w:pPr>
      <w:r w:rsidRPr="00370C1E">
        <w:t>Timeliness</w:t>
      </w:r>
    </w:p>
    <w:p w14:paraId="0AC872B5" w14:textId="7A9218DE" w:rsidR="00AB356B" w:rsidRPr="00976375" w:rsidRDefault="0044454B" w:rsidP="0012638D">
      <w:pPr>
        <w:spacing w:before="120" w:after="120" w:line="240" w:lineRule="auto"/>
      </w:pPr>
      <w:r w:rsidRPr="00B37DDF">
        <w:t>The scheme wou</w:t>
      </w:r>
      <w:r>
        <w:t>ld</w:t>
      </w:r>
      <w:r w:rsidRPr="00B37DDF">
        <w:t xml:space="preserve"> be time limited</w:t>
      </w:r>
      <w:r>
        <w:t xml:space="preserve">, </w:t>
      </w:r>
      <w:r w:rsidRPr="00B37DDF">
        <w:t xml:space="preserve">with </w:t>
      </w:r>
      <w:r>
        <w:t>people</w:t>
      </w:r>
      <w:r w:rsidRPr="00B37DDF">
        <w:t xml:space="preserve"> required to apply within</w:t>
      </w:r>
      <w:r>
        <w:t xml:space="preserve"> one</w:t>
      </w:r>
      <w:r w:rsidRPr="00B37DDF">
        <w:t xml:space="preserve"> year of </w:t>
      </w:r>
      <w:r>
        <w:t xml:space="preserve">its </w:t>
      </w:r>
      <w:r w:rsidRPr="00B37DDF">
        <w:t>commencement</w:t>
      </w:r>
      <w:r>
        <w:t>.</w:t>
      </w:r>
      <w:r w:rsidDel="0044454B">
        <w:t xml:space="preserve"> </w:t>
      </w:r>
      <w:r w:rsidR="00AB356B" w:rsidRPr="00976375">
        <w:t xml:space="preserve">It </w:t>
      </w:r>
      <w:r w:rsidR="00FE2C15" w:rsidRPr="00976375">
        <w:t xml:space="preserve">should mean </w:t>
      </w:r>
      <w:r w:rsidR="00692764" w:rsidRPr="00976375">
        <w:t>individuals</w:t>
      </w:r>
      <w:r w:rsidR="00FE2C15" w:rsidRPr="00976375">
        <w:t xml:space="preserve"> get </w:t>
      </w:r>
      <w:r w:rsidR="00AB356B" w:rsidRPr="00976375">
        <w:t xml:space="preserve">a resolution to their income apportionment affected debt in a relatively timely manner. </w:t>
      </w:r>
    </w:p>
    <w:p w14:paraId="464B926B" w14:textId="51D0F488" w:rsidR="00AB356B" w:rsidRPr="00976375" w:rsidRDefault="001B17C7" w:rsidP="0012638D">
      <w:pPr>
        <w:spacing w:before="120" w:after="120" w:line="240" w:lineRule="auto"/>
      </w:pPr>
      <w:r w:rsidRPr="00976375">
        <w:t xml:space="preserve">Services Australia will process all </w:t>
      </w:r>
      <w:r w:rsidR="0089422D" w:rsidRPr="00976375">
        <w:t xml:space="preserve">applications </w:t>
      </w:r>
      <w:r w:rsidR="00870AA7">
        <w:t>by June 2029</w:t>
      </w:r>
      <w:r w:rsidR="00FD05E7" w:rsidRPr="00976375">
        <w:t xml:space="preserve">, depending on uptake. </w:t>
      </w:r>
    </w:p>
    <w:p w14:paraId="596B618B" w14:textId="77777777" w:rsidR="00B20789" w:rsidRPr="00976375" w:rsidRDefault="00B20789" w:rsidP="0012638D">
      <w:pPr>
        <w:pStyle w:val="Heading4"/>
        <w:spacing w:line="240" w:lineRule="auto"/>
      </w:pPr>
      <w:r w:rsidRPr="00976375">
        <w:t>Regulatory burden estimate</w:t>
      </w:r>
    </w:p>
    <w:p w14:paraId="078A026B" w14:textId="77777777" w:rsidR="00B20789" w:rsidRPr="00976375" w:rsidRDefault="00B20789" w:rsidP="0012638D">
      <w:pPr>
        <w:spacing w:line="240" w:lineRule="auto"/>
      </w:pPr>
      <w:r w:rsidRPr="00976375">
        <w:t>The proposed option is estimated to result in the following regulatory burden on stakeholders:</w:t>
      </w:r>
    </w:p>
    <w:p w14:paraId="548B6C15" w14:textId="77777777" w:rsidR="00B20789" w:rsidRPr="00976375" w:rsidRDefault="00B20789" w:rsidP="0012638D">
      <w:pPr>
        <w:spacing w:before="120" w:after="120" w:line="240" w:lineRule="auto"/>
      </w:pPr>
      <w:r w:rsidRPr="00976375">
        <w:rPr>
          <w:b/>
          <w:bCs/>
        </w:rPr>
        <w:t>For individuals</w:t>
      </w:r>
    </w:p>
    <w:p w14:paraId="03BE37BA" w14:textId="3DABED7A" w:rsidR="00B20789" w:rsidRPr="00976375" w:rsidRDefault="00C74BEA" w:rsidP="0012638D">
      <w:pPr>
        <w:pStyle w:val="ListParagraph"/>
        <w:numPr>
          <w:ilvl w:val="0"/>
          <w:numId w:val="24"/>
        </w:numPr>
        <w:spacing w:before="120" w:after="120" w:line="240" w:lineRule="auto"/>
      </w:pPr>
      <w:r w:rsidRPr="00976375">
        <w:t xml:space="preserve">There will be regulatory cost associated with people informing themselves about the scheme and deciding whether to apply. </w:t>
      </w:r>
      <w:r w:rsidR="00A22093" w:rsidRPr="00976375">
        <w:t>Take-up of the scheme is highly uncertain, but a best estimate</w:t>
      </w:r>
      <w:r w:rsidR="00155883" w:rsidRPr="00976375">
        <w:t xml:space="preserve"> is that a</w:t>
      </w:r>
      <w:r w:rsidR="00B20789" w:rsidRPr="00976375">
        <w:t xml:space="preserve">round 1.35 million </w:t>
      </w:r>
      <w:r w:rsidR="0023517F" w:rsidRPr="00976375">
        <w:t>people inform themselves about the</w:t>
      </w:r>
      <w:r w:rsidR="00B20789" w:rsidRPr="00976375">
        <w:t xml:space="preserve"> </w:t>
      </w:r>
      <w:r w:rsidR="00135693">
        <w:t>resolution scheme</w:t>
      </w:r>
      <w:r w:rsidR="00B20789" w:rsidRPr="00976375">
        <w:t>. Th</w:t>
      </w:r>
      <w:r w:rsidR="0023517F" w:rsidRPr="00976375">
        <w:t>ese</w:t>
      </w:r>
      <w:r w:rsidR="00B20789" w:rsidRPr="00976375">
        <w:t xml:space="preserve"> 1.35 million</w:t>
      </w:r>
      <w:r w:rsidR="0023517F" w:rsidRPr="00976375">
        <w:t xml:space="preserve"> people</w:t>
      </w:r>
      <w:r w:rsidR="00B20789" w:rsidRPr="00976375">
        <w:t xml:space="preserve"> would need to understand what the eligibility criteria for the scheme is and whether they </w:t>
      </w:r>
      <w:r w:rsidR="002A6EE1" w:rsidRPr="00976375">
        <w:t>may have had a potentially affected debt(s).</w:t>
      </w:r>
      <w:r w:rsidR="002A6EE1" w:rsidRPr="00976375" w:rsidDel="00DD6AE9">
        <w:t xml:space="preserve"> </w:t>
      </w:r>
      <w:r w:rsidR="0087083B" w:rsidRPr="00976375">
        <w:t>This</w:t>
      </w:r>
      <w:r w:rsidR="00B20789" w:rsidRPr="00976375">
        <w:t xml:space="preserve"> is estimated to take around </w:t>
      </w:r>
      <w:r w:rsidR="000E0228">
        <w:t xml:space="preserve">half </w:t>
      </w:r>
      <w:r w:rsidR="00B20789" w:rsidRPr="00976375">
        <w:t>an hour on average. This would cost $37.00 per hour based on PM&amp;C Regulatory Burden Measurement Framework.</w:t>
      </w:r>
    </w:p>
    <w:p w14:paraId="336C82BC" w14:textId="12A0F440" w:rsidR="00B20789" w:rsidRDefault="0010520E" w:rsidP="0012638D">
      <w:pPr>
        <w:spacing w:before="120" w:after="120" w:line="240" w:lineRule="auto"/>
      </w:pPr>
      <m:oMathPara>
        <m:oMath>
          <m:r>
            <w:rPr>
              <w:rFonts w:ascii="Cambria Math" w:hAnsi="Cambria Math"/>
              <w:color w:val="1C2B39" w:themeColor="text1"/>
            </w:rPr>
            <m:t xml:space="preserve">1.35 million ×0.5 ×$37.00 =$25 million </m:t>
          </m:r>
        </m:oMath>
      </m:oMathPara>
    </w:p>
    <w:p w14:paraId="64E0278F" w14:textId="63A8EE4C" w:rsidR="00B20789" w:rsidRDefault="00B20789" w:rsidP="0012638D">
      <w:pPr>
        <w:pStyle w:val="ListParagraph"/>
        <w:numPr>
          <w:ilvl w:val="0"/>
          <w:numId w:val="24"/>
        </w:numPr>
        <w:spacing w:before="120" w:after="120" w:line="240" w:lineRule="auto"/>
      </w:pPr>
      <w:r>
        <w:t>There will be regulatory cost in applying to the scheme.  Of the</w:t>
      </w:r>
      <w:r w:rsidR="00600EA3">
        <w:t xml:space="preserve"> 1.35 million people who inform themselves about the scheme, around 900,000 people with</w:t>
      </w:r>
      <w:r>
        <w:t xml:space="preserve"> 1.6 million debts </w:t>
      </w:r>
      <w:r w:rsidR="00600EA3">
        <w:t xml:space="preserve">(noting some people have </w:t>
      </w:r>
      <w:r>
        <w:t>multiple debts</w:t>
      </w:r>
      <w:r w:rsidR="00246950">
        <w:t>)</w:t>
      </w:r>
      <w:r w:rsidR="00DD6AE9">
        <w:t xml:space="preserve"> </w:t>
      </w:r>
      <w:r w:rsidR="00600EA3">
        <w:t xml:space="preserve">are expected to put in an </w:t>
      </w:r>
      <w:r>
        <w:t>application.</w:t>
      </w:r>
      <w:r w:rsidR="00600EA3">
        <w:t xml:space="preserve"> It is </w:t>
      </w:r>
      <w:r>
        <w:t>estimate</w:t>
      </w:r>
      <w:r w:rsidR="00600EA3">
        <w:t>d</w:t>
      </w:r>
      <w:r>
        <w:t xml:space="preserve"> this would take each applicant around </w:t>
      </w:r>
      <w:r w:rsidR="000E0228">
        <w:t>half a</w:t>
      </w:r>
      <w:r w:rsidR="000B6D14">
        <w:t>n</w:t>
      </w:r>
      <w:r>
        <w:t xml:space="preserve"> hour</w:t>
      </w:r>
      <w:r w:rsidR="00155883">
        <w:t xml:space="preserve"> (this will likely be less for current customers already in contact with S</w:t>
      </w:r>
      <w:r w:rsidR="00FC7BD7">
        <w:t>ervices Australia</w:t>
      </w:r>
      <w:r w:rsidR="00155883">
        <w:t xml:space="preserve"> but could take longer for those no longer in the system who need</w:t>
      </w:r>
      <w:r w:rsidR="008461AC">
        <w:t xml:space="preserve"> to</w:t>
      </w:r>
      <w:r w:rsidR="00155883">
        <w:t xml:space="preserve"> reconnect/set up an online account</w:t>
      </w:r>
      <w:r w:rsidR="00FC7BD7">
        <w:t>)</w:t>
      </w:r>
      <w:r>
        <w:t xml:space="preserve">. </w:t>
      </w:r>
    </w:p>
    <w:p w14:paraId="065A7ACF" w14:textId="29E4014E" w:rsidR="00B20789" w:rsidRPr="001F5D00" w:rsidRDefault="00135B27" w:rsidP="0012638D">
      <w:pPr>
        <w:spacing w:before="120" w:after="120" w:line="240" w:lineRule="auto"/>
      </w:pPr>
      <m:oMathPara>
        <m:oMath>
          <m:r>
            <w:rPr>
              <w:rFonts w:ascii="Cambria Math" w:hAnsi="Cambria Math"/>
            </w:rPr>
            <m:t>900,000 ×0.5× $37.00 =$16.7 million</m:t>
          </m:r>
        </m:oMath>
      </m:oMathPara>
    </w:p>
    <w:p w14:paraId="58261337" w14:textId="1923ABEC" w:rsidR="00B20789" w:rsidRDefault="00B20789" w:rsidP="0012638D">
      <w:pPr>
        <w:pStyle w:val="ListParagraph"/>
        <w:numPr>
          <w:ilvl w:val="0"/>
          <w:numId w:val="24"/>
        </w:numPr>
        <w:spacing w:before="120" w:after="120" w:line="240" w:lineRule="auto"/>
      </w:pPr>
      <w:r>
        <w:t xml:space="preserve">There will be regulatory cost in </w:t>
      </w:r>
      <w:r w:rsidR="00C74BEA">
        <w:t xml:space="preserve">understanding the </w:t>
      </w:r>
      <w:r w:rsidR="00146796">
        <w:t>scheme outcome</w:t>
      </w:r>
      <w:r w:rsidR="00C74BEA">
        <w:t xml:space="preserve"> and deciding whether to seek a review</w:t>
      </w:r>
      <w:r>
        <w:t xml:space="preserve">.  </w:t>
      </w:r>
      <w:r w:rsidR="00600EA3">
        <w:t xml:space="preserve">Of the </w:t>
      </w:r>
      <w:r>
        <w:t>900,000 applica</w:t>
      </w:r>
      <w:r w:rsidR="00600EA3">
        <w:t xml:space="preserve">nts, it is </w:t>
      </w:r>
      <w:r>
        <w:t>estimate</w:t>
      </w:r>
      <w:r w:rsidR="00600EA3">
        <w:t>d</w:t>
      </w:r>
      <w:r>
        <w:t xml:space="preserve"> this would take each applicant around a quarter of an hour. </w:t>
      </w:r>
    </w:p>
    <w:p w14:paraId="47BC11C7" w14:textId="56ED1658" w:rsidR="00B20789" w:rsidRPr="00CA0EA6" w:rsidRDefault="00B20789" w:rsidP="0012638D">
      <w:pPr>
        <w:spacing w:before="120" w:after="120" w:line="240" w:lineRule="auto"/>
      </w:pPr>
      <m:oMathPara>
        <m:oMath>
          <m:r>
            <w:rPr>
              <w:rFonts w:ascii="Cambria Math" w:hAnsi="Cambria Math"/>
            </w:rPr>
            <m:t>900,000 ×0.25×$37.00 =$8.3 million</m:t>
          </m:r>
        </m:oMath>
      </m:oMathPara>
    </w:p>
    <w:p w14:paraId="1502CF3F" w14:textId="533D5CD4" w:rsidR="00B20789" w:rsidRPr="00CA0EA6" w:rsidRDefault="00B20789" w:rsidP="0012638D">
      <w:pPr>
        <w:pStyle w:val="ListParagraph"/>
        <w:numPr>
          <w:ilvl w:val="0"/>
          <w:numId w:val="24"/>
        </w:numPr>
        <w:spacing w:before="120" w:after="120" w:line="240" w:lineRule="auto"/>
      </w:pPr>
      <w:r w:rsidRPr="00CA0EA6">
        <w:t>3% of debts deemed as ineligible by the scheme (</w:t>
      </w:r>
      <w:r w:rsidR="008461AC" w:rsidRPr="00CA0EA6">
        <w:t xml:space="preserve">based on sampling, </w:t>
      </w:r>
      <w:r w:rsidRPr="00CA0EA6">
        <w:t>595,325</w:t>
      </w:r>
      <w:r w:rsidR="00F66F73" w:rsidRPr="00CA0EA6">
        <w:t xml:space="preserve"> of the</w:t>
      </w:r>
      <w:r w:rsidR="00C41C6B" w:rsidRPr="00CA0EA6">
        <w:t xml:space="preserve"> 1.6 million </w:t>
      </w:r>
      <w:r w:rsidR="0023517F" w:rsidRPr="00CA0EA6">
        <w:t>debts</w:t>
      </w:r>
      <w:r w:rsidR="00C41C6B" w:rsidRPr="00CA0EA6">
        <w:t xml:space="preserve"> are expected to be found ineligible due to being unaffected by income apportionment</w:t>
      </w:r>
      <w:r w:rsidRPr="00CA0EA6">
        <w:t xml:space="preserve">) are expected to </w:t>
      </w:r>
      <w:r w:rsidR="00FC7BD7" w:rsidRPr="00CA0EA6">
        <w:t xml:space="preserve">be </w:t>
      </w:r>
      <w:r w:rsidRPr="00CA0EA6">
        <w:t>appeal</w:t>
      </w:r>
      <w:r w:rsidR="00FC7BD7" w:rsidRPr="00CA0EA6">
        <w:t>ed</w:t>
      </w:r>
      <w:r w:rsidR="00B15B4C" w:rsidRPr="00CA0EA6">
        <w:t xml:space="preserve"> internally</w:t>
      </w:r>
      <w:r w:rsidRPr="00CA0EA6">
        <w:t xml:space="preserve">. This is based on historical data on reviews and appeals. This is estimated to require around </w:t>
      </w:r>
      <w:r w:rsidRPr="00CA0EA6" w:rsidDel="003820FC">
        <w:t>2</w:t>
      </w:r>
      <w:r w:rsidRPr="00CA0EA6">
        <w:t xml:space="preserve"> hours of engagement with Services Australia, </w:t>
      </w:r>
      <w:r w:rsidR="003820FC" w:rsidRPr="00CA0EA6">
        <w:t xml:space="preserve">reflecting </w:t>
      </w:r>
      <w:r w:rsidR="00322E92" w:rsidRPr="00CA0EA6">
        <w:t>time</w:t>
      </w:r>
      <w:r w:rsidRPr="00CA0EA6" w:rsidDel="003820FC">
        <w:t xml:space="preserve"> to apply for review, comply with any requests for additional information, </w:t>
      </w:r>
      <w:r w:rsidR="00322E92" w:rsidRPr="00CA0EA6">
        <w:t>and</w:t>
      </w:r>
      <w:r w:rsidR="00816E60" w:rsidRPr="00CA0EA6">
        <w:t xml:space="preserve"> </w:t>
      </w:r>
      <w:r w:rsidRPr="00CA0EA6" w:rsidDel="003820FC">
        <w:t>engage with the reviewing officer.</w:t>
      </w:r>
    </w:p>
    <w:p w14:paraId="27D55019" w14:textId="66775F26" w:rsidR="00B20789" w:rsidRDefault="000149F4" w:rsidP="0012638D">
      <w:pPr>
        <w:spacing w:before="120" w:after="120" w:line="240" w:lineRule="auto"/>
      </w:pPr>
      <m:oMathPara>
        <m:oMath>
          <m:r>
            <w:rPr>
              <w:rFonts w:ascii="Cambria Math" w:hAnsi="Cambria Math"/>
            </w:rPr>
            <m:t xml:space="preserve">17,860×2×$37.00 =1.3 million </m:t>
          </m:r>
        </m:oMath>
      </m:oMathPara>
    </w:p>
    <w:p w14:paraId="3D6E8901" w14:textId="77777777" w:rsidR="00B20789" w:rsidRDefault="00B20789" w:rsidP="0012638D">
      <w:pPr>
        <w:pStyle w:val="ListParagraph"/>
        <w:numPr>
          <w:ilvl w:val="0"/>
          <w:numId w:val="24"/>
        </w:numPr>
        <w:spacing w:before="120" w:after="120" w:line="240" w:lineRule="auto"/>
      </w:pPr>
      <w:r>
        <w:lastRenderedPageBreak/>
        <w:t xml:space="preserve">Total cost </w:t>
      </w:r>
    </w:p>
    <w:p w14:paraId="548AAE80" w14:textId="7FAC0E78" w:rsidR="00B20789" w:rsidRDefault="00B20789" w:rsidP="0012638D">
      <w:pPr>
        <w:pStyle w:val="ListParagraph"/>
        <w:numPr>
          <w:ilvl w:val="1"/>
          <w:numId w:val="24"/>
        </w:numPr>
        <w:spacing w:before="120" w:after="120" w:line="240" w:lineRule="auto"/>
      </w:pPr>
      <w:r w:rsidRPr="007C3032">
        <w:rPr>
          <w:b/>
          <w:bCs/>
        </w:rPr>
        <w:t>$</w:t>
      </w:r>
      <w:r w:rsidR="000E0228">
        <w:rPr>
          <w:b/>
          <w:bCs/>
        </w:rPr>
        <w:t xml:space="preserve">25 </w:t>
      </w:r>
      <w:r>
        <w:rPr>
          <w:b/>
          <w:bCs/>
        </w:rPr>
        <w:t xml:space="preserve">million </w:t>
      </w:r>
      <w:r>
        <w:t>+</w:t>
      </w:r>
      <w:r w:rsidR="00C07DCE" w:rsidRPr="000D3ACE">
        <w:rPr>
          <w:b/>
          <w:bCs/>
        </w:rPr>
        <w:t>$</w:t>
      </w:r>
      <w:r w:rsidR="000E0228">
        <w:rPr>
          <w:b/>
          <w:bCs/>
        </w:rPr>
        <w:t>16.7</w:t>
      </w:r>
      <w:r>
        <w:rPr>
          <w:b/>
          <w:bCs/>
        </w:rPr>
        <w:t xml:space="preserve"> million</w:t>
      </w:r>
      <w:r w:rsidDel="001F5D00">
        <w:rPr>
          <w:b/>
          <w:bCs/>
        </w:rPr>
        <w:t xml:space="preserve"> </w:t>
      </w:r>
      <w:r>
        <w:rPr>
          <w:b/>
          <w:bCs/>
        </w:rPr>
        <w:t xml:space="preserve">+ </w:t>
      </w:r>
      <w:r w:rsidRPr="007C3032">
        <w:rPr>
          <w:b/>
          <w:bCs/>
        </w:rPr>
        <w:t>$</w:t>
      </w:r>
      <w:r>
        <w:rPr>
          <w:b/>
          <w:bCs/>
        </w:rPr>
        <w:t>8.3 million + $1</w:t>
      </w:r>
      <w:r w:rsidR="006F3789">
        <w:rPr>
          <w:b/>
          <w:bCs/>
        </w:rPr>
        <w:t>.3</w:t>
      </w:r>
      <w:r>
        <w:rPr>
          <w:b/>
          <w:bCs/>
        </w:rPr>
        <w:t xml:space="preserve"> million</w:t>
      </w:r>
    </w:p>
    <w:p w14:paraId="675534BF" w14:textId="1EAB34A2" w:rsidR="00B20789" w:rsidRPr="00095D2C" w:rsidRDefault="00B20789" w:rsidP="0012638D">
      <w:pPr>
        <w:pStyle w:val="ListParagraph"/>
        <w:numPr>
          <w:ilvl w:val="1"/>
          <w:numId w:val="24"/>
        </w:numPr>
        <w:spacing w:before="120" w:after="120" w:line="240" w:lineRule="auto"/>
      </w:pPr>
      <w:r>
        <w:t>=</w:t>
      </w:r>
      <w:r w:rsidRPr="007C3032">
        <w:rPr>
          <w:b/>
          <w:bCs/>
        </w:rPr>
        <w:t>$</w:t>
      </w:r>
      <w:r w:rsidR="000E0228">
        <w:rPr>
          <w:b/>
          <w:bCs/>
        </w:rPr>
        <w:t>51.3</w:t>
      </w:r>
      <w:r w:rsidR="00883A7A">
        <w:rPr>
          <w:b/>
          <w:bCs/>
        </w:rPr>
        <w:t xml:space="preserve"> </w:t>
      </w:r>
      <w:r>
        <w:rPr>
          <w:b/>
          <w:bCs/>
        </w:rPr>
        <w:t>million</w:t>
      </w:r>
    </w:p>
    <w:p w14:paraId="75D250CD" w14:textId="77777777" w:rsidR="00607D45" w:rsidRDefault="00607D45" w:rsidP="0012638D">
      <w:pPr>
        <w:spacing w:before="120" w:after="120" w:line="240" w:lineRule="auto"/>
        <w:rPr>
          <w:b/>
          <w:bCs/>
        </w:rPr>
      </w:pPr>
    </w:p>
    <w:p w14:paraId="4AD571D5" w14:textId="42A2ACF7" w:rsidR="00B20789" w:rsidRDefault="00B20789" w:rsidP="0012638D">
      <w:pPr>
        <w:spacing w:before="120" w:after="120" w:line="240" w:lineRule="auto"/>
        <w:rPr>
          <w:b/>
          <w:bCs/>
        </w:rPr>
      </w:pPr>
      <w:r>
        <w:rPr>
          <w:b/>
          <w:bCs/>
        </w:rPr>
        <w:t>For community organisations</w:t>
      </w:r>
    </w:p>
    <w:p w14:paraId="797CC82D" w14:textId="37252034" w:rsidR="00B20789" w:rsidRPr="0060413B" w:rsidRDefault="00B20789" w:rsidP="0012638D">
      <w:pPr>
        <w:pStyle w:val="ListParagraph"/>
        <w:numPr>
          <w:ilvl w:val="0"/>
          <w:numId w:val="25"/>
        </w:numPr>
        <w:spacing w:before="120" w:after="120" w:line="240" w:lineRule="auto"/>
      </w:pPr>
      <w:r w:rsidRPr="0060413B">
        <w:t>Some community organisations provide support to those undertaking reviews and appeals at Services Australia. We have assumed 2% of the 1.35 million considering applying to the scheme (27,000) would reach out for community organisation support – either to speak directly with a support person, or to access information that would need to be developed and maintained by community organisations. We have assumed organisations would spend around 2 hours (in total) on each person’s case. Th</w:t>
      </w:r>
      <w:r w:rsidR="00246950">
        <w:t>ese estimates are lower</w:t>
      </w:r>
      <w:r w:rsidRPr="0060413B">
        <w:t xml:space="preserve"> than</w:t>
      </w:r>
      <w:r w:rsidR="00246950">
        <w:t xml:space="preserve"> for</w:t>
      </w:r>
      <w:r w:rsidRPr="0060413B">
        <w:t xml:space="preserve"> previous options, reflecting the relative simplicity of the </w:t>
      </w:r>
      <w:r w:rsidR="00135693">
        <w:t>resolution scheme</w:t>
      </w:r>
      <w:r w:rsidRPr="0060413B">
        <w:t xml:space="preserve"> over full recalculations. </w:t>
      </w:r>
    </w:p>
    <w:p w14:paraId="2497A01C" w14:textId="5E89D38A" w:rsidR="00B20789" w:rsidRPr="0060413B" w:rsidRDefault="00B20789" w:rsidP="0012638D">
      <w:pPr>
        <w:spacing w:before="120" w:after="120" w:line="240" w:lineRule="auto"/>
        <w:ind w:left="360"/>
      </w:pPr>
      <m:oMathPara>
        <m:oMath>
          <m:r>
            <w:rPr>
              <w:rFonts w:ascii="Cambria Math" w:hAnsi="Cambria Math"/>
            </w:rPr>
            <m:t xml:space="preserve">27,000 ×2×$85.17 =4.6 million </m:t>
          </m:r>
        </m:oMath>
      </m:oMathPara>
    </w:p>
    <w:p w14:paraId="1536FD96" w14:textId="77777777" w:rsidR="00246950" w:rsidRDefault="00246950" w:rsidP="0012638D">
      <w:pPr>
        <w:spacing w:before="120" w:after="120" w:line="240" w:lineRule="auto"/>
      </w:pPr>
    </w:p>
    <w:p w14:paraId="640F1B85" w14:textId="40B1DB5F" w:rsidR="00B20789" w:rsidRPr="00745DD0" w:rsidRDefault="00B20789" w:rsidP="0012638D">
      <w:pPr>
        <w:spacing w:before="120" w:after="120" w:line="240" w:lineRule="auto"/>
        <w:rPr>
          <w:b/>
          <w:bCs/>
        </w:rPr>
      </w:pPr>
      <w:r w:rsidRPr="0060413B">
        <w:t>The total regulatory cost over 10 years is $</w:t>
      </w:r>
      <w:r w:rsidR="000E0228">
        <w:t>55.9</w:t>
      </w:r>
      <w:r w:rsidR="00883A7A">
        <w:t xml:space="preserve"> </w:t>
      </w:r>
      <w:r w:rsidRPr="0060413B">
        <w:t>million</w:t>
      </w:r>
      <w:r w:rsidR="00ED7FA5" w:rsidRPr="0060413B">
        <w:t xml:space="preserve">. </w:t>
      </w:r>
      <w:r w:rsidR="00047FAF" w:rsidRPr="0060413B">
        <w:t>Averaged annual costs over 10 years are provided below.</w:t>
      </w:r>
    </w:p>
    <w:tbl>
      <w:tblPr>
        <w:tblW w:w="0" w:type="auto"/>
        <w:tblLook w:val="0660" w:firstRow="1" w:lastRow="1" w:firstColumn="0" w:lastColumn="0" w:noHBand="1" w:noVBand="1"/>
      </w:tblPr>
      <w:tblGrid>
        <w:gridCol w:w="2555"/>
        <w:gridCol w:w="1256"/>
        <w:gridCol w:w="1417"/>
        <w:gridCol w:w="2435"/>
        <w:gridCol w:w="1659"/>
      </w:tblGrid>
      <w:tr w:rsidR="00B20789" w:rsidRPr="00607D45" w14:paraId="34D4AD63" w14:textId="77777777">
        <w:trPr>
          <w:trHeight w:val="350"/>
          <w:tblHeader/>
        </w:trPr>
        <w:tc>
          <w:tcPr>
            <w:tcW w:w="9322" w:type="dxa"/>
            <w:gridSpan w:val="5"/>
            <w:tcBorders>
              <w:top w:val="single" w:sz="4" w:space="0" w:color="1C2B39" w:themeColor="accent1"/>
              <w:left w:val="nil"/>
              <w:bottom w:val="single" w:sz="4" w:space="0" w:color="1C2B39" w:themeColor="accent1"/>
              <w:right w:val="nil"/>
            </w:tcBorders>
            <w:hideMark/>
          </w:tcPr>
          <w:p w14:paraId="329FBAF9" w14:textId="77777777" w:rsidR="00B20789" w:rsidRPr="00607D45" w:rsidRDefault="00B20789" w:rsidP="0012638D">
            <w:pPr>
              <w:pStyle w:val="CAB-NumberedParagraph"/>
              <w:rPr>
                <w:rFonts w:asciiTheme="minorHAnsi" w:hAnsiTheme="minorHAnsi"/>
                <w:b/>
              </w:rPr>
            </w:pPr>
            <w:r w:rsidRPr="00607D45">
              <w:rPr>
                <w:rFonts w:asciiTheme="minorHAnsi" w:hAnsiTheme="minorHAnsi"/>
                <w:b/>
              </w:rPr>
              <w:t>Average annual regulatory costs (over 10 years)</w:t>
            </w:r>
          </w:p>
        </w:tc>
      </w:tr>
      <w:tr w:rsidR="00B20789" w:rsidRPr="00607D45" w14:paraId="645CED47" w14:textId="77777777">
        <w:trPr>
          <w:trHeight w:val="350"/>
        </w:trPr>
        <w:tc>
          <w:tcPr>
            <w:tcW w:w="2555" w:type="dxa"/>
            <w:tcBorders>
              <w:top w:val="single" w:sz="4" w:space="0" w:color="1C2B39" w:themeColor="accent1"/>
              <w:left w:val="nil"/>
              <w:bottom w:val="single" w:sz="4" w:space="0" w:color="1C2B39" w:themeColor="accent1"/>
              <w:right w:val="nil"/>
            </w:tcBorders>
            <w:hideMark/>
          </w:tcPr>
          <w:p w14:paraId="5E0C7B04" w14:textId="77777777" w:rsidR="00B20789" w:rsidRPr="00607D45" w:rsidRDefault="00B20789" w:rsidP="0012638D">
            <w:pPr>
              <w:pStyle w:val="CAB-NumberedParagraph"/>
              <w:rPr>
                <w:rFonts w:asciiTheme="minorHAnsi" w:hAnsiTheme="minorHAnsi"/>
              </w:rPr>
            </w:pPr>
            <w:r w:rsidRPr="00607D45">
              <w:rPr>
                <w:rFonts w:asciiTheme="minorHAnsi" w:hAnsiTheme="minorHAnsi"/>
              </w:rPr>
              <w:t>Change in costs ($ million)</w:t>
            </w:r>
          </w:p>
        </w:tc>
        <w:tc>
          <w:tcPr>
            <w:tcW w:w="1256" w:type="dxa"/>
            <w:tcBorders>
              <w:top w:val="single" w:sz="4" w:space="0" w:color="1C2B39" w:themeColor="accent1"/>
              <w:left w:val="nil"/>
              <w:bottom w:val="single" w:sz="4" w:space="0" w:color="1C2B39" w:themeColor="accent1"/>
              <w:right w:val="nil"/>
            </w:tcBorders>
            <w:hideMark/>
          </w:tcPr>
          <w:p w14:paraId="1FD8304E" w14:textId="77777777" w:rsidR="00B20789" w:rsidRPr="00607D45" w:rsidRDefault="00B20789" w:rsidP="0012638D">
            <w:pPr>
              <w:pStyle w:val="CAB-NumberedParagraph"/>
              <w:rPr>
                <w:rFonts w:asciiTheme="minorHAnsi" w:hAnsiTheme="minorHAnsi"/>
              </w:rPr>
            </w:pPr>
            <w:r w:rsidRPr="00607D45">
              <w:rPr>
                <w:rFonts w:asciiTheme="minorHAnsi" w:hAnsiTheme="minorHAnsi"/>
              </w:rPr>
              <w:t>Individuals</w:t>
            </w:r>
          </w:p>
        </w:tc>
        <w:tc>
          <w:tcPr>
            <w:tcW w:w="1417" w:type="dxa"/>
            <w:tcBorders>
              <w:top w:val="single" w:sz="4" w:space="0" w:color="1C2B39" w:themeColor="accent1"/>
              <w:left w:val="nil"/>
              <w:bottom w:val="single" w:sz="4" w:space="0" w:color="1C2B39" w:themeColor="accent1"/>
              <w:right w:val="nil"/>
            </w:tcBorders>
            <w:hideMark/>
          </w:tcPr>
          <w:p w14:paraId="43C1F0BC" w14:textId="77777777" w:rsidR="00B20789" w:rsidRPr="00607D45" w:rsidRDefault="00B20789" w:rsidP="0012638D">
            <w:pPr>
              <w:pStyle w:val="CAB-NumberedParagraph"/>
              <w:rPr>
                <w:rFonts w:asciiTheme="minorHAnsi" w:hAnsiTheme="minorHAnsi"/>
              </w:rPr>
            </w:pPr>
            <w:r w:rsidRPr="00607D45">
              <w:rPr>
                <w:rFonts w:asciiTheme="minorHAnsi" w:hAnsiTheme="minorHAnsi"/>
              </w:rPr>
              <w:t xml:space="preserve">Business </w:t>
            </w:r>
          </w:p>
        </w:tc>
        <w:tc>
          <w:tcPr>
            <w:tcW w:w="2435" w:type="dxa"/>
            <w:tcBorders>
              <w:top w:val="single" w:sz="4" w:space="0" w:color="1C2B39" w:themeColor="accent1"/>
              <w:left w:val="nil"/>
              <w:bottom w:val="single" w:sz="4" w:space="0" w:color="1C2B39" w:themeColor="accent1"/>
              <w:right w:val="nil"/>
            </w:tcBorders>
            <w:hideMark/>
          </w:tcPr>
          <w:p w14:paraId="023D3252" w14:textId="77777777" w:rsidR="00B20789" w:rsidRPr="00607D45" w:rsidRDefault="00B20789" w:rsidP="0012638D">
            <w:pPr>
              <w:pStyle w:val="CAB-NumberedParagraph"/>
              <w:rPr>
                <w:rFonts w:asciiTheme="minorHAnsi" w:hAnsiTheme="minorHAnsi"/>
              </w:rPr>
            </w:pPr>
            <w:r w:rsidRPr="00607D45">
              <w:rPr>
                <w:rFonts w:asciiTheme="minorHAnsi" w:hAnsiTheme="minorHAnsi"/>
              </w:rPr>
              <w:t>Community</w:t>
            </w:r>
          </w:p>
          <w:p w14:paraId="00C014FD" w14:textId="77777777" w:rsidR="00B20789" w:rsidRPr="00607D45" w:rsidRDefault="00B20789" w:rsidP="0012638D">
            <w:pPr>
              <w:pStyle w:val="CAB-NumberedParagraph"/>
              <w:rPr>
                <w:rFonts w:asciiTheme="minorHAnsi" w:hAnsiTheme="minorHAnsi"/>
              </w:rPr>
            </w:pPr>
            <w:r w:rsidRPr="00607D45">
              <w:rPr>
                <w:rFonts w:asciiTheme="minorHAnsi" w:hAnsiTheme="minorHAnsi"/>
              </w:rPr>
              <w:t>organisations</w:t>
            </w:r>
          </w:p>
        </w:tc>
        <w:tc>
          <w:tcPr>
            <w:tcW w:w="1659" w:type="dxa"/>
            <w:tcBorders>
              <w:top w:val="single" w:sz="4" w:space="0" w:color="1C2B39" w:themeColor="accent1"/>
              <w:left w:val="nil"/>
              <w:bottom w:val="single" w:sz="4" w:space="0" w:color="1C2B39" w:themeColor="accent1"/>
              <w:right w:val="nil"/>
            </w:tcBorders>
            <w:hideMark/>
          </w:tcPr>
          <w:p w14:paraId="63F1CCEE" w14:textId="77777777" w:rsidR="00B20789" w:rsidRPr="00607D45" w:rsidRDefault="00B20789" w:rsidP="0012638D">
            <w:pPr>
              <w:pStyle w:val="CAB-NumberedParagraph"/>
              <w:rPr>
                <w:rFonts w:asciiTheme="minorHAnsi" w:hAnsiTheme="minorHAnsi"/>
              </w:rPr>
            </w:pPr>
            <w:r w:rsidRPr="00607D45">
              <w:rPr>
                <w:rFonts w:asciiTheme="minorHAnsi" w:hAnsiTheme="minorHAnsi"/>
              </w:rPr>
              <w:t>Total change</w:t>
            </w:r>
          </w:p>
          <w:p w14:paraId="4E4FBEF0" w14:textId="77777777" w:rsidR="00B20789" w:rsidRPr="00607D45" w:rsidRDefault="00B20789" w:rsidP="0012638D">
            <w:pPr>
              <w:pStyle w:val="CAB-NumberedParagraph"/>
              <w:rPr>
                <w:rFonts w:asciiTheme="minorHAnsi" w:hAnsiTheme="minorHAnsi"/>
              </w:rPr>
            </w:pPr>
            <w:r w:rsidRPr="00607D45">
              <w:rPr>
                <w:rFonts w:asciiTheme="minorHAnsi" w:hAnsiTheme="minorHAnsi"/>
              </w:rPr>
              <w:t>in cost</w:t>
            </w:r>
          </w:p>
        </w:tc>
      </w:tr>
      <w:tr w:rsidR="00B20789" w:rsidRPr="00607D45" w14:paraId="7D4FA5CD" w14:textId="77777777">
        <w:trPr>
          <w:trHeight w:val="350"/>
        </w:trPr>
        <w:tc>
          <w:tcPr>
            <w:tcW w:w="2555" w:type="dxa"/>
            <w:tcBorders>
              <w:top w:val="single" w:sz="4" w:space="0" w:color="1C2B39" w:themeColor="accent1"/>
              <w:left w:val="nil"/>
              <w:bottom w:val="single" w:sz="12" w:space="0" w:color="1C2B39" w:themeColor="accent1"/>
              <w:right w:val="nil"/>
            </w:tcBorders>
            <w:hideMark/>
          </w:tcPr>
          <w:p w14:paraId="5C07B2CE" w14:textId="77777777" w:rsidR="00B20789" w:rsidRPr="00607D45" w:rsidRDefault="00B20789" w:rsidP="0012638D">
            <w:pPr>
              <w:pStyle w:val="CAB-NumberedParagraph"/>
              <w:rPr>
                <w:rFonts w:asciiTheme="minorHAnsi" w:hAnsiTheme="minorHAnsi"/>
              </w:rPr>
            </w:pPr>
            <w:r w:rsidRPr="00607D45">
              <w:rPr>
                <w:rFonts w:asciiTheme="minorHAnsi" w:hAnsiTheme="minorHAnsi"/>
              </w:rPr>
              <w:t>Total, by sector</w:t>
            </w:r>
          </w:p>
        </w:tc>
        <w:tc>
          <w:tcPr>
            <w:tcW w:w="1256" w:type="dxa"/>
            <w:tcBorders>
              <w:top w:val="single" w:sz="4" w:space="0" w:color="1C2B39" w:themeColor="accent1"/>
              <w:left w:val="nil"/>
              <w:bottom w:val="single" w:sz="12" w:space="0" w:color="1C2B39" w:themeColor="accent1"/>
              <w:right w:val="nil"/>
            </w:tcBorders>
            <w:hideMark/>
          </w:tcPr>
          <w:p w14:paraId="2E6365E6" w14:textId="45F97C64" w:rsidR="00B20789" w:rsidRPr="00607D45" w:rsidRDefault="00B20789" w:rsidP="0012638D">
            <w:pPr>
              <w:pStyle w:val="CAB-NumberedParagraph"/>
              <w:rPr>
                <w:rFonts w:asciiTheme="minorHAnsi" w:hAnsiTheme="minorHAnsi"/>
              </w:rPr>
            </w:pPr>
            <w:r w:rsidRPr="00607D45">
              <w:rPr>
                <w:rFonts w:asciiTheme="minorHAnsi" w:hAnsiTheme="minorHAnsi"/>
              </w:rPr>
              <w:t>$</w:t>
            </w:r>
            <w:r w:rsidR="00883A7A">
              <w:rPr>
                <w:rFonts w:asciiTheme="minorHAnsi" w:hAnsiTheme="minorHAnsi"/>
              </w:rPr>
              <w:t>5.1</w:t>
            </w:r>
            <w:r w:rsidR="002D2769">
              <w:rPr>
                <w:rFonts w:asciiTheme="minorHAnsi" w:hAnsiTheme="minorHAnsi"/>
              </w:rPr>
              <w:t>3</w:t>
            </w:r>
          </w:p>
        </w:tc>
        <w:tc>
          <w:tcPr>
            <w:tcW w:w="1417" w:type="dxa"/>
            <w:tcBorders>
              <w:top w:val="single" w:sz="4" w:space="0" w:color="1C2B39" w:themeColor="accent1"/>
              <w:left w:val="nil"/>
              <w:bottom w:val="single" w:sz="12" w:space="0" w:color="1C2B39" w:themeColor="accent1"/>
              <w:right w:val="nil"/>
            </w:tcBorders>
            <w:hideMark/>
          </w:tcPr>
          <w:p w14:paraId="3648F2F6" w14:textId="77777777" w:rsidR="00B20789" w:rsidRPr="00607D45" w:rsidRDefault="00B20789" w:rsidP="0012638D">
            <w:pPr>
              <w:pStyle w:val="CAB-NumberedParagraph"/>
              <w:rPr>
                <w:rFonts w:asciiTheme="minorHAnsi" w:hAnsiTheme="minorHAnsi"/>
              </w:rPr>
            </w:pPr>
            <w:r w:rsidRPr="00607D45">
              <w:rPr>
                <w:rFonts w:asciiTheme="minorHAnsi" w:hAnsiTheme="minorHAnsi"/>
              </w:rPr>
              <w:t>-</w:t>
            </w:r>
          </w:p>
        </w:tc>
        <w:tc>
          <w:tcPr>
            <w:tcW w:w="2435" w:type="dxa"/>
            <w:tcBorders>
              <w:top w:val="single" w:sz="4" w:space="0" w:color="1C2B39" w:themeColor="accent1"/>
              <w:left w:val="nil"/>
              <w:bottom w:val="single" w:sz="12" w:space="0" w:color="1C2B39" w:themeColor="accent1"/>
              <w:right w:val="nil"/>
            </w:tcBorders>
            <w:hideMark/>
          </w:tcPr>
          <w:p w14:paraId="279D8902" w14:textId="604CF095" w:rsidR="00B20789" w:rsidRPr="00607D45" w:rsidRDefault="00B20789" w:rsidP="0012638D">
            <w:pPr>
              <w:pStyle w:val="CAB-NumberedParagraph"/>
              <w:rPr>
                <w:rFonts w:asciiTheme="minorHAnsi" w:hAnsiTheme="minorHAnsi"/>
              </w:rPr>
            </w:pPr>
            <w:r w:rsidRPr="00607D45">
              <w:rPr>
                <w:rFonts w:asciiTheme="minorHAnsi" w:hAnsiTheme="minorHAnsi"/>
              </w:rPr>
              <w:t>$0.46</w:t>
            </w:r>
          </w:p>
        </w:tc>
        <w:tc>
          <w:tcPr>
            <w:tcW w:w="1659" w:type="dxa"/>
            <w:tcBorders>
              <w:top w:val="single" w:sz="4" w:space="0" w:color="1C2B39" w:themeColor="accent1"/>
              <w:left w:val="nil"/>
              <w:bottom w:val="single" w:sz="12" w:space="0" w:color="1C2B39" w:themeColor="accent1"/>
              <w:right w:val="nil"/>
            </w:tcBorders>
            <w:hideMark/>
          </w:tcPr>
          <w:p w14:paraId="619DC9B2" w14:textId="3AE9A2BA" w:rsidR="00B20789" w:rsidRPr="00607D45" w:rsidRDefault="00B20789" w:rsidP="0012638D">
            <w:pPr>
              <w:pStyle w:val="CAB-NumberedParagraph"/>
              <w:rPr>
                <w:rFonts w:asciiTheme="minorHAnsi" w:hAnsiTheme="minorHAnsi"/>
              </w:rPr>
            </w:pPr>
            <w:r w:rsidRPr="00607D45">
              <w:rPr>
                <w:rFonts w:asciiTheme="minorHAnsi" w:hAnsiTheme="minorHAnsi"/>
              </w:rPr>
              <w:t>$</w:t>
            </w:r>
            <w:r w:rsidR="00883A7A">
              <w:rPr>
                <w:rFonts w:asciiTheme="minorHAnsi" w:hAnsiTheme="minorHAnsi"/>
              </w:rPr>
              <w:t>5</w:t>
            </w:r>
            <w:r w:rsidRPr="00607D45">
              <w:rPr>
                <w:rFonts w:asciiTheme="minorHAnsi" w:hAnsiTheme="minorHAnsi"/>
              </w:rPr>
              <w:t>.</w:t>
            </w:r>
            <w:r w:rsidR="00883A7A">
              <w:rPr>
                <w:rFonts w:asciiTheme="minorHAnsi" w:hAnsiTheme="minorHAnsi"/>
              </w:rPr>
              <w:t>5</w:t>
            </w:r>
            <w:r w:rsidR="002D2769">
              <w:rPr>
                <w:rFonts w:asciiTheme="minorHAnsi" w:hAnsiTheme="minorHAnsi"/>
              </w:rPr>
              <w:t>9</w:t>
            </w:r>
          </w:p>
        </w:tc>
      </w:tr>
    </w:tbl>
    <w:p w14:paraId="718B32A3" w14:textId="77777777" w:rsidR="00246950" w:rsidRPr="00607D45" w:rsidRDefault="00246950" w:rsidP="0012638D">
      <w:pPr>
        <w:spacing w:line="240" w:lineRule="auto"/>
        <w:rPr>
          <w:b/>
          <w:bCs/>
          <w:color w:val="004261" w:themeColor="text2"/>
          <w:szCs w:val="22"/>
        </w:rPr>
      </w:pPr>
      <w:bookmarkStart w:id="50" w:name="_Hlk182234454"/>
    </w:p>
    <w:p w14:paraId="1A239B02" w14:textId="77777777" w:rsidR="00C91FB8" w:rsidRPr="00607D45" w:rsidRDefault="00C91FB8" w:rsidP="0012638D">
      <w:pPr>
        <w:spacing w:line="240" w:lineRule="auto"/>
        <w:rPr>
          <w:b/>
          <w:bCs/>
          <w:color w:val="004261" w:themeColor="text2"/>
          <w:szCs w:val="22"/>
        </w:rPr>
      </w:pPr>
    </w:p>
    <w:p w14:paraId="4B737D88" w14:textId="77777777" w:rsidR="00607D45" w:rsidRPr="00607D45" w:rsidRDefault="00607D45">
      <w:pPr>
        <w:spacing w:after="200" w:line="288" w:lineRule="auto"/>
        <w:rPr>
          <w:b/>
          <w:bCs/>
          <w:color w:val="004261" w:themeColor="text2"/>
          <w:szCs w:val="22"/>
        </w:rPr>
      </w:pPr>
      <w:r w:rsidRPr="00607D45">
        <w:rPr>
          <w:b/>
          <w:bCs/>
          <w:color w:val="004261" w:themeColor="text2"/>
          <w:szCs w:val="22"/>
        </w:rPr>
        <w:br w:type="page"/>
      </w:r>
    </w:p>
    <w:p w14:paraId="5AEB407A" w14:textId="1CAA4706" w:rsidR="00B85A65" w:rsidRDefault="00B85A65" w:rsidP="0012638D">
      <w:pPr>
        <w:spacing w:line="240" w:lineRule="auto"/>
        <w:rPr>
          <w:b/>
          <w:bCs/>
          <w:color w:val="004261" w:themeColor="text2"/>
          <w:szCs w:val="22"/>
        </w:rPr>
      </w:pPr>
      <w:r w:rsidRPr="00745DD0">
        <w:rPr>
          <w:b/>
          <w:bCs/>
          <w:color w:val="004261" w:themeColor="text2"/>
          <w:szCs w:val="22"/>
        </w:rPr>
        <w:lastRenderedPageBreak/>
        <w:t>Summary of resolution options</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3744"/>
        <w:gridCol w:w="3493"/>
      </w:tblGrid>
      <w:tr w:rsidR="00C77728" w:rsidRPr="00607D45" w14:paraId="07F7F9F9" w14:textId="77777777" w:rsidTr="003A7D02">
        <w:trPr>
          <w:cnfStyle w:val="100000000000" w:firstRow="1" w:lastRow="0" w:firstColumn="0" w:lastColumn="0" w:oddVBand="0" w:evenVBand="0" w:oddHBand="0" w:evenHBand="0" w:firstRowFirstColumn="0" w:firstRowLastColumn="0" w:lastRowFirstColumn="0" w:lastRowLastColumn="0"/>
          <w:trHeight w:val="376"/>
        </w:trPr>
        <w:tc>
          <w:tcPr>
            <w:tcW w:w="2391" w:type="dxa"/>
          </w:tcPr>
          <w:p w14:paraId="47876233"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Approach</w:t>
            </w:r>
          </w:p>
        </w:tc>
        <w:tc>
          <w:tcPr>
            <w:tcW w:w="3744" w:type="dxa"/>
          </w:tcPr>
          <w:p w14:paraId="2FCF0868"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Regulatory cost (total over 10 years)</w:t>
            </w:r>
          </w:p>
        </w:tc>
        <w:tc>
          <w:tcPr>
            <w:tcW w:w="3493" w:type="dxa"/>
          </w:tcPr>
          <w:p w14:paraId="34825B5E"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Impacts</w:t>
            </w:r>
          </w:p>
        </w:tc>
      </w:tr>
      <w:tr w:rsidR="00C91FB8" w:rsidRPr="00607D45" w14:paraId="436AE887" w14:textId="77777777" w:rsidTr="00F25382">
        <w:trPr>
          <w:trHeight w:val="938"/>
        </w:trPr>
        <w:tc>
          <w:tcPr>
            <w:tcW w:w="2391" w:type="dxa"/>
          </w:tcPr>
          <w:p w14:paraId="4F3D6A3F"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Status quo</w:t>
            </w:r>
          </w:p>
        </w:tc>
        <w:tc>
          <w:tcPr>
            <w:tcW w:w="3744" w:type="dxa"/>
          </w:tcPr>
          <w:p w14:paraId="0221D3D9" w14:textId="77777777" w:rsidR="00C91FB8" w:rsidRPr="00607D45" w:rsidRDefault="00C91FB8" w:rsidP="00F25382">
            <w:pPr>
              <w:keepNext/>
              <w:keepLines/>
              <w:spacing w:before="120" w:after="120" w:line="240" w:lineRule="auto"/>
              <w:jc w:val="center"/>
              <w:rPr>
                <w:rFonts w:cs="Times New Roman"/>
              </w:rPr>
            </w:pPr>
            <w:r w:rsidRPr="00607D45">
              <w:rPr>
                <w:rFonts w:cs="Times New Roman"/>
              </w:rPr>
              <w:t xml:space="preserve">N/A </w:t>
            </w:r>
          </w:p>
        </w:tc>
        <w:tc>
          <w:tcPr>
            <w:tcW w:w="3493" w:type="dxa"/>
            <w:vMerge w:val="restart"/>
          </w:tcPr>
          <w:p w14:paraId="66C8E0F4" w14:textId="4C8E1911" w:rsidR="00C91FB8" w:rsidRPr="00607D45" w:rsidRDefault="00C91FB8" w:rsidP="00F25382">
            <w:pPr>
              <w:keepNext/>
              <w:keepLines/>
              <w:spacing w:before="120" w:after="120" w:line="240" w:lineRule="auto"/>
              <w:rPr>
                <w:rFonts w:cs="Times New Roman"/>
              </w:rPr>
            </w:pPr>
            <w:r w:rsidRPr="00607D45">
              <w:rPr>
                <w:rFonts w:cs="Times New Roman"/>
              </w:rPr>
              <w:t xml:space="preserve"> </w:t>
            </w:r>
            <w:r w:rsidR="00E0347C">
              <w:rPr>
                <w:rFonts w:cs="Times New Roman"/>
              </w:rPr>
              <w:t>E</w:t>
            </w:r>
            <w:r w:rsidRPr="00607D45">
              <w:rPr>
                <w:rFonts w:cs="Times New Roman"/>
              </w:rPr>
              <w:t>valuated in section 6 below, based on lawfulness, fairness and timeliness.</w:t>
            </w:r>
          </w:p>
        </w:tc>
      </w:tr>
      <w:tr w:rsidR="00C91FB8" w:rsidRPr="00607D45" w14:paraId="0D538335" w14:textId="77777777" w:rsidTr="00F25382">
        <w:trPr>
          <w:trHeight w:val="938"/>
        </w:trPr>
        <w:tc>
          <w:tcPr>
            <w:tcW w:w="2391" w:type="dxa"/>
          </w:tcPr>
          <w:p w14:paraId="7767657F"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Waive all potentially affected debts</w:t>
            </w:r>
          </w:p>
        </w:tc>
        <w:tc>
          <w:tcPr>
            <w:tcW w:w="3744" w:type="dxa"/>
          </w:tcPr>
          <w:p w14:paraId="54ADACE6" w14:textId="77777777" w:rsidR="00C91FB8" w:rsidRPr="00607D45" w:rsidRDefault="00C91FB8" w:rsidP="00F25382">
            <w:pPr>
              <w:keepNext/>
              <w:keepLines/>
              <w:spacing w:before="120" w:after="120" w:line="240" w:lineRule="auto"/>
              <w:jc w:val="center"/>
              <w:rPr>
                <w:rFonts w:cs="Times New Roman"/>
              </w:rPr>
            </w:pPr>
            <w:r w:rsidRPr="00607D45">
              <w:rPr>
                <w:rFonts w:cs="Arial"/>
              </w:rPr>
              <w:t>-$18.2 million</w:t>
            </w:r>
          </w:p>
        </w:tc>
        <w:tc>
          <w:tcPr>
            <w:tcW w:w="3493" w:type="dxa"/>
            <w:vMerge/>
          </w:tcPr>
          <w:p w14:paraId="25CEE5D2" w14:textId="77777777" w:rsidR="00C91FB8" w:rsidRPr="00607D45" w:rsidRDefault="00C91FB8" w:rsidP="00F25382">
            <w:pPr>
              <w:keepNext/>
              <w:keepLines/>
              <w:spacing w:before="120" w:after="120" w:line="240" w:lineRule="auto"/>
              <w:jc w:val="center"/>
              <w:rPr>
                <w:rFonts w:cs="Times New Roman"/>
              </w:rPr>
            </w:pPr>
          </w:p>
        </w:tc>
      </w:tr>
      <w:tr w:rsidR="00C91FB8" w:rsidRPr="00607D45" w14:paraId="2E857B02" w14:textId="77777777" w:rsidTr="00F25382">
        <w:trPr>
          <w:trHeight w:val="938"/>
        </w:trPr>
        <w:tc>
          <w:tcPr>
            <w:tcW w:w="2391" w:type="dxa"/>
          </w:tcPr>
          <w:p w14:paraId="57DD3A88"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Identify and recalculate all potentially affected debts</w:t>
            </w:r>
          </w:p>
        </w:tc>
        <w:tc>
          <w:tcPr>
            <w:tcW w:w="3744" w:type="dxa"/>
          </w:tcPr>
          <w:p w14:paraId="5D1B48AC" w14:textId="77777777" w:rsidR="00C91FB8" w:rsidRPr="00607D45" w:rsidRDefault="00C91FB8" w:rsidP="00F25382">
            <w:pPr>
              <w:keepNext/>
              <w:keepLines/>
              <w:spacing w:before="120" w:after="120" w:line="240" w:lineRule="auto"/>
              <w:jc w:val="center"/>
              <w:rPr>
                <w:rFonts w:cs="Times New Roman"/>
              </w:rPr>
            </w:pPr>
            <w:r w:rsidRPr="00607D45">
              <w:rPr>
                <w:rFonts w:cs="Arial"/>
              </w:rPr>
              <w:t>$1,422.0 million</w:t>
            </w:r>
          </w:p>
        </w:tc>
        <w:tc>
          <w:tcPr>
            <w:tcW w:w="3493" w:type="dxa"/>
            <w:vMerge/>
          </w:tcPr>
          <w:p w14:paraId="7ABFE372" w14:textId="77777777" w:rsidR="00C91FB8" w:rsidRPr="00607D45" w:rsidRDefault="00C91FB8" w:rsidP="00F25382">
            <w:pPr>
              <w:keepNext/>
              <w:keepLines/>
              <w:spacing w:before="120" w:after="120" w:line="240" w:lineRule="auto"/>
              <w:jc w:val="center"/>
              <w:rPr>
                <w:rFonts w:cs="Times New Roman"/>
              </w:rPr>
            </w:pPr>
          </w:p>
        </w:tc>
      </w:tr>
      <w:tr w:rsidR="00C91FB8" w:rsidRPr="00607D45" w14:paraId="7409F9F9" w14:textId="77777777" w:rsidTr="00F25382">
        <w:trPr>
          <w:trHeight w:val="938"/>
        </w:trPr>
        <w:tc>
          <w:tcPr>
            <w:tcW w:w="2391" w:type="dxa"/>
          </w:tcPr>
          <w:p w14:paraId="51CCD976"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Retrospectively validate income apportionment</w:t>
            </w:r>
          </w:p>
        </w:tc>
        <w:tc>
          <w:tcPr>
            <w:tcW w:w="3744" w:type="dxa"/>
          </w:tcPr>
          <w:p w14:paraId="3ABF66A0" w14:textId="5407E3C9" w:rsidR="00C91FB8" w:rsidRPr="00607D45" w:rsidRDefault="00C91FB8" w:rsidP="00F25382">
            <w:pPr>
              <w:keepNext/>
              <w:keepLines/>
              <w:spacing w:before="120" w:after="120" w:line="240" w:lineRule="auto"/>
              <w:jc w:val="center"/>
              <w:rPr>
                <w:rFonts w:cs="Times New Roman"/>
              </w:rPr>
            </w:pPr>
            <w:r w:rsidRPr="00607D45">
              <w:rPr>
                <w:rFonts w:cs="Arial"/>
              </w:rPr>
              <w:t>$2.</w:t>
            </w:r>
            <w:r w:rsidR="3E407F86" w:rsidRPr="7A748401">
              <w:rPr>
                <w:rFonts w:cs="Arial"/>
              </w:rPr>
              <w:t>8</w:t>
            </w:r>
            <w:r w:rsidRPr="00607D45">
              <w:rPr>
                <w:rFonts w:cs="Arial"/>
              </w:rPr>
              <w:t xml:space="preserve"> million</w:t>
            </w:r>
          </w:p>
        </w:tc>
        <w:tc>
          <w:tcPr>
            <w:tcW w:w="3493" w:type="dxa"/>
            <w:vMerge/>
          </w:tcPr>
          <w:p w14:paraId="5BD0CB09" w14:textId="77777777" w:rsidR="00C91FB8" w:rsidRPr="00607D45" w:rsidRDefault="00C91FB8" w:rsidP="00F25382">
            <w:pPr>
              <w:keepNext/>
              <w:keepLines/>
              <w:spacing w:before="120" w:after="120" w:line="240" w:lineRule="auto"/>
              <w:jc w:val="center"/>
              <w:rPr>
                <w:rFonts w:cs="Times New Roman"/>
              </w:rPr>
            </w:pPr>
          </w:p>
        </w:tc>
      </w:tr>
      <w:tr w:rsidR="00C91FB8" w:rsidRPr="00607D45" w14:paraId="749AFB31" w14:textId="77777777" w:rsidTr="00F25382">
        <w:trPr>
          <w:trHeight w:val="938"/>
        </w:trPr>
        <w:tc>
          <w:tcPr>
            <w:tcW w:w="2391" w:type="dxa"/>
          </w:tcPr>
          <w:p w14:paraId="3DC7C044"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Retrospectively validate income apportionment and partial waiver of debts subject to related pauses</w:t>
            </w:r>
          </w:p>
        </w:tc>
        <w:tc>
          <w:tcPr>
            <w:tcW w:w="3744" w:type="dxa"/>
          </w:tcPr>
          <w:p w14:paraId="3327BF74" w14:textId="77777777" w:rsidR="00C91FB8" w:rsidRPr="00607D45" w:rsidRDefault="00C91FB8" w:rsidP="00F25382">
            <w:pPr>
              <w:keepNext/>
              <w:keepLines/>
              <w:spacing w:before="120" w:after="120" w:line="240" w:lineRule="auto"/>
              <w:jc w:val="center"/>
              <w:rPr>
                <w:rFonts w:cs="Times New Roman"/>
              </w:rPr>
            </w:pPr>
            <w:r w:rsidRPr="00607D45">
              <w:rPr>
                <w:rFonts w:cs="Arial"/>
              </w:rPr>
              <w:t>$-3.57 million</w:t>
            </w:r>
            <w:r w:rsidRPr="00607D45">
              <w:rPr>
                <w:rFonts w:cs="Arial"/>
                <w:i/>
                <w:iCs/>
              </w:rPr>
              <w:t xml:space="preserve"> in addition to retrospective validation</w:t>
            </w:r>
            <w:r w:rsidRPr="00607D45">
              <w:rPr>
                <w:rFonts w:cs="Arial"/>
              </w:rPr>
              <w:t xml:space="preserve"> </w:t>
            </w:r>
          </w:p>
        </w:tc>
        <w:tc>
          <w:tcPr>
            <w:tcW w:w="3493" w:type="dxa"/>
            <w:vMerge/>
          </w:tcPr>
          <w:p w14:paraId="16E89B50" w14:textId="77777777" w:rsidR="00C91FB8" w:rsidRPr="00607D45" w:rsidRDefault="00C91FB8" w:rsidP="00F25382">
            <w:pPr>
              <w:keepNext/>
              <w:keepLines/>
              <w:spacing w:before="120" w:after="120" w:line="240" w:lineRule="auto"/>
              <w:jc w:val="center"/>
              <w:rPr>
                <w:rFonts w:cs="Times New Roman"/>
              </w:rPr>
            </w:pPr>
          </w:p>
        </w:tc>
      </w:tr>
      <w:tr w:rsidR="00C91FB8" w:rsidRPr="00607D45" w14:paraId="558188D4" w14:textId="77777777" w:rsidTr="00F25382">
        <w:trPr>
          <w:trHeight w:val="938"/>
        </w:trPr>
        <w:tc>
          <w:tcPr>
            <w:tcW w:w="2391" w:type="dxa"/>
          </w:tcPr>
          <w:p w14:paraId="78A36A4D" w14:textId="77777777" w:rsidR="00C91FB8" w:rsidRPr="00607D45" w:rsidRDefault="00C91FB8" w:rsidP="00F25382">
            <w:pPr>
              <w:keepNext/>
              <w:keepLines/>
              <w:spacing w:before="120" w:after="120" w:line="240" w:lineRule="auto"/>
              <w:jc w:val="center"/>
              <w:rPr>
                <w:rFonts w:cs="Times New Roman"/>
                <w:b/>
                <w:bCs/>
              </w:rPr>
            </w:pPr>
            <w:r w:rsidRPr="00607D45">
              <w:rPr>
                <w:rFonts w:cs="Times New Roman"/>
                <w:b/>
                <w:bCs/>
              </w:rPr>
              <w:t xml:space="preserve">Retrospectively validate income apportionment with a resolution scheme </w:t>
            </w:r>
          </w:p>
        </w:tc>
        <w:tc>
          <w:tcPr>
            <w:tcW w:w="3744" w:type="dxa"/>
          </w:tcPr>
          <w:p w14:paraId="30321491" w14:textId="1827C2C0" w:rsidR="00C91FB8" w:rsidRPr="00607D45" w:rsidRDefault="002D2769" w:rsidP="00F25382">
            <w:pPr>
              <w:keepNext/>
              <w:keepLines/>
              <w:spacing w:before="120" w:after="120" w:line="240" w:lineRule="auto"/>
              <w:jc w:val="center"/>
              <w:rPr>
                <w:rFonts w:cs="Times New Roman"/>
              </w:rPr>
            </w:pPr>
            <w:r w:rsidRPr="0060413B">
              <w:t>$</w:t>
            </w:r>
            <w:r>
              <w:t xml:space="preserve">55.9 </w:t>
            </w:r>
            <w:r w:rsidRPr="0060413B">
              <w:t>million</w:t>
            </w:r>
            <w:r w:rsidRPr="00607D45" w:rsidDel="002D2769">
              <w:rPr>
                <w:rFonts w:cs="Arial"/>
              </w:rPr>
              <w:t xml:space="preserve"> </w:t>
            </w:r>
            <w:r w:rsidR="00C91FB8" w:rsidRPr="00607D45">
              <w:rPr>
                <w:rFonts w:cs="Arial"/>
                <w:i/>
                <w:iCs/>
              </w:rPr>
              <w:t>in addition to retrospective validation</w:t>
            </w:r>
          </w:p>
        </w:tc>
        <w:tc>
          <w:tcPr>
            <w:tcW w:w="3493" w:type="dxa"/>
            <w:vMerge/>
          </w:tcPr>
          <w:p w14:paraId="0C4BDD9D" w14:textId="77777777" w:rsidR="00C91FB8" w:rsidRPr="00607D45" w:rsidRDefault="00C91FB8" w:rsidP="00F25382">
            <w:pPr>
              <w:keepNext/>
              <w:keepLines/>
              <w:spacing w:before="120" w:after="120" w:line="240" w:lineRule="auto"/>
              <w:jc w:val="center"/>
              <w:rPr>
                <w:rFonts w:cs="Times New Roman"/>
              </w:rPr>
            </w:pPr>
          </w:p>
        </w:tc>
      </w:tr>
    </w:tbl>
    <w:p w14:paraId="5386E4D4" w14:textId="77777777" w:rsidR="00C91FB8" w:rsidRPr="00607D45" w:rsidRDefault="00C91FB8" w:rsidP="0012638D">
      <w:pPr>
        <w:spacing w:line="240" w:lineRule="auto"/>
        <w:rPr>
          <w:b/>
          <w:bCs/>
          <w:color w:val="004261" w:themeColor="text2"/>
          <w:szCs w:val="22"/>
        </w:rPr>
      </w:pPr>
    </w:p>
    <w:p w14:paraId="1C622F2F" w14:textId="77777777" w:rsidR="00AC6A7F" w:rsidRDefault="00AC6A7F" w:rsidP="0012638D">
      <w:pPr>
        <w:spacing w:after="200" w:line="240" w:lineRule="auto"/>
        <w:rPr>
          <w:rFonts w:asciiTheme="majorHAnsi" w:eastAsiaTheme="majorEastAsia" w:hAnsiTheme="majorHAnsi" w:cstheme="majorBidi"/>
          <w:color w:val="1C2B39" w:themeColor="accent1"/>
          <w:sz w:val="48"/>
          <w:szCs w:val="40"/>
        </w:rPr>
      </w:pPr>
      <w:bookmarkStart w:id="51" w:name="_Toc189673653"/>
      <w:bookmarkStart w:id="52" w:name="_Toc189673789"/>
      <w:bookmarkEnd w:id="50"/>
      <w:bookmarkEnd w:id="51"/>
      <w:bookmarkEnd w:id="52"/>
      <w:r>
        <w:br w:type="page"/>
      </w:r>
    </w:p>
    <w:p w14:paraId="1FDCAF2F" w14:textId="2FEFC4EB" w:rsidR="00010D52" w:rsidRDefault="00010D52" w:rsidP="0012638D">
      <w:pPr>
        <w:pStyle w:val="Heading1"/>
        <w:numPr>
          <w:ilvl w:val="0"/>
          <w:numId w:val="12"/>
        </w:numPr>
      </w:pPr>
      <w:bookmarkStart w:id="53" w:name="_Toc207097818"/>
      <w:r>
        <w:lastRenderedPageBreak/>
        <w:t>Who did you consult and how did you incorporate their feedback?</w:t>
      </w:r>
      <w:bookmarkEnd w:id="53"/>
    </w:p>
    <w:p w14:paraId="4C884B02" w14:textId="3141AF25" w:rsidR="00B710D8" w:rsidRDefault="00010D52" w:rsidP="0012638D">
      <w:pPr>
        <w:spacing w:before="120" w:after="120" w:line="240" w:lineRule="auto"/>
      </w:pPr>
      <w:r>
        <w:t xml:space="preserve">Addressing the issue of income apportionment is complex and challenging. </w:t>
      </w:r>
      <w:r w:rsidR="00B710D8">
        <w:t xml:space="preserve">Consultation has occurred across government </w:t>
      </w:r>
      <w:r>
        <w:t>to determine the solution</w:t>
      </w:r>
      <w:r w:rsidR="00B710D8">
        <w:t xml:space="preserve">. This has included engagement with </w:t>
      </w:r>
      <w:r>
        <w:t xml:space="preserve">Services Australia, the Department of </w:t>
      </w:r>
      <w:r w:rsidR="00402F6E">
        <w:t xml:space="preserve">the </w:t>
      </w:r>
      <w:r>
        <w:t xml:space="preserve">Prime </w:t>
      </w:r>
      <w:proofErr w:type="gramStart"/>
      <w:r>
        <w:t>Minister &amp;</w:t>
      </w:r>
      <w:proofErr w:type="gramEnd"/>
      <w:r>
        <w:t xml:space="preserve"> Cabinet, </w:t>
      </w:r>
      <w:r w:rsidR="00B710D8">
        <w:t xml:space="preserve">the Treasury, the </w:t>
      </w:r>
      <w:r>
        <w:t xml:space="preserve">Department of Finance, </w:t>
      </w:r>
      <w:r w:rsidR="00B710D8">
        <w:t>the Commonwealth Director of Public Prosecutions, the Attorney</w:t>
      </w:r>
      <w:r w:rsidR="00E02F09">
        <w:noBreakHyphen/>
      </w:r>
      <w:r w:rsidR="00B710D8">
        <w:t xml:space="preserve">General’s </w:t>
      </w:r>
      <w:r w:rsidR="00402F6E">
        <w:t>Portfolio</w:t>
      </w:r>
      <w:r w:rsidR="00B710D8">
        <w:t xml:space="preserve">, the Administrative Review Tribunal and others. </w:t>
      </w:r>
    </w:p>
    <w:p w14:paraId="10AC0B7B" w14:textId="453D493C" w:rsidR="00535336" w:rsidRDefault="00535336" w:rsidP="0012638D">
      <w:pPr>
        <w:spacing w:after="200" w:line="240" w:lineRule="auto"/>
      </w:pPr>
      <w:r>
        <w:t xml:space="preserve">The </w:t>
      </w:r>
      <w:r w:rsidR="0076538F">
        <w:t xml:space="preserve">intended purpose </w:t>
      </w:r>
      <w:r>
        <w:t>of consultation ha</w:t>
      </w:r>
      <w:r w:rsidR="005841E0">
        <w:t>s</w:t>
      </w:r>
      <w:r>
        <w:t xml:space="preserve"> been</w:t>
      </w:r>
      <w:r w:rsidR="0076538F">
        <w:t xml:space="preserve"> to</w:t>
      </w:r>
      <w:r>
        <w:t xml:space="preserve">: </w:t>
      </w:r>
    </w:p>
    <w:p w14:paraId="7F6D8900" w14:textId="767186AA" w:rsidR="00535336" w:rsidRDefault="00535336" w:rsidP="0012638D">
      <w:pPr>
        <w:pStyle w:val="ListParagraph"/>
        <w:numPr>
          <w:ilvl w:val="0"/>
          <w:numId w:val="32"/>
        </w:numPr>
        <w:spacing w:after="200" w:line="240" w:lineRule="auto"/>
      </w:pPr>
      <w:r>
        <w:t>Understand the scope and effect of income apportionment</w:t>
      </w:r>
      <w:r w:rsidR="006B40C1">
        <w:t>, and the impacts of potential options</w:t>
      </w:r>
      <w:r>
        <w:t xml:space="preserve">. </w:t>
      </w:r>
      <w:r w:rsidR="00286981">
        <w:t xml:space="preserve">This has involved </w:t>
      </w:r>
      <w:r w:rsidR="00192AC6">
        <w:t>understanding the views of advocacy organisations and those affected by income apportionment.</w:t>
      </w:r>
    </w:p>
    <w:p w14:paraId="7DEFE532" w14:textId="2B53168F" w:rsidR="00535336" w:rsidRDefault="00E20B67" w:rsidP="0012638D">
      <w:pPr>
        <w:pStyle w:val="ListParagraph"/>
        <w:numPr>
          <w:ilvl w:val="0"/>
          <w:numId w:val="32"/>
        </w:numPr>
        <w:spacing w:after="200" w:line="240" w:lineRule="auto"/>
      </w:pPr>
      <w:r>
        <w:t xml:space="preserve">Clarify </w:t>
      </w:r>
      <w:r w:rsidR="0076538F">
        <w:t>the correct interpretation of pre-December 2020 social security law and potential resolution options</w:t>
      </w:r>
      <w:r w:rsidR="00535336">
        <w:t xml:space="preserve">. </w:t>
      </w:r>
    </w:p>
    <w:p w14:paraId="68626885" w14:textId="5B2F6314" w:rsidR="0076538F" w:rsidRDefault="007B54E2" w:rsidP="0012638D">
      <w:pPr>
        <w:pStyle w:val="ListParagraph"/>
        <w:numPr>
          <w:ilvl w:val="0"/>
          <w:numId w:val="32"/>
        </w:numPr>
        <w:spacing w:after="200" w:line="240" w:lineRule="auto"/>
      </w:pPr>
      <w:r>
        <w:t>Understand t</w:t>
      </w:r>
      <w:r w:rsidR="0076538F">
        <w:t xml:space="preserve">he practical and resourcing implications of administering potential resolution options, based on extensive engagement </w:t>
      </w:r>
      <w:r w:rsidR="00963B3C">
        <w:t>across agencies</w:t>
      </w:r>
      <w:r w:rsidR="0076538F">
        <w:t xml:space="preserve">. </w:t>
      </w:r>
    </w:p>
    <w:p w14:paraId="71491D27" w14:textId="49E136E5" w:rsidR="00192AC6" w:rsidRPr="00AF6DB9" w:rsidRDefault="00192AC6" w:rsidP="0012638D">
      <w:pPr>
        <w:spacing w:after="200" w:line="240" w:lineRule="auto"/>
        <w:rPr>
          <w:rFonts w:asciiTheme="majorHAnsi" w:eastAsiaTheme="majorEastAsia" w:hAnsiTheme="majorHAnsi" w:cstheme="majorBidi"/>
          <w:color w:val="1C2B39" w:themeColor="accent1"/>
          <w:sz w:val="36"/>
          <w:szCs w:val="28"/>
        </w:rPr>
      </w:pPr>
      <w:r w:rsidRPr="00AF6DB9">
        <w:rPr>
          <w:rFonts w:asciiTheme="majorHAnsi" w:eastAsiaTheme="majorEastAsia" w:hAnsiTheme="majorHAnsi" w:cstheme="majorBidi"/>
          <w:color w:val="1C2B39" w:themeColor="accent1"/>
          <w:sz w:val="36"/>
          <w:szCs w:val="28"/>
        </w:rPr>
        <w:t xml:space="preserve">Understanding </w:t>
      </w:r>
      <w:r w:rsidR="00EA3A73" w:rsidRPr="00AF6DB9">
        <w:rPr>
          <w:rFonts w:asciiTheme="majorHAnsi" w:eastAsiaTheme="majorEastAsia" w:hAnsiTheme="majorHAnsi" w:cstheme="majorBidi"/>
          <w:color w:val="1C2B39" w:themeColor="accent1"/>
          <w:sz w:val="36"/>
          <w:szCs w:val="28"/>
        </w:rPr>
        <w:t xml:space="preserve">the </w:t>
      </w:r>
      <w:r w:rsidRPr="00AF6DB9">
        <w:rPr>
          <w:rFonts w:asciiTheme="majorHAnsi" w:eastAsiaTheme="majorEastAsia" w:hAnsiTheme="majorHAnsi" w:cstheme="majorBidi"/>
          <w:color w:val="1C2B39" w:themeColor="accent1"/>
          <w:sz w:val="36"/>
          <w:szCs w:val="28"/>
        </w:rPr>
        <w:t>impacts on affected persons</w:t>
      </w:r>
    </w:p>
    <w:p w14:paraId="4B7DCE55" w14:textId="5056F177" w:rsidR="00DA1D4B" w:rsidRDefault="00DA1D4B" w:rsidP="0012638D">
      <w:pPr>
        <w:spacing w:after="200" w:line="240" w:lineRule="auto"/>
      </w:pPr>
      <w:r>
        <w:rPr>
          <w:u w:val="single"/>
        </w:rPr>
        <w:t>Advocacy organisations</w:t>
      </w:r>
    </w:p>
    <w:p w14:paraId="644D651F" w14:textId="43F8DFC4" w:rsidR="00010D52" w:rsidRDefault="00B710D8" w:rsidP="0012638D">
      <w:pPr>
        <w:spacing w:after="200" w:line="240" w:lineRule="auto"/>
      </w:pPr>
      <w:r>
        <w:t>The Department of Social Services has met with key welfare rights organisations and oversight groups on the issue</w:t>
      </w:r>
      <w:r w:rsidR="00402F6E">
        <w:t xml:space="preserve">, </w:t>
      </w:r>
      <w:r w:rsidR="00010D52">
        <w:t>to gather their insight</w:t>
      </w:r>
      <w:r w:rsidR="00DE6432">
        <w:t>s</w:t>
      </w:r>
      <w:r w:rsidR="00010D52">
        <w:t xml:space="preserve"> and suggestions</w:t>
      </w:r>
      <w:r w:rsidR="00010D52" w:rsidRPr="00745DD0">
        <w:t>.</w:t>
      </w:r>
      <w:r w:rsidR="00535336" w:rsidRPr="00745DD0">
        <w:t xml:space="preserve"> </w:t>
      </w:r>
    </w:p>
    <w:p w14:paraId="4FC323E9" w14:textId="496F3DA8" w:rsidR="00192AC6" w:rsidRDefault="00EF73D1" w:rsidP="0012638D">
      <w:pPr>
        <w:spacing w:after="200" w:line="240" w:lineRule="auto"/>
      </w:pPr>
      <w:r>
        <w:t xml:space="preserve">The Department is aware of views held by advocacy groups which generally have advocated for </w:t>
      </w:r>
      <w:r w:rsidR="00F52DFD">
        <w:t xml:space="preserve">income </w:t>
      </w:r>
      <w:r>
        <w:t xml:space="preserve">apportionment </w:t>
      </w:r>
      <w:r w:rsidR="00F52DFD">
        <w:t xml:space="preserve">affected </w:t>
      </w:r>
      <w:r>
        <w:t xml:space="preserve">debts to be waived. </w:t>
      </w:r>
      <w:r w:rsidR="001813CB">
        <w:t>EJA has</w:t>
      </w:r>
      <w:r>
        <w:t xml:space="preserve"> </w:t>
      </w:r>
      <w:r w:rsidR="00F52DFD">
        <w:t xml:space="preserve">publicly </w:t>
      </w:r>
      <w:r>
        <w:t xml:space="preserve">called for </w:t>
      </w:r>
      <w:r w:rsidRPr="00745DD0">
        <w:rPr>
          <w:i/>
          <w:iCs/>
        </w:rPr>
        <w:t xml:space="preserve">current </w:t>
      </w:r>
      <w:r>
        <w:t>affected debts to be waived</w:t>
      </w:r>
      <w:r w:rsidR="00F52DFD">
        <w:rPr>
          <w:rStyle w:val="FootnoteReference"/>
        </w:rPr>
        <w:footnoteReference w:id="5"/>
      </w:r>
      <w:r>
        <w:t xml:space="preserve">, whereas </w:t>
      </w:r>
      <w:r w:rsidR="001813CB">
        <w:t>ACOSS has</w:t>
      </w:r>
      <w:r>
        <w:t xml:space="preserve"> called for </w:t>
      </w:r>
      <w:r w:rsidRPr="00745DD0">
        <w:rPr>
          <w:i/>
          <w:iCs/>
        </w:rPr>
        <w:t>all</w:t>
      </w:r>
      <w:r>
        <w:t xml:space="preserve"> affected debts to be waived</w:t>
      </w:r>
      <w:r w:rsidR="00F52DFD">
        <w:rPr>
          <w:rStyle w:val="FootnoteReference"/>
        </w:rPr>
        <w:footnoteReference w:id="6"/>
      </w:r>
      <w:r w:rsidR="006670FB">
        <w:t>. Further, in</w:t>
      </w:r>
      <w:r w:rsidR="007B3912">
        <w:t xml:space="preserve"> its report</w:t>
      </w:r>
      <w:r>
        <w:t xml:space="preserve"> </w:t>
      </w:r>
      <w:r w:rsidRPr="00745DD0">
        <w:rPr>
          <w:i/>
          <w:iCs/>
        </w:rPr>
        <w:t>Accountability in Action</w:t>
      </w:r>
      <w:r>
        <w:t xml:space="preserve"> the Commonwealth Ombudsman suggested consideration of a ‘large-scale</w:t>
      </w:r>
      <w:r w:rsidR="007B3912">
        <w:t xml:space="preserve"> waiver of debts’</w:t>
      </w:r>
      <w:r>
        <w:t xml:space="preserve">. </w:t>
      </w:r>
    </w:p>
    <w:p w14:paraId="561F0C18" w14:textId="42863086" w:rsidR="004F55AC" w:rsidRPr="00745DD0" w:rsidRDefault="004F55AC" w:rsidP="0012638D">
      <w:pPr>
        <w:spacing w:after="200" w:line="240" w:lineRule="auto"/>
      </w:pPr>
      <w:r w:rsidRPr="00745DD0">
        <w:t>The views of advocacy organisations have focussed on:</w:t>
      </w:r>
    </w:p>
    <w:p w14:paraId="4D1CCC39" w14:textId="643E869F" w:rsidR="004F55AC" w:rsidRPr="00745DD0" w:rsidRDefault="004F55AC" w:rsidP="0012638D">
      <w:pPr>
        <w:pStyle w:val="ListParagraph"/>
        <w:numPr>
          <w:ilvl w:val="0"/>
          <w:numId w:val="36"/>
        </w:numPr>
        <w:spacing w:after="200" w:line="240" w:lineRule="auto"/>
      </w:pPr>
      <w:r w:rsidRPr="00745DD0">
        <w:t xml:space="preserve">The scale of the issue, and the </w:t>
      </w:r>
      <w:r w:rsidR="00E761F1" w:rsidRPr="00745DD0">
        <w:t xml:space="preserve">high </w:t>
      </w:r>
      <w:r w:rsidRPr="00745DD0">
        <w:t>cost of recalculations</w:t>
      </w:r>
    </w:p>
    <w:p w14:paraId="5AC9A4AA" w14:textId="594F20AB" w:rsidR="004F55AC" w:rsidRPr="00745DD0" w:rsidRDefault="004F55AC" w:rsidP="0012638D">
      <w:pPr>
        <w:pStyle w:val="ListParagraph"/>
        <w:numPr>
          <w:ilvl w:val="0"/>
          <w:numId w:val="36"/>
        </w:numPr>
        <w:spacing w:after="200" w:line="240" w:lineRule="auto"/>
      </w:pPr>
      <w:r w:rsidRPr="00745DD0">
        <w:t xml:space="preserve">The potential for causing emotional and financial distress for those with potentially affected debts. </w:t>
      </w:r>
    </w:p>
    <w:p w14:paraId="45DCA4EC" w14:textId="1C14963E" w:rsidR="004F55AC" w:rsidRDefault="004F55AC" w:rsidP="0012638D">
      <w:pPr>
        <w:spacing w:after="200" w:line="240" w:lineRule="auto"/>
      </w:pPr>
      <w:r w:rsidRPr="00745DD0">
        <w:t xml:space="preserve">These views have been factored into the assessment of options </w:t>
      </w:r>
      <w:r w:rsidR="00CF1070" w:rsidRPr="00745DD0">
        <w:t xml:space="preserve">for this impact analysis. While advocacy </w:t>
      </w:r>
      <w:r w:rsidR="00E761F1" w:rsidRPr="00745DD0">
        <w:t>organisations</w:t>
      </w:r>
      <w:r w:rsidR="00CF1070" w:rsidRPr="00745DD0">
        <w:t xml:space="preserve"> have advocated for a waiver of potentially affected </w:t>
      </w:r>
      <w:r w:rsidR="00E761F1" w:rsidRPr="00745DD0">
        <w:t>debts</w:t>
      </w:r>
      <w:r w:rsidR="00CF1070" w:rsidRPr="00745DD0">
        <w:t xml:space="preserve">, these underlying </w:t>
      </w:r>
      <w:r w:rsidR="00CF1070" w:rsidRPr="00745DD0">
        <w:lastRenderedPageBreak/>
        <w:t xml:space="preserve">goals </w:t>
      </w:r>
      <w:r w:rsidR="00E761F1" w:rsidRPr="00745DD0">
        <w:t xml:space="preserve">of avoiding emotional and financial distress for affected persons can also be achieved by other </w:t>
      </w:r>
      <w:r w:rsidR="00DA1D4B" w:rsidRPr="00745DD0">
        <w:t xml:space="preserve">resolution approaches. </w:t>
      </w:r>
      <w:r w:rsidR="00CF1070" w:rsidRPr="00745DD0">
        <w:t xml:space="preserve"> </w:t>
      </w:r>
    </w:p>
    <w:p w14:paraId="78BFE87B" w14:textId="4F03410F" w:rsidR="00DA1D4B" w:rsidRPr="00745DD0" w:rsidRDefault="00DA1D4B" w:rsidP="0012638D">
      <w:pPr>
        <w:spacing w:after="200" w:line="240" w:lineRule="auto"/>
        <w:rPr>
          <w:u w:val="single"/>
        </w:rPr>
      </w:pPr>
      <w:r>
        <w:rPr>
          <w:u w:val="single"/>
        </w:rPr>
        <w:t>Affected individuals</w:t>
      </w:r>
    </w:p>
    <w:p w14:paraId="329F2792" w14:textId="0EB2FF0B" w:rsidR="003A067A" w:rsidRPr="00745DD0" w:rsidRDefault="00E71D73" w:rsidP="0012638D">
      <w:pPr>
        <w:spacing w:after="200" w:line="240" w:lineRule="auto"/>
      </w:pPr>
      <w:r w:rsidRPr="00745DD0">
        <w:t>Services Australia ha</w:t>
      </w:r>
      <w:r w:rsidR="005310FB">
        <w:t>s</w:t>
      </w:r>
      <w:r w:rsidR="003A067A" w:rsidRPr="00745DD0">
        <w:t>:</w:t>
      </w:r>
    </w:p>
    <w:p w14:paraId="72888842" w14:textId="5A670ACF" w:rsidR="003A067A" w:rsidRPr="00745DD0" w:rsidRDefault="003A067A" w:rsidP="0012638D">
      <w:pPr>
        <w:pStyle w:val="ListParagraph"/>
        <w:numPr>
          <w:ilvl w:val="0"/>
          <w:numId w:val="37"/>
        </w:numPr>
        <w:spacing w:after="200" w:line="240" w:lineRule="auto"/>
      </w:pPr>
      <w:r w:rsidRPr="00745DD0">
        <w:t>Engaged with affected individuals through the process of administering pauses on debt activity</w:t>
      </w:r>
      <w:r w:rsidR="00C3717A">
        <w:t>.</w:t>
      </w:r>
    </w:p>
    <w:p w14:paraId="73D9DF2D" w14:textId="5CD47FAB" w:rsidR="003A067A" w:rsidRPr="0068747D" w:rsidRDefault="003A6544" w:rsidP="0012638D">
      <w:pPr>
        <w:pStyle w:val="ListParagraph"/>
        <w:numPr>
          <w:ilvl w:val="0"/>
          <w:numId w:val="37"/>
        </w:numPr>
        <w:spacing w:after="200" w:line="240" w:lineRule="auto"/>
      </w:pPr>
      <w:r w:rsidRPr="00745DD0">
        <w:t xml:space="preserve">Received </w:t>
      </w:r>
      <w:r w:rsidR="009133E8">
        <w:t>contact</w:t>
      </w:r>
      <w:r w:rsidR="009133E8" w:rsidRPr="00745DD0">
        <w:t xml:space="preserve"> </w:t>
      </w:r>
      <w:r w:rsidR="00E71D73" w:rsidRPr="00745DD0">
        <w:t xml:space="preserve">from people </w:t>
      </w:r>
      <w:r w:rsidR="006670FB" w:rsidRPr="00745DD0">
        <w:t xml:space="preserve">affected by </w:t>
      </w:r>
      <w:r w:rsidR="00E71D73" w:rsidRPr="00745DD0">
        <w:t>income apportionment related pauses on debts</w:t>
      </w:r>
      <w:r w:rsidR="00C3717A">
        <w:t>.</w:t>
      </w:r>
      <w:r w:rsidR="006670FB" w:rsidRPr="00745DD0">
        <w:t xml:space="preserve"> </w:t>
      </w:r>
    </w:p>
    <w:p w14:paraId="2F1FDD2B" w14:textId="38445C0A" w:rsidR="003A6544" w:rsidRDefault="003A6544" w:rsidP="0012638D">
      <w:pPr>
        <w:pStyle w:val="ListParagraph"/>
        <w:numPr>
          <w:ilvl w:val="0"/>
          <w:numId w:val="37"/>
        </w:numPr>
        <w:spacing w:after="200" w:line="240" w:lineRule="auto"/>
      </w:pPr>
      <w:r>
        <w:t xml:space="preserve">Engaged with people appealing income apportionment affected debts through the Administrative Review Tribunal. </w:t>
      </w:r>
    </w:p>
    <w:p w14:paraId="02ABA66C" w14:textId="12BFE931" w:rsidR="00A4559A" w:rsidRPr="00745DD0" w:rsidRDefault="00A4559A" w:rsidP="0012638D">
      <w:pPr>
        <w:spacing w:after="200" w:line="240" w:lineRule="auto"/>
      </w:pPr>
      <w:r>
        <w:t>From this engagement, key lessons have been learn</w:t>
      </w:r>
      <w:r w:rsidR="00DD70EB">
        <w:t>t</w:t>
      </w:r>
      <w:r>
        <w:t xml:space="preserve"> on how the uncertainty and management of income apportionment has practically impacted the lives of people</w:t>
      </w:r>
      <w:r w:rsidR="00C3717A">
        <w:t xml:space="preserve"> affected by this issue</w:t>
      </w:r>
      <w:r>
        <w:t>:</w:t>
      </w:r>
    </w:p>
    <w:p w14:paraId="35D700B7" w14:textId="20CDDEB3" w:rsidR="002B1184" w:rsidRPr="0068747D" w:rsidRDefault="00A4559A" w:rsidP="0012638D">
      <w:pPr>
        <w:pStyle w:val="ListParagraph"/>
        <w:numPr>
          <w:ilvl w:val="0"/>
          <w:numId w:val="37"/>
        </w:numPr>
        <w:spacing w:after="200" w:line="240" w:lineRule="auto"/>
      </w:pPr>
      <w:r w:rsidRPr="00745DD0">
        <w:t xml:space="preserve">The ongoing uncertainty surrounding income apportionment affected debts has impacted </w:t>
      </w:r>
      <w:r w:rsidR="004430D0" w:rsidRPr="00745DD0">
        <w:t xml:space="preserve">the ability of debtors to take up </w:t>
      </w:r>
      <w:r w:rsidRPr="00745DD0">
        <w:t xml:space="preserve">employment and financial </w:t>
      </w:r>
      <w:r w:rsidR="004430D0" w:rsidRPr="00745DD0">
        <w:t>opportunities</w:t>
      </w:r>
      <w:r w:rsidRPr="00745DD0">
        <w:t xml:space="preserve"> </w:t>
      </w:r>
      <w:r w:rsidR="004430D0" w:rsidRPr="00745DD0">
        <w:t>(such as a</w:t>
      </w:r>
      <w:r w:rsidR="006670FB" w:rsidRPr="00745DD0">
        <w:t>ppl</w:t>
      </w:r>
      <w:r w:rsidR="004430D0" w:rsidRPr="00745DD0">
        <w:t>ying</w:t>
      </w:r>
      <w:r w:rsidR="006670FB" w:rsidRPr="00745DD0">
        <w:t xml:space="preserve"> for a loan)</w:t>
      </w:r>
      <w:r w:rsidR="00E71D73" w:rsidRPr="00745DD0">
        <w:t xml:space="preserve">. </w:t>
      </w:r>
      <w:r w:rsidR="004430D0" w:rsidRPr="00745DD0">
        <w:t>While</w:t>
      </w:r>
      <w:r w:rsidR="00E71D73" w:rsidRPr="00745DD0">
        <w:t xml:space="preserve"> people with paused debt reviews </w:t>
      </w:r>
      <w:r w:rsidR="00493BB4" w:rsidRPr="00745DD0">
        <w:t xml:space="preserve">can </w:t>
      </w:r>
      <w:r w:rsidR="00E71D73" w:rsidRPr="00745DD0">
        <w:t xml:space="preserve">request their review continues using the Department’s preferred recalculation methodology, provided informed consent has been given and the person is made aware their </w:t>
      </w:r>
      <w:r w:rsidR="00C55737">
        <w:t xml:space="preserve">debt </w:t>
      </w:r>
      <w:r w:rsidR="00021843">
        <w:t>was</w:t>
      </w:r>
      <w:r w:rsidR="00E71D73" w:rsidRPr="00745DD0">
        <w:t xml:space="preserve"> subject to the </w:t>
      </w:r>
      <w:r w:rsidR="00021843">
        <w:t xml:space="preserve">then forthcoming </w:t>
      </w:r>
      <w:r w:rsidR="00E71D73" w:rsidRPr="00745DD0">
        <w:t xml:space="preserve">decision of </w:t>
      </w:r>
      <w:r w:rsidR="00E71D73" w:rsidRPr="00745DD0">
        <w:rPr>
          <w:i/>
          <w:iCs/>
        </w:rPr>
        <w:t>Chaplin</w:t>
      </w:r>
      <w:r w:rsidR="00493BB4" w:rsidRPr="00745DD0">
        <w:t xml:space="preserve">, this is </w:t>
      </w:r>
      <w:r w:rsidR="002B1184" w:rsidRPr="00745DD0">
        <w:t>a temporary solution</w:t>
      </w:r>
      <w:r w:rsidR="00E71D73" w:rsidRPr="00745DD0">
        <w:t>.</w:t>
      </w:r>
      <w:r w:rsidR="002B1184" w:rsidRPr="0068747D">
        <w:t xml:space="preserve"> </w:t>
      </w:r>
      <w:r w:rsidR="002B1184" w:rsidRPr="00745DD0">
        <w:t xml:space="preserve">Resolving income apportionment as quickly as possible, with a view to providing people certainty around (a) whether they have a debt and (b) how they can repay that debt to discharge any remaining responsibilities to Government is essential to avoid continued adverse impacts on people’s lives. </w:t>
      </w:r>
    </w:p>
    <w:p w14:paraId="1ECDDB19" w14:textId="77777777" w:rsidR="00D317CA" w:rsidRDefault="00585FE3" w:rsidP="0012638D">
      <w:pPr>
        <w:spacing w:after="200" w:line="240" w:lineRule="auto"/>
      </w:pPr>
      <w:r>
        <w:t xml:space="preserve">Services Australia tested correspondence about income apportionment with </w:t>
      </w:r>
      <w:r w:rsidR="006A57DB">
        <w:t xml:space="preserve">customer reference groups. This customer testing has shown that explaining income apportionment is difficult, given the complexity of the issue. Any resolution approach that requires explaining complex recalculations to individuals risks these recalculations </w:t>
      </w:r>
      <w:r w:rsidR="00C96BBC">
        <w:t xml:space="preserve">and the intent of any process </w:t>
      </w:r>
      <w:r w:rsidR="006A57DB">
        <w:t>being poorly understood.</w:t>
      </w:r>
      <w:r w:rsidR="00C5374A">
        <w:t xml:space="preserve"> </w:t>
      </w:r>
    </w:p>
    <w:p w14:paraId="09838A42" w14:textId="66CE98EE" w:rsidR="00204183" w:rsidRPr="00745DD0" w:rsidRDefault="00270D76" w:rsidP="0012638D">
      <w:pPr>
        <w:spacing w:after="200" w:line="240" w:lineRule="auto"/>
        <w:rPr>
          <w:u w:val="single"/>
        </w:rPr>
      </w:pPr>
      <w:r>
        <w:rPr>
          <w:u w:val="single"/>
        </w:rPr>
        <w:t>Commonwealth O</w:t>
      </w:r>
      <w:r w:rsidR="00204183" w:rsidRPr="00745DD0">
        <w:rPr>
          <w:u w:val="single"/>
        </w:rPr>
        <w:t>mbudsman engagement</w:t>
      </w:r>
    </w:p>
    <w:p w14:paraId="7E0C3554" w14:textId="6761A748" w:rsidR="00180131" w:rsidRDefault="00204183" w:rsidP="0012638D">
      <w:pPr>
        <w:spacing w:after="200" w:line="240" w:lineRule="auto"/>
      </w:pPr>
      <w:r>
        <w:t xml:space="preserve">The Commonwealth Ombudsman investigated and published two reports regarding income apportionment - </w:t>
      </w:r>
      <w:r w:rsidRPr="00745DD0">
        <w:rPr>
          <w:i/>
          <w:iCs/>
        </w:rPr>
        <w:t>Lessons in lawfulness</w:t>
      </w:r>
      <w:r>
        <w:t xml:space="preserve"> in August 2023 and </w:t>
      </w:r>
      <w:r w:rsidRPr="00745DD0">
        <w:rPr>
          <w:i/>
          <w:iCs/>
        </w:rPr>
        <w:t>Accountability in Action: identifying, owning and fixing errors</w:t>
      </w:r>
      <w:r>
        <w:t xml:space="preserve"> in December 2023. The Department accepted</w:t>
      </w:r>
      <w:r w:rsidR="00372C06">
        <w:t xml:space="preserve"> or accepted in </w:t>
      </w:r>
      <w:r w:rsidR="00DF712C">
        <w:t>principle the</w:t>
      </w:r>
      <w:r>
        <w:t xml:space="preserve"> recommendations of these reports with the primary lessons revolving around acknowledging and acting on errors in a prompt manner while also being transparent and accountable in communication. These views of the Ombudsman have </w:t>
      </w:r>
      <w:r w:rsidR="00E54EFF">
        <w:t>informed the Department’s response to income apportionment, and consideration of</w:t>
      </w:r>
      <w:r>
        <w:t xml:space="preserve"> available options to resolve </w:t>
      </w:r>
      <w:r w:rsidR="00E54EFF">
        <w:t>this issue.</w:t>
      </w:r>
    </w:p>
    <w:p w14:paraId="6D65BCD6" w14:textId="77777777" w:rsidR="00AC6A7F" w:rsidRDefault="00AC6A7F" w:rsidP="0012638D">
      <w:pPr>
        <w:spacing w:after="200" w:line="240" w:lineRule="auto"/>
        <w:rPr>
          <w:u w:val="single"/>
        </w:rPr>
      </w:pPr>
    </w:p>
    <w:p w14:paraId="17A8D412" w14:textId="77777777" w:rsidR="00FD5F76" w:rsidRDefault="00FD5F76" w:rsidP="0012638D">
      <w:pPr>
        <w:spacing w:after="200" w:line="240" w:lineRule="auto"/>
        <w:rPr>
          <w:u w:val="single"/>
        </w:rPr>
      </w:pPr>
      <w:r>
        <w:rPr>
          <w:u w:val="single"/>
        </w:rPr>
        <w:br w:type="page"/>
      </w:r>
    </w:p>
    <w:p w14:paraId="2CE3CBC4" w14:textId="3C655CE0" w:rsidR="003E7D76" w:rsidRPr="00AF6DB9" w:rsidRDefault="003E7D76" w:rsidP="0012638D">
      <w:pPr>
        <w:spacing w:after="200" w:line="240" w:lineRule="auto"/>
        <w:rPr>
          <w:u w:val="single"/>
        </w:rPr>
      </w:pPr>
      <w:r w:rsidRPr="00AF6DB9">
        <w:rPr>
          <w:u w:val="single"/>
        </w:rPr>
        <w:lastRenderedPageBreak/>
        <w:t>Summary of stakeholder views and option development</w:t>
      </w:r>
    </w:p>
    <w:tbl>
      <w:tblPr>
        <w:tblStyle w:val="TableGrid"/>
        <w:tblW w:w="0" w:type="auto"/>
        <w:tblLayout w:type="fixed"/>
        <w:tblLook w:val="04A0" w:firstRow="1" w:lastRow="0" w:firstColumn="1" w:lastColumn="0" w:noHBand="0" w:noVBand="1"/>
      </w:tblPr>
      <w:tblGrid>
        <w:gridCol w:w="2686"/>
        <w:gridCol w:w="2356"/>
        <w:gridCol w:w="4367"/>
      </w:tblGrid>
      <w:tr w:rsidR="004251ED" w:rsidRPr="004251ED" w14:paraId="64954E3E" w14:textId="5CADA44F" w:rsidTr="00312B42">
        <w:trPr>
          <w:trHeight w:val="539"/>
        </w:trPr>
        <w:tc>
          <w:tcPr>
            <w:tcW w:w="2686" w:type="dxa"/>
          </w:tcPr>
          <w:p w14:paraId="1CA67A55" w14:textId="150B58E6" w:rsidR="004251ED" w:rsidRPr="00AF6DB9" w:rsidRDefault="004251ED" w:rsidP="0012638D">
            <w:pPr>
              <w:spacing w:after="200" w:line="240" w:lineRule="auto"/>
              <w:rPr>
                <w:b/>
                <w:bCs/>
              </w:rPr>
            </w:pPr>
            <w:r w:rsidRPr="00AF6DB9">
              <w:rPr>
                <w:b/>
                <w:bCs/>
              </w:rPr>
              <w:t xml:space="preserve">Feedback </w:t>
            </w:r>
          </w:p>
        </w:tc>
        <w:tc>
          <w:tcPr>
            <w:tcW w:w="2356" w:type="dxa"/>
          </w:tcPr>
          <w:p w14:paraId="39AFDFE1" w14:textId="4832BABE" w:rsidR="004251ED" w:rsidRPr="00EE4622" w:rsidRDefault="004251ED" w:rsidP="0012638D">
            <w:pPr>
              <w:spacing w:after="200" w:line="240" w:lineRule="auto"/>
              <w:rPr>
                <w:b/>
                <w:bCs/>
              </w:rPr>
            </w:pPr>
            <w:r>
              <w:rPr>
                <w:b/>
                <w:bCs/>
              </w:rPr>
              <w:t xml:space="preserve">Stakeholders </w:t>
            </w:r>
          </w:p>
        </w:tc>
        <w:tc>
          <w:tcPr>
            <w:tcW w:w="4367" w:type="dxa"/>
          </w:tcPr>
          <w:p w14:paraId="0C855A7F" w14:textId="767C71AE" w:rsidR="004251ED" w:rsidRPr="00AF6DB9" w:rsidRDefault="004251ED" w:rsidP="0012638D">
            <w:pPr>
              <w:spacing w:after="200" w:line="240" w:lineRule="auto"/>
              <w:rPr>
                <w:b/>
                <w:bCs/>
              </w:rPr>
            </w:pPr>
            <w:r w:rsidRPr="00EE4622">
              <w:rPr>
                <w:b/>
                <w:bCs/>
              </w:rPr>
              <w:t>Action taken</w:t>
            </w:r>
          </w:p>
        </w:tc>
      </w:tr>
      <w:tr w:rsidR="004251ED" w:rsidRPr="004251ED" w14:paraId="071DAFFE" w14:textId="72ED6DE9" w:rsidTr="00312B42">
        <w:trPr>
          <w:trHeight w:val="3354"/>
        </w:trPr>
        <w:tc>
          <w:tcPr>
            <w:tcW w:w="2686" w:type="dxa"/>
          </w:tcPr>
          <w:p w14:paraId="4EE78F44" w14:textId="6C6EE401" w:rsidR="004251ED" w:rsidRPr="00AF6DB9" w:rsidRDefault="004251ED" w:rsidP="0012638D">
            <w:pPr>
              <w:spacing w:after="200" w:line="240" w:lineRule="auto"/>
            </w:pPr>
            <w:r w:rsidRPr="00AF6DB9">
              <w:t>Income apportionment debts should be waived</w:t>
            </w:r>
          </w:p>
        </w:tc>
        <w:tc>
          <w:tcPr>
            <w:tcW w:w="2356" w:type="dxa"/>
          </w:tcPr>
          <w:p w14:paraId="5349957F" w14:textId="77777777" w:rsidR="004251ED" w:rsidRPr="00AF6DB9" w:rsidRDefault="004251ED" w:rsidP="0012638D">
            <w:pPr>
              <w:spacing w:after="200" w:line="240" w:lineRule="auto"/>
            </w:pPr>
            <w:r w:rsidRPr="00AF6DB9">
              <w:t xml:space="preserve">EJA </w:t>
            </w:r>
          </w:p>
          <w:p w14:paraId="200B2425" w14:textId="77777777" w:rsidR="004251ED" w:rsidRDefault="004251ED" w:rsidP="0012638D">
            <w:pPr>
              <w:spacing w:after="200" w:line="240" w:lineRule="auto"/>
            </w:pPr>
            <w:r w:rsidRPr="00AF6DB9">
              <w:t>ACOSS</w:t>
            </w:r>
          </w:p>
          <w:p w14:paraId="0147EFCA" w14:textId="09752BD0" w:rsidR="00112D6F" w:rsidRPr="00AF6DB9" w:rsidRDefault="00112D6F" w:rsidP="0012638D">
            <w:pPr>
              <w:spacing w:after="200" w:line="240" w:lineRule="auto"/>
            </w:pPr>
            <w:r>
              <w:t>Legal Aid</w:t>
            </w:r>
          </w:p>
          <w:p w14:paraId="24700F61" w14:textId="782AE0E9" w:rsidR="004251ED" w:rsidRPr="00AF6DB9" w:rsidRDefault="004251ED" w:rsidP="0012638D">
            <w:pPr>
              <w:spacing w:after="200" w:line="240" w:lineRule="auto"/>
            </w:pPr>
            <w:r w:rsidRPr="00AF6DB9">
              <w:t>Commonwealth Ombudsman</w:t>
            </w:r>
          </w:p>
        </w:tc>
        <w:tc>
          <w:tcPr>
            <w:tcW w:w="4367" w:type="dxa"/>
          </w:tcPr>
          <w:p w14:paraId="199E7131" w14:textId="34FC3C1D" w:rsidR="004251ED" w:rsidRPr="00AF6DB9" w:rsidRDefault="004251ED" w:rsidP="0012638D">
            <w:pPr>
              <w:spacing w:after="200" w:line="240" w:lineRule="auto"/>
            </w:pPr>
            <w:r w:rsidRPr="00AF6DB9">
              <w:t xml:space="preserve">Options were developed and considered to understand the impacts of waiving these debts. This includes all potentially affected debts (Option 2 - waive all debts) and for just those debts affected by the pauses (Option 5 - retrospective validation and partial waiver). </w:t>
            </w:r>
          </w:p>
        </w:tc>
      </w:tr>
      <w:tr w:rsidR="004251ED" w:rsidRPr="004251ED" w14:paraId="414A3791" w14:textId="77777777" w:rsidTr="00312B42">
        <w:trPr>
          <w:trHeight w:val="1602"/>
        </w:trPr>
        <w:tc>
          <w:tcPr>
            <w:tcW w:w="2686" w:type="dxa"/>
          </w:tcPr>
          <w:p w14:paraId="75B1F115" w14:textId="3C60E5DD" w:rsidR="004251ED" w:rsidRPr="00AF6DB9" w:rsidRDefault="004251ED" w:rsidP="0012638D">
            <w:pPr>
              <w:spacing w:after="200" w:line="240" w:lineRule="auto"/>
            </w:pPr>
            <w:r w:rsidRPr="00AF6DB9">
              <w:t>Recalculating debts is time consuming</w:t>
            </w:r>
            <w:r w:rsidR="0040231C">
              <w:t>,</w:t>
            </w:r>
            <w:r w:rsidRPr="00AF6DB9">
              <w:t xml:space="preserve"> and </w:t>
            </w:r>
            <w:r w:rsidR="0040231C">
              <w:t>a</w:t>
            </w:r>
            <w:r w:rsidR="0040231C" w:rsidDel="005841E0">
              <w:t xml:space="preserve"> </w:t>
            </w:r>
            <w:r w:rsidRPr="00AF6DB9">
              <w:t>large-scale undertaking</w:t>
            </w:r>
          </w:p>
        </w:tc>
        <w:tc>
          <w:tcPr>
            <w:tcW w:w="2356" w:type="dxa"/>
          </w:tcPr>
          <w:p w14:paraId="2EDB4048" w14:textId="5AA0BEC2" w:rsidR="004251ED" w:rsidRDefault="004251ED" w:rsidP="0012638D">
            <w:pPr>
              <w:spacing w:after="200" w:line="240" w:lineRule="auto"/>
            </w:pPr>
            <w:r>
              <w:t>Advocacy groups</w:t>
            </w:r>
          </w:p>
          <w:p w14:paraId="467A9D54" w14:textId="23197728" w:rsidR="004251ED" w:rsidRPr="00AF6DB9" w:rsidRDefault="004251ED" w:rsidP="0012638D">
            <w:pPr>
              <w:spacing w:after="200" w:line="240" w:lineRule="auto"/>
            </w:pPr>
            <w:r>
              <w:t xml:space="preserve">Services Australia engagement </w:t>
            </w:r>
          </w:p>
        </w:tc>
        <w:tc>
          <w:tcPr>
            <w:tcW w:w="4367" w:type="dxa"/>
          </w:tcPr>
          <w:p w14:paraId="372C807E" w14:textId="43E95083" w:rsidR="004251ED" w:rsidRPr="00AF6DB9" w:rsidRDefault="004251ED" w:rsidP="0012638D">
            <w:pPr>
              <w:spacing w:after="200" w:line="240" w:lineRule="auto"/>
            </w:pPr>
            <w:r w:rsidRPr="00AF6DB9">
              <w:t xml:space="preserve">Option 3 was developed and considered to understand the impacts of identifying and recalculating debts. </w:t>
            </w:r>
          </w:p>
        </w:tc>
      </w:tr>
      <w:tr w:rsidR="004251ED" w14:paraId="3BD82FC6" w14:textId="77777777" w:rsidTr="00312B42">
        <w:trPr>
          <w:trHeight w:val="3594"/>
        </w:trPr>
        <w:tc>
          <w:tcPr>
            <w:tcW w:w="2686" w:type="dxa"/>
          </w:tcPr>
          <w:p w14:paraId="77B4F44F" w14:textId="12D5B687" w:rsidR="004251ED" w:rsidRPr="00AF6DB9" w:rsidRDefault="004251ED" w:rsidP="0012638D">
            <w:pPr>
              <w:spacing w:after="200" w:line="240" w:lineRule="auto"/>
            </w:pPr>
            <w:r w:rsidRPr="00AF6DB9">
              <w:t>Emotional and financial distress should be avoided. People require certainty.</w:t>
            </w:r>
          </w:p>
        </w:tc>
        <w:tc>
          <w:tcPr>
            <w:tcW w:w="2356" w:type="dxa"/>
          </w:tcPr>
          <w:p w14:paraId="0BFB7882" w14:textId="77777777" w:rsidR="004251ED" w:rsidRPr="00AF6DB9" w:rsidRDefault="004251ED" w:rsidP="0012638D">
            <w:pPr>
              <w:spacing w:after="200" w:line="240" w:lineRule="auto"/>
            </w:pPr>
            <w:r w:rsidRPr="00AF6DB9">
              <w:t>Advocacy groups</w:t>
            </w:r>
          </w:p>
          <w:p w14:paraId="740D75BB" w14:textId="19526C43" w:rsidR="004251ED" w:rsidRPr="00AF6DB9" w:rsidRDefault="004251ED" w:rsidP="0012638D">
            <w:pPr>
              <w:spacing w:after="200" w:line="240" w:lineRule="auto"/>
            </w:pPr>
            <w:r w:rsidRPr="00AF6DB9">
              <w:t>Services Australia engagement</w:t>
            </w:r>
          </w:p>
        </w:tc>
        <w:tc>
          <w:tcPr>
            <w:tcW w:w="4367" w:type="dxa"/>
          </w:tcPr>
          <w:p w14:paraId="6A3385DB" w14:textId="6C5F1172" w:rsidR="004251ED" w:rsidRDefault="004251ED" w:rsidP="0012638D">
            <w:pPr>
              <w:spacing w:line="240" w:lineRule="auto"/>
            </w:pPr>
            <w:r w:rsidRPr="00AF6DB9">
              <w:t xml:space="preserve">Option 4, to retrospectively validate all affected debts will confirm historical and current debts amounts and provide certainty. Options 5 and 6 include this certainty through retrospective validation and consider </w:t>
            </w:r>
            <w:r w:rsidR="005841E0">
              <w:t>additional</w:t>
            </w:r>
            <w:r w:rsidR="005841E0" w:rsidRPr="00AF6DB9">
              <w:t xml:space="preserve"> </w:t>
            </w:r>
            <w:r w:rsidRPr="00AF6DB9">
              <w:t>approaches for those affected.</w:t>
            </w:r>
          </w:p>
          <w:p w14:paraId="648ACC9B" w14:textId="55A31FB0" w:rsidR="004251ED" w:rsidRDefault="004251ED" w:rsidP="0012638D">
            <w:pPr>
              <w:spacing w:after="200" w:line="240" w:lineRule="auto"/>
            </w:pPr>
          </w:p>
        </w:tc>
      </w:tr>
    </w:tbl>
    <w:p w14:paraId="3DDDB6E5" w14:textId="5C4BEBD0" w:rsidR="00180131" w:rsidRDefault="00180131" w:rsidP="0012638D">
      <w:pPr>
        <w:spacing w:after="200" w:line="240" w:lineRule="auto"/>
        <w:sectPr w:rsidR="00180131" w:rsidSect="0074162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843" w:left="1134" w:header="993" w:footer="709" w:gutter="0"/>
          <w:cols w:space="708"/>
          <w:titlePg/>
          <w:docGrid w:linePitch="360"/>
        </w:sectPr>
      </w:pPr>
    </w:p>
    <w:p w14:paraId="308D1CC0" w14:textId="1B616D53" w:rsidR="00204183" w:rsidRDefault="00204183" w:rsidP="0012638D">
      <w:pPr>
        <w:spacing w:after="200" w:line="240" w:lineRule="auto"/>
      </w:pPr>
    </w:p>
    <w:p w14:paraId="3079C339" w14:textId="066EC3E6" w:rsidR="00E54EFF" w:rsidRPr="00745DD0" w:rsidRDefault="00E54EFF" w:rsidP="0012638D">
      <w:pPr>
        <w:pStyle w:val="Heading3"/>
        <w:spacing w:line="240" w:lineRule="auto"/>
        <w:rPr>
          <w:color w:val="004261" w:themeColor="text2"/>
          <w:szCs w:val="22"/>
        </w:rPr>
      </w:pPr>
      <w:r w:rsidRPr="00745DD0">
        <w:rPr>
          <w:color w:val="004261" w:themeColor="text2"/>
          <w:sz w:val="22"/>
          <w:szCs w:val="22"/>
        </w:rPr>
        <w:t>Summary of the Department and Service Australia’s responses to Ombudsman recommendations and suggestion</w:t>
      </w:r>
      <w:r>
        <w:rPr>
          <w:color w:val="004261" w:themeColor="text2"/>
          <w:sz w:val="22"/>
          <w:szCs w:val="22"/>
        </w:rPr>
        <w:t xml:space="preserve"> – Lesson in Lawfulness</w:t>
      </w:r>
    </w:p>
    <w:tbl>
      <w:tblPr>
        <w:tblStyle w:val="TableGrid"/>
        <w:tblW w:w="0" w:type="auto"/>
        <w:tblLook w:val="04A0" w:firstRow="1" w:lastRow="0" w:firstColumn="1" w:lastColumn="0" w:noHBand="0" w:noVBand="1"/>
      </w:tblPr>
      <w:tblGrid>
        <w:gridCol w:w="4672"/>
        <w:gridCol w:w="6993"/>
        <w:gridCol w:w="3723"/>
      </w:tblGrid>
      <w:tr w:rsidR="00112D6F" w14:paraId="4F5B64D4" w14:textId="035C1779" w:rsidTr="00745DD0">
        <w:trPr>
          <w:trHeight w:val="699"/>
        </w:trPr>
        <w:tc>
          <w:tcPr>
            <w:tcW w:w="0" w:type="auto"/>
          </w:tcPr>
          <w:p w14:paraId="39C246DD" w14:textId="6692F28B" w:rsidR="00A2324A" w:rsidRPr="00745DD0" w:rsidRDefault="00A2324A" w:rsidP="0012638D">
            <w:pPr>
              <w:spacing w:after="200" w:line="240" w:lineRule="auto"/>
              <w:rPr>
                <w:b/>
                <w:bCs/>
              </w:rPr>
            </w:pPr>
            <w:r w:rsidRPr="00745DD0">
              <w:rPr>
                <w:b/>
                <w:bCs/>
              </w:rPr>
              <w:t>Ombudsman recommendations and suggestion</w:t>
            </w:r>
          </w:p>
        </w:tc>
        <w:tc>
          <w:tcPr>
            <w:tcW w:w="0" w:type="auto"/>
          </w:tcPr>
          <w:p w14:paraId="6D2569DE" w14:textId="7D1B948C" w:rsidR="00A2324A" w:rsidRPr="00745DD0" w:rsidRDefault="00A2324A" w:rsidP="0012638D">
            <w:pPr>
              <w:spacing w:after="200" w:line="240" w:lineRule="auto"/>
              <w:rPr>
                <w:b/>
                <w:bCs/>
              </w:rPr>
            </w:pPr>
            <w:r w:rsidRPr="00745DD0">
              <w:rPr>
                <w:b/>
                <w:bCs/>
              </w:rPr>
              <w:t xml:space="preserve">Summary of </w:t>
            </w:r>
            <w:r>
              <w:rPr>
                <w:b/>
                <w:bCs/>
              </w:rPr>
              <w:t xml:space="preserve">the Department </w:t>
            </w:r>
            <w:r w:rsidRPr="00745DD0">
              <w:rPr>
                <w:b/>
                <w:bCs/>
              </w:rPr>
              <w:t>and Services Australia’s joint response</w:t>
            </w:r>
          </w:p>
        </w:tc>
        <w:tc>
          <w:tcPr>
            <w:tcW w:w="0" w:type="auto"/>
          </w:tcPr>
          <w:p w14:paraId="7EFD1E85" w14:textId="6733633B" w:rsidR="00A2324A" w:rsidRPr="00A2324A" w:rsidRDefault="00867F06" w:rsidP="0012638D">
            <w:pPr>
              <w:spacing w:after="200" w:line="240" w:lineRule="auto"/>
              <w:rPr>
                <w:b/>
                <w:bCs/>
              </w:rPr>
            </w:pPr>
            <w:r>
              <w:rPr>
                <w:b/>
                <w:bCs/>
              </w:rPr>
              <w:t>Interaction with</w:t>
            </w:r>
            <w:r w:rsidR="00A2324A">
              <w:rPr>
                <w:b/>
                <w:bCs/>
              </w:rPr>
              <w:t xml:space="preserve"> options development</w:t>
            </w:r>
          </w:p>
        </w:tc>
      </w:tr>
      <w:tr w:rsidR="00112D6F" w14:paraId="675D9F46" w14:textId="4F88E2E8" w:rsidTr="004251ED">
        <w:tc>
          <w:tcPr>
            <w:tcW w:w="0" w:type="auto"/>
          </w:tcPr>
          <w:p w14:paraId="135AAFE7" w14:textId="77777777" w:rsidR="004251ED" w:rsidRPr="008C4ECA" w:rsidRDefault="004251ED" w:rsidP="0012638D">
            <w:pPr>
              <w:spacing w:after="200" w:line="240" w:lineRule="auto"/>
            </w:pPr>
            <w:r w:rsidRPr="008C4ECA">
              <w:rPr>
                <w:b/>
                <w:bCs/>
              </w:rPr>
              <w:t>Recommendation 1 – Option A – SOLICITOR-GENERAL OPINION</w:t>
            </w:r>
            <w:r w:rsidRPr="008C4ECA">
              <w:t xml:space="preserve"> </w:t>
            </w:r>
          </w:p>
          <w:p w14:paraId="00380A89" w14:textId="1F81D30D" w:rsidR="004251ED" w:rsidRPr="008C4ECA" w:rsidRDefault="004251ED" w:rsidP="0012638D">
            <w:pPr>
              <w:spacing w:after="200" w:line="240" w:lineRule="auto"/>
            </w:pPr>
            <w:r w:rsidRPr="008C4ECA">
              <w:t>“We recommend DSS, in consultation with Services Australia, seeks Solicitor-General opinion, through an Attorney-General referral under the Law Officers Act 1964, on two issues.”</w:t>
            </w:r>
          </w:p>
        </w:tc>
        <w:tc>
          <w:tcPr>
            <w:tcW w:w="0" w:type="auto"/>
            <w:vAlign w:val="center"/>
          </w:tcPr>
          <w:p w14:paraId="2E7C088B" w14:textId="77777777" w:rsidR="004251ED" w:rsidRPr="008C4ECA" w:rsidRDefault="004251ED" w:rsidP="0012638D">
            <w:pPr>
              <w:pStyle w:val="NormalWeb"/>
              <w:spacing w:line="240" w:lineRule="auto"/>
              <w:rPr>
                <w:rFonts w:asciiTheme="minorHAnsi" w:hAnsiTheme="minorHAnsi" w:cstheme="minorBidi"/>
                <w:sz w:val="22"/>
                <w:szCs w:val="21"/>
              </w:rPr>
            </w:pPr>
            <w:r w:rsidRPr="008C4ECA">
              <w:rPr>
                <w:rFonts w:asciiTheme="minorHAnsi" w:hAnsiTheme="minorHAnsi" w:cstheme="minorBidi"/>
                <w:sz w:val="22"/>
                <w:szCs w:val="21"/>
              </w:rPr>
              <w:t>In response to this recommendation, in 2023 DSS and Services Australia advised:</w:t>
            </w:r>
          </w:p>
          <w:p w14:paraId="1C531CF3" w14:textId="77777777" w:rsidR="004251ED" w:rsidRPr="008C4ECA" w:rsidRDefault="004251ED" w:rsidP="0012638D">
            <w:pPr>
              <w:pStyle w:val="NormalWeb"/>
              <w:spacing w:line="240" w:lineRule="auto"/>
              <w:rPr>
                <w:rFonts w:asciiTheme="minorHAnsi" w:hAnsiTheme="minorHAnsi" w:cstheme="minorBidi"/>
                <w:sz w:val="22"/>
                <w:szCs w:val="21"/>
              </w:rPr>
            </w:pPr>
            <w:r w:rsidRPr="008C4ECA">
              <w:rPr>
                <w:rFonts w:asciiTheme="minorHAnsi" w:hAnsiTheme="minorHAnsi" w:cstheme="minorBidi"/>
                <w:sz w:val="22"/>
                <w:szCs w:val="21"/>
              </w:rPr>
              <w:t>“DSS and Services Australia approached the Solicitor-General. The Solicitor-General declined to provide advice, stating Services Australia and DSS should first share the different legal advices between the legal professionals involved to see whether the legal professionals can agree. The agencies have shared all legal advices with the legal professionals and are in discussions to see whether the different views can be bridged by discussion.”</w:t>
            </w:r>
          </w:p>
          <w:p w14:paraId="00F8E45E" w14:textId="7A91CB2B" w:rsidR="004251ED" w:rsidRPr="008C4ECA" w:rsidRDefault="004251ED" w:rsidP="0012638D">
            <w:pPr>
              <w:pStyle w:val="ListParagraph"/>
              <w:spacing w:after="200" w:line="240" w:lineRule="auto"/>
            </w:pPr>
            <w:r w:rsidRPr="008C4ECA">
              <w:t> </w:t>
            </w:r>
          </w:p>
        </w:tc>
        <w:tc>
          <w:tcPr>
            <w:tcW w:w="0" w:type="auto"/>
          </w:tcPr>
          <w:p w14:paraId="5175AB3B" w14:textId="40B98FC5" w:rsidR="004251ED" w:rsidRPr="008C4ECA" w:rsidRDefault="008C4ECA" w:rsidP="0012638D">
            <w:pPr>
              <w:spacing w:after="200" w:line="240" w:lineRule="auto"/>
            </w:pPr>
            <w:r w:rsidRPr="008C4ECA">
              <w:t>Legal advice has been appropriately sought and considered throughout</w:t>
            </w:r>
            <w:r w:rsidR="00073EE3">
              <w:t xml:space="preserve"> the</w:t>
            </w:r>
            <w:r w:rsidRPr="008C4ECA">
              <w:t xml:space="preserve"> development of options for income apportionment resolution. </w:t>
            </w:r>
          </w:p>
        </w:tc>
      </w:tr>
      <w:tr w:rsidR="00112D6F" w14:paraId="5370797F" w14:textId="2A36E52E" w:rsidTr="00745DD0">
        <w:tc>
          <w:tcPr>
            <w:tcW w:w="0" w:type="auto"/>
          </w:tcPr>
          <w:p w14:paraId="17C1CEB3" w14:textId="77777777" w:rsidR="00A2324A" w:rsidRDefault="00A2324A" w:rsidP="0012638D">
            <w:pPr>
              <w:spacing w:after="200" w:line="240" w:lineRule="auto"/>
            </w:pPr>
            <w:r w:rsidRPr="00745DD0">
              <w:rPr>
                <w:b/>
                <w:bCs/>
              </w:rPr>
              <w:t>Recommendation 1 – Option B – REFER QUESTION OF LAW TO FEDERAL COURT</w:t>
            </w:r>
            <w:r>
              <w:t xml:space="preserve"> </w:t>
            </w:r>
          </w:p>
          <w:p w14:paraId="0DB42054" w14:textId="35D6CAE5" w:rsidR="00A2324A" w:rsidRDefault="00A2324A" w:rsidP="0012638D">
            <w:pPr>
              <w:spacing w:after="200" w:line="240" w:lineRule="auto"/>
            </w:pPr>
            <w:r>
              <w:t>“We recommend DSS and Services Australia seek Federal Court opinion, through referral by the Administrative Appeals Tribunal, under the Administrative Appeals Tribunal Act 1975.”</w:t>
            </w:r>
          </w:p>
        </w:tc>
        <w:tc>
          <w:tcPr>
            <w:tcW w:w="0" w:type="auto"/>
          </w:tcPr>
          <w:p w14:paraId="0FDFE2AA" w14:textId="1490AFCD" w:rsidR="00CE3F8A" w:rsidRDefault="00DF712C" w:rsidP="0012638D">
            <w:pPr>
              <w:spacing w:after="200" w:line="240" w:lineRule="auto"/>
            </w:pPr>
            <w:r>
              <w:t>C</w:t>
            </w:r>
            <w:r w:rsidR="00CE3F8A">
              <w:t xml:space="preserve">ompleted </w:t>
            </w:r>
          </w:p>
          <w:p w14:paraId="699E530E" w14:textId="084D1309" w:rsidR="00A2324A" w:rsidRDefault="00A2324A" w:rsidP="0012638D">
            <w:pPr>
              <w:spacing w:after="200" w:line="240" w:lineRule="auto"/>
            </w:pPr>
            <w:r>
              <w:t xml:space="preserve">The Department and Services Australia initially expressed a strong preference to resolve the issue using recommendation 1 – Option A. However, Services Australia and DSS committed to monitoring the AAT caseload to identify a test case, making relevant inquiries to the Federal Court and AAT. </w:t>
            </w:r>
          </w:p>
          <w:p w14:paraId="5248F1C8" w14:textId="162D2B2B" w:rsidR="00A2324A" w:rsidRDefault="00A2324A" w:rsidP="0012638D">
            <w:pPr>
              <w:spacing w:after="200" w:line="240" w:lineRule="auto"/>
            </w:pPr>
            <w:r>
              <w:t xml:space="preserve">The correct calculation methodology for income apportionment affected debts was referred to the Federal Court in </w:t>
            </w:r>
            <w:r w:rsidRPr="00745DD0">
              <w:rPr>
                <w:i/>
                <w:iCs/>
              </w:rPr>
              <w:t>Chaplin.</w:t>
            </w:r>
            <w:r>
              <w:t xml:space="preserve"> </w:t>
            </w:r>
          </w:p>
        </w:tc>
        <w:tc>
          <w:tcPr>
            <w:tcW w:w="0" w:type="auto"/>
          </w:tcPr>
          <w:p w14:paraId="1702DB06" w14:textId="0DB4FF54" w:rsidR="00A2324A" w:rsidRPr="00745DD0" w:rsidRDefault="00C07A42" w:rsidP="0012638D">
            <w:pPr>
              <w:spacing w:after="200" w:line="240" w:lineRule="auto"/>
            </w:pPr>
            <w:r>
              <w:t>A case (</w:t>
            </w:r>
            <w:r w:rsidRPr="00745DD0">
              <w:rPr>
                <w:i/>
                <w:iCs/>
              </w:rPr>
              <w:t>Chaplin</w:t>
            </w:r>
            <w:r>
              <w:t xml:space="preserve">) was referred to the Presidential Bench of the AAT, and Subsequently appealed to the Full Federal Court. </w:t>
            </w:r>
          </w:p>
        </w:tc>
      </w:tr>
      <w:tr w:rsidR="00112D6F" w14:paraId="64180770" w14:textId="63992954" w:rsidTr="00745DD0">
        <w:tc>
          <w:tcPr>
            <w:tcW w:w="0" w:type="auto"/>
          </w:tcPr>
          <w:p w14:paraId="1CF1CFEF" w14:textId="6656FE9F" w:rsidR="00A2324A" w:rsidRDefault="00A2324A" w:rsidP="0012638D">
            <w:pPr>
              <w:spacing w:after="200" w:line="240" w:lineRule="auto"/>
            </w:pPr>
            <w:r w:rsidRPr="00745DD0">
              <w:rPr>
                <w:b/>
                <w:bCs/>
              </w:rPr>
              <w:t>Recommendation 2 – DEVELOP POLICY POSITION ON SECRETARY-INITIATED REVIEWS</w:t>
            </w:r>
            <w:r>
              <w:t xml:space="preserve"> </w:t>
            </w:r>
          </w:p>
        </w:tc>
        <w:tc>
          <w:tcPr>
            <w:tcW w:w="0" w:type="auto"/>
          </w:tcPr>
          <w:p w14:paraId="03C2D2A7" w14:textId="28B97633" w:rsidR="00A2324A" w:rsidRDefault="00A2324A" w:rsidP="0012638D">
            <w:pPr>
              <w:spacing w:after="200" w:line="240" w:lineRule="auto"/>
            </w:pPr>
            <w:r w:rsidRPr="00745DD0">
              <w:t>Partially accepted</w:t>
            </w:r>
            <w:r w:rsidR="00841974">
              <w:t xml:space="preserve"> and completed </w:t>
            </w:r>
          </w:p>
        </w:tc>
        <w:tc>
          <w:tcPr>
            <w:tcW w:w="0" w:type="auto"/>
          </w:tcPr>
          <w:p w14:paraId="05D3658B" w14:textId="01D39287" w:rsidR="00A2324A" w:rsidRPr="00A2324A" w:rsidRDefault="00841974" w:rsidP="0012638D">
            <w:pPr>
              <w:spacing w:after="200" w:line="240" w:lineRule="auto"/>
            </w:pPr>
            <w:r>
              <w:t>N/A</w:t>
            </w:r>
          </w:p>
        </w:tc>
      </w:tr>
      <w:tr w:rsidR="00112D6F" w14:paraId="457F013F" w14:textId="19EB39CC" w:rsidTr="00745DD0">
        <w:tc>
          <w:tcPr>
            <w:tcW w:w="0" w:type="auto"/>
          </w:tcPr>
          <w:p w14:paraId="08E24B6D" w14:textId="2DDDF127" w:rsidR="00A2324A" w:rsidRPr="00745DD0" w:rsidRDefault="00A2324A" w:rsidP="0012638D">
            <w:pPr>
              <w:spacing w:after="200" w:line="240" w:lineRule="auto"/>
              <w:rPr>
                <w:b/>
                <w:bCs/>
              </w:rPr>
            </w:pPr>
            <w:r w:rsidRPr="00745DD0">
              <w:rPr>
                <w:b/>
                <w:bCs/>
              </w:rPr>
              <w:lastRenderedPageBreak/>
              <w:t xml:space="preserve">Recommendation 3 – DEVELOP </w:t>
            </w:r>
            <w:r>
              <w:rPr>
                <w:b/>
                <w:bCs/>
              </w:rPr>
              <w:t xml:space="preserve">PROSECTUTIONS </w:t>
            </w:r>
            <w:r w:rsidRPr="00745DD0">
              <w:rPr>
                <w:b/>
                <w:bCs/>
              </w:rPr>
              <w:t xml:space="preserve">STRATEGY IN CONSULTATION WITH CDPP </w:t>
            </w:r>
          </w:p>
        </w:tc>
        <w:tc>
          <w:tcPr>
            <w:tcW w:w="0" w:type="auto"/>
          </w:tcPr>
          <w:p w14:paraId="26692AEE" w14:textId="77777777" w:rsidR="00A2324A" w:rsidRPr="00A2324A" w:rsidRDefault="00A2324A" w:rsidP="0012638D">
            <w:pPr>
              <w:spacing w:after="200" w:line="240" w:lineRule="auto"/>
            </w:pPr>
            <w:r w:rsidRPr="00FF4FB6">
              <w:t xml:space="preserve">Accepted and completed </w:t>
            </w:r>
          </w:p>
          <w:p w14:paraId="6C74521D" w14:textId="5DF0F2B6" w:rsidR="00A2324A" w:rsidRPr="00745DD0" w:rsidRDefault="00A2324A" w:rsidP="0012638D">
            <w:pPr>
              <w:spacing w:after="200" w:line="240" w:lineRule="auto"/>
              <w:rPr>
                <w:b/>
                <w:bCs/>
              </w:rPr>
            </w:pPr>
          </w:p>
        </w:tc>
        <w:tc>
          <w:tcPr>
            <w:tcW w:w="0" w:type="auto"/>
          </w:tcPr>
          <w:p w14:paraId="701518B4" w14:textId="62D9DB00" w:rsidR="00A2324A" w:rsidRPr="00FF4FB6" w:rsidRDefault="00841974" w:rsidP="0012638D">
            <w:pPr>
              <w:spacing w:after="200" w:line="240" w:lineRule="auto"/>
            </w:pPr>
            <w:r>
              <w:t xml:space="preserve">Prosecutions strategy will inform approach to this cohort in resolution approach. </w:t>
            </w:r>
          </w:p>
        </w:tc>
      </w:tr>
      <w:tr w:rsidR="00112D6F" w14:paraId="58F94B99" w14:textId="7461AA2C" w:rsidTr="00745DD0">
        <w:tc>
          <w:tcPr>
            <w:tcW w:w="0" w:type="auto"/>
          </w:tcPr>
          <w:p w14:paraId="761574DA" w14:textId="460814A5" w:rsidR="00A2324A" w:rsidRPr="00745DD0" w:rsidRDefault="00A2324A" w:rsidP="0012638D">
            <w:pPr>
              <w:spacing w:after="200" w:line="240" w:lineRule="auto"/>
              <w:rPr>
                <w:b/>
                <w:bCs/>
              </w:rPr>
            </w:pPr>
            <w:r w:rsidRPr="00745DD0">
              <w:rPr>
                <w:b/>
                <w:bCs/>
              </w:rPr>
              <w:t xml:space="preserve">Recommendation 4 – PROVIDE DOCUMENTS TO THE CDPP </w:t>
            </w:r>
          </w:p>
        </w:tc>
        <w:tc>
          <w:tcPr>
            <w:tcW w:w="0" w:type="auto"/>
          </w:tcPr>
          <w:p w14:paraId="65D82435" w14:textId="7D921B3F" w:rsidR="00A2324A" w:rsidRPr="00A2324A" w:rsidRDefault="00A2324A" w:rsidP="0012638D">
            <w:pPr>
              <w:spacing w:after="200" w:line="240" w:lineRule="auto"/>
            </w:pPr>
            <w:r w:rsidRPr="00745DD0">
              <w:t xml:space="preserve">Accepted and completed </w:t>
            </w:r>
          </w:p>
          <w:p w14:paraId="3030BE17" w14:textId="607EB5D3" w:rsidR="00A2324A" w:rsidRDefault="00A2324A" w:rsidP="0012638D">
            <w:pPr>
              <w:spacing w:after="200" w:line="240" w:lineRule="auto"/>
            </w:pPr>
          </w:p>
        </w:tc>
        <w:tc>
          <w:tcPr>
            <w:tcW w:w="0" w:type="auto"/>
          </w:tcPr>
          <w:p w14:paraId="61CA52B1" w14:textId="274BD196" w:rsidR="00A2324A" w:rsidRPr="00A2324A" w:rsidRDefault="00841974" w:rsidP="0012638D">
            <w:pPr>
              <w:spacing w:after="200" w:line="240" w:lineRule="auto"/>
            </w:pPr>
            <w:r>
              <w:t>N/A</w:t>
            </w:r>
          </w:p>
        </w:tc>
      </w:tr>
      <w:tr w:rsidR="00112D6F" w14:paraId="405386A8" w14:textId="29D3421E" w:rsidTr="00745DD0">
        <w:tc>
          <w:tcPr>
            <w:tcW w:w="0" w:type="auto"/>
          </w:tcPr>
          <w:p w14:paraId="345F9824" w14:textId="394755D3" w:rsidR="00A2324A" w:rsidRPr="00745DD0" w:rsidRDefault="00A2324A" w:rsidP="0012638D">
            <w:pPr>
              <w:spacing w:after="200" w:line="240" w:lineRule="auto"/>
              <w:rPr>
                <w:b/>
                <w:bCs/>
              </w:rPr>
            </w:pPr>
            <w:r w:rsidRPr="00745DD0">
              <w:rPr>
                <w:b/>
                <w:bCs/>
              </w:rPr>
              <w:t xml:space="preserve">Suggestion 1 – Decide responsibility for future significant legal issues reporting </w:t>
            </w:r>
          </w:p>
        </w:tc>
        <w:tc>
          <w:tcPr>
            <w:tcW w:w="0" w:type="auto"/>
          </w:tcPr>
          <w:p w14:paraId="6B67C18C" w14:textId="77777777" w:rsidR="00A2324A" w:rsidRPr="00A2324A" w:rsidRDefault="00A2324A" w:rsidP="0012638D">
            <w:pPr>
              <w:spacing w:after="200" w:line="240" w:lineRule="auto"/>
            </w:pPr>
            <w:r w:rsidRPr="00FF4FB6">
              <w:t xml:space="preserve">Accepted and completed </w:t>
            </w:r>
          </w:p>
          <w:p w14:paraId="525C7724" w14:textId="13043F19" w:rsidR="00A2324A" w:rsidRDefault="00A2324A" w:rsidP="0012638D">
            <w:pPr>
              <w:spacing w:after="200" w:line="240" w:lineRule="auto"/>
            </w:pPr>
          </w:p>
        </w:tc>
        <w:tc>
          <w:tcPr>
            <w:tcW w:w="0" w:type="auto"/>
          </w:tcPr>
          <w:p w14:paraId="289C4F5E" w14:textId="4E41165F" w:rsidR="00A2324A" w:rsidRPr="00FF4FB6" w:rsidRDefault="00841974" w:rsidP="0012638D">
            <w:pPr>
              <w:spacing w:after="200" w:line="240" w:lineRule="auto"/>
            </w:pPr>
            <w:r>
              <w:t>N/A</w:t>
            </w:r>
          </w:p>
        </w:tc>
      </w:tr>
    </w:tbl>
    <w:p w14:paraId="3A3C535C" w14:textId="77777777" w:rsidR="004115F1" w:rsidRDefault="004115F1" w:rsidP="0012638D">
      <w:pPr>
        <w:spacing w:after="200" w:line="240" w:lineRule="auto"/>
      </w:pPr>
    </w:p>
    <w:p w14:paraId="15FC1CF5" w14:textId="77777777" w:rsidR="00753DFE" w:rsidRPr="00745DD0" w:rsidRDefault="00753DFE" w:rsidP="0012638D">
      <w:pPr>
        <w:spacing w:line="240" w:lineRule="auto"/>
      </w:pPr>
    </w:p>
    <w:p w14:paraId="3DA2BA45" w14:textId="73B3E14D" w:rsidR="004115F1" w:rsidRPr="00745DD0" w:rsidRDefault="004115F1" w:rsidP="0012638D">
      <w:pPr>
        <w:pStyle w:val="Heading3"/>
        <w:spacing w:line="240" w:lineRule="auto"/>
        <w:rPr>
          <w:color w:val="004261" w:themeColor="text2"/>
          <w:szCs w:val="22"/>
        </w:rPr>
      </w:pPr>
      <w:r w:rsidRPr="00FF4FB6">
        <w:rPr>
          <w:color w:val="004261" w:themeColor="text2"/>
          <w:sz w:val="22"/>
          <w:szCs w:val="22"/>
        </w:rPr>
        <w:t>Summary of the Department and Service Australia’s responses to Ombudsman recommendations</w:t>
      </w:r>
      <w:r>
        <w:rPr>
          <w:color w:val="004261" w:themeColor="text2"/>
          <w:sz w:val="22"/>
          <w:szCs w:val="22"/>
        </w:rPr>
        <w:t xml:space="preserve">– Accountability in Action </w:t>
      </w:r>
    </w:p>
    <w:tbl>
      <w:tblPr>
        <w:tblStyle w:val="TableGrid"/>
        <w:tblW w:w="0" w:type="auto"/>
        <w:tblLook w:val="04A0" w:firstRow="1" w:lastRow="0" w:firstColumn="1" w:lastColumn="0" w:noHBand="0" w:noVBand="1"/>
      </w:tblPr>
      <w:tblGrid>
        <w:gridCol w:w="7228"/>
        <w:gridCol w:w="2789"/>
        <w:gridCol w:w="5371"/>
      </w:tblGrid>
      <w:tr w:rsidR="00524D67" w14:paraId="1C93FA36" w14:textId="6950C199" w:rsidTr="00753DFE">
        <w:tc>
          <w:tcPr>
            <w:tcW w:w="0" w:type="auto"/>
          </w:tcPr>
          <w:p w14:paraId="201EC126" w14:textId="240FD1DF" w:rsidR="00841974" w:rsidRDefault="00841974" w:rsidP="0012638D">
            <w:pPr>
              <w:spacing w:after="200" w:line="240" w:lineRule="auto"/>
            </w:pPr>
            <w:r w:rsidRPr="00FF4FB6">
              <w:rPr>
                <w:b/>
                <w:bCs/>
              </w:rPr>
              <w:t>Ombudsman recommendations and suggestion</w:t>
            </w:r>
          </w:p>
        </w:tc>
        <w:tc>
          <w:tcPr>
            <w:tcW w:w="0" w:type="auto"/>
          </w:tcPr>
          <w:p w14:paraId="56E4A4D2" w14:textId="0DF31A54" w:rsidR="00841974" w:rsidRDefault="00841974" w:rsidP="0012638D">
            <w:pPr>
              <w:spacing w:after="200" w:line="240" w:lineRule="auto"/>
            </w:pPr>
            <w:r w:rsidRPr="00FF4FB6">
              <w:rPr>
                <w:b/>
                <w:bCs/>
              </w:rPr>
              <w:t xml:space="preserve">Summary of </w:t>
            </w:r>
            <w:r>
              <w:rPr>
                <w:b/>
                <w:bCs/>
              </w:rPr>
              <w:t xml:space="preserve">the Department </w:t>
            </w:r>
            <w:r w:rsidRPr="00FF4FB6">
              <w:rPr>
                <w:b/>
                <w:bCs/>
              </w:rPr>
              <w:t>and Services Australia’s joint response</w:t>
            </w:r>
          </w:p>
        </w:tc>
        <w:tc>
          <w:tcPr>
            <w:tcW w:w="0" w:type="auto"/>
          </w:tcPr>
          <w:p w14:paraId="5A1FFFB2" w14:textId="7DEB43A8" w:rsidR="00841974" w:rsidRPr="00FF4FB6" w:rsidRDefault="00867F06" w:rsidP="0012638D">
            <w:pPr>
              <w:spacing w:after="200" w:line="240" w:lineRule="auto"/>
              <w:rPr>
                <w:b/>
                <w:bCs/>
              </w:rPr>
            </w:pPr>
            <w:r>
              <w:rPr>
                <w:b/>
                <w:bCs/>
              </w:rPr>
              <w:t>Interaction with</w:t>
            </w:r>
            <w:r w:rsidR="00841974">
              <w:rPr>
                <w:b/>
                <w:bCs/>
              </w:rPr>
              <w:t xml:space="preserve"> options development</w:t>
            </w:r>
          </w:p>
        </w:tc>
      </w:tr>
      <w:tr w:rsidR="00524D67" w14:paraId="1DF178AA" w14:textId="18A125D6" w:rsidTr="00753DFE">
        <w:tc>
          <w:tcPr>
            <w:tcW w:w="0" w:type="auto"/>
          </w:tcPr>
          <w:p w14:paraId="73F2AEFF" w14:textId="37CD62D1" w:rsidR="00841974" w:rsidRPr="00745DD0" w:rsidRDefault="00841974" w:rsidP="0012638D">
            <w:pPr>
              <w:spacing w:after="200" w:line="240" w:lineRule="auto"/>
              <w:rPr>
                <w:b/>
                <w:bCs/>
              </w:rPr>
            </w:pPr>
            <w:r w:rsidRPr="00745DD0">
              <w:rPr>
                <w:b/>
                <w:bCs/>
              </w:rPr>
              <w:t xml:space="preserve">Recommendation 1 – Develop a strategy for sampling potentially affected historic debts, underpayments, AAT decisions and CDPP referred debts. </w:t>
            </w:r>
          </w:p>
        </w:tc>
        <w:tc>
          <w:tcPr>
            <w:tcW w:w="0" w:type="auto"/>
          </w:tcPr>
          <w:p w14:paraId="3A077AAA" w14:textId="77777777" w:rsidR="00CE3F8A" w:rsidRPr="00A2324A" w:rsidRDefault="00CE3F8A" w:rsidP="0012638D">
            <w:pPr>
              <w:spacing w:after="200" w:line="240" w:lineRule="auto"/>
            </w:pPr>
            <w:r w:rsidRPr="00FF4FB6">
              <w:t xml:space="preserve">Accepted and completed </w:t>
            </w:r>
          </w:p>
          <w:p w14:paraId="4030747B" w14:textId="32F9F3B7" w:rsidR="00841974" w:rsidRPr="00745DD0" w:rsidRDefault="00841974" w:rsidP="0012638D">
            <w:pPr>
              <w:spacing w:after="200" w:line="240" w:lineRule="auto"/>
              <w:rPr>
                <w:b/>
                <w:bCs/>
              </w:rPr>
            </w:pPr>
          </w:p>
        </w:tc>
        <w:tc>
          <w:tcPr>
            <w:tcW w:w="0" w:type="auto"/>
          </w:tcPr>
          <w:p w14:paraId="793531DE" w14:textId="2A362ACC" w:rsidR="00841974" w:rsidRPr="00745DD0" w:rsidRDefault="00841974" w:rsidP="0012638D">
            <w:pPr>
              <w:spacing w:after="200" w:line="240" w:lineRule="auto"/>
            </w:pPr>
            <w:r w:rsidRPr="00745DD0">
              <w:t>Exploratory sampling was used to inform deliberations about impacts of potential options on historical and current cohort with potentially affected debts</w:t>
            </w:r>
          </w:p>
        </w:tc>
      </w:tr>
      <w:tr w:rsidR="00524D67" w14:paraId="5969CB10" w14:textId="08C71B85" w:rsidTr="00753DFE">
        <w:tc>
          <w:tcPr>
            <w:tcW w:w="0" w:type="auto"/>
          </w:tcPr>
          <w:p w14:paraId="53AECD66" w14:textId="275244B2" w:rsidR="00841974" w:rsidRPr="00745DD0" w:rsidRDefault="00841974" w:rsidP="0012638D">
            <w:pPr>
              <w:spacing w:after="200" w:line="240" w:lineRule="auto"/>
              <w:rPr>
                <w:b/>
                <w:bCs/>
              </w:rPr>
            </w:pPr>
            <w:r w:rsidRPr="00745DD0">
              <w:rPr>
                <w:b/>
                <w:bCs/>
              </w:rPr>
              <w:t xml:space="preserve">Recommendation 2 – Develop an overarching remediation strategy for income apportionment affected decisions. </w:t>
            </w:r>
          </w:p>
        </w:tc>
        <w:tc>
          <w:tcPr>
            <w:tcW w:w="0" w:type="auto"/>
          </w:tcPr>
          <w:p w14:paraId="7049E4C2" w14:textId="56D7321E" w:rsidR="00CE3F8A" w:rsidRPr="00A2324A" w:rsidRDefault="00CE3F8A" w:rsidP="0012638D">
            <w:pPr>
              <w:spacing w:after="200" w:line="240" w:lineRule="auto"/>
            </w:pPr>
            <w:r w:rsidRPr="00FF4FB6">
              <w:t xml:space="preserve">Accepted and </w:t>
            </w:r>
            <w:r w:rsidR="002D6076">
              <w:t>ongoing</w:t>
            </w:r>
            <w:r w:rsidRPr="00FF4FB6">
              <w:t xml:space="preserve"> </w:t>
            </w:r>
          </w:p>
          <w:p w14:paraId="740AB25F" w14:textId="48834DBB" w:rsidR="00841974" w:rsidRPr="00745DD0" w:rsidRDefault="00841974" w:rsidP="0012638D">
            <w:pPr>
              <w:spacing w:after="200" w:line="240" w:lineRule="auto"/>
              <w:rPr>
                <w:b/>
                <w:bCs/>
              </w:rPr>
            </w:pPr>
          </w:p>
        </w:tc>
        <w:tc>
          <w:tcPr>
            <w:tcW w:w="0" w:type="auto"/>
          </w:tcPr>
          <w:p w14:paraId="5977792F" w14:textId="3BDC9249" w:rsidR="00841974" w:rsidRPr="00745DD0" w:rsidRDefault="00524D67" w:rsidP="0012638D">
            <w:pPr>
              <w:spacing w:after="200" w:line="240" w:lineRule="auto"/>
            </w:pPr>
            <w:r>
              <w:t xml:space="preserve">This impact analysis is part of the broader Government consideration of overarching remediation for income apportionment affected maters. </w:t>
            </w:r>
            <w:r w:rsidR="00867F06">
              <w:t xml:space="preserve"> </w:t>
            </w:r>
          </w:p>
        </w:tc>
      </w:tr>
      <w:tr w:rsidR="00524D67" w14:paraId="29DFEE23" w14:textId="5770DEEF" w:rsidTr="00753DFE">
        <w:tc>
          <w:tcPr>
            <w:tcW w:w="0" w:type="auto"/>
          </w:tcPr>
          <w:p w14:paraId="55F22882" w14:textId="77777777" w:rsidR="00841974" w:rsidRPr="00745DD0" w:rsidRDefault="00841974" w:rsidP="0012638D">
            <w:pPr>
              <w:spacing w:after="200" w:line="240" w:lineRule="auto"/>
              <w:rPr>
                <w:b/>
                <w:bCs/>
              </w:rPr>
            </w:pPr>
            <w:r w:rsidRPr="00745DD0">
              <w:rPr>
                <w:b/>
                <w:bCs/>
              </w:rPr>
              <w:lastRenderedPageBreak/>
              <w:t>Recommendation 3 – Develop strategy for managing income apportionment-affected reviews</w:t>
            </w:r>
          </w:p>
          <w:p w14:paraId="4AA01C06" w14:textId="4ECC4741" w:rsidR="00841974" w:rsidRDefault="00841974" w:rsidP="0012638D">
            <w:pPr>
              <w:spacing w:after="200" w:line="240" w:lineRule="auto"/>
            </w:pPr>
          </w:p>
        </w:tc>
        <w:tc>
          <w:tcPr>
            <w:tcW w:w="0" w:type="auto"/>
          </w:tcPr>
          <w:p w14:paraId="5A387719" w14:textId="77777777" w:rsidR="00CE3F8A" w:rsidRPr="00A2324A" w:rsidRDefault="00CE3F8A" w:rsidP="0012638D">
            <w:pPr>
              <w:spacing w:after="200" w:line="240" w:lineRule="auto"/>
            </w:pPr>
            <w:r w:rsidRPr="00FF4FB6">
              <w:t xml:space="preserve">Accepted and completed </w:t>
            </w:r>
          </w:p>
          <w:p w14:paraId="7B5FEBA4" w14:textId="03FB4952" w:rsidR="00841974" w:rsidRPr="00745DD0" w:rsidRDefault="00841974" w:rsidP="0012638D">
            <w:pPr>
              <w:spacing w:after="200" w:line="240" w:lineRule="auto"/>
              <w:rPr>
                <w:b/>
                <w:bCs/>
              </w:rPr>
            </w:pPr>
          </w:p>
        </w:tc>
        <w:tc>
          <w:tcPr>
            <w:tcW w:w="0" w:type="auto"/>
          </w:tcPr>
          <w:p w14:paraId="20254F04" w14:textId="63DA02B0" w:rsidR="00841974" w:rsidRPr="00841974" w:rsidRDefault="00867F06" w:rsidP="0012638D">
            <w:pPr>
              <w:spacing w:after="200" w:line="240" w:lineRule="auto"/>
              <w:rPr>
                <w:b/>
                <w:bCs/>
              </w:rPr>
            </w:pPr>
            <w:r>
              <w:t>Options for managing income apportionment affected reviews developed as set out in this Impact Analysis.</w:t>
            </w:r>
          </w:p>
        </w:tc>
      </w:tr>
      <w:tr w:rsidR="00524D67" w14:paraId="39DC36D4" w14:textId="52551E46" w:rsidTr="00753DFE">
        <w:tc>
          <w:tcPr>
            <w:tcW w:w="0" w:type="auto"/>
          </w:tcPr>
          <w:p w14:paraId="58F1716E" w14:textId="77777777" w:rsidR="00841974" w:rsidRPr="00745DD0" w:rsidRDefault="00841974" w:rsidP="0012638D">
            <w:pPr>
              <w:spacing w:after="200" w:line="240" w:lineRule="auto"/>
              <w:rPr>
                <w:b/>
                <w:bCs/>
              </w:rPr>
            </w:pPr>
            <w:r w:rsidRPr="00745DD0">
              <w:rPr>
                <w:b/>
                <w:bCs/>
              </w:rPr>
              <w:t xml:space="preserve">Recommendation 4 – Update decision-making procedures </w:t>
            </w:r>
          </w:p>
          <w:p w14:paraId="0EBF7C6D" w14:textId="5D1E047D" w:rsidR="00841974" w:rsidRDefault="00841974" w:rsidP="0012638D">
            <w:pPr>
              <w:spacing w:after="200" w:line="240" w:lineRule="auto"/>
            </w:pPr>
            <w:r>
              <w:t>“We recommend Services Australia updates its procedures for recalculating income apportionment affected decisions following a settled legal position on how to lawfully calculate its decisions</w:t>
            </w:r>
            <w:r w:rsidR="00CE3F8A">
              <w:t>…”</w:t>
            </w:r>
          </w:p>
        </w:tc>
        <w:tc>
          <w:tcPr>
            <w:tcW w:w="0" w:type="auto"/>
          </w:tcPr>
          <w:p w14:paraId="25CC8A85" w14:textId="77777777" w:rsidR="00CE3F8A" w:rsidRPr="00A2324A" w:rsidRDefault="00CE3F8A" w:rsidP="0012638D">
            <w:pPr>
              <w:spacing w:after="200" w:line="240" w:lineRule="auto"/>
            </w:pPr>
            <w:r w:rsidRPr="00FF4FB6">
              <w:t xml:space="preserve">Accepted and completed </w:t>
            </w:r>
          </w:p>
          <w:p w14:paraId="63150E8E" w14:textId="0A883100" w:rsidR="00841974" w:rsidRDefault="00841974" w:rsidP="0012638D">
            <w:pPr>
              <w:spacing w:after="200" w:line="240" w:lineRule="auto"/>
            </w:pPr>
          </w:p>
        </w:tc>
        <w:tc>
          <w:tcPr>
            <w:tcW w:w="0" w:type="auto"/>
          </w:tcPr>
          <w:p w14:paraId="26774AC2" w14:textId="25B78E77" w:rsidR="00841974" w:rsidRPr="00745DD0" w:rsidRDefault="00CE3F8A" w:rsidP="0012638D">
            <w:pPr>
              <w:spacing w:after="200" w:line="240" w:lineRule="auto"/>
              <w:rPr>
                <w:highlight w:val="yellow"/>
              </w:rPr>
            </w:pPr>
            <w:r w:rsidRPr="00745DD0">
              <w:t>Updated decision-making measure</w:t>
            </w:r>
            <w:r w:rsidRPr="002D6076">
              <w:t>s</w:t>
            </w:r>
            <w:r w:rsidRPr="00745DD0">
              <w:t xml:space="preserve"> will be incorporated, where applicable, to income apportionment resolution approach</w:t>
            </w:r>
            <w:r w:rsidRPr="002D6076">
              <w:t>.</w:t>
            </w:r>
          </w:p>
        </w:tc>
      </w:tr>
      <w:tr w:rsidR="00524D67" w14:paraId="333BF71C" w14:textId="497BBA76" w:rsidTr="00753DFE">
        <w:tc>
          <w:tcPr>
            <w:tcW w:w="0" w:type="auto"/>
          </w:tcPr>
          <w:p w14:paraId="5030234E" w14:textId="2471A159" w:rsidR="00841974" w:rsidRPr="00745DD0" w:rsidRDefault="00841974" w:rsidP="0012638D">
            <w:pPr>
              <w:spacing w:after="200" w:line="240" w:lineRule="auto"/>
              <w:rPr>
                <w:b/>
                <w:bCs/>
              </w:rPr>
            </w:pPr>
            <w:r w:rsidRPr="00745DD0">
              <w:rPr>
                <w:b/>
                <w:bCs/>
              </w:rPr>
              <w:t>Recommendation 5 – Develop communication plan</w:t>
            </w:r>
          </w:p>
        </w:tc>
        <w:tc>
          <w:tcPr>
            <w:tcW w:w="0" w:type="auto"/>
          </w:tcPr>
          <w:p w14:paraId="12FCB2E8" w14:textId="77777777" w:rsidR="00CE3F8A" w:rsidRPr="00A2324A" w:rsidRDefault="00CE3F8A" w:rsidP="0012638D">
            <w:pPr>
              <w:spacing w:after="200" w:line="240" w:lineRule="auto"/>
            </w:pPr>
            <w:r w:rsidRPr="00FF4FB6">
              <w:t xml:space="preserve">Accepted and completed </w:t>
            </w:r>
          </w:p>
          <w:p w14:paraId="61C73B54" w14:textId="0E594D71" w:rsidR="00841974" w:rsidRDefault="00841974" w:rsidP="0012638D">
            <w:pPr>
              <w:spacing w:after="200" w:line="240" w:lineRule="auto"/>
            </w:pPr>
          </w:p>
        </w:tc>
        <w:tc>
          <w:tcPr>
            <w:tcW w:w="0" w:type="auto"/>
          </w:tcPr>
          <w:p w14:paraId="2AAD0D5F" w14:textId="3E54230A" w:rsidR="00841974" w:rsidRPr="00745DD0" w:rsidRDefault="001E6695" w:rsidP="0012638D">
            <w:pPr>
              <w:spacing w:after="200" w:line="240" w:lineRule="auto"/>
            </w:pPr>
            <w:r>
              <w:t>Based on any option agreed by Government.</w:t>
            </w:r>
            <w:r w:rsidR="00867F06" w:rsidRPr="00745DD0">
              <w:t xml:space="preserve"> </w:t>
            </w:r>
          </w:p>
        </w:tc>
      </w:tr>
      <w:tr w:rsidR="00524D67" w14:paraId="6C8EE232" w14:textId="4BE6BA72" w:rsidTr="00753DFE">
        <w:tc>
          <w:tcPr>
            <w:tcW w:w="0" w:type="auto"/>
          </w:tcPr>
          <w:p w14:paraId="2CA098F7" w14:textId="77777777" w:rsidR="00841974" w:rsidRPr="00745DD0" w:rsidRDefault="00841974" w:rsidP="0012638D">
            <w:pPr>
              <w:spacing w:after="200" w:line="240" w:lineRule="auto"/>
              <w:rPr>
                <w:b/>
                <w:bCs/>
              </w:rPr>
            </w:pPr>
            <w:r w:rsidRPr="00745DD0">
              <w:rPr>
                <w:b/>
                <w:bCs/>
              </w:rPr>
              <w:t xml:space="preserve">Recommendation 6 – Amend communications </w:t>
            </w:r>
          </w:p>
          <w:p w14:paraId="3CE90287" w14:textId="4FE94B77" w:rsidR="00841974" w:rsidRDefault="00841974" w:rsidP="0012638D">
            <w:pPr>
              <w:spacing w:after="200" w:line="240" w:lineRule="auto"/>
            </w:pPr>
            <w:r>
              <w:t>“We recommend Services Australia amends all relevant communications</w:t>
            </w:r>
            <w:r w:rsidR="00CE3F8A">
              <w:t>…</w:t>
            </w:r>
            <w:r>
              <w:t xml:space="preserve"> to include: </w:t>
            </w:r>
          </w:p>
          <w:p w14:paraId="7C3037DB" w14:textId="77777777" w:rsidR="00867F06" w:rsidRDefault="00841974" w:rsidP="0012638D">
            <w:pPr>
              <w:spacing w:after="200" w:line="240" w:lineRule="auto"/>
            </w:pPr>
            <w:r>
              <w:t xml:space="preserve">• a clear and simple explanation of income apportionment, and how unlawful practices impacted historic decisions and review delays (including specific information to individuals who had their payments unlawfully calculated) </w:t>
            </w:r>
          </w:p>
          <w:p w14:paraId="5230BFCB" w14:textId="2FAF893A" w:rsidR="00841974" w:rsidRPr="00570DEB" w:rsidRDefault="00841974" w:rsidP="0012638D">
            <w:pPr>
              <w:spacing w:after="200" w:line="240" w:lineRule="auto"/>
              <w:rPr>
                <w:b/>
                <w:bCs/>
              </w:rPr>
            </w:pPr>
            <w:r>
              <w:t>• an apology for decision delays, and for historic unlawful calculations • information about what Services Australia is doing to address historic unlawful income apportionment decisions.”</w:t>
            </w:r>
          </w:p>
        </w:tc>
        <w:tc>
          <w:tcPr>
            <w:tcW w:w="0" w:type="auto"/>
          </w:tcPr>
          <w:p w14:paraId="301E388C" w14:textId="77777777" w:rsidR="00CE3F8A" w:rsidRPr="00A2324A" w:rsidRDefault="00CE3F8A" w:rsidP="0012638D">
            <w:pPr>
              <w:spacing w:after="200" w:line="240" w:lineRule="auto"/>
            </w:pPr>
            <w:r w:rsidRPr="00FF4FB6">
              <w:t xml:space="preserve">Accepted and completed </w:t>
            </w:r>
          </w:p>
          <w:p w14:paraId="333AA9BF" w14:textId="22624C84" w:rsidR="00841974" w:rsidRDefault="00841974" w:rsidP="0012638D">
            <w:pPr>
              <w:spacing w:after="200" w:line="240" w:lineRule="auto"/>
            </w:pPr>
          </w:p>
        </w:tc>
        <w:tc>
          <w:tcPr>
            <w:tcW w:w="0" w:type="auto"/>
          </w:tcPr>
          <w:p w14:paraId="6D8B8572" w14:textId="2041CB7F" w:rsidR="00841974" w:rsidRPr="00FF4FB6" w:rsidRDefault="00867F06" w:rsidP="0012638D">
            <w:pPr>
              <w:spacing w:after="200" w:line="240" w:lineRule="auto"/>
              <w:rPr>
                <w:b/>
                <w:bCs/>
              </w:rPr>
            </w:pPr>
            <w:r w:rsidRPr="00FF4FB6">
              <w:t xml:space="preserve">Communications </w:t>
            </w:r>
            <w:r>
              <w:t>relating to income apportionment resolution</w:t>
            </w:r>
            <w:r w:rsidRPr="00FF4FB6">
              <w:t xml:space="preserve"> to</w:t>
            </w:r>
            <w:r>
              <w:t xml:space="preserve"> be</w:t>
            </w:r>
            <w:r w:rsidRPr="00FF4FB6">
              <w:t xml:space="preserve"> </w:t>
            </w:r>
            <w:r>
              <w:t xml:space="preserve">informed by recommendation. </w:t>
            </w:r>
          </w:p>
        </w:tc>
      </w:tr>
      <w:tr w:rsidR="00524D67" w14:paraId="392FBB07" w14:textId="1C8B650C" w:rsidTr="00753DFE">
        <w:tc>
          <w:tcPr>
            <w:tcW w:w="0" w:type="auto"/>
          </w:tcPr>
          <w:p w14:paraId="36178EC9" w14:textId="77777777" w:rsidR="00841974" w:rsidRPr="00745DD0" w:rsidRDefault="00841974" w:rsidP="0012638D">
            <w:pPr>
              <w:spacing w:after="200" w:line="240" w:lineRule="auto"/>
              <w:rPr>
                <w:b/>
                <w:bCs/>
              </w:rPr>
            </w:pPr>
            <w:r w:rsidRPr="00745DD0">
              <w:rPr>
                <w:b/>
                <w:bCs/>
              </w:rPr>
              <w:t>Recommendation 7 – Develop and implement a policy to capture all income apportionment complaints</w:t>
            </w:r>
          </w:p>
          <w:p w14:paraId="634498AD" w14:textId="24433645" w:rsidR="00841974" w:rsidRPr="00570DEB" w:rsidRDefault="00841974" w:rsidP="0012638D">
            <w:pPr>
              <w:spacing w:after="200" w:line="240" w:lineRule="auto"/>
              <w:rPr>
                <w:b/>
                <w:bCs/>
              </w:rPr>
            </w:pPr>
          </w:p>
        </w:tc>
        <w:tc>
          <w:tcPr>
            <w:tcW w:w="0" w:type="auto"/>
          </w:tcPr>
          <w:p w14:paraId="1BA8153F" w14:textId="77777777" w:rsidR="00B85A65" w:rsidRPr="00A2324A" w:rsidRDefault="00B85A65" w:rsidP="0012638D">
            <w:pPr>
              <w:spacing w:after="200" w:line="240" w:lineRule="auto"/>
            </w:pPr>
            <w:r w:rsidRPr="00FF4FB6">
              <w:t xml:space="preserve">Accepted and completed </w:t>
            </w:r>
          </w:p>
          <w:p w14:paraId="59A20F3F" w14:textId="7D0749D3" w:rsidR="00841974" w:rsidRDefault="00841974" w:rsidP="0012638D">
            <w:pPr>
              <w:spacing w:after="200" w:line="240" w:lineRule="auto"/>
            </w:pPr>
          </w:p>
        </w:tc>
        <w:tc>
          <w:tcPr>
            <w:tcW w:w="0" w:type="auto"/>
          </w:tcPr>
          <w:p w14:paraId="2AB02FF0" w14:textId="02EC402C" w:rsidR="00841974" w:rsidRPr="00745DD0" w:rsidRDefault="00867F06" w:rsidP="0012638D">
            <w:pPr>
              <w:spacing w:after="200" w:line="240" w:lineRule="auto"/>
            </w:pPr>
            <w:r w:rsidRPr="00524D67">
              <w:t xml:space="preserve">Income apportionment approach will include </w:t>
            </w:r>
            <w:r w:rsidRPr="00745DD0">
              <w:t>complaints reporting services</w:t>
            </w:r>
            <w:r w:rsidRPr="00524D67">
              <w:t>.</w:t>
            </w:r>
            <w:r w:rsidRPr="00745DD0">
              <w:t xml:space="preserve"> </w:t>
            </w:r>
          </w:p>
        </w:tc>
      </w:tr>
      <w:tr w:rsidR="00524D67" w14:paraId="27AD8F17" w14:textId="442BD4F7" w:rsidTr="00753DFE">
        <w:tc>
          <w:tcPr>
            <w:tcW w:w="0" w:type="auto"/>
          </w:tcPr>
          <w:p w14:paraId="2D15E6CF" w14:textId="17E4BF28" w:rsidR="00841974" w:rsidRPr="00570DEB" w:rsidRDefault="00841974" w:rsidP="0012638D">
            <w:pPr>
              <w:spacing w:after="200" w:line="240" w:lineRule="auto"/>
              <w:rPr>
                <w:b/>
                <w:bCs/>
              </w:rPr>
            </w:pPr>
            <w:r w:rsidRPr="00745DD0">
              <w:rPr>
                <w:b/>
                <w:bCs/>
              </w:rPr>
              <w:lastRenderedPageBreak/>
              <w:t>Recommendation 8 – Develop regular complaint reporting requirements</w:t>
            </w:r>
          </w:p>
        </w:tc>
        <w:tc>
          <w:tcPr>
            <w:tcW w:w="0" w:type="auto"/>
          </w:tcPr>
          <w:p w14:paraId="26C9E02F" w14:textId="77777777" w:rsidR="00B85A65" w:rsidRPr="00A2324A" w:rsidRDefault="00B85A65" w:rsidP="0012638D">
            <w:pPr>
              <w:spacing w:after="200" w:line="240" w:lineRule="auto"/>
            </w:pPr>
            <w:r w:rsidRPr="00FF4FB6">
              <w:t xml:space="preserve">Accepted and completed </w:t>
            </w:r>
          </w:p>
          <w:p w14:paraId="3C446A44" w14:textId="77CDA1EC" w:rsidR="00841974" w:rsidRDefault="00841974" w:rsidP="0012638D">
            <w:pPr>
              <w:spacing w:after="200" w:line="240" w:lineRule="auto"/>
            </w:pPr>
          </w:p>
        </w:tc>
        <w:tc>
          <w:tcPr>
            <w:tcW w:w="0" w:type="auto"/>
          </w:tcPr>
          <w:p w14:paraId="6095EC35" w14:textId="0CBF1457" w:rsidR="00841974" w:rsidRPr="00524D67" w:rsidRDefault="00867F06" w:rsidP="0012638D">
            <w:pPr>
              <w:spacing w:after="200" w:line="240" w:lineRule="auto"/>
              <w:rPr>
                <w:b/>
                <w:bCs/>
              </w:rPr>
            </w:pPr>
            <w:r w:rsidRPr="00524D67">
              <w:t xml:space="preserve">Income apportionment approach will include regular reporting on complaints between the Department and Services Australia. </w:t>
            </w:r>
          </w:p>
        </w:tc>
      </w:tr>
    </w:tbl>
    <w:p w14:paraId="72D98D8A" w14:textId="77777777" w:rsidR="00A2324A" w:rsidRDefault="00A2324A" w:rsidP="0012638D">
      <w:pPr>
        <w:spacing w:after="200" w:line="240" w:lineRule="auto"/>
        <w:sectPr w:rsidR="00A2324A" w:rsidSect="00745DD0">
          <w:pgSz w:w="16838" w:h="11906" w:orient="landscape"/>
          <w:pgMar w:top="720" w:right="720" w:bottom="720" w:left="720" w:header="993" w:footer="709" w:gutter="0"/>
          <w:cols w:space="708"/>
          <w:titlePg/>
          <w:docGrid w:linePitch="360"/>
        </w:sectPr>
      </w:pPr>
    </w:p>
    <w:p w14:paraId="2555D332" w14:textId="6BF4161B" w:rsidR="00EB769F" w:rsidRPr="00AF6DB9" w:rsidRDefault="00EB769F" w:rsidP="0012638D">
      <w:pPr>
        <w:spacing w:line="240" w:lineRule="auto"/>
        <w:rPr>
          <w:rFonts w:asciiTheme="majorHAnsi" w:eastAsiaTheme="majorEastAsia" w:hAnsiTheme="majorHAnsi" w:cstheme="majorBidi"/>
          <w:color w:val="1C2B39" w:themeColor="accent1"/>
          <w:sz w:val="36"/>
          <w:szCs w:val="28"/>
        </w:rPr>
      </w:pPr>
      <w:r w:rsidRPr="00AF6DB9">
        <w:rPr>
          <w:rFonts w:asciiTheme="majorHAnsi" w:eastAsiaTheme="majorEastAsia" w:hAnsiTheme="majorHAnsi" w:cstheme="majorBidi"/>
          <w:color w:val="1C2B39" w:themeColor="accent1"/>
          <w:sz w:val="36"/>
          <w:szCs w:val="28"/>
        </w:rPr>
        <w:lastRenderedPageBreak/>
        <w:t>Gain</w:t>
      </w:r>
      <w:r w:rsidR="00070E7D" w:rsidRPr="00AF6DB9">
        <w:rPr>
          <w:rFonts w:asciiTheme="majorHAnsi" w:eastAsiaTheme="majorEastAsia" w:hAnsiTheme="majorHAnsi" w:cstheme="majorBidi"/>
          <w:color w:val="1C2B39" w:themeColor="accent1"/>
          <w:sz w:val="36"/>
          <w:szCs w:val="28"/>
        </w:rPr>
        <w:t>ing</w:t>
      </w:r>
      <w:r w:rsidRPr="00AF6DB9">
        <w:rPr>
          <w:rFonts w:asciiTheme="majorHAnsi" w:eastAsiaTheme="majorEastAsia" w:hAnsiTheme="majorHAnsi" w:cstheme="majorBidi"/>
          <w:color w:val="1C2B39" w:themeColor="accent1"/>
          <w:sz w:val="36"/>
          <w:szCs w:val="28"/>
        </w:rPr>
        <w:t xml:space="preserve"> legal clarity on income apportionment</w:t>
      </w:r>
    </w:p>
    <w:p w14:paraId="114D69FE" w14:textId="7481009A" w:rsidR="00AB0757" w:rsidRDefault="00AB0757" w:rsidP="0012638D">
      <w:pPr>
        <w:spacing w:line="240" w:lineRule="auto"/>
      </w:pPr>
      <w:r>
        <w:t xml:space="preserve">The Department has consulted with legal experts to gain clarity on the </w:t>
      </w:r>
      <w:r w:rsidR="004C3945">
        <w:t xml:space="preserve">historical incidence of income apportionment, </w:t>
      </w:r>
      <w:r w:rsidR="00E20B67">
        <w:t xml:space="preserve">and </w:t>
      </w:r>
      <w:r w:rsidR="00E20B67" w:rsidRPr="004D4CD8">
        <w:t xml:space="preserve">how to </w:t>
      </w:r>
      <w:r w:rsidR="00E20B67">
        <w:t xml:space="preserve">approach </w:t>
      </w:r>
      <w:r w:rsidR="00E20B67" w:rsidRPr="004D4CD8">
        <w:t>recalculat</w:t>
      </w:r>
      <w:r w:rsidR="00E20B67">
        <w:t>ing</w:t>
      </w:r>
      <w:r w:rsidR="00E20B67" w:rsidRPr="004D4CD8">
        <w:t xml:space="preserve"> historic decisions which were calculated incorrectly</w:t>
      </w:r>
      <w:r w:rsidR="00E20B67">
        <w:t>.</w:t>
      </w:r>
    </w:p>
    <w:p w14:paraId="22A323AB" w14:textId="30E52544" w:rsidR="005D293C" w:rsidRDefault="005D293C" w:rsidP="0012638D">
      <w:pPr>
        <w:spacing w:after="200" w:line="240" w:lineRule="auto"/>
      </w:pPr>
      <w:r>
        <w:t xml:space="preserve">The administrative review process, including feedback from the AAT (now the ART) and the Federal Court, have also informed the resolution of income apportionment as they have played a crucial role in the formation of the views around income apportionment. </w:t>
      </w:r>
    </w:p>
    <w:p w14:paraId="70DFD18D" w14:textId="7816793A" w:rsidR="0068747D" w:rsidRPr="00AF6DB9" w:rsidRDefault="00096D71" w:rsidP="0012638D">
      <w:pPr>
        <w:spacing w:line="240" w:lineRule="auto"/>
        <w:rPr>
          <w:rFonts w:asciiTheme="majorHAnsi" w:eastAsiaTheme="majorEastAsia" w:hAnsiTheme="majorHAnsi" w:cstheme="majorBidi"/>
          <w:color w:val="1C2B39" w:themeColor="accent1"/>
          <w:sz w:val="36"/>
          <w:szCs w:val="28"/>
        </w:rPr>
      </w:pPr>
      <w:r w:rsidRPr="00AF6DB9">
        <w:rPr>
          <w:rFonts w:asciiTheme="majorHAnsi" w:eastAsiaTheme="majorEastAsia" w:hAnsiTheme="majorHAnsi" w:cstheme="majorBidi"/>
          <w:color w:val="1C2B39" w:themeColor="accent1"/>
          <w:sz w:val="36"/>
          <w:szCs w:val="28"/>
        </w:rPr>
        <w:t>Understanding practical and resourcing implications</w:t>
      </w:r>
    </w:p>
    <w:p w14:paraId="5D7A05AA" w14:textId="61D36789" w:rsidR="009127F7" w:rsidRDefault="00096D71" w:rsidP="0012638D">
      <w:pPr>
        <w:spacing w:line="240" w:lineRule="auto"/>
      </w:pPr>
      <w:r>
        <w:t xml:space="preserve">The Department has engaged with Services Australia and other affected agencies </w:t>
      </w:r>
      <w:r w:rsidR="00E009BA">
        <w:t xml:space="preserve">to understand the practical and resourcing implications of the various resolution approaches. </w:t>
      </w:r>
    </w:p>
    <w:p w14:paraId="3C039ED7" w14:textId="5DDDC1B3" w:rsidR="00606C56" w:rsidRDefault="00606C56" w:rsidP="0012638D">
      <w:pPr>
        <w:spacing w:line="240" w:lineRule="auto"/>
      </w:pPr>
      <w:r>
        <w:t xml:space="preserve">The Department has sought insights into the staffing and costs required for each resolution approach from Services Australia, </w:t>
      </w:r>
      <w:r w:rsidR="009127F7">
        <w:t xml:space="preserve">informed by their actions to resolve income apportionment to date, their administrative processes, and the costs of staffing and </w:t>
      </w:r>
      <w:r w:rsidR="00751E74">
        <w:t xml:space="preserve">systems </w:t>
      </w:r>
      <w:r w:rsidR="009127F7">
        <w:t xml:space="preserve">improvements required. </w:t>
      </w:r>
    </w:p>
    <w:p w14:paraId="02823402" w14:textId="1F5CC8E5" w:rsidR="009127F7" w:rsidRDefault="009127F7" w:rsidP="0012638D">
      <w:pPr>
        <w:spacing w:line="240" w:lineRule="auto"/>
      </w:pPr>
      <w:r>
        <w:t>The Department has consulted with a range of agencies potentially impacted by income apportionment, including:</w:t>
      </w:r>
    </w:p>
    <w:p w14:paraId="35BFECF5" w14:textId="5DBF1109" w:rsidR="009127F7" w:rsidRDefault="006E761F" w:rsidP="0012638D">
      <w:pPr>
        <w:pStyle w:val="ListParagraph"/>
        <w:numPr>
          <w:ilvl w:val="0"/>
          <w:numId w:val="38"/>
        </w:numPr>
        <w:spacing w:line="240" w:lineRule="auto"/>
      </w:pPr>
      <w:r>
        <w:t>Services Australia</w:t>
      </w:r>
    </w:p>
    <w:p w14:paraId="5C9A488B" w14:textId="7B23F400" w:rsidR="006E761F" w:rsidRDefault="006E761F" w:rsidP="0012638D">
      <w:pPr>
        <w:pStyle w:val="ListParagraph"/>
        <w:numPr>
          <w:ilvl w:val="0"/>
          <w:numId w:val="38"/>
        </w:numPr>
        <w:spacing w:line="240" w:lineRule="auto"/>
      </w:pPr>
      <w:r>
        <w:t>The Department of Education</w:t>
      </w:r>
    </w:p>
    <w:p w14:paraId="37D167AF" w14:textId="2AD11B55" w:rsidR="006E761F" w:rsidRDefault="006E761F" w:rsidP="0012638D">
      <w:pPr>
        <w:pStyle w:val="ListParagraph"/>
        <w:numPr>
          <w:ilvl w:val="0"/>
          <w:numId w:val="38"/>
        </w:numPr>
        <w:spacing w:line="240" w:lineRule="auto"/>
      </w:pPr>
      <w:r>
        <w:t>The Department of Agriculture, Fisheries and Forestry</w:t>
      </w:r>
    </w:p>
    <w:p w14:paraId="63355740" w14:textId="7C99ED45" w:rsidR="006E761F" w:rsidRDefault="006E761F" w:rsidP="0012638D">
      <w:pPr>
        <w:pStyle w:val="ListParagraph"/>
        <w:numPr>
          <w:ilvl w:val="0"/>
          <w:numId w:val="38"/>
        </w:numPr>
        <w:spacing w:line="240" w:lineRule="auto"/>
      </w:pPr>
      <w:r>
        <w:t>The Department of Veterans’ Affairs</w:t>
      </w:r>
    </w:p>
    <w:p w14:paraId="20A8C223" w14:textId="18E5E31D" w:rsidR="006E761F" w:rsidRDefault="006E761F" w:rsidP="0012638D">
      <w:pPr>
        <w:pStyle w:val="ListParagraph"/>
        <w:numPr>
          <w:ilvl w:val="0"/>
          <w:numId w:val="38"/>
        </w:numPr>
        <w:spacing w:line="240" w:lineRule="auto"/>
      </w:pPr>
      <w:r>
        <w:t>The Department of Home Affairs</w:t>
      </w:r>
    </w:p>
    <w:p w14:paraId="37B36AF3" w14:textId="484174BB" w:rsidR="006E761F" w:rsidRPr="00AB0757" w:rsidRDefault="006E761F" w:rsidP="0012638D">
      <w:pPr>
        <w:pStyle w:val="ListParagraph"/>
        <w:numPr>
          <w:ilvl w:val="0"/>
          <w:numId w:val="38"/>
        </w:numPr>
        <w:spacing w:line="240" w:lineRule="auto"/>
      </w:pPr>
      <w:r>
        <w:t>The Commonwealth Director of Public Prosecutions</w:t>
      </w:r>
    </w:p>
    <w:p w14:paraId="691EEC9A" w14:textId="3D775071" w:rsidR="00EB769F" w:rsidRDefault="00EB769F" w:rsidP="0012638D">
      <w:pPr>
        <w:spacing w:line="240" w:lineRule="auto"/>
        <w:rPr>
          <w:rFonts w:asciiTheme="majorHAnsi" w:eastAsiaTheme="majorEastAsia" w:hAnsiTheme="majorHAnsi" w:cstheme="majorBidi"/>
          <w:color w:val="1C2B39" w:themeColor="accent1"/>
          <w:sz w:val="48"/>
          <w:szCs w:val="40"/>
        </w:rPr>
      </w:pPr>
      <w:r>
        <w:br w:type="page"/>
      </w:r>
    </w:p>
    <w:p w14:paraId="144E76AA" w14:textId="6344676B" w:rsidR="003447DF" w:rsidRDefault="00117279" w:rsidP="0012638D">
      <w:pPr>
        <w:pStyle w:val="Heading1"/>
        <w:numPr>
          <w:ilvl w:val="0"/>
          <w:numId w:val="12"/>
        </w:numPr>
      </w:pPr>
      <w:bookmarkStart w:id="54" w:name="_Toc201430198"/>
      <w:bookmarkStart w:id="55" w:name="_Toc201430237"/>
      <w:bookmarkStart w:id="56" w:name="_Toc207097819"/>
      <w:bookmarkEnd w:id="54"/>
      <w:bookmarkEnd w:id="55"/>
      <w:r w:rsidRPr="00670005">
        <w:lastRenderedPageBreak/>
        <w:t>What is the best option from those you</w:t>
      </w:r>
      <w:r w:rsidRPr="00670005">
        <w:br/>
        <w:t>have considered and how will it be</w:t>
      </w:r>
      <w:r w:rsidRPr="00670005">
        <w:br/>
        <w:t>implemented?</w:t>
      </w:r>
      <w:bookmarkEnd w:id="56"/>
    </w:p>
    <w:p w14:paraId="274B8C2F" w14:textId="2AE0FD77" w:rsidR="00874CBE" w:rsidRDefault="003447DF" w:rsidP="0012638D">
      <w:pPr>
        <w:spacing w:line="240" w:lineRule="auto"/>
      </w:pPr>
      <w:r>
        <w:t xml:space="preserve">The </w:t>
      </w:r>
      <w:r w:rsidR="00FF212F">
        <w:t xml:space="preserve">structured analysis on the following pages </w:t>
      </w:r>
      <w:r w:rsidR="00B5108F">
        <w:t>evaluates alternative</w:t>
      </w:r>
      <w:r w:rsidR="00FF212F">
        <w:t xml:space="preserve"> options for income apportionment resolution. </w:t>
      </w:r>
      <w:r w:rsidR="00DE2CE9">
        <w:t xml:space="preserve">The options are based upon the criteria outlined in Section 2 to measure success. </w:t>
      </w:r>
    </w:p>
    <w:p w14:paraId="2B068674" w14:textId="77777777" w:rsidR="00E20B67" w:rsidRDefault="00E20B67" w:rsidP="0012638D">
      <w:pPr>
        <w:spacing w:line="240" w:lineRule="auto"/>
      </w:pPr>
      <w:r>
        <w:t xml:space="preserve">For all stakeholder impacts, it is </w:t>
      </w:r>
      <w:r w:rsidRPr="0057493F">
        <w:t xml:space="preserve">reasonable to say the issue of Income Apportionment is well known. It </w:t>
      </w:r>
      <w:r>
        <w:t xml:space="preserve">is in the public domain and is subject to media interest, Freedom of Information requests and has been raised during Senate Estimates. </w:t>
      </w:r>
    </w:p>
    <w:p w14:paraId="3460DBE5" w14:textId="77777777" w:rsidR="00E20B67" w:rsidRDefault="00E20B67" w:rsidP="0012638D">
      <w:pPr>
        <w:spacing w:line="240" w:lineRule="auto"/>
      </w:pPr>
      <w:r>
        <w:t>Those criteria are:</w:t>
      </w:r>
    </w:p>
    <w:p w14:paraId="02E0AC2C" w14:textId="77777777" w:rsidR="00E20B67" w:rsidRDefault="00E20B67" w:rsidP="0012638D">
      <w:pPr>
        <w:pStyle w:val="ListParagraph"/>
        <w:numPr>
          <w:ilvl w:val="0"/>
          <w:numId w:val="39"/>
        </w:numPr>
        <w:spacing w:line="240" w:lineRule="auto"/>
        <w:rPr>
          <w:b/>
          <w:bCs/>
        </w:rPr>
      </w:pPr>
      <w:r>
        <w:rPr>
          <w:b/>
          <w:bCs/>
        </w:rPr>
        <w:t>Lawfulness</w:t>
      </w:r>
    </w:p>
    <w:p w14:paraId="0039CE82" w14:textId="18D83AB8" w:rsidR="00E20B67" w:rsidRPr="001B0A0C" w:rsidRDefault="00E20B67" w:rsidP="0012638D">
      <w:pPr>
        <w:pStyle w:val="ListParagraph"/>
        <w:numPr>
          <w:ilvl w:val="1"/>
          <w:numId w:val="39"/>
        </w:numPr>
        <w:spacing w:line="240" w:lineRule="auto"/>
        <w:rPr>
          <w:b/>
          <w:bCs/>
        </w:rPr>
      </w:pPr>
      <w:r>
        <w:t>Any solution must be lawful</w:t>
      </w:r>
      <w:r w:rsidR="00E448B4">
        <w:t>, that is,</w:t>
      </w:r>
      <w:r>
        <w:t xml:space="preserve"> authorised by legislation.</w:t>
      </w:r>
    </w:p>
    <w:p w14:paraId="44B3FF63" w14:textId="77777777" w:rsidR="00E20B67" w:rsidRDefault="00E20B67" w:rsidP="0012638D">
      <w:pPr>
        <w:pStyle w:val="ListParagraph"/>
        <w:numPr>
          <w:ilvl w:val="0"/>
          <w:numId w:val="39"/>
        </w:numPr>
        <w:spacing w:line="240" w:lineRule="auto"/>
        <w:rPr>
          <w:b/>
          <w:bCs/>
        </w:rPr>
      </w:pPr>
      <w:r w:rsidRPr="001B0A0C">
        <w:rPr>
          <w:b/>
          <w:bCs/>
        </w:rPr>
        <w:t>Fairness</w:t>
      </w:r>
    </w:p>
    <w:p w14:paraId="48593F3E" w14:textId="77777777" w:rsidR="00E20B67" w:rsidRDefault="00E20B67" w:rsidP="0012638D">
      <w:pPr>
        <w:pStyle w:val="ListParagraph"/>
        <w:numPr>
          <w:ilvl w:val="1"/>
          <w:numId w:val="39"/>
        </w:numPr>
        <w:spacing w:line="240" w:lineRule="auto"/>
      </w:pPr>
      <w:r>
        <w:t xml:space="preserve">Any solution must be fair. The resolution approach should be reasonably expected to be broadly accepted by stakeholders and the public as fair and reasonable. </w:t>
      </w:r>
    </w:p>
    <w:p w14:paraId="22DC05A4" w14:textId="77777777" w:rsidR="00E20B67" w:rsidRPr="001B0A0C" w:rsidRDefault="00E20B67" w:rsidP="0012638D">
      <w:pPr>
        <w:pStyle w:val="ListParagraph"/>
        <w:numPr>
          <w:ilvl w:val="0"/>
          <w:numId w:val="39"/>
        </w:numPr>
        <w:spacing w:line="240" w:lineRule="auto"/>
      </w:pPr>
      <w:r>
        <w:rPr>
          <w:b/>
          <w:bCs/>
        </w:rPr>
        <w:t xml:space="preserve">Timeliness </w:t>
      </w:r>
    </w:p>
    <w:p w14:paraId="6DD12F6E" w14:textId="77777777" w:rsidR="00E20B67" w:rsidRPr="00A96771" w:rsidRDefault="00E20B67" w:rsidP="0012638D">
      <w:pPr>
        <w:pStyle w:val="ListParagraph"/>
        <w:numPr>
          <w:ilvl w:val="1"/>
          <w:numId w:val="39"/>
        </w:numPr>
        <w:spacing w:line="240" w:lineRule="auto"/>
      </w:pPr>
      <w:r>
        <w:t xml:space="preserve">Options must be considered with regard to the ability of Government to implement them in a timely manner. A timely resolution to the issue will provide closure for </w:t>
      </w:r>
      <w:r w:rsidRPr="00A96771">
        <w:t xml:space="preserve">individuals, businesses and community organisations. </w:t>
      </w:r>
    </w:p>
    <w:p w14:paraId="0D157A69" w14:textId="34E27F25" w:rsidR="00E20B67" w:rsidRPr="00A96771" w:rsidRDefault="00E20B67" w:rsidP="0012638D">
      <w:pPr>
        <w:spacing w:line="240" w:lineRule="auto"/>
      </w:pPr>
      <w:r w:rsidRPr="00A96771">
        <w:t xml:space="preserve">For the criteria of </w:t>
      </w:r>
      <w:r w:rsidRPr="00A96771">
        <w:rPr>
          <w:b/>
          <w:bCs/>
        </w:rPr>
        <w:t>lawfulness</w:t>
      </w:r>
      <w:r w:rsidRPr="00A96771">
        <w:t xml:space="preserve">, options </w:t>
      </w:r>
      <w:r w:rsidR="00BF2FE5">
        <w:t xml:space="preserve">2-5 </w:t>
      </w:r>
      <w:r w:rsidRPr="00A96771">
        <w:t xml:space="preserve">in the table are assumed to be lawful. </w:t>
      </w:r>
    </w:p>
    <w:p w14:paraId="2116469D" w14:textId="6C0D4B88" w:rsidR="00E20B67" w:rsidRDefault="00E20B67" w:rsidP="0012638D">
      <w:pPr>
        <w:spacing w:line="240" w:lineRule="auto"/>
      </w:pPr>
      <w:r>
        <w:t xml:space="preserve">The overall score for each stakeholder for each option </w:t>
      </w:r>
      <w:r w:rsidR="00451B18">
        <w:t>reflects an</w:t>
      </w:r>
      <w:r>
        <w:t xml:space="preserve"> average of timeliness and fairness.</w:t>
      </w:r>
      <w:r w:rsidR="00CC4050">
        <w:t xml:space="preserve"> </w:t>
      </w:r>
      <w:r w:rsidR="00826602">
        <w:t>The overall totals are the impacts of each option across all stakeholder groups</w:t>
      </w:r>
      <w:r w:rsidR="00D40BB2">
        <w:t>.</w:t>
      </w:r>
      <w:r w:rsidR="00CC4050">
        <w:t xml:space="preserve"> These scores may be affected by rounding</w:t>
      </w:r>
      <w:r w:rsidR="0014056A">
        <w:t>.</w:t>
      </w:r>
      <w:r w:rsidR="00CC4050">
        <w:t xml:space="preserve"> </w:t>
      </w:r>
    </w:p>
    <w:p w14:paraId="18467835" w14:textId="0F8208D9" w:rsidR="00C80D19" w:rsidRPr="00F278DF" w:rsidRDefault="00C80D19" w:rsidP="0012638D">
      <w:pPr>
        <w:spacing w:line="240" w:lineRule="auto"/>
      </w:pPr>
      <w:r>
        <w:t xml:space="preserve">The criteria were applied by senior Commonwealth officials with </w:t>
      </w:r>
      <w:r w:rsidR="0059493D">
        <w:t xml:space="preserve">strong </w:t>
      </w:r>
      <w:r>
        <w:t>expertise in social security policy</w:t>
      </w:r>
      <w:r w:rsidR="0059493D">
        <w:t>.</w:t>
      </w:r>
      <w:r>
        <w:t xml:space="preserve"> This expertise is in addition to broader experience in public policy accrued over decades. </w:t>
      </w:r>
    </w:p>
    <w:p w14:paraId="6E9FB16D" w14:textId="77777777" w:rsidR="00E20B67" w:rsidRDefault="00E20B67" w:rsidP="0012638D">
      <w:pPr>
        <w:spacing w:line="240" w:lineRule="auto"/>
      </w:pPr>
      <w:r>
        <w:t xml:space="preserve">The following stakeholder groups were identified: </w:t>
      </w:r>
    </w:p>
    <w:p w14:paraId="7F668BDE" w14:textId="28F869E1" w:rsidR="00E20B67" w:rsidRPr="00B81F4D" w:rsidRDefault="00E20B67" w:rsidP="0012638D">
      <w:pPr>
        <w:pStyle w:val="ListParagraph"/>
        <w:numPr>
          <w:ilvl w:val="0"/>
          <w:numId w:val="33"/>
        </w:numPr>
        <w:spacing w:line="240" w:lineRule="auto"/>
      </w:pPr>
      <w:r w:rsidRPr="00B81F4D">
        <w:t>People with debts</w:t>
      </w:r>
      <w:r w:rsidR="00360DE1">
        <w:t xml:space="preserve"> that are actually</w:t>
      </w:r>
      <w:r w:rsidRPr="00B81F4D">
        <w:t xml:space="preserve"> affected by income apportionment. </w:t>
      </w:r>
    </w:p>
    <w:p w14:paraId="1C10CBCC" w14:textId="77777777" w:rsidR="00E20B67" w:rsidRPr="00B81F4D" w:rsidRDefault="00E20B67" w:rsidP="0012638D">
      <w:pPr>
        <w:pStyle w:val="ListParagraph"/>
        <w:numPr>
          <w:ilvl w:val="0"/>
          <w:numId w:val="33"/>
        </w:numPr>
        <w:spacing w:line="240" w:lineRule="auto"/>
      </w:pPr>
      <w:r w:rsidRPr="00745DD0">
        <w:t>People with debts potentially, but not actually, affected by income apportionment</w:t>
      </w:r>
      <w:r w:rsidRPr="00B81F4D">
        <w:t>.</w:t>
      </w:r>
    </w:p>
    <w:p w14:paraId="6C10FE3D" w14:textId="077C9702" w:rsidR="00E20B67" w:rsidRDefault="00E20B67" w:rsidP="0012638D">
      <w:pPr>
        <w:pStyle w:val="ListParagraph"/>
        <w:numPr>
          <w:ilvl w:val="0"/>
          <w:numId w:val="33"/>
        </w:numPr>
        <w:spacing w:after="120" w:line="240" w:lineRule="auto"/>
      </w:pPr>
      <w:r>
        <w:t>Impacts to c</w:t>
      </w:r>
      <w:r w:rsidRPr="00745DD0">
        <w:t xml:space="preserve">urrent social security recipients </w:t>
      </w:r>
      <w:r w:rsidR="00172886">
        <w:t xml:space="preserve">(and future recipients) </w:t>
      </w:r>
      <w:r>
        <w:t>un</w:t>
      </w:r>
      <w:r w:rsidRPr="00745DD0">
        <w:t>affected by income apportionment</w:t>
      </w:r>
      <w:r w:rsidR="00550C57">
        <w:t>.</w:t>
      </w:r>
      <w:r w:rsidRPr="00B81F4D">
        <w:t xml:space="preserve"> </w:t>
      </w:r>
    </w:p>
    <w:p w14:paraId="21D9E96E" w14:textId="673B971F" w:rsidR="00E20B67" w:rsidRDefault="00E20B67" w:rsidP="0012638D">
      <w:pPr>
        <w:pStyle w:val="ListParagraph"/>
        <w:numPr>
          <w:ilvl w:val="0"/>
          <w:numId w:val="33"/>
        </w:numPr>
        <w:spacing w:after="120" w:line="240" w:lineRule="auto"/>
        <w:ind w:left="357" w:hanging="357"/>
      </w:pPr>
      <w:r w:rsidRPr="0035191B">
        <w:t xml:space="preserve">Impacts on employers and financial institutions are limited to the </w:t>
      </w:r>
      <w:r w:rsidRPr="003C647A">
        <w:t>impost of providing</w:t>
      </w:r>
      <w:r w:rsidR="00F0600D">
        <w:t xml:space="preserve"> supporting information</w:t>
      </w:r>
      <w:r w:rsidRPr="003C647A">
        <w:t>.</w:t>
      </w:r>
    </w:p>
    <w:p w14:paraId="16DFB214" w14:textId="77777777" w:rsidR="00E20B67" w:rsidRDefault="00E20B67" w:rsidP="0012638D">
      <w:pPr>
        <w:pStyle w:val="ListParagraph"/>
        <w:numPr>
          <w:ilvl w:val="0"/>
          <w:numId w:val="33"/>
        </w:numPr>
        <w:spacing w:after="120" w:line="240" w:lineRule="auto"/>
      </w:pPr>
      <w:r w:rsidRPr="001B0A0C">
        <w:t>Impacts o</w:t>
      </w:r>
      <w:r>
        <w:t xml:space="preserve">n community organisations are limited to those who provide support to those undertaking reviews and appeals of debts. </w:t>
      </w:r>
    </w:p>
    <w:p w14:paraId="613F5327" w14:textId="034F0130" w:rsidR="00550C57" w:rsidRDefault="00550C57" w:rsidP="0012638D">
      <w:pPr>
        <w:pStyle w:val="ListParagraph"/>
        <w:numPr>
          <w:ilvl w:val="0"/>
          <w:numId w:val="33"/>
        </w:numPr>
        <w:spacing w:after="120" w:line="240" w:lineRule="auto"/>
        <w:ind w:left="357" w:hanging="357"/>
      </w:pPr>
      <w:r>
        <w:t xml:space="preserve">Impacts on the broader public. </w:t>
      </w:r>
    </w:p>
    <w:p w14:paraId="3CD87EF4" w14:textId="5E4FE8BA" w:rsidR="00E20B67" w:rsidRPr="002C237E" w:rsidRDefault="00E20B67" w:rsidP="00E20B67">
      <w:pPr>
        <w:sectPr w:rsidR="00E20B67" w:rsidRPr="002C237E" w:rsidSect="00745DD0">
          <w:pgSz w:w="11906" w:h="16838"/>
          <w:pgMar w:top="1701" w:right="1134" w:bottom="1843" w:left="1134" w:header="993" w:footer="709" w:gutter="0"/>
          <w:cols w:space="708"/>
          <w:titlePg/>
          <w:docGrid w:linePitch="360"/>
        </w:sectPr>
      </w:pPr>
    </w:p>
    <w:p w14:paraId="0EF652EF" w14:textId="77777777" w:rsidR="003447DF" w:rsidRPr="003447DF" w:rsidRDefault="003447DF" w:rsidP="00745DD0"/>
    <w:p w14:paraId="4C03EB7D" w14:textId="77777777" w:rsidR="003447DF" w:rsidRPr="003447DF" w:rsidRDefault="003447DF" w:rsidP="003447DF">
      <w:pPr>
        <w:keepNext/>
        <w:keepLines/>
        <w:spacing w:before="240"/>
        <w:outlineLvl w:val="2"/>
        <w:rPr>
          <w:rFonts w:asciiTheme="majorHAnsi" w:eastAsiaTheme="majorEastAsia" w:hAnsiTheme="majorHAnsi" w:cstheme="minorHAnsi"/>
          <w:color w:val="004261" w:themeColor="text2"/>
          <w:szCs w:val="22"/>
        </w:rPr>
      </w:pPr>
      <w:r w:rsidRPr="003447DF">
        <w:rPr>
          <w:rFonts w:asciiTheme="majorHAnsi" w:eastAsiaTheme="majorEastAsia" w:hAnsiTheme="majorHAnsi" w:cstheme="minorHAnsi"/>
          <w:color w:val="004261" w:themeColor="text2"/>
          <w:szCs w:val="22"/>
        </w:rPr>
        <w:t xml:space="preserve">Summary of approaches to address income apportionment </w:t>
      </w:r>
    </w:p>
    <w:tbl>
      <w:tblPr>
        <w:tblStyle w:val="TableGrid"/>
        <w:tblpPr w:leftFromText="180" w:rightFromText="180" w:vertAnchor="text" w:horzAnchor="margin" w:tblpY="-25"/>
        <w:tblW w:w="22392" w:type="dxa"/>
        <w:tblLook w:val="04A0" w:firstRow="1" w:lastRow="0" w:firstColumn="1" w:lastColumn="0" w:noHBand="0" w:noVBand="1"/>
      </w:tblPr>
      <w:tblGrid>
        <w:gridCol w:w="3198"/>
        <w:gridCol w:w="3199"/>
        <w:gridCol w:w="3199"/>
        <w:gridCol w:w="3199"/>
        <w:gridCol w:w="3199"/>
        <w:gridCol w:w="3199"/>
        <w:gridCol w:w="3199"/>
      </w:tblGrid>
      <w:tr w:rsidR="00FB068E" w:rsidRPr="003447DF" w14:paraId="39ADA080" w14:textId="77777777" w:rsidTr="00745DD0">
        <w:trPr>
          <w:trHeight w:val="513"/>
        </w:trPr>
        <w:tc>
          <w:tcPr>
            <w:tcW w:w="3198" w:type="dxa"/>
            <w:tcBorders>
              <w:bottom w:val="nil"/>
            </w:tcBorders>
            <w:shd w:val="clear" w:color="auto" w:fill="C00000"/>
          </w:tcPr>
          <w:p w14:paraId="4D6DEE8E" w14:textId="77777777" w:rsidR="003447DF" w:rsidRPr="003447DF" w:rsidRDefault="003447DF" w:rsidP="003447DF">
            <w:pPr>
              <w:jc w:val="center"/>
            </w:pPr>
          </w:p>
        </w:tc>
        <w:tc>
          <w:tcPr>
            <w:tcW w:w="3199" w:type="dxa"/>
            <w:tcBorders>
              <w:bottom w:val="nil"/>
            </w:tcBorders>
            <w:shd w:val="clear" w:color="auto" w:fill="FF0000"/>
          </w:tcPr>
          <w:p w14:paraId="0D6596C1" w14:textId="77777777" w:rsidR="003447DF" w:rsidRPr="003447DF" w:rsidRDefault="003447DF" w:rsidP="003447DF">
            <w:pPr>
              <w:jc w:val="center"/>
            </w:pPr>
          </w:p>
        </w:tc>
        <w:tc>
          <w:tcPr>
            <w:tcW w:w="3199" w:type="dxa"/>
            <w:tcBorders>
              <w:bottom w:val="nil"/>
            </w:tcBorders>
            <w:shd w:val="clear" w:color="auto" w:fill="FFC000"/>
          </w:tcPr>
          <w:p w14:paraId="0D552370" w14:textId="77777777" w:rsidR="003447DF" w:rsidRPr="003447DF" w:rsidRDefault="003447DF" w:rsidP="003447DF">
            <w:pPr>
              <w:jc w:val="center"/>
            </w:pPr>
          </w:p>
        </w:tc>
        <w:tc>
          <w:tcPr>
            <w:tcW w:w="3199" w:type="dxa"/>
            <w:tcBorders>
              <w:bottom w:val="nil"/>
            </w:tcBorders>
            <w:shd w:val="clear" w:color="auto" w:fill="FFFF00"/>
          </w:tcPr>
          <w:p w14:paraId="163D3171" w14:textId="77777777" w:rsidR="003447DF" w:rsidRPr="003447DF" w:rsidRDefault="003447DF" w:rsidP="003447DF">
            <w:pPr>
              <w:jc w:val="center"/>
            </w:pPr>
          </w:p>
        </w:tc>
        <w:tc>
          <w:tcPr>
            <w:tcW w:w="3199" w:type="dxa"/>
            <w:tcBorders>
              <w:bottom w:val="nil"/>
            </w:tcBorders>
            <w:shd w:val="clear" w:color="auto" w:fill="92D050"/>
          </w:tcPr>
          <w:p w14:paraId="449E86E7" w14:textId="77777777" w:rsidR="003447DF" w:rsidRPr="003447DF" w:rsidRDefault="003447DF" w:rsidP="003447DF">
            <w:pPr>
              <w:jc w:val="center"/>
            </w:pPr>
          </w:p>
        </w:tc>
        <w:tc>
          <w:tcPr>
            <w:tcW w:w="3199" w:type="dxa"/>
            <w:tcBorders>
              <w:bottom w:val="nil"/>
            </w:tcBorders>
            <w:shd w:val="clear" w:color="auto" w:fill="00B050"/>
          </w:tcPr>
          <w:p w14:paraId="10AA375E" w14:textId="77777777" w:rsidR="003447DF" w:rsidRPr="003447DF" w:rsidRDefault="003447DF" w:rsidP="003447DF">
            <w:pPr>
              <w:jc w:val="center"/>
            </w:pPr>
          </w:p>
        </w:tc>
        <w:tc>
          <w:tcPr>
            <w:tcW w:w="3199" w:type="dxa"/>
            <w:tcBorders>
              <w:bottom w:val="nil"/>
            </w:tcBorders>
            <w:shd w:val="clear" w:color="auto" w:fill="007065"/>
          </w:tcPr>
          <w:p w14:paraId="6D1AD6C1" w14:textId="77777777" w:rsidR="003447DF" w:rsidRPr="003447DF" w:rsidRDefault="003447DF" w:rsidP="003447DF">
            <w:pPr>
              <w:jc w:val="center"/>
            </w:pPr>
          </w:p>
        </w:tc>
      </w:tr>
      <w:tr w:rsidR="003447DF" w:rsidRPr="003447DF" w14:paraId="4996A1ED" w14:textId="77777777" w:rsidTr="00745DD0">
        <w:trPr>
          <w:trHeight w:val="513"/>
        </w:trPr>
        <w:tc>
          <w:tcPr>
            <w:tcW w:w="3198" w:type="dxa"/>
            <w:tcBorders>
              <w:top w:val="nil"/>
              <w:left w:val="nil"/>
              <w:bottom w:val="nil"/>
              <w:right w:val="nil"/>
            </w:tcBorders>
          </w:tcPr>
          <w:p w14:paraId="54F3280A" w14:textId="77777777" w:rsidR="003447DF" w:rsidRPr="003447DF" w:rsidRDefault="003447DF" w:rsidP="003447DF">
            <w:pPr>
              <w:jc w:val="center"/>
            </w:pPr>
            <w:r w:rsidRPr="003447DF">
              <w:t>-3</w:t>
            </w:r>
          </w:p>
        </w:tc>
        <w:tc>
          <w:tcPr>
            <w:tcW w:w="3199" w:type="dxa"/>
            <w:tcBorders>
              <w:top w:val="nil"/>
              <w:left w:val="nil"/>
              <w:bottom w:val="nil"/>
              <w:right w:val="nil"/>
            </w:tcBorders>
          </w:tcPr>
          <w:p w14:paraId="0F53E3CC" w14:textId="77777777" w:rsidR="003447DF" w:rsidRPr="003447DF" w:rsidRDefault="003447DF" w:rsidP="003447DF">
            <w:pPr>
              <w:jc w:val="center"/>
            </w:pPr>
            <w:r w:rsidRPr="003447DF">
              <w:t>-2</w:t>
            </w:r>
          </w:p>
        </w:tc>
        <w:tc>
          <w:tcPr>
            <w:tcW w:w="3199" w:type="dxa"/>
            <w:tcBorders>
              <w:top w:val="nil"/>
              <w:left w:val="nil"/>
              <w:bottom w:val="nil"/>
              <w:right w:val="nil"/>
            </w:tcBorders>
          </w:tcPr>
          <w:p w14:paraId="2056CC9F" w14:textId="77777777" w:rsidR="003447DF" w:rsidRPr="003447DF" w:rsidRDefault="003447DF" w:rsidP="003447DF">
            <w:pPr>
              <w:jc w:val="center"/>
            </w:pPr>
            <w:r w:rsidRPr="003447DF">
              <w:t>-1</w:t>
            </w:r>
          </w:p>
        </w:tc>
        <w:tc>
          <w:tcPr>
            <w:tcW w:w="3199" w:type="dxa"/>
            <w:tcBorders>
              <w:top w:val="nil"/>
              <w:left w:val="nil"/>
              <w:bottom w:val="nil"/>
              <w:right w:val="nil"/>
            </w:tcBorders>
          </w:tcPr>
          <w:p w14:paraId="3CF4BC7D" w14:textId="77777777" w:rsidR="003447DF" w:rsidRPr="003447DF" w:rsidRDefault="003447DF" w:rsidP="003447DF">
            <w:pPr>
              <w:jc w:val="center"/>
            </w:pPr>
            <w:r w:rsidRPr="003447DF">
              <w:t>0</w:t>
            </w:r>
          </w:p>
        </w:tc>
        <w:tc>
          <w:tcPr>
            <w:tcW w:w="3199" w:type="dxa"/>
            <w:tcBorders>
              <w:top w:val="nil"/>
              <w:left w:val="nil"/>
              <w:bottom w:val="nil"/>
              <w:right w:val="nil"/>
            </w:tcBorders>
          </w:tcPr>
          <w:p w14:paraId="13EFE141" w14:textId="77777777" w:rsidR="003447DF" w:rsidRPr="003447DF" w:rsidRDefault="003447DF" w:rsidP="003447DF">
            <w:pPr>
              <w:jc w:val="center"/>
            </w:pPr>
            <w:r w:rsidRPr="003447DF">
              <w:t>+1</w:t>
            </w:r>
          </w:p>
        </w:tc>
        <w:tc>
          <w:tcPr>
            <w:tcW w:w="3199" w:type="dxa"/>
            <w:tcBorders>
              <w:top w:val="nil"/>
              <w:left w:val="nil"/>
              <w:bottom w:val="nil"/>
              <w:right w:val="nil"/>
            </w:tcBorders>
          </w:tcPr>
          <w:p w14:paraId="74A125EB" w14:textId="77777777" w:rsidR="003447DF" w:rsidRPr="003447DF" w:rsidRDefault="003447DF" w:rsidP="003447DF">
            <w:pPr>
              <w:jc w:val="center"/>
            </w:pPr>
            <w:r w:rsidRPr="003447DF">
              <w:t>+2</w:t>
            </w:r>
          </w:p>
        </w:tc>
        <w:tc>
          <w:tcPr>
            <w:tcW w:w="3199" w:type="dxa"/>
            <w:tcBorders>
              <w:top w:val="nil"/>
              <w:left w:val="nil"/>
              <w:bottom w:val="nil"/>
              <w:right w:val="nil"/>
            </w:tcBorders>
          </w:tcPr>
          <w:p w14:paraId="6538A81F" w14:textId="77777777" w:rsidR="003447DF" w:rsidRPr="003447DF" w:rsidRDefault="003447DF" w:rsidP="003447DF">
            <w:pPr>
              <w:jc w:val="center"/>
            </w:pPr>
            <w:r w:rsidRPr="003447DF">
              <w:t>+3</w:t>
            </w:r>
          </w:p>
        </w:tc>
      </w:tr>
      <w:tr w:rsidR="003447DF" w:rsidRPr="003447DF" w14:paraId="67A70765" w14:textId="77777777" w:rsidTr="00745DD0">
        <w:trPr>
          <w:trHeight w:val="849"/>
        </w:trPr>
        <w:tc>
          <w:tcPr>
            <w:tcW w:w="3198" w:type="dxa"/>
            <w:tcBorders>
              <w:top w:val="nil"/>
              <w:left w:val="nil"/>
              <w:bottom w:val="nil"/>
              <w:right w:val="nil"/>
            </w:tcBorders>
          </w:tcPr>
          <w:p w14:paraId="32CED3D2" w14:textId="77777777" w:rsidR="003447DF" w:rsidRPr="003447DF" w:rsidRDefault="003447DF" w:rsidP="003447DF">
            <w:pPr>
              <w:jc w:val="center"/>
            </w:pPr>
            <w:r w:rsidRPr="003447DF">
              <w:t>Large adverse</w:t>
            </w:r>
          </w:p>
        </w:tc>
        <w:tc>
          <w:tcPr>
            <w:tcW w:w="3199" w:type="dxa"/>
            <w:tcBorders>
              <w:top w:val="nil"/>
              <w:left w:val="nil"/>
              <w:bottom w:val="nil"/>
              <w:right w:val="nil"/>
            </w:tcBorders>
          </w:tcPr>
          <w:p w14:paraId="43A0E725" w14:textId="77777777" w:rsidR="003447DF" w:rsidRPr="003447DF" w:rsidRDefault="003447DF" w:rsidP="003447DF">
            <w:pPr>
              <w:jc w:val="center"/>
            </w:pPr>
            <w:r w:rsidRPr="003447DF">
              <w:t>Moderate adverse</w:t>
            </w:r>
          </w:p>
        </w:tc>
        <w:tc>
          <w:tcPr>
            <w:tcW w:w="3199" w:type="dxa"/>
            <w:tcBorders>
              <w:top w:val="nil"/>
              <w:left w:val="nil"/>
              <w:bottom w:val="nil"/>
              <w:right w:val="nil"/>
            </w:tcBorders>
          </w:tcPr>
          <w:p w14:paraId="0ED057B4" w14:textId="77777777" w:rsidR="003447DF" w:rsidRPr="003447DF" w:rsidRDefault="003447DF" w:rsidP="003447DF">
            <w:pPr>
              <w:jc w:val="center"/>
            </w:pPr>
            <w:r w:rsidRPr="003447DF">
              <w:t>Slight adverse</w:t>
            </w:r>
          </w:p>
        </w:tc>
        <w:tc>
          <w:tcPr>
            <w:tcW w:w="3199" w:type="dxa"/>
            <w:tcBorders>
              <w:top w:val="nil"/>
              <w:left w:val="nil"/>
              <w:bottom w:val="nil"/>
              <w:right w:val="nil"/>
            </w:tcBorders>
          </w:tcPr>
          <w:p w14:paraId="69C13F06" w14:textId="77777777" w:rsidR="003447DF" w:rsidRPr="003447DF" w:rsidRDefault="003447DF" w:rsidP="003447DF">
            <w:pPr>
              <w:jc w:val="center"/>
            </w:pPr>
            <w:r w:rsidRPr="003447DF">
              <w:t>Neutral</w:t>
            </w:r>
          </w:p>
        </w:tc>
        <w:tc>
          <w:tcPr>
            <w:tcW w:w="3199" w:type="dxa"/>
            <w:tcBorders>
              <w:top w:val="nil"/>
              <w:left w:val="nil"/>
              <w:bottom w:val="nil"/>
              <w:right w:val="nil"/>
            </w:tcBorders>
          </w:tcPr>
          <w:p w14:paraId="359BB095" w14:textId="77777777" w:rsidR="003447DF" w:rsidRPr="003447DF" w:rsidRDefault="003447DF" w:rsidP="003447DF">
            <w:pPr>
              <w:jc w:val="center"/>
            </w:pPr>
            <w:r w:rsidRPr="003447DF">
              <w:t>Slight beneficial</w:t>
            </w:r>
          </w:p>
        </w:tc>
        <w:tc>
          <w:tcPr>
            <w:tcW w:w="3199" w:type="dxa"/>
            <w:tcBorders>
              <w:top w:val="nil"/>
              <w:left w:val="nil"/>
              <w:bottom w:val="nil"/>
              <w:right w:val="nil"/>
            </w:tcBorders>
          </w:tcPr>
          <w:p w14:paraId="30D21115" w14:textId="77777777" w:rsidR="003447DF" w:rsidRPr="003447DF" w:rsidRDefault="003447DF" w:rsidP="003447DF">
            <w:pPr>
              <w:jc w:val="center"/>
            </w:pPr>
            <w:r w:rsidRPr="003447DF">
              <w:t>Moderate beneficial</w:t>
            </w:r>
          </w:p>
        </w:tc>
        <w:tc>
          <w:tcPr>
            <w:tcW w:w="3199" w:type="dxa"/>
            <w:tcBorders>
              <w:top w:val="nil"/>
              <w:left w:val="nil"/>
              <w:bottom w:val="nil"/>
              <w:right w:val="nil"/>
            </w:tcBorders>
          </w:tcPr>
          <w:p w14:paraId="05E61B03" w14:textId="77777777" w:rsidR="003447DF" w:rsidRPr="003447DF" w:rsidRDefault="003447DF" w:rsidP="003447DF">
            <w:pPr>
              <w:jc w:val="center"/>
            </w:pPr>
            <w:r w:rsidRPr="003447DF">
              <w:t>Large beneficial</w:t>
            </w:r>
          </w:p>
        </w:tc>
      </w:tr>
    </w:tbl>
    <w:p w14:paraId="0DD3AE92" w14:textId="77777777" w:rsidR="003447DF" w:rsidRDefault="003447DF" w:rsidP="003447DF"/>
    <w:tbl>
      <w:tblPr>
        <w:tblStyle w:val="TableGrid"/>
        <w:tblW w:w="5000" w:type="pct"/>
        <w:tblLayout w:type="fixed"/>
        <w:tblLook w:val="04A0" w:firstRow="1" w:lastRow="0" w:firstColumn="1" w:lastColumn="0" w:noHBand="0" w:noVBand="1"/>
      </w:tblPr>
      <w:tblGrid>
        <w:gridCol w:w="1695"/>
        <w:gridCol w:w="425"/>
        <w:gridCol w:w="425"/>
        <w:gridCol w:w="425"/>
        <w:gridCol w:w="425"/>
        <w:gridCol w:w="425"/>
        <w:gridCol w:w="425"/>
        <w:gridCol w:w="3023"/>
        <w:gridCol w:w="3023"/>
        <w:gridCol w:w="3023"/>
        <w:gridCol w:w="3023"/>
        <w:gridCol w:w="3023"/>
        <w:gridCol w:w="3001"/>
      </w:tblGrid>
      <w:tr w:rsidR="008324F3" w14:paraId="5B2752FD" w14:textId="73E42B7C" w:rsidTr="00635804">
        <w:trPr>
          <w:trHeight w:val="691"/>
          <w:tblHeader/>
        </w:trPr>
        <w:tc>
          <w:tcPr>
            <w:tcW w:w="379" w:type="pct"/>
            <w:vMerge w:val="restart"/>
          </w:tcPr>
          <w:p w14:paraId="623F423C" w14:textId="29501F97" w:rsidR="00AB5EBC" w:rsidRPr="00FF4FB6" w:rsidRDefault="00AB5EBC">
            <w:pPr>
              <w:rPr>
                <w:b/>
                <w:bCs/>
              </w:rPr>
            </w:pPr>
            <w:bookmarkStart w:id="57" w:name="_Hlk205203097"/>
            <w:r>
              <w:rPr>
                <w:b/>
                <w:bCs/>
              </w:rPr>
              <w:t xml:space="preserve">Stakeholder </w:t>
            </w:r>
          </w:p>
        </w:tc>
        <w:tc>
          <w:tcPr>
            <w:tcW w:w="570" w:type="pct"/>
            <w:gridSpan w:val="6"/>
            <w:shd w:val="clear" w:color="auto" w:fill="F2F2F2" w:themeFill="background2" w:themeFillShade="F2"/>
          </w:tcPr>
          <w:p w14:paraId="3D81AA35" w14:textId="5E94C980" w:rsidR="00AB5EBC" w:rsidRDefault="00AB5EBC">
            <w:pPr>
              <w:rPr>
                <w:b/>
                <w:bCs/>
                <w:sz w:val="18"/>
                <w:szCs w:val="18"/>
              </w:rPr>
            </w:pPr>
            <w:r>
              <w:rPr>
                <w:b/>
                <w:bCs/>
              </w:rPr>
              <w:t>Option no.</w:t>
            </w:r>
          </w:p>
        </w:tc>
        <w:tc>
          <w:tcPr>
            <w:tcW w:w="4051" w:type="pct"/>
            <w:gridSpan w:val="6"/>
            <w:shd w:val="clear" w:color="auto" w:fill="F2F2F2" w:themeFill="background2" w:themeFillShade="F2"/>
          </w:tcPr>
          <w:p w14:paraId="13651E4C" w14:textId="0DDC7ABA" w:rsidR="00AB5EBC" w:rsidRDefault="00AB5EBC">
            <w:pPr>
              <w:rPr>
                <w:b/>
                <w:bCs/>
                <w:sz w:val="18"/>
                <w:szCs w:val="18"/>
              </w:rPr>
            </w:pPr>
            <w:r>
              <w:rPr>
                <w:b/>
                <w:bCs/>
                <w:sz w:val="18"/>
                <w:szCs w:val="18"/>
              </w:rPr>
              <w:t xml:space="preserve">Explanation </w:t>
            </w:r>
          </w:p>
        </w:tc>
      </w:tr>
      <w:tr w:rsidR="00E01893" w14:paraId="59EFBD53" w14:textId="6EEE4938" w:rsidTr="2DB58616">
        <w:trPr>
          <w:trHeight w:val="70"/>
          <w:tblHeader/>
        </w:trPr>
        <w:tc>
          <w:tcPr>
            <w:tcW w:w="379" w:type="pct"/>
            <w:vMerge/>
          </w:tcPr>
          <w:p w14:paraId="174954D8" w14:textId="77777777" w:rsidR="00FF5EFA" w:rsidRPr="00FF4FB6" w:rsidRDefault="00FF5EFA" w:rsidP="00FF5EFA">
            <w:pPr>
              <w:rPr>
                <w:b/>
                <w:bCs/>
              </w:rPr>
            </w:pPr>
          </w:p>
        </w:tc>
        <w:tc>
          <w:tcPr>
            <w:tcW w:w="95" w:type="pct"/>
            <w:shd w:val="clear" w:color="auto" w:fill="F2F2F2" w:themeFill="background2" w:themeFillShade="F2"/>
          </w:tcPr>
          <w:p w14:paraId="00156B26" w14:textId="667E2A68" w:rsidR="00FF5EFA" w:rsidRPr="00FF4FB6" w:rsidRDefault="00FF5EFA" w:rsidP="00FF5EFA">
            <w:pPr>
              <w:rPr>
                <w:b/>
                <w:bCs/>
              </w:rPr>
            </w:pPr>
            <w:r>
              <w:rPr>
                <w:b/>
                <w:bCs/>
              </w:rPr>
              <w:t>1</w:t>
            </w:r>
          </w:p>
        </w:tc>
        <w:tc>
          <w:tcPr>
            <w:tcW w:w="95" w:type="pct"/>
            <w:shd w:val="clear" w:color="auto" w:fill="F2F2F2" w:themeFill="background2" w:themeFillShade="F2"/>
          </w:tcPr>
          <w:p w14:paraId="7348B0EA" w14:textId="063E2DC1" w:rsidR="00FF5EFA" w:rsidRPr="00FF4FB6" w:rsidRDefault="00FF5EFA" w:rsidP="00FF5EFA">
            <w:pPr>
              <w:rPr>
                <w:b/>
                <w:bCs/>
              </w:rPr>
            </w:pPr>
            <w:r>
              <w:rPr>
                <w:b/>
                <w:bCs/>
              </w:rPr>
              <w:t>2</w:t>
            </w:r>
          </w:p>
        </w:tc>
        <w:tc>
          <w:tcPr>
            <w:tcW w:w="95" w:type="pct"/>
            <w:shd w:val="clear" w:color="auto" w:fill="F2F2F2" w:themeFill="background2" w:themeFillShade="F2"/>
          </w:tcPr>
          <w:p w14:paraId="46B80807" w14:textId="1A6DF359" w:rsidR="00FF5EFA" w:rsidRPr="00FF4FB6" w:rsidRDefault="00FF5EFA" w:rsidP="00FF5EFA">
            <w:pPr>
              <w:rPr>
                <w:b/>
                <w:bCs/>
              </w:rPr>
            </w:pPr>
            <w:r>
              <w:rPr>
                <w:b/>
                <w:bCs/>
              </w:rPr>
              <w:t>3</w:t>
            </w:r>
          </w:p>
        </w:tc>
        <w:tc>
          <w:tcPr>
            <w:tcW w:w="95" w:type="pct"/>
            <w:shd w:val="clear" w:color="auto" w:fill="F2F2F2" w:themeFill="background2" w:themeFillShade="F2"/>
          </w:tcPr>
          <w:p w14:paraId="1D18DAAC" w14:textId="071D5395" w:rsidR="00FF5EFA" w:rsidRPr="00FF4FB6" w:rsidRDefault="00FF5EFA" w:rsidP="00FF5EFA">
            <w:pPr>
              <w:rPr>
                <w:b/>
                <w:bCs/>
              </w:rPr>
            </w:pPr>
            <w:r>
              <w:rPr>
                <w:b/>
                <w:bCs/>
              </w:rPr>
              <w:t>4</w:t>
            </w:r>
          </w:p>
        </w:tc>
        <w:tc>
          <w:tcPr>
            <w:tcW w:w="95" w:type="pct"/>
            <w:shd w:val="clear" w:color="auto" w:fill="F2F2F2" w:themeFill="background2" w:themeFillShade="F2"/>
          </w:tcPr>
          <w:p w14:paraId="583BB4CC" w14:textId="0EFD972D" w:rsidR="00FF5EFA" w:rsidRPr="00584A4A" w:rsidRDefault="00FF5EFA" w:rsidP="00FF5EFA">
            <w:pPr>
              <w:rPr>
                <w:b/>
              </w:rPr>
            </w:pPr>
            <w:r w:rsidRPr="00584A4A">
              <w:rPr>
                <w:b/>
              </w:rPr>
              <w:t>5</w:t>
            </w:r>
          </w:p>
        </w:tc>
        <w:tc>
          <w:tcPr>
            <w:tcW w:w="95" w:type="pct"/>
            <w:shd w:val="clear" w:color="auto" w:fill="F2F2F2" w:themeFill="background2" w:themeFillShade="F2"/>
          </w:tcPr>
          <w:p w14:paraId="1F024AD7" w14:textId="7A6AF763" w:rsidR="00FF5EFA" w:rsidRPr="00584A4A" w:rsidRDefault="00FF5EFA" w:rsidP="00FF5EFA">
            <w:pPr>
              <w:rPr>
                <w:b/>
              </w:rPr>
            </w:pPr>
            <w:r w:rsidRPr="00584A4A">
              <w:rPr>
                <w:b/>
              </w:rPr>
              <w:t>6</w:t>
            </w:r>
          </w:p>
        </w:tc>
        <w:tc>
          <w:tcPr>
            <w:tcW w:w="676" w:type="pct"/>
            <w:shd w:val="clear" w:color="auto" w:fill="F2F2F2" w:themeFill="background2" w:themeFillShade="F2"/>
          </w:tcPr>
          <w:p w14:paraId="265E6FBC" w14:textId="53527FEB" w:rsidR="00FF5EFA" w:rsidRPr="00FF4FB6" w:rsidRDefault="00FF5EFA" w:rsidP="00FF5EFA">
            <w:pPr>
              <w:rPr>
                <w:b/>
                <w:bCs/>
                <w:sz w:val="18"/>
                <w:szCs w:val="18"/>
              </w:rPr>
            </w:pPr>
            <w:r>
              <w:rPr>
                <w:b/>
                <w:bCs/>
                <w:sz w:val="18"/>
                <w:szCs w:val="18"/>
              </w:rPr>
              <w:t>Option 1: Maintain the status quo</w:t>
            </w:r>
          </w:p>
        </w:tc>
        <w:tc>
          <w:tcPr>
            <w:tcW w:w="676" w:type="pct"/>
            <w:shd w:val="clear" w:color="auto" w:fill="F2F2F2" w:themeFill="background2" w:themeFillShade="F2"/>
          </w:tcPr>
          <w:p w14:paraId="088233E5" w14:textId="1965B159" w:rsidR="00FF5EFA" w:rsidRPr="00745DD0" w:rsidRDefault="00FF5EFA" w:rsidP="00FF5EFA">
            <w:pPr>
              <w:rPr>
                <w:b/>
                <w:bCs/>
                <w:sz w:val="18"/>
                <w:szCs w:val="18"/>
              </w:rPr>
            </w:pPr>
            <w:r w:rsidRPr="00FF4FB6">
              <w:rPr>
                <w:b/>
                <w:bCs/>
                <w:sz w:val="18"/>
                <w:szCs w:val="18"/>
              </w:rPr>
              <w:t xml:space="preserve">Option </w:t>
            </w:r>
            <w:r>
              <w:rPr>
                <w:b/>
                <w:bCs/>
                <w:sz w:val="18"/>
                <w:szCs w:val="18"/>
              </w:rPr>
              <w:t>2: Waive all debts potentially affected by income apportionment</w:t>
            </w:r>
          </w:p>
        </w:tc>
        <w:tc>
          <w:tcPr>
            <w:tcW w:w="676" w:type="pct"/>
            <w:shd w:val="clear" w:color="auto" w:fill="F2F2F2" w:themeFill="background2" w:themeFillShade="F2"/>
          </w:tcPr>
          <w:p w14:paraId="060D7B43" w14:textId="521334DE" w:rsidR="00FF5EFA" w:rsidRDefault="00FF5EFA" w:rsidP="00FF5EFA">
            <w:r>
              <w:rPr>
                <w:b/>
                <w:bCs/>
                <w:sz w:val="18"/>
                <w:szCs w:val="18"/>
              </w:rPr>
              <w:t>Option 3: Identify and recalculate debts affected by income apportionment</w:t>
            </w:r>
          </w:p>
        </w:tc>
        <w:tc>
          <w:tcPr>
            <w:tcW w:w="676" w:type="pct"/>
            <w:shd w:val="clear" w:color="auto" w:fill="F2F2F2" w:themeFill="background2" w:themeFillShade="F2"/>
          </w:tcPr>
          <w:p w14:paraId="4E3E6D1D" w14:textId="45E0131F" w:rsidR="00FF5EFA" w:rsidRPr="00745DD0" w:rsidRDefault="00FF5EFA" w:rsidP="00FF5EFA">
            <w:pPr>
              <w:rPr>
                <w:b/>
                <w:bCs/>
                <w:sz w:val="18"/>
                <w:szCs w:val="18"/>
              </w:rPr>
            </w:pPr>
            <w:r>
              <w:rPr>
                <w:b/>
                <w:bCs/>
                <w:sz w:val="18"/>
                <w:szCs w:val="18"/>
              </w:rPr>
              <w:t xml:space="preserve">Option 4: Retrospectively validate income apportionment </w:t>
            </w:r>
          </w:p>
        </w:tc>
        <w:tc>
          <w:tcPr>
            <w:tcW w:w="676" w:type="pct"/>
            <w:shd w:val="clear" w:color="auto" w:fill="F2F2F2" w:themeFill="background2" w:themeFillShade="F2"/>
          </w:tcPr>
          <w:p w14:paraId="540CB74E" w14:textId="5ADD2DB0" w:rsidR="00FF5EFA" w:rsidRDefault="00FF5EFA" w:rsidP="00FF5EFA">
            <w:pPr>
              <w:rPr>
                <w:b/>
                <w:bCs/>
                <w:sz w:val="18"/>
                <w:szCs w:val="18"/>
              </w:rPr>
            </w:pPr>
            <w:r>
              <w:rPr>
                <w:b/>
                <w:bCs/>
                <w:sz w:val="18"/>
                <w:szCs w:val="18"/>
              </w:rPr>
              <w:t>Option 5: Retrospective validation and partial waiver for paused debts</w:t>
            </w:r>
          </w:p>
        </w:tc>
        <w:tc>
          <w:tcPr>
            <w:tcW w:w="671" w:type="pct"/>
            <w:shd w:val="clear" w:color="auto" w:fill="F2F2F2" w:themeFill="background2" w:themeFillShade="F2"/>
          </w:tcPr>
          <w:p w14:paraId="467BD83D" w14:textId="0B58DE06" w:rsidR="00FF5EFA" w:rsidRDefault="00FF5EFA" w:rsidP="00FF5EFA">
            <w:pPr>
              <w:rPr>
                <w:b/>
                <w:bCs/>
                <w:sz w:val="18"/>
                <w:szCs w:val="18"/>
              </w:rPr>
            </w:pPr>
            <w:r>
              <w:rPr>
                <w:b/>
                <w:bCs/>
                <w:sz w:val="18"/>
                <w:szCs w:val="18"/>
              </w:rPr>
              <w:t xml:space="preserve">Option 6: Retrospective validation and a </w:t>
            </w:r>
            <w:r w:rsidR="00135693">
              <w:rPr>
                <w:b/>
                <w:bCs/>
                <w:sz w:val="18"/>
                <w:szCs w:val="18"/>
              </w:rPr>
              <w:t>Resolution scheme</w:t>
            </w:r>
            <w:r>
              <w:rPr>
                <w:b/>
                <w:bCs/>
                <w:sz w:val="18"/>
                <w:szCs w:val="18"/>
              </w:rPr>
              <w:t xml:space="preserve"> for debts affected by income apportionment </w:t>
            </w:r>
          </w:p>
        </w:tc>
      </w:tr>
      <w:tr w:rsidR="005E23BD" w14:paraId="3330FFD5" w14:textId="1995CC80" w:rsidTr="00635804">
        <w:trPr>
          <w:trHeight w:val="1434"/>
        </w:trPr>
        <w:tc>
          <w:tcPr>
            <w:tcW w:w="379" w:type="pct"/>
          </w:tcPr>
          <w:p w14:paraId="48E83338" w14:textId="50F67526" w:rsidR="00FF5EFA" w:rsidRPr="00FF4FB6" w:rsidRDefault="00FF5EFA" w:rsidP="00FF5EFA">
            <w:pPr>
              <w:rPr>
                <w:b/>
                <w:bCs/>
              </w:rPr>
            </w:pPr>
            <w:bookmarkStart w:id="58" w:name="_Hlk201332683"/>
            <w:r w:rsidRPr="00FF4FB6">
              <w:rPr>
                <w:b/>
                <w:bCs/>
              </w:rPr>
              <w:t>People with debts</w:t>
            </w:r>
            <w:r>
              <w:rPr>
                <w:b/>
                <w:bCs/>
              </w:rPr>
              <w:t xml:space="preserve"> affected by income apportionment (likely around 63% of potentially affected debts)</w:t>
            </w:r>
          </w:p>
          <w:p w14:paraId="0F01DA64" w14:textId="77777777" w:rsidR="00FF5EFA" w:rsidRPr="00FF4FB6" w:rsidRDefault="00FF5EFA" w:rsidP="00FF5EFA">
            <w:pPr>
              <w:rPr>
                <w:b/>
                <w:bCs/>
              </w:rPr>
            </w:pPr>
          </w:p>
        </w:tc>
        <w:tc>
          <w:tcPr>
            <w:tcW w:w="95" w:type="pct"/>
            <w:shd w:val="clear" w:color="auto" w:fill="FFC000"/>
            <w:vAlign w:val="center"/>
          </w:tcPr>
          <w:p w14:paraId="60DF37FA" w14:textId="08ED2E36" w:rsidR="00FF5EFA" w:rsidRPr="00D93763" w:rsidRDefault="00FE5BF3" w:rsidP="00ED32E0">
            <w:pPr>
              <w:jc w:val="center"/>
              <w:rPr>
                <w:b/>
                <w:bCs/>
                <w:sz w:val="18"/>
                <w:szCs w:val="18"/>
              </w:rPr>
            </w:pPr>
            <w:r w:rsidRPr="00D93763">
              <w:rPr>
                <w:b/>
                <w:bCs/>
                <w:sz w:val="18"/>
                <w:szCs w:val="18"/>
              </w:rPr>
              <w:t>-1</w:t>
            </w:r>
          </w:p>
        </w:tc>
        <w:tc>
          <w:tcPr>
            <w:tcW w:w="95" w:type="pct"/>
            <w:shd w:val="clear" w:color="auto" w:fill="92D050"/>
            <w:vAlign w:val="center"/>
          </w:tcPr>
          <w:p w14:paraId="5523E925" w14:textId="0E1281B3" w:rsidR="00FF5EFA" w:rsidRPr="00D93763" w:rsidRDefault="00781E6A" w:rsidP="00ED32E0">
            <w:pPr>
              <w:jc w:val="center"/>
              <w:rPr>
                <w:b/>
                <w:bCs/>
                <w:sz w:val="18"/>
                <w:szCs w:val="18"/>
              </w:rPr>
            </w:pPr>
            <w:r>
              <w:rPr>
                <w:b/>
                <w:bCs/>
                <w:sz w:val="18"/>
                <w:szCs w:val="18"/>
              </w:rPr>
              <w:t>1</w:t>
            </w:r>
          </w:p>
        </w:tc>
        <w:tc>
          <w:tcPr>
            <w:tcW w:w="95" w:type="pct"/>
            <w:shd w:val="clear" w:color="auto" w:fill="FF0000"/>
            <w:vAlign w:val="center"/>
          </w:tcPr>
          <w:p w14:paraId="5DB420D5" w14:textId="77065D59" w:rsidR="00FF5EFA" w:rsidRPr="00D93763" w:rsidRDefault="0059398E" w:rsidP="00ED32E0">
            <w:pPr>
              <w:jc w:val="center"/>
              <w:rPr>
                <w:b/>
                <w:bCs/>
                <w:sz w:val="18"/>
                <w:szCs w:val="18"/>
              </w:rPr>
            </w:pPr>
            <w:r w:rsidRPr="00D93763">
              <w:rPr>
                <w:b/>
                <w:bCs/>
                <w:sz w:val="18"/>
                <w:szCs w:val="18"/>
              </w:rPr>
              <w:t>-2</w:t>
            </w:r>
          </w:p>
        </w:tc>
        <w:tc>
          <w:tcPr>
            <w:tcW w:w="95" w:type="pct"/>
            <w:shd w:val="clear" w:color="auto" w:fill="FFFF00"/>
            <w:vAlign w:val="center"/>
          </w:tcPr>
          <w:p w14:paraId="625C76E6" w14:textId="4A380C2A" w:rsidR="00FF5EFA" w:rsidRPr="00D93763" w:rsidRDefault="000862EB" w:rsidP="00ED32E0">
            <w:pPr>
              <w:jc w:val="center"/>
              <w:rPr>
                <w:b/>
                <w:bCs/>
                <w:sz w:val="18"/>
                <w:szCs w:val="18"/>
              </w:rPr>
            </w:pPr>
            <w:r w:rsidRPr="00D93763">
              <w:rPr>
                <w:b/>
                <w:bCs/>
                <w:sz w:val="18"/>
                <w:szCs w:val="18"/>
              </w:rPr>
              <w:t>0</w:t>
            </w:r>
          </w:p>
        </w:tc>
        <w:tc>
          <w:tcPr>
            <w:tcW w:w="95" w:type="pct"/>
            <w:shd w:val="clear" w:color="auto" w:fill="FFFF00"/>
            <w:vAlign w:val="center"/>
          </w:tcPr>
          <w:p w14:paraId="6510BD56" w14:textId="041A14B2" w:rsidR="00FF5EFA" w:rsidRPr="006E7937" w:rsidRDefault="000862EB" w:rsidP="00ED32E0">
            <w:pPr>
              <w:jc w:val="center"/>
              <w:rPr>
                <w:b/>
                <w:bCs/>
                <w:sz w:val="18"/>
                <w:szCs w:val="18"/>
              </w:rPr>
            </w:pPr>
            <w:r w:rsidRPr="006E7937">
              <w:rPr>
                <w:b/>
                <w:bCs/>
                <w:sz w:val="18"/>
                <w:szCs w:val="18"/>
              </w:rPr>
              <w:t>0</w:t>
            </w:r>
          </w:p>
        </w:tc>
        <w:tc>
          <w:tcPr>
            <w:tcW w:w="95" w:type="pct"/>
            <w:shd w:val="clear" w:color="auto" w:fill="00B050"/>
            <w:vAlign w:val="center"/>
          </w:tcPr>
          <w:p w14:paraId="57A0BA38" w14:textId="5BD7B947" w:rsidR="00FF5EFA" w:rsidRPr="006E7937" w:rsidRDefault="00B14CCD" w:rsidP="00ED32E0">
            <w:pPr>
              <w:jc w:val="center"/>
              <w:rPr>
                <w:b/>
                <w:bCs/>
                <w:sz w:val="18"/>
                <w:szCs w:val="18"/>
              </w:rPr>
            </w:pPr>
            <w:r w:rsidRPr="00D93763">
              <w:rPr>
                <w:b/>
                <w:bCs/>
                <w:sz w:val="18"/>
                <w:szCs w:val="18"/>
              </w:rPr>
              <w:t>2</w:t>
            </w:r>
          </w:p>
        </w:tc>
        <w:tc>
          <w:tcPr>
            <w:tcW w:w="676" w:type="pct"/>
          </w:tcPr>
          <w:p w14:paraId="4ABBF177" w14:textId="1E8B0DE5" w:rsidR="00FF5EFA" w:rsidRDefault="00FF5EFA" w:rsidP="00FF5EFA">
            <w:pPr>
              <w:rPr>
                <w:b/>
                <w:bCs/>
                <w:sz w:val="18"/>
                <w:szCs w:val="18"/>
              </w:rPr>
            </w:pPr>
            <w:r w:rsidRPr="002C237E">
              <w:rPr>
                <w:b/>
                <w:bCs/>
                <w:sz w:val="18"/>
                <w:szCs w:val="18"/>
              </w:rPr>
              <w:t>Fairness</w:t>
            </w:r>
            <w:r>
              <w:rPr>
                <w:b/>
                <w:bCs/>
                <w:sz w:val="18"/>
                <w:szCs w:val="18"/>
              </w:rPr>
              <w:t xml:space="preserve"> (- 2)</w:t>
            </w:r>
          </w:p>
          <w:p w14:paraId="35388D29" w14:textId="6950E06C" w:rsidR="00FF5EFA" w:rsidRDefault="00FF5EFA" w:rsidP="00FF5EFA">
            <w:pPr>
              <w:rPr>
                <w:sz w:val="18"/>
                <w:szCs w:val="18"/>
              </w:rPr>
            </w:pPr>
            <w:r>
              <w:rPr>
                <w:sz w:val="18"/>
                <w:szCs w:val="18"/>
              </w:rPr>
              <w:t xml:space="preserve">The </w:t>
            </w:r>
            <w:r w:rsidR="00BD6817">
              <w:rPr>
                <w:sz w:val="18"/>
                <w:szCs w:val="18"/>
              </w:rPr>
              <w:t xml:space="preserve">subset of this </w:t>
            </w:r>
            <w:r>
              <w:rPr>
                <w:sz w:val="18"/>
                <w:szCs w:val="18"/>
              </w:rPr>
              <w:t xml:space="preserve">cohort </w:t>
            </w:r>
            <w:r w:rsidR="002227B0">
              <w:rPr>
                <w:sz w:val="18"/>
                <w:szCs w:val="18"/>
              </w:rPr>
              <w:t xml:space="preserve">with </w:t>
            </w:r>
            <w:r w:rsidR="00A73320">
              <w:rPr>
                <w:sz w:val="18"/>
                <w:szCs w:val="18"/>
              </w:rPr>
              <w:t xml:space="preserve">debt </w:t>
            </w:r>
            <w:r w:rsidR="00472AD3">
              <w:rPr>
                <w:sz w:val="18"/>
                <w:szCs w:val="18"/>
              </w:rPr>
              <w:t>recovery</w:t>
            </w:r>
            <w:r>
              <w:rPr>
                <w:sz w:val="18"/>
                <w:szCs w:val="18"/>
              </w:rPr>
              <w:t xml:space="preserve"> paused due to income apportionment (around 1</w:t>
            </w:r>
            <w:r w:rsidR="00472AD3">
              <w:rPr>
                <w:sz w:val="18"/>
                <w:szCs w:val="18"/>
              </w:rPr>
              <w:t>48</w:t>
            </w:r>
            <w:r>
              <w:rPr>
                <w:sz w:val="18"/>
                <w:szCs w:val="18"/>
              </w:rPr>
              <w:t>,000</w:t>
            </w:r>
            <w:r w:rsidR="00472AD3">
              <w:rPr>
                <w:sz w:val="18"/>
                <w:szCs w:val="18"/>
              </w:rPr>
              <w:t xml:space="preserve"> debts</w:t>
            </w:r>
            <w:r>
              <w:rPr>
                <w:sz w:val="18"/>
                <w:szCs w:val="18"/>
              </w:rPr>
              <w:t>)</w:t>
            </w:r>
            <w:r w:rsidR="00725DB1">
              <w:rPr>
                <w:sz w:val="18"/>
                <w:szCs w:val="18"/>
              </w:rPr>
              <w:t xml:space="preserve"> </w:t>
            </w:r>
            <w:r>
              <w:rPr>
                <w:sz w:val="18"/>
                <w:szCs w:val="18"/>
              </w:rPr>
              <w:t xml:space="preserve">will not have to repay their debt for an indeterminate amount </w:t>
            </w:r>
            <w:r w:rsidR="00035164">
              <w:rPr>
                <w:sz w:val="18"/>
                <w:szCs w:val="18"/>
              </w:rPr>
              <w:t>of</w:t>
            </w:r>
            <w:r>
              <w:rPr>
                <w:sz w:val="18"/>
                <w:szCs w:val="18"/>
              </w:rPr>
              <w:t xml:space="preserve"> time,</w:t>
            </w:r>
            <w:r w:rsidR="00E47B74">
              <w:rPr>
                <w:sz w:val="18"/>
                <w:szCs w:val="18"/>
              </w:rPr>
              <w:t xml:space="preserve"> however the status quo </w:t>
            </w:r>
            <w:r w:rsidR="006D3813">
              <w:rPr>
                <w:sz w:val="18"/>
                <w:szCs w:val="18"/>
              </w:rPr>
              <w:t>p</w:t>
            </w:r>
            <w:r>
              <w:rPr>
                <w:sz w:val="18"/>
                <w:szCs w:val="18"/>
              </w:rPr>
              <w:t xml:space="preserve">erpetuates the uncertainty </w:t>
            </w:r>
            <w:r w:rsidR="008324CB">
              <w:rPr>
                <w:sz w:val="18"/>
                <w:szCs w:val="18"/>
              </w:rPr>
              <w:t xml:space="preserve">these people </w:t>
            </w:r>
            <w:r w:rsidR="00BD65D6">
              <w:rPr>
                <w:sz w:val="18"/>
                <w:szCs w:val="18"/>
              </w:rPr>
              <w:t>are experiencing</w:t>
            </w:r>
            <w:r w:rsidR="00434613">
              <w:rPr>
                <w:sz w:val="18"/>
                <w:szCs w:val="18"/>
              </w:rPr>
              <w:t xml:space="preserve"> </w:t>
            </w:r>
            <w:r>
              <w:rPr>
                <w:sz w:val="18"/>
                <w:szCs w:val="18"/>
              </w:rPr>
              <w:t>about their debt status</w:t>
            </w:r>
            <w:r w:rsidR="0079529F">
              <w:rPr>
                <w:sz w:val="18"/>
                <w:szCs w:val="18"/>
              </w:rPr>
              <w:t xml:space="preserve"> and the impacts this uncertainty has on t</w:t>
            </w:r>
            <w:r w:rsidR="00432B76">
              <w:rPr>
                <w:sz w:val="18"/>
                <w:szCs w:val="18"/>
              </w:rPr>
              <w:t>hem</w:t>
            </w:r>
            <w:r w:rsidR="006D3813">
              <w:rPr>
                <w:sz w:val="18"/>
                <w:szCs w:val="18"/>
              </w:rPr>
              <w:t>.</w:t>
            </w:r>
          </w:p>
          <w:p w14:paraId="32F87678" w14:textId="3C0C769E" w:rsidR="00FF5EFA" w:rsidRDefault="005B4C56" w:rsidP="00FF5EFA">
            <w:pPr>
              <w:rPr>
                <w:sz w:val="18"/>
                <w:szCs w:val="18"/>
              </w:rPr>
            </w:pPr>
            <w:r>
              <w:rPr>
                <w:sz w:val="18"/>
                <w:szCs w:val="18"/>
              </w:rPr>
              <w:t xml:space="preserve">Under the status quo, </w:t>
            </w:r>
            <w:r w:rsidR="00BC6655">
              <w:rPr>
                <w:sz w:val="18"/>
                <w:szCs w:val="18"/>
              </w:rPr>
              <w:t xml:space="preserve">paused </w:t>
            </w:r>
            <w:r>
              <w:rPr>
                <w:sz w:val="18"/>
                <w:szCs w:val="18"/>
              </w:rPr>
              <w:t>d</w:t>
            </w:r>
            <w:r w:rsidR="00FF5EFA">
              <w:rPr>
                <w:sz w:val="18"/>
                <w:szCs w:val="18"/>
              </w:rPr>
              <w:t xml:space="preserve">ebts </w:t>
            </w:r>
            <w:r>
              <w:rPr>
                <w:sz w:val="18"/>
                <w:szCs w:val="18"/>
              </w:rPr>
              <w:t xml:space="preserve">would </w:t>
            </w:r>
            <w:r w:rsidR="00FF5EFA">
              <w:rPr>
                <w:sz w:val="18"/>
                <w:szCs w:val="18"/>
              </w:rPr>
              <w:t xml:space="preserve">need to be voluntarily repaid to </w:t>
            </w:r>
            <w:r w:rsidR="00BE73CF">
              <w:rPr>
                <w:sz w:val="18"/>
                <w:szCs w:val="18"/>
              </w:rPr>
              <w:t>ensure no</w:t>
            </w:r>
            <w:r w:rsidR="00FF5EFA">
              <w:rPr>
                <w:sz w:val="18"/>
                <w:szCs w:val="18"/>
              </w:rPr>
              <w:t xml:space="preserve"> </w:t>
            </w:r>
            <w:r w:rsidR="00BE73CF">
              <w:rPr>
                <w:sz w:val="18"/>
                <w:szCs w:val="18"/>
              </w:rPr>
              <w:t>effect</w:t>
            </w:r>
            <w:r w:rsidR="00FF5EFA">
              <w:rPr>
                <w:sz w:val="18"/>
                <w:szCs w:val="18"/>
              </w:rPr>
              <w:t xml:space="preserve"> </w:t>
            </w:r>
            <w:r w:rsidR="00BE73CF">
              <w:rPr>
                <w:sz w:val="18"/>
                <w:szCs w:val="18"/>
              </w:rPr>
              <w:t xml:space="preserve">on an </w:t>
            </w:r>
            <w:r w:rsidR="00FF5EFA">
              <w:rPr>
                <w:sz w:val="18"/>
                <w:szCs w:val="18"/>
              </w:rPr>
              <w:t>individual</w:t>
            </w:r>
            <w:r w:rsidR="00E32B0B">
              <w:rPr>
                <w:sz w:val="18"/>
                <w:szCs w:val="18"/>
              </w:rPr>
              <w:t>’</w:t>
            </w:r>
            <w:r w:rsidR="00FF5EFA">
              <w:rPr>
                <w:sz w:val="18"/>
                <w:szCs w:val="18"/>
              </w:rPr>
              <w:t xml:space="preserve">s financial position. </w:t>
            </w:r>
          </w:p>
          <w:p w14:paraId="42085C3E" w14:textId="452F5DAB" w:rsidR="00FF5EFA" w:rsidRDefault="00FF5EFA" w:rsidP="00FF5EFA">
            <w:pPr>
              <w:rPr>
                <w:sz w:val="18"/>
                <w:szCs w:val="18"/>
              </w:rPr>
            </w:pPr>
            <w:r>
              <w:rPr>
                <w:sz w:val="18"/>
                <w:szCs w:val="18"/>
              </w:rPr>
              <w:t xml:space="preserve">For </w:t>
            </w:r>
            <w:r w:rsidR="00E32B0B">
              <w:rPr>
                <w:sz w:val="18"/>
                <w:szCs w:val="18"/>
              </w:rPr>
              <w:t>those</w:t>
            </w:r>
            <w:r>
              <w:rPr>
                <w:sz w:val="18"/>
                <w:szCs w:val="18"/>
              </w:rPr>
              <w:t xml:space="preserve"> with paused reviews (16,000) and explanations of decisions (6,000</w:t>
            </w:r>
            <w:r w:rsidR="00BE73CF">
              <w:rPr>
                <w:sz w:val="18"/>
                <w:szCs w:val="18"/>
              </w:rPr>
              <w:t>)</w:t>
            </w:r>
            <w:r w:rsidR="002D160E">
              <w:rPr>
                <w:sz w:val="18"/>
                <w:szCs w:val="18"/>
              </w:rPr>
              <w:t xml:space="preserve">, the status quo means they will not receive </w:t>
            </w:r>
            <w:r w:rsidR="0019563F">
              <w:rPr>
                <w:sz w:val="18"/>
                <w:szCs w:val="18"/>
              </w:rPr>
              <w:t>the</w:t>
            </w:r>
            <w:r w:rsidR="002D160E">
              <w:rPr>
                <w:sz w:val="18"/>
                <w:szCs w:val="18"/>
              </w:rPr>
              <w:t xml:space="preserve"> review or</w:t>
            </w:r>
            <w:r w:rsidR="0019563F">
              <w:rPr>
                <w:sz w:val="18"/>
                <w:szCs w:val="18"/>
              </w:rPr>
              <w:t xml:space="preserve"> explanation about their</w:t>
            </w:r>
            <w:r>
              <w:rPr>
                <w:sz w:val="18"/>
                <w:szCs w:val="18"/>
              </w:rPr>
              <w:t xml:space="preserve"> debt</w:t>
            </w:r>
            <w:r w:rsidR="0019563F">
              <w:rPr>
                <w:sz w:val="18"/>
                <w:szCs w:val="18"/>
              </w:rPr>
              <w:t xml:space="preserve"> they have requested</w:t>
            </w:r>
            <w:r w:rsidR="00DD6F1A">
              <w:rPr>
                <w:sz w:val="18"/>
                <w:szCs w:val="18"/>
              </w:rPr>
              <w:t>.</w:t>
            </w:r>
          </w:p>
          <w:p w14:paraId="168E431C" w14:textId="452953E5" w:rsidR="00FF5EFA" w:rsidRPr="00310530" w:rsidRDefault="00205A0E" w:rsidP="00FF5EFA">
            <w:pPr>
              <w:rPr>
                <w:sz w:val="18"/>
                <w:szCs w:val="18"/>
              </w:rPr>
            </w:pPr>
            <w:r>
              <w:rPr>
                <w:sz w:val="18"/>
                <w:szCs w:val="18"/>
              </w:rPr>
              <w:t xml:space="preserve">The </w:t>
            </w:r>
            <w:r w:rsidR="00FF5EFA">
              <w:rPr>
                <w:sz w:val="18"/>
                <w:szCs w:val="18"/>
              </w:rPr>
              <w:t>broader cohort (</w:t>
            </w:r>
            <w:r w:rsidR="00FC7D6C">
              <w:rPr>
                <w:sz w:val="18"/>
                <w:szCs w:val="18"/>
              </w:rPr>
              <w:t xml:space="preserve">those who have fully repaid their debt) </w:t>
            </w:r>
            <w:r w:rsidR="00BB7E0C">
              <w:rPr>
                <w:sz w:val="18"/>
                <w:szCs w:val="18"/>
              </w:rPr>
              <w:t>will remain</w:t>
            </w:r>
            <w:r w:rsidR="003D0686">
              <w:rPr>
                <w:sz w:val="18"/>
                <w:szCs w:val="18"/>
              </w:rPr>
              <w:t xml:space="preserve"> likely</w:t>
            </w:r>
            <w:r w:rsidR="00BB7E0C">
              <w:rPr>
                <w:sz w:val="18"/>
                <w:szCs w:val="18"/>
              </w:rPr>
              <w:t xml:space="preserve"> unaware </w:t>
            </w:r>
            <w:r w:rsidR="00A36AC0">
              <w:rPr>
                <w:sz w:val="18"/>
                <w:szCs w:val="18"/>
              </w:rPr>
              <w:t>they have an affected debt.</w:t>
            </w:r>
          </w:p>
          <w:p w14:paraId="723A8578" w14:textId="217913CE" w:rsidR="00FF5EFA" w:rsidRDefault="00FF5EFA" w:rsidP="00FF5EFA">
            <w:pPr>
              <w:rPr>
                <w:b/>
                <w:bCs/>
                <w:sz w:val="18"/>
                <w:szCs w:val="18"/>
              </w:rPr>
            </w:pPr>
            <w:r w:rsidRPr="002C237E">
              <w:rPr>
                <w:b/>
                <w:bCs/>
                <w:sz w:val="18"/>
                <w:szCs w:val="18"/>
              </w:rPr>
              <w:t xml:space="preserve">Timeliness </w:t>
            </w:r>
            <w:r>
              <w:rPr>
                <w:b/>
                <w:bCs/>
                <w:sz w:val="18"/>
                <w:szCs w:val="18"/>
              </w:rPr>
              <w:t>(</w:t>
            </w:r>
            <w:r w:rsidR="005D6F17">
              <w:rPr>
                <w:b/>
                <w:bCs/>
                <w:sz w:val="18"/>
                <w:szCs w:val="18"/>
              </w:rPr>
              <w:t>0</w:t>
            </w:r>
            <w:r>
              <w:rPr>
                <w:b/>
                <w:bCs/>
                <w:sz w:val="18"/>
                <w:szCs w:val="18"/>
              </w:rPr>
              <w:t>)</w:t>
            </w:r>
          </w:p>
          <w:p w14:paraId="48842A34" w14:textId="3CF97D5C" w:rsidR="00FF5EFA" w:rsidRDefault="00FF5EFA" w:rsidP="00FF5EFA">
            <w:pPr>
              <w:rPr>
                <w:sz w:val="18"/>
                <w:szCs w:val="18"/>
              </w:rPr>
            </w:pPr>
            <w:r>
              <w:rPr>
                <w:sz w:val="18"/>
                <w:szCs w:val="18"/>
              </w:rPr>
              <w:t>This option is timely as it is the current state</w:t>
            </w:r>
            <w:r w:rsidR="00C57F77">
              <w:rPr>
                <w:sz w:val="18"/>
                <w:szCs w:val="18"/>
              </w:rPr>
              <w:t xml:space="preserve">, however it also </w:t>
            </w:r>
            <w:r w:rsidR="00570D35">
              <w:rPr>
                <w:sz w:val="18"/>
                <w:szCs w:val="18"/>
              </w:rPr>
              <w:t>perpetuates</w:t>
            </w:r>
            <w:r w:rsidR="0029720A">
              <w:rPr>
                <w:sz w:val="18"/>
                <w:szCs w:val="18"/>
              </w:rPr>
              <w:t xml:space="preserve"> uncertainty for an </w:t>
            </w:r>
            <w:r w:rsidR="00F05F18">
              <w:rPr>
                <w:sz w:val="18"/>
                <w:szCs w:val="18"/>
              </w:rPr>
              <w:t>indeterminate</w:t>
            </w:r>
            <w:r w:rsidR="0029720A">
              <w:rPr>
                <w:sz w:val="18"/>
                <w:szCs w:val="18"/>
              </w:rPr>
              <w:t xml:space="preserve"> </w:t>
            </w:r>
            <w:r w:rsidR="00330246">
              <w:rPr>
                <w:sz w:val="18"/>
                <w:szCs w:val="18"/>
              </w:rPr>
              <w:t>length of time</w:t>
            </w:r>
            <w:r w:rsidR="00582C6F">
              <w:rPr>
                <w:sz w:val="18"/>
                <w:szCs w:val="18"/>
              </w:rPr>
              <w:t xml:space="preserve">. </w:t>
            </w:r>
          </w:p>
          <w:p w14:paraId="7FCC42A4" w14:textId="4A4AFCC0" w:rsidR="00FF5EFA" w:rsidRDefault="00FF5EFA" w:rsidP="00FF5EFA">
            <w:pPr>
              <w:rPr>
                <w:b/>
                <w:bCs/>
                <w:sz w:val="18"/>
                <w:szCs w:val="18"/>
              </w:rPr>
            </w:pPr>
            <w:r>
              <w:rPr>
                <w:b/>
                <w:bCs/>
                <w:sz w:val="18"/>
                <w:szCs w:val="18"/>
              </w:rPr>
              <w:t>Overall (-</w:t>
            </w:r>
            <w:r w:rsidR="00BC5DFE">
              <w:rPr>
                <w:b/>
                <w:bCs/>
                <w:sz w:val="18"/>
                <w:szCs w:val="18"/>
              </w:rPr>
              <w:t>1</w:t>
            </w:r>
            <w:r>
              <w:rPr>
                <w:b/>
                <w:bCs/>
                <w:sz w:val="18"/>
                <w:szCs w:val="18"/>
              </w:rPr>
              <w:t>)</w:t>
            </w:r>
          </w:p>
          <w:p w14:paraId="3440FB93" w14:textId="39CF32C8" w:rsidR="00E5530D" w:rsidRPr="001A776E" w:rsidRDefault="00FF5EFA" w:rsidP="00FF5EFA">
            <w:pPr>
              <w:rPr>
                <w:sz w:val="18"/>
                <w:szCs w:val="18"/>
              </w:rPr>
            </w:pPr>
            <w:r w:rsidRPr="00885A7A">
              <w:rPr>
                <w:sz w:val="18"/>
                <w:szCs w:val="18"/>
              </w:rPr>
              <w:lastRenderedPageBreak/>
              <w:t xml:space="preserve">Any timeliness </w:t>
            </w:r>
            <w:r>
              <w:rPr>
                <w:sz w:val="18"/>
                <w:szCs w:val="18"/>
              </w:rPr>
              <w:t xml:space="preserve">benefits are outweighed by the lack of certainty for this cohort. </w:t>
            </w:r>
          </w:p>
        </w:tc>
        <w:tc>
          <w:tcPr>
            <w:tcW w:w="676" w:type="pct"/>
          </w:tcPr>
          <w:p w14:paraId="7223EB57" w14:textId="0D2E0906" w:rsidR="00FF5EFA" w:rsidRPr="002C237E" w:rsidRDefault="00FF5EFA" w:rsidP="00FF5EFA">
            <w:pPr>
              <w:rPr>
                <w:b/>
                <w:bCs/>
                <w:sz w:val="18"/>
                <w:szCs w:val="18"/>
              </w:rPr>
            </w:pPr>
            <w:r w:rsidRPr="00300641">
              <w:rPr>
                <w:b/>
                <w:bCs/>
                <w:sz w:val="18"/>
                <w:szCs w:val="18"/>
              </w:rPr>
              <w:lastRenderedPageBreak/>
              <w:t>Fairness</w:t>
            </w:r>
            <w:r>
              <w:rPr>
                <w:b/>
                <w:bCs/>
                <w:sz w:val="18"/>
                <w:szCs w:val="18"/>
              </w:rPr>
              <w:t xml:space="preserve"> (+3)</w:t>
            </w:r>
          </w:p>
          <w:p w14:paraId="2DECFF38" w14:textId="0FB16967" w:rsidR="00B03418" w:rsidRDefault="00FF5EFA" w:rsidP="00FF5EFA">
            <w:pPr>
              <w:rPr>
                <w:sz w:val="18"/>
                <w:szCs w:val="18"/>
              </w:rPr>
            </w:pPr>
            <w:r w:rsidRPr="00C82902">
              <w:rPr>
                <w:sz w:val="18"/>
                <w:szCs w:val="18"/>
              </w:rPr>
              <w:t>This cohort</w:t>
            </w:r>
            <w:r>
              <w:rPr>
                <w:sz w:val="18"/>
                <w:szCs w:val="18"/>
              </w:rPr>
              <w:t xml:space="preserve"> </w:t>
            </w:r>
            <w:r w:rsidRPr="00C82902">
              <w:rPr>
                <w:sz w:val="18"/>
                <w:szCs w:val="18"/>
              </w:rPr>
              <w:t>would have debts waived and receive</w:t>
            </w:r>
            <w:r w:rsidR="00B03418">
              <w:rPr>
                <w:sz w:val="18"/>
                <w:szCs w:val="18"/>
              </w:rPr>
              <w:t xml:space="preserve"> a</w:t>
            </w:r>
            <w:r w:rsidRPr="00C82902">
              <w:rPr>
                <w:sz w:val="18"/>
                <w:szCs w:val="18"/>
              </w:rPr>
              <w:t xml:space="preserve"> </w:t>
            </w:r>
            <w:r w:rsidR="00F11603">
              <w:rPr>
                <w:sz w:val="18"/>
                <w:szCs w:val="18"/>
              </w:rPr>
              <w:t xml:space="preserve">full </w:t>
            </w:r>
            <w:r w:rsidRPr="00C82902">
              <w:rPr>
                <w:sz w:val="18"/>
                <w:szCs w:val="18"/>
              </w:rPr>
              <w:t xml:space="preserve">refund of any amount previously repaid. </w:t>
            </w:r>
            <w:r w:rsidR="00B03418">
              <w:rPr>
                <w:sz w:val="18"/>
                <w:szCs w:val="18"/>
              </w:rPr>
              <w:t xml:space="preserve">They would likely consider the waiving of their </w:t>
            </w:r>
            <w:r w:rsidRPr="00C82902">
              <w:rPr>
                <w:sz w:val="18"/>
                <w:szCs w:val="18"/>
              </w:rPr>
              <w:t>debt</w:t>
            </w:r>
            <w:r w:rsidR="00771771">
              <w:rPr>
                <w:sz w:val="18"/>
                <w:szCs w:val="18"/>
              </w:rPr>
              <w:t xml:space="preserve"> </w:t>
            </w:r>
            <w:r w:rsidRPr="00C82902">
              <w:rPr>
                <w:sz w:val="18"/>
                <w:szCs w:val="18"/>
              </w:rPr>
              <w:t>as fair treatment.</w:t>
            </w:r>
            <w:r>
              <w:rPr>
                <w:sz w:val="18"/>
                <w:szCs w:val="18"/>
              </w:rPr>
              <w:t xml:space="preserve"> </w:t>
            </w:r>
          </w:p>
          <w:p w14:paraId="27FA337B" w14:textId="514A640C" w:rsidR="00FF5EFA" w:rsidRDefault="00FF5EFA" w:rsidP="00FF5EFA">
            <w:pPr>
              <w:rPr>
                <w:sz w:val="18"/>
                <w:szCs w:val="18"/>
              </w:rPr>
            </w:pPr>
            <w:r w:rsidRPr="00C82902">
              <w:rPr>
                <w:sz w:val="18"/>
                <w:szCs w:val="18"/>
              </w:rPr>
              <w:t xml:space="preserve">This cohort would have to provide </w:t>
            </w:r>
            <w:r>
              <w:rPr>
                <w:sz w:val="18"/>
                <w:szCs w:val="18"/>
              </w:rPr>
              <w:t xml:space="preserve">some </w:t>
            </w:r>
            <w:r w:rsidRPr="00C82902">
              <w:rPr>
                <w:sz w:val="18"/>
                <w:szCs w:val="18"/>
              </w:rPr>
              <w:t>information to support refund processing.</w:t>
            </w:r>
          </w:p>
          <w:p w14:paraId="4D8A5FBE" w14:textId="569CDD82" w:rsidR="00FF5EFA" w:rsidRDefault="00FF5EFA" w:rsidP="00FF5EFA">
            <w:pPr>
              <w:rPr>
                <w:b/>
                <w:bCs/>
                <w:sz w:val="18"/>
                <w:szCs w:val="18"/>
              </w:rPr>
            </w:pPr>
            <w:r w:rsidRPr="00300641">
              <w:rPr>
                <w:b/>
                <w:bCs/>
                <w:sz w:val="18"/>
                <w:szCs w:val="18"/>
              </w:rPr>
              <w:t xml:space="preserve">Timeliness </w:t>
            </w:r>
            <w:r>
              <w:rPr>
                <w:b/>
                <w:bCs/>
                <w:sz w:val="18"/>
                <w:szCs w:val="18"/>
              </w:rPr>
              <w:t>(-2)</w:t>
            </w:r>
          </w:p>
          <w:p w14:paraId="6ACD0D47" w14:textId="45B408D2" w:rsidR="00FF5EFA" w:rsidRDefault="00FF5EFA" w:rsidP="00FF5EFA">
            <w:pPr>
              <w:rPr>
                <w:sz w:val="18"/>
                <w:szCs w:val="18"/>
              </w:rPr>
            </w:pPr>
            <w:r>
              <w:rPr>
                <w:sz w:val="18"/>
                <w:szCs w:val="18"/>
              </w:rPr>
              <w:t>This option will take</w:t>
            </w:r>
            <w:r w:rsidR="00771771">
              <w:rPr>
                <w:sz w:val="18"/>
                <w:szCs w:val="18"/>
              </w:rPr>
              <w:t xml:space="preserve"> significant</w:t>
            </w:r>
            <w:r>
              <w:rPr>
                <w:sz w:val="18"/>
                <w:szCs w:val="18"/>
              </w:rPr>
              <w:t xml:space="preserve"> time to implement due to the increased administrative burden to </w:t>
            </w:r>
            <w:r w:rsidR="00771771">
              <w:rPr>
                <w:sz w:val="18"/>
                <w:szCs w:val="18"/>
              </w:rPr>
              <w:t>process waivers and refunds</w:t>
            </w:r>
            <w:r>
              <w:rPr>
                <w:sz w:val="18"/>
                <w:szCs w:val="18"/>
              </w:rPr>
              <w:t xml:space="preserve"> </w:t>
            </w:r>
            <w:r w:rsidR="007714D4">
              <w:rPr>
                <w:sz w:val="18"/>
                <w:szCs w:val="18"/>
              </w:rPr>
              <w:t>for 5.5 million debts.</w:t>
            </w:r>
          </w:p>
          <w:p w14:paraId="122B10A9" w14:textId="54A7062B" w:rsidR="00FF5EFA" w:rsidRDefault="00FF5EFA" w:rsidP="00FF5EFA">
            <w:pPr>
              <w:rPr>
                <w:b/>
                <w:bCs/>
                <w:sz w:val="18"/>
                <w:szCs w:val="18"/>
              </w:rPr>
            </w:pPr>
            <w:r>
              <w:rPr>
                <w:b/>
                <w:bCs/>
                <w:sz w:val="18"/>
                <w:szCs w:val="18"/>
              </w:rPr>
              <w:t>Overall (</w:t>
            </w:r>
            <w:r w:rsidR="00226903">
              <w:rPr>
                <w:b/>
                <w:bCs/>
                <w:sz w:val="18"/>
                <w:szCs w:val="18"/>
              </w:rPr>
              <w:t>+</w:t>
            </w:r>
            <w:r>
              <w:rPr>
                <w:b/>
                <w:bCs/>
                <w:sz w:val="18"/>
                <w:szCs w:val="18"/>
              </w:rPr>
              <w:t>1)</w:t>
            </w:r>
          </w:p>
          <w:p w14:paraId="382AEE47" w14:textId="34B11733" w:rsidR="00FF5EFA" w:rsidRPr="00C82902" w:rsidRDefault="00FF5EFA" w:rsidP="00FF5EFA">
            <w:pPr>
              <w:rPr>
                <w:sz w:val="18"/>
                <w:szCs w:val="18"/>
              </w:rPr>
            </w:pPr>
            <w:r>
              <w:rPr>
                <w:sz w:val="18"/>
                <w:szCs w:val="18"/>
              </w:rPr>
              <w:t>While this option may be</w:t>
            </w:r>
            <w:r w:rsidR="007714D4">
              <w:rPr>
                <w:sz w:val="18"/>
                <w:szCs w:val="18"/>
              </w:rPr>
              <w:t xml:space="preserve"> considered</w:t>
            </w:r>
            <w:r>
              <w:rPr>
                <w:sz w:val="18"/>
                <w:szCs w:val="18"/>
              </w:rPr>
              <w:t xml:space="preserve"> fair</w:t>
            </w:r>
            <w:r w:rsidR="007714D4">
              <w:rPr>
                <w:sz w:val="18"/>
                <w:szCs w:val="18"/>
              </w:rPr>
              <w:t xml:space="preserve"> by this cohort</w:t>
            </w:r>
            <w:r>
              <w:rPr>
                <w:sz w:val="18"/>
                <w:szCs w:val="18"/>
              </w:rPr>
              <w:t xml:space="preserve">, implementation of this option will be subject to long delays due to the resourcing require to waive all debts. </w:t>
            </w:r>
          </w:p>
        </w:tc>
        <w:tc>
          <w:tcPr>
            <w:tcW w:w="676" w:type="pct"/>
          </w:tcPr>
          <w:p w14:paraId="406426F5" w14:textId="26C3326A" w:rsidR="00FF5EFA" w:rsidRPr="002C237E" w:rsidRDefault="00FF5EFA" w:rsidP="00FF5EFA">
            <w:pPr>
              <w:rPr>
                <w:b/>
                <w:bCs/>
                <w:sz w:val="18"/>
                <w:szCs w:val="18"/>
              </w:rPr>
            </w:pPr>
            <w:r w:rsidRPr="00300641">
              <w:rPr>
                <w:b/>
                <w:bCs/>
                <w:sz w:val="18"/>
                <w:szCs w:val="18"/>
              </w:rPr>
              <w:t>Fairness</w:t>
            </w:r>
            <w:r>
              <w:rPr>
                <w:b/>
                <w:bCs/>
                <w:sz w:val="18"/>
                <w:szCs w:val="18"/>
              </w:rPr>
              <w:t xml:space="preserve"> (</w:t>
            </w:r>
            <w:r w:rsidR="00894AD0">
              <w:rPr>
                <w:b/>
                <w:bCs/>
                <w:sz w:val="18"/>
                <w:szCs w:val="18"/>
              </w:rPr>
              <w:t>-</w:t>
            </w:r>
            <w:r>
              <w:rPr>
                <w:b/>
                <w:bCs/>
                <w:sz w:val="18"/>
                <w:szCs w:val="18"/>
              </w:rPr>
              <w:t>1)</w:t>
            </w:r>
          </w:p>
          <w:p w14:paraId="0BC67485" w14:textId="00FA880F" w:rsidR="00A12D5A" w:rsidRDefault="00F26929" w:rsidP="00A12D5A">
            <w:pPr>
              <w:rPr>
                <w:sz w:val="18"/>
                <w:szCs w:val="18"/>
              </w:rPr>
            </w:pPr>
            <w:r>
              <w:rPr>
                <w:sz w:val="18"/>
                <w:szCs w:val="18"/>
              </w:rPr>
              <w:t xml:space="preserve">It is fair that </w:t>
            </w:r>
            <w:r w:rsidR="004F0690">
              <w:rPr>
                <w:sz w:val="18"/>
                <w:szCs w:val="18"/>
              </w:rPr>
              <w:t>people have their debt recalculated</w:t>
            </w:r>
            <w:r w:rsidR="00A12D5A">
              <w:rPr>
                <w:sz w:val="18"/>
                <w:szCs w:val="18"/>
              </w:rPr>
              <w:t xml:space="preserve">, as it would be applying the law as it should have been. </w:t>
            </w:r>
            <w:r w:rsidR="00AC1A8A">
              <w:rPr>
                <w:sz w:val="18"/>
                <w:szCs w:val="18"/>
              </w:rPr>
              <w:t>However,</w:t>
            </w:r>
            <w:r w:rsidR="00A12D5A">
              <w:rPr>
                <w:sz w:val="18"/>
                <w:szCs w:val="18"/>
              </w:rPr>
              <w:t xml:space="preserve"> d</w:t>
            </w:r>
            <w:r w:rsidR="00A12D5A" w:rsidRPr="00FF6456">
              <w:rPr>
                <w:sz w:val="18"/>
                <w:szCs w:val="18"/>
              </w:rPr>
              <w:t>ebts many years old would</w:t>
            </w:r>
            <w:r w:rsidR="00A12D5A">
              <w:rPr>
                <w:sz w:val="18"/>
                <w:szCs w:val="18"/>
              </w:rPr>
              <w:t xml:space="preserve"> have to</w:t>
            </w:r>
            <w:r w:rsidR="00A12D5A" w:rsidRPr="00FF6456">
              <w:rPr>
                <w:sz w:val="18"/>
                <w:szCs w:val="18"/>
              </w:rPr>
              <w:t xml:space="preserve"> be reopened</w:t>
            </w:r>
            <w:r w:rsidR="00A12D5A">
              <w:rPr>
                <w:sz w:val="18"/>
                <w:szCs w:val="18"/>
              </w:rPr>
              <w:t>, and this</w:t>
            </w:r>
            <w:r w:rsidR="00A12D5A" w:rsidRPr="00FF6456">
              <w:rPr>
                <w:sz w:val="18"/>
                <w:szCs w:val="18"/>
              </w:rPr>
              <w:t xml:space="preserve"> </w:t>
            </w:r>
            <w:r w:rsidR="00A12D5A">
              <w:rPr>
                <w:sz w:val="18"/>
                <w:szCs w:val="18"/>
              </w:rPr>
              <w:t>could</w:t>
            </w:r>
            <w:r w:rsidR="000B4D50">
              <w:rPr>
                <w:sz w:val="18"/>
                <w:szCs w:val="18"/>
              </w:rPr>
              <w:t xml:space="preserve"> be </w:t>
            </w:r>
            <w:r w:rsidR="00EE5DC6">
              <w:rPr>
                <w:sz w:val="18"/>
                <w:szCs w:val="18"/>
              </w:rPr>
              <w:t>detrimental</w:t>
            </w:r>
            <w:r w:rsidR="0065735B">
              <w:rPr>
                <w:sz w:val="18"/>
                <w:szCs w:val="18"/>
              </w:rPr>
              <w:t xml:space="preserve"> for people,</w:t>
            </w:r>
            <w:r w:rsidR="00A12D5A">
              <w:rPr>
                <w:sz w:val="18"/>
                <w:szCs w:val="18"/>
              </w:rPr>
              <w:t xml:space="preserve"> </w:t>
            </w:r>
            <w:r w:rsidR="00A12D5A" w:rsidRPr="00FF6456">
              <w:rPr>
                <w:sz w:val="18"/>
                <w:szCs w:val="18"/>
              </w:rPr>
              <w:t>caus</w:t>
            </w:r>
            <w:r w:rsidR="0065735B">
              <w:rPr>
                <w:sz w:val="18"/>
                <w:szCs w:val="18"/>
              </w:rPr>
              <w:t>ing</w:t>
            </w:r>
            <w:r w:rsidR="00A12D5A" w:rsidRPr="00FF6456">
              <w:rPr>
                <w:sz w:val="18"/>
                <w:szCs w:val="18"/>
              </w:rPr>
              <w:t xml:space="preserve"> emotional and financial distress</w:t>
            </w:r>
            <w:r w:rsidR="00A12D5A">
              <w:rPr>
                <w:sz w:val="18"/>
                <w:szCs w:val="18"/>
              </w:rPr>
              <w:t xml:space="preserve">. </w:t>
            </w:r>
          </w:p>
          <w:p w14:paraId="39861865" w14:textId="49575C24" w:rsidR="00F178DA" w:rsidRPr="00FF6456" w:rsidRDefault="004A2BCD" w:rsidP="00F178DA">
            <w:pPr>
              <w:rPr>
                <w:sz w:val="18"/>
                <w:szCs w:val="18"/>
              </w:rPr>
            </w:pPr>
            <w:r>
              <w:rPr>
                <w:sz w:val="18"/>
                <w:szCs w:val="18"/>
              </w:rPr>
              <w:t>R</w:t>
            </w:r>
            <w:r w:rsidR="00435D22">
              <w:rPr>
                <w:sz w:val="18"/>
                <w:szCs w:val="18"/>
              </w:rPr>
              <w:t xml:space="preserve">ecalculating </w:t>
            </w:r>
            <w:r w:rsidR="00AC1A8A">
              <w:rPr>
                <w:sz w:val="18"/>
                <w:szCs w:val="18"/>
              </w:rPr>
              <w:t>these debts will place a sign</w:t>
            </w:r>
            <w:r w:rsidR="006C7F15">
              <w:rPr>
                <w:sz w:val="18"/>
                <w:szCs w:val="18"/>
              </w:rPr>
              <w:t>ificant imposition on people to interact with government</w:t>
            </w:r>
            <w:r w:rsidR="005017FC">
              <w:rPr>
                <w:sz w:val="18"/>
                <w:szCs w:val="18"/>
              </w:rPr>
              <w:t xml:space="preserve">. </w:t>
            </w:r>
            <w:r w:rsidR="00ED249D">
              <w:rPr>
                <w:sz w:val="18"/>
                <w:szCs w:val="18"/>
              </w:rPr>
              <w:t>They may</w:t>
            </w:r>
            <w:r w:rsidR="005017FC" w:rsidRPr="00FF6456">
              <w:rPr>
                <w:sz w:val="18"/>
                <w:szCs w:val="18"/>
              </w:rPr>
              <w:t xml:space="preserve"> have to provide </w:t>
            </w:r>
            <w:r w:rsidR="67FDEC82" w:rsidRPr="1DBAD551">
              <w:rPr>
                <w:sz w:val="18"/>
                <w:szCs w:val="18"/>
              </w:rPr>
              <w:t xml:space="preserve">additional </w:t>
            </w:r>
            <w:r w:rsidR="552D50C0" w:rsidRPr="1DBAD551">
              <w:rPr>
                <w:sz w:val="18"/>
                <w:szCs w:val="18"/>
              </w:rPr>
              <w:t>information</w:t>
            </w:r>
            <w:r w:rsidR="005017FC" w:rsidRPr="00FF6456">
              <w:rPr>
                <w:sz w:val="18"/>
                <w:szCs w:val="18"/>
              </w:rPr>
              <w:t xml:space="preserve"> </w:t>
            </w:r>
            <w:r w:rsidR="5B3A65A7" w:rsidRPr="08268A12">
              <w:rPr>
                <w:sz w:val="18"/>
                <w:szCs w:val="18"/>
              </w:rPr>
              <w:t>for</w:t>
            </w:r>
            <w:r w:rsidR="552D50C0" w:rsidRPr="08268A12">
              <w:rPr>
                <w:sz w:val="18"/>
                <w:szCs w:val="18"/>
              </w:rPr>
              <w:t xml:space="preserve"> recalculation</w:t>
            </w:r>
            <w:r w:rsidR="6DD081A9" w:rsidRPr="08268A12">
              <w:rPr>
                <w:sz w:val="18"/>
                <w:szCs w:val="18"/>
              </w:rPr>
              <w:t>s</w:t>
            </w:r>
            <w:r w:rsidR="005017FC" w:rsidRPr="00FF6456">
              <w:rPr>
                <w:sz w:val="18"/>
                <w:szCs w:val="18"/>
              </w:rPr>
              <w:t xml:space="preserve"> and, where applicable, refund processing.</w:t>
            </w:r>
            <w:r>
              <w:rPr>
                <w:sz w:val="18"/>
                <w:szCs w:val="18"/>
              </w:rPr>
              <w:t xml:space="preserve"> There will be uncertainty for this cohort throughout th</w:t>
            </w:r>
            <w:r w:rsidR="002D3DA1">
              <w:rPr>
                <w:sz w:val="18"/>
                <w:szCs w:val="18"/>
              </w:rPr>
              <w:t>e recalculation process, with people uncertain whether their debt</w:t>
            </w:r>
            <w:r w:rsidR="00A4053F">
              <w:rPr>
                <w:sz w:val="18"/>
                <w:szCs w:val="18"/>
              </w:rPr>
              <w:t xml:space="preserve"> will increase, decrease or stay the same</w:t>
            </w:r>
            <w:r w:rsidR="0065735B">
              <w:rPr>
                <w:sz w:val="18"/>
                <w:szCs w:val="18"/>
              </w:rPr>
              <w:t>. This could take years</w:t>
            </w:r>
            <w:r w:rsidR="00424A57">
              <w:rPr>
                <w:sz w:val="18"/>
                <w:szCs w:val="18"/>
              </w:rPr>
              <w:t>.</w:t>
            </w:r>
          </w:p>
          <w:p w14:paraId="4FEE9D79" w14:textId="6D158E08" w:rsidR="00FF5EFA" w:rsidRPr="00FF6456" w:rsidRDefault="00FF5EFA" w:rsidP="00FF5EFA">
            <w:pPr>
              <w:rPr>
                <w:sz w:val="18"/>
                <w:szCs w:val="18"/>
              </w:rPr>
            </w:pPr>
            <w:r w:rsidRPr="00FF6456">
              <w:rPr>
                <w:sz w:val="18"/>
                <w:szCs w:val="18"/>
              </w:rPr>
              <w:t xml:space="preserve">Any refund </w:t>
            </w:r>
            <w:r w:rsidR="00050A78">
              <w:rPr>
                <w:sz w:val="18"/>
                <w:szCs w:val="18"/>
              </w:rPr>
              <w:t>is</w:t>
            </w:r>
            <w:r w:rsidRPr="00FF6456">
              <w:rPr>
                <w:sz w:val="18"/>
                <w:szCs w:val="18"/>
              </w:rPr>
              <w:t xml:space="preserve"> likely be small</w:t>
            </w:r>
            <w:r w:rsidR="00050A78">
              <w:rPr>
                <w:sz w:val="18"/>
                <w:szCs w:val="18"/>
              </w:rPr>
              <w:t xml:space="preserve">, </w:t>
            </w:r>
            <w:r w:rsidR="00180270">
              <w:rPr>
                <w:sz w:val="18"/>
                <w:szCs w:val="18"/>
              </w:rPr>
              <w:t xml:space="preserve">and </w:t>
            </w:r>
            <w:r w:rsidR="00050A78">
              <w:rPr>
                <w:sz w:val="18"/>
                <w:szCs w:val="18"/>
              </w:rPr>
              <w:t xml:space="preserve">not </w:t>
            </w:r>
            <w:r w:rsidRPr="00FF6456">
              <w:rPr>
                <w:sz w:val="18"/>
                <w:szCs w:val="18"/>
              </w:rPr>
              <w:t xml:space="preserve">all of this cohort would receive a refund (i.e. those whose debts are higher after recalculation). </w:t>
            </w:r>
          </w:p>
          <w:p w14:paraId="37220F17" w14:textId="17DB55E7" w:rsidR="00FF5EFA" w:rsidRDefault="00FF5EFA" w:rsidP="00FF5EFA">
            <w:pPr>
              <w:rPr>
                <w:b/>
                <w:bCs/>
                <w:sz w:val="18"/>
                <w:szCs w:val="18"/>
              </w:rPr>
            </w:pPr>
            <w:r w:rsidRPr="00300641">
              <w:rPr>
                <w:b/>
                <w:bCs/>
                <w:sz w:val="18"/>
                <w:szCs w:val="18"/>
              </w:rPr>
              <w:t xml:space="preserve">Timeliness </w:t>
            </w:r>
            <w:r>
              <w:rPr>
                <w:b/>
                <w:bCs/>
                <w:sz w:val="18"/>
                <w:szCs w:val="18"/>
              </w:rPr>
              <w:t>(- 3)</w:t>
            </w:r>
          </w:p>
          <w:p w14:paraId="017B8488" w14:textId="4E4262D2" w:rsidR="00FF5EFA" w:rsidRDefault="00FF5EFA" w:rsidP="00FF5EFA">
            <w:pPr>
              <w:rPr>
                <w:sz w:val="18"/>
                <w:szCs w:val="18"/>
              </w:rPr>
            </w:pPr>
            <w:r>
              <w:rPr>
                <w:sz w:val="18"/>
                <w:szCs w:val="18"/>
              </w:rPr>
              <w:t xml:space="preserve">This option would take many years to implement, with recalculations being time consuming and complex. </w:t>
            </w:r>
          </w:p>
          <w:p w14:paraId="7892189F" w14:textId="05FC5EFE" w:rsidR="00FF5EFA" w:rsidRDefault="00FF5EFA" w:rsidP="00FF5EFA">
            <w:pPr>
              <w:rPr>
                <w:b/>
                <w:bCs/>
                <w:sz w:val="18"/>
                <w:szCs w:val="18"/>
              </w:rPr>
            </w:pPr>
            <w:r>
              <w:rPr>
                <w:b/>
                <w:bCs/>
                <w:sz w:val="18"/>
                <w:szCs w:val="18"/>
              </w:rPr>
              <w:lastRenderedPageBreak/>
              <w:t>Overall (-</w:t>
            </w:r>
            <w:r w:rsidR="00657A24">
              <w:rPr>
                <w:b/>
                <w:bCs/>
                <w:sz w:val="18"/>
                <w:szCs w:val="18"/>
              </w:rPr>
              <w:t>2</w:t>
            </w:r>
            <w:r>
              <w:rPr>
                <w:b/>
                <w:bCs/>
                <w:sz w:val="18"/>
                <w:szCs w:val="18"/>
              </w:rPr>
              <w:t>)</w:t>
            </w:r>
          </w:p>
          <w:p w14:paraId="13028A2A" w14:textId="7636B8BD" w:rsidR="00FF5EFA" w:rsidRPr="00FF6456" w:rsidRDefault="00FF5EFA" w:rsidP="00FF5EFA">
            <w:pPr>
              <w:rPr>
                <w:sz w:val="18"/>
                <w:szCs w:val="18"/>
              </w:rPr>
            </w:pPr>
            <w:r>
              <w:rPr>
                <w:sz w:val="18"/>
                <w:szCs w:val="18"/>
              </w:rPr>
              <w:t>This option will take many years to implement</w:t>
            </w:r>
            <w:r w:rsidR="0040714E">
              <w:rPr>
                <w:sz w:val="18"/>
                <w:szCs w:val="18"/>
              </w:rPr>
              <w:t xml:space="preserve"> and could cause protracted</w:t>
            </w:r>
            <w:r w:rsidR="008D3358">
              <w:rPr>
                <w:sz w:val="18"/>
                <w:szCs w:val="18"/>
              </w:rPr>
              <w:t xml:space="preserve"> uncertainty and possible</w:t>
            </w:r>
            <w:r w:rsidR="0040714E">
              <w:rPr>
                <w:sz w:val="18"/>
                <w:szCs w:val="18"/>
              </w:rPr>
              <w:t xml:space="preserve"> distress.</w:t>
            </w:r>
          </w:p>
        </w:tc>
        <w:tc>
          <w:tcPr>
            <w:tcW w:w="676" w:type="pct"/>
          </w:tcPr>
          <w:p w14:paraId="6DAAA0FC" w14:textId="2C5A270B" w:rsidR="00FF5EFA" w:rsidRPr="002C237E" w:rsidRDefault="00FF5EFA" w:rsidP="00FF5EFA">
            <w:pPr>
              <w:rPr>
                <w:b/>
                <w:bCs/>
                <w:sz w:val="18"/>
                <w:szCs w:val="18"/>
              </w:rPr>
            </w:pPr>
            <w:r w:rsidRPr="00300641">
              <w:rPr>
                <w:b/>
                <w:bCs/>
                <w:sz w:val="18"/>
                <w:szCs w:val="18"/>
              </w:rPr>
              <w:lastRenderedPageBreak/>
              <w:t>Fairness</w:t>
            </w:r>
            <w:r>
              <w:rPr>
                <w:b/>
                <w:bCs/>
                <w:sz w:val="18"/>
                <w:szCs w:val="18"/>
              </w:rPr>
              <w:t xml:space="preserve"> (</w:t>
            </w:r>
            <w:r w:rsidR="00F321FF">
              <w:rPr>
                <w:b/>
                <w:bCs/>
                <w:sz w:val="18"/>
                <w:szCs w:val="18"/>
              </w:rPr>
              <w:t>-</w:t>
            </w:r>
            <w:r>
              <w:rPr>
                <w:b/>
                <w:bCs/>
                <w:sz w:val="18"/>
                <w:szCs w:val="18"/>
              </w:rPr>
              <w:t>1)</w:t>
            </w:r>
          </w:p>
          <w:p w14:paraId="7D9627BB" w14:textId="5D844BCF" w:rsidR="001F4962" w:rsidRDefault="00AB7757" w:rsidP="00FF5EFA">
            <w:pPr>
              <w:rPr>
                <w:sz w:val="18"/>
                <w:szCs w:val="18"/>
              </w:rPr>
            </w:pPr>
            <w:r>
              <w:rPr>
                <w:sz w:val="18"/>
                <w:szCs w:val="18"/>
              </w:rPr>
              <w:t xml:space="preserve">There will be a level of unfairness under this option </w:t>
            </w:r>
            <w:r w:rsidR="00D700EB">
              <w:rPr>
                <w:sz w:val="18"/>
                <w:szCs w:val="18"/>
              </w:rPr>
              <w:t>within t</w:t>
            </w:r>
            <w:r>
              <w:rPr>
                <w:sz w:val="18"/>
                <w:szCs w:val="18"/>
              </w:rPr>
              <w:t xml:space="preserve">his cohort, as some people will have their debt validated </w:t>
            </w:r>
            <w:r w:rsidR="005D3AC3">
              <w:rPr>
                <w:sz w:val="18"/>
                <w:szCs w:val="18"/>
              </w:rPr>
              <w:t>higher than it should have been and some will have it validated lower than it should have</w:t>
            </w:r>
            <w:r w:rsidR="00D700EB">
              <w:rPr>
                <w:sz w:val="18"/>
                <w:szCs w:val="18"/>
              </w:rPr>
              <w:t xml:space="preserve"> been.</w:t>
            </w:r>
            <w:r w:rsidR="00E8126F">
              <w:rPr>
                <w:sz w:val="18"/>
                <w:szCs w:val="18"/>
              </w:rPr>
              <w:t xml:space="preserve"> It</w:t>
            </w:r>
            <w:r w:rsidR="000C2802">
              <w:rPr>
                <w:sz w:val="18"/>
                <w:szCs w:val="18"/>
              </w:rPr>
              <w:t xml:space="preserve"> also</w:t>
            </w:r>
            <w:r w:rsidR="00E8126F">
              <w:rPr>
                <w:sz w:val="18"/>
                <w:szCs w:val="18"/>
              </w:rPr>
              <w:t xml:space="preserve"> does not provide any </w:t>
            </w:r>
            <w:r w:rsidR="00635804">
              <w:rPr>
                <w:sz w:val="18"/>
                <w:szCs w:val="18"/>
              </w:rPr>
              <w:t xml:space="preserve">reparation </w:t>
            </w:r>
            <w:r w:rsidR="00E8126F">
              <w:rPr>
                <w:sz w:val="18"/>
                <w:szCs w:val="18"/>
              </w:rPr>
              <w:t xml:space="preserve">for those </w:t>
            </w:r>
            <w:r w:rsidR="000C2802">
              <w:rPr>
                <w:sz w:val="18"/>
                <w:szCs w:val="18"/>
              </w:rPr>
              <w:t>affected by this issue.</w:t>
            </w:r>
          </w:p>
          <w:p w14:paraId="3FD43D07" w14:textId="77269B5F" w:rsidR="00FF5EFA" w:rsidRDefault="00D700EB" w:rsidP="00FF5EFA">
            <w:pPr>
              <w:rPr>
                <w:sz w:val="18"/>
                <w:szCs w:val="18"/>
              </w:rPr>
            </w:pPr>
            <w:r>
              <w:rPr>
                <w:sz w:val="18"/>
                <w:szCs w:val="18"/>
              </w:rPr>
              <w:t>However, th</w:t>
            </w:r>
            <w:r w:rsidR="00331DC9">
              <w:rPr>
                <w:sz w:val="18"/>
                <w:szCs w:val="18"/>
              </w:rPr>
              <w:t>is option brings immediate certainty</w:t>
            </w:r>
            <w:r w:rsidR="00CF7E06">
              <w:rPr>
                <w:sz w:val="18"/>
                <w:szCs w:val="18"/>
              </w:rPr>
              <w:t xml:space="preserve"> in outcome for people, with</w:t>
            </w:r>
            <w:r>
              <w:rPr>
                <w:sz w:val="18"/>
                <w:szCs w:val="18"/>
              </w:rPr>
              <w:t xml:space="preserve"> the benefit that</w:t>
            </w:r>
            <w:r w:rsidR="00FD5C4B">
              <w:rPr>
                <w:sz w:val="18"/>
                <w:szCs w:val="18"/>
              </w:rPr>
              <w:t xml:space="preserve"> debt amounts </w:t>
            </w:r>
            <w:r w:rsidR="00FF5EFA" w:rsidRPr="00FF6456">
              <w:rPr>
                <w:sz w:val="18"/>
                <w:szCs w:val="18"/>
              </w:rPr>
              <w:t>will remain unchanged</w:t>
            </w:r>
            <w:r w:rsidR="00CF7E06">
              <w:rPr>
                <w:sz w:val="18"/>
                <w:szCs w:val="18"/>
              </w:rPr>
              <w:t>. Note that</w:t>
            </w:r>
            <w:r w:rsidR="00FF5EFA" w:rsidRPr="00FF6456">
              <w:rPr>
                <w:sz w:val="18"/>
                <w:szCs w:val="18"/>
              </w:rPr>
              <w:t xml:space="preserve"> many of these debts are small and old and around half the individuals are no longer connected to the social security system</w:t>
            </w:r>
            <w:r w:rsidR="0063266E">
              <w:rPr>
                <w:sz w:val="18"/>
                <w:szCs w:val="18"/>
              </w:rPr>
              <w:t>.</w:t>
            </w:r>
            <w:r w:rsidR="00CF7E06">
              <w:rPr>
                <w:sz w:val="18"/>
                <w:szCs w:val="18"/>
              </w:rPr>
              <w:t xml:space="preserve"> 97% are fully repaid</w:t>
            </w:r>
            <w:r w:rsidR="00731055">
              <w:rPr>
                <w:sz w:val="18"/>
                <w:szCs w:val="18"/>
              </w:rPr>
              <w:t>.</w:t>
            </w:r>
          </w:p>
          <w:p w14:paraId="5C4B6471" w14:textId="265D0EE0" w:rsidR="0063266E" w:rsidRPr="00FF6456" w:rsidRDefault="00A76FE3" w:rsidP="00FF5EFA">
            <w:pPr>
              <w:rPr>
                <w:sz w:val="18"/>
                <w:szCs w:val="18"/>
              </w:rPr>
            </w:pPr>
            <w:r>
              <w:rPr>
                <w:sz w:val="18"/>
                <w:szCs w:val="18"/>
              </w:rPr>
              <w:t>Most people will not need to do anything, however those</w:t>
            </w:r>
            <w:r w:rsidR="00E22107">
              <w:rPr>
                <w:sz w:val="18"/>
                <w:szCs w:val="18"/>
              </w:rPr>
              <w:t xml:space="preserve"> with</w:t>
            </w:r>
            <w:r>
              <w:rPr>
                <w:sz w:val="18"/>
                <w:szCs w:val="18"/>
              </w:rPr>
              <w:t xml:space="preserve"> debt </w:t>
            </w:r>
            <w:r w:rsidR="00E22107">
              <w:rPr>
                <w:sz w:val="18"/>
                <w:szCs w:val="18"/>
              </w:rPr>
              <w:t xml:space="preserve">activities </w:t>
            </w:r>
            <w:r>
              <w:rPr>
                <w:sz w:val="18"/>
                <w:szCs w:val="18"/>
              </w:rPr>
              <w:t>paused will see it recommenced</w:t>
            </w:r>
            <w:r w:rsidR="00E22107">
              <w:rPr>
                <w:sz w:val="18"/>
                <w:szCs w:val="18"/>
              </w:rPr>
              <w:t>.</w:t>
            </w:r>
            <w:r>
              <w:rPr>
                <w:sz w:val="18"/>
                <w:szCs w:val="18"/>
              </w:rPr>
              <w:t xml:space="preserve"> </w:t>
            </w:r>
          </w:p>
          <w:p w14:paraId="4F54B103" w14:textId="1CFB1983" w:rsidR="00FF5EFA" w:rsidRDefault="00FF5EFA" w:rsidP="00FF5EFA">
            <w:pPr>
              <w:rPr>
                <w:b/>
                <w:bCs/>
                <w:sz w:val="18"/>
                <w:szCs w:val="18"/>
              </w:rPr>
            </w:pPr>
            <w:r w:rsidRPr="00300641">
              <w:rPr>
                <w:b/>
                <w:bCs/>
                <w:sz w:val="18"/>
                <w:szCs w:val="18"/>
              </w:rPr>
              <w:t xml:space="preserve">Timeliness </w:t>
            </w:r>
            <w:r>
              <w:rPr>
                <w:b/>
                <w:bCs/>
                <w:sz w:val="18"/>
                <w:szCs w:val="18"/>
              </w:rPr>
              <w:t>(+1)</w:t>
            </w:r>
          </w:p>
          <w:p w14:paraId="5AA5D4F3" w14:textId="375D3950" w:rsidR="00FF5EFA" w:rsidRDefault="00635804" w:rsidP="00FF5EFA">
            <w:pPr>
              <w:rPr>
                <w:sz w:val="18"/>
                <w:szCs w:val="18"/>
              </w:rPr>
            </w:pPr>
            <w:r>
              <w:rPr>
                <w:sz w:val="18"/>
                <w:szCs w:val="18"/>
              </w:rPr>
              <w:t>T</w:t>
            </w:r>
            <w:r w:rsidR="00FF5EFA">
              <w:rPr>
                <w:sz w:val="18"/>
                <w:szCs w:val="18"/>
              </w:rPr>
              <w:t>his option would be timely and provide a way forward for individuals who have debts affected by income apportionment.</w:t>
            </w:r>
          </w:p>
          <w:p w14:paraId="1C9FEDBD" w14:textId="36432977" w:rsidR="00FF5EFA" w:rsidRDefault="00FF5EFA" w:rsidP="00FF5EFA">
            <w:pPr>
              <w:rPr>
                <w:b/>
                <w:bCs/>
                <w:sz w:val="18"/>
                <w:szCs w:val="18"/>
              </w:rPr>
            </w:pPr>
            <w:r>
              <w:rPr>
                <w:b/>
                <w:bCs/>
                <w:sz w:val="18"/>
                <w:szCs w:val="18"/>
              </w:rPr>
              <w:t>Overall (</w:t>
            </w:r>
            <w:r w:rsidR="00F321FF">
              <w:rPr>
                <w:b/>
                <w:bCs/>
                <w:sz w:val="18"/>
                <w:szCs w:val="18"/>
              </w:rPr>
              <w:t>0</w:t>
            </w:r>
            <w:r>
              <w:rPr>
                <w:b/>
                <w:bCs/>
                <w:sz w:val="18"/>
                <w:szCs w:val="18"/>
              </w:rPr>
              <w:t>)</w:t>
            </w:r>
          </w:p>
          <w:p w14:paraId="51C7CA3B" w14:textId="3579A907" w:rsidR="00FF5EFA" w:rsidRPr="00FF6456" w:rsidRDefault="00FF5EFA" w:rsidP="00FF5EFA">
            <w:pPr>
              <w:rPr>
                <w:sz w:val="18"/>
                <w:szCs w:val="18"/>
              </w:rPr>
            </w:pPr>
            <w:r>
              <w:rPr>
                <w:sz w:val="18"/>
                <w:szCs w:val="18"/>
              </w:rPr>
              <w:t xml:space="preserve">This option balances fairness with timeliness. </w:t>
            </w:r>
          </w:p>
        </w:tc>
        <w:tc>
          <w:tcPr>
            <w:tcW w:w="676" w:type="pct"/>
          </w:tcPr>
          <w:p w14:paraId="79703C08" w14:textId="77777777" w:rsidR="00FF5EFA" w:rsidRPr="001B0A0C" w:rsidRDefault="00FF5EFA" w:rsidP="00FF5EFA">
            <w:pPr>
              <w:rPr>
                <w:b/>
                <w:bCs/>
                <w:sz w:val="18"/>
                <w:szCs w:val="18"/>
              </w:rPr>
            </w:pPr>
            <w:r w:rsidRPr="00300641">
              <w:rPr>
                <w:b/>
                <w:bCs/>
                <w:sz w:val="18"/>
                <w:szCs w:val="18"/>
              </w:rPr>
              <w:t>Fairness</w:t>
            </w:r>
            <w:r>
              <w:rPr>
                <w:b/>
                <w:bCs/>
                <w:sz w:val="18"/>
                <w:szCs w:val="18"/>
              </w:rPr>
              <w:t xml:space="preserve"> (-1)</w:t>
            </w:r>
          </w:p>
          <w:p w14:paraId="6BBA6FC2" w14:textId="620D7619" w:rsidR="003C62B2" w:rsidRDefault="00596139" w:rsidP="00FF5EFA">
            <w:pPr>
              <w:rPr>
                <w:sz w:val="18"/>
                <w:szCs w:val="18"/>
              </w:rPr>
            </w:pPr>
            <w:r>
              <w:rPr>
                <w:sz w:val="18"/>
                <w:szCs w:val="18"/>
              </w:rPr>
              <w:t>Along with the impacts</w:t>
            </w:r>
            <w:r w:rsidR="00497270">
              <w:rPr>
                <w:sz w:val="18"/>
                <w:szCs w:val="18"/>
              </w:rPr>
              <w:t xml:space="preserve"> of retrospective validation</w:t>
            </w:r>
            <w:r>
              <w:rPr>
                <w:sz w:val="18"/>
                <w:szCs w:val="18"/>
              </w:rPr>
              <w:t xml:space="preserve"> </w:t>
            </w:r>
            <w:r w:rsidR="00497270">
              <w:rPr>
                <w:sz w:val="18"/>
                <w:szCs w:val="18"/>
              </w:rPr>
              <w:t>(</w:t>
            </w:r>
            <w:r w:rsidR="00D04785">
              <w:rPr>
                <w:sz w:val="18"/>
                <w:szCs w:val="18"/>
              </w:rPr>
              <w:t>identified for option 4</w:t>
            </w:r>
            <w:r w:rsidR="00497270">
              <w:rPr>
                <w:sz w:val="18"/>
                <w:szCs w:val="18"/>
              </w:rPr>
              <w:t>)</w:t>
            </w:r>
            <w:r w:rsidR="00D04785">
              <w:rPr>
                <w:sz w:val="18"/>
                <w:szCs w:val="18"/>
              </w:rPr>
              <w:t xml:space="preserve">, </w:t>
            </w:r>
            <w:r w:rsidR="00497270">
              <w:rPr>
                <w:sz w:val="18"/>
                <w:szCs w:val="18"/>
              </w:rPr>
              <w:t>un</w:t>
            </w:r>
            <w:r w:rsidR="00731CFB">
              <w:rPr>
                <w:sz w:val="18"/>
                <w:szCs w:val="18"/>
              </w:rPr>
              <w:t>der this option, those affected by the debt pauses would</w:t>
            </w:r>
            <w:r w:rsidR="00F765B8">
              <w:rPr>
                <w:sz w:val="18"/>
                <w:szCs w:val="18"/>
              </w:rPr>
              <w:t xml:space="preserve"> </w:t>
            </w:r>
            <w:r w:rsidR="00FF5EFA">
              <w:rPr>
                <w:sz w:val="18"/>
                <w:szCs w:val="18"/>
              </w:rPr>
              <w:t xml:space="preserve">receive </w:t>
            </w:r>
            <w:r w:rsidR="00F765B8">
              <w:rPr>
                <w:sz w:val="18"/>
                <w:szCs w:val="18"/>
              </w:rPr>
              <w:t xml:space="preserve">a </w:t>
            </w:r>
            <w:r w:rsidR="00FF5EFA">
              <w:rPr>
                <w:sz w:val="18"/>
                <w:szCs w:val="18"/>
              </w:rPr>
              <w:t>waiver</w:t>
            </w:r>
            <w:r w:rsidR="000001E0">
              <w:rPr>
                <w:sz w:val="18"/>
                <w:szCs w:val="18"/>
              </w:rPr>
              <w:t xml:space="preserve"> of up to $200</w:t>
            </w:r>
            <w:r w:rsidR="00F765B8">
              <w:rPr>
                <w:sz w:val="18"/>
                <w:szCs w:val="18"/>
              </w:rPr>
              <w:t>, which they may regard as fair</w:t>
            </w:r>
            <w:r w:rsidR="00BE383A">
              <w:rPr>
                <w:sz w:val="18"/>
                <w:szCs w:val="18"/>
              </w:rPr>
              <w:t xml:space="preserve"> recognition of the impacts of these prolonged pauses</w:t>
            </w:r>
            <w:r w:rsidR="00376974">
              <w:rPr>
                <w:sz w:val="18"/>
                <w:szCs w:val="18"/>
              </w:rPr>
              <w:t xml:space="preserve">. </w:t>
            </w:r>
          </w:p>
          <w:p w14:paraId="61BBF2D2" w14:textId="12238DC3" w:rsidR="00FF5EFA" w:rsidRDefault="00376974" w:rsidP="00FF5EFA">
            <w:pPr>
              <w:rPr>
                <w:sz w:val="18"/>
                <w:szCs w:val="18"/>
              </w:rPr>
            </w:pPr>
            <w:r>
              <w:rPr>
                <w:sz w:val="18"/>
                <w:szCs w:val="18"/>
              </w:rPr>
              <w:t xml:space="preserve">However, this option does not provide the same </w:t>
            </w:r>
            <w:r w:rsidR="002117DF">
              <w:rPr>
                <w:sz w:val="18"/>
                <w:szCs w:val="18"/>
              </w:rPr>
              <w:t>benefit</w:t>
            </w:r>
            <w:r>
              <w:rPr>
                <w:sz w:val="18"/>
                <w:szCs w:val="18"/>
              </w:rPr>
              <w:t xml:space="preserve"> for the millions in this cohort who had already paid their debt off</w:t>
            </w:r>
            <w:r w:rsidR="002E3FF5">
              <w:rPr>
                <w:sz w:val="18"/>
                <w:szCs w:val="18"/>
              </w:rPr>
              <w:t xml:space="preserve">, as they would </w:t>
            </w:r>
            <w:r w:rsidR="3861FF05" w:rsidRPr="0AB0C7A1">
              <w:rPr>
                <w:sz w:val="18"/>
                <w:szCs w:val="18"/>
              </w:rPr>
              <w:t xml:space="preserve">be </w:t>
            </w:r>
            <w:r w:rsidR="5478CCBA" w:rsidRPr="0AB0C7A1">
              <w:rPr>
                <w:sz w:val="18"/>
                <w:szCs w:val="18"/>
              </w:rPr>
              <w:t>in</w:t>
            </w:r>
            <w:r w:rsidR="3861FF05" w:rsidRPr="0AB0C7A1">
              <w:rPr>
                <w:sz w:val="18"/>
                <w:szCs w:val="18"/>
              </w:rPr>
              <w:t>eligible</w:t>
            </w:r>
            <w:r w:rsidR="002E3FF5">
              <w:rPr>
                <w:sz w:val="18"/>
                <w:szCs w:val="18"/>
              </w:rPr>
              <w:t xml:space="preserve"> for this waiver. This is </w:t>
            </w:r>
            <w:r w:rsidR="00FF5EFA">
              <w:rPr>
                <w:sz w:val="18"/>
                <w:szCs w:val="18"/>
              </w:rPr>
              <w:t xml:space="preserve">the vast majority of people </w:t>
            </w:r>
            <w:r w:rsidR="00552BB4">
              <w:rPr>
                <w:sz w:val="18"/>
                <w:szCs w:val="18"/>
              </w:rPr>
              <w:t xml:space="preserve">with debts </w:t>
            </w:r>
            <w:r w:rsidR="00FF5EFA">
              <w:rPr>
                <w:sz w:val="18"/>
                <w:szCs w:val="18"/>
              </w:rPr>
              <w:t>affected by income apportionment</w:t>
            </w:r>
            <w:r w:rsidR="00607A62">
              <w:rPr>
                <w:sz w:val="18"/>
                <w:szCs w:val="18"/>
              </w:rPr>
              <w:t xml:space="preserve"> and they </w:t>
            </w:r>
            <w:r w:rsidR="00BE383A">
              <w:rPr>
                <w:sz w:val="18"/>
                <w:szCs w:val="18"/>
              </w:rPr>
              <w:t xml:space="preserve">may </w:t>
            </w:r>
            <w:r w:rsidR="00FF5EFA">
              <w:rPr>
                <w:sz w:val="18"/>
                <w:szCs w:val="18"/>
              </w:rPr>
              <w:t>consider this approach unfair.</w:t>
            </w:r>
            <w:r w:rsidR="00FF5EFA" w:rsidRPr="00FF6456">
              <w:rPr>
                <w:sz w:val="18"/>
                <w:szCs w:val="18"/>
              </w:rPr>
              <w:t xml:space="preserve"> </w:t>
            </w:r>
          </w:p>
          <w:p w14:paraId="1A928FAA" w14:textId="346E6FF1" w:rsidR="00FF5EFA" w:rsidRDefault="00FF5EFA" w:rsidP="00FF5EFA">
            <w:pPr>
              <w:rPr>
                <w:b/>
                <w:bCs/>
                <w:sz w:val="18"/>
                <w:szCs w:val="18"/>
              </w:rPr>
            </w:pPr>
            <w:r w:rsidRPr="004923FC">
              <w:rPr>
                <w:b/>
                <w:bCs/>
                <w:sz w:val="18"/>
                <w:szCs w:val="18"/>
              </w:rPr>
              <w:t>Timeliness (</w:t>
            </w:r>
            <w:r w:rsidR="00564A91">
              <w:rPr>
                <w:b/>
                <w:bCs/>
                <w:sz w:val="18"/>
                <w:szCs w:val="18"/>
              </w:rPr>
              <w:t>+</w:t>
            </w:r>
            <w:r>
              <w:rPr>
                <w:b/>
                <w:bCs/>
                <w:sz w:val="18"/>
                <w:szCs w:val="18"/>
              </w:rPr>
              <w:t>1</w:t>
            </w:r>
            <w:r w:rsidRPr="004923FC">
              <w:rPr>
                <w:b/>
                <w:bCs/>
                <w:sz w:val="18"/>
                <w:szCs w:val="18"/>
              </w:rPr>
              <w:t>)</w:t>
            </w:r>
          </w:p>
          <w:p w14:paraId="4257AA17" w14:textId="0E6C883C" w:rsidR="00A37A6D" w:rsidRDefault="00D51E20" w:rsidP="00A37A6D">
            <w:pPr>
              <w:rPr>
                <w:sz w:val="18"/>
                <w:szCs w:val="18"/>
              </w:rPr>
            </w:pPr>
            <w:r>
              <w:rPr>
                <w:sz w:val="18"/>
                <w:szCs w:val="18"/>
              </w:rPr>
              <w:t>T</w:t>
            </w:r>
            <w:r w:rsidR="00A37A6D">
              <w:rPr>
                <w:sz w:val="18"/>
                <w:szCs w:val="18"/>
              </w:rPr>
              <w:t>his option would be timely and provide a way forward for individuals who have debts affected by income apportionment</w:t>
            </w:r>
            <w:r w:rsidR="006528B6">
              <w:rPr>
                <w:sz w:val="18"/>
                <w:szCs w:val="18"/>
              </w:rPr>
              <w:t xml:space="preserve">, and a waiver for the subset </w:t>
            </w:r>
            <w:r w:rsidR="003C62B2">
              <w:rPr>
                <w:sz w:val="18"/>
                <w:szCs w:val="18"/>
              </w:rPr>
              <w:t>of this cohort who has been affected by the debt pauses.</w:t>
            </w:r>
          </w:p>
          <w:p w14:paraId="6436473F" w14:textId="703505E3" w:rsidR="00FF5EFA" w:rsidRDefault="00FF5EFA" w:rsidP="00FF5EFA">
            <w:pPr>
              <w:rPr>
                <w:b/>
                <w:bCs/>
                <w:sz w:val="18"/>
                <w:szCs w:val="18"/>
              </w:rPr>
            </w:pPr>
            <w:r w:rsidRPr="004923FC">
              <w:rPr>
                <w:b/>
                <w:bCs/>
                <w:sz w:val="18"/>
                <w:szCs w:val="18"/>
              </w:rPr>
              <w:t>Overall</w:t>
            </w:r>
            <w:r>
              <w:rPr>
                <w:b/>
                <w:bCs/>
                <w:sz w:val="18"/>
                <w:szCs w:val="18"/>
              </w:rPr>
              <w:t xml:space="preserve"> (</w:t>
            </w:r>
            <w:r w:rsidR="00EA4E02">
              <w:rPr>
                <w:b/>
                <w:bCs/>
                <w:sz w:val="18"/>
                <w:szCs w:val="18"/>
              </w:rPr>
              <w:t>0</w:t>
            </w:r>
            <w:r>
              <w:rPr>
                <w:b/>
                <w:bCs/>
                <w:sz w:val="18"/>
                <w:szCs w:val="18"/>
              </w:rPr>
              <w:t>)</w:t>
            </w:r>
          </w:p>
          <w:p w14:paraId="115824F0" w14:textId="1778911B" w:rsidR="00FF5EFA" w:rsidRPr="008F200C" w:rsidRDefault="003C62B2" w:rsidP="00FF5EFA">
            <w:pPr>
              <w:rPr>
                <w:sz w:val="18"/>
                <w:szCs w:val="18"/>
              </w:rPr>
            </w:pPr>
            <w:r>
              <w:rPr>
                <w:sz w:val="18"/>
                <w:szCs w:val="18"/>
              </w:rPr>
              <w:t xml:space="preserve">While this option </w:t>
            </w:r>
            <w:r w:rsidR="00F81036">
              <w:rPr>
                <w:sz w:val="18"/>
                <w:szCs w:val="18"/>
              </w:rPr>
              <w:t xml:space="preserve">is beneficial to </w:t>
            </w:r>
            <w:r w:rsidR="0037757A">
              <w:rPr>
                <w:sz w:val="18"/>
                <w:szCs w:val="18"/>
              </w:rPr>
              <w:t>people affected by the debt pauses</w:t>
            </w:r>
            <w:r w:rsidR="00F81036">
              <w:rPr>
                <w:sz w:val="18"/>
                <w:szCs w:val="18"/>
              </w:rPr>
              <w:t xml:space="preserve">, it </w:t>
            </w:r>
            <w:r w:rsidR="00540C42">
              <w:rPr>
                <w:sz w:val="18"/>
                <w:szCs w:val="18"/>
              </w:rPr>
              <w:t xml:space="preserve">could be considered unfair by the majority of this </w:t>
            </w:r>
            <w:r w:rsidR="00540C42">
              <w:rPr>
                <w:sz w:val="18"/>
                <w:szCs w:val="18"/>
              </w:rPr>
              <w:lastRenderedPageBreak/>
              <w:t xml:space="preserve">cohort </w:t>
            </w:r>
            <w:r w:rsidR="00FF5EFA">
              <w:rPr>
                <w:sz w:val="18"/>
                <w:szCs w:val="18"/>
              </w:rPr>
              <w:t>who</w:t>
            </w:r>
            <w:r w:rsidR="00540C42">
              <w:rPr>
                <w:sz w:val="18"/>
                <w:szCs w:val="18"/>
              </w:rPr>
              <w:t xml:space="preserve"> would be</w:t>
            </w:r>
            <w:r w:rsidR="00FF5EFA">
              <w:rPr>
                <w:sz w:val="18"/>
                <w:szCs w:val="18"/>
              </w:rPr>
              <w:t xml:space="preserve"> ineligible for the waiver.</w:t>
            </w:r>
          </w:p>
          <w:p w14:paraId="0322CEEB" w14:textId="77777777" w:rsidR="00FF5EFA" w:rsidRPr="00300641" w:rsidRDefault="00FF5EFA" w:rsidP="00FF5EFA">
            <w:pPr>
              <w:rPr>
                <w:b/>
                <w:bCs/>
                <w:sz w:val="18"/>
                <w:szCs w:val="18"/>
              </w:rPr>
            </w:pPr>
          </w:p>
        </w:tc>
        <w:tc>
          <w:tcPr>
            <w:tcW w:w="671" w:type="pct"/>
          </w:tcPr>
          <w:p w14:paraId="0AEDF28F" w14:textId="77777777" w:rsidR="00FF5EFA" w:rsidRPr="008F200C" w:rsidRDefault="00FF5EFA" w:rsidP="00FF5EFA">
            <w:pPr>
              <w:rPr>
                <w:b/>
                <w:bCs/>
                <w:sz w:val="18"/>
                <w:szCs w:val="18"/>
              </w:rPr>
            </w:pPr>
            <w:r w:rsidRPr="008F200C">
              <w:rPr>
                <w:b/>
                <w:bCs/>
                <w:sz w:val="18"/>
                <w:szCs w:val="18"/>
              </w:rPr>
              <w:lastRenderedPageBreak/>
              <w:t>Fairness (+2)</w:t>
            </w:r>
          </w:p>
          <w:p w14:paraId="657F1AA2" w14:textId="4F5CD70A" w:rsidR="00FF5EFA" w:rsidRPr="00FF6456" w:rsidRDefault="00DD0423" w:rsidP="00FF5EFA">
            <w:pPr>
              <w:rPr>
                <w:sz w:val="18"/>
                <w:szCs w:val="18"/>
              </w:rPr>
            </w:pPr>
            <w:r>
              <w:rPr>
                <w:sz w:val="18"/>
                <w:szCs w:val="18"/>
              </w:rPr>
              <w:t xml:space="preserve">Along with the impacts of retrospective validation (identified for option 4), under this option, </w:t>
            </w:r>
            <w:r w:rsidR="00806A9E">
              <w:rPr>
                <w:sz w:val="18"/>
                <w:szCs w:val="18"/>
              </w:rPr>
              <w:t>t</w:t>
            </w:r>
            <w:r w:rsidR="00FF5EFA" w:rsidRPr="00FF6456">
              <w:rPr>
                <w:sz w:val="18"/>
                <w:szCs w:val="18"/>
              </w:rPr>
              <w:t>his cohort</w:t>
            </w:r>
            <w:r w:rsidR="00173CF0">
              <w:rPr>
                <w:sz w:val="18"/>
                <w:szCs w:val="18"/>
              </w:rPr>
              <w:t xml:space="preserve"> (with affected debts from 2003 onwards)</w:t>
            </w:r>
            <w:r w:rsidR="00FF5EFA" w:rsidRPr="00FF6456">
              <w:rPr>
                <w:sz w:val="18"/>
                <w:szCs w:val="18"/>
              </w:rPr>
              <w:t xml:space="preserve"> will </w:t>
            </w:r>
            <w:r w:rsidR="00806A9E">
              <w:rPr>
                <w:sz w:val="18"/>
                <w:szCs w:val="18"/>
              </w:rPr>
              <w:t xml:space="preserve">be able to apply for a </w:t>
            </w:r>
            <w:r w:rsidR="00F256EF">
              <w:rPr>
                <w:sz w:val="18"/>
                <w:szCs w:val="18"/>
              </w:rPr>
              <w:t>resolution payment</w:t>
            </w:r>
            <w:r w:rsidR="00173CF0">
              <w:rPr>
                <w:sz w:val="18"/>
                <w:szCs w:val="18"/>
              </w:rPr>
              <w:t>. They will</w:t>
            </w:r>
            <w:r w:rsidR="00FF5EFA" w:rsidRPr="00FF6456">
              <w:rPr>
                <w:sz w:val="18"/>
                <w:szCs w:val="18"/>
              </w:rPr>
              <w:t xml:space="preserve"> likely see </w:t>
            </w:r>
            <w:r w:rsidR="00FF5EFA">
              <w:rPr>
                <w:sz w:val="18"/>
                <w:szCs w:val="18"/>
              </w:rPr>
              <w:t>this</w:t>
            </w:r>
            <w:r w:rsidR="00FF5EFA" w:rsidRPr="00FF6456">
              <w:rPr>
                <w:sz w:val="18"/>
                <w:szCs w:val="18"/>
              </w:rPr>
              <w:t xml:space="preserve"> as fair treatment. </w:t>
            </w:r>
          </w:p>
          <w:p w14:paraId="6B2CF642" w14:textId="3741F3E4" w:rsidR="00FF5EFA" w:rsidRDefault="00FF5EFA" w:rsidP="00FF5EFA">
            <w:pPr>
              <w:rPr>
                <w:sz w:val="18"/>
                <w:szCs w:val="18"/>
              </w:rPr>
            </w:pPr>
            <w:r w:rsidRPr="00FF6456">
              <w:rPr>
                <w:sz w:val="18"/>
                <w:szCs w:val="18"/>
              </w:rPr>
              <w:t>Th</w:t>
            </w:r>
            <w:r w:rsidR="009F6F05">
              <w:rPr>
                <w:sz w:val="18"/>
                <w:szCs w:val="18"/>
              </w:rPr>
              <w:t xml:space="preserve">ey will </w:t>
            </w:r>
            <w:r w:rsidRPr="00FF6456">
              <w:rPr>
                <w:sz w:val="18"/>
                <w:szCs w:val="18"/>
              </w:rPr>
              <w:t xml:space="preserve">have to apply and provide information to support debt assessment and reparation processing, if they choose to apply. </w:t>
            </w:r>
            <w:r w:rsidR="009F6F05">
              <w:rPr>
                <w:sz w:val="18"/>
                <w:szCs w:val="18"/>
              </w:rPr>
              <w:t>The process will</w:t>
            </w:r>
            <w:r w:rsidR="003663E1">
              <w:rPr>
                <w:sz w:val="18"/>
                <w:szCs w:val="18"/>
              </w:rPr>
              <w:t xml:space="preserve"> be</w:t>
            </w:r>
            <w:r w:rsidR="009F6F05">
              <w:rPr>
                <w:sz w:val="18"/>
                <w:szCs w:val="18"/>
              </w:rPr>
              <w:t xml:space="preserve"> streamlined and simplified where possible, reducing the administrative burden for </w:t>
            </w:r>
            <w:r w:rsidR="0014056A">
              <w:rPr>
                <w:sz w:val="18"/>
                <w:szCs w:val="18"/>
              </w:rPr>
              <w:t>people</w:t>
            </w:r>
            <w:r w:rsidR="009F6F05">
              <w:rPr>
                <w:sz w:val="18"/>
                <w:szCs w:val="18"/>
              </w:rPr>
              <w:t>.</w:t>
            </w:r>
            <w:r w:rsidRPr="00FF6456">
              <w:rPr>
                <w:sz w:val="18"/>
                <w:szCs w:val="18"/>
              </w:rPr>
              <w:t xml:space="preserve"> </w:t>
            </w:r>
          </w:p>
          <w:p w14:paraId="36F035E4" w14:textId="75F5330E" w:rsidR="00FF5EFA" w:rsidRDefault="00FF5EFA" w:rsidP="00FF5EFA">
            <w:pPr>
              <w:rPr>
                <w:b/>
                <w:bCs/>
                <w:sz w:val="18"/>
                <w:szCs w:val="18"/>
              </w:rPr>
            </w:pPr>
            <w:r w:rsidRPr="008F200C">
              <w:rPr>
                <w:b/>
                <w:bCs/>
                <w:sz w:val="18"/>
                <w:szCs w:val="18"/>
              </w:rPr>
              <w:t>Timeliness (</w:t>
            </w:r>
            <w:r w:rsidR="003B7D99">
              <w:rPr>
                <w:b/>
                <w:bCs/>
                <w:sz w:val="18"/>
                <w:szCs w:val="18"/>
              </w:rPr>
              <w:t>+1</w:t>
            </w:r>
            <w:r w:rsidRPr="008F200C">
              <w:rPr>
                <w:b/>
                <w:bCs/>
                <w:sz w:val="18"/>
                <w:szCs w:val="18"/>
              </w:rPr>
              <w:t>)</w:t>
            </w:r>
          </w:p>
          <w:p w14:paraId="222C576D" w14:textId="1BFA1060" w:rsidR="003663E1" w:rsidRDefault="00D51E20" w:rsidP="00FF5EFA">
            <w:pPr>
              <w:rPr>
                <w:sz w:val="18"/>
                <w:szCs w:val="18"/>
              </w:rPr>
            </w:pPr>
            <w:r>
              <w:rPr>
                <w:sz w:val="18"/>
                <w:szCs w:val="18"/>
              </w:rPr>
              <w:t>T</w:t>
            </w:r>
            <w:r w:rsidR="003663E1">
              <w:rPr>
                <w:sz w:val="18"/>
                <w:szCs w:val="18"/>
              </w:rPr>
              <w:t xml:space="preserve">his option would be timely and provide a way forward for individuals who have debts affected by income apportionment. The </w:t>
            </w:r>
            <w:r w:rsidR="00135693">
              <w:rPr>
                <w:sz w:val="18"/>
                <w:szCs w:val="18"/>
              </w:rPr>
              <w:t>resolution scheme</w:t>
            </w:r>
            <w:r w:rsidR="003663E1">
              <w:rPr>
                <w:sz w:val="18"/>
                <w:szCs w:val="18"/>
              </w:rPr>
              <w:t xml:space="preserve"> would commence promptl</w:t>
            </w:r>
            <w:r w:rsidR="008A52B0">
              <w:rPr>
                <w:sz w:val="18"/>
                <w:szCs w:val="18"/>
              </w:rPr>
              <w:t>y and be time-limited with Services Australia required to process claims within a contained period of time.</w:t>
            </w:r>
          </w:p>
          <w:p w14:paraId="7A8D82CA" w14:textId="77777777" w:rsidR="00FF5EFA" w:rsidRDefault="00FF5EFA" w:rsidP="00FF5EFA">
            <w:pPr>
              <w:rPr>
                <w:b/>
                <w:bCs/>
                <w:sz w:val="18"/>
                <w:szCs w:val="18"/>
              </w:rPr>
            </w:pPr>
            <w:r w:rsidRPr="004923FC">
              <w:rPr>
                <w:b/>
                <w:bCs/>
                <w:sz w:val="18"/>
                <w:szCs w:val="18"/>
              </w:rPr>
              <w:t>Overall</w:t>
            </w:r>
            <w:r>
              <w:rPr>
                <w:b/>
                <w:bCs/>
                <w:sz w:val="18"/>
                <w:szCs w:val="18"/>
              </w:rPr>
              <w:t xml:space="preserve"> (+2)</w:t>
            </w:r>
          </w:p>
          <w:p w14:paraId="21DF7F23" w14:textId="5DE36F26" w:rsidR="00FF5EFA" w:rsidRPr="008F200C" w:rsidRDefault="00FF5EFA" w:rsidP="00FF5EFA">
            <w:pPr>
              <w:rPr>
                <w:sz w:val="18"/>
                <w:szCs w:val="18"/>
              </w:rPr>
            </w:pPr>
            <w:r w:rsidRPr="008F200C">
              <w:rPr>
                <w:sz w:val="18"/>
                <w:szCs w:val="18"/>
              </w:rPr>
              <w:t>This rating is warranted given</w:t>
            </w:r>
            <w:r>
              <w:rPr>
                <w:sz w:val="18"/>
                <w:szCs w:val="18"/>
              </w:rPr>
              <w:t xml:space="preserve"> the cohort would be eligible for a </w:t>
            </w:r>
            <w:r>
              <w:rPr>
                <w:sz w:val="18"/>
                <w:szCs w:val="18"/>
              </w:rPr>
              <w:lastRenderedPageBreak/>
              <w:t>reparation payment</w:t>
            </w:r>
            <w:r w:rsidR="008D7C10">
              <w:rPr>
                <w:sz w:val="18"/>
                <w:szCs w:val="18"/>
              </w:rPr>
              <w:t xml:space="preserve"> </w:t>
            </w:r>
            <w:r>
              <w:rPr>
                <w:sz w:val="18"/>
                <w:szCs w:val="18"/>
              </w:rPr>
              <w:t xml:space="preserve">and would have certainty around their debt.  </w:t>
            </w:r>
          </w:p>
          <w:p w14:paraId="161D3005" w14:textId="77777777" w:rsidR="00FF5EFA" w:rsidRDefault="00FF5EFA" w:rsidP="00FF5EFA">
            <w:pPr>
              <w:rPr>
                <w:sz w:val="18"/>
                <w:szCs w:val="18"/>
              </w:rPr>
            </w:pPr>
          </w:p>
          <w:p w14:paraId="22D2F7C2" w14:textId="77777777" w:rsidR="00FF5EFA" w:rsidRPr="00300641" w:rsidRDefault="00FF5EFA" w:rsidP="00FF5EFA">
            <w:pPr>
              <w:rPr>
                <w:b/>
                <w:bCs/>
                <w:sz w:val="18"/>
                <w:szCs w:val="18"/>
              </w:rPr>
            </w:pPr>
          </w:p>
        </w:tc>
      </w:tr>
      <w:tr w:rsidR="005E23BD" w14:paraId="3976ACAF" w14:textId="560780A7" w:rsidTr="00635804">
        <w:trPr>
          <w:trHeight w:val="388"/>
        </w:trPr>
        <w:tc>
          <w:tcPr>
            <w:tcW w:w="379" w:type="pct"/>
          </w:tcPr>
          <w:p w14:paraId="469C258F" w14:textId="77777777" w:rsidR="00F205EB" w:rsidRDefault="00FF5EFA" w:rsidP="00FF5EFA">
            <w:pPr>
              <w:rPr>
                <w:b/>
                <w:bCs/>
              </w:rPr>
            </w:pPr>
            <w:r w:rsidRPr="00433B10">
              <w:rPr>
                <w:b/>
                <w:bCs/>
              </w:rPr>
              <w:lastRenderedPageBreak/>
              <w:t xml:space="preserve">People with </w:t>
            </w:r>
            <w:r>
              <w:rPr>
                <w:b/>
                <w:bCs/>
              </w:rPr>
              <w:t>debts potentially, but not actually, affected by income apportionment</w:t>
            </w:r>
          </w:p>
          <w:p w14:paraId="69F2F189" w14:textId="7B0DF485" w:rsidR="00FF5EFA" w:rsidRPr="00433B10" w:rsidRDefault="00F205EB" w:rsidP="00FF5EFA">
            <w:pPr>
              <w:rPr>
                <w:b/>
                <w:bCs/>
              </w:rPr>
            </w:pPr>
            <w:r>
              <w:rPr>
                <w:b/>
                <w:bCs/>
              </w:rPr>
              <w:t>(likely around 37% of potentially affected debts)</w:t>
            </w:r>
            <w:r w:rsidR="00FF5EFA">
              <w:rPr>
                <w:b/>
                <w:bCs/>
              </w:rPr>
              <w:t xml:space="preserve"> </w:t>
            </w:r>
          </w:p>
          <w:p w14:paraId="2828F4E8" w14:textId="77777777" w:rsidR="00FF5EFA" w:rsidRPr="00511C2B" w:rsidRDefault="00FF5EFA" w:rsidP="00FF5EFA">
            <w:pPr>
              <w:rPr>
                <w:b/>
                <w:bCs/>
              </w:rPr>
            </w:pPr>
          </w:p>
        </w:tc>
        <w:tc>
          <w:tcPr>
            <w:tcW w:w="95" w:type="pct"/>
            <w:shd w:val="clear" w:color="auto" w:fill="FFC000"/>
            <w:vAlign w:val="center"/>
          </w:tcPr>
          <w:p w14:paraId="58CE3CB2" w14:textId="792BF08C" w:rsidR="00FF5EFA" w:rsidRPr="00D93763" w:rsidRDefault="00497580" w:rsidP="00ED32E0">
            <w:pPr>
              <w:jc w:val="center"/>
              <w:rPr>
                <w:b/>
                <w:bCs/>
                <w:sz w:val="20"/>
                <w:szCs w:val="20"/>
              </w:rPr>
            </w:pPr>
            <w:r w:rsidRPr="00D93763">
              <w:rPr>
                <w:b/>
                <w:bCs/>
                <w:sz w:val="20"/>
                <w:szCs w:val="20"/>
              </w:rPr>
              <w:t>-1</w:t>
            </w:r>
          </w:p>
        </w:tc>
        <w:tc>
          <w:tcPr>
            <w:tcW w:w="95" w:type="pct"/>
            <w:shd w:val="clear" w:color="auto" w:fill="92D050"/>
            <w:vAlign w:val="center"/>
          </w:tcPr>
          <w:p w14:paraId="46481D7B" w14:textId="25B832B5" w:rsidR="00FF5EFA" w:rsidRPr="00D93763" w:rsidRDefault="008326D6" w:rsidP="00ED32E0">
            <w:pPr>
              <w:jc w:val="center"/>
              <w:rPr>
                <w:b/>
                <w:bCs/>
                <w:sz w:val="20"/>
                <w:szCs w:val="20"/>
              </w:rPr>
            </w:pPr>
            <w:r w:rsidRPr="00D93763">
              <w:rPr>
                <w:b/>
                <w:bCs/>
                <w:sz w:val="20"/>
                <w:szCs w:val="20"/>
              </w:rPr>
              <w:t>1</w:t>
            </w:r>
          </w:p>
        </w:tc>
        <w:tc>
          <w:tcPr>
            <w:tcW w:w="95" w:type="pct"/>
            <w:shd w:val="clear" w:color="auto" w:fill="FF0000"/>
            <w:vAlign w:val="center"/>
          </w:tcPr>
          <w:p w14:paraId="579FD02C" w14:textId="267E095F" w:rsidR="00FF5EFA" w:rsidRPr="00D93763" w:rsidRDefault="008326D6" w:rsidP="00ED32E0">
            <w:pPr>
              <w:jc w:val="center"/>
              <w:rPr>
                <w:sz w:val="20"/>
                <w:szCs w:val="20"/>
              </w:rPr>
            </w:pPr>
            <w:r w:rsidRPr="00D93763">
              <w:rPr>
                <w:b/>
                <w:bCs/>
                <w:sz w:val="20"/>
                <w:szCs w:val="20"/>
              </w:rPr>
              <w:t>-2</w:t>
            </w:r>
          </w:p>
        </w:tc>
        <w:tc>
          <w:tcPr>
            <w:tcW w:w="95" w:type="pct"/>
            <w:shd w:val="clear" w:color="auto" w:fill="92D050"/>
            <w:vAlign w:val="center"/>
          </w:tcPr>
          <w:p w14:paraId="290215AE" w14:textId="4C3A3D27" w:rsidR="00FF5EFA" w:rsidRPr="00D93763" w:rsidRDefault="008326D6" w:rsidP="00ED32E0">
            <w:pPr>
              <w:jc w:val="center"/>
              <w:rPr>
                <w:sz w:val="20"/>
                <w:szCs w:val="20"/>
              </w:rPr>
            </w:pPr>
            <w:r w:rsidRPr="00D93763">
              <w:rPr>
                <w:b/>
                <w:bCs/>
                <w:sz w:val="20"/>
                <w:szCs w:val="20"/>
              </w:rPr>
              <w:t>1</w:t>
            </w:r>
          </w:p>
        </w:tc>
        <w:tc>
          <w:tcPr>
            <w:tcW w:w="95" w:type="pct"/>
            <w:shd w:val="clear" w:color="auto" w:fill="92D050"/>
            <w:vAlign w:val="center"/>
          </w:tcPr>
          <w:p w14:paraId="32D809C1" w14:textId="1B686093" w:rsidR="00FF5EFA" w:rsidRPr="00D93763" w:rsidRDefault="008326D6" w:rsidP="004251ED">
            <w:pPr>
              <w:jc w:val="center"/>
              <w:rPr>
                <w:b/>
                <w:bCs/>
                <w:sz w:val="20"/>
                <w:szCs w:val="20"/>
              </w:rPr>
            </w:pPr>
            <w:r w:rsidRPr="00D93763">
              <w:rPr>
                <w:b/>
                <w:bCs/>
                <w:sz w:val="20"/>
                <w:szCs w:val="20"/>
              </w:rPr>
              <w:t>1</w:t>
            </w:r>
          </w:p>
        </w:tc>
        <w:tc>
          <w:tcPr>
            <w:tcW w:w="95" w:type="pct"/>
            <w:shd w:val="clear" w:color="auto" w:fill="92D050"/>
            <w:vAlign w:val="center"/>
          </w:tcPr>
          <w:p w14:paraId="38D84155" w14:textId="01D32030" w:rsidR="00FF5EFA" w:rsidRPr="00D93763" w:rsidRDefault="008326D6" w:rsidP="004251ED">
            <w:pPr>
              <w:jc w:val="center"/>
              <w:rPr>
                <w:b/>
                <w:bCs/>
                <w:sz w:val="20"/>
                <w:szCs w:val="20"/>
              </w:rPr>
            </w:pPr>
            <w:r w:rsidRPr="00D93763">
              <w:rPr>
                <w:b/>
                <w:bCs/>
                <w:sz w:val="20"/>
                <w:szCs w:val="20"/>
              </w:rPr>
              <w:t>1</w:t>
            </w:r>
          </w:p>
        </w:tc>
        <w:tc>
          <w:tcPr>
            <w:tcW w:w="676" w:type="pct"/>
          </w:tcPr>
          <w:p w14:paraId="7886ADDF" w14:textId="7148F17C" w:rsidR="00FF5EFA" w:rsidRDefault="00FF5EFA" w:rsidP="00FF5EFA">
            <w:pPr>
              <w:rPr>
                <w:b/>
                <w:bCs/>
                <w:sz w:val="18"/>
                <w:szCs w:val="18"/>
              </w:rPr>
            </w:pPr>
            <w:r w:rsidRPr="004251ED">
              <w:rPr>
                <w:b/>
                <w:bCs/>
                <w:sz w:val="18"/>
                <w:szCs w:val="18"/>
              </w:rPr>
              <w:t xml:space="preserve">Fairness (- </w:t>
            </w:r>
            <w:r w:rsidR="00265156" w:rsidRPr="004251ED">
              <w:rPr>
                <w:b/>
                <w:bCs/>
                <w:sz w:val="18"/>
                <w:szCs w:val="18"/>
              </w:rPr>
              <w:t>2</w:t>
            </w:r>
            <w:r w:rsidRPr="004251ED">
              <w:rPr>
                <w:b/>
                <w:bCs/>
                <w:sz w:val="18"/>
                <w:szCs w:val="18"/>
              </w:rPr>
              <w:t>)</w:t>
            </w:r>
          </w:p>
          <w:p w14:paraId="0D4C6B68" w14:textId="3CBB12CB" w:rsidR="00A77083" w:rsidRDefault="009B4956" w:rsidP="00FF5EFA">
            <w:pPr>
              <w:rPr>
                <w:sz w:val="18"/>
                <w:szCs w:val="18"/>
              </w:rPr>
            </w:pPr>
            <w:r>
              <w:rPr>
                <w:sz w:val="18"/>
                <w:szCs w:val="18"/>
              </w:rPr>
              <w:t xml:space="preserve">Under the status quo, the impacts on this cohort are the same as those identified </w:t>
            </w:r>
            <w:r w:rsidR="00627F78">
              <w:rPr>
                <w:sz w:val="18"/>
                <w:szCs w:val="18"/>
              </w:rPr>
              <w:t>for those with actually affected debts</w:t>
            </w:r>
            <w:r w:rsidR="00D546F5">
              <w:rPr>
                <w:sz w:val="18"/>
                <w:szCs w:val="18"/>
              </w:rPr>
              <w:t xml:space="preserve"> (above)</w:t>
            </w:r>
            <w:r w:rsidR="00627F78">
              <w:rPr>
                <w:sz w:val="18"/>
                <w:szCs w:val="18"/>
              </w:rPr>
              <w:t xml:space="preserve">. </w:t>
            </w:r>
            <w:r w:rsidR="00264AA0">
              <w:rPr>
                <w:sz w:val="18"/>
                <w:szCs w:val="18"/>
              </w:rPr>
              <w:t>People will not know if their debt is or isn’t actually affected by income apportionment.</w:t>
            </w:r>
          </w:p>
          <w:p w14:paraId="7BCFAA16" w14:textId="68F15734" w:rsidR="00FF5EFA" w:rsidRDefault="00FF5EFA" w:rsidP="00FF5EFA">
            <w:pPr>
              <w:rPr>
                <w:b/>
                <w:bCs/>
                <w:sz w:val="18"/>
                <w:szCs w:val="18"/>
              </w:rPr>
            </w:pPr>
            <w:r w:rsidRPr="003470B0">
              <w:rPr>
                <w:b/>
                <w:bCs/>
                <w:sz w:val="18"/>
                <w:szCs w:val="18"/>
              </w:rPr>
              <w:t xml:space="preserve">Timeliness </w:t>
            </w:r>
            <w:r>
              <w:rPr>
                <w:b/>
                <w:bCs/>
                <w:sz w:val="18"/>
                <w:szCs w:val="18"/>
              </w:rPr>
              <w:t>(</w:t>
            </w:r>
            <w:r w:rsidR="00BE4BC7">
              <w:rPr>
                <w:b/>
                <w:bCs/>
                <w:sz w:val="18"/>
                <w:szCs w:val="18"/>
              </w:rPr>
              <w:t>0</w:t>
            </w:r>
            <w:r>
              <w:rPr>
                <w:b/>
                <w:bCs/>
                <w:sz w:val="18"/>
                <w:szCs w:val="18"/>
              </w:rPr>
              <w:t>)</w:t>
            </w:r>
          </w:p>
          <w:p w14:paraId="7968A995" w14:textId="6462D38A" w:rsidR="00D354DD" w:rsidRDefault="00160C7E" w:rsidP="00FF5EFA">
            <w:pPr>
              <w:rPr>
                <w:b/>
                <w:bCs/>
                <w:sz w:val="18"/>
                <w:szCs w:val="18"/>
              </w:rPr>
            </w:pPr>
            <w:r>
              <w:rPr>
                <w:sz w:val="18"/>
                <w:szCs w:val="18"/>
              </w:rPr>
              <w:t xml:space="preserve">As above, this </w:t>
            </w:r>
            <w:r w:rsidR="00D354DD">
              <w:rPr>
                <w:sz w:val="18"/>
                <w:szCs w:val="18"/>
              </w:rPr>
              <w:t>option is timely as it is the current state, however it also</w:t>
            </w:r>
            <w:r w:rsidR="00BF6BE6">
              <w:rPr>
                <w:sz w:val="18"/>
                <w:szCs w:val="18"/>
              </w:rPr>
              <w:t xml:space="preserve"> perpetuates uncertainty for an indeterminate length of time.</w:t>
            </w:r>
          </w:p>
          <w:p w14:paraId="53106C2F" w14:textId="7FA4447D" w:rsidR="00FF5EFA" w:rsidRDefault="00FF5EFA" w:rsidP="00FF5EFA">
            <w:pPr>
              <w:rPr>
                <w:sz w:val="18"/>
                <w:szCs w:val="18"/>
              </w:rPr>
            </w:pPr>
            <w:r>
              <w:rPr>
                <w:b/>
                <w:bCs/>
                <w:sz w:val="18"/>
                <w:szCs w:val="18"/>
              </w:rPr>
              <w:t>Overall (-</w:t>
            </w:r>
            <w:r w:rsidR="00313E27">
              <w:rPr>
                <w:b/>
                <w:bCs/>
                <w:sz w:val="18"/>
                <w:szCs w:val="18"/>
              </w:rPr>
              <w:t>1</w:t>
            </w:r>
            <w:r>
              <w:rPr>
                <w:b/>
                <w:bCs/>
                <w:sz w:val="18"/>
                <w:szCs w:val="18"/>
              </w:rPr>
              <w:t>)</w:t>
            </w:r>
            <w:r>
              <w:rPr>
                <w:sz w:val="18"/>
                <w:szCs w:val="18"/>
              </w:rPr>
              <w:t xml:space="preserve"> </w:t>
            </w:r>
          </w:p>
          <w:p w14:paraId="69790C53" w14:textId="5BE46100" w:rsidR="00FF5EFA" w:rsidRPr="00FF6456" w:rsidRDefault="00FF5EFA" w:rsidP="00FF5EFA">
            <w:pPr>
              <w:rPr>
                <w:sz w:val="18"/>
                <w:szCs w:val="18"/>
              </w:rPr>
            </w:pPr>
            <w:r w:rsidRPr="00885A7A">
              <w:rPr>
                <w:sz w:val="18"/>
                <w:szCs w:val="18"/>
              </w:rPr>
              <w:t xml:space="preserve">Any timeliness </w:t>
            </w:r>
            <w:r>
              <w:rPr>
                <w:sz w:val="18"/>
                <w:szCs w:val="18"/>
              </w:rPr>
              <w:t>benefits are outweighed by the lack of certainty for this cohort.</w:t>
            </w:r>
          </w:p>
        </w:tc>
        <w:tc>
          <w:tcPr>
            <w:tcW w:w="676" w:type="pct"/>
          </w:tcPr>
          <w:p w14:paraId="4A9315FA" w14:textId="77777777" w:rsidR="00FF5EFA" w:rsidRDefault="00FF5EFA" w:rsidP="00FF5EFA">
            <w:pPr>
              <w:rPr>
                <w:b/>
                <w:bCs/>
                <w:sz w:val="18"/>
                <w:szCs w:val="18"/>
              </w:rPr>
            </w:pPr>
            <w:r w:rsidRPr="00300641">
              <w:rPr>
                <w:b/>
                <w:bCs/>
                <w:sz w:val="18"/>
                <w:szCs w:val="18"/>
              </w:rPr>
              <w:t>Fairness</w:t>
            </w:r>
            <w:r>
              <w:rPr>
                <w:b/>
                <w:bCs/>
                <w:sz w:val="18"/>
                <w:szCs w:val="18"/>
              </w:rPr>
              <w:t xml:space="preserve"> (+3)</w:t>
            </w:r>
          </w:p>
          <w:p w14:paraId="515CD28C" w14:textId="30E6F50D" w:rsidR="00FF5EFA" w:rsidRPr="00FF6456" w:rsidRDefault="00EF595D" w:rsidP="00AD0D0E">
            <w:pPr>
              <w:rPr>
                <w:sz w:val="18"/>
                <w:szCs w:val="18"/>
              </w:rPr>
            </w:pPr>
            <w:r>
              <w:rPr>
                <w:sz w:val="18"/>
                <w:szCs w:val="18"/>
              </w:rPr>
              <w:t>T</w:t>
            </w:r>
            <w:r w:rsidR="00AD0D0E">
              <w:rPr>
                <w:sz w:val="18"/>
                <w:szCs w:val="18"/>
              </w:rPr>
              <w:t>he impacts</w:t>
            </w:r>
            <w:r>
              <w:rPr>
                <w:sz w:val="18"/>
                <w:szCs w:val="18"/>
              </w:rPr>
              <w:t xml:space="preserve"> of waiving all potentially affected debts</w:t>
            </w:r>
            <w:r w:rsidR="00AD0D0E">
              <w:rPr>
                <w:sz w:val="18"/>
                <w:szCs w:val="18"/>
              </w:rPr>
              <w:t xml:space="preserve"> on this cohort are the same as those identified for those with actually affected debts (above). </w:t>
            </w:r>
          </w:p>
          <w:p w14:paraId="66EE5911" w14:textId="4EE1DDD1" w:rsidR="00FF5EFA" w:rsidRDefault="00FF5EFA" w:rsidP="00FF5EFA">
            <w:pPr>
              <w:rPr>
                <w:b/>
                <w:bCs/>
                <w:sz w:val="18"/>
                <w:szCs w:val="18"/>
              </w:rPr>
            </w:pPr>
            <w:r w:rsidRPr="00300641">
              <w:rPr>
                <w:b/>
                <w:bCs/>
                <w:sz w:val="18"/>
                <w:szCs w:val="18"/>
              </w:rPr>
              <w:t xml:space="preserve">Timeliness </w:t>
            </w:r>
            <w:r>
              <w:rPr>
                <w:b/>
                <w:bCs/>
                <w:sz w:val="18"/>
                <w:szCs w:val="18"/>
              </w:rPr>
              <w:t>(-2)</w:t>
            </w:r>
          </w:p>
          <w:p w14:paraId="6C4F74DF" w14:textId="16B877AC" w:rsidR="00EF595D" w:rsidRDefault="00EF595D" w:rsidP="00FF5EFA">
            <w:pPr>
              <w:rPr>
                <w:sz w:val="18"/>
                <w:szCs w:val="18"/>
              </w:rPr>
            </w:pPr>
            <w:r>
              <w:rPr>
                <w:sz w:val="18"/>
                <w:szCs w:val="18"/>
              </w:rPr>
              <w:t xml:space="preserve">As above, </w:t>
            </w:r>
            <w:r w:rsidR="00C56954">
              <w:rPr>
                <w:sz w:val="18"/>
                <w:szCs w:val="18"/>
              </w:rPr>
              <w:t xml:space="preserve">this </w:t>
            </w:r>
            <w:r>
              <w:rPr>
                <w:sz w:val="18"/>
                <w:szCs w:val="18"/>
              </w:rPr>
              <w:t>option will take significant time to implement due to the increased administrative burden to process waivers and refunds for 5.5 million debts.</w:t>
            </w:r>
          </w:p>
          <w:p w14:paraId="48947B91" w14:textId="4999AB8A" w:rsidR="00FF5EFA" w:rsidRDefault="00FF5EFA" w:rsidP="00FF5EFA">
            <w:pPr>
              <w:rPr>
                <w:sz w:val="18"/>
                <w:szCs w:val="18"/>
              </w:rPr>
            </w:pPr>
            <w:r>
              <w:rPr>
                <w:b/>
                <w:bCs/>
                <w:sz w:val="18"/>
                <w:szCs w:val="18"/>
              </w:rPr>
              <w:t>Overall (</w:t>
            </w:r>
            <w:r w:rsidR="00DD1B2E">
              <w:rPr>
                <w:b/>
                <w:bCs/>
                <w:sz w:val="18"/>
                <w:szCs w:val="18"/>
              </w:rPr>
              <w:t>+</w:t>
            </w:r>
            <w:r>
              <w:rPr>
                <w:b/>
                <w:bCs/>
                <w:sz w:val="18"/>
                <w:szCs w:val="18"/>
              </w:rPr>
              <w:t>1)</w:t>
            </w:r>
            <w:r>
              <w:rPr>
                <w:sz w:val="18"/>
                <w:szCs w:val="18"/>
              </w:rPr>
              <w:t xml:space="preserve"> </w:t>
            </w:r>
          </w:p>
          <w:p w14:paraId="22B66A91" w14:textId="11E9B532" w:rsidR="00FF5EFA" w:rsidRPr="00FF6456" w:rsidRDefault="00C56954" w:rsidP="00FF5EFA">
            <w:pPr>
              <w:rPr>
                <w:sz w:val="18"/>
                <w:szCs w:val="18"/>
              </w:rPr>
            </w:pPr>
            <w:r>
              <w:rPr>
                <w:sz w:val="18"/>
                <w:szCs w:val="18"/>
              </w:rPr>
              <w:t xml:space="preserve">While this option may be considered fair by this cohort, implementation of this option will be subject to long delays due to the resourcing </w:t>
            </w:r>
            <w:r w:rsidR="6813DE99" w:rsidRPr="44F30608">
              <w:rPr>
                <w:sz w:val="18"/>
                <w:szCs w:val="18"/>
              </w:rPr>
              <w:t>require</w:t>
            </w:r>
            <w:r w:rsidR="57DDAA58" w:rsidRPr="44F30608">
              <w:rPr>
                <w:sz w:val="18"/>
                <w:szCs w:val="18"/>
              </w:rPr>
              <w:t>d</w:t>
            </w:r>
            <w:r>
              <w:rPr>
                <w:sz w:val="18"/>
                <w:szCs w:val="18"/>
              </w:rPr>
              <w:t xml:space="preserve"> to waive all debts. </w:t>
            </w:r>
          </w:p>
        </w:tc>
        <w:tc>
          <w:tcPr>
            <w:tcW w:w="676" w:type="pct"/>
          </w:tcPr>
          <w:p w14:paraId="084CBB07" w14:textId="7EB77BC3" w:rsidR="00FF5EFA" w:rsidRPr="002C237E" w:rsidRDefault="00FF5EFA" w:rsidP="00FF5EFA">
            <w:pPr>
              <w:rPr>
                <w:b/>
                <w:bCs/>
                <w:sz w:val="18"/>
                <w:szCs w:val="18"/>
              </w:rPr>
            </w:pPr>
            <w:r w:rsidRPr="00300641">
              <w:rPr>
                <w:b/>
                <w:bCs/>
                <w:sz w:val="18"/>
                <w:szCs w:val="18"/>
              </w:rPr>
              <w:t>Fairness</w:t>
            </w:r>
            <w:r>
              <w:rPr>
                <w:b/>
                <w:bCs/>
                <w:sz w:val="18"/>
                <w:szCs w:val="18"/>
              </w:rPr>
              <w:t xml:space="preserve"> (- 1)</w:t>
            </w:r>
          </w:p>
          <w:p w14:paraId="41F8A9F1" w14:textId="52B85AC9" w:rsidR="00FF5EFA" w:rsidRPr="00FF6456" w:rsidRDefault="00FF5EFA" w:rsidP="00FF5EFA">
            <w:pPr>
              <w:rPr>
                <w:sz w:val="18"/>
                <w:szCs w:val="18"/>
              </w:rPr>
            </w:pPr>
            <w:r w:rsidRPr="00FF6456">
              <w:rPr>
                <w:sz w:val="18"/>
                <w:szCs w:val="18"/>
              </w:rPr>
              <w:t xml:space="preserve">This cohort would </w:t>
            </w:r>
            <w:r w:rsidR="00935304">
              <w:rPr>
                <w:sz w:val="18"/>
                <w:szCs w:val="18"/>
              </w:rPr>
              <w:t xml:space="preserve">ultimately </w:t>
            </w:r>
            <w:r w:rsidRPr="00FF6456">
              <w:rPr>
                <w:sz w:val="18"/>
                <w:szCs w:val="18"/>
              </w:rPr>
              <w:t>not receive a refund as their debts are unaffected by income apportionment</w:t>
            </w:r>
            <w:r w:rsidR="00935304">
              <w:rPr>
                <w:sz w:val="18"/>
                <w:szCs w:val="18"/>
              </w:rPr>
              <w:t>, however</w:t>
            </w:r>
            <w:r w:rsidR="00684015">
              <w:rPr>
                <w:sz w:val="18"/>
                <w:szCs w:val="18"/>
              </w:rPr>
              <w:t xml:space="preserve"> this option brings uncertainty for p</w:t>
            </w:r>
            <w:r w:rsidR="0096707A">
              <w:rPr>
                <w:sz w:val="18"/>
                <w:szCs w:val="18"/>
              </w:rPr>
              <w:t xml:space="preserve">eople unsure if their debt is or isn’t affected. Some people </w:t>
            </w:r>
            <w:r w:rsidR="0096707A" w:rsidRPr="00FF6456">
              <w:rPr>
                <w:sz w:val="18"/>
                <w:szCs w:val="18"/>
              </w:rPr>
              <w:t xml:space="preserve">may have to </w:t>
            </w:r>
            <w:r w:rsidR="0096707A">
              <w:rPr>
                <w:sz w:val="18"/>
                <w:szCs w:val="18"/>
              </w:rPr>
              <w:t xml:space="preserve">engage with government to </w:t>
            </w:r>
            <w:r w:rsidR="0096707A" w:rsidRPr="00FF6456">
              <w:rPr>
                <w:sz w:val="18"/>
                <w:szCs w:val="18"/>
              </w:rPr>
              <w:t>provide information to support debt assessment</w:t>
            </w:r>
            <w:r w:rsidR="0096707A">
              <w:rPr>
                <w:sz w:val="18"/>
                <w:szCs w:val="18"/>
              </w:rPr>
              <w:t>.</w:t>
            </w:r>
          </w:p>
          <w:p w14:paraId="1C2312F6" w14:textId="074F4B15" w:rsidR="00FF5EFA" w:rsidRPr="00FF6456" w:rsidRDefault="00FF5EFA" w:rsidP="00FF5EFA">
            <w:pPr>
              <w:rPr>
                <w:sz w:val="18"/>
                <w:szCs w:val="18"/>
              </w:rPr>
            </w:pPr>
            <w:r w:rsidRPr="00FF6456">
              <w:rPr>
                <w:sz w:val="18"/>
                <w:szCs w:val="18"/>
              </w:rPr>
              <w:t>Th</w:t>
            </w:r>
            <w:r w:rsidR="0096707A">
              <w:rPr>
                <w:sz w:val="18"/>
                <w:szCs w:val="18"/>
              </w:rPr>
              <w:t>ose affected by the debt pauses (</w:t>
            </w:r>
            <w:r w:rsidR="0096707A" w:rsidRPr="00FF6456">
              <w:rPr>
                <w:sz w:val="18"/>
                <w:szCs w:val="18"/>
              </w:rPr>
              <w:t xml:space="preserve">but </w:t>
            </w:r>
            <w:r w:rsidR="0096707A">
              <w:rPr>
                <w:sz w:val="18"/>
                <w:szCs w:val="18"/>
              </w:rPr>
              <w:t>whose</w:t>
            </w:r>
            <w:r w:rsidR="0096707A" w:rsidRPr="00FF6456">
              <w:rPr>
                <w:sz w:val="18"/>
                <w:szCs w:val="18"/>
              </w:rPr>
              <w:t xml:space="preserve"> debt was subsequently found to be unaffected</w:t>
            </w:r>
            <w:r w:rsidR="000F3B6B">
              <w:rPr>
                <w:sz w:val="18"/>
                <w:szCs w:val="18"/>
              </w:rPr>
              <w:t xml:space="preserve">) </w:t>
            </w:r>
            <w:r w:rsidR="0096707A">
              <w:rPr>
                <w:sz w:val="18"/>
                <w:szCs w:val="18"/>
              </w:rPr>
              <w:t>may</w:t>
            </w:r>
            <w:r w:rsidRPr="00FF6456">
              <w:rPr>
                <w:sz w:val="18"/>
                <w:szCs w:val="18"/>
              </w:rPr>
              <w:t xml:space="preserve"> object to lack of any compensation</w:t>
            </w:r>
          </w:p>
          <w:p w14:paraId="7C2FBD08" w14:textId="24021EA2" w:rsidR="00FF5EFA" w:rsidRDefault="00FF5EFA" w:rsidP="00FF5EFA">
            <w:pPr>
              <w:rPr>
                <w:b/>
                <w:bCs/>
                <w:sz w:val="18"/>
                <w:szCs w:val="18"/>
              </w:rPr>
            </w:pPr>
            <w:r w:rsidRPr="00300641">
              <w:rPr>
                <w:b/>
                <w:bCs/>
                <w:sz w:val="18"/>
                <w:szCs w:val="18"/>
              </w:rPr>
              <w:t xml:space="preserve">Timeliness </w:t>
            </w:r>
            <w:r>
              <w:rPr>
                <w:b/>
                <w:bCs/>
                <w:sz w:val="18"/>
                <w:szCs w:val="18"/>
              </w:rPr>
              <w:t>(- 3)</w:t>
            </w:r>
          </w:p>
          <w:p w14:paraId="33E22F82" w14:textId="797D3E61" w:rsidR="00FF5EFA" w:rsidRDefault="00FF5EFA" w:rsidP="00FF5EFA">
            <w:pPr>
              <w:rPr>
                <w:sz w:val="18"/>
                <w:szCs w:val="18"/>
              </w:rPr>
            </w:pPr>
            <w:r>
              <w:rPr>
                <w:sz w:val="18"/>
                <w:szCs w:val="18"/>
              </w:rPr>
              <w:t>This option would take many years to implement, with recalculations being time consuming and complex.</w:t>
            </w:r>
            <w:r w:rsidR="000F3B6B">
              <w:rPr>
                <w:sz w:val="18"/>
                <w:szCs w:val="18"/>
              </w:rPr>
              <w:t xml:space="preserve"> It is an </w:t>
            </w:r>
            <w:r w:rsidR="000F667A">
              <w:rPr>
                <w:sz w:val="18"/>
                <w:szCs w:val="18"/>
              </w:rPr>
              <w:t xml:space="preserve">equally untimely option for people, whether </w:t>
            </w:r>
            <w:r w:rsidR="567FB366" w:rsidRPr="68D0E6C1">
              <w:rPr>
                <w:sz w:val="18"/>
                <w:szCs w:val="18"/>
              </w:rPr>
              <w:t>their</w:t>
            </w:r>
            <w:r w:rsidR="000F667A">
              <w:rPr>
                <w:sz w:val="18"/>
                <w:szCs w:val="18"/>
              </w:rPr>
              <w:t xml:space="preserve"> </w:t>
            </w:r>
            <w:r w:rsidR="053BE8AA" w:rsidRPr="43402841">
              <w:rPr>
                <w:sz w:val="18"/>
                <w:szCs w:val="18"/>
              </w:rPr>
              <w:t xml:space="preserve">debt </w:t>
            </w:r>
            <w:r w:rsidR="528AC0CC" w:rsidRPr="43402841">
              <w:rPr>
                <w:sz w:val="18"/>
                <w:szCs w:val="18"/>
              </w:rPr>
              <w:t>is</w:t>
            </w:r>
            <w:r w:rsidR="000F667A">
              <w:rPr>
                <w:sz w:val="18"/>
                <w:szCs w:val="18"/>
              </w:rPr>
              <w:t xml:space="preserve"> or isn’t found to be actually affected.</w:t>
            </w:r>
          </w:p>
          <w:p w14:paraId="2B86D18A" w14:textId="14EF3823" w:rsidR="008D3358" w:rsidRDefault="00FF5EFA" w:rsidP="008D3358">
            <w:pPr>
              <w:rPr>
                <w:sz w:val="18"/>
                <w:szCs w:val="18"/>
              </w:rPr>
            </w:pPr>
            <w:r>
              <w:rPr>
                <w:b/>
                <w:bCs/>
                <w:sz w:val="18"/>
                <w:szCs w:val="18"/>
              </w:rPr>
              <w:t>Overall (-</w:t>
            </w:r>
            <w:r w:rsidR="00597C63">
              <w:rPr>
                <w:b/>
                <w:bCs/>
                <w:sz w:val="18"/>
                <w:szCs w:val="18"/>
              </w:rPr>
              <w:t>2</w:t>
            </w:r>
            <w:r>
              <w:rPr>
                <w:b/>
                <w:bCs/>
                <w:sz w:val="18"/>
                <w:szCs w:val="18"/>
              </w:rPr>
              <w:t>)</w:t>
            </w:r>
            <w:r>
              <w:rPr>
                <w:sz w:val="18"/>
                <w:szCs w:val="18"/>
              </w:rPr>
              <w:t xml:space="preserve"> </w:t>
            </w:r>
          </w:p>
          <w:p w14:paraId="63E0A36C" w14:textId="58251D40" w:rsidR="008D3358" w:rsidRDefault="008D3358" w:rsidP="008D3358">
            <w:pPr>
              <w:rPr>
                <w:sz w:val="18"/>
                <w:szCs w:val="18"/>
              </w:rPr>
            </w:pPr>
            <w:r>
              <w:rPr>
                <w:sz w:val="18"/>
                <w:szCs w:val="18"/>
              </w:rPr>
              <w:t>This option will take many years to implement and could cause protracted uncertainty and possible distress.</w:t>
            </w:r>
          </w:p>
          <w:p w14:paraId="2A05DDEB" w14:textId="384950C9" w:rsidR="00FF5EFA" w:rsidRPr="00FF6456" w:rsidRDefault="00FF5EFA" w:rsidP="008D3358">
            <w:pPr>
              <w:rPr>
                <w:sz w:val="18"/>
                <w:szCs w:val="18"/>
              </w:rPr>
            </w:pPr>
          </w:p>
        </w:tc>
        <w:tc>
          <w:tcPr>
            <w:tcW w:w="676" w:type="pct"/>
          </w:tcPr>
          <w:p w14:paraId="5BF88137" w14:textId="522CB975" w:rsidR="00FF5EFA" w:rsidRPr="002C237E" w:rsidRDefault="00FF5EFA" w:rsidP="00FF5EFA">
            <w:pPr>
              <w:rPr>
                <w:b/>
                <w:bCs/>
                <w:sz w:val="18"/>
                <w:szCs w:val="18"/>
              </w:rPr>
            </w:pPr>
            <w:r w:rsidRPr="00300641">
              <w:rPr>
                <w:b/>
                <w:bCs/>
                <w:sz w:val="18"/>
                <w:szCs w:val="18"/>
              </w:rPr>
              <w:t>Fairness</w:t>
            </w:r>
            <w:r>
              <w:rPr>
                <w:b/>
                <w:bCs/>
                <w:sz w:val="18"/>
                <w:szCs w:val="18"/>
              </w:rPr>
              <w:t xml:space="preserve"> (0)</w:t>
            </w:r>
          </w:p>
          <w:p w14:paraId="19CEA853" w14:textId="7B6D0A06" w:rsidR="00D75C3C" w:rsidRDefault="00E00D14" w:rsidP="00FF5EFA">
            <w:pPr>
              <w:rPr>
                <w:sz w:val="18"/>
                <w:szCs w:val="18"/>
              </w:rPr>
            </w:pPr>
            <w:r>
              <w:rPr>
                <w:sz w:val="18"/>
                <w:szCs w:val="18"/>
              </w:rPr>
              <w:t>For this cohort, income apportionment has not actually affected th</w:t>
            </w:r>
            <w:r w:rsidR="00A668FC">
              <w:rPr>
                <w:sz w:val="18"/>
                <w:szCs w:val="18"/>
              </w:rPr>
              <w:t>eir debt</w:t>
            </w:r>
            <w:r>
              <w:rPr>
                <w:sz w:val="18"/>
                <w:szCs w:val="18"/>
              </w:rPr>
              <w:t xml:space="preserve"> however this option still provides them certainty</w:t>
            </w:r>
            <w:r w:rsidR="00D75C3C">
              <w:rPr>
                <w:sz w:val="18"/>
                <w:szCs w:val="18"/>
              </w:rPr>
              <w:t>.</w:t>
            </w:r>
          </w:p>
          <w:p w14:paraId="7785CF24" w14:textId="5B5CAB2D" w:rsidR="00E22107" w:rsidRPr="00FF6456" w:rsidRDefault="00E22107" w:rsidP="00FF5EFA">
            <w:pPr>
              <w:rPr>
                <w:sz w:val="18"/>
                <w:szCs w:val="18"/>
              </w:rPr>
            </w:pPr>
            <w:r>
              <w:rPr>
                <w:sz w:val="18"/>
                <w:szCs w:val="18"/>
              </w:rPr>
              <w:t xml:space="preserve">Most people will not need to do anything, however those with debt activities paused will see it recommenced. </w:t>
            </w:r>
          </w:p>
          <w:p w14:paraId="46F0450D" w14:textId="0D1FC61A" w:rsidR="00FF5EFA" w:rsidRDefault="00FF5EFA" w:rsidP="00FF5EFA">
            <w:pPr>
              <w:rPr>
                <w:b/>
                <w:bCs/>
                <w:sz w:val="18"/>
                <w:szCs w:val="18"/>
              </w:rPr>
            </w:pPr>
            <w:r w:rsidRPr="00300641">
              <w:rPr>
                <w:b/>
                <w:bCs/>
                <w:sz w:val="18"/>
                <w:szCs w:val="18"/>
              </w:rPr>
              <w:t xml:space="preserve">Timeliness </w:t>
            </w:r>
            <w:r>
              <w:rPr>
                <w:b/>
                <w:bCs/>
                <w:sz w:val="18"/>
                <w:szCs w:val="18"/>
              </w:rPr>
              <w:t>(</w:t>
            </w:r>
            <w:r w:rsidR="00A93C7D">
              <w:rPr>
                <w:b/>
                <w:bCs/>
                <w:sz w:val="18"/>
                <w:szCs w:val="18"/>
              </w:rPr>
              <w:t>+1</w:t>
            </w:r>
            <w:r>
              <w:rPr>
                <w:b/>
                <w:bCs/>
                <w:sz w:val="18"/>
                <w:szCs w:val="18"/>
              </w:rPr>
              <w:t>)</w:t>
            </w:r>
          </w:p>
          <w:p w14:paraId="2A6950A2" w14:textId="66D33E34" w:rsidR="00FF5EFA" w:rsidRDefault="00635804" w:rsidP="00FF5EFA">
            <w:pPr>
              <w:rPr>
                <w:sz w:val="18"/>
                <w:szCs w:val="18"/>
              </w:rPr>
            </w:pPr>
            <w:r>
              <w:rPr>
                <w:sz w:val="18"/>
                <w:szCs w:val="18"/>
              </w:rPr>
              <w:t>T</w:t>
            </w:r>
            <w:r w:rsidR="00FF5EFA">
              <w:rPr>
                <w:sz w:val="18"/>
                <w:szCs w:val="18"/>
              </w:rPr>
              <w:t>his option would be timely and provide a way forward for individuals who have potential debts affected by income apportionment.</w:t>
            </w:r>
          </w:p>
          <w:p w14:paraId="77D65FCB" w14:textId="16FF8460" w:rsidR="00FF5EFA" w:rsidRDefault="00FF5EFA" w:rsidP="00FF5EFA">
            <w:pPr>
              <w:rPr>
                <w:sz w:val="18"/>
                <w:szCs w:val="18"/>
              </w:rPr>
            </w:pPr>
            <w:r>
              <w:rPr>
                <w:b/>
                <w:bCs/>
                <w:sz w:val="18"/>
                <w:szCs w:val="18"/>
              </w:rPr>
              <w:t>Overall (+</w:t>
            </w:r>
            <w:r w:rsidR="00FC6890">
              <w:rPr>
                <w:b/>
                <w:bCs/>
                <w:sz w:val="18"/>
                <w:szCs w:val="18"/>
              </w:rPr>
              <w:t>1</w:t>
            </w:r>
            <w:r>
              <w:rPr>
                <w:b/>
                <w:bCs/>
                <w:sz w:val="18"/>
                <w:szCs w:val="18"/>
              </w:rPr>
              <w:t>)</w:t>
            </w:r>
            <w:r>
              <w:rPr>
                <w:sz w:val="18"/>
                <w:szCs w:val="18"/>
              </w:rPr>
              <w:t xml:space="preserve"> </w:t>
            </w:r>
          </w:p>
          <w:p w14:paraId="69D49CC5" w14:textId="4D193AD6" w:rsidR="00FF5EFA" w:rsidRPr="00F72E49" w:rsidRDefault="00FF5EFA" w:rsidP="00FF5EFA">
            <w:pPr>
              <w:rPr>
                <w:sz w:val="18"/>
                <w:szCs w:val="18"/>
              </w:rPr>
            </w:pPr>
            <w:r w:rsidRPr="00F72E49">
              <w:rPr>
                <w:sz w:val="18"/>
                <w:szCs w:val="18"/>
              </w:rPr>
              <w:t>This rating is warranted given the cohort would have certainty around their debt</w:t>
            </w:r>
            <w:r>
              <w:rPr>
                <w:sz w:val="18"/>
                <w:szCs w:val="18"/>
              </w:rPr>
              <w:t xml:space="preserve"> and can be implemented in a timely way. </w:t>
            </w:r>
          </w:p>
          <w:p w14:paraId="6678AD53" w14:textId="4642CA27" w:rsidR="00FF5EFA" w:rsidRPr="00FF6456" w:rsidRDefault="00FF5EFA" w:rsidP="00FF5EFA">
            <w:pPr>
              <w:rPr>
                <w:sz w:val="18"/>
                <w:szCs w:val="18"/>
              </w:rPr>
            </w:pPr>
          </w:p>
        </w:tc>
        <w:tc>
          <w:tcPr>
            <w:tcW w:w="676" w:type="pct"/>
          </w:tcPr>
          <w:p w14:paraId="7D8DD7FC" w14:textId="638621CD" w:rsidR="00FF5EFA" w:rsidRPr="001B0A0C" w:rsidRDefault="00FF5EFA" w:rsidP="00FF5EFA">
            <w:pPr>
              <w:rPr>
                <w:b/>
                <w:bCs/>
                <w:sz w:val="18"/>
                <w:szCs w:val="18"/>
              </w:rPr>
            </w:pPr>
            <w:r w:rsidRPr="00300641">
              <w:rPr>
                <w:b/>
                <w:bCs/>
                <w:sz w:val="18"/>
                <w:szCs w:val="18"/>
              </w:rPr>
              <w:t>Fairness</w:t>
            </w:r>
            <w:r>
              <w:rPr>
                <w:b/>
                <w:bCs/>
                <w:sz w:val="18"/>
                <w:szCs w:val="18"/>
              </w:rPr>
              <w:t xml:space="preserve"> (</w:t>
            </w:r>
            <w:r w:rsidR="001D242E">
              <w:rPr>
                <w:b/>
                <w:bCs/>
                <w:sz w:val="18"/>
                <w:szCs w:val="18"/>
              </w:rPr>
              <w:t>0</w:t>
            </w:r>
            <w:r>
              <w:rPr>
                <w:b/>
                <w:bCs/>
                <w:sz w:val="18"/>
                <w:szCs w:val="18"/>
              </w:rPr>
              <w:t>)</w:t>
            </w:r>
          </w:p>
          <w:p w14:paraId="2F7918E7" w14:textId="77777777" w:rsidR="002F2C3B" w:rsidRDefault="002F2C3B" w:rsidP="002F2C3B">
            <w:pPr>
              <w:rPr>
                <w:sz w:val="18"/>
                <w:szCs w:val="18"/>
              </w:rPr>
            </w:pPr>
            <w:r>
              <w:rPr>
                <w:sz w:val="18"/>
                <w:szCs w:val="18"/>
              </w:rPr>
              <w:t xml:space="preserve">Along with the impacts of retrospective validation (identified for option 4), under this option, those affected by the debt pauses would receive a waiver of up to $200, which they may regard as fair, recognition of the impacts of these prolonged pauses. </w:t>
            </w:r>
          </w:p>
          <w:p w14:paraId="3BB09165" w14:textId="51064F98" w:rsidR="00FF5EFA" w:rsidRDefault="00A51AA9" w:rsidP="00FF5EFA">
            <w:pPr>
              <w:rPr>
                <w:sz w:val="18"/>
                <w:szCs w:val="18"/>
              </w:rPr>
            </w:pPr>
            <w:r>
              <w:rPr>
                <w:sz w:val="18"/>
                <w:szCs w:val="18"/>
              </w:rPr>
              <w:t>People in this broader cohort (with</w:t>
            </w:r>
            <w:r w:rsidR="00086B3A">
              <w:rPr>
                <w:sz w:val="18"/>
                <w:szCs w:val="18"/>
              </w:rPr>
              <w:t xml:space="preserve"> debts that are fully paid off)</w:t>
            </w:r>
            <w:r w:rsidR="00FF5EFA">
              <w:rPr>
                <w:sz w:val="18"/>
                <w:szCs w:val="18"/>
              </w:rPr>
              <w:t xml:space="preserve"> </w:t>
            </w:r>
            <w:r w:rsidR="005E3D30">
              <w:rPr>
                <w:sz w:val="18"/>
                <w:szCs w:val="18"/>
              </w:rPr>
              <w:t>are not actually affected by income apportionment</w:t>
            </w:r>
            <w:r w:rsidR="006C0667">
              <w:rPr>
                <w:sz w:val="18"/>
                <w:szCs w:val="18"/>
              </w:rPr>
              <w:t xml:space="preserve"> </w:t>
            </w:r>
            <w:r w:rsidR="003542A9">
              <w:rPr>
                <w:sz w:val="18"/>
                <w:szCs w:val="18"/>
              </w:rPr>
              <w:t xml:space="preserve">and would </w:t>
            </w:r>
            <w:r w:rsidR="00E33745">
              <w:rPr>
                <w:sz w:val="18"/>
                <w:szCs w:val="18"/>
              </w:rPr>
              <w:t>not have basis to expect a waiver.</w:t>
            </w:r>
            <w:r w:rsidR="00ED32E0">
              <w:rPr>
                <w:sz w:val="18"/>
                <w:szCs w:val="18"/>
              </w:rPr>
              <w:t xml:space="preserve"> However, </w:t>
            </w:r>
            <w:r w:rsidR="005829FD">
              <w:rPr>
                <w:sz w:val="18"/>
                <w:szCs w:val="18"/>
              </w:rPr>
              <w:t>some in this cohort</w:t>
            </w:r>
            <w:r w:rsidR="00ED32E0">
              <w:rPr>
                <w:sz w:val="18"/>
                <w:szCs w:val="18"/>
              </w:rPr>
              <w:t xml:space="preserve"> may feel</w:t>
            </w:r>
            <w:r w:rsidR="005829FD">
              <w:rPr>
                <w:sz w:val="18"/>
                <w:szCs w:val="18"/>
              </w:rPr>
              <w:t xml:space="preserve"> as though they have been penalised for paying off a debt, particularly if they had done so shortly before the income apportionment recovery pause was implemented, as this has resulted in them being </w:t>
            </w:r>
            <w:r w:rsidR="00904A33">
              <w:rPr>
                <w:sz w:val="18"/>
                <w:szCs w:val="18"/>
              </w:rPr>
              <w:t>in</w:t>
            </w:r>
            <w:r w:rsidR="005829FD">
              <w:rPr>
                <w:sz w:val="18"/>
                <w:szCs w:val="18"/>
              </w:rPr>
              <w:t xml:space="preserve">eligible for the partial waiver. </w:t>
            </w:r>
          </w:p>
          <w:p w14:paraId="035FB836" w14:textId="53A8CAAC" w:rsidR="00FF5EFA" w:rsidRDefault="00FF5EFA" w:rsidP="00FF5EFA">
            <w:pPr>
              <w:rPr>
                <w:b/>
                <w:bCs/>
                <w:sz w:val="18"/>
                <w:szCs w:val="18"/>
              </w:rPr>
            </w:pPr>
            <w:r w:rsidRPr="004923FC">
              <w:rPr>
                <w:b/>
                <w:bCs/>
                <w:sz w:val="18"/>
                <w:szCs w:val="18"/>
              </w:rPr>
              <w:t>Timeliness (</w:t>
            </w:r>
            <w:r w:rsidR="00A04059">
              <w:rPr>
                <w:b/>
                <w:bCs/>
                <w:sz w:val="18"/>
                <w:szCs w:val="18"/>
              </w:rPr>
              <w:t>+</w:t>
            </w:r>
            <w:r>
              <w:rPr>
                <w:b/>
                <w:bCs/>
                <w:sz w:val="18"/>
                <w:szCs w:val="18"/>
              </w:rPr>
              <w:t>1</w:t>
            </w:r>
            <w:r w:rsidRPr="004923FC">
              <w:rPr>
                <w:b/>
                <w:bCs/>
                <w:sz w:val="18"/>
                <w:szCs w:val="18"/>
              </w:rPr>
              <w:t>)</w:t>
            </w:r>
          </w:p>
          <w:p w14:paraId="605D2A72" w14:textId="7A2859F9" w:rsidR="00E33745" w:rsidRDefault="00D51E20" w:rsidP="00E33745">
            <w:pPr>
              <w:rPr>
                <w:sz w:val="18"/>
                <w:szCs w:val="18"/>
              </w:rPr>
            </w:pPr>
            <w:r>
              <w:rPr>
                <w:sz w:val="18"/>
                <w:szCs w:val="18"/>
              </w:rPr>
              <w:t>T</w:t>
            </w:r>
            <w:r w:rsidR="00E33745">
              <w:rPr>
                <w:sz w:val="18"/>
                <w:szCs w:val="18"/>
              </w:rPr>
              <w:t xml:space="preserve">his option would be timely and provide </w:t>
            </w:r>
            <w:r w:rsidR="00FD6C45">
              <w:rPr>
                <w:sz w:val="18"/>
                <w:szCs w:val="18"/>
              </w:rPr>
              <w:t>a resolution to this issue</w:t>
            </w:r>
            <w:r w:rsidR="00E33745">
              <w:rPr>
                <w:sz w:val="18"/>
                <w:szCs w:val="18"/>
              </w:rPr>
              <w:t>, and a waiver for the subset of this cohort who has been affected by the debt pauses.</w:t>
            </w:r>
          </w:p>
          <w:p w14:paraId="214F5AED" w14:textId="77777777" w:rsidR="00FF5EFA" w:rsidRDefault="00FF5EFA" w:rsidP="00FF5EFA">
            <w:pPr>
              <w:rPr>
                <w:b/>
                <w:bCs/>
                <w:sz w:val="18"/>
                <w:szCs w:val="18"/>
              </w:rPr>
            </w:pPr>
            <w:r w:rsidRPr="004923FC">
              <w:rPr>
                <w:b/>
                <w:bCs/>
                <w:sz w:val="18"/>
                <w:szCs w:val="18"/>
              </w:rPr>
              <w:t>Overall</w:t>
            </w:r>
            <w:r>
              <w:rPr>
                <w:b/>
                <w:bCs/>
                <w:sz w:val="18"/>
                <w:szCs w:val="18"/>
              </w:rPr>
              <w:t xml:space="preserve"> (+1)</w:t>
            </w:r>
          </w:p>
          <w:p w14:paraId="7C60013F" w14:textId="7910AAE7" w:rsidR="00FF5EFA" w:rsidRPr="008F200C" w:rsidRDefault="00FF5EFA" w:rsidP="00FF5EFA">
            <w:pPr>
              <w:rPr>
                <w:sz w:val="18"/>
                <w:szCs w:val="18"/>
              </w:rPr>
            </w:pPr>
            <w:r w:rsidRPr="008F200C">
              <w:rPr>
                <w:sz w:val="18"/>
                <w:szCs w:val="18"/>
              </w:rPr>
              <w:t xml:space="preserve">This rating is warranted given </w:t>
            </w:r>
            <w:r>
              <w:rPr>
                <w:sz w:val="18"/>
                <w:szCs w:val="18"/>
              </w:rPr>
              <w:t>those is this cohort would either receiver a partial waiver or be unaffected by income apportionment (not subject to pauses and debt not actually affected).</w:t>
            </w:r>
          </w:p>
          <w:p w14:paraId="0A1CD536" w14:textId="77777777" w:rsidR="00FF5EFA" w:rsidRDefault="00FF5EFA" w:rsidP="00FF5EFA">
            <w:pPr>
              <w:rPr>
                <w:sz w:val="18"/>
                <w:szCs w:val="18"/>
              </w:rPr>
            </w:pPr>
          </w:p>
          <w:p w14:paraId="727059DE" w14:textId="77777777" w:rsidR="00FF5EFA" w:rsidRPr="00300641" w:rsidRDefault="00FF5EFA" w:rsidP="00FF5EFA">
            <w:pPr>
              <w:rPr>
                <w:b/>
                <w:bCs/>
                <w:sz w:val="18"/>
                <w:szCs w:val="18"/>
              </w:rPr>
            </w:pPr>
          </w:p>
        </w:tc>
        <w:tc>
          <w:tcPr>
            <w:tcW w:w="671" w:type="pct"/>
          </w:tcPr>
          <w:p w14:paraId="78C7DC2C" w14:textId="77777777" w:rsidR="00FF5EFA" w:rsidRPr="008F200C" w:rsidRDefault="00FF5EFA" w:rsidP="00FF5EFA">
            <w:pPr>
              <w:rPr>
                <w:b/>
                <w:bCs/>
                <w:sz w:val="18"/>
                <w:szCs w:val="18"/>
              </w:rPr>
            </w:pPr>
            <w:r w:rsidRPr="008F200C">
              <w:rPr>
                <w:b/>
                <w:bCs/>
                <w:sz w:val="18"/>
                <w:szCs w:val="18"/>
              </w:rPr>
              <w:lastRenderedPageBreak/>
              <w:t>Fairness (</w:t>
            </w:r>
            <w:r>
              <w:rPr>
                <w:b/>
                <w:bCs/>
                <w:sz w:val="18"/>
                <w:szCs w:val="18"/>
              </w:rPr>
              <w:t>0</w:t>
            </w:r>
            <w:r w:rsidRPr="008F200C">
              <w:rPr>
                <w:b/>
                <w:bCs/>
                <w:sz w:val="18"/>
                <w:szCs w:val="18"/>
              </w:rPr>
              <w:t>)</w:t>
            </w:r>
          </w:p>
          <w:p w14:paraId="26567235" w14:textId="37B28721" w:rsidR="00FF5EFA" w:rsidRPr="00FF6456" w:rsidRDefault="0032399E" w:rsidP="00FF5EFA">
            <w:pPr>
              <w:rPr>
                <w:sz w:val="18"/>
                <w:szCs w:val="18"/>
              </w:rPr>
            </w:pPr>
            <w:r>
              <w:rPr>
                <w:sz w:val="18"/>
                <w:szCs w:val="18"/>
              </w:rPr>
              <w:t xml:space="preserve">Along with the impacts of retrospective validation (identified for option 4), </w:t>
            </w:r>
            <w:r w:rsidR="00EA2E77">
              <w:rPr>
                <w:sz w:val="18"/>
                <w:szCs w:val="18"/>
              </w:rPr>
              <w:t>under this option, t</w:t>
            </w:r>
            <w:r w:rsidR="00FF5EFA" w:rsidRPr="00FF6456">
              <w:rPr>
                <w:sz w:val="18"/>
                <w:szCs w:val="18"/>
              </w:rPr>
              <w:t xml:space="preserve">his cohort will not be eligible for a </w:t>
            </w:r>
            <w:r w:rsidR="00F256EF">
              <w:rPr>
                <w:sz w:val="18"/>
                <w:szCs w:val="18"/>
              </w:rPr>
              <w:t>resolution payment</w:t>
            </w:r>
            <w:r w:rsidR="00FF5EFA" w:rsidRPr="00FF6456">
              <w:rPr>
                <w:sz w:val="18"/>
                <w:szCs w:val="18"/>
              </w:rPr>
              <w:t xml:space="preserve">. There may be objection to lack of any compensation for those who were affected by </w:t>
            </w:r>
            <w:r w:rsidR="00EA2E77">
              <w:rPr>
                <w:sz w:val="18"/>
                <w:szCs w:val="18"/>
              </w:rPr>
              <w:t xml:space="preserve">the </w:t>
            </w:r>
            <w:r w:rsidR="00FF5EFA" w:rsidRPr="00FF6456">
              <w:rPr>
                <w:sz w:val="18"/>
                <w:szCs w:val="18"/>
              </w:rPr>
              <w:t>debt pauses, but their debt was subsequently found to be unaffected by income apportionment.</w:t>
            </w:r>
          </w:p>
          <w:p w14:paraId="7D2960AB" w14:textId="6682C7F9" w:rsidR="00FF5EFA" w:rsidRDefault="00FF5EFA" w:rsidP="00FF5EFA">
            <w:pPr>
              <w:rPr>
                <w:b/>
                <w:bCs/>
                <w:sz w:val="18"/>
                <w:szCs w:val="18"/>
              </w:rPr>
            </w:pPr>
            <w:r w:rsidRPr="008F200C">
              <w:rPr>
                <w:b/>
                <w:bCs/>
                <w:sz w:val="18"/>
                <w:szCs w:val="18"/>
              </w:rPr>
              <w:t>Timeliness (</w:t>
            </w:r>
            <w:r w:rsidR="009B4FD1">
              <w:rPr>
                <w:b/>
                <w:bCs/>
                <w:sz w:val="18"/>
                <w:szCs w:val="18"/>
              </w:rPr>
              <w:t>+1</w:t>
            </w:r>
            <w:r w:rsidRPr="008F200C">
              <w:rPr>
                <w:b/>
                <w:bCs/>
                <w:sz w:val="18"/>
                <w:szCs w:val="18"/>
              </w:rPr>
              <w:t>)</w:t>
            </w:r>
          </w:p>
          <w:p w14:paraId="376E89C4" w14:textId="6CF4C027" w:rsidR="00FF5EFA" w:rsidRDefault="00D51E20" w:rsidP="00FF5EFA">
            <w:pPr>
              <w:rPr>
                <w:sz w:val="18"/>
                <w:szCs w:val="18"/>
              </w:rPr>
            </w:pPr>
            <w:r>
              <w:rPr>
                <w:sz w:val="18"/>
                <w:szCs w:val="18"/>
              </w:rPr>
              <w:t>T</w:t>
            </w:r>
            <w:r w:rsidR="00906297">
              <w:rPr>
                <w:sz w:val="18"/>
                <w:szCs w:val="18"/>
              </w:rPr>
              <w:t>his option would be timely and provide a resolution to this issue</w:t>
            </w:r>
            <w:r w:rsidR="00A9676E">
              <w:rPr>
                <w:sz w:val="18"/>
                <w:szCs w:val="18"/>
              </w:rPr>
              <w:t xml:space="preserve">. This cohort will not ultimately been found eligible for reparation, but </w:t>
            </w:r>
            <w:r w:rsidR="00854DA7">
              <w:rPr>
                <w:sz w:val="18"/>
                <w:szCs w:val="18"/>
              </w:rPr>
              <w:t xml:space="preserve">the timeliness of the design of the </w:t>
            </w:r>
            <w:r w:rsidR="00135693">
              <w:rPr>
                <w:sz w:val="18"/>
                <w:szCs w:val="18"/>
              </w:rPr>
              <w:t>resolution scheme</w:t>
            </w:r>
            <w:r w:rsidR="00854DA7">
              <w:rPr>
                <w:sz w:val="18"/>
                <w:szCs w:val="18"/>
              </w:rPr>
              <w:t xml:space="preserve"> is positive for those who opt to test their eligibility </w:t>
            </w:r>
            <w:r w:rsidR="298D8558" w:rsidRPr="0AB0C7A1">
              <w:rPr>
                <w:sz w:val="18"/>
                <w:szCs w:val="18"/>
              </w:rPr>
              <w:t>an</w:t>
            </w:r>
            <w:r w:rsidR="49C34F2C" w:rsidRPr="0AB0C7A1">
              <w:rPr>
                <w:sz w:val="18"/>
                <w:szCs w:val="18"/>
              </w:rPr>
              <w:t>d</w:t>
            </w:r>
            <w:r w:rsidR="00854DA7">
              <w:rPr>
                <w:sz w:val="18"/>
                <w:szCs w:val="18"/>
              </w:rPr>
              <w:t xml:space="preserve"> apply. </w:t>
            </w:r>
          </w:p>
          <w:p w14:paraId="26A7F19B" w14:textId="462D5A81" w:rsidR="00FF5EFA" w:rsidRDefault="00FF5EFA" w:rsidP="00FF5EFA">
            <w:pPr>
              <w:rPr>
                <w:b/>
                <w:bCs/>
                <w:sz w:val="18"/>
                <w:szCs w:val="18"/>
              </w:rPr>
            </w:pPr>
            <w:r w:rsidRPr="004923FC">
              <w:rPr>
                <w:b/>
                <w:bCs/>
                <w:sz w:val="18"/>
                <w:szCs w:val="18"/>
              </w:rPr>
              <w:t>Overall</w:t>
            </w:r>
            <w:r>
              <w:rPr>
                <w:b/>
                <w:bCs/>
                <w:sz w:val="18"/>
                <w:szCs w:val="18"/>
              </w:rPr>
              <w:t xml:space="preserve"> (</w:t>
            </w:r>
            <w:r w:rsidR="00BC0185">
              <w:rPr>
                <w:b/>
                <w:bCs/>
                <w:sz w:val="18"/>
                <w:szCs w:val="18"/>
              </w:rPr>
              <w:t>+1</w:t>
            </w:r>
            <w:r>
              <w:rPr>
                <w:b/>
                <w:bCs/>
                <w:sz w:val="18"/>
                <w:szCs w:val="18"/>
              </w:rPr>
              <w:t>)</w:t>
            </w:r>
          </w:p>
          <w:p w14:paraId="13EC9324" w14:textId="56F6D76D" w:rsidR="00FF5EFA" w:rsidRPr="008F200C" w:rsidRDefault="00FF5EFA" w:rsidP="00FF5EFA">
            <w:pPr>
              <w:rPr>
                <w:sz w:val="18"/>
                <w:szCs w:val="18"/>
              </w:rPr>
            </w:pPr>
            <w:r w:rsidRPr="008F200C">
              <w:rPr>
                <w:sz w:val="18"/>
                <w:szCs w:val="18"/>
              </w:rPr>
              <w:t xml:space="preserve">This rating is warranted given </w:t>
            </w:r>
            <w:r>
              <w:rPr>
                <w:sz w:val="18"/>
                <w:szCs w:val="18"/>
              </w:rPr>
              <w:t xml:space="preserve">that, while this cohort will not receive a </w:t>
            </w:r>
            <w:r w:rsidR="00F256EF">
              <w:rPr>
                <w:sz w:val="18"/>
                <w:szCs w:val="18"/>
              </w:rPr>
              <w:t>resolution payment</w:t>
            </w:r>
            <w:r>
              <w:rPr>
                <w:sz w:val="18"/>
                <w:szCs w:val="18"/>
              </w:rPr>
              <w:t xml:space="preserve">, those with paused debts will be given certainty and closure around their debts. </w:t>
            </w:r>
          </w:p>
          <w:p w14:paraId="75D578A8" w14:textId="77777777" w:rsidR="00FF5EFA" w:rsidRDefault="00FF5EFA" w:rsidP="00FF5EFA">
            <w:pPr>
              <w:rPr>
                <w:sz w:val="18"/>
                <w:szCs w:val="18"/>
              </w:rPr>
            </w:pPr>
          </w:p>
          <w:p w14:paraId="78DF6A2B" w14:textId="77777777" w:rsidR="00FF5EFA" w:rsidRPr="00300641" w:rsidRDefault="00FF5EFA" w:rsidP="00FF5EFA">
            <w:pPr>
              <w:rPr>
                <w:b/>
                <w:bCs/>
                <w:sz w:val="18"/>
                <w:szCs w:val="18"/>
              </w:rPr>
            </w:pPr>
          </w:p>
        </w:tc>
      </w:tr>
      <w:bookmarkEnd w:id="58"/>
      <w:tr w:rsidR="00FF05AB" w14:paraId="39B3C7B0" w14:textId="028CF82C" w:rsidTr="3A10CFF7">
        <w:trPr>
          <w:trHeight w:val="1480"/>
        </w:trPr>
        <w:tc>
          <w:tcPr>
            <w:tcW w:w="379" w:type="pct"/>
          </w:tcPr>
          <w:p w14:paraId="054E31B9" w14:textId="0472FE2C" w:rsidR="00FF5EFA" w:rsidRPr="00FF4FB6" w:rsidRDefault="00FF5EFA" w:rsidP="00FF5EFA">
            <w:pPr>
              <w:rPr>
                <w:b/>
                <w:bCs/>
              </w:rPr>
            </w:pPr>
            <w:r>
              <w:rPr>
                <w:b/>
                <w:bCs/>
              </w:rPr>
              <w:t>Current</w:t>
            </w:r>
            <w:r w:rsidR="00401E69">
              <w:rPr>
                <w:b/>
                <w:bCs/>
              </w:rPr>
              <w:t xml:space="preserve"> and future</w:t>
            </w:r>
            <w:r>
              <w:rPr>
                <w:b/>
                <w:bCs/>
              </w:rPr>
              <w:t xml:space="preserve"> s</w:t>
            </w:r>
            <w:r w:rsidRPr="00FF4FB6">
              <w:rPr>
                <w:b/>
                <w:bCs/>
              </w:rPr>
              <w:t>ocial security recipients</w:t>
            </w:r>
            <w:r>
              <w:rPr>
                <w:b/>
                <w:bCs/>
              </w:rPr>
              <w:t xml:space="preserve"> unaffected by income apportionment</w:t>
            </w:r>
          </w:p>
        </w:tc>
        <w:tc>
          <w:tcPr>
            <w:tcW w:w="95" w:type="pct"/>
            <w:shd w:val="clear" w:color="auto" w:fill="FFFF00"/>
            <w:vAlign w:val="center"/>
          </w:tcPr>
          <w:p w14:paraId="15D57955" w14:textId="4394FAD8" w:rsidR="00FF5EFA" w:rsidRPr="00D93763" w:rsidRDefault="000D6423" w:rsidP="00FF5EFA">
            <w:pPr>
              <w:jc w:val="center"/>
              <w:rPr>
                <w:b/>
                <w:bCs/>
                <w:sz w:val="20"/>
                <w:szCs w:val="20"/>
              </w:rPr>
            </w:pPr>
            <w:r w:rsidRPr="00D93763">
              <w:rPr>
                <w:b/>
                <w:bCs/>
                <w:sz w:val="20"/>
                <w:szCs w:val="20"/>
              </w:rPr>
              <w:t>0</w:t>
            </w:r>
          </w:p>
        </w:tc>
        <w:tc>
          <w:tcPr>
            <w:tcW w:w="95" w:type="pct"/>
            <w:shd w:val="clear" w:color="auto" w:fill="FFC000"/>
            <w:vAlign w:val="center"/>
          </w:tcPr>
          <w:p w14:paraId="23D628D3" w14:textId="45680E6E" w:rsidR="00FF5EFA" w:rsidRPr="00D93763" w:rsidRDefault="000D6423" w:rsidP="00D83C1C">
            <w:pPr>
              <w:jc w:val="center"/>
              <w:rPr>
                <w:b/>
                <w:bCs/>
                <w:sz w:val="20"/>
                <w:szCs w:val="20"/>
              </w:rPr>
            </w:pPr>
            <w:r w:rsidRPr="00D93763">
              <w:rPr>
                <w:b/>
                <w:bCs/>
                <w:sz w:val="20"/>
                <w:szCs w:val="20"/>
              </w:rPr>
              <w:t>-1</w:t>
            </w:r>
          </w:p>
        </w:tc>
        <w:tc>
          <w:tcPr>
            <w:tcW w:w="95" w:type="pct"/>
            <w:shd w:val="clear" w:color="auto" w:fill="FFC000"/>
            <w:vAlign w:val="center"/>
          </w:tcPr>
          <w:p w14:paraId="69E8FD58" w14:textId="43FE6342" w:rsidR="00FF5EFA" w:rsidRPr="00D93763" w:rsidRDefault="000D6423" w:rsidP="00D83C1C">
            <w:pPr>
              <w:jc w:val="center"/>
              <w:rPr>
                <w:b/>
                <w:bCs/>
                <w:sz w:val="20"/>
                <w:szCs w:val="20"/>
              </w:rPr>
            </w:pPr>
            <w:r w:rsidRPr="00D93763">
              <w:rPr>
                <w:b/>
                <w:bCs/>
                <w:sz w:val="20"/>
                <w:szCs w:val="20"/>
              </w:rPr>
              <w:t>-1</w:t>
            </w:r>
          </w:p>
        </w:tc>
        <w:tc>
          <w:tcPr>
            <w:tcW w:w="95" w:type="pct"/>
            <w:shd w:val="clear" w:color="auto" w:fill="FFFF00"/>
            <w:vAlign w:val="center"/>
          </w:tcPr>
          <w:p w14:paraId="2A4BF8E1" w14:textId="1132B7E4" w:rsidR="00FF5EFA" w:rsidRPr="00D93763" w:rsidRDefault="005C3F1B" w:rsidP="00D83C1C">
            <w:pPr>
              <w:jc w:val="center"/>
              <w:rPr>
                <w:b/>
                <w:bCs/>
                <w:sz w:val="20"/>
                <w:szCs w:val="20"/>
              </w:rPr>
            </w:pPr>
            <w:r w:rsidRPr="00D93763">
              <w:rPr>
                <w:b/>
                <w:bCs/>
                <w:sz w:val="20"/>
                <w:szCs w:val="20"/>
              </w:rPr>
              <w:t>0</w:t>
            </w:r>
          </w:p>
        </w:tc>
        <w:tc>
          <w:tcPr>
            <w:tcW w:w="95" w:type="pct"/>
            <w:shd w:val="clear" w:color="auto" w:fill="FFFF00"/>
            <w:vAlign w:val="center"/>
          </w:tcPr>
          <w:p w14:paraId="412193FD" w14:textId="4AD28247" w:rsidR="00FF5EFA" w:rsidRPr="00D93763" w:rsidRDefault="00F2210E" w:rsidP="00D93763">
            <w:pPr>
              <w:jc w:val="center"/>
              <w:rPr>
                <w:b/>
                <w:bCs/>
                <w:sz w:val="20"/>
                <w:szCs w:val="20"/>
              </w:rPr>
            </w:pPr>
            <w:r>
              <w:rPr>
                <w:b/>
                <w:bCs/>
                <w:sz w:val="20"/>
                <w:szCs w:val="20"/>
              </w:rPr>
              <w:t>0</w:t>
            </w:r>
          </w:p>
        </w:tc>
        <w:tc>
          <w:tcPr>
            <w:tcW w:w="95" w:type="pct"/>
            <w:shd w:val="clear" w:color="auto" w:fill="FFFF00"/>
            <w:vAlign w:val="center"/>
          </w:tcPr>
          <w:p w14:paraId="6EEC0A44" w14:textId="7A3CCD2C" w:rsidR="00FF5EFA" w:rsidRPr="00D93763" w:rsidRDefault="00186FE5" w:rsidP="00D93763">
            <w:pPr>
              <w:jc w:val="center"/>
              <w:rPr>
                <w:b/>
                <w:bCs/>
                <w:sz w:val="20"/>
                <w:szCs w:val="20"/>
              </w:rPr>
            </w:pPr>
            <w:r w:rsidRPr="00D93763">
              <w:rPr>
                <w:b/>
                <w:bCs/>
                <w:sz w:val="20"/>
                <w:szCs w:val="20"/>
              </w:rPr>
              <w:t>0</w:t>
            </w:r>
          </w:p>
        </w:tc>
        <w:tc>
          <w:tcPr>
            <w:tcW w:w="676" w:type="pct"/>
          </w:tcPr>
          <w:p w14:paraId="0DA83971" w14:textId="60566EF8" w:rsidR="00FF5EFA" w:rsidRDefault="00FF5EFA" w:rsidP="00FF5EFA">
            <w:pPr>
              <w:rPr>
                <w:b/>
                <w:bCs/>
                <w:sz w:val="18"/>
                <w:szCs w:val="18"/>
              </w:rPr>
            </w:pPr>
            <w:r w:rsidRPr="003470B0">
              <w:rPr>
                <w:b/>
                <w:bCs/>
                <w:sz w:val="18"/>
                <w:szCs w:val="18"/>
              </w:rPr>
              <w:t>Fairness</w:t>
            </w:r>
            <w:r>
              <w:rPr>
                <w:b/>
                <w:bCs/>
                <w:sz w:val="18"/>
                <w:szCs w:val="18"/>
              </w:rPr>
              <w:t xml:space="preserve"> (0)</w:t>
            </w:r>
          </w:p>
          <w:p w14:paraId="3E499D26" w14:textId="4CC02A98" w:rsidR="00FF5EFA" w:rsidRPr="002C237E" w:rsidRDefault="00473A79" w:rsidP="00FF5EFA">
            <w:pPr>
              <w:rPr>
                <w:sz w:val="18"/>
                <w:szCs w:val="18"/>
              </w:rPr>
            </w:pPr>
            <w:r>
              <w:rPr>
                <w:sz w:val="18"/>
                <w:szCs w:val="18"/>
              </w:rPr>
              <w:t>It is possible the</w:t>
            </w:r>
            <w:r w:rsidR="00BE406C">
              <w:rPr>
                <w:sz w:val="18"/>
                <w:szCs w:val="18"/>
              </w:rPr>
              <w:t xml:space="preserve"> status quo</w:t>
            </w:r>
            <w:r w:rsidR="00FF5EFA">
              <w:rPr>
                <w:sz w:val="18"/>
                <w:szCs w:val="18"/>
              </w:rPr>
              <w:t xml:space="preserve"> may be seen as </w:t>
            </w:r>
            <w:r w:rsidR="00FF5EFA" w:rsidRPr="001E7322">
              <w:rPr>
                <w:sz w:val="18"/>
                <w:szCs w:val="18"/>
              </w:rPr>
              <w:t xml:space="preserve">unfair </w:t>
            </w:r>
            <w:r w:rsidR="00BE406C">
              <w:rPr>
                <w:sz w:val="18"/>
                <w:szCs w:val="18"/>
              </w:rPr>
              <w:t>for this cohort, who would have to repay social security debts</w:t>
            </w:r>
            <w:r w:rsidR="00C437D7">
              <w:rPr>
                <w:sz w:val="18"/>
                <w:szCs w:val="18"/>
              </w:rPr>
              <w:t>, while those affected by t</w:t>
            </w:r>
            <w:r w:rsidR="001E6946">
              <w:rPr>
                <w:sz w:val="18"/>
                <w:szCs w:val="18"/>
              </w:rPr>
              <w:t>he pauses will not have t</w:t>
            </w:r>
            <w:r w:rsidR="004B3FC9">
              <w:rPr>
                <w:sz w:val="18"/>
                <w:szCs w:val="18"/>
              </w:rPr>
              <w:t xml:space="preserve">o. </w:t>
            </w:r>
            <w:r w:rsidR="00FF5EFA">
              <w:rPr>
                <w:sz w:val="18"/>
                <w:szCs w:val="18"/>
              </w:rPr>
              <w:t xml:space="preserve">This is </w:t>
            </w:r>
            <w:r w:rsidR="004B3FC9">
              <w:rPr>
                <w:sz w:val="18"/>
                <w:szCs w:val="18"/>
              </w:rPr>
              <w:t>balanced</w:t>
            </w:r>
            <w:r w:rsidR="00007074">
              <w:rPr>
                <w:sz w:val="18"/>
                <w:szCs w:val="18"/>
              </w:rPr>
              <w:t xml:space="preserve"> or neutralised </w:t>
            </w:r>
            <w:r w:rsidR="00B07077">
              <w:rPr>
                <w:sz w:val="18"/>
                <w:szCs w:val="18"/>
              </w:rPr>
              <w:t xml:space="preserve">by these </w:t>
            </w:r>
            <w:r w:rsidR="00FF5EFA">
              <w:rPr>
                <w:sz w:val="18"/>
                <w:szCs w:val="18"/>
              </w:rPr>
              <w:t xml:space="preserve">recipients still being able to </w:t>
            </w:r>
            <w:r w:rsidR="00B07077">
              <w:rPr>
                <w:sz w:val="18"/>
                <w:szCs w:val="18"/>
              </w:rPr>
              <w:t xml:space="preserve">request </w:t>
            </w:r>
            <w:r w:rsidR="005C46C6">
              <w:rPr>
                <w:sz w:val="18"/>
                <w:szCs w:val="18"/>
              </w:rPr>
              <w:t xml:space="preserve">and receive </w:t>
            </w:r>
            <w:r w:rsidR="00B07077">
              <w:rPr>
                <w:sz w:val="18"/>
                <w:szCs w:val="18"/>
              </w:rPr>
              <w:t xml:space="preserve">a </w:t>
            </w:r>
            <w:r w:rsidR="00FF5EFA">
              <w:rPr>
                <w:sz w:val="18"/>
                <w:szCs w:val="18"/>
              </w:rPr>
              <w:t xml:space="preserve">review </w:t>
            </w:r>
            <w:r w:rsidR="00B07077">
              <w:rPr>
                <w:sz w:val="18"/>
                <w:szCs w:val="18"/>
              </w:rPr>
              <w:t xml:space="preserve">of </w:t>
            </w:r>
            <w:r w:rsidR="00FF5EFA">
              <w:rPr>
                <w:sz w:val="18"/>
                <w:szCs w:val="18"/>
              </w:rPr>
              <w:t>their debt</w:t>
            </w:r>
            <w:r w:rsidR="00FB5BA3">
              <w:rPr>
                <w:sz w:val="18"/>
                <w:szCs w:val="18"/>
              </w:rPr>
              <w:t xml:space="preserve"> or</w:t>
            </w:r>
            <w:r w:rsidR="00FF5EFA">
              <w:rPr>
                <w:sz w:val="18"/>
                <w:szCs w:val="18"/>
              </w:rPr>
              <w:t xml:space="preserve"> explanation of decision compared</w:t>
            </w:r>
            <w:r w:rsidR="005C46C6">
              <w:rPr>
                <w:sz w:val="18"/>
                <w:szCs w:val="18"/>
              </w:rPr>
              <w:t xml:space="preserve"> to those with their debt paused</w:t>
            </w:r>
            <w:r w:rsidR="00403FBD">
              <w:rPr>
                <w:sz w:val="18"/>
                <w:szCs w:val="18"/>
              </w:rPr>
              <w:t>.</w:t>
            </w:r>
          </w:p>
          <w:p w14:paraId="71731762" w14:textId="1AA2344C" w:rsidR="00FF5EFA" w:rsidRDefault="00FF5EFA" w:rsidP="00FF5EFA">
            <w:pPr>
              <w:rPr>
                <w:b/>
                <w:bCs/>
                <w:sz w:val="18"/>
                <w:szCs w:val="18"/>
              </w:rPr>
            </w:pPr>
            <w:r w:rsidRPr="003470B0">
              <w:rPr>
                <w:b/>
                <w:bCs/>
                <w:sz w:val="18"/>
                <w:szCs w:val="18"/>
              </w:rPr>
              <w:t xml:space="preserve">Timeliness </w:t>
            </w:r>
            <w:r>
              <w:rPr>
                <w:b/>
                <w:bCs/>
                <w:sz w:val="18"/>
                <w:szCs w:val="18"/>
              </w:rPr>
              <w:t>(0)</w:t>
            </w:r>
          </w:p>
          <w:p w14:paraId="3F175525" w14:textId="38C8EA1D" w:rsidR="00CD0D54" w:rsidRPr="00FF52D6" w:rsidRDefault="00CD0D54" w:rsidP="00CD0D54">
            <w:pPr>
              <w:rPr>
                <w:sz w:val="18"/>
                <w:szCs w:val="18"/>
              </w:rPr>
            </w:pPr>
            <w:r w:rsidRPr="00FF52D6">
              <w:rPr>
                <w:sz w:val="18"/>
                <w:szCs w:val="18"/>
              </w:rPr>
              <w:t>This cohort would not be affected by</w:t>
            </w:r>
            <w:r w:rsidR="00726B7A">
              <w:rPr>
                <w:sz w:val="18"/>
                <w:szCs w:val="18"/>
              </w:rPr>
              <w:t xml:space="preserve"> the</w:t>
            </w:r>
            <w:r w:rsidRPr="00FF52D6">
              <w:rPr>
                <w:sz w:val="18"/>
                <w:szCs w:val="18"/>
              </w:rPr>
              <w:t xml:space="preserve"> timeliness of this option.</w:t>
            </w:r>
          </w:p>
          <w:p w14:paraId="72EC2683" w14:textId="7C1391CE" w:rsidR="00FF5EFA" w:rsidRDefault="00FF5EFA" w:rsidP="00FF5EFA">
            <w:pPr>
              <w:rPr>
                <w:sz w:val="18"/>
                <w:szCs w:val="18"/>
              </w:rPr>
            </w:pPr>
            <w:r>
              <w:rPr>
                <w:b/>
                <w:bCs/>
                <w:sz w:val="18"/>
                <w:szCs w:val="18"/>
              </w:rPr>
              <w:t>Overall (0)</w:t>
            </w:r>
            <w:r>
              <w:rPr>
                <w:sz w:val="18"/>
                <w:szCs w:val="18"/>
              </w:rPr>
              <w:t xml:space="preserve"> </w:t>
            </w:r>
          </w:p>
          <w:p w14:paraId="56ABAC9B" w14:textId="44A87C42" w:rsidR="00FF5EFA" w:rsidRPr="00FF6456" w:rsidRDefault="00FF5EFA" w:rsidP="00FF5EFA">
            <w:pPr>
              <w:rPr>
                <w:sz w:val="18"/>
                <w:szCs w:val="18"/>
              </w:rPr>
            </w:pPr>
            <w:r w:rsidRPr="00605DC6">
              <w:rPr>
                <w:sz w:val="18"/>
                <w:szCs w:val="18"/>
              </w:rPr>
              <w:t>Impact on this cohort is minimal overall.</w:t>
            </w:r>
          </w:p>
        </w:tc>
        <w:tc>
          <w:tcPr>
            <w:tcW w:w="676" w:type="pct"/>
          </w:tcPr>
          <w:p w14:paraId="75B5AACD" w14:textId="03D13BAA" w:rsidR="00FF5EFA" w:rsidRPr="002C237E" w:rsidRDefault="00FF5EFA" w:rsidP="00FF5EFA">
            <w:pPr>
              <w:rPr>
                <w:b/>
                <w:bCs/>
                <w:sz w:val="18"/>
                <w:szCs w:val="18"/>
              </w:rPr>
            </w:pPr>
            <w:r w:rsidRPr="00300641">
              <w:rPr>
                <w:b/>
                <w:bCs/>
                <w:sz w:val="18"/>
                <w:szCs w:val="18"/>
              </w:rPr>
              <w:t>Fairness</w:t>
            </w:r>
            <w:r>
              <w:rPr>
                <w:b/>
                <w:bCs/>
                <w:sz w:val="18"/>
                <w:szCs w:val="18"/>
              </w:rPr>
              <w:t xml:space="preserve"> (- 2)</w:t>
            </w:r>
          </w:p>
          <w:p w14:paraId="73196DDD" w14:textId="388D3939" w:rsidR="002A373B" w:rsidRDefault="009E1F71" w:rsidP="002A373B">
            <w:pPr>
              <w:rPr>
                <w:sz w:val="18"/>
                <w:szCs w:val="18"/>
              </w:rPr>
            </w:pPr>
            <w:r>
              <w:rPr>
                <w:sz w:val="18"/>
                <w:szCs w:val="18"/>
              </w:rPr>
              <w:t>A blanket waiver</w:t>
            </w:r>
            <w:r w:rsidR="00214AF4">
              <w:rPr>
                <w:sz w:val="18"/>
                <w:szCs w:val="18"/>
              </w:rPr>
              <w:t xml:space="preserve"> means</w:t>
            </w:r>
            <w:r w:rsidR="001375B6">
              <w:rPr>
                <w:sz w:val="18"/>
                <w:szCs w:val="18"/>
              </w:rPr>
              <w:t xml:space="preserve"> people are refunded for debts they did owe</w:t>
            </w:r>
            <w:r w:rsidR="00AF1FE8">
              <w:rPr>
                <w:sz w:val="18"/>
                <w:szCs w:val="18"/>
              </w:rPr>
              <w:t xml:space="preserve"> (and for debts that are </w:t>
            </w:r>
            <w:r w:rsidR="00E840B4">
              <w:rPr>
                <w:sz w:val="18"/>
                <w:szCs w:val="18"/>
              </w:rPr>
              <w:t xml:space="preserve">not actually affected by </w:t>
            </w:r>
            <w:r w:rsidR="00076C6E">
              <w:rPr>
                <w:sz w:val="18"/>
                <w:szCs w:val="18"/>
              </w:rPr>
              <w:t>income apportionment</w:t>
            </w:r>
            <w:r w:rsidR="00521BC7">
              <w:rPr>
                <w:sz w:val="18"/>
                <w:szCs w:val="18"/>
              </w:rPr>
              <w:t xml:space="preserve"> or related pauses</w:t>
            </w:r>
            <w:r w:rsidR="00076C6E">
              <w:rPr>
                <w:sz w:val="18"/>
                <w:szCs w:val="18"/>
              </w:rPr>
              <w:t>)</w:t>
            </w:r>
            <w:r w:rsidR="001375B6">
              <w:rPr>
                <w:sz w:val="18"/>
                <w:szCs w:val="18"/>
              </w:rPr>
              <w:t xml:space="preserve">. </w:t>
            </w:r>
            <w:r w:rsidR="00CB42FC">
              <w:rPr>
                <w:sz w:val="18"/>
                <w:szCs w:val="18"/>
              </w:rPr>
              <w:t>This option is</w:t>
            </w:r>
            <w:r w:rsidR="00214AF4">
              <w:rPr>
                <w:sz w:val="18"/>
                <w:szCs w:val="18"/>
              </w:rPr>
              <w:t xml:space="preserve"> </w:t>
            </w:r>
            <w:r w:rsidR="00CB42FC">
              <w:rPr>
                <w:sz w:val="18"/>
                <w:szCs w:val="18"/>
              </w:rPr>
              <w:t>unfair to people with other social security debts they are required to pay</w:t>
            </w:r>
            <w:r>
              <w:rPr>
                <w:sz w:val="18"/>
                <w:szCs w:val="18"/>
              </w:rPr>
              <w:t xml:space="preserve">. </w:t>
            </w:r>
          </w:p>
          <w:p w14:paraId="794AF794" w14:textId="7FDC9D4E" w:rsidR="00FF5EFA" w:rsidRPr="00FF6456" w:rsidRDefault="00FF5EFA" w:rsidP="00FF5EFA">
            <w:pPr>
              <w:rPr>
                <w:sz w:val="18"/>
                <w:szCs w:val="18"/>
              </w:rPr>
            </w:pPr>
            <w:r w:rsidRPr="00FF6456">
              <w:rPr>
                <w:sz w:val="18"/>
                <w:szCs w:val="18"/>
              </w:rPr>
              <w:t>This cohort would</w:t>
            </w:r>
            <w:r w:rsidR="00951A15">
              <w:rPr>
                <w:sz w:val="18"/>
                <w:szCs w:val="18"/>
              </w:rPr>
              <w:t xml:space="preserve"> also</w:t>
            </w:r>
            <w:r w:rsidRPr="00FF6456">
              <w:rPr>
                <w:sz w:val="18"/>
                <w:szCs w:val="18"/>
              </w:rPr>
              <w:t xml:space="preserve"> be affected by </w:t>
            </w:r>
            <w:r w:rsidR="00951A15">
              <w:rPr>
                <w:sz w:val="18"/>
                <w:szCs w:val="18"/>
              </w:rPr>
              <w:t xml:space="preserve">the </w:t>
            </w:r>
            <w:r w:rsidRPr="00FF6456">
              <w:rPr>
                <w:sz w:val="18"/>
                <w:szCs w:val="18"/>
              </w:rPr>
              <w:t>major diversion of Services Australia</w:t>
            </w:r>
            <w:r w:rsidR="00951A15">
              <w:rPr>
                <w:sz w:val="18"/>
                <w:szCs w:val="18"/>
              </w:rPr>
              <w:t xml:space="preserve">’s expert </w:t>
            </w:r>
            <w:r w:rsidRPr="00FF6456">
              <w:rPr>
                <w:sz w:val="18"/>
                <w:szCs w:val="18"/>
              </w:rPr>
              <w:t>resourcing</w:t>
            </w:r>
            <w:r w:rsidR="00951A15">
              <w:rPr>
                <w:sz w:val="18"/>
                <w:szCs w:val="18"/>
              </w:rPr>
              <w:t xml:space="preserve"> </w:t>
            </w:r>
            <w:r w:rsidR="00E80C73">
              <w:rPr>
                <w:sz w:val="18"/>
                <w:szCs w:val="18"/>
              </w:rPr>
              <w:t>to process waivers</w:t>
            </w:r>
            <w:r w:rsidR="00C24759">
              <w:rPr>
                <w:sz w:val="18"/>
                <w:szCs w:val="18"/>
              </w:rPr>
              <w:t>, at the expense of other service delivery priorities (e.g. claims processing, telephony</w:t>
            </w:r>
            <w:r w:rsidR="007111FB">
              <w:rPr>
                <w:sz w:val="18"/>
                <w:szCs w:val="18"/>
              </w:rPr>
              <w:t xml:space="preserve">, </w:t>
            </w:r>
            <w:proofErr w:type="gramStart"/>
            <w:r w:rsidR="007111FB">
              <w:rPr>
                <w:sz w:val="18"/>
                <w:szCs w:val="18"/>
              </w:rPr>
              <w:t>face</w:t>
            </w:r>
            <w:proofErr w:type="gramEnd"/>
            <w:r w:rsidR="007111FB">
              <w:rPr>
                <w:sz w:val="18"/>
                <w:szCs w:val="18"/>
              </w:rPr>
              <w:t>-to-face services).</w:t>
            </w:r>
          </w:p>
          <w:p w14:paraId="4C8BA62F" w14:textId="2F9E9BA2" w:rsidR="00FF5EFA" w:rsidRDefault="00FF5EFA" w:rsidP="00FF5EFA">
            <w:pPr>
              <w:rPr>
                <w:b/>
                <w:bCs/>
                <w:sz w:val="18"/>
                <w:szCs w:val="18"/>
              </w:rPr>
            </w:pPr>
            <w:r w:rsidRPr="00300641">
              <w:rPr>
                <w:b/>
                <w:bCs/>
                <w:sz w:val="18"/>
                <w:szCs w:val="18"/>
              </w:rPr>
              <w:t xml:space="preserve">Timeliness </w:t>
            </w:r>
            <w:r>
              <w:rPr>
                <w:b/>
                <w:bCs/>
                <w:sz w:val="18"/>
                <w:szCs w:val="18"/>
              </w:rPr>
              <w:t>(0)</w:t>
            </w:r>
          </w:p>
          <w:p w14:paraId="1CD67652" w14:textId="77777777" w:rsidR="00FF5EFA" w:rsidRPr="00FF52D6" w:rsidRDefault="00FF5EFA" w:rsidP="00FF5EFA">
            <w:pPr>
              <w:rPr>
                <w:sz w:val="18"/>
                <w:szCs w:val="18"/>
              </w:rPr>
            </w:pPr>
            <w:r w:rsidRPr="00FF52D6">
              <w:rPr>
                <w:sz w:val="18"/>
                <w:szCs w:val="18"/>
              </w:rPr>
              <w:t>This cohort would not be affected by timeliness of this option.</w:t>
            </w:r>
          </w:p>
          <w:p w14:paraId="15736AAA" w14:textId="64DFEDE8" w:rsidR="00FF5EFA" w:rsidRDefault="00FF5EFA" w:rsidP="00FF5EFA">
            <w:pPr>
              <w:rPr>
                <w:sz w:val="18"/>
                <w:szCs w:val="18"/>
              </w:rPr>
            </w:pPr>
            <w:r>
              <w:rPr>
                <w:b/>
                <w:bCs/>
                <w:sz w:val="18"/>
                <w:szCs w:val="18"/>
              </w:rPr>
              <w:t>Overall (-</w:t>
            </w:r>
            <w:r w:rsidR="00E53C15">
              <w:rPr>
                <w:b/>
                <w:bCs/>
                <w:sz w:val="18"/>
                <w:szCs w:val="18"/>
              </w:rPr>
              <w:t>1</w:t>
            </w:r>
            <w:r>
              <w:rPr>
                <w:b/>
                <w:bCs/>
                <w:sz w:val="18"/>
                <w:szCs w:val="18"/>
              </w:rPr>
              <w:t>)</w:t>
            </w:r>
            <w:r>
              <w:rPr>
                <w:sz w:val="18"/>
                <w:szCs w:val="18"/>
              </w:rPr>
              <w:t xml:space="preserve"> </w:t>
            </w:r>
          </w:p>
          <w:p w14:paraId="7BCA6891" w14:textId="65FDAD89" w:rsidR="00FF5EFA" w:rsidRPr="00FF6456" w:rsidRDefault="007F578E" w:rsidP="00FF5EFA">
            <w:pPr>
              <w:rPr>
                <w:sz w:val="18"/>
                <w:szCs w:val="18"/>
              </w:rPr>
            </w:pPr>
            <w:r>
              <w:rPr>
                <w:sz w:val="18"/>
                <w:szCs w:val="18"/>
              </w:rPr>
              <w:t xml:space="preserve">This rating is warranted given diversion of Services Australia expertise, and perceived unfairness. </w:t>
            </w:r>
          </w:p>
        </w:tc>
        <w:tc>
          <w:tcPr>
            <w:tcW w:w="676" w:type="pct"/>
          </w:tcPr>
          <w:p w14:paraId="33D01595" w14:textId="4FF7477F" w:rsidR="00FF5EFA" w:rsidRPr="002C237E" w:rsidRDefault="00FF5EFA" w:rsidP="00FF5EFA">
            <w:pPr>
              <w:rPr>
                <w:b/>
                <w:bCs/>
                <w:sz w:val="18"/>
                <w:szCs w:val="18"/>
              </w:rPr>
            </w:pPr>
            <w:r w:rsidRPr="00300641">
              <w:rPr>
                <w:b/>
                <w:bCs/>
                <w:sz w:val="18"/>
                <w:szCs w:val="18"/>
              </w:rPr>
              <w:t>Fairness</w:t>
            </w:r>
            <w:r>
              <w:rPr>
                <w:b/>
                <w:bCs/>
                <w:sz w:val="18"/>
                <w:szCs w:val="18"/>
              </w:rPr>
              <w:t xml:space="preserve"> (- </w:t>
            </w:r>
            <w:r w:rsidR="005D50FC">
              <w:rPr>
                <w:b/>
                <w:bCs/>
                <w:sz w:val="18"/>
                <w:szCs w:val="18"/>
              </w:rPr>
              <w:t>1</w:t>
            </w:r>
            <w:r>
              <w:rPr>
                <w:b/>
                <w:bCs/>
                <w:sz w:val="18"/>
                <w:szCs w:val="18"/>
              </w:rPr>
              <w:t>)</w:t>
            </w:r>
          </w:p>
          <w:p w14:paraId="4C11EBAD" w14:textId="79D07185" w:rsidR="00640D43" w:rsidRPr="00FF6456" w:rsidRDefault="00640D43" w:rsidP="00640D43">
            <w:pPr>
              <w:rPr>
                <w:sz w:val="18"/>
                <w:szCs w:val="18"/>
              </w:rPr>
            </w:pPr>
            <w:r w:rsidRPr="00FF6456">
              <w:rPr>
                <w:sz w:val="18"/>
                <w:szCs w:val="18"/>
              </w:rPr>
              <w:t>This cohort would</w:t>
            </w:r>
            <w:r>
              <w:rPr>
                <w:sz w:val="18"/>
                <w:szCs w:val="18"/>
              </w:rPr>
              <w:t xml:space="preserve"> also</w:t>
            </w:r>
            <w:r w:rsidRPr="00FF6456">
              <w:rPr>
                <w:sz w:val="18"/>
                <w:szCs w:val="18"/>
              </w:rPr>
              <w:t xml:space="preserve"> be affected by </w:t>
            </w:r>
            <w:r>
              <w:rPr>
                <w:sz w:val="18"/>
                <w:szCs w:val="18"/>
              </w:rPr>
              <w:t xml:space="preserve">the </w:t>
            </w:r>
            <w:r w:rsidRPr="00FF6456">
              <w:rPr>
                <w:sz w:val="18"/>
                <w:szCs w:val="18"/>
              </w:rPr>
              <w:t>major diversion of Services Australia</w:t>
            </w:r>
            <w:r>
              <w:rPr>
                <w:sz w:val="18"/>
                <w:szCs w:val="18"/>
              </w:rPr>
              <w:t xml:space="preserve">’s expert </w:t>
            </w:r>
            <w:r w:rsidRPr="00FF6456">
              <w:rPr>
                <w:sz w:val="18"/>
                <w:szCs w:val="18"/>
              </w:rPr>
              <w:t>resourcing</w:t>
            </w:r>
            <w:r>
              <w:rPr>
                <w:sz w:val="18"/>
                <w:szCs w:val="18"/>
              </w:rPr>
              <w:t xml:space="preserve"> to identify and recalculate debts, at the expense of other service delivery priorities (e.g. claims processing, telephony, face-to-face services).</w:t>
            </w:r>
          </w:p>
          <w:p w14:paraId="6BBF22D4" w14:textId="29EC10FD" w:rsidR="00FF5EFA" w:rsidRDefault="00FF5EFA" w:rsidP="00FF5EFA">
            <w:pPr>
              <w:rPr>
                <w:b/>
                <w:bCs/>
                <w:sz w:val="18"/>
                <w:szCs w:val="18"/>
              </w:rPr>
            </w:pPr>
            <w:r w:rsidRPr="00300641">
              <w:rPr>
                <w:b/>
                <w:bCs/>
                <w:sz w:val="18"/>
                <w:szCs w:val="18"/>
              </w:rPr>
              <w:t xml:space="preserve">Timeliness </w:t>
            </w:r>
            <w:r>
              <w:rPr>
                <w:b/>
                <w:bCs/>
                <w:sz w:val="18"/>
                <w:szCs w:val="18"/>
              </w:rPr>
              <w:t>(0)</w:t>
            </w:r>
          </w:p>
          <w:p w14:paraId="379B4ADE" w14:textId="24810A14" w:rsidR="00FF5EFA" w:rsidRPr="00FF52D6" w:rsidRDefault="00FF5EFA" w:rsidP="00FF5EFA">
            <w:pPr>
              <w:rPr>
                <w:sz w:val="18"/>
                <w:szCs w:val="18"/>
              </w:rPr>
            </w:pPr>
            <w:r w:rsidRPr="00FF52D6">
              <w:rPr>
                <w:sz w:val="18"/>
                <w:szCs w:val="18"/>
              </w:rPr>
              <w:t>This cohort would not be affected by</w:t>
            </w:r>
            <w:r w:rsidR="00963F40">
              <w:rPr>
                <w:sz w:val="18"/>
                <w:szCs w:val="18"/>
              </w:rPr>
              <w:t xml:space="preserve"> the</w:t>
            </w:r>
            <w:r w:rsidRPr="00FF52D6">
              <w:rPr>
                <w:sz w:val="18"/>
                <w:szCs w:val="18"/>
              </w:rPr>
              <w:t xml:space="preserve"> timeliness of this option.</w:t>
            </w:r>
          </w:p>
          <w:p w14:paraId="03001C22" w14:textId="61A52385" w:rsidR="00FF5EFA" w:rsidRDefault="00FF5EFA" w:rsidP="00FF5EFA">
            <w:pPr>
              <w:rPr>
                <w:sz w:val="18"/>
                <w:szCs w:val="18"/>
              </w:rPr>
            </w:pPr>
            <w:r>
              <w:rPr>
                <w:b/>
                <w:bCs/>
                <w:sz w:val="18"/>
                <w:szCs w:val="18"/>
              </w:rPr>
              <w:t>Overall (-</w:t>
            </w:r>
            <w:r w:rsidR="005D50FC">
              <w:rPr>
                <w:b/>
                <w:bCs/>
                <w:sz w:val="18"/>
                <w:szCs w:val="18"/>
              </w:rPr>
              <w:t>1</w:t>
            </w:r>
            <w:r>
              <w:rPr>
                <w:b/>
                <w:bCs/>
                <w:sz w:val="18"/>
                <w:szCs w:val="18"/>
              </w:rPr>
              <w:t>)</w:t>
            </w:r>
            <w:r>
              <w:rPr>
                <w:sz w:val="18"/>
                <w:szCs w:val="18"/>
              </w:rPr>
              <w:t xml:space="preserve"> </w:t>
            </w:r>
          </w:p>
          <w:p w14:paraId="2B1D9088" w14:textId="17509F88" w:rsidR="00FF5EFA" w:rsidRPr="00FF6456" w:rsidRDefault="00335F6C" w:rsidP="00FF5EFA">
            <w:pPr>
              <w:rPr>
                <w:sz w:val="18"/>
                <w:szCs w:val="18"/>
              </w:rPr>
            </w:pPr>
            <w:r>
              <w:rPr>
                <w:sz w:val="18"/>
                <w:szCs w:val="18"/>
              </w:rPr>
              <w:t xml:space="preserve">This rating is warranted </w:t>
            </w:r>
            <w:r w:rsidR="007F578E">
              <w:rPr>
                <w:sz w:val="18"/>
                <w:szCs w:val="18"/>
              </w:rPr>
              <w:t>given diversion of Services Australia expertise.</w:t>
            </w:r>
          </w:p>
        </w:tc>
        <w:tc>
          <w:tcPr>
            <w:tcW w:w="676" w:type="pct"/>
          </w:tcPr>
          <w:p w14:paraId="0930388A" w14:textId="0B8FA469" w:rsidR="00FF5EFA" w:rsidRPr="002C237E" w:rsidRDefault="00FF5EFA" w:rsidP="00FF5EFA">
            <w:pPr>
              <w:rPr>
                <w:b/>
                <w:bCs/>
                <w:sz w:val="18"/>
                <w:szCs w:val="18"/>
              </w:rPr>
            </w:pPr>
            <w:r w:rsidRPr="00300641">
              <w:rPr>
                <w:b/>
                <w:bCs/>
                <w:sz w:val="18"/>
                <w:szCs w:val="18"/>
              </w:rPr>
              <w:t>Fairness</w:t>
            </w:r>
            <w:r>
              <w:rPr>
                <w:b/>
                <w:bCs/>
                <w:sz w:val="18"/>
                <w:szCs w:val="18"/>
              </w:rPr>
              <w:t xml:space="preserve"> (0)</w:t>
            </w:r>
          </w:p>
          <w:p w14:paraId="2A6514BF" w14:textId="30249430" w:rsidR="00FB25BA" w:rsidRPr="00FF52D6" w:rsidRDefault="00FB25BA" w:rsidP="00FB25BA">
            <w:pPr>
              <w:rPr>
                <w:sz w:val="18"/>
                <w:szCs w:val="18"/>
              </w:rPr>
            </w:pPr>
            <w:r w:rsidRPr="00FF52D6">
              <w:rPr>
                <w:sz w:val="18"/>
                <w:szCs w:val="18"/>
              </w:rPr>
              <w:t>This cohort would not be affected by</w:t>
            </w:r>
            <w:r>
              <w:rPr>
                <w:sz w:val="18"/>
                <w:szCs w:val="18"/>
              </w:rPr>
              <w:t xml:space="preserve"> the</w:t>
            </w:r>
            <w:r w:rsidRPr="00FF52D6">
              <w:rPr>
                <w:sz w:val="18"/>
                <w:szCs w:val="18"/>
              </w:rPr>
              <w:t xml:space="preserve"> </w:t>
            </w:r>
            <w:r>
              <w:rPr>
                <w:sz w:val="18"/>
                <w:szCs w:val="18"/>
              </w:rPr>
              <w:t>fairness</w:t>
            </w:r>
            <w:r w:rsidRPr="00FF52D6">
              <w:rPr>
                <w:sz w:val="18"/>
                <w:szCs w:val="18"/>
              </w:rPr>
              <w:t xml:space="preserve"> of this option.</w:t>
            </w:r>
          </w:p>
          <w:p w14:paraId="20907990" w14:textId="00AA46DD" w:rsidR="00FF5EFA" w:rsidRDefault="00FF5EFA" w:rsidP="00FF5EFA">
            <w:pPr>
              <w:rPr>
                <w:b/>
                <w:bCs/>
                <w:sz w:val="18"/>
                <w:szCs w:val="18"/>
              </w:rPr>
            </w:pPr>
            <w:r w:rsidRPr="00300641">
              <w:rPr>
                <w:b/>
                <w:bCs/>
                <w:sz w:val="18"/>
                <w:szCs w:val="18"/>
              </w:rPr>
              <w:t xml:space="preserve">Timeliness </w:t>
            </w:r>
            <w:r>
              <w:rPr>
                <w:b/>
                <w:bCs/>
                <w:sz w:val="18"/>
                <w:szCs w:val="18"/>
              </w:rPr>
              <w:t>(0)</w:t>
            </w:r>
          </w:p>
          <w:p w14:paraId="7167325F" w14:textId="6924D402" w:rsidR="00FF5EFA" w:rsidRDefault="00FF5EFA" w:rsidP="00FF5EFA">
            <w:pPr>
              <w:rPr>
                <w:sz w:val="18"/>
                <w:szCs w:val="18"/>
              </w:rPr>
            </w:pPr>
            <w:r>
              <w:rPr>
                <w:sz w:val="18"/>
                <w:szCs w:val="18"/>
              </w:rPr>
              <w:t xml:space="preserve">This cohort would not be affected by </w:t>
            </w:r>
            <w:r w:rsidR="006B59F8">
              <w:rPr>
                <w:sz w:val="18"/>
                <w:szCs w:val="18"/>
              </w:rPr>
              <w:t>the timeliness of this option.</w:t>
            </w:r>
          </w:p>
          <w:p w14:paraId="1BB82D2C" w14:textId="77777777" w:rsidR="00FF5EFA" w:rsidRDefault="00FF5EFA" w:rsidP="00FF5EFA">
            <w:pPr>
              <w:rPr>
                <w:b/>
                <w:bCs/>
                <w:sz w:val="18"/>
                <w:szCs w:val="18"/>
              </w:rPr>
            </w:pPr>
            <w:r>
              <w:rPr>
                <w:b/>
                <w:bCs/>
                <w:sz w:val="18"/>
                <w:szCs w:val="18"/>
              </w:rPr>
              <w:t>Overall (0)</w:t>
            </w:r>
          </w:p>
          <w:p w14:paraId="0B91E3BB" w14:textId="77777777" w:rsidR="00860367" w:rsidRPr="00885A7A" w:rsidRDefault="00860367" w:rsidP="00860367">
            <w:pPr>
              <w:rPr>
                <w:sz w:val="18"/>
                <w:szCs w:val="18"/>
              </w:rPr>
            </w:pPr>
            <w:r>
              <w:rPr>
                <w:sz w:val="18"/>
                <w:szCs w:val="18"/>
              </w:rPr>
              <w:t xml:space="preserve">Impact </w:t>
            </w:r>
            <w:r w:rsidRPr="00885A7A">
              <w:rPr>
                <w:sz w:val="18"/>
                <w:szCs w:val="18"/>
              </w:rPr>
              <w:t xml:space="preserve">on this cohort is </w:t>
            </w:r>
            <w:r>
              <w:rPr>
                <w:sz w:val="18"/>
                <w:szCs w:val="18"/>
              </w:rPr>
              <w:t>minimal overall.</w:t>
            </w:r>
          </w:p>
          <w:p w14:paraId="29FC98C1" w14:textId="31CC3ACE" w:rsidR="00FF5EFA" w:rsidRDefault="00FF5EFA" w:rsidP="00FF5EFA">
            <w:pPr>
              <w:rPr>
                <w:sz w:val="18"/>
                <w:szCs w:val="18"/>
              </w:rPr>
            </w:pPr>
          </w:p>
          <w:p w14:paraId="7E06940A" w14:textId="2B979621" w:rsidR="00FF5EFA" w:rsidRPr="00FF6456" w:rsidRDefault="00FF5EFA" w:rsidP="00FF5EFA">
            <w:pPr>
              <w:rPr>
                <w:sz w:val="18"/>
                <w:szCs w:val="18"/>
              </w:rPr>
            </w:pPr>
            <w:r>
              <w:rPr>
                <w:sz w:val="18"/>
                <w:szCs w:val="18"/>
              </w:rPr>
              <w:t xml:space="preserve"> </w:t>
            </w:r>
          </w:p>
        </w:tc>
        <w:tc>
          <w:tcPr>
            <w:tcW w:w="676" w:type="pct"/>
          </w:tcPr>
          <w:p w14:paraId="0F2C2DE5" w14:textId="5B1E31E2" w:rsidR="00FF5EFA" w:rsidRPr="001B0A0C" w:rsidRDefault="00FF5EFA" w:rsidP="00FF5EFA">
            <w:pPr>
              <w:rPr>
                <w:b/>
                <w:bCs/>
                <w:sz w:val="18"/>
                <w:szCs w:val="18"/>
              </w:rPr>
            </w:pPr>
            <w:r w:rsidRPr="00300641">
              <w:rPr>
                <w:b/>
                <w:bCs/>
                <w:sz w:val="18"/>
                <w:szCs w:val="18"/>
              </w:rPr>
              <w:t>Fairness</w:t>
            </w:r>
            <w:r>
              <w:rPr>
                <w:b/>
                <w:bCs/>
                <w:sz w:val="18"/>
                <w:szCs w:val="18"/>
              </w:rPr>
              <w:t xml:space="preserve"> (</w:t>
            </w:r>
            <w:r w:rsidR="004262E4">
              <w:rPr>
                <w:b/>
                <w:bCs/>
                <w:sz w:val="18"/>
                <w:szCs w:val="18"/>
              </w:rPr>
              <w:t>0</w:t>
            </w:r>
            <w:r>
              <w:rPr>
                <w:b/>
                <w:bCs/>
                <w:sz w:val="18"/>
                <w:szCs w:val="18"/>
              </w:rPr>
              <w:t>)</w:t>
            </w:r>
          </w:p>
          <w:p w14:paraId="1092D119" w14:textId="3DE77DA7" w:rsidR="00FF5EFA" w:rsidRPr="00FF6456" w:rsidRDefault="00514FC6" w:rsidP="00B5248E">
            <w:pPr>
              <w:rPr>
                <w:sz w:val="18"/>
                <w:szCs w:val="18"/>
              </w:rPr>
            </w:pPr>
            <w:r w:rsidRPr="00FF6456">
              <w:rPr>
                <w:sz w:val="18"/>
                <w:szCs w:val="18"/>
              </w:rPr>
              <w:t>Th</w:t>
            </w:r>
            <w:r>
              <w:rPr>
                <w:sz w:val="18"/>
                <w:szCs w:val="18"/>
              </w:rPr>
              <w:t>ose in this cohort with unrelated debts</w:t>
            </w:r>
            <w:r w:rsidR="00FF5EFA" w:rsidRPr="00FF6456">
              <w:rPr>
                <w:sz w:val="18"/>
                <w:szCs w:val="18"/>
              </w:rPr>
              <w:t xml:space="preserve"> may </w:t>
            </w:r>
            <w:r w:rsidR="00945339">
              <w:rPr>
                <w:sz w:val="18"/>
                <w:szCs w:val="18"/>
              </w:rPr>
              <w:t xml:space="preserve">see some unfairness </w:t>
            </w:r>
            <w:r w:rsidR="0039673A">
              <w:rPr>
                <w:sz w:val="18"/>
                <w:szCs w:val="18"/>
              </w:rPr>
              <w:t xml:space="preserve">in </w:t>
            </w:r>
            <w:r w:rsidR="00945339">
              <w:rPr>
                <w:sz w:val="18"/>
                <w:szCs w:val="18"/>
              </w:rPr>
              <w:t>that they are not offered a</w:t>
            </w:r>
            <w:r w:rsidR="004262E4">
              <w:rPr>
                <w:sz w:val="18"/>
                <w:szCs w:val="18"/>
              </w:rPr>
              <w:t xml:space="preserve"> partial</w:t>
            </w:r>
            <w:r w:rsidR="00945339">
              <w:rPr>
                <w:sz w:val="18"/>
                <w:szCs w:val="18"/>
              </w:rPr>
              <w:t xml:space="preserve"> waiver</w:t>
            </w:r>
            <w:r w:rsidR="00A73356">
              <w:rPr>
                <w:sz w:val="18"/>
                <w:szCs w:val="18"/>
              </w:rPr>
              <w:t xml:space="preserve"> for their debts</w:t>
            </w:r>
            <w:r w:rsidR="004262E4">
              <w:rPr>
                <w:sz w:val="18"/>
                <w:szCs w:val="18"/>
              </w:rPr>
              <w:t xml:space="preserve">, but this </w:t>
            </w:r>
            <w:r w:rsidR="00A613DB">
              <w:rPr>
                <w:sz w:val="18"/>
                <w:szCs w:val="18"/>
              </w:rPr>
              <w:t>would</w:t>
            </w:r>
            <w:r w:rsidR="00D27FF5">
              <w:rPr>
                <w:sz w:val="18"/>
                <w:szCs w:val="18"/>
              </w:rPr>
              <w:t xml:space="preserve"> be</w:t>
            </w:r>
            <w:r w:rsidR="00A613DB">
              <w:rPr>
                <w:sz w:val="18"/>
                <w:szCs w:val="18"/>
              </w:rPr>
              <w:t xml:space="preserve"> </w:t>
            </w:r>
            <w:r w:rsidR="00D27FF5">
              <w:rPr>
                <w:sz w:val="18"/>
                <w:szCs w:val="18"/>
              </w:rPr>
              <w:t>limited</w:t>
            </w:r>
            <w:r w:rsidR="00A613DB">
              <w:rPr>
                <w:sz w:val="18"/>
                <w:szCs w:val="18"/>
              </w:rPr>
              <w:t xml:space="preserve"> given the </w:t>
            </w:r>
            <w:r w:rsidR="009A3858">
              <w:rPr>
                <w:sz w:val="18"/>
                <w:szCs w:val="18"/>
              </w:rPr>
              <w:t xml:space="preserve">waiver is partial and </w:t>
            </w:r>
            <w:r w:rsidR="00D27FF5">
              <w:rPr>
                <w:sz w:val="18"/>
                <w:szCs w:val="18"/>
              </w:rPr>
              <w:t xml:space="preserve">would only be offered to </w:t>
            </w:r>
            <w:r w:rsidR="0039673A">
              <w:rPr>
                <w:sz w:val="18"/>
                <w:szCs w:val="18"/>
              </w:rPr>
              <w:t>the</w:t>
            </w:r>
            <w:r w:rsidR="00D27FF5">
              <w:rPr>
                <w:sz w:val="18"/>
                <w:szCs w:val="18"/>
              </w:rPr>
              <w:t xml:space="preserve"> cohort subject to </w:t>
            </w:r>
            <w:r w:rsidR="0039673A">
              <w:rPr>
                <w:sz w:val="18"/>
                <w:szCs w:val="18"/>
              </w:rPr>
              <w:t xml:space="preserve">ongoing </w:t>
            </w:r>
            <w:r w:rsidR="00D27FF5">
              <w:rPr>
                <w:sz w:val="18"/>
                <w:szCs w:val="18"/>
              </w:rPr>
              <w:t>pauses</w:t>
            </w:r>
            <w:r w:rsidR="0039673A">
              <w:rPr>
                <w:sz w:val="18"/>
                <w:szCs w:val="18"/>
              </w:rPr>
              <w:t xml:space="preserve"> and delays</w:t>
            </w:r>
            <w:r w:rsidR="00D27FF5">
              <w:rPr>
                <w:sz w:val="18"/>
                <w:szCs w:val="18"/>
              </w:rPr>
              <w:t xml:space="preserve">. </w:t>
            </w:r>
          </w:p>
          <w:p w14:paraId="6B6C5CEF" w14:textId="77777777" w:rsidR="00FF5EFA" w:rsidRDefault="00FF5EFA" w:rsidP="00FF5EFA">
            <w:pPr>
              <w:rPr>
                <w:b/>
                <w:bCs/>
                <w:sz w:val="18"/>
                <w:szCs w:val="18"/>
              </w:rPr>
            </w:pPr>
            <w:r w:rsidRPr="00300641">
              <w:rPr>
                <w:b/>
                <w:bCs/>
                <w:sz w:val="18"/>
                <w:szCs w:val="18"/>
              </w:rPr>
              <w:t xml:space="preserve">Timeliness </w:t>
            </w:r>
            <w:r>
              <w:rPr>
                <w:b/>
                <w:bCs/>
                <w:sz w:val="18"/>
                <w:szCs w:val="18"/>
              </w:rPr>
              <w:t>(0)</w:t>
            </w:r>
          </w:p>
          <w:p w14:paraId="37362726" w14:textId="77777777" w:rsidR="00FF5EFA" w:rsidRDefault="00FF5EFA" w:rsidP="00FF5EFA">
            <w:pPr>
              <w:rPr>
                <w:sz w:val="18"/>
                <w:szCs w:val="18"/>
              </w:rPr>
            </w:pPr>
            <w:r>
              <w:rPr>
                <w:sz w:val="18"/>
                <w:szCs w:val="18"/>
              </w:rPr>
              <w:t>This cohort would not be affected by timeliness of this option.</w:t>
            </w:r>
          </w:p>
          <w:p w14:paraId="3388AD0E" w14:textId="74CC3D4A" w:rsidR="00FF5EFA" w:rsidRDefault="00FF5EFA" w:rsidP="00FF5EFA">
            <w:pPr>
              <w:rPr>
                <w:b/>
                <w:bCs/>
                <w:sz w:val="18"/>
                <w:szCs w:val="18"/>
              </w:rPr>
            </w:pPr>
            <w:r w:rsidRPr="00E13E50">
              <w:rPr>
                <w:b/>
                <w:bCs/>
                <w:sz w:val="18"/>
                <w:szCs w:val="18"/>
              </w:rPr>
              <w:t>Overall</w:t>
            </w:r>
            <w:r>
              <w:rPr>
                <w:b/>
                <w:bCs/>
                <w:sz w:val="18"/>
                <w:szCs w:val="18"/>
              </w:rPr>
              <w:t xml:space="preserve"> (</w:t>
            </w:r>
            <w:r w:rsidR="00860367">
              <w:rPr>
                <w:b/>
                <w:bCs/>
                <w:sz w:val="18"/>
                <w:szCs w:val="18"/>
              </w:rPr>
              <w:t>0</w:t>
            </w:r>
            <w:r>
              <w:rPr>
                <w:b/>
                <w:bCs/>
                <w:sz w:val="18"/>
                <w:szCs w:val="18"/>
              </w:rPr>
              <w:t>)</w:t>
            </w:r>
          </w:p>
          <w:p w14:paraId="1D63BA2B" w14:textId="07A7D1D8" w:rsidR="00FF5EFA" w:rsidRPr="00885A7A" w:rsidRDefault="00FF5EFA" w:rsidP="00FF5EFA">
            <w:pPr>
              <w:rPr>
                <w:sz w:val="18"/>
                <w:szCs w:val="18"/>
              </w:rPr>
            </w:pPr>
            <w:r>
              <w:rPr>
                <w:sz w:val="18"/>
                <w:szCs w:val="18"/>
              </w:rPr>
              <w:t xml:space="preserve">Impact </w:t>
            </w:r>
            <w:r w:rsidRPr="00885A7A">
              <w:rPr>
                <w:sz w:val="18"/>
                <w:szCs w:val="18"/>
              </w:rPr>
              <w:t xml:space="preserve">on this cohort is </w:t>
            </w:r>
            <w:r>
              <w:rPr>
                <w:sz w:val="18"/>
                <w:szCs w:val="18"/>
              </w:rPr>
              <w:t xml:space="preserve">minimal </w:t>
            </w:r>
            <w:r w:rsidR="00EF5139">
              <w:rPr>
                <w:sz w:val="18"/>
                <w:szCs w:val="18"/>
              </w:rPr>
              <w:t>overall</w:t>
            </w:r>
            <w:r w:rsidR="00860367">
              <w:rPr>
                <w:sz w:val="18"/>
                <w:szCs w:val="18"/>
              </w:rPr>
              <w:t>.</w:t>
            </w:r>
          </w:p>
          <w:p w14:paraId="086FDB04" w14:textId="77777777" w:rsidR="00FF5EFA" w:rsidRPr="00300641" w:rsidRDefault="00FF5EFA" w:rsidP="00FF5EFA">
            <w:pPr>
              <w:rPr>
                <w:b/>
                <w:bCs/>
                <w:sz w:val="18"/>
                <w:szCs w:val="18"/>
              </w:rPr>
            </w:pPr>
          </w:p>
        </w:tc>
        <w:tc>
          <w:tcPr>
            <w:tcW w:w="671" w:type="pct"/>
          </w:tcPr>
          <w:p w14:paraId="1982C829" w14:textId="77777777" w:rsidR="00FF5EFA" w:rsidRPr="00C8562D" w:rsidRDefault="00FF5EFA" w:rsidP="00FF5EFA">
            <w:pPr>
              <w:rPr>
                <w:b/>
                <w:bCs/>
                <w:sz w:val="18"/>
                <w:szCs w:val="18"/>
              </w:rPr>
            </w:pPr>
            <w:r w:rsidRPr="00300641">
              <w:rPr>
                <w:b/>
                <w:bCs/>
                <w:sz w:val="18"/>
                <w:szCs w:val="18"/>
              </w:rPr>
              <w:t>Fairness</w:t>
            </w:r>
            <w:r>
              <w:rPr>
                <w:b/>
                <w:bCs/>
                <w:sz w:val="18"/>
                <w:szCs w:val="18"/>
              </w:rPr>
              <w:t xml:space="preserve"> (0)</w:t>
            </w:r>
          </w:p>
          <w:p w14:paraId="6AAD785F" w14:textId="389D0C74" w:rsidR="001C59B0" w:rsidRPr="00FF6456" w:rsidRDefault="0039673A" w:rsidP="00FF5EFA">
            <w:pPr>
              <w:rPr>
                <w:sz w:val="18"/>
                <w:szCs w:val="18"/>
              </w:rPr>
            </w:pPr>
            <w:r w:rsidRPr="00FF6456">
              <w:rPr>
                <w:sz w:val="18"/>
                <w:szCs w:val="18"/>
              </w:rPr>
              <w:t>Th</w:t>
            </w:r>
            <w:r>
              <w:rPr>
                <w:sz w:val="18"/>
                <w:szCs w:val="18"/>
              </w:rPr>
              <w:t>ose in this cohort with unrelated debts</w:t>
            </w:r>
            <w:r w:rsidRPr="00FF6456">
              <w:rPr>
                <w:sz w:val="18"/>
                <w:szCs w:val="18"/>
              </w:rPr>
              <w:t xml:space="preserve"> may </w:t>
            </w:r>
            <w:r>
              <w:rPr>
                <w:sz w:val="18"/>
                <w:szCs w:val="18"/>
              </w:rPr>
              <w:t xml:space="preserve">see some unfairness in that they are not offered a </w:t>
            </w:r>
            <w:r w:rsidR="00F256EF">
              <w:rPr>
                <w:sz w:val="18"/>
                <w:szCs w:val="18"/>
              </w:rPr>
              <w:t>resolution payment</w:t>
            </w:r>
            <w:r>
              <w:rPr>
                <w:sz w:val="18"/>
                <w:szCs w:val="18"/>
              </w:rPr>
              <w:t xml:space="preserve">, but this would be limited given the </w:t>
            </w:r>
            <w:r w:rsidR="00F256EF">
              <w:rPr>
                <w:sz w:val="18"/>
                <w:szCs w:val="18"/>
              </w:rPr>
              <w:t>resolution payment</w:t>
            </w:r>
            <w:r w:rsidR="000F513C">
              <w:rPr>
                <w:sz w:val="18"/>
                <w:szCs w:val="18"/>
              </w:rPr>
              <w:t xml:space="preserve"> is limited </w:t>
            </w:r>
            <w:r>
              <w:rPr>
                <w:sz w:val="18"/>
                <w:szCs w:val="18"/>
              </w:rPr>
              <w:t xml:space="preserve">and would only be offered to the cohort </w:t>
            </w:r>
            <w:r w:rsidR="00E90981">
              <w:rPr>
                <w:sz w:val="18"/>
                <w:szCs w:val="18"/>
              </w:rPr>
              <w:t>with debts affected by income apportionment.</w:t>
            </w:r>
          </w:p>
          <w:p w14:paraId="3D730176" w14:textId="77777777" w:rsidR="00FF5EFA" w:rsidRDefault="00FF5EFA" w:rsidP="00FF5EFA">
            <w:pPr>
              <w:rPr>
                <w:b/>
                <w:bCs/>
                <w:sz w:val="18"/>
                <w:szCs w:val="18"/>
              </w:rPr>
            </w:pPr>
            <w:r w:rsidRPr="00300641">
              <w:rPr>
                <w:b/>
                <w:bCs/>
                <w:sz w:val="18"/>
                <w:szCs w:val="18"/>
              </w:rPr>
              <w:t xml:space="preserve">Timeliness </w:t>
            </w:r>
            <w:r>
              <w:rPr>
                <w:b/>
                <w:bCs/>
                <w:sz w:val="18"/>
                <w:szCs w:val="18"/>
              </w:rPr>
              <w:t>(0)</w:t>
            </w:r>
          </w:p>
          <w:p w14:paraId="000BE87C" w14:textId="77777777" w:rsidR="00FF5EFA" w:rsidRDefault="00FF5EFA" w:rsidP="00FF5EFA">
            <w:pPr>
              <w:rPr>
                <w:sz w:val="18"/>
                <w:szCs w:val="18"/>
              </w:rPr>
            </w:pPr>
            <w:r>
              <w:rPr>
                <w:sz w:val="18"/>
                <w:szCs w:val="18"/>
              </w:rPr>
              <w:t>This cohort would not be affected by timeliness of this option.</w:t>
            </w:r>
          </w:p>
          <w:p w14:paraId="63E27DA4" w14:textId="77777777" w:rsidR="00FF5EFA" w:rsidRDefault="00FF5EFA" w:rsidP="00FF5EFA">
            <w:pPr>
              <w:rPr>
                <w:b/>
                <w:bCs/>
                <w:sz w:val="18"/>
                <w:szCs w:val="18"/>
              </w:rPr>
            </w:pPr>
            <w:r w:rsidRPr="00E13E50">
              <w:rPr>
                <w:b/>
                <w:bCs/>
                <w:sz w:val="18"/>
                <w:szCs w:val="18"/>
              </w:rPr>
              <w:t>Overall</w:t>
            </w:r>
            <w:r>
              <w:rPr>
                <w:b/>
                <w:bCs/>
                <w:sz w:val="18"/>
                <w:szCs w:val="18"/>
              </w:rPr>
              <w:t xml:space="preserve"> (0)</w:t>
            </w:r>
          </w:p>
          <w:p w14:paraId="5C0D2EBA" w14:textId="77777777" w:rsidR="00860367" w:rsidRPr="00885A7A" w:rsidRDefault="00860367" w:rsidP="00860367">
            <w:pPr>
              <w:rPr>
                <w:sz w:val="18"/>
                <w:szCs w:val="18"/>
              </w:rPr>
            </w:pPr>
            <w:r>
              <w:rPr>
                <w:sz w:val="18"/>
                <w:szCs w:val="18"/>
              </w:rPr>
              <w:t xml:space="preserve">Impact </w:t>
            </w:r>
            <w:r w:rsidRPr="00885A7A">
              <w:rPr>
                <w:sz w:val="18"/>
                <w:szCs w:val="18"/>
              </w:rPr>
              <w:t xml:space="preserve">on this cohort is </w:t>
            </w:r>
            <w:r>
              <w:rPr>
                <w:sz w:val="18"/>
                <w:szCs w:val="18"/>
              </w:rPr>
              <w:t>minimal overall.</w:t>
            </w:r>
          </w:p>
          <w:p w14:paraId="75195752" w14:textId="77777777" w:rsidR="00FF5EFA" w:rsidRPr="00300641" w:rsidRDefault="00FF5EFA" w:rsidP="001C59B0">
            <w:pPr>
              <w:rPr>
                <w:b/>
                <w:bCs/>
                <w:sz w:val="18"/>
                <w:szCs w:val="18"/>
              </w:rPr>
            </w:pPr>
          </w:p>
        </w:tc>
      </w:tr>
      <w:tr w:rsidR="00C03C21" w14:paraId="2BBEC943" w14:textId="64CCF439" w:rsidTr="00635804">
        <w:trPr>
          <w:trHeight w:val="1480"/>
        </w:trPr>
        <w:tc>
          <w:tcPr>
            <w:tcW w:w="379" w:type="pct"/>
          </w:tcPr>
          <w:p w14:paraId="7BDE6B8D" w14:textId="1C9B4FA9" w:rsidR="00FF5EFA" w:rsidRDefault="00FF5EFA" w:rsidP="00FF5EFA">
            <w:pPr>
              <w:rPr>
                <w:b/>
                <w:bCs/>
              </w:rPr>
            </w:pPr>
            <w:r>
              <w:rPr>
                <w:b/>
                <w:bCs/>
              </w:rPr>
              <w:t xml:space="preserve">Employers and financial institutions </w:t>
            </w:r>
          </w:p>
        </w:tc>
        <w:tc>
          <w:tcPr>
            <w:tcW w:w="95" w:type="pct"/>
            <w:shd w:val="clear" w:color="auto" w:fill="FFFF00"/>
            <w:vAlign w:val="center"/>
          </w:tcPr>
          <w:p w14:paraId="419E1213" w14:textId="1BB3458D" w:rsidR="00FF5EFA" w:rsidRPr="00D93763" w:rsidRDefault="00563949" w:rsidP="00D83C1C">
            <w:pPr>
              <w:jc w:val="center"/>
              <w:rPr>
                <w:b/>
                <w:bCs/>
                <w:sz w:val="20"/>
                <w:szCs w:val="20"/>
              </w:rPr>
            </w:pPr>
            <w:r w:rsidRPr="00D93763">
              <w:rPr>
                <w:b/>
                <w:bCs/>
                <w:sz w:val="20"/>
                <w:szCs w:val="20"/>
              </w:rPr>
              <w:t>0</w:t>
            </w:r>
          </w:p>
        </w:tc>
        <w:tc>
          <w:tcPr>
            <w:tcW w:w="95" w:type="pct"/>
            <w:shd w:val="clear" w:color="auto" w:fill="FFFF00"/>
            <w:vAlign w:val="center"/>
          </w:tcPr>
          <w:p w14:paraId="1ED0F6D6" w14:textId="477FFEA6" w:rsidR="00FF5EFA" w:rsidRPr="00D93763" w:rsidRDefault="00563949" w:rsidP="00D83C1C">
            <w:pPr>
              <w:jc w:val="center"/>
              <w:rPr>
                <w:b/>
                <w:bCs/>
                <w:sz w:val="20"/>
                <w:szCs w:val="20"/>
              </w:rPr>
            </w:pPr>
            <w:r w:rsidRPr="00D93763">
              <w:rPr>
                <w:b/>
                <w:bCs/>
                <w:sz w:val="20"/>
                <w:szCs w:val="20"/>
              </w:rPr>
              <w:t>0</w:t>
            </w:r>
          </w:p>
        </w:tc>
        <w:tc>
          <w:tcPr>
            <w:tcW w:w="95" w:type="pct"/>
            <w:shd w:val="clear" w:color="auto" w:fill="FF0000"/>
            <w:vAlign w:val="center"/>
          </w:tcPr>
          <w:p w14:paraId="519A37E6" w14:textId="14590AA3" w:rsidR="00FF5EFA" w:rsidRPr="00D93763" w:rsidRDefault="006A5DD5" w:rsidP="00D83C1C">
            <w:pPr>
              <w:jc w:val="center"/>
              <w:rPr>
                <w:sz w:val="20"/>
                <w:szCs w:val="20"/>
              </w:rPr>
            </w:pPr>
            <w:r w:rsidRPr="00D93763">
              <w:rPr>
                <w:b/>
                <w:bCs/>
                <w:sz w:val="20"/>
                <w:szCs w:val="20"/>
              </w:rPr>
              <w:t>-2</w:t>
            </w:r>
          </w:p>
        </w:tc>
        <w:tc>
          <w:tcPr>
            <w:tcW w:w="95" w:type="pct"/>
            <w:shd w:val="clear" w:color="auto" w:fill="FFFF00"/>
            <w:vAlign w:val="center"/>
          </w:tcPr>
          <w:p w14:paraId="245F4953" w14:textId="36F9CB02" w:rsidR="00FF5EFA" w:rsidRPr="00D93763" w:rsidRDefault="006A5DD5" w:rsidP="00D83C1C">
            <w:pPr>
              <w:jc w:val="center"/>
              <w:rPr>
                <w:sz w:val="20"/>
                <w:szCs w:val="20"/>
              </w:rPr>
            </w:pPr>
            <w:r w:rsidRPr="00D93763">
              <w:rPr>
                <w:b/>
                <w:bCs/>
                <w:sz w:val="20"/>
                <w:szCs w:val="20"/>
              </w:rPr>
              <w:t>0</w:t>
            </w:r>
          </w:p>
        </w:tc>
        <w:tc>
          <w:tcPr>
            <w:tcW w:w="95" w:type="pct"/>
            <w:shd w:val="clear" w:color="auto" w:fill="FFFF00"/>
            <w:vAlign w:val="center"/>
          </w:tcPr>
          <w:p w14:paraId="4166C6CE" w14:textId="67708108" w:rsidR="00FF5EFA" w:rsidRPr="00D93763" w:rsidRDefault="006A5DD5" w:rsidP="00D93763">
            <w:pPr>
              <w:jc w:val="center"/>
              <w:rPr>
                <w:b/>
                <w:bCs/>
                <w:sz w:val="20"/>
                <w:szCs w:val="20"/>
              </w:rPr>
            </w:pPr>
            <w:r w:rsidRPr="00D93763">
              <w:rPr>
                <w:b/>
                <w:bCs/>
                <w:sz w:val="20"/>
                <w:szCs w:val="20"/>
              </w:rPr>
              <w:t>0</w:t>
            </w:r>
          </w:p>
        </w:tc>
        <w:tc>
          <w:tcPr>
            <w:tcW w:w="95" w:type="pct"/>
            <w:shd w:val="clear" w:color="auto" w:fill="FFFF00"/>
            <w:vAlign w:val="center"/>
          </w:tcPr>
          <w:p w14:paraId="62E4CA21" w14:textId="007AC160" w:rsidR="00FF5EFA" w:rsidRPr="00D93763" w:rsidRDefault="006A5DD5" w:rsidP="00D93763">
            <w:pPr>
              <w:jc w:val="center"/>
              <w:rPr>
                <w:b/>
                <w:bCs/>
                <w:sz w:val="20"/>
                <w:szCs w:val="20"/>
              </w:rPr>
            </w:pPr>
            <w:r w:rsidRPr="00D93763">
              <w:rPr>
                <w:b/>
                <w:bCs/>
                <w:sz w:val="20"/>
                <w:szCs w:val="20"/>
              </w:rPr>
              <w:t>0</w:t>
            </w:r>
          </w:p>
        </w:tc>
        <w:tc>
          <w:tcPr>
            <w:tcW w:w="676" w:type="pct"/>
          </w:tcPr>
          <w:p w14:paraId="38B50F0E" w14:textId="5F05218B" w:rsidR="00FF5EFA" w:rsidRDefault="00FF5EFA" w:rsidP="00FF5EFA">
            <w:pPr>
              <w:rPr>
                <w:b/>
                <w:bCs/>
                <w:sz w:val="18"/>
                <w:szCs w:val="18"/>
              </w:rPr>
            </w:pPr>
            <w:r w:rsidRPr="003470B0">
              <w:rPr>
                <w:b/>
                <w:bCs/>
                <w:sz w:val="18"/>
                <w:szCs w:val="18"/>
              </w:rPr>
              <w:t>Fairness</w:t>
            </w:r>
            <w:r>
              <w:rPr>
                <w:b/>
                <w:bCs/>
                <w:sz w:val="18"/>
                <w:szCs w:val="18"/>
              </w:rPr>
              <w:t xml:space="preserve"> (0)</w:t>
            </w:r>
          </w:p>
          <w:p w14:paraId="3726064A" w14:textId="44BC9928" w:rsidR="00CD0D54" w:rsidRPr="00FF52D6" w:rsidRDefault="00CD0D54" w:rsidP="00CD0D54">
            <w:pPr>
              <w:rPr>
                <w:sz w:val="18"/>
                <w:szCs w:val="18"/>
              </w:rPr>
            </w:pPr>
            <w:r w:rsidRPr="00FF52D6">
              <w:rPr>
                <w:sz w:val="18"/>
                <w:szCs w:val="18"/>
              </w:rPr>
              <w:t xml:space="preserve">This cohort would not be affected </w:t>
            </w:r>
            <w:r w:rsidR="67C6D1BF" w:rsidRPr="71C547A4">
              <w:rPr>
                <w:sz w:val="18"/>
                <w:szCs w:val="18"/>
              </w:rPr>
              <w:t>by</w:t>
            </w:r>
            <w:r w:rsidR="219CFDA4" w:rsidRPr="71C547A4">
              <w:rPr>
                <w:sz w:val="18"/>
                <w:szCs w:val="18"/>
              </w:rPr>
              <w:t xml:space="preserve"> </w:t>
            </w:r>
            <w:r w:rsidR="219CFDA4" w:rsidRPr="7921E71F">
              <w:rPr>
                <w:sz w:val="18"/>
                <w:szCs w:val="18"/>
              </w:rPr>
              <w:t>the</w:t>
            </w:r>
            <w:r w:rsidRPr="00FF52D6">
              <w:rPr>
                <w:sz w:val="18"/>
                <w:szCs w:val="18"/>
              </w:rPr>
              <w:t xml:space="preserve"> </w:t>
            </w:r>
            <w:r>
              <w:rPr>
                <w:sz w:val="18"/>
                <w:szCs w:val="18"/>
              </w:rPr>
              <w:t>fairness</w:t>
            </w:r>
            <w:r w:rsidRPr="00FF52D6">
              <w:rPr>
                <w:sz w:val="18"/>
                <w:szCs w:val="18"/>
              </w:rPr>
              <w:t xml:space="preserve"> of this option.</w:t>
            </w:r>
          </w:p>
          <w:p w14:paraId="150F5358" w14:textId="5DD691DF" w:rsidR="00FF5EFA" w:rsidRDefault="00FF5EFA" w:rsidP="00FF5EFA">
            <w:pPr>
              <w:rPr>
                <w:b/>
                <w:bCs/>
                <w:sz w:val="18"/>
                <w:szCs w:val="18"/>
              </w:rPr>
            </w:pPr>
            <w:r w:rsidRPr="003470B0">
              <w:rPr>
                <w:b/>
                <w:bCs/>
                <w:sz w:val="18"/>
                <w:szCs w:val="18"/>
              </w:rPr>
              <w:t xml:space="preserve">Timeliness </w:t>
            </w:r>
            <w:r>
              <w:rPr>
                <w:b/>
                <w:bCs/>
                <w:sz w:val="18"/>
                <w:szCs w:val="18"/>
              </w:rPr>
              <w:t>(0)</w:t>
            </w:r>
          </w:p>
          <w:p w14:paraId="1B9F63DF" w14:textId="3B221791" w:rsidR="00CD0D54" w:rsidRDefault="00CD0D54" w:rsidP="00FF5EFA">
            <w:pPr>
              <w:rPr>
                <w:sz w:val="18"/>
                <w:szCs w:val="18"/>
              </w:rPr>
            </w:pPr>
            <w:r w:rsidRPr="00FF52D6">
              <w:rPr>
                <w:sz w:val="18"/>
                <w:szCs w:val="18"/>
              </w:rPr>
              <w:t xml:space="preserve">This cohort would not be affected by </w:t>
            </w:r>
            <w:r w:rsidR="00726B7A">
              <w:rPr>
                <w:sz w:val="18"/>
                <w:szCs w:val="18"/>
              </w:rPr>
              <w:t xml:space="preserve">the timeliness </w:t>
            </w:r>
            <w:r w:rsidRPr="00FF52D6">
              <w:rPr>
                <w:sz w:val="18"/>
                <w:szCs w:val="18"/>
              </w:rPr>
              <w:t>of this option.</w:t>
            </w:r>
          </w:p>
          <w:p w14:paraId="327362F6" w14:textId="77777777" w:rsidR="00FF5EFA" w:rsidRPr="00C42F86" w:rsidRDefault="00FF5EFA" w:rsidP="00FF5EFA">
            <w:pPr>
              <w:rPr>
                <w:b/>
                <w:bCs/>
                <w:sz w:val="18"/>
                <w:szCs w:val="18"/>
              </w:rPr>
            </w:pPr>
            <w:r w:rsidRPr="00C42F86">
              <w:rPr>
                <w:b/>
                <w:bCs/>
                <w:sz w:val="18"/>
                <w:szCs w:val="18"/>
              </w:rPr>
              <w:t>Overall (0)</w:t>
            </w:r>
          </w:p>
          <w:p w14:paraId="0CE4F792" w14:textId="301A0F98" w:rsidR="00FF5EFA" w:rsidRPr="00FF6456" w:rsidRDefault="002645FA" w:rsidP="00FF5EFA">
            <w:pPr>
              <w:rPr>
                <w:sz w:val="18"/>
                <w:szCs w:val="18"/>
              </w:rPr>
            </w:pPr>
            <w:r w:rsidRPr="00605DC6">
              <w:rPr>
                <w:sz w:val="18"/>
                <w:szCs w:val="18"/>
              </w:rPr>
              <w:t>Impact on this cohort is minimal overall.</w:t>
            </w:r>
          </w:p>
        </w:tc>
        <w:tc>
          <w:tcPr>
            <w:tcW w:w="676" w:type="pct"/>
          </w:tcPr>
          <w:p w14:paraId="4462F9DF" w14:textId="5722FCD1" w:rsidR="00FF5EFA" w:rsidRPr="002C237E" w:rsidRDefault="00FF5EFA" w:rsidP="00FF5EFA">
            <w:pPr>
              <w:rPr>
                <w:b/>
                <w:bCs/>
                <w:sz w:val="18"/>
                <w:szCs w:val="18"/>
              </w:rPr>
            </w:pPr>
            <w:r w:rsidRPr="00300641">
              <w:rPr>
                <w:b/>
                <w:bCs/>
                <w:sz w:val="18"/>
                <w:szCs w:val="18"/>
              </w:rPr>
              <w:t>Fairness</w:t>
            </w:r>
            <w:r>
              <w:rPr>
                <w:b/>
                <w:bCs/>
                <w:sz w:val="18"/>
                <w:szCs w:val="18"/>
              </w:rPr>
              <w:t xml:space="preserve"> (0)</w:t>
            </w:r>
          </w:p>
          <w:p w14:paraId="08BFCD99" w14:textId="77777777" w:rsidR="00E86AE3" w:rsidRPr="00FF52D6" w:rsidRDefault="00E86AE3" w:rsidP="00E86AE3">
            <w:pPr>
              <w:rPr>
                <w:sz w:val="18"/>
                <w:szCs w:val="18"/>
              </w:rPr>
            </w:pPr>
            <w:r w:rsidRPr="00FF52D6">
              <w:rPr>
                <w:sz w:val="18"/>
                <w:szCs w:val="18"/>
              </w:rPr>
              <w:t xml:space="preserve">This cohort would not be affected by </w:t>
            </w:r>
            <w:r>
              <w:rPr>
                <w:sz w:val="18"/>
                <w:szCs w:val="18"/>
              </w:rPr>
              <w:t>fairness</w:t>
            </w:r>
            <w:r w:rsidRPr="00FF52D6">
              <w:rPr>
                <w:sz w:val="18"/>
                <w:szCs w:val="18"/>
              </w:rPr>
              <w:t xml:space="preserve"> of this option.</w:t>
            </w:r>
          </w:p>
          <w:p w14:paraId="085BAEB2" w14:textId="6A5125B6" w:rsidR="00FF5EFA" w:rsidRDefault="00FF5EFA" w:rsidP="00FF5EFA">
            <w:pPr>
              <w:rPr>
                <w:b/>
                <w:bCs/>
                <w:sz w:val="18"/>
                <w:szCs w:val="18"/>
              </w:rPr>
            </w:pPr>
            <w:r w:rsidRPr="00300641">
              <w:rPr>
                <w:b/>
                <w:bCs/>
                <w:sz w:val="18"/>
                <w:szCs w:val="18"/>
              </w:rPr>
              <w:t xml:space="preserve">Timeliness </w:t>
            </w:r>
            <w:r>
              <w:rPr>
                <w:b/>
                <w:bCs/>
                <w:sz w:val="18"/>
                <w:szCs w:val="18"/>
              </w:rPr>
              <w:t>(0)</w:t>
            </w:r>
          </w:p>
          <w:p w14:paraId="73FF8628" w14:textId="71BA68C7" w:rsidR="00FF5EFA" w:rsidRDefault="00E86AE3" w:rsidP="00FF5EFA">
            <w:pPr>
              <w:rPr>
                <w:sz w:val="18"/>
                <w:szCs w:val="18"/>
              </w:rPr>
            </w:pPr>
            <w:r w:rsidRPr="00FF52D6">
              <w:rPr>
                <w:sz w:val="18"/>
                <w:szCs w:val="18"/>
              </w:rPr>
              <w:t xml:space="preserve">This cohort would not be affected by </w:t>
            </w:r>
            <w:r>
              <w:rPr>
                <w:sz w:val="18"/>
                <w:szCs w:val="18"/>
              </w:rPr>
              <w:t xml:space="preserve">the timeliness </w:t>
            </w:r>
            <w:r w:rsidRPr="00FF52D6">
              <w:rPr>
                <w:sz w:val="18"/>
                <w:szCs w:val="18"/>
              </w:rPr>
              <w:t>of this option</w:t>
            </w:r>
            <w:r w:rsidR="00FF5EFA">
              <w:rPr>
                <w:sz w:val="18"/>
                <w:szCs w:val="18"/>
              </w:rPr>
              <w:t xml:space="preserve">. </w:t>
            </w:r>
          </w:p>
          <w:p w14:paraId="5FE67790" w14:textId="77777777" w:rsidR="00FF5EFA" w:rsidRPr="00C42F86" w:rsidRDefault="00FF5EFA" w:rsidP="00FF5EFA">
            <w:pPr>
              <w:rPr>
                <w:b/>
                <w:bCs/>
                <w:sz w:val="18"/>
                <w:szCs w:val="18"/>
              </w:rPr>
            </w:pPr>
            <w:r w:rsidRPr="00C42F86">
              <w:rPr>
                <w:b/>
                <w:bCs/>
                <w:sz w:val="18"/>
                <w:szCs w:val="18"/>
              </w:rPr>
              <w:t>Overall (0)</w:t>
            </w:r>
          </w:p>
          <w:p w14:paraId="1DC5A39F" w14:textId="79CB8B81" w:rsidR="00FF5EFA" w:rsidRPr="00FF6456" w:rsidRDefault="00BC3440" w:rsidP="00FF5EFA">
            <w:pPr>
              <w:rPr>
                <w:sz w:val="18"/>
                <w:szCs w:val="18"/>
              </w:rPr>
            </w:pPr>
            <w:r w:rsidRPr="00605DC6">
              <w:rPr>
                <w:sz w:val="18"/>
                <w:szCs w:val="18"/>
              </w:rPr>
              <w:t>Impact on this cohort is minimal overall.</w:t>
            </w:r>
          </w:p>
        </w:tc>
        <w:tc>
          <w:tcPr>
            <w:tcW w:w="676" w:type="pct"/>
          </w:tcPr>
          <w:p w14:paraId="2B7F00DA" w14:textId="10B3DB69" w:rsidR="00FF5EFA" w:rsidRPr="005829FD" w:rsidRDefault="00FF5EFA" w:rsidP="00FF5EFA">
            <w:pPr>
              <w:rPr>
                <w:b/>
                <w:bCs/>
                <w:sz w:val="18"/>
                <w:szCs w:val="18"/>
              </w:rPr>
            </w:pPr>
            <w:r w:rsidRPr="005829FD">
              <w:rPr>
                <w:b/>
                <w:bCs/>
                <w:sz w:val="18"/>
                <w:szCs w:val="18"/>
              </w:rPr>
              <w:t xml:space="preserve">Fairness (- </w:t>
            </w:r>
            <w:r w:rsidR="000936D5" w:rsidRPr="005829FD">
              <w:rPr>
                <w:b/>
                <w:bCs/>
                <w:sz w:val="18"/>
                <w:szCs w:val="18"/>
              </w:rPr>
              <w:t>3</w:t>
            </w:r>
            <w:r w:rsidRPr="005829FD">
              <w:rPr>
                <w:b/>
                <w:bCs/>
                <w:sz w:val="18"/>
                <w:szCs w:val="18"/>
              </w:rPr>
              <w:t>)</w:t>
            </w:r>
          </w:p>
          <w:p w14:paraId="50EBAFA3" w14:textId="1A6F2205" w:rsidR="00FF5EFA" w:rsidRPr="005829FD" w:rsidRDefault="006A1CA8" w:rsidP="00FF5EFA">
            <w:pPr>
              <w:rPr>
                <w:sz w:val="18"/>
                <w:szCs w:val="18"/>
              </w:rPr>
            </w:pPr>
            <w:r w:rsidRPr="005829FD">
              <w:rPr>
                <w:sz w:val="18"/>
                <w:szCs w:val="18"/>
              </w:rPr>
              <w:t>This option could place significant</w:t>
            </w:r>
            <w:r w:rsidR="00BD074E" w:rsidRPr="005829FD">
              <w:rPr>
                <w:sz w:val="18"/>
                <w:szCs w:val="18"/>
              </w:rPr>
              <w:t xml:space="preserve">, negative </w:t>
            </w:r>
            <w:r w:rsidRPr="005829FD">
              <w:rPr>
                <w:sz w:val="18"/>
                <w:szCs w:val="18"/>
              </w:rPr>
              <w:t>impost on this cohort</w:t>
            </w:r>
            <w:r w:rsidR="008A2FF1" w:rsidRPr="005829FD">
              <w:rPr>
                <w:sz w:val="18"/>
                <w:szCs w:val="18"/>
              </w:rPr>
              <w:t>, who may be contacted and</w:t>
            </w:r>
            <w:r w:rsidR="00FF5EFA" w:rsidRPr="005829FD">
              <w:rPr>
                <w:sz w:val="18"/>
                <w:szCs w:val="18"/>
              </w:rPr>
              <w:t xml:space="preserve"> required to </w:t>
            </w:r>
            <w:proofErr w:type="gramStart"/>
            <w:r w:rsidR="00FF5EFA" w:rsidRPr="005829FD">
              <w:rPr>
                <w:sz w:val="18"/>
                <w:szCs w:val="18"/>
              </w:rPr>
              <w:t>provided</w:t>
            </w:r>
            <w:proofErr w:type="gramEnd"/>
            <w:r w:rsidR="00FF5EFA" w:rsidRPr="005829FD">
              <w:rPr>
                <w:sz w:val="18"/>
                <w:szCs w:val="18"/>
              </w:rPr>
              <w:t xml:space="preserve"> </w:t>
            </w:r>
            <w:r w:rsidR="00F0600D">
              <w:rPr>
                <w:sz w:val="18"/>
                <w:szCs w:val="18"/>
              </w:rPr>
              <w:t>additional information</w:t>
            </w:r>
            <w:r w:rsidR="0CD992D8" w:rsidRPr="2886BCA3">
              <w:rPr>
                <w:sz w:val="18"/>
                <w:szCs w:val="18"/>
              </w:rPr>
              <w:t>.</w:t>
            </w:r>
            <w:r w:rsidR="009E3A67" w:rsidRPr="005829FD">
              <w:rPr>
                <w:sz w:val="18"/>
                <w:szCs w:val="18"/>
              </w:rPr>
              <w:t xml:space="preserve"> While organisations may not still hold the evidence required (</w:t>
            </w:r>
            <w:r w:rsidR="00075987" w:rsidRPr="005829FD">
              <w:rPr>
                <w:sz w:val="18"/>
                <w:szCs w:val="18"/>
              </w:rPr>
              <w:t xml:space="preserve">the average age of affected debts is 19 years), </w:t>
            </w:r>
            <w:r w:rsidR="00075987" w:rsidRPr="004251ED">
              <w:rPr>
                <w:sz w:val="18"/>
                <w:szCs w:val="18"/>
              </w:rPr>
              <w:t xml:space="preserve">Services Australia would </w:t>
            </w:r>
            <w:r w:rsidR="61121260" w:rsidRPr="6C863408">
              <w:rPr>
                <w:sz w:val="18"/>
                <w:szCs w:val="18"/>
              </w:rPr>
              <w:t>ne</w:t>
            </w:r>
            <w:r w:rsidR="55C1B544" w:rsidRPr="6C863408">
              <w:rPr>
                <w:sz w:val="18"/>
                <w:szCs w:val="18"/>
              </w:rPr>
              <w:t>ed</w:t>
            </w:r>
            <w:r w:rsidR="00075987" w:rsidRPr="004251ED">
              <w:rPr>
                <w:sz w:val="18"/>
                <w:szCs w:val="18"/>
              </w:rPr>
              <w:t xml:space="preserve"> to undertake due diligence</w:t>
            </w:r>
            <w:r w:rsidR="00590FE7" w:rsidRPr="004251ED">
              <w:rPr>
                <w:sz w:val="18"/>
                <w:szCs w:val="18"/>
              </w:rPr>
              <w:t xml:space="preserve"> nonetheless.</w:t>
            </w:r>
          </w:p>
          <w:p w14:paraId="6FB9EB21" w14:textId="21497E84" w:rsidR="00FF5EFA" w:rsidRPr="005829FD" w:rsidRDefault="00FF5EFA" w:rsidP="00FF5EFA">
            <w:pPr>
              <w:rPr>
                <w:b/>
                <w:bCs/>
                <w:sz w:val="18"/>
                <w:szCs w:val="18"/>
              </w:rPr>
            </w:pPr>
            <w:r w:rsidRPr="005829FD">
              <w:rPr>
                <w:b/>
                <w:bCs/>
                <w:sz w:val="18"/>
                <w:szCs w:val="18"/>
              </w:rPr>
              <w:t xml:space="preserve">Timeliness (- </w:t>
            </w:r>
            <w:r w:rsidR="000936D5" w:rsidRPr="005829FD">
              <w:rPr>
                <w:b/>
                <w:bCs/>
                <w:sz w:val="18"/>
                <w:szCs w:val="18"/>
              </w:rPr>
              <w:t>1</w:t>
            </w:r>
            <w:r w:rsidRPr="005829FD">
              <w:rPr>
                <w:b/>
                <w:bCs/>
                <w:sz w:val="18"/>
                <w:szCs w:val="18"/>
              </w:rPr>
              <w:t>)</w:t>
            </w:r>
          </w:p>
          <w:p w14:paraId="76ECA632" w14:textId="2FDD1F83" w:rsidR="00FF5EFA" w:rsidRPr="005829FD" w:rsidRDefault="00D04A64" w:rsidP="00FF5EFA">
            <w:pPr>
              <w:rPr>
                <w:sz w:val="18"/>
                <w:szCs w:val="18"/>
              </w:rPr>
            </w:pPr>
            <w:r w:rsidRPr="005829FD">
              <w:rPr>
                <w:sz w:val="18"/>
                <w:szCs w:val="18"/>
              </w:rPr>
              <w:t xml:space="preserve">This will take up the time of businesses, and potentially for a </w:t>
            </w:r>
            <w:proofErr w:type="gramStart"/>
            <w:r w:rsidRPr="005829FD">
              <w:rPr>
                <w:sz w:val="18"/>
                <w:szCs w:val="18"/>
              </w:rPr>
              <w:lastRenderedPageBreak/>
              <w:t>very</w:t>
            </w:r>
            <w:proofErr w:type="gramEnd"/>
            <w:r w:rsidRPr="005829FD">
              <w:rPr>
                <w:sz w:val="18"/>
                <w:szCs w:val="18"/>
              </w:rPr>
              <w:t xml:space="preserve"> extended period of time, given how long it will take to implement this option in full</w:t>
            </w:r>
            <w:r w:rsidR="00592077" w:rsidRPr="005829FD">
              <w:rPr>
                <w:sz w:val="18"/>
                <w:szCs w:val="18"/>
              </w:rPr>
              <w:t>.</w:t>
            </w:r>
          </w:p>
          <w:p w14:paraId="26AE1966" w14:textId="3C3C6430" w:rsidR="00FF5EFA" w:rsidRPr="005829FD" w:rsidRDefault="00FF5EFA" w:rsidP="00FF5EFA">
            <w:pPr>
              <w:rPr>
                <w:b/>
                <w:bCs/>
                <w:sz w:val="18"/>
                <w:szCs w:val="18"/>
              </w:rPr>
            </w:pPr>
            <w:r w:rsidRPr="005829FD">
              <w:rPr>
                <w:b/>
                <w:bCs/>
                <w:sz w:val="18"/>
                <w:szCs w:val="18"/>
              </w:rPr>
              <w:t>Overall (-</w:t>
            </w:r>
            <w:r w:rsidR="00A40951" w:rsidRPr="005829FD">
              <w:rPr>
                <w:b/>
                <w:bCs/>
                <w:sz w:val="18"/>
                <w:szCs w:val="18"/>
              </w:rPr>
              <w:t>2)</w:t>
            </w:r>
          </w:p>
          <w:p w14:paraId="1A2AB41B" w14:textId="4A39E401" w:rsidR="00FF5EFA" w:rsidRPr="005829FD" w:rsidRDefault="00FF5EFA" w:rsidP="00FF5EFA">
            <w:pPr>
              <w:rPr>
                <w:sz w:val="18"/>
                <w:szCs w:val="18"/>
              </w:rPr>
            </w:pPr>
            <w:r w:rsidRPr="005829FD">
              <w:rPr>
                <w:sz w:val="18"/>
                <w:szCs w:val="18"/>
              </w:rPr>
              <w:t xml:space="preserve">This option would place an increased burden </w:t>
            </w:r>
            <w:r w:rsidR="3668D086" w:rsidRPr="4188F577">
              <w:rPr>
                <w:sz w:val="18"/>
                <w:szCs w:val="18"/>
              </w:rPr>
              <w:t>on</w:t>
            </w:r>
            <w:r w:rsidRPr="005829FD">
              <w:rPr>
                <w:sz w:val="18"/>
                <w:szCs w:val="18"/>
              </w:rPr>
              <w:t xml:space="preserve"> employers and financial institutions. </w:t>
            </w:r>
          </w:p>
        </w:tc>
        <w:tc>
          <w:tcPr>
            <w:tcW w:w="676" w:type="pct"/>
          </w:tcPr>
          <w:p w14:paraId="5C1D1D94" w14:textId="73DC553C" w:rsidR="00FF5EFA" w:rsidRPr="005829FD" w:rsidRDefault="00FF5EFA" w:rsidP="00FF5EFA">
            <w:pPr>
              <w:rPr>
                <w:b/>
                <w:bCs/>
                <w:sz w:val="18"/>
                <w:szCs w:val="18"/>
              </w:rPr>
            </w:pPr>
            <w:r w:rsidRPr="005829FD">
              <w:rPr>
                <w:b/>
                <w:bCs/>
                <w:sz w:val="18"/>
                <w:szCs w:val="18"/>
              </w:rPr>
              <w:lastRenderedPageBreak/>
              <w:t>Fairness (0)</w:t>
            </w:r>
          </w:p>
          <w:p w14:paraId="06E8210B" w14:textId="14412737" w:rsidR="006B59F8" w:rsidRPr="005829FD" w:rsidRDefault="006B59F8" w:rsidP="00FF5EFA">
            <w:pPr>
              <w:rPr>
                <w:b/>
                <w:bCs/>
                <w:sz w:val="18"/>
                <w:szCs w:val="18"/>
              </w:rPr>
            </w:pPr>
            <w:r w:rsidRPr="005829FD">
              <w:rPr>
                <w:sz w:val="18"/>
                <w:szCs w:val="18"/>
              </w:rPr>
              <w:t>This cohort would not be affected by the fairness of this option</w:t>
            </w:r>
            <w:r w:rsidR="003A5F45" w:rsidRPr="005829FD">
              <w:rPr>
                <w:sz w:val="18"/>
                <w:szCs w:val="18"/>
              </w:rPr>
              <w:t>.</w:t>
            </w:r>
          </w:p>
          <w:p w14:paraId="7444CA6F" w14:textId="40505945" w:rsidR="00FF5EFA" w:rsidRPr="005829FD" w:rsidRDefault="00FF5EFA" w:rsidP="00FF5EFA">
            <w:pPr>
              <w:rPr>
                <w:b/>
                <w:bCs/>
                <w:sz w:val="18"/>
                <w:szCs w:val="18"/>
              </w:rPr>
            </w:pPr>
            <w:r w:rsidRPr="005829FD">
              <w:rPr>
                <w:b/>
                <w:bCs/>
                <w:sz w:val="18"/>
                <w:szCs w:val="18"/>
              </w:rPr>
              <w:t>Timeliness (0)</w:t>
            </w:r>
          </w:p>
          <w:p w14:paraId="716A82F3" w14:textId="77777777" w:rsidR="003A5F45" w:rsidRPr="005829FD" w:rsidRDefault="003A5F45" w:rsidP="003A5F45">
            <w:pPr>
              <w:rPr>
                <w:sz w:val="18"/>
                <w:szCs w:val="18"/>
              </w:rPr>
            </w:pPr>
            <w:r w:rsidRPr="005829FD">
              <w:rPr>
                <w:sz w:val="18"/>
                <w:szCs w:val="18"/>
              </w:rPr>
              <w:t>This cohort would not be affected by the timeliness of this option.</w:t>
            </w:r>
          </w:p>
          <w:p w14:paraId="6619AE85" w14:textId="77777777" w:rsidR="00FF5EFA" w:rsidRPr="005829FD" w:rsidRDefault="00FF5EFA" w:rsidP="00FF5EFA">
            <w:pPr>
              <w:rPr>
                <w:b/>
                <w:bCs/>
                <w:sz w:val="18"/>
                <w:szCs w:val="18"/>
              </w:rPr>
            </w:pPr>
            <w:r w:rsidRPr="005829FD">
              <w:rPr>
                <w:b/>
                <w:bCs/>
                <w:sz w:val="18"/>
                <w:szCs w:val="18"/>
              </w:rPr>
              <w:t>Overall (0)</w:t>
            </w:r>
          </w:p>
          <w:p w14:paraId="2EA939FA" w14:textId="5A134845" w:rsidR="00FF5EFA" w:rsidRPr="005829FD" w:rsidRDefault="002645FA" w:rsidP="00FF5EFA">
            <w:pPr>
              <w:rPr>
                <w:sz w:val="18"/>
                <w:szCs w:val="18"/>
              </w:rPr>
            </w:pPr>
            <w:r w:rsidRPr="005829FD">
              <w:rPr>
                <w:sz w:val="18"/>
                <w:szCs w:val="18"/>
              </w:rPr>
              <w:t>Impact on this cohort is minimal overall.</w:t>
            </w:r>
          </w:p>
        </w:tc>
        <w:tc>
          <w:tcPr>
            <w:tcW w:w="676" w:type="pct"/>
          </w:tcPr>
          <w:p w14:paraId="15E9D36C" w14:textId="77777777" w:rsidR="00FF5EFA" w:rsidRPr="005829FD" w:rsidRDefault="00FF5EFA" w:rsidP="00FF5EFA">
            <w:pPr>
              <w:rPr>
                <w:b/>
                <w:bCs/>
                <w:sz w:val="18"/>
                <w:szCs w:val="18"/>
              </w:rPr>
            </w:pPr>
            <w:r w:rsidRPr="005829FD">
              <w:rPr>
                <w:b/>
                <w:bCs/>
                <w:sz w:val="18"/>
                <w:szCs w:val="18"/>
              </w:rPr>
              <w:t>Fairness (0)</w:t>
            </w:r>
          </w:p>
          <w:p w14:paraId="08DC735D" w14:textId="77777777" w:rsidR="00A73356" w:rsidRPr="005829FD" w:rsidRDefault="00A73356" w:rsidP="00A73356">
            <w:pPr>
              <w:rPr>
                <w:b/>
                <w:bCs/>
                <w:sz w:val="18"/>
                <w:szCs w:val="18"/>
              </w:rPr>
            </w:pPr>
            <w:r w:rsidRPr="005829FD">
              <w:rPr>
                <w:sz w:val="18"/>
                <w:szCs w:val="18"/>
              </w:rPr>
              <w:t>This cohort would not be affected by the fairness of this option.</w:t>
            </w:r>
          </w:p>
          <w:p w14:paraId="1DEBDA98" w14:textId="77777777" w:rsidR="00FF5EFA" w:rsidRPr="005829FD" w:rsidRDefault="00FF5EFA" w:rsidP="00FF5EFA">
            <w:pPr>
              <w:rPr>
                <w:b/>
                <w:bCs/>
                <w:sz w:val="18"/>
                <w:szCs w:val="18"/>
              </w:rPr>
            </w:pPr>
            <w:r w:rsidRPr="005829FD">
              <w:rPr>
                <w:b/>
                <w:bCs/>
                <w:sz w:val="18"/>
                <w:szCs w:val="18"/>
              </w:rPr>
              <w:t>Timeliness (0)</w:t>
            </w:r>
          </w:p>
          <w:p w14:paraId="7C2DB4C9" w14:textId="77777777" w:rsidR="00FF5EFA" w:rsidRPr="005829FD" w:rsidRDefault="00FF5EFA" w:rsidP="00FF5EFA">
            <w:pPr>
              <w:rPr>
                <w:sz w:val="18"/>
                <w:szCs w:val="18"/>
              </w:rPr>
            </w:pPr>
            <w:r w:rsidRPr="005829FD">
              <w:rPr>
                <w:sz w:val="18"/>
                <w:szCs w:val="18"/>
              </w:rPr>
              <w:t>This cohort would not be affected by timeliness of this option.</w:t>
            </w:r>
          </w:p>
          <w:p w14:paraId="007D6C5F" w14:textId="77777777" w:rsidR="00FF5EFA" w:rsidRPr="005829FD" w:rsidRDefault="00FF5EFA" w:rsidP="00FF5EFA">
            <w:pPr>
              <w:rPr>
                <w:b/>
                <w:bCs/>
                <w:sz w:val="18"/>
                <w:szCs w:val="18"/>
              </w:rPr>
            </w:pPr>
            <w:r w:rsidRPr="005829FD">
              <w:rPr>
                <w:b/>
                <w:bCs/>
                <w:sz w:val="18"/>
                <w:szCs w:val="18"/>
              </w:rPr>
              <w:t>Overall (0)</w:t>
            </w:r>
          </w:p>
          <w:p w14:paraId="6933B4C1" w14:textId="55273840" w:rsidR="00A73356" w:rsidRPr="005829FD" w:rsidRDefault="002645FA" w:rsidP="00FF5EFA">
            <w:pPr>
              <w:rPr>
                <w:sz w:val="18"/>
                <w:szCs w:val="18"/>
              </w:rPr>
            </w:pPr>
            <w:r w:rsidRPr="005829FD">
              <w:rPr>
                <w:sz w:val="18"/>
                <w:szCs w:val="18"/>
              </w:rPr>
              <w:t>Impact on this cohort is minimal overall.</w:t>
            </w:r>
          </w:p>
          <w:p w14:paraId="0422105E" w14:textId="77777777" w:rsidR="00FF5EFA" w:rsidRPr="005829FD" w:rsidRDefault="00FF5EFA" w:rsidP="00FF5EFA">
            <w:pPr>
              <w:rPr>
                <w:b/>
                <w:bCs/>
                <w:sz w:val="18"/>
                <w:szCs w:val="18"/>
              </w:rPr>
            </w:pPr>
          </w:p>
        </w:tc>
        <w:tc>
          <w:tcPr>
            <w:tcW w:w="671" w:type="pct"/>
          </w:tcPr>
          <w:p w14:paraId="6C14C546" w14:textId="77777777" w:rsidR="00FF5EFA" w:rsidRPr="005829FD" w:rsidRDefault="00FF5EFA" w:rsidP="00FF5EFA">
            <w:pPr>
              <w:rPr>
                <w:b/>
                <w:bCs/>
                <w:sz w:val="18"/>
                <w:szCs w:val="18"/>
              </w:rPr>
            </w:pPr>
            <w:r w:rsidRPr="005829FD">
              <w:rPr>
                <w:b/>
                <w:bCs/>
                <w:sz w:val="18"/>
                <w:szCs w:val="18"/>
              </w:rPr>
              <w:t>Fairness (0)</w:t>
            </w:r>
          </w:p>
          <w:p w14:paraId="4AA532AA" w14:textId="77777777" w:rsidR="00F430E4" w:rsidRPr="005829FD" w:rsidRDefault="00F430E4" w:rsidP="00F430E4">
            <w:pPr>
              <w:rPr>
                <w:b/>
                <w:bCs/>
                <w:sz w:val="18"/>
                <w:szCs w:val="18"/>
              </w:rPr>
            </w:pPr>
            <w:r w:rsidRPr="005829FD">
              <w:rPr>
                <w:sz w:val="18"/>
                <w:szCs w:val="18"/>
              </w:rPr>
              <w:t>This cohort would not be affected by the fairness of this option.</w:t>
            </w:r>
          </w:p>
          <w:p w14:paraId="105EA9C9" w14:textId="77777777" w:rsidR="00FF5EFA" w:rsidRPr="005829FD" w:rsidRDefault="00FF5EFA" w:rsidP="00FF5EFA">
            <w:pPr>
              <w:rPr>
                <w:b/>
                <w:bCs/>
                <w:sz w:val="18"/>
                <w:szCs w:val="18"/>
              </w:rPr>
            </w:pPr>
            <w:r w:rsidRPr="005829FD">
              <w:rPr>
                <w:b/>
                <w:bCs/>
                <w:sz w:val="18"/>
                <w:szCs w:val="18"/>
              </w:rPr>
              <w:t>Timeliness (0)</w:t>
            </w:r>
          </w:p>
          <w:p w14:paraId="1AA441C3" w14:textId="77777777" w:rsidR="00FF5EFA" w:rsidRPr="005829FD" w:rsidRDefault="00FF5EFA" w:rsidP="00FF5EFA">
            <w:pPr>
              <w:rPr>
                <w:sz w:val="18"/>
                <w:szCs w:val="18"/>
              </w:rPr>
            </w:pPr>
            <w:r w:rsidRPr="005829FD">
              <w:rPr>
                <w:sz w:val="18"/>
                <w:szCs w:val="18"/>
              </w:rPr>
              <w:t>This cohort would not be affected by timeliness of this option.</w:t>
            </w:r>
          </w:p>
          <w:p w14:paraId="2A7BA318" w14:textId="77777777" w:rsidR="00FF5EFA" w:rsidRPr="005829FD" w:rsidRDefault="00FF5EFA" w:rsidP="00FF5EFA">
            <w:pPr>
              <w:rPr>
                <w:b/>
                <w:bCs/>
                <w:sz w:val="18"/>
                <w:szCs w:val="18"/>
              </w:rPr>
            </w:pPr>
            <w:r w:rsidRPr="005829FD">
              <w:rPr>
                <w:b/>
                <w:bCs/>
                <w:sz w:val="18"/>
                <w:szCs w:val="18"/>
              </w:rPr>
              <w:t>Overall (0)</w:t>
            </w:r>
          </w:p>
          <w:p w14:paraId="25C21895" w14:textId="12190180" w:rsidR="00FF5EFA" w:rsidRPr="005829FD" w:rsidRDefault="002645FA" w:rsidP="00F430E4">
            <w:pPr>
              <w:rPr>
                <w:b/>
                <w:bCs/>
                <w:sz w:val="18"/>
                <w:szCs w:val="18"/>
              </w:rPr>
            </w:pPr>
            <w:r w:rsidRPr="005829FD">
              <w:rPr>
                <w:sz w:val="18"/>
                <w:szCs w:val="18"/>
              </w:rPr>
              <w:t>Impact on this cohort is minimal overall.</w:t>
            </w:r>
          </w:p>
        </w:tc>
      </w:tr>
      <w:tr w:rsidR="00C03C21" w14:paraId="51831673" w14:textId="06D3D1BB" w:rsidTr="00635804">
        <w:trPr>
          <w:trHeight w:val="375"/>
        </w:trPr>
        <w:tc>
          <w:tcPr>
            <w:tcW w:w="379" w:type="pct"/>
          </w:tcPr>
          <w:p w14:paraId="1250192E" w14:textId="71394A61" w:rsidR="00FF5EFA" w:rsidRPr="00FF4FB6" w:rsidRDefault="00FF5EFA" w:rsidP="00FF5EFA">
            <w:pPr>
              <w:rPr>
                <w:b/>
                <w:bCs/>
              </w:rPr>
            </w:pPr>
            <w:r>
              <w:rPr>
                <w:b/>
                <w:bCs/>
              </w:rPr>
              <w:t>Community Organisations</w:t>
            </w:r>
            <w:r w:rsidR="00131872">
              <w:rPr>
                <w:rStyle w:val="FootnoteReference"/>
                <w:b/>
                <w:bCs/>
              </w:rPr>
              <w:footnoteReference w:id="7"/>
            </w:r>
          </w:p>
        </w:tc>
        <w:tc>
          <w:tcPr>
            <w:tcW w:w="95" w:type="pct"/>
            <w:shd w:val="clear" w:color="auto" w:fill="FFC000"/>
            <w:vAlign w:val="center"/>
          </w:tcPr>
          <w:p w14:paraId="68BAED32" w14:textId="645B4245" w:rsidR="00FF5EFA" w:rsidRPr="00D93763" w:rsidRDefault="008E04BF" w:rsidP="000002D2">
            <w:pPr>
              <w:jc w:val="center"/>
              <w:rPr>
                <w:b/>
                <w:bCs/>
                <w:sz w:val="20"/>
                <w:szCs w:val="20"/>
              </w:rPr>
            </w:pPr>
            <w:r w:rsidRPr="00D93763">
              <w:rPr>
                <w:b/>
                <w:bCs/>
                <w:sz w:val="20"/>
                <w:szCs w:val="20"/>
              </w:rPr>
              <w:t>-1</w:t>
            </w:r>
          </w:p>
        </w:tc>
        <w:tc>
          <w:tcPr>
            <w:tcW w:w="95" w:type="pct"/>
            <w:shd w:val="clear" w:color="auto" w:fill="92D050"/>
            <w:vAlign w:val="center"/>
          </w:tcPr>
          <w:p w14:paraId="25E2C4F1" w14:textId="1C0A48CE" w:rsidR="00FF5EFA" w:rsidRPr="00D93763" w:rsidRDefault="00781B0D" w:rsidP="000002D2">
            <w:pPr>
              <w:jc w:val="center"/>
              <w:rPr>
                <w:b/>
                <w:bCs/>
                <w:sz w:val="20"/>
                <w:szCs w:val="20"/>
              </w:rPr>
            </w:pPr>
            <w:r w:rsidRPr="00D93763">
              <w:rPr>
                <w:b/>
                <w:bCs/>
                <w:sz w:val="20"/>
                <w:szCs w:val="20"/>
              </w:rPr>
              <w:t>1</w:t>
            </w:r>
          </w:p>
        </w:tc>
        <w:tc>
          <w:tcPr>
            <w:tcW w:w="95" w:type="pct"/>
            <w:shd w:val="clear" w:color="auto" w:fill="FFC000"/>
            <w:vAlign w:val="center"/>
          </w:tcPr>
          <w:p w14:paraId="07AA131E" w14:textId="5197C45A" w:rsidR="00FF5EFA" w:rsidRPr="00D93763" w:rsidRDefault="00781B0D" w:rsidP="000002D2">
            <w:pPr>
              <w:jc w:val="center"/>
              <w:rPr>
                <w:sz w:val="20"/>
                <w:szCs w:val="20"/>
              </w:rPr>
            </w:pPr>
            <w:r w:rsidRPr="00D93763">
              <w:rPr>
                <w:b/>
                <w:bCs/>
                <w:sz w:val="20"/>
                <w:szCs w:val="20"/>
              </w:rPr>
              <w:t>-1</w:t>
            </w:r>
          </w:p>
        </w:tc>
        <w:tc>
          <w:tcPr>
            <w:tcW w:w="95" w:type="pct"/>
            <w:shd w:val="clear" w:color="auto" w:fill="FFFF00"/>
            <w:vAlign w:val="center"/>
          </w:tcPr>
          <w:p w14:paraId="22AC16E7" w14:textId="46548F68" w:rsidR="00FF5EFA" w:rsidRPr="00D93763" w:rsidRDefault="00D63A39" w:rsidP="000002D2">
            <w:pPr>
              <w:jc w:val="center"/>
              <w:rPr>
                <w:sz w:val="20"/>
                <w:szCs w:val="20"/>
              </w:rPr>
            </w:pPr>
            <w:r w:rsidRPr="00D93763">
              <w:rPr>
                <w:b/>
                <w:bCs/>
                <w:sz w:val="20"/>
                <w:szCs w:val="20"/>
              </w:rPr>
              <w:t>0</w:t>
            </w:r>
          </w:p>
        </w:tc>
        <w:tc>
          <w:tcPr>
            <w:tcW w:w="95" w:type="pct"/>
            <w:shd w:val="clear" w:color="auto" w:fill="92D050"/>
            <w:vAlign w:val="center"/>
          </w:tcPr>
          <w:p w14:paraId="0578CF3C" w14:textId="0B563287" w:rsidR="00FF5EFA" w:rsidRPr="00D93763" w:rsidRDefault="00E56E27" w:rsidP="00D93763">
            <w:pPr>
              <w:jc w:val="center"/>
              <w:rPr>
                <w:b/>
                <w:bCs/>
                <w:sz w:val="20"/>
                <w:szCs w:val="20"/>
              </w:rPr>
            </w:pPr>
            <w:r w:rsidRPr="00D93763">
              <w:rPr>
                <w:b/>
                <w:bCs/>
                <w:sz w:val="20"/>
                <w:szCs w:val="20"/>
              </w:rPr>
              <w:t>1</w:t>
            </w:r>
          </w:p>
        </w:tc>
        <w:tc>
          <w:tcPr>
            <w:tcW w:w="95" w:type="pct"/>
            <w:shd w:val="clear" w:color="auto" w:fill="FFC000"/>
            <w:vAlign w:val="center"/>
          </w:tcPr>
          <w:p w14:paraId="27ED8E91" w14:textId="56D31E88" w:rsidR="00FF5EFA" w:rsidRPr="00D93763" w:rsidRDefault="00104A27" w:rsidP="00D93763">
            <w:pPr>
              <w:jc w:val="center"/>
              <w:rPr>
                <w:b/>
                <w:bCs/>
                <w:sz w:val="20"/>
                <w:szCs w:val="20"/>
              </w:rPr>
            </w:pPr>
            <w:r w:rsidRPr="00D93763">
              <w:rPr>
                <w:b/>
                <w:bCs/>
                <w:sz w:val="20"/>
                <w:szCs w:val="20"/>
              </w:rPr>
              <w:t>-1</w:t>
            </w:r>
          </w:p>
        </w:tc>
        <w:tc>
          <w:tcPr>
            <w:tcW w:w="676" w:type="pct"/>
          </w:tcPr>
          <w:p w14:paraId="2F2FF12B" w14:textId="75E6879D" w:rsidR="00FF5EFA" w:rsidRDefault="00FF5EFA" w:rsidP="00FF5EFA">
            <w:pPr>
              <w:rPr>
                <w:b/>
                <w:bCs/>
                <w:sz w:val="18"/>
                <w:szCs w:val="18"/>
              </w:rPr>
            </w:pPr>
            <w:r w:rsidRPr="003470B0">
              <w:rPr>
                <w:b/>
                <w:bCs/>
                <w:sz w:val="18"/>
                <w:szCs w:val="18"/>
              </w:rPr>
              <w:t>Fairness</w:t>
            </w:r>
            <w:r>
              <w:rPr>
                <w:b/>
                <w:bCs/>
                <w:sz w:val="18"/>
                <w:szCs w:val="18"/>
              </w:rPr>
              <w:t xml:space="preserve"> (-1)</w:t>
            </w:r>
          </w:p>
          <w:p w14:paraId="648D23C4" w14:textId="21CEE5D1" w:rsidR="00FF5EFA" w:rsidRPr="002C237E" w:rsidRDefault="006E795D" w:rsidP="00FF5EFA">
            <w:pPr>
              <w:rPr>
                <w:sz w:val="18"/>
                <w:szCs w:val="18"/>
              </w:rPr>
            </w:pPr>
            <w:r>
              <w:rPr>
                <w:sz w:val="18"/>
                <w:szCs w:val="18"/>
              </w:rPr>
              <w:t>Under the status quo, c</w:t>
            </w:r>
            <w:r w:rsidR="00FF5EFA">
              <w:rPr>
                <w:sz w:val="18"/>
                <w:szCs w:val="18"/>
              </w:rPr>
              <w:t xml:space="preserve">ommunity organisations </w:t>
            </w:r>
            <w:r w:rsidR="006D01FB">
              <w:rPr>
                <w:sz w:val="18"/>
                <w:szCs w:val="18"/>
              </w:rPr>
              <w:t xml:space="preserve">would likely be dealing with </w:t>
            </w:r>
            <w:r w:rsidR="00730283">
              <w:rPr>
                <w:sz w:val="18"/>
                <w:szCs w:val="18"/>
              </w:rPr>
              <w:t xml:space="preserve">continuing concerns and requests for support from </w:t>
            </w:r>
            <w:r w:rsidR="00FF5EFA">
              <w:rPr>
                <w:sz w:val="18"/>
                <w:szCs w:val="18"/>
              </w:rPr>
              <w:t>those who</w:t>
            </w:r>
            <w:r w:rsidR="00730283">
              <w:rPr>
                <w:sz w:val="18"/>
                <w:szCs w:val="18"/>
              </w:rPr>
              <w:t xml:space="preserve"> w</w:t>
            </w:r>
            <w:r w:rsidR="00090260">
              <w:rPr>
                <w:sz w:val="18"/>
                <w:szCs w:val="18"/>
              </w:rPr>
              <w:t>ould</w:t>
            </w:r>
            <w:r w:rsidR="00FF5EFA">
              <w:rPr>
                <w:sz w:val="18"/>
                <w:szCs w:val="18"/>
              </w:rPr>
              <w:t xml:space="preserve"> have their debts paused </w:t>
            </w:r>
            <w:r w:rsidR="00090260">
              <w:rPr>
                <w:sz w:val="18"/>
                <w:szCs w:val="18"/>
              </w:rPr>
              <w:t>for an indeterminate length of time</w:t>
            </w:r>
          </w:p>
          <w:p w14:paraId="5D43BCE3" w14:textId="328E1035" w:rsidR="00FF5EFA" w:rsidRDefault="00FF5EFA" w:rsidP="00FF5EFA">
            <w:pPr>
              <w:rPr>
                <w:b/>
                <w:bCs/>
                <w:sz w:val="18"/>
                <w:szCs w:val="18"/>
              </w:rPr>
            </w:pPr>
            <w:r w:rsidRPr="003470B0">
              <w:rPr>
                <w:b/>
                <w:bCs/>
                <w:sz w:val="18"/>
                <w:szCs w:val="18"/>
              </w:rPr>
              <w:t xml:space="preserve">Timeliness </w:t>
            </w:r>
            <w:r>
              <w:rPr>
                <w:b/>
                <w:bCs/>
                <w:sz w:val="18"/>
                <w:szCs w:val="18"/>
              </w:rPr>
              <w:t>(0)</w:t>
            </w:r>
          </w:p>
          <w:p w14:paraId="48F506D1" w14:textId="70672AAA" w:rsidR="00FF5EFA" w:rsidRDefault="00FF5EFA" w:rsidP="00FF5EFA">
            <w:pPr>
              <w:rPr>
                <w:sz w:val="18"/>
                <w:szCs w:val="18"/>
              </w:rPr>
            </w:pPr>
            <w:r>
              <w:rPr>
                <w:sz w:val="18"/>
                <w:szCs w:val="18"/>
              </w:rPr>
              <w:t>The timeliness</w:t>
            </w:r>
            <w:r w:rsidR="005530A5">
              <w:rPr>
                <w:sz w:val="18"/>
                <w:szCs w:val="18"/>
              </w:rPr>
              <w:t xml:space="preserve"> of the status quo does not have specific impacts for this cohort</w:t>
            </w:r>
            <w:r w:rsidR="002A43E6">
              <w:rPr>
                <w:sz w:val="18"/>
                <w:szCs w:val="18"/>
              </w:rPr>
              <w:t>.</w:t>
            </w:r>
          </w:p>
          <w:p w14:paraId="662F7162" w14:textId="77777777" w:rsidR="00FF5EFA" w:rsidRPr="00F96CF3" w:rsidRDefault="00FF5EFA" w:rsidP="00FF5EFA">
            <w:pPr>
              <w:rPr>
                <w:b/>
                <w:bCs/>
                <w:sz w:val="18"/>
                <w:szCs w:val="18"/>
              </w:rPr>
            </w:pPr>
            <w:r w:rsidRPr="00F96CF3">
              <w:rPr>
                <w:b/>
                <w:bCs/>
                <w:sz w:val="18"/>
                <w:szCs w:val="18"/>
              </w:rPr>
              <w:t>Overall (-1)</w:t>
            </w:r>
          </w:p>
          <w:p w14:paraId="0F1C2659" w14:textId="6E7725DF" w:rsidR="00FF5EFA" w:rsidRPr="00FF6456" w:rsidRDefault="00FF5EFA" w:rsidP="00FF5EFA">
            <w:pPr>
              <w:rPr>
                <w:sz w:val="18"/>
                <w:szCs w:val="18"/>
              </w:rPr>
            </w:pPr>
            <w:r w:rsidRPr="00F96CF3">
              <w:rPr>
                <w:sz w:val="18"/>
                <w:szCs w:val="18"/>
              </w:rPr>
              <w:t xml:space="preserve">This </w:t>
            </w:r>
            <w:r w:rsidR="002A43E6">
              <w:rPr>
                <w:sz w:val="18"/>
                <w:szCs w:val="18"/>
              </w:rPr>
              <w:t>option has</w:t>
            </w:r>
            <w:r w:rsidR="009357FD">
              <w:rPr>
                <w:sz w:val="18"/>
                <w:szCs w:val="18"/>
              </w:rPr>
              <w:t xml:space="preserve"> </w:t>
            </w:r>
            <w:r w:rsidRPr="00F96CF3">
              <w:rPr>
                <w:sz w:val="18"/>
                <w:szCs w:val="18"/>
              </w:rPr>
              <w:t>adverse impact</w:t>
            </w:r>
            <w:r w:rsidR="009357FD">
              <w:rPr>
                <w:sz w:val="18"/>
                <w:szCs w:val="18"/>
              </w:rPr>
              <w:t xml:space="preserve">s </w:t>
            </w:r>
            <w:r w:rsidR="00AE04F0">
              <w:rPr>
                <w:sz w:val="18"/>
                <w:szCs w:val="18"/>
              </w:rPr>
              <w:t xml:space="preserve">for community organisations that </w:t>
            </w:r>
            <w:r w:rsidRPr="00F96CF3">
              <w:rPr>
                <w:sz w:val="18"/>
                <w:szCs w:val="18"/>
              </w:rPr>
              <w:t>face additional resourcing requirements to support people with concerns about their perpetually paused debts.</w:t>
            </w:r>
          </w:p>
        </w:tc>
        <w:tc>
          <w:tcPr>
            <w:tcW w:w="676" w:type="pct"/>
          </w:tcPr>
          <w:p w14:paraId="59FD7D65" w14:textId="6BF4CD73" w:rsidR="00FF5EFA" w:rsidRDefault="00FF5EFA" w:rsidP="00FF5EFA">
            <w:pPr>
              <w:rPr>
                <w:b/>
                <w:bCs/>
                <w:sz w:val="18"/>
                <w:szCs w:val="18"/>
              </w:rPr>
            </w:pPr>
            <w:r w:rsidRPr="003470B0">
              <w:rPr>
                <w:b/>
                <w:bCs/>
                <w:sz w:val="18"/>
                <w:szCs w:val="18"/>
              </w:rPr>
              <w:t>Fairness</w:t>
            </w:r>
            <w:r>
              <w:rPr>
                <w:b/>
                <w:bCs/>
                <w:sz w:val="18"/>
                <w:szCs w:val="18"/>
              </w:rPr>
              <w:t xml:space="preserve"> </w:t>
            </w:r>
            <w:r w:rsidR="00C42DD5">
              <w:rPr>
                <w:b/>
                <w:bCs/>
                <w:sz w:val="18"/>
                <w:szCs w:val="18"/>
              </w:rPr>
              <w:t>(+1</w:t>
            </w:r>
            <w:r>
              <w:rPr>
                <w:b/>
                <w:bCs/>
                <w:sz w:val="18"/>
                <w:szCs w:val="18"/>
              </w:rPr>
              <w:t>)</w:t>
            </w:r>
          </w:p>
          <w:p w14:paraId="53960285" w14:textId="262B7C62" w:rsidR="00FF5EFA" w:rsidRPr="002C237E" w:rsidRDefault="00024E99" w:rsidP="00FF5EFA">
            <w:pPr>
              <w:rPr>
                <w:sz w:val="18"/>
                <w:szCs w:val="18"/>
              </w:rPr>
            </w:pPr>
            <w:r>
              <w:rPr>
                <w:sz w:val="18"/>
                <w:szCs w:val="18"/>
              </w:rPr>
              <w:t>While there may be some impost related to assisting people in receiving refunds, w</w:t>
            </w:r>
            <w:r w:rsidR="00FF5EFA">
              <w:rPr>
                <w:sz w:val="18"/>
                <w:szCs w:val="18"/>
              </w:rPr>
              <w:t xml:space="preserve">aiving all debts will have a </w:t>
            </w:r>
            <w:r w:rsidR="0031106A">
              <w:rPr>
                <w:sz w:val="18"/>
                <w:szCs w:val="18"/>
              </w:rPr>
              <w:t xml:space="preserve">positive </w:t>
            </w:r>
            <w:r>
              <w:rPr>
                <w:sz w:val="18"/>
                <w:szCs w:val="18"/>
              </w:rPr>
              <w:t xml:space="preserve">overall </w:t>
            </w:r>
            <w:r w:rsidR="00FF5EFA">
              <w:rPr>
                <w:sz w:val="18"/>
                <w:szCs w:val="18"/>
              </w:rPr>
              <w:t>impact on community organisations</w:t>
            </w:r>
            <w:r w:rsidR="0031106A">
              <w:rPr>
                <w:sz w:val="18"/>
                <w:szCs w:val="18"/>
              </w:rPr>
              <w:t xml:space="preserve">, as it will reduce the number of debts </w:t>
            </w:r>
            <w:r>
              <w:rPr>
                <w:sz w:val="18"/>
                <w:szCs w:val="18"/>
              </w:rPr>
              <w:t xml:space="preserve">they will be requested to assist affected people with. </w:t>
            </w:r>
          </w:p>
          <w:p w14:paraId="6CC07EA1" w14:textId="68776FB9" w:rsidR="00FF5EFA" w:rsidRDefault="00FF5EFA" w:rsidP="00FF5EFA">
            <w:pPr>
              <w:rPr>
                <w:b/>
                <w:bCs/>
                <w:sz w:val="18"/>
                <w:szCs w:val="18"/>
              </w:rPr>
            </w:pPr>
            <w:r w:rsidRPr="003470B0">
              <w:rPr>
                <w:b/>
                <w:bCs/>
                <w:sz w:val="18"/>
                <w:szCs w:val="18"/>
              </w:rPr>
              <w:t xml:space="preserve">Timeliness </w:t>
            </w:r>
            <w:r>
              <w:rPr>
                <w:b/>
                <w:bCs/>
                <w:sz w:val="18"/>
                <w:szCs w:val="18"/>
              </w:rPr>
              <w:t>(0)</w:t>
            </w:r>
          </w:p>
          <w:p w14:paraId="353F531C" w14:textId="6D262F12" w:rsidR="00FF5EFA" w:rsidRDefault="00FF5EFA" w:rsidP="00FF5EFA">
            <w:pPr>
              <w:rPr>
                <w:sz w:val="18"/>
                <w:szCs w:val="18"/>
              </w:rPr>
            </w:pPr>
            <w:r>
              <w:rPr>
                <w:sz w:val="18"/>
                <w:szCs w:val="18"/>
              </w:rPr>
              <w:t>The timeliness of a decision to waive all debts will not affect community organisations.</w:t>
            </w:r>
          </w:p>
          <w:p w14:paraId="6848DF76" w14:textId="6D4F8734" w:rsidR="00FF5EFA" w:rsidRPr="002C237E" w:rsidRDefault="00FF5EFA" w:rsidP="00FF5EFA">
            <w:pPr>
              <w:rPr>
                <w:b/>
                <w:bCs/>
                <w:sz w:val="18"/>
                <w:szCs w:val="18"/>
              </w:rPr>
            </w:pPr>
            <w:r w:rsidRPr="00F96CF3">
              <w:rPr>
                <w:b/>
                <w:bCs/>
                <w:sz w:val="18"/>
                <w:szCs w:val="18"/>
              </w:rPr>
              <w:t>Overall (</w:t>
            </w:r>
            <w:r w:rsidR="00FF05AB">
              <w:rPr>
                <w:b/>
                <w:bCs/>
                <w:sz w:val="18"/>
                <w:szCs w:val="18"/>
              </w:rPr>
              <w:t>1</w:t>
            </w:r>
            <w:r>
              <w:rPr>
                <w:b/>
                <w:bCs/>
                <w:sz w:val="18"/>
                <w:szCs w:val="18"/>
              </w:rPr>
              <w:t>)</w:t>
            </w:r>
          </w:p>
          <w:p w14:paraId="0CBA9594" w14:textId="2AFAE848" w:rsidR="00FF5EFA" w:rsidRPr="00FF6456" w:rsidRDefault="00FF05AB" w:rsidP="00FF5EFA">
            <w:pPr>
              <w:rPr>
                <w:sz w:val="18"/>
                <w:szCs w:val="18"/>
              </w:rPr>
            </w:pPr>
            <w:r>
              <w:rPr>
                <w:sz w:val="18"/>
                <w:szCs w:val="18"/>
              </w:rPr>
              <w:t xml:space="preserve">This option is beneficial </w:t>
            </w:r>
            <w:r w:rsidR="00344377">
              <w:rPr>
                <w:sz w:val="18"/>
                <w:szCs w:val="18"/>
              </w:rPr>
              <w:t xml:space="preserve">to community organisations </w:t>
            </w:r>
            <w:r w:rsidR="00024E99">
              <w:rPr>
                <w:sz w:val="18"/>
                <w:szCs w:val="18"/>
              </w:rPr>
              <w:t xml:space="preserve">as it reduces the number of </w:t>
            </w:r>
            <w:r w:rsidR="009D23A2">
              <w:rPr>
                <w:sz w:val="18"/>
                <w:szCs w:val="18"/>
              </w:rPr>
              <w:t xml:space="preserve">debts </w:t>
            </w:r>
            <w:r w:rsidR="00024E99">
              <w:rPr>
                <w:sz w:val="18"/>
                <w:szCs w:val="18"/>
              </w:rPr>
              <w:t xml:space="preserve">they may be required to provide </w:t>
            </w:r>
            <w:r w:rsidR="009D23A2">
              <w:rPr>
                <w:sz w:val="18"/>
                <w:szCs w:val="18"/>
              </w:rPr>
              <w:t>assistance with.</w:t>
            </w:r>
          </w:p>
          <w:p w14:paraId="5447BF98" w14:textId="6C77FA03" w:rsidR="00FF5EFA" w:rsidRPr="002F314C" w:rsidRDefault="00FF5EFA" w:rsidP="00FF5EFA">
            <w:pPr>
              <w:rPr>
                <w:b/>
                <w:bCs/>
                <w:sz w:val="18"/>
                <w:szCs w:val="18"/>
              </w:rPr>
            </w:pPr>
          </w:p>
        </w:tc>
        <w:tc>
          <w:tcPr>
            <w:tcW w:w="676" w:type="pct"/>
          </w:tcPr>
          <w:p w14:paraId="2E89459C" w14:textId="76ADEED7" w:rsidR="00FF5EFA" w:rsidRPr="005829FD" w:rsidRDefault="00FF5EFA" w:rsidP="00FF5EFA">
            <w:pPr>
              <w:rPr>
                <w:b/>
                <w:bCs/>
                <w:sz w:val="18"/>
                <w:szCs w:val="18"/>
              </w:rPr>
            </w:pPr>
            <w:r w:rsidRPr="005829FD">
              <w:rPr>
                <w:b/>
                <w:bCs/>
                <w:sz w:val="18"/>
                <w:szCs w:val="18"/>
              </w:rPr>
              <w:t>Fairness (-</w:t>
            </w:r>
            <w:r w:rsidR="00283B70" w:rsidRPr="005829FD">
              <w:rPr>
                <w:b/>
                <w:bCs/>
                <w:sz w:val="18"/>
                <w:szCs w:val="18"/>
              </w:rPr>
              <w:t>1</w:t>
            </w:r>
            <w:r w:rsidRPr="005829FD">
              <w:rPr>
                <w:b/>
                <w:bCs/>
                <w:sz w:val="18"/>
                <w:szCs w:val="18"/>
              </w:rPr>
              <w:t>)</w:t>
            </w:r>
          </w:p>
          <w:p w14:paraId="7DC75A3E" w14:textId="5E48C450" w:rsidR="00FF5EFA" w:rsidRPr="005829FD" w:rsidRDefault="00A70DD3" w:rsidP="00FF5EFA">
            <w:pPr>
              <w:rPr>
                <w:sz w:val="18"/>
                <w:szCs w:val="18"/>
              </w:rPr>
            </w:pPr>
            <w:r w:rsidRPr="005829FD">
              <w:rPr>
                <w:sz w:val="18"/>
                <w:szCs w:val="18"/>
              </w:rPr>
              <w:t>This</w:t>
            </w:r>
            <w:r w:rsidR="00163DDA" w:rsidRPr="005829FD">
              <w:rPr>
                <w:sz w:val="18"/>
                <w:szCs w:val="18"/>
              </w:rPr>
              <w:t xml:space="preserve"> </w:t>
            </w:r>
            <w:r w:rsidR="00E56DEF" w:rsidRPr="005829FD">
              <w:rPr>
                <w:sz w:val="18"/>
                <w:szCs w:val="18"/>
              </w:rPr>
              <w:t xml:space="preserve">could </w:t>
            </w:r>
            <w:r w:rsidR="003C262F" w:rsidRPr="005829FD">
              <w:rPr>
                <w:sz w:val="18"/>
                <w:szCs w:val="18"/>
              </w:rPr>
              <w:t xml:space="preserve">significantly </w:t>
            </w:r>
            <w:r w:rsidR="00E17905" w:rsidRPr="005829FD">
              <w:rPr>
                <w:sz w:val="18"/>
                <w:szCs w:val="18"/>
              </w:rPr>
              <w:t xml:space="preserve">amplify </w:t>
            </w:r>
            <w:r w:rsidR="00A402FD" w:rsidRPr="005829FD">
              <w:rPr>
                <w:sz w:val="18"/>
                <w:szCs w:val="18"/>
              </w:rPr>
              <w:t>demand for</w:t>
            </w:r>
            <w:r w:rsidR="00F07380" w:rsidRPr="005829FD">
              <w:rPr>
                <w:sz w:val="18"/>
                <w:szCs w:val="18"/>
              </w:rPr>
              <w:t xml:space="preserve"> the services of</w:t>
            </w:r>
            <w:r w:rsidR="00E56DEF" w:rsidRPr="005829FD">
              <w:rPr>
                <w:sz w:val="18"/>
                <w:szCs w:val="18"/>
              </w:rPr>
              <w:t xml:space="preserve"> community organisations</w:t>
            </w:r>
            <w:r w:rsidR="00466916" w:rsidRPr="005829FD">
              <w:rPr>
                <w:sz w:val="18"/>
                <w:szCs w:val="18"/>
              </w:rPr>
              <w:t>, as potentially thousa</w:t>
            </w:r>
            <w:r w:rsidR="00983A6D" w:rsidRPr="005829FD">
              <w:rPr>
                <w:sz w:val="18"/>
                <w:szCs w:val="18"/>
              </w:rPr>
              <w:t xml:space="preserve">nds of people </w:t>
            </w:r>
            <w:r w:rsidR="00B07826" w:rsidRPr="005829FD">
              <w:rPr>
                <w:sz w:val="18"/>
                <w:szCs w:val="18"/>
              </w:rPr>
              <w:t>see</w:t>
            </w:r>
            <w:r w:rsidR="00545DB2" w:rsidRPr="005829FD">
              <w:rPr>
                <w:sz w:val="18"/>
                <w:szCs w:val="18"/>
              </w:rPr>
              <w:t>k assistance</w:t>
            </w:r>
            <w:r w:rsidR="00AB1E45" w:rsidRPr="005829FD">
              <w:rPr>
                <w:sz w:val="18"/>
                <w:szCs w:val="18"/>
              </w:rPr>
              <w:t xml:space="preserve"> </w:t>
            </w:r>
            <w:r w:rsidR="00956329" w:rsidRPr="005829FD">
              <w:rPr>
                <w:sz w:val="18"/>
                <w:szCs w:val="18"/>
              </w:rPr>
              <w:t>if their debt is to be recalculated.</w:t>
            </w:r>
          </w:p>
          <w:p w14:paraId="63403EB2" w14:textId="28A029A0" w:rsidR="00FF5EFA" w:rsidRPr="005829FD" w:rsidRDefault="00FF5EFA" w:rsidP="00FF5EFA">
            <w:pPr>
              <w:rPr>
                <w:b/>
                <w:bCs/>
                <w:sz w:val="18"/>
                <w:szCs w:val="18"/>
              </w:rPr>
            </w:pPr>
            <w:r w:rsidRPr="005829FD">
              <w:rPr>
                <w:b/>
                <w:bCs/>
                <w:sz w:val="18"/>
                <w:szCs w:val="18"/>
              </w:rPr>
              <w:t>Timeliness (</w:t>
            </w:r>
            <w:r w:rsidR="006272B3" w:rsidRPr="005829FD">
              <w:rPr>
                <w:b/>
                <w:bCs/>
                <w:sz w:val="18"/>
                <w:szCs w:val="18"/>
              </w:rPr>
              <w:t>-1</w:t>
            </w:r>
            <w:r w:rsidRPr="005829FD">
              <w:rPr>
                <w:b/>
                <w:bCs/>
                <w:sz w:val="18"/>
                <w:szCs w:val="18"/>
              </w:rPr>
              <w:t>)</w:t>
            </w:r>
          </w:p>
          <w:p w14:paraId="12A8C717" w14:textId="1AB3AC1B" w:rsidR="00064343" w:rsidRPr="005829FD" w:rsidRDefault="00064343" w:rsidP="00064343">
            <w:pPr>
              <w:rPr>
                <w:sz w:val="18"/>
                <w:szCs w:val="18"/>
              </w:rPr>
            </w:pPr>
            <w:r w:rsidRPr="005829FD">
              <w:rPr>
                <w:sz w:val="18"/>
                <w:szCs w:val="18"/>
              </w:rPr>
              <w:t xml:space="preserve">This option could take up </w:t>
            </w:r>
            <w:r w:rsidR="0023035F" w:rsidRPr="005829FD">
              <w:rPr>
                <w:sz w:val="18"/>
                <w:szCs w:val="18"/>
              </w:rPr>
              <w:t>the time of these organisations</w:t>
            </w:r>
            <w:r w:rsidRPr="005829FD">
              <w:rPr>
                <w:sz w:val="18"/>
                <w:szCs w:val="18"/>
              </w:rPr>
              <w:t xml:space="preserve">, and potentially for a </w:t>
            </w:r>
            <w:proofErr w:type="gramStart"/>
            <w:r w:rsidRPr="005829FD">
              <w:rPr>
                <w:sz w:val="18"/>
                <w:szCs w:val="18"/>
              </w:rPr>
              <w:t>very</w:t>
            </w:r>
            <w:proofErr w:type="gramEnd"/>
            <w:r w:rsidRPr="005829FD">
              <w:rPr>
                <w:sz w:val="18"/>
                <w:szCs w:val="18"/>
              </w:rPr>
              <w:t xml:space="preserve"> extended period of time, given how long it will take to implement this option in full.</w:t>
            </w:r>
          </w:p>
          <w:p w14:paraId="3014230B" w14:textId="77777777" w:rsidR="00FF5EFA" w:rsidRPr="005829FD" w:rsidRDefault="00FF5EFA" w:rsidP="00FF5EFA">
            <w:pPr>
              <w:rPr>
                <w:b/>
                <w:bCs/>
                <w:sz w:val="18"/>
                <w:szCs w:val="18"/>
              </w:rPr>
            </w:pPr>
            <w:r w:rsidRPr="005829FD">
              <w:rPr>
                <w:b/>
                <w:bCs/>
                <w:sz w:val="18"/>
                <w:szCs w:val="18"/>
              </w:rPr>
              <w:t>Overall (-1)</w:t>
            </w:r>
          </w:p>
          <w:p w14:paraId="15A9BB23" w14:textId="098E8823" w:rsidR="00FF5EFA" w:rsidRPr="005829FD" w:rsidRDefault="00FF5EFA" w:rsidP="00FF5EFA">
            <w:pPr>
              <w:rPr>
                <w:sz w:val="18"/>
                <w:szCs w:val="18"/>
              </w:rPr>
            </w:pPr>
            <w:r w:rsidRPr="005829FD">
              <w:rPr>
                <w:sz w:val="18"/>
                <w:szCs w:val="18"/>
              </w:rPr>
              <w:t xml:space="preserve">This cohort would </w:t>
            </w:r>
            <w:r w:rsidR="0023035F" w:rsidRPr="005829FD">
              <w:rPr>
                <w:sz w:val="18"/>
                <w:szCs w:val="18"/>
              </w:rPr>
              <w:t>be adversely impact</w:t>
            </w:r>
            <w:r w:rsidR="00584E77" w:rsidRPr="005829FD">
              <w:rPr>
                <w:sz w:val="18"/>
                <w:szCs w:val="18"/>
              </w:rPr>
              <w:t>ed</w:t>
            </w:r>
            <w:r w:rsidR="0023035F" w:rsidRPr="005829FD">
              <w:rPr>
                <w:sz w:val="18"/>
                <w:szCs w:val="18"/>
              </w:rPr>
              <w:t xml:space="preserve"> as this option would </w:t>
            </w:r>
            <w:r w:rsidR="00F521C4" w:rsidRPr="005829FD">
              <w:rPr>
                <w:sz w:val="18"/>
                <w:szCs w:val="18"/>
              </w:rPr>
              <w:t>place resourcing demands on community organisations</w:t>
            </w:r>
          </w:p>
          <w:p w14:paraId="79F43043" w14:textId="77777777" w:rsidR="00FF5EFA" w:rsidRPr="005829FD" w:rsidRDefault="00FF5EFA" w:rsidP="00FF5EFA">
            <w:pPr>
              <w:rPr>
                <w:sz w:val="18"/>
                <w:szCs w:val="18"/>
              </w:rPr>
            </w:pPr>
          </w:p>
        </w:tc>
        <w:tc>
          <w:tcPr>
            <w:tcW w:w="676" w:type="pct"/>
          </w:tcPr>
          <w:p w14:paraId="4960B08D" w14:textId="3C094DD4" w:rsidR="00FF5EFA" w:rsidRPr="005829FD" w:rsidRDefault="00FF5EFA" w:rsidP="00FF5EFA">
            <w:pPr>
              <w:rPr>
                <w:b/>
                <w:bCs/>
                <w:sz w:val="18"/>
                <w:szCs w:val="18"/>
              </w:rPr>
            </w:pPr>
            <w:r w:rsidRPr="005829FD">
              <w:rPr>
                <w:b/>
                <w:bCs/>
                <w:sz w:val="18"/>
                <w:szCs w:val="18"/>
              </w:rPr>
              <w:t>Fairness (</w:t>
            </w:r>
            <w:r w:rsidR="006866A8" w:rsidRPr="005829FD">
              <w:rPr>
                <w:b/>
                <w:bCs/>
                <w:sz w:val="18"/>
                <w:szCs w:val="18"/>
              </w:rPr>
              <w:t>0</w:t>
            </w:r>
            <w:r w:rsidRPr="005829FD">
              <w:rPr>
                <w:b/>
                <w:bCs/>
                <w:sz w:val="18"/>
                <w:szCs w:val="18"/>
              </w:rPr>
              <w:t>)</w:t>
            </w:r>
          </w:p>
          <w:p w14:paraId="3DF47A06" w14:textId="4BFB90D0" w:rsidR="00FF5EFA" w:rsidRPr="005829FD" w:rsidRDefault="00FF5EFA" w:rsidP="00FF5EFA">
            <w:pPr>
              <w:rPr>
                <w:sz w:val="18"/>
                <w:szCs w:val="18"/>
              </w:rPr>
            </w:pPr>
            <w:r w:rsidRPr="005829FD">
              <w:rPr>
                <w:sz w:val="18"/>
                <w:szCs w:val="18"/>
              </w:rPr>
              <w:t>Some community organisations provide support to those undertaking reviews and appeals may need to provide additional support for those with a validated debt. Otherwise, there is a negligible impact on</w:t>
            </w:r>
            <w:r w:rsidR="00232B89" w:rsidRPr="005829FD">
              <w:rPr>
                <w:sz w:val="18"/>
                <w:szCs w:val="18"/>
              </w:rPr>
              <w:t xml:space="preserve"> the delivery capacity of</w:t>
            </w:r>
            <w:r w:rsidRPr="005829FD">
              <w:rPr>
                <w:sz w:val="18"/>
                <w:szCs w:val="18"/>
              </w:rPr>
              <w:t xml:space="preserve"> community organisation</w:t>
            </w:r>
            <w:r w:rsidR="00232B89" w:rsidRPr="005829FD">
              <w:rPr>
                <w:sz w:val="18"/>
                <w:szCs w:val="18"/>
              </w:rPr>
              <w:t>s.</w:t>
            </w:r>
          </w:p>
          <w:p w14:paraId="0580312C" w14:textId="4DE40E03" w:rsidR="0AB0C7A1" w:rsidRDefault="0AB0C7A1" w:rsidP="0AB0C7A1">
            <w:pPr>
              <w:rPr>
                <w:b/>
                <w:bCs/>
                <w:sz w:val="18"/>
                <w:szCs w:val="18"/>
              </w:rPr>
            </w:pPr>
          </w:p>
          <w:p w14:paraId="1D61F481" w14:textId="0CEF4A64" w:rsidR="00FF5EFA" w:rsidRPr="005829FD" w:rsidRDefault="00FF5EFA" w:rsidP="00FF5EFA">
            <w:pPr>
              <w:rPr>
                <w:b/>
                <w:bCs/>
                <w:sz w:val="18"/>
                <w:szCs w:val="18"/>
              </w:rPr>
            </w:pPr>
            <w:r w:rsidRPr="005829FD">
              <w:rPr>
                <w:b/>
                <w:bCs/>
                <w:sz w:val="18"/>
                <w:szCs w:val="18"/>
              </w:rPr>
              <w:t>Timeliness (0)</w:t>
            </w:r>
          </w:p>
          <w:p w14:paraId="0AFFA09B" w14:textId="21964A90" w:rsidR="00FF5EFA" w:rsidRPr="005829FD" w:rsidRDefault="00FF5EFA" w:rsidP="00FF5EFA">
            <w:pPr>
              <w:rPr>
                <w:sz w:val="18"/>
                <w:szCs w:val="18"/>
              </w:rPr>
            </w:pPr>
            <w:r w:rsidRPr="005829FD">
              <w:rPr>
                <w:sz w:val="18"/>
                <w:szCs w:val="18"/>
              </w:rPr>
              <w:t>The timeliness of a decision to retrospectively validate income apportionment will not affect community organisations.</w:t>
            </w:r>
          </w:p>
          <w:p w14:paraId="559258C7" w14:textId="5305951A" w:rsidR="00FF5EFA" w:rsidRPr="005829FD" w:rsidRDefault="00FF5EFA" w:rsidP="00FF5EFA">
            <w:pPr>
              <w:rPr>
                <w:b/>
                <w:bCs/>
                <w:sz w:val="18"/>
                <w:szCs w:val="18"/>
              </w:rPr>
            </w:pPr>
            <w:r w:rsidRPr="005829FD">
              <w:rPr>
                <w:b/>
                <w:bCs/>
                <w:sz w:val="18"/>
                <w:szCs w:val="18"/>
              </w:rPr>
              <w:t>Overall (</w:t>
            </w:r>
            <w:r w:rsidR="000918B4" w:rsidRPr="005829FD">
              <w:rPr>
                <w:b/>
                <w:bCs/>
                <w:sz w:val="18"/>
                <w:szCs w:val="18"/>
              </w:rPr>
              <w:t>0</w:t>
            </w:r>
            <w:r w:rsidRPr="005829FD">
              <w:rPr>
                <w:b/>
                <w:bCs/>
                <w:sz w:val="18"/>
                <w:szCs w:val="18"/>
              </w:rPr>
              <w:t>)</w:t>
            </w:r>
          </w:p>
          <w:p w14:paraId="08F83CD2" w14:textId="64A550CE" w:rsidR="00FF5EFA" w:rsidRPr="005829FD" w:rsidRDefault="00620712" w:rsidP="00FF5EFA">
            <w:pPr>
              <w:rPr>
                <w:sz w:val="18"/>
                <w:szCs w:val="18"/>
              </w:rPr>
            </w:pPr>
            <w:r w:rsidRPr="005829FD">
              <w:rPr>
                <w:sz w:val="18"/>
                <w:szCs w:val="18"/>
              </w:rPr>
              <w:t>The impacts of this option are expected to be minimal for this cohort, compared to the status quo</w:t>
            </w:r>
            <w:r w:rsidR="003D0EBA" w:rsidRPr="005829FD">
              <w:rPr>
                <w:sz w:val="18"/>
                <w:szCs w:val="18"/>
              </w:rPr>
              <w:t>.</w:t>
            </w:r>
          </w:p>
          <w:p w14:paraId="22F3F946" w14:textId="50916EBB" w:rsidR="00FF5EFA" w:rsidRPr="005829FD" w:rsidRDefault="00FF5EFA" w:rsidP="00FF5EFA">
            <w:pPr>
              <w:rPr>
                <w:sz w:val="18"/>
                <w:szCs w:val="18"/>
                <w:u w:val="single"/>
              </w:rPr>
            </w:pPr>
          </w:p>
        </w:tc>
        <w:tc>
          <w:tcPr>
            <w:tcW w:w="676" w:type="pct"/>
          </w:tcPr>
          <w:p w14:paraId="04EA40B9" w14:textId="3519CD8C" w:rsidR="00FF5EFA" w:rsidRPr="005829FD" w:rsidRDefault="00FF5EFA" w:rsidP="00FF5EFA">
            <w:pPr>
              <w:rPr>
                <w:b/>
                <w:bCs/>
                <w:sz w:val="18"/>
                <w:szCs w:val="18"/>
              </w:rPr>
            </w:pPr>
            <w:r w:rsidRPr="005829FD">
              <w:rPr>
                <w:b/>
                <w:bCs/>
                <w:sz w:val="18"/>
                <w:szCs w:val="18"/>
              </w:rPr>
              <w:t>Fairness (</w:t>
            </w:r>
            <w:r w:rsidR="00595063" w:rsidRPr="005829FD">
              <w:rPr>
                <w:b/>
                <w:bCs/>
                <w:sz w:val="18"/>
                <w:szCs w:val="18"/>
              </w:rPr>
              <w:t>+1</w:t>
            </w:r>
            <w:r w:rsidRPr="005829FD">
              <w:rPr>
                <w:b/>
                <w:bCs/>
                <w:sz w:val="18"/>
                <w:szCs w:val="18"/>
              </w:rPr>
              <w:t>)</w:t>
            </w:r>
          </w:p>
          <w:p w14:paraId="29C1A51E" w14:textId="041DA0DA" w:rsidR="00FF5EFA" w:rsidRPr="005829FD" w:rsidRDefault="007033FE" w:rsidP="00FF5EFA">
            <w:pPr>
              <w:rPr>
                <w:sz w:val="18"/>
                <w:szCs w:val="18"/>
              </w:rPr>
            </w:pPr>
            <w:r w:rsidRPr="005829FD">
              <w:rPr>
                <w:sz w:val="18"/>
                <w:szCs w:val="18"/>
              </w:rPr>
              <w:t xml:space="preserve">Along with the impacts of retrospective validation (identified for option 4), </w:t>
            </w:r>
            <w:r w:rsidR="00B84D3E" w:rsidRPr="005829FD">
              <w:rPr>
                <w:sz w:val="18"/>
                <w:szCs w:val="18"/>
              </w:rPr>
              <w:t xml:space="preserve">this option would have a beneficial impact on community organisations as </w:t>
            </w:r>
            <w:r w:rsidR="005E7577" w:rsidRPr="005829FD">
              <w:rPr>
                <w:sz w:val="18"/>
                <w:szCs w:val="18"/>
              </w:rPr>
              <w:t xml:space="preserve">it will reduce the number of </w:t>
            </w:r>
            <w:r w:rsidR="00656781" w:rsidRPr="005829FD">
              <w:rPr>
                <w:sz w:val="18"/>
                <w:szCs w:val="18"/>
              </w:rPr>
              <w:t>active debts they may be required to provide assistance with.</w:t>
            </w:r>
          </w:p>
          <w:p w14:paraId="04E83450" w14:textId="77777777" w:rsidR="00FF5EFA" w:rsidRPr="005829FD" w:rsidRDefault="00FF5EFA" w:rsidP="00FF5EFA">
            <w:pPr>
              <w:rPr>
                <w:b/>
                <w:bCs/>
                <w:sz w:val="18"/>
                <w:szCs w:val="18"/>
              </w:rPr>
            </w:pPr>
            <w:r w:rsidRPr="005829FD">
              <w:rPr>
                <w:b/>
                <w:bCs/>
                <w:sz w:val="18"/>
                <w:szCs w:val="18"/>
              </w:rPr>
              <w:t>Timeliness (0)</w:t>
            </w:r>
          </w:p>
          <w:p w14:paraId="57AAF039" w14:textId="77777777" w:rsidR="00944D22" w:rsidRPr="005829FD" w:rsidRDefault="00944D22" w:rsidP="00944D22">
            <w:pPr>
              <w:rPr>
                <w:sz w:val="18"/>
                <w:szCs w:val="18"/>
              </w:rPr>
            </w:pPr>
            <w:r w:rsidRPr="005829FD">
              <w:rPr>
                <w:sz w:val="18"/>
                <w:szCs w:val="18"/>
              </w:rPr>
              <w:t>This cohort would not be affected by timeliness of this option.</w:t>
            </w:r>
          </w:p>
          <w:p w14:paraId="30FFAE8A" w14:textId="31099D62" w:rsidR="00FF5EFA" w:rsidRPr="005829FD" w:rsidRDefault="00FF5EFA" w:rsidP="00FF5EFA">
            <w:pPr>
              <w:rPr>
                <w:b/>
                <w:bCs/>
                <w:sz w:val="18"/>
                <w:szCs w:val="18"/>
              </w:rPr>
            </w:pPr>
            <w:r w:rsidRPr="005829FD">
              <w:rPr>
                <w:b/>
                <w:bCs/>
                <w:sz w:val="18"/>
                <w:szCs w:val="18"/>
              </w:rPr>
              <w:t>Overall (</w:t>
            </w:r>
            <w:r w:rsidR="000D7551" w:rsidRPr="005829FD">
              <w:rPr>
                <w:b/>
                <w:bCs/>
                <w:sz w:val="18"/>
                <w:szCs w:val="18"/>
              </w:rPr>
              <w:t>1</w:t>
            </w:r>
            <w:r w:rsidRPr="005829FD">
              <w:rPr>
                <w:b/>
                <w:bCs/>
                <w:sz w:val="18"/>
                <w:szCs w:val="18"/>
              </w:rPr>
              <w:t>)</w:t>
            </w:r>
          </w:p>
          <w:p w14:paraId="40D75139" w14:textId="28151BAE" w:rsidR="00FF5EFA" w:rsidRPr="005829FD" w:rsidRDefault="00EE72F6" w:rsidP="00944D22">
            <w:pPr>
              <w:rPr>
                <w:b/>
                <w:bCs/>
                <w:sz w:val="18"/>
                <w:szCs w:val="18"/>
              </w:rPr>
            </w:pPr>
            <w:r w:rsidRPr="005829FD">
              <w:rPr>
                <w:sz w:val="18"/>
                <w:szCs w:val="18"/>
              </w:rPr>
              <w:t>This option is beneficial to community organisations as it reduces the number of debts they may be required to provide assistance with.</w:t>
            </w:r>
          </w:p>
        </w:tc>
        <w:tc>
          <w:tcPr>
            <w:tcW w:w="671" w:type="pct"/>
          </w:tcPr>
          <w:p w14:paraId="77419802" w14:textId="6EDFB30D" w:rsidR="009D3292" w:rsidRPr="005829FD" w:rsidRDefault="00FF5EFA" w:rsidP="00AE6A7E">
            <w:pPr>
              <w:rPr>
                <w:sz w:val="18"/>
                <w:szCs w:val="18"/>
              </w:rPr>
            </w:pPr>
            <w:r w:rsidRPr="004251ED">
              <w:rPr>
                <w:b/>
                <w:bCs/>
                <w:sz w:val="18"/>
                <w:szCs w:val="18"/>
              </w:rPr>
              <w:t>Fairness (</w:t>
            </w:r>
            <w:r w:rsidR="00344CC7" w:rsidRPr="004251ED">
              <w:rPr>
                <w:b/>
                <w:bCs/>
                <w:sz w:val="18"/>
                <w:szCs w:val="18"/>
              </w:rPr>
              <w:t>-1</w:t>
            </w:r>
            <w:r w:rsidRPr="004251ED">
              <w:rPr>
                <w:b/>
                <w:bCs/>
                <w:sz w:val="18"/>
                <w:szCs w:val="18"/>
              </w:rPr>
              <w:t>)</w:t>
            </w:r>
            <w:r w:rsidR="00AE6A7E" w:rsidRPr="005829FD">
              <w:rPr>
                <w:sz w:val="18"/>
                <w:szCs w:val="18"/>
              </w:rPr>
              <w:t xml:space="preserve"> </w:t>
            </w:r>
          </w:p>
          <w:p w14:paraId="57F39903" w14:textId="098F4901" w:rsidR="00AE6A7E" w:rsidRPr="005829FD" w:rsidRDefault="009D3292" w:rsidP="009E6240">
            <w:pPr>
              <w:rPr>
                <w:sz w:val="18"/>
                <w:szCs w:val="18"/>
              </w:rPr>
            </w:pPr>
            <w:r w:rsidRPr="005829FD">
              <w:rPr>
                <w:sz w:val="18"/>
                <w:szCs w:val="18"/>
              </w:rPr>
              <w:t xml:space="preserve">Along with the impacts of retrospective validation (identified for option 4), this option </w:t>
            </w:r>
            <w:r w:rsidR="009E6240" w:rsidRPr="005829FD">
              <w:rPr>
                <w:sz w:val="18"/>
                <w:szCs w:val="18"/>
              </w:rPr>
              <w:t>w</w:t>
            </w:r>
            <w:r w:rsidRPr="005829FD">
              <w:rPr>
                <w:sz w:val="18"/>
                <w:szCs w:val="18"/>
              </w:rPr>
              <w:t xml:space="preserve">ould increase demand for their services as people </w:t>
            </w:r>
            <w:r w:rsidR="00AE2403" w:rsidRPr="005829FD">
              <w:rPr>
                <w:sz w:val="18"/>
                <w:szCs w:val="18"/>
              </w:rPr>
              <w:t xml:space="preserve">may </w:t>
            </w:r>
            <w:r w:rsidRPr="005829FD">
              <w:rPr>
                <w:sz w:val="18"/>
                <w:szCs w:val="18"/>
              </w:rPr>
              <w:t xml:space="preserve">seek assistance with accessing the </w:t>
            </w:r>
            <w:r w:rsidR="00135693">
              <w:rPr>
                <w:sz w:val="18"/>
                <w:szCs w:val="18"/>
              </w:rPr>
              <w:t>resolution scheme</w:t>
            </w:r>
            <w:r w:rsidR="00AE6A7E" w:rsidRPr="005829FD">
              <w:rPr>
                <w:sz w:val="18"/>
                <w:szCs w:val="18"/>
              </w:rPr>
              <w:t xml:space="preserve"> </w:t>
            </w:r>
          </w:p>
          <w:p w14:paraId="563067C3" w14:textId="77777777" w:rsidR="00FF5EFA" w:rsidRPr="005829FD" w:rsidRDefault="00FF5EFA" w:rsidP="00FF5EFA">
            <w:pPr>
              <w:rPr>
                <w:b/>
                <w:bCs/>
                <w:sz w:val="18"/>
                <w:szCs w:val="18"/>
              </w:rPr>
            </w:pPr>
            <w:r w:rsidRPr="005829FD">
              <w:rPr>
                <w:b/>
                <w:bCs/>
                <w:sz w:val="18"/>
                <w:szCs w:val="18"/>
              </w:rPr>
              <w:t>Timeliness (0)</w:t>
            </w:r>
          </w:p>
          <w:p w14:paraId="1A0978D0" w14:textId="1A533A2F" w:rsidR="00FF5EFA" w:rsidRPr="005829FD" w:rsidRDefault="00AE2403" w:rsidP="00FF5EFA">
            <w:pPr>
              <w:rPr>
                <w:sz w:val="18"/>
                <w:szCs w:val="18"/>
              </w:rPr>
            </w:pPr>
            <w:r w:rsidRPr="005829FD">
              <w:rPr>
                <w:sz w:val="18"/>
                <w:szCs w:val="18"/>
              </w:rPr>
              <w:t xml:space="preserve">The </w:t>
            </w:r>
            <w:r w:rsidR="00135693">
              <w:rPr>
                <w:sz w:val="18"/>
                <w:szCs w:val="18"/>
              </w:rPr>
              <w:t>resolution scheme</w:t>
            </w:r>
            <w:r w:rsidRPr="005829FD">
              <w:rPr>
                <w:sz w:val="18"/>
                <w:szCs w:val="18"/>
              </w:rPr>
              <w:t xml:space="preserve"> is time-limited</w:t>
            </w:r>
            <w:r w:rsidR="009F15BF" w:rsidRPr="005829FD">
              <w:rPr>
                <w:sz w:val="18"/>
                <w:szCs w:val="18"/>
              </w:rPr>
              <w:t>.</w:t>
            </w:r>
          </w:p>
          <w:p w14:paraId="786C7649" w14:textId="68083D33" w:rsidR="00FF5EFA" w:rsidRPr="005829FD" w:rsidRDefault="00FF5EFA" w:rsidP="00FF5EFA">
            <w:pPr>
              <w:rPr>
                <w:b/>
                <w:bCs/>
                <w:sz w:val="18"/>
                <w:szCs w:val="18"/>
              </w:rPr>
            </w:pPr>
            <w:r w:rsidRPr="005829FD">
              <w:rPr>
                <w:b/>
                <w:bCs/>
                <w:sz w:val="18"/>
                <w:szCs w:val="18"/>
              </w:rPr>
              <w:t>Overall (</w:t>
            </w:r>
            <w:r w:rsidR="00344CC7" w:rsidRPr="005829FD">
              <w:rPr>
                <w:b/>
                <w:bCs/>
                <w:sz w:val="18"/>
                <w:szCs w:val="18"/>
              </w:rPr>
              <w:t>-1</w:t>
            </w:r>
            <w:r w:rsidRPr="005829FD">
              <w:rPr>
                <w:b/>
                <w:bCs/>
                <w:sz w:val="18"/>
                <w:szCs w:val="18"/>
              </w:rPr>
              <w:t>)</w:t>
            </w:r>
          </w:p>
          <w:p w14:paraId="0721A5F7" w14:textId="7649418A" w:rsidR="00FF5EFA" w:rsidRPr="005829FD" w:rsidRDefault="00AE7FB5" w:rsidP="007650A6">
            <w:pPr>
              <w:rPr>
                <w:b/>
                <w:bCs/>
                <w:sz w:val="18"/>
                <w:szCs w:val="18"/>
              </w:rPr>
            </w:pPr>
            <w:r w:rsidRPr="005829FD">
              <w:rPr>
                <w:sz w:val="18"/>
                <w:szCs w:val="18"/>
              </w:rPr>
              <w:t xml:space="preserve">This rating is warranted given the additional resourcing requirements it will place on community organisations. </w:t>
            </w:r>
          </w:p>
        </w:tc>
      </w:tr>
      <w:tr w:rsidR="00C03C21" w14:paraId="19B023B0" w14:textId="4498A26F" w:rsidTr="00635804">
        <w:trPr>
          <w:trHeight w:val="1223"/>
        </w:trPr>
        <w:tc>
          <w:tcPr>
            <w:tcW w:w="379" w:type="pct"/>
          </w:tcPr>
          <w:p w14:paraId="13AB9677" w14:textId="4D651DEB" w:rsidR="00FF5EFA" w:rsidRDefault="00FF5EFA" w:rsidP="00FF5EFA">
            <w:pPr>
              <w:rPr>
                <w:b/>
                <w:bCs/>
              </w:rPr>
            </w:pPr>
            <w:r>
              <w:rPr>
                <w:b/>
                <w:bCs/>
              </w:rPr>
              <w:t>Broader public</w:t>
            </w:r>
          </w:p>
        </w:tc>
        <w:tc>
          <w:tcPr>
            <w:tcW w:w="95" w:type="pct"/>
            <w:shd w:val="clear" w:color="auto" w:fill="FFC000"/>
            <w:vAlign w:val="center"/>
          </w:tcPr>
          <w:p w14:paraId="38B81252" w14:textId="73644809" w:rsidR="00FF5EFA" w:rsidRPr="00D93763" w:rsidRDefault="00F258E8" w:rsidP="00FF05AB">
            <w:pPr>
              <w:jc w:val="center"/>
              <w:rPr>
                <w:b/>
                <w:bCs/>
                <w:sz w:val="20"/>
                <w:szCs w:val="20"/>
              </w:rPr>
            </w:pPr>
            <w:r w:rsidRPr="00D93763">
              <w:rPr>
                <w:b/>
                <w:bCs/>
                <w:sz w:val="20"/>
                <w:szCs w:val="20"/>
              </w:rPr>
              <w:t>-1</w:t>
            </w:r>
          </w:p>
        </w:tc>
        <w:tc>
          <w:tcPr>
            <w:tcW w:w="95" w:type="pct"/>
            <w:shd w:val="clear" w:color="auto" w:fill="FFC000"/>
            <w:vAlign w:val="center"/>
          </w:tcPr>
          <w:p w14:paraId="08A3AB62" w14:textId="692C79AD" w:rsidR="00FF5EFA" w:rsidRPr="00D93763" w:rsidRDefault="00C24644" w:rsidP="00FF05AB">
            <w:pPr>
              <w:jc w:val="center"/>
              <w:rPr>
                <w:b/>
                <w:bCs/>
                <w:sz w:val="20"/>
                <w:szCs w:val="20"/>
              </w:rPr>
            </w:pPr>
            <w:r w:rsidRPr="00D93763">
              <w:rPr>
                <w:b/>
                <w:bCs/>
                <w:sz w:val="20"/>
                <w:szCs w:val="20"/>
              </w:rPr>
              <w:t>-1</w:t>
            </w:r>
          </w:p>
        </w:tc>
        <w:tc>
          <w:tcPr>
            <w:tcW w:w="95" w:type="pct"/>
            <w:shd w:val="clear" w:color="auto" w:fill="FFC000"/>
            <w:vAlign w:val="center"/>
          </w:tcPr>
          <w:p w14:paraId="09F28F0B" w14:textId="6A44DE27" w:rsidR="00FF5EFA" w:rsidRPr="00D93763" w:rsidRDefault="001A5C9A" w:rsidP="00FF05AB">
            <w:pPr>
              <w:jc w:val="center"/>
              <w:rPr>
                <w:b/>
                <w:bCs/>
                <w:sz w:val="20"/>
                <w:szCs w:val="20"/>
              </w:rPr>
            </w:pPr>
            <w:r>
              <w:rPr>
                <w:b/>
                <w:bCs/>
                <w:sz w:val="20"/>
                <w:szCs w:val="20"/>
              </w:rPr>
              <w:t>-1</w:t>
            </w:r>
          </w:p>
        </w:tc>
        <w:tc>
          <w:tcPr>
            <w:tcW w:w="95" w:type="pct"/>
            <w:shd w:val="clear" w:color="auto" w:fill="FFFF00"/>
            <w:vAlign w:val="center"/>
          </w:tcPr>
          <w:p w14:paraId="39665491" w14:textId="6F0B651E" w:rsidR="00FF5EFA" w:rsidRPr="00D93763" w:rsidRDefault="00016B15" w:rsidP="00FF05AB">
            <w:pPr>
              <w:jc w:val="center"/>
              <w:rPr>
                <w:b/>
                <w:bCs/>
                <w:sz w:val="20"/>
                <w:szCs w:val="20"/>
              </w:rPr>
            </w:pPr>
            <w:r w:rsidRPr="00D93763">
              <w:rPr>
                <w:b/>
                <w:bCs/>
                <w:sz w:val="20"/>
                <w:szCs w:val="20"/>
              </w:rPr>
              <w:t>0</w:t>
            </w:r>
          </w:p>
        </w:tc>
        <w:tc>
          <w:tcPr>
            <w:tcW w:w="95" w:type="pct"/>
            <w:shd w:val="clear" w:color="auto" w:fill="FFFF00"/>
            <w:vAlign w:val="center"/>
          </w:tcPr>
          <w:p w14:paraId="535FE42C" w14:textId="58FEC04C" w:rsidR="00FF5EFA" w:rsidRPr="00D93763" w:rsidRDefault="00016B15" w:rsidP="00D93763">
            <w:pPr>
              <w:jc w:val="center"/>
              <w:rPr>
                <w:b/>
                <w:bCs/>
                <w:sz w:val="20"/>
                <w:szCs w:val="20"/>
              </w:rPr>
            </w:pPr>
            <w:r w:rsidRPr="00D93763">
              <w:rPr>
                <w:b/>
                <w:bCs/>
                <w:sz w:val="20"/>
                <w:szCs w:val="20"/>
              </w:rPr>
              <w:t>0</w:t>
            </w:r>
          </w:p>
        </w:tc>
        <w:tc>
          <w:tcPr>
            <w:tcW w:w="95" w:type="pct"/>
            <w:shd w:val="clear" w:color="auto" w:fill="FFFF00"/>
            <w:vAlign w:val="center"/>
          </w:tcPr>
          <w:p w14:paraId="2F0EA4D3" w14:textId="694DA252" w:rsidR="00FF5EFA" w:rsidRPr="00D93763" w:rsidRDefault="00016B15" w:rsidP="00D93763">
            <w:pPr>
              <w:jc w:val="center"/>
              <w:rPr>
                <w:b/>
                <w:bCs/>
                <w:sz w:val="20"/>
                <w:szCs w:val="20"/>
              </w:rPr>
            </w:pPr>
            <w:r w:rsidRPr="00D93763">
              <w:rPr>
                <w:b/>
                <w:bCs/>
                <w:sz w:val="20"/>
                <w:szCs w:val="20"/>
              </w:rPr>
              <w:t>0</w:t>
            </w:r>
          </w:p>
        </w:tc>
        <w:tc>
          <w:tcPr>
            <w:tcW w:w="676" w:type="pct"/>
          </w:tcPr>
          <w:p w14:paraId="30853FB0" w14:textId="23331FC5" w:rsidR="00FF5EFA" w:rsidRDefault="00FF5EFA" w:rsidP="00FF5EFA">
            <w:pPr>
              <w:rPr>
                <w:b/>
                <w:bCs/>
                <w:sz w:val="18"/>
                <w:szCs w:val="18"/>
              </w:rPr>
            </w:pPr>
            <w:r w:rsidRPr="003470B0">
              <w:rPr>
                <w:b/>
                <w:bCs/>
                <w:sz w:val="18"/>
                <w:szCs w:val="18"/>
              </w:rPr>
              <w:t>Fairness</w:t>
            </w:r>
            <w:r>
              <w:rPr>
                <w:b/>
                <w:bCs/>
                <w:sz w:val="18"/>
                <w:szCs w:val="18"/>
              </w:rPr>
              <w:t xml:space="preserve"> (</w:t>
            </w:r>
            <w:r w:rsidR="00982433">
              <w:rPr>
                <w:b/>
                <w:bCs/>
                <w:sz w:val="18"/>
                <w:szCs w:val="18"/>
              </w:rPr>
              <w:t>-1</w:t>
            </w:r>
            <w:r>
              <w:rPr>
                <w:b/>
                <w:bCs/>
                <w:sz w:val="18"/>
                <w:szCs w:val="18"/>
              </w:rPr>
              <w:t>)</w:t>
            </w:r>
          </w:p>
          <w:p w14:paraId="3C1A2FE7" w14:textId="506550A5" w:rsidR="00FF5EFA" w:rsidRPr="002C237E" w:rsidRDefault="00FF5EFA" w:rsidP="00FF5EFA">
            <w:pPr>
              <w:rPr>
                <w:sz w:val="18"/>
                <w:szCs w:val="18"/>
              </w:rPr>
            </w:pPr>
            <w:r>
              <w:rPr>
                <w:sz w:val="18"/>
                <w:szCs w:val="18"/>
              </w:rPr>
              <w:t xml:space="preserve">Maintaining </w:t>
            </w:r>
            <w:r w:rsidR="00D64A70">
              <w:rPr>
                <w:sz w:val="18"/>
                <w:szCs w:val="18"/>
              </w:rPr>
              <w:t>the debt pauses does not affect the broader public</w:t>
            </w:r>
            <w:r w:rsidR="002E0520">
              <w:rPr>
                <w:sz w:val="18"/>
                <w:szCs w:val="18"/>
              </w:rPr>
              <w:t>, but a failure to take action to address income apportionment</w:t>
            </w:r>
            <w:r w:rsidR="00911170">
              <w:rPr>
                <w:sz w:val="18"/>
                <w:szCs w:val="18"/>
              </w:rPr>
              <w:t xml:space="preserve"> could lead to loss of public confidence. </w:t>
            </w:r>
            <w:r w:rsidR="00712BC9">
              <w:rPr>
                <w:sz w:val="18"/>
                <w:szCs w:val="18"/>
              </w:rPr>
              <w:t>This i</w:t>
            </w:r>
            <w:r w:rsidR="00316106">
              <w:rPr>
                <w:sz w:val="18"/>
                <w:szCs w:val="18"/>
              </w:rPr>
              <w:t>ncludes in relation to service delivery</w:t>
            </w:r>
            <w:r w:rsidR="00841F4A">
              <w:rPr>
                <w:sz w:val="18"/>
                <w:szCs w:val="18"/>
              </w:rPr>
              <w:t xml:space="preserve">, where </w:t>
            </w:r>
            <w:r w:rsidR="00514BE4">
              <w:rPr>
                <w:sz w:val="18"/>
                <w:szCs w:val="18"/>
              </w:rPr>
              <w:t xml:space="preserve">the public has an </w:t>
            </w:r>
            <w:r w:rsidR="00D916B6">
              <w:rPr>
                <w:sz w:val="18"/>
                <w:szCs w:val="18"/>
              </w:rPr>
              <w:t>expectation</w:t>
            </w:r>
            <w:r w:rsidR="00514BE4">
              <w:rPr>
                <w:sz w:val="18"/>
                <w:szCs w:val="18"/>
              </w:rPr>
              <w:t xml:space="preserve"> go</w:t>
            </w:r>
            <w:r w:rsidR="00841F4A">
              <w:rPr>
                <w:sz w:val="18"/>
                <w:szCs w:val="18"/>
              </w:rPr>
              <w:t>vernment do</w:t>
            </w:r>
            <w:r w:rsidR="00D916B6">
              <w:rPr>
                <w:sz w:val="18"/>
                <w:szCs w:val="18"/>
              </w:rPr>
              <w:t>es</w:t>
            </w:r>
            <w:r w:rsidR="00841F4A">
              <w:rPr>
                <w:sz w:val="18"/>
                <w:szCs w:val="18"/>
              </w:rPr>
              <w:t xml:space="preserve"> </w:t>
            </w:r>
            <w:r w:rsidR="00841F4A">
              <w:rPr>
                <w:sz w:val="18"/>
                <w:szCs w:val="18"/>
              </w:rPr>
              <w:lastRenderedPageBreak/>
              <w:t>things correctly</w:t>
            </w:r>
            <w:r w:rsidR="00D916B6">
              <w:rPr>
                <w:sz w:val="18"/>
                <w:szCs w:val="18"/>
              </w:rPr>
              <w:t xml:space="preserve"> and makes amends where this doesn’t happen</w:t>
            </w:r>
            <w:r w:rsidR="00EE59EF">
              <w:rPr>
                <w:sz w:val="18"/>
                <w:szCs w:val="18"/>
              </w:rPr>
              <w:t>.</w:t>
            </w:r>
          </w:p>
          <w:p w14:paraId="5D39C994" w14:textId="77777777" w:rsidR="00FF5EFA" w:rsidRDefault="00FF5EFA" w:rsidP="00FF5EFA">
            <w:pPr>
              <w:rPr>
                <w:b/>
                <w:bCs/>
                <w:sz w:val="18"/>
                <w:szCs w:val="18"/>
              </w:rPr>
            </w:pPr>
            <w:r w:rsidRPr="003470B0">
              <w:rPr>
                <w:b/>
                <w:bCs/>
                <w:sz w:val="18"/>
                <w:szCs w:val="18"/>
              </w:rPr>
              <w:t xml:space="preserve">Timeliness </w:t>
            </w:r>
            <w:r>
              <w:rPr>
                <w:b/>
                <w:bCs/>
                <w:sz w:val="18"/>
                <w:szCs w:val="18"/>
              </w:rPr>
              <w:t>(0)</w:t>
            </w:r>
          </w:p>
          <w:p w14:paraId="765DB3D5" w14:textId="77777777" w:rsidR="0015010D" w:rsidRDefault="0015010D" w:rsidP="0015010D">
            <w:pPr>
              <w:rPr>
                <w:sz w:val="18"/>
                <w:szCs w:val="18"/>
              </w:rPr>
            </w:pPr>
            <w:r>
              <w:rPr>
                <w:sz w:val="18"/>
                <w:szCs w:val="18"/>
              </w:rPr>
              <w:t>The timeliness of the status quo does not have specific impacts for this cohort.</w:t>
            </w:r>
          </w:p>
          <w:p w14:paraId="5BE64DC5" w14:textId="007999CD" w:rsidR="00FF5EFA" w:rsidRPr="006113F1" w:rsidRDefault="00FF5EFA" w:rsidP="00FF5EFA">
            <w:pPr>
              <w:rPr>
                <w:b/>
                <w:bCs/>
                <w:sz w:val="18"/>
                <w:szCs w:val="18"/>
              </w:rPr>
            </w:pPr>
            <w:r w:rsidRPr="006113F1">
              <w:rPr>
                <w:b/>
                <w:bCs/>
                <w:sz w:val="18"/>
                <w:szCs w:val="18"/>
              </w:rPr>
              <w:t>Overall (</w:t>
            </w:r>
            <w:r w:rsidR="00A44DF1">
              <w:rPr>
                <w:b/>
                <w:bCs/>
                <w:sz w:val="18"/>
                <w:szCs w:val="18"/>
              </w:rPr>
              <w:t>-1</w:t>
            </w:r>
            <w:r w:rsidRPr="006113F1">
              <w:rPr>
                <w:b/>
                <w:bCs/>
                <w:sz w:val="18"/>
                <w:szCs w:val="18"/>
              </w:rPr>
              <w:t>)</w:t>
            </w:r>
          </w:p>
          <w:p w14:paraId="25C701AA" w14:textId="59D3AB6C" w:rsidR="00FF5EFA" w:rsidRPr="002C237E" w:rsidRDefault="00335631" w:rsidP="00FF5EFA">
            <w:pPr>
              <w:rPr>
                <w:sz w:val="18"/>
                <w:szCs w:val="18"/>
              </w:rPr>
            </w:pPr>
            <w:r>
              <w:rPr>
                <w:sz w:val="18"/>
                <w:szCs w:val="18"/>
              </w:rPr>
              <w:t xml:space="preserve">Failure to take action to address income apportionment – the status quo </w:t>
            </w:r>
            <w:r w:rsidR="00514BE4">
              <w:rPr>
                <w:sz w:val="18"/>
                <w:szCs w:val="18"/>
              </w:rPr>
              <w:t>–</w:t>
            </w:r>
            <w:r>
              <w:rPr>
                <w:sz w:val="18"/>
                <w:szCs w:val="18"/>
              </w:rPr>
              <w:t xml:space="preserve"> could lead to </w:t>
            </w:r>
            <w:r w:rsidR="00BE73CF">
              <w:rPr>
                <w:sz w:val="18"/>
                <w:szCs w:val="18"/>
              </w:rPr>
              <w:t xml:space="preserve">a </w:t>
            </w:r>
            <w:r>
              <w:rPr>
                <w:sz w:val="18"/>
                <w:szCs w:val="18"/>
              </w:rPr>
              <w:t xml:space="preserve">loss of public confidence. </w:t>
            </w:r>
          </w:p>
        </w:tc>
        <w:tc>
          <w:tcPr>
            <w:tcW w:w="676" w:type="pct"/>
          </w:tcPr>
          <w:p w14:paraId="5E55EC7F" w14:textId="63C8E9E0" w:rsidR="00FF5EFA" w:rsidRPr="002C237E" w:rsidRDefault="00FF5EFA" w:rsidP="00FF5EFA">
            <w:pPr>
              <w:rPr>
                <w:b/>
                <w:bCs/>
                <w:sz w:val="18"/>
                <w:szCs w:val="18"/>
              </w:rPr>
            </w:pPr>
            <w:r w:rsidRPr="003470B0">
              <w:rPr>
                <w:b/>
                <w:bCs/>
                <w:sz w:val="18"/>
                <w:szCs w:val="18"/>
              </w:rPr>
              <w:lastRenderedPageBreak/>
              <w:t>Fairness</w:t>
            </w:r>
            <w:r>
              <w:rPr>
                <w:b/>
                <w:bCs/>
                <w:sz w:val="18"/>
                <w:szCs w:val="18"/>
              </w:rPr>
              <w:t xml:space="preserve"> (-2)</w:t>
            </w:r>
          </w:p>
          <w:p w14:paraId="43D3C74B" w14:textId="5528ABA2" w:rsidR="00FF5EFA" w:rsidRDefault="00FF5EFA" w:rsidP="00FF5EFA">
            <w:pPr>
              <w:pStyle w:val="Default"/>
              <w:rPr>
                <w:rFonts w:cstheme="minorBidi"/>
                <w:sz w:val="18"/>
                <w:szCs w:val="18"/>
              </w:rPr>
            </w:pPr>
            <w:r>
              <w:rPr>
                <w:rFonts w:cstheme="minorBidi"/>
                <w:sz w:val="18"/>
                <w:szCs w:val="18"/>
              </w:rPr>
              <w:t xml:space="preserve">Waiving millions of debts may cause a loss of public confidence in the Government’s ability to administer social security, particularly if Services Australia’s other deliverables were compromised. </w:t>
            </w:r>
          </w:p>
          <w:p w14:paraId="07DA7632" w14:textId="77777777" w:rsidR="000F1F6F" w:rsidRDefault="000F1F6F" w:rsidP="00FF5EFA">
            <w:pPr>
              <w:pStyle w:val="Default"/>
              <w:rPr>
                <w:rFonts w:cstheme="minorBidi"/>
                <w:sz w:val="18"/>
                <w:szCs w:val="18"/>
              </w:rPr>
            </w:pPr>
          </w:p>
          <w:p w14:paraId="2B680785" w14:textId="769C0C6A" w:rsidR="00FF5EFA" w:rsidRDefault="00AC31BA" w:rsidP="00FF5EFA">
            <w:pPr>
              <w:rPr>
                <w:sz w:val="18"/>
                <w:szCs w:val="18"/>
              </w:rPr>
            </w:pPr>
            <w:r>
              <w:rPr>
                <w:sz w:val="18"/>
                <w:szCs w:val="18"/>
              </w:rPr>
              <w:lastRenderedPageBreak/>
              <w:t>Social security d</w:t>
            </w:r>
            <w:r w:rsidR="00FF5EFA">
              <w:rPr>
                <w:sz w:val="18"/>
                <w:szCs w:val="18"/>
              </w:rPr>
              <w:t xml:space="preserve">ebts being wholly waived when in all likelihood the individual owed a debt (including debts unaffected by income apportionment) </w:t>
            </w:r>
            <w:r w:rsidR="00CB135F">
              <w:rPr>
                <w:sz w:val="18"/>
                <w:szCs w:val="18"/>
              </w:rPr>
              <w:t xml:space="preserve">would be </w:t>
            </w:r>
            <w:r>
              <w:rPr>
                <w:sz w:val="18"/>
                <w:szCs w:val="18"/>
              </w:rPr>
              <w:t xml:space="preserve">generally </w:t>
            </w:r>
            <w:r w:rsidR="00FF5EFA">
              <w:rPr>
                <w:sz w:val="18"/>
                <w:szCs w:val="18"/>
              </w:rPr>
              <w:t xml:space="preserve">considered unfair. </w:t>
            </w:r>
            <w:r>
              <w:rPr>
                <w:sz w:val="18"/>
                <w:szCs w:val="18"/>
              </w:rPr>
              <w:t xml:space="preserve">It would also be </w:t>
            </w:r>
            <w:r w:rsidR="001A15A5">
              <w:rPr>
                <w:sz w:val="18"/>
                <w:szCs w:val="18"/>
              </w:rPr>
              <w:t>specifically unfair to members of the broader public with other types of debts to the Commonwealth (e.g. a tax debt)</w:t>
            </w:r>
            <w:r w:rsidR="00CE05E9">
              <w:rPr>
                <w:sz w:val="18"/>
                <w:szCs w:val="18"/>
              </w:rPr>
              <w:t xml:space="preserve"> that they are expected to repay.</w:t>
            </w:r>
          </w:p>
          <w:p w14:paraId="735D418D" w14:textId="238CF6B0" w:rsidR="00B7743D" w:rsidRDefault="00B7743D" w:rsidP="00FF5EFA">
            <w:pPr>
              <w:rPr>
                <w:sz w:val="18"/>
                <w:szCs w:val="18"/>
              </w:rPr>
            </w:pPr>
            <w:r w:rsidRPr="007C03A4">
              <w:rPr>
                <w:sz w:val="18"/>
                <w:szCs w:val="18"/>
              </w:rPr>
              <w:t xml:space="preserve">A large-scale debt waiver </w:t>
            </w:r>
            <w:r>
              <w:rPr>
                <w:sz w:val="18"/>
                <w:szCs w:val="18"/>
              </w:rPr>
              <w:t xml:space="preserve">would </w:t>
            </w:r>
            <w:r w:rsidRPr="007C03A4">
              <w:rPr>
                <w:sz w:val="18"/>
                <w:szCs w:val="18"/>
              </w:rPr>
              <w:t xml:space="preserve">contribute to the perception social security debts are </w:t>
            </w:r>
            <w:r w:rsidR="00292B1F">
              <w:rPr>
                <w:sz w:val="18"/>
                <w:szCs w:val="18"/>
              </w:rPr>
              <w:t xml:space="preserve">generally </w:t>
            </w:r>
            <w:r w:rsidRPr="007C03A4">
              <w:rPr>
                <w:sz w:val="18"/>
                <w:szCs w:val="18"/>
              </w:rPr>
              <w:t xml:space="preserve">error prone or </w:t>
            </w:r>
            <w:r>
              <w:rPr>
                <w:sz w:val="18"/>
                <w:szCs w:val="18"/>
              </w:rPr>
              <w:t>illegitimate and may</w:t>
            </w:r>
            <w:r w:rsidR="008C4ECA">
              <w:rPr>
                <w:sz w:val="18"/>
                <w:szCs w:val="18"/>
              </w:rPr>
              <w:t xml:space="preserve"> </w:t>
            </w:r>
            <w:r>
              <w:rPr>
                <w:sz w:val="18"/>
                <w:szCs w:val="18"/>
              </w:rPr>
              <w:t>cause a loss of public confidence in the Government’s ability to administer social security.</w:t>
            </w:r>
          </w:p>
          <w:p w14:paraId="5C0345C7" w14:textId="77777777" w:rsidR="00FF5EFA" w:rsidRDefault="00FF5EFA" w:rsidP="00FF5EFA">
            <w:pPr>
              <w:rPr>
                <w:b/>
                <w:bCs/>
                <w:sz w:val="18"/>
                <w:szCs w:val="18"/>
              </w:rPr>
            </w:pPr>
            <w:r w:rsidRPr="003470B0">
              <w:rPr>
                <w:b/>
                <w:bCs/>
                <w:sz w:val="18"/>
                <w:szCs w:val="18"/>
              </w:rPr>
              <w:t xml:space="preserve">Timeliness </w:t>
            </w:r>
            <w:r>
              <w:rPr>
                <w:b/>
                <w:bCs/>
                <w:sz w:val="18"/>
                <w:szCs w:val="18"/>
              </w:rPr>
              <w:t>(0)</w:t>
            </w:r>
          </w:p>
          <w:p w14:paraId="3B825B01" w14:textId="5B95247C" w:rsidR="00FF5EFA" w:rsidRDefault="00FF5EFA" w:rsidP="00FF5EFA">
            <w:pPr>
              <w:rPr>
                <w:sz w:val="18"/>
                <w:szCs w:val="18"/>
              </w:rPr>
            </w:pPr>
            <w:r>
              <w:rPr>
                <w:sz w:val="18"/>
                <w:szCs w:val="18"/>
              </w:rPr>
              <w:t xml:space="preserve">The timeliness of this </w:t>
            </w:r>
            <w:r w:rsidR="00767ECD">
              <w:rPr>
                <w:sz w:val="18"/>
                <w:szCs w:val="18"/>
              </w:rPr>
              <w:t>option</w:t>
            </w:r>
            <w:r>
              <w:rPr>
                <w:sz w:val="18"/>
                <w:szCs w:val="18"/>
              </w:rPr>
              <w:t xml:space="preserve"> will not have an impact on the broader public. </w:t>
            </w:r>
          </w:p>
          <w:p w14:paraId="156172A6" w14:textId="03A58B22" w:rsidR="00FF5EFA" w:rsidRDefault="00FF5EFA" w:rsidP="00FF5EFA">
            <w:pPr>
              <w:rPr>
                <w:b/>
                <w:bCs/>
                <w:sz w:val="18"/>
                <w:szCs w:val="18"/>
              </w:rPr>
            </w:pPr>
            <w:r w:rsidRPr="006113F1">
              <w:rPr>
                <w:b/>
                <w:bCs/>
                <w:sz w:val="18"/>
                <w:szCs w:val="18"/>
              </w:rPr>
              <w:t>Overall (</w:t>
            </w:r>
            <w:r>
              <w:rPr>
                <w:b/>
                <w:bCs/>
                <w:sz w:val="18"/>
                <w:szCs w:val="18"/>
              </w:rPr>
              <w:t>-</w:t>
            </w:r>
            <w:r w:rsidR="00A44DF1">
              <w:rPr>
                <w:b/>
                <w:bCs/>
                <w:sz w:val="18"/>
                <w:szCs w:val="18"/>
              </w:rPr>
              <w:t>1</w:t>
            </w:r>
            <w:r w:rsidRPr="006113F1">
              <w:rPr>
                <w:b/>
                <w:bCs/>
                <w:sz w:val="18"/>
                <w:szCs w:val="18"/>
              </w:rPr>
              <w:t>)</w:t>
            </w:r>
          </w:p>
          <w:p w14:paraId="5E979911" w14:textId="5D086813" w:rsidR="00FF5EFA" w:rsidRPr="002C237E" w:rsidRDefault="00A623E6" w:rsidP="00AC5DA5">
            <w:pPr>
              <w:rPr>
                <w:sz w:val="18"/>
                <w:szCs w:val="18"/>
              </w:rPr>
            </w:pPr>
            <w:r>
              <w:rPr>
                <w:sz w:val="18"/>
                <w:szCs w:val="18"/>
              </w:rPr>
              <w:t>This</w:t>
            </w:r>
            <w:r w:rsidR="004E285D">
              <w:rPr>
                <w:sz w:val="18"/>
                <w:szCs w:val="18"/>
              </w:rPr>
              <w:t xml:space="preserve"> </w:t>
            </w:r>
            <w:r w:rsidR="003450CA">
              <w:rPr>
                <w:sz w:val="18"/>
                <w:szCs w:val="18"/>
              </w:rPr>
              <w:t xml:space="preserve">rating is warranted given </w:t>
            </w:r>
            <w:r w:rsidR="0024746A">
              <w:rPr>
                <w:sz w:val="18"/>
                <w:szCs w:val="18"/>
              </w:rPr>
              <w:t xml:space="preserve">likely </w:t>
            </w:r>
            <w:r w:rsidR="00A322C1">
              <w:rPr>
                <w:sz w:val="18"/>
                <w:szCs w:val="18"/>
              </w:rPr>
              <w:t>loss of public confidence</w:t>
            </w:r>
            <w:r w:rsidR="008B04E4">
              <w:rPr>
                <w:sz w:val="18"/>
                <w:szCs w:val="18"/>
              </w:rPr>
              <w:t xml:space="preserve"> and</w:t>
            </w:r>
            <w:r w:rsidR="00A322C1">
              <w:rPr>
                <w:sz w:val="18"/>
                <w:szCs w:val="18"/>
              </w:rPr>
              <w:t xml:space="preserve"> </w:t>
            </w:r>
            <w:r w:rsidR="00354FF3">
              <w:rPr>
                <w:sz w:val="18"/>
                <w:szCs w:val="18"/>
              </w:rPr>
              <w:t>perceived unfairness</w:t>
            </w:r>
            <w:r w:rsidR="008B04E4">
              <w:rPr>
                <w:sz w:val="18"/>
                <w:szCs w:val="18"/>
              </w:rPr>
              <w:t>.</w:t>
            </w:r>
          </w:p>
        </w:tc>
        <w:tc>
          <w:tcPr>
            <w:tcW w:w="676" w:type="pct"/>
          </w:tcPr>
          <w:p w14:paraId="45E6B705" w14:textId="268D9857" w:rsidR="00FF5EFA" w:rsidRPr="002C237E" w:rsidRDefault="00FF5EFA" w:rsidP="00FF5EFA">
            <w:pPr>
              <w:rPr>
                <w:b/>
                <w:bCs/>
                <w:sz w:val="18"/>
                <w:szCs w:val="18"/>
              </w:rPr>
            </w:pPr>
            <w:r w:rsidRPr="003470B0">
              <w:rPr>
                <w:b/>
                <w:bCs/>
                <w:sz w:val="18"/>
                <w:szCs w:val="18"/>
              </w:rPr>
              <w:lastRenderedPageBreak/>
              <w:t>Fairness</w:t>
            </w:r>
            <w:r>
              <w:rPr>
                <w:b/>
                <w:bCs/>
                <w:sz w:val="18"/>
                <w:szCs w:val="18"/>
              </w:rPr>
              <w:t xml:space="preserve"> (</w:t>
            </w:r>
            <w:r w:rsidR="00DF7793">
              <w:rPr>
                <w:b/>
                <w:bCs/>
                <w:sz w:val="18"/>
                <w:szCs w:val="18"/>
              </w:rPr>
              <w:t>-1</w:t>
            </w:r>
            <w:r>
              <w:rPr>
                <w:b/>
                <w:bCs/>
                <w:sz w:val="18"/>
                <w:szCs w:val="18"/>
              </w:rPr>
              <w:t>)</w:t>
            </w:r>
          </w:p>
          <w:p w14:paraId="4BE65A05" w14:textId="211A1514" w:rsidR="00E362FA" w:rsidRDefault="00E362FA" w:rsidP="00E362FA">
            <w:pPr>
              <w:pStyle w:val="Default"/>
              <w:rPr>
                <w:rFonts w:cstheme="minorBidi"/>
                <w:sz w:val="18"/>
                <w:szCs w:val="18"/>
              </w:rPr>
            </w:pPr>
            <w:r>
              <w:rPr>
                <w:rFonts w:cstheme="minorBidi"/>
                <w:sz w:val="18"/>
                <w:szCs w:val="18"/>
              </w:rPr>
              <w:t xml:space="preserve">The broader public would be affected by diversion of overall Government resources. </w:t>
            </w:r>
            <w:r w:rsidR="00C74E28">
              <w:rPr>
                <w:rFonts w:cstheme="minorBidi"/>
                <w:sz w:val="18"/>
                <w:szCs w:val="18"/>
              </w:rPr>
              <w:t>The need to recalculate</w:t>
            </w:r>
            <w:r>
              <w:rPr>
                <w:rFonts w:cstheme="minorBidi"/>
                <w:sz w:val="18"/>
                <w:szCs w:val="18"/>
              </w:rPr>
              <w:t xml:space="preserve"> millions of debts</w:t>
            </w:r>
            <w:r w:rsidR="00C74E28">
              <w:rPr>
                <w:rFonts w:cstheme="minorBidi"/>
                <w:sz w:val="18"/>
                <w:szCs w:val="18"/>
              </w:rPr>
              <w:t xml:space="preserve"> over many years</w:t>
            </w:r>
            <w:r>
              <w:rPr>
                <w:rFonts w:cstheme="minorBidi"/>
                <w:sz w:val="18"/>
                <w:szCs w:val="18"/>
              </w:rPr>
              <w:t xml:space="preserve"> may also cause a further loss of public confidence in the Government’s ability to administer social security, particularly if Services Australia’s </w:t>
            </w:r>
            <w:r>
              <w:rPr>
                <w:rFonts w:cstheme="minorBidi"/>
                <w:sz w:val="18"/>
                <w:szCs w:val="18"/>
              </w:rPr>
              <w:lastRenderedPageBreak/>
              <w:t xml:space="preserve">other deliverables were compromised. </w:t>
            </w:r>
          </w:p>
          <w:p w14:paraId="4FFF88A8" w14:textId="77777777" w:rsidR="00C74E28" w:rsidRDefault="00C74E28" w:rsidP="00FF5EFA">
            <w:pPr>
              <w:rPr>
                <w:b/>
                <w:bCs/>
                <w:sz w:val="18"/>
                <w:szCs w:val="18"/>
              </w:rPr>
            </w:pPr>
          </w:p>
          <w:p w14:paraId="7E106F93" w14:textId="77777777" w:rsidR="00FF5EFA" w:rsidRDefault="00FF5EFA" w:rsidP="00FF5EFA">
            <w:pPr>
              <w:rPr>
                <w:b/>
                <w:bCs/>
                <w:sz w:val="18"/>
                <w:szCs w:val="18"/>
              </w:rPr>
            </w:pPr>
            <w:r w:rsidRPr="003470B0">
              <w:rPr>
                <w:b/>
                <w:bCs/>
                <w:sz w:val="18"/>
                <w:szCs w:val="18"/>
              </w:rPr>
              <w:t xml:space="preserve">Timeliness </w:t>
            </w:r>
            <w:r>
              <w:rPr>
                <w:b/>
                <w:bCs/>
                <w:sz w:val="18"/>
                <w:szCs w:val="18"/>
              </w:rPr>
              <w:t>(0)</w:t>
            </w:r>
          </w:p>
          <w:p w14:paraId="4364EB86" w14:textId="31771379" w:rsidR="00FF5EFA" w:rsidRDefault="00FF5EFA" w:rsidP="00FF5EFA">
            <w:pPr>
              <w:tabs>
                <w:tab w:val="left" w:pos="1095"/>
              </w:tabs>
              <w:rPr>
                <w:sz w:val="18"/>
                <w:szCs w:val="18"/>
              </w:rPr>
            </w:pPr>
            <w:r>
              <w:rPr>
                <w:sz w:val="18"/>
                <w:szCs w:val="18"/>
              </w:rPr>
              <w:t xml:space="preserve">The timeliness of this </w:t>
            </w:r>
            <w:r w:rsidR="000C5D80">
              <w:rPr>
                <w:sz w:val="18"/>
                <w:szCs w:val="18"/>
              </w:rPr>
              <w:t>option</w:t>
            </w:r>
            <w:r>
              <w:rPr>
                <w:sz w:val="18"/>
                <w:szCs w:val="18"/>
              </w:rPr>
              <w:t xml:space="preserve"> will not have an impact on the broader public.</w:t>
            </w:r>
          </w:p>
          <w:p w14:paraId="358A32F3" w14:textId="4032E57E" w:rsidR="00FF5EFA" w:rsidRDefault="00FF5EFA" w:rsidP="00FF5EFA">
            <w:pPr>
              <w:rPr>
                <w:b/>
                <w:bCs/>
                <w:sz w:val="18"/>
                <w:szCs w:val="18"/>
              </w:rPr>
            </w:pPr>
            <w:r w:rsidRPr="006113F1">
              <w:rPr>
                <w:b/>
                <w:bCs/>
                <w:sz w:val="18"/>
                <w:szCs w:val="18"/>
              </w:rPr>
              <w:t>Overall (</w:t>
            </w:r>
            <w:r w:rsidR="001A5C9A">
              <w:rPr>
                <w:b/>
                <w:bCs/>
                <w:sz w:val="18"/>
                <w:szCs w:val="18"/>
              </w:rPr>
              <w:t>-1</w:t>
            </w:r>
            <w:r w:rsidRPr="006113F1">
              <w:rPr>
                <w:b/>
                <w:bCs/>
                <w:sz w:val="18"/>
                <w:szCs w:val="18"/>
              </w:rPr>
              <w:t>)</w:t>
            </w:r>
          </w:p>
          <w:p w14:paraId="78D817DC" w14:textId="5140B467" w:rsidR="00FF5EFA" w:rsidRPr="002C237E" w:rsidRDefault="008B04E4" w:rsidP="00D93763">
            <w:pPr>
              <w:rPr>
                <w:sz w:val="18"/>
                <w:szCs w:val="18"/>
              </w:rPr>
            </w:pPr>
            <w:r>
              <w:rPr>
                <w:sz w:val="18"/>
                <w:szCs w:val="18"/>
              </w:rPr>
              <w:t>This rating is warranted given</w:t>
            </w:r>
            <w:r w:rsidR="0024746A">
              <w:rPr>
                <w:sz w:val="18"/>
                <w:szCs w:val="18"/>
              </w:rPr>
              <w:t xml:space="preserve"> likely</w:t>
            </w:r>
            <w:r>
              <w:rPr>
                <w:sz w:val="18"/>
                <w:szCs w:val="18"/>
              </w:rPr>
              <w:t xml:space="preserve"> loss of public confidence</w:t>
            </w:r>
            <w:r w:rsidR="0024746A">
              <w:rPr>
                <w:sz w:val="18"/>
                <w:szCs w:val="18"/>
              </w:rPr>
              <w:t>.</w:t>
            </w:r>
          </w:p>
        </w:tc>
        <w:tc>
          <w:tcPr>
            <w:tcW w:w="676" w:type="pct"/>
          </w:tcPr>
          <w:p w14:paraId="300500D3" w14:textId="3A55A564" w:rsidR="00FF5EFA" w:rsidRPr="003470B0" w:rsidRDefault="00FF5EFA" w:rsidP="00FF5EFA">
            <w:pPr>
              <w:rPr>
                <w:b/>
                <w:bCs/>
                <w:sz w:val="18"/>
                <w:szCs w:val="18"/>
              </w:rPr>
            </w:pPr>
            <w:r w:rsidRPr="003470B0">
              <w:rPr>
                <w:b/>
                <w:bCs/>
                <w:sz w:val="18"/>
                <w:szCs w:val="18"/>
              </w:rPr>
              <w:lastRenderedPageBreak/>
              <w:t>Fairness</w:t>
            </w:r>
            <w:r>
              <w:rPr>
                <w:b/>
                <w:bCs/>
                <w:sz w:val="18"/>
                <w:szCs w:val="18"/>
              </w:rPr>
              <w:t xml:space="preserve"> (</w:t>
            </w:r>
            <w:r w:rsidR="006757DB">
              <w:rPr>
                <w:b/>
                <w:bCs/>
                <w:sz w:val="18"/>
                <w:szCs w:val="18"/>
              </w:rPr>
              <w:t>0</w:t>
            </w:r>
            <w:r>
              <w:rPr>
                <w:b/>
                <w:bCs/>
                <w:sz w:val="18"/>
                <w:szCs w:val="18"/>
              </w:rPr>
              <w:t>)</w:t>
            </w:r>
          </w:p>
          <w:p w14:paraId="60D419C1" w14:textId="744E4899" w:rsidR="004532F6" w:rsidRDefault="008E74B2" w:rsidP="004532F6">
            <w:pPr>
              <w:pStyle w:val="Default"/>
              <w:rPr>
                <w:rFonts w:cstheme="minorBidi"/>
                <w:sz w:val="18"/>
                <w:szCs w:val="18"/>
              </w:rPr>
            </w:pPr>
            <w:r>
              <w:rPr>
                <w:rFonts w:cstheme="minorBidi"/>
                <w:sz w:val="18"/>
                <w:szCs w:val="18"/>
              </w:rPr>
              <w:t>The broader public</w:t>
            </w:r>
            <w:r w:rsidR="00AC5DA5">
              <w:rPr>
                <w:rFonts w:cstheme="minorBidi"/>
                <w:sz w:val="18"/>
                <w:szCs w:val="18"/>
              </w:rPr>
              <w:t xml:space="preserve"> is not affected but</w:t>
            </w:r>
            <w:r>
              <w:rPr>
                <w:rFonts w:cstheme="minorBidi"/>
                <w:sz w:val="18"/>
                <w:szCs w:val="18"/>
              </w:rPr>
              <w:t xml:space="preserve"> may regard this option as reasonable, given the status quo is not defensible</w:t>
            </w:r>
            <w:r w:rsidR="00CD3407">
              <w:rPr>
                <w:rFonts w:cstheme="minorBidi"/>
                <w:sz w:val="18"/>
                <w:szCs w:val="18"/>
              </w:rPr>
              <w:t xml:space="preserve"> and options to waive or recalculate debts will have significant </w:t>
            </w:r>
            <w:r w:rsidR="006A34FA">
              <w:rPr>
                <w:rFonts w:cstheme="minorBidi"/>
                <w:sz w:val="18"/>
                <w:szCs w:val="18"/>
              </w:rPr>
              <w:t>costs and impacts.</w:t>
            </w:r>
          </w:p>
          <w:p w14:paraId="7FEAE22B" w14:textId="77777777" w:rsidR="004532F6" w:rsidRDefault="004532F6" w:rsidP="004532F6">
            <w:pPr>
              <w:pStyle w:val="Default"/>
              <w:rPr>
                <w:rFonts w:cstheme="minorBidi"/>
                <w:sz w:val="18"/>
                <w:szCs w:val="18"/>
              </w:rPr>
            </w:pPr>
          </w:p>
          <w:p w14:paraId="5ACE1B49" w14:textId="77777777" w:rsidR="00FF5EFA" w:rsidRDefault="00FF5EFA" w:rsidP="00FF5EFA">
            <w:pPr>
              <w:rPr>
                <w:b/>
                <w:bCs/>
                <w:sz w:val="18"/>
                <w:szCs w:val="18"/>
              </w:rPr>
            </w:pPr>
            <w:r w:rsidRPr="003470B0">
              <w:rPr>
                <w:b/>
                <w:bCs/>
                <w:sz w:val="18"/>
                <w:szCs w:val="18"/>
              </w:rPr>
              <w:t xml:space="preserve">Timeliness </w:t>
            </w:r>
            <w:r>
              <w:rPr>
                <w:b/>
                <w:bCs/>
                <w:sz w:val="18"/>
                <w:szCs w:val="18"/>
              </w:rPr>
              <w:t>(0)</w:t>
            </w:r>
          </w:p>
          <w:p w14:paraId="4234C892" w14:textId="2046DA4E" w:rsidR="00FF5EFA" w:rsidRDefault="00FF5EFA" w:rsidP="00FF5EFA">
            <w:pPr>
              <w:rPr>
                <w:sz w:val="18"/>
                <w:szCs w:val="18"/>
              </w:rPr>
            </w:pPr>
            <w:r>
              <w:rPr>
                <w:sz w:val="18"/>
                <w:szCs w:val="18"/>
              </w:rPr>
              <w:lastRenderedPageBreak/>
              <w:t xml:space="preserve">The timeliness of this </w:t>
            </w:r>
            <w:r w:rsidR="000C5D80">
              <w:rPr>
                <w:sz w:val="18"/>
                <w:szCs w:val="18"/>
              </w:rPr>
              <w:t>option</w:t>
            </w:r>
            <w:r>
              <w:rPr>
                <w:sz w:val="18"/>
                <w:szCs w:val="18"/>
              </w:rPr>
              <w:t xml:space="preserve"> will not have an impact on the broader public.</w:t>
            </w:r>
          </w:p>
          <w:p w14:paraId="6FDE3573" w14:textId="59319FDA" w:rsidR="00FF5EFA" w:rsidRDefault="00FF5EFA" w:rsidP="00FF5EFA">
            <w:pPr>
              <w:rPr>
                <w:b/>
                <w:bCs/>
                <w:sz w:val="18"/>
                <w:szCs w:val="18"/>
              </w:rPr>
            </w:pPr>
            <w:r w:rsidRPr="006113F1">
              <w:rPr>
                <w:b/>
                <w:bCs/>
                <w:sz w:val="18"/>
                <w:szCs w:val="18"/>
              </w:rPr>
              <w:t>Overall (</w:t>
            </w:r>
            <w:r w:rsidR="006757DB">
              <w:rPr>
                <w:b/>
                <w:bCs/>
                <w:sz w:val="18"/>
                <w:szCs w:val="18"/>
              </w:rPr>
              <w:t>0</w:t>
            </w:r>
            <w:r w:rsidRPr="006113F1">
              <w:rPr>
                <w:b/>
                <w:bCs/>
                <w:sz w:val="18"/>
                <w:szCs w:val="18"/>
              </w:rPr>
              <w:t>)</w:t>
            </w:r>
          </w:p>
          <w:p w14:paraId="3AB569CC" w14:textId="5FCE4CE7" w:rsidR="00FF5EFA" w:rsidRPr="00824B04" w:rsidRDefault="008B01B9" w:rsidP="00FF5EFA">
            <w:pPr>
              <w:rPr>
                <w:sz w:val="18"/>
                <w:szCs w:val="18"/>
              </w:rPr>
            </w:pPr>
            <w:r w:rsidRPr="00605DC6">
              <w:rPr>
                <w:sz w:val="18"/>
                <w:szCs w:val="18"/>
              </w:rPr>
              <w:t>Impact on this cohort is minimal overall.</w:t>
            </w:r>
          </w:p>
          <w:p w14:paraId="15184856" w14:textId="2FF99D1B" w:rsidR="00FF5EFA" w:rsidRDefault="00FF5EFA" w:rsidP="00FF5EFA">
            <w:pPr>
              <w:rPr>
                <w:b/>
                <w:bCs/>
                <w:sz w:val="18"/>
                <w:szCs w:val="18"/>
              </w:rPr>
            </w:pPr>
          </w:p>
        </w:tc>
        <w:tc>
          <w:tcPr>
            <w:tcW w:w="676" w:type="pct"/>
          </w:tcPr>
          <w:p w14:paraId="7E12F176" w14:textId="08692A8A" w:rsidR="00FF5EFA" w:rsidRDefault="00FF5EFA" w:rsidP="00FF5EFA">
            <w:pPr>
              <w:rPr>
                <w:b/>
                <w:bCs/>
                <w:sz w:val="18"/>
                <w:szCs w:val="18"/>
              </w:rPr>
            </w:pPr>
            <w:r w:rsidRPr="003470B0">
              <w:rPr>
                <w:b/>
                <w:bCs/>
                <w:sz w:val="18"/>
                <w:szCs w:val="18"/>
              </w:rPr>
              <w:lastRenderedPageBreak/>
              <w:t>Fairness</w:t>
            </w:r>
            <w:r>
              <w:rPr>
                <w:b/>
                <w:bCs/>
                <w:sz w:val="18"/>
                <w:szCs w:val="18"/>
              </w:rPr>
              <w:t xml:space="preserve"> (</w:t>
            </w:r>
            <w:r w:rsidR="00AE6A7E">
              <w:rPr>
                <w:b/>
                <w:bCs/>
                <w:sz w:val="18"/>
                <w:szCs w:val="18"/>
              </w:rPr>
              <w:t>0</w:t>
            </w:r>
            <w:r>
              <w:rPr>
                <w:b/>
                <w:bCs/>
                <w:sz w:val="18"/>
                <w:szCs w:val="18"/>
              </w:rPr>
              <w:t>)</w:t>
            </w:r>
          </w:p>
          <w:p w14:paraId="430FDBED" w14:textId="197D30E6" w:rsidR="00870877" w:rsidRDefault="00870877" w:rsidP="00FF5EFA">
            <w:pPr>
              <w:rPr>
                <w:sz w:val="18"/>
                <w:szCs w:val="18"/>
              </w:rPr>
            </w:pPr>
            <w:r>
              <w:rPr>
                <w:sz w:val="18"/>
                <w:szCs w:val="18"/>
              </w:rPr>
              <w:t xml:space="preserve">The broader public </w:t>
            </w:r>
            <w:r w:rsidR="00AC5DA5">
              <w:rPr>
                <w:sz w:val="18"/>
                <w:szCs w:val="18"/>
              </w:rPr>
              <w:t xml:space="preserve">is not affected but </w:t>
            </w:r>
            <w:r>
              <w:rPr>
                <w:sz w:val="18"/>
                <w:szCs w:val="18"/>
              </w:rPr>
              <w:t xml:space="preserve">may regard this option as reasonable as </w:t>
            </w:r>
            <w:r w:rsidR="00CB2A91">
              <w:rPr>
                <w:sz w:val="18"/>
                <w:szCs w:val="18"/>
              </w:rPr>
              <w:t xml:space="preserve">the status quo cannot persist and </w:t>
            </w:r>
            <w:r>
              <w:rPr>
                <w:sz w:val="18"/>
                <w:szCs w:val="18"/>
              </w:rPr>
              <w:t>it compensates those directly affected by the pauses</w:t>
            </w:r>
            <w:r w:rsidR="000C5D80">
              <w:rPr>
                <w:sz w:val="18"/>
                <w:szCs w:val="18"/>
              </w:rPr>
              <w:t>.</w:t>
            </w:r>
            <w:r w:rsidR="00B7743D">
              <w:t xml:space="preserve"> </w:t>
            </w:r>
            <w:r w:rsidR="00B7743D" w:rsidRPr="00A96771">
              <w:rPr>
                <w:sz w:val="18"/>
                <w:szCs w:val="18"/>
              </w:rPr>
              <w:t xml:space="preserve">A partial debt waiver may contribute to the perception social security debts are </w:t>
            </w:r>
            <w:r w:rsidR="008E7EBD">
              <w:rPr>
                <w:sz w:val="18"/>
                <w:szCs w:val="18"/>
              </w:rPr>
              <w:t xml:space="preserve">generally </w:t>
            </w:r>
            <w:r w:rsidR="00B7743D" w:rsidRPr="00A96771">
              <w:rPr>
                <w:sz w:val="18"/>
                <w:szCs w:val="18"/>
              </w:rPr>
              <w:lastRenderedPageBreak/>
              <w:t xml:space="preserve">illegitimate, but this impact would be </w:t>
            </w:r>
            <w:r w:rsidR="00B7743D">
              <w:rPr>
                <w:sz w:val="18"/>
                <w:szCs w:val="18"/>
              </w:rPr>
              <w:t xml:space="preserve">small </w:t>
            </w:r>
            <w:r w:rsidR="00B7743D" w:rsidRPr="00A96771">
              <w:rPr>
                <w:sz w:val="18"/>
                <w:szCs w:val="18"/>
              </w:rPr>
              <w:t>compared to waiving all potentially affected debts in full</w:t>
            </w:r>
            <w:r w:rsidR="00B7743D">
              <w:rPr>
                <w:sz w:val="18"/>
                <w:szCs w:val="18"/>
              </w:rPr>
              <w:t>.</w:t>
            </w:r>
          </w:p>
          <w:p w14:paraId="4C6E1F87" w14:textId="2B91A3D8" w:rsidR="00FF5EFA" w:rsidRDefault="00FF5EFA" w:rsidP="00FF5EFA">
            <w:pPr>
              <w:rPr>
                <w:b/>
                <w:bCs/>
                <w:sz w:val="18"/>
                <w:szCs w:val="18"/>
              </w:rPr>
            </w:pPr>
            <w:r w:rsidRPr="003470B0">
              <w:rPr>
                <w:b/>
                <w:bCs/>
                <w:sz w:val="18"/>
                <w:szCs w:val="18"/>
              </w:rPr>
              <w:t xml:space="preserve">Timeliness </w:t>
            </w:r>
            <w:r>
              <w:rPr>
                <w:b/>
                <w:bCs/>
                <w:sz w:val="18"/>
                <w:szCs w:val="18"/>
              </w:rPr>
              <w:t>(0)</w:t>
            </w:r>
          </w:p>
          <w:p w14:paraId="73261FE1" w14:textId="3D5F5325" w:rsidR="000C5D80" w:rsidRDefault="000C5D80" w:rsidP="000C5D80">
            <w:pPr>
              <w:rPr>
                <w:sz w:val="18"/>
                <w:szCs w:val="18"/>
              </w:rPr>
            </w:pPr>
            <w:r>
              <w:rPr>
                <w:sz w:val="18"/>
                <w:szCs w:val="18"/>
              </w:rPr>
              <w:t>The timeliness of this option will not have an impact on the broader public.</w:t>
            </w:r>
          </w:p>
          <w:p w14:paraId="5044E21C" w14:textId="06F38D7B" w:rsidR="00FF5EFA" w:rsidRDefault="00FF5EFA" w:rsidP="00FF5EFA">
            <w:pPr>
              <w:rPr>
                <w:b/>
                <w:bCs/>
                <w:sz w:val="18"/>
                <w:szCs w:val="18"/>
              </w:rPr>
            </w:pPr>
            <w:r w:rsidRPr="00E13E50">
              <w:rPr>
                <w:b/>
                <w:bCs/>
                <w:sz w:val="18"/>
                <w:szCs w:val="18"/>
              </w:rPr>
              <w:t>Overall</w:t>
            </w:r>
            <w:r>
              <w:rPr>
                <w:b/>
                <w:bCs/>
                <w:sz w:val="18"/>
                <w:szCs w:val="18"/>
              </w:rPr>
              <w:t xml:space="preserve"> (</w:t>
            </w:r>
            <w:r w:rsidR="00AE6A7E">
              <w:rPr>
                <w:b/>
                <w:bCs/>
                <w:sz w:val="18"/>
                <w:szCs w:val="18"/>
              </w:rPr>
              <w:t>0</w:t>
            </w:r>
            <w:r>
              <w:rPr>
                <w:b/>
                <w:bCs/>
                <w:sz w:val="18"/>
                <w:szCs w:val="18"/>
              </w:rPr>
              <w:t>)</w:t>
            </w:r>
          </w:p>
          <w:p w14:paraId="6B7B71F9" w14:textId="48875C35" w:rsidR="00FF5EFA" w:rsidRPr="003470B0" w:rsidRDefault="008B01B9" w:rsidP="00FF5EFA">
            <w:pPr>
              <w:rPr>
                <w:b/>
                <w:bCs/>
                <w:sz w:val="18"/>
                <w:szCs w:val="18"/>
              </w:rPr>
            </w:pPr>
            <w:r w:rsidRPr="00605DC6">
              <w:rPr>
                <w:sz w:val="18"/>
                <w:szCs w:val="18"/>
              </w:rPr>
              <w:t>Impact on this cohort is minimal overall.</w:t>
            </w:r>
          </w:p>
        </w:tc>
        <w:tc>
          <w:tcPr>
            <w:tcW w:w="671" w:type="pct"/>
          </w:tcPr>
          <w:p w14:paraId="2A9642D2" w14:textId="0BE943C2" w:rsidR="00FF5EFA" w:rsidRDefault="00FF5EFA" w:rsidP="00FF5EFA">
            <w:pPr>
              <w:rPr>
                <w:b/>
                <w:bCs/>
                <w:sz w:val="18"/>
                <w:szCs w:val="18"/>
              </w:rPr>
            </w:pPr>
            <w:r w:rsidRPr="003470B0">
              <w:rPr>
                <w:b/>
                <w:bCs/>
                <w:sz w:val="18"/>
                <w:szCs w:val="18"/>
              </w:rPr>
              <w:lastRenderedPageBreak/>
              <w:t>Fairness</w:t>
            </w:r>
            <w:r>
              <w:rPr>
                <w:b/>
                <w:bCs/>
                <w:sz w:val="18"/>
                <w:szCs w:val="18"/>
              </w:rPr>
              <w:t xml:space="preserve"> (</w:t>
            </w:r>
            <w:r w:rsidR="00AE6A7E">
              <w:rPr>
                <w:b/>
                <w:bCs/>
                <w:sz w:val="18"/>
                <w:szCs w:val="18"/>
              </w:rPr>
              <w:t>0</w:t>
            </w:r>
            <w:r>
              <w:rPr>
                <w:b/>
                <w:bCs/>
                <w:sz w:val="18"/>
                <w:szCs w:val="18"/>
              </w:rPr>
              <w:t>)</w:t>
            </w:r>
          </w:p>
          <w:p w14:paraId="4EF7F296" w14:textId="28643423" w:rsidR="009F15BF" w:rsidRPr="00A96771" w:rsidRDefault="009F15BF" w:rsidP="00FF5EFA">
            <w:pPr>
              <w:rPr>
                <w:sz w:val="18"/>
                <w:szCs w:val="18"/>
              </w:rPr>
            </w:pPr>
            <w:r>
              <w:rPr>
                <w:sz w:val="18"/>
                <w:szCs w:val="18"/>
              </w:rPr>
              <w:t xml:space="preserve">The broader public </w:t>
            </w:r>
            <w:r w:rsidR="00AC5DA5">
              <w:rPr>
                <w:sz w:val="18"/>
                <w:szCs w:val="18"/>
              </w:rPr>
              <w:t>is not affected</w:t>
            </w:r>
            <w:r w:rsidR="00AC5DA5" w:rsidDel="00D51E20">
              <w:rPr>
                <w:sz w:val="18"/>
                <w:szCs w:val="18"/>
              </w:rPr>
              <w:t xml:space="preserve"> </w:t>
            </w:r>
            <w:r w:rsidR="00AC5DA5">
              <w:rPr>
                <w:sz w:val="18"/>
                <w:szCs w:val="18"/>
              </w:rPr>
              <w:t xml:space="preserve">but </w:t>
            </w:r>
            <w:r>
              <w:rPr>
                <w:sz w:val="18"/>
                <w:szCs w:val="18"/>
              </w:rPr>
              <w:t>may regard this option as reasonable as the status quo cannot persist and it</w:t>
            </w:r>
            <w:r w:rsidR="00AC5DA5">
              <w:rPr>
                <w:sz w:val="18"/>
                <w:szCs w:val="18"/>
              </w:rPr>
              <w:t xml:space="preserve"> offers reparation for people with affected debts.</w:t>
            </w:r>
            <w:r w:rsidR="00B7743D" w:rsidRPr="007C03A4">
              <w:rPr>
                <w:sz w:val="18"/>
                <w:szCs w:val="18"/>
              </w:rPr>
              <w:t xml:space="preserve"> </w:t>
            </w:r>
          </w:p>
          <w:p w14:paraId="28C0FA0B" w14:textId="3D6B4288" w:rsidR="00FF5EFA" w:rsidRDefault="00FF5EFA" w:rsidP="00FF5EFA">
            <w:pPr>
              <w:rPr>
                <w:b/>
                <w:bCs/>
                <w:sz w:val="18"/>
                <w:szCs w:val="18"/>
              </w:rPr>
            </w:pPr>
            <w:r w:rsidRPr="003470B0">
              <w:rPr>
                <w:b/>
                <w:bCs/>
                <w:sz w:val="18"/>
                <w:szCs w:val="18"/>
              </w:rPr>
              <w:t xml:space="preserve">Timeliness </w:t>
            </w:r>
            <w:r>
              <w:rPr>
                <w:b/>
                <w:bCs/>
                <w:sz w:val="18"/>
                <w:szCs w:val="18"/>
              </w:rPr>
              <w:t>(0)</w:t>
            </w:r>
          </w:p>
          <w:p w14:paraId="28CE35AA" w14:textId="77777777" w:rsidR="00AC5DA5" w:rsidRDefault="00AC5DA5" w:rsidP="00AC5DA5">
            <w:pPr>
              <w:rPr>
                <w:sz w:val="18"/>
                <w:szCs w:val="18"/>
              </w:rPr>
            </w:pPr>
            <w:r>
              <w:rPr>
                <w:sz w:val="18"/>
                <w:szCs w:val="18"/>
              </w:rPr>
              <w:lastRenderedPageBreak/>
              <w:t>The timeliness of this option will not have an impact on the broader public.</w:t>
            </w:r>
          </w:p>
          <w:p w14:paraId="13D196E2" w14:textId="08634B86" w:rsidR="00FF5EFA" w:rsidRDefault="00FF5EFA" w:rsidP="00FF5EFA">
            <w:pPr>
              <w:rPr>
                <w:b/>
                <w:bCs/>
                <w:sz w:val="18"/>
                <w:szCs w:val="18"/>
              </w:rPr>
            </w:pPr>
            <w:r w:rsidRPr="00E13E50">
              <w:rPr>
                <w:b/>
                <w:bCs/>
                <w:sz w:val="18"/>
                <w:szCs w:val="18"/>
              </w:rPr>
              <w:t>Overall</w:t>
            </w:r>
            <w:r>
              <w:rPr>
                <w:b/>
                <w:bCs/>
                <w:sz w:val="18"/>
                <w:szCs w:val="18"/>
              </w:rPr>
              <w:t xml:space="preserve"> (</w:t>
            </w:r>
            <w:r w:rsidR="00AE6A7E">
              <w:rPr>
                <w:b/>
                <w:bCs/>
                <w:sz w:val="18"/>
                <w:szCs w:val="18"/>
              </w:rPr>
              <w:t>0</w:t>
            </w:r>
            <w:r>
              <w:rPr>
                <w:b/>
                <w:bCs/>
                <w:sz w:val="18"/>
                <w:szCs w:val="18"/>
              </w:rPr>
              <w:t>)</w:t>
            </w:r>
          </w:p>
          <w:p w14:paraId="2E9C5D35" w14:textId="2E0BAF2D" w:rsidR="00FF5EFA" w:rsidRPr="003470B0" w:rsidRDefault="008B01B9" w:rsidP="00FF5EFA">
            <w:pPr>
              <w:rPr>
                <w:b/>
                <w:bCs/>
                <w:sz w:val="18"/>
                <w:szCs w:val="18"/>
              </w:rPr>
            </w:pPr>
            <w:r w:rsidRPr="00605DC6">
              <w:rPr>
                <w:sz w:val="18"/>
                <w:szCs w:val="18"/>
              </w:rPr>
              <w:t>Impact on this cohort is minimal overall.</w:t>
            </w:r>
          </w:p>
        </w:tc>
      </w:tr>
      <w:tr w:rsidR="00C03C21" w14:paraId="0FEE5E04" w14:textId="152F2D7C" w:rsidTr="00635804">
        <w:trPr>
          <w:trHeight w:val="1223"/>
        </w:trPr>
        <w:tc>
          <w:tcPr>
            <w:tcW w:w="379" w:type="pct"/>
          </w:tcPr>
          <w:p w14:paraId="348C9189" w14:textId="41818D13" w:rsidR="00FF5EFA" w:rsidRPr="00FF4FB6" w:rsidDel="00ED16D2" w:rsidRDefault="00FF5EFA" w:rsidP="00FF5EFA">
            <w:pPr>
              <w:rPr>
                <w:b/>
                <w:bCs/>
              </w:rPr>
            </w:pPr>
            <w:r>
              <w:rPr>
                <w:b/>
                <w:bCs/>
              </w:rPr>
              <w:lastRenderedPageBreak/>
              <w:t>Total</w:t>
            </w:r>
            <w:r w:rsidR="00F2210E">
              <w:rPr>
                <w:b/>
                <w:bCs/>
              </w:rPr>
              <w:t>*</w:t>
            </w:r>
            <w:r w:rsidR="009D7CD7">
              <w:rPr>
                <w:b/>
                <w:bCs/>
              </w:rPr>
              <w:t xml:space="preserve"> (all stakeholders)</w:t>
            </w:r>
          </w:p>
        </w:tc>
        <w:tc>
          <w:tcPr>
            <w:tcW w:w="95" w:type="pct"/>
            <w:shd w:val="clear" w:color="auto" w:fill="C00000"/>
            <w:vAlign w:val="center"/>
          </w:tcPr>
          <w:p w14:paraId="09265809" w14:textId="114C2B1D" w:rsidR="00FF5EFA" w:rsidRPr="00D93763" w:rsidRDefault="00856C2F" w:rsidP="00FF05AB">
            <w:pPr>
              <w:jc w:val="center"/>
              <w:rPr>
                <w:b/>
                <w:bCs/>
                <w:sz w:val="20"/>
                <w:szCs w:val="20"/>
              </w:rPr>
            </w:pPr>
            <w:r w:rsidRPr="00D93763">
              <w:rPr>
                <w:b/>
                <w:bCs/>
                <w:sz w:val="20"/>
                <w:szCs w:val="20"/>
              </w:rPr>
              <w:t>-3</w:t>
            </w:r>
          </w:p>
        </w:tc>
        <w:tc>
          <w:tcPr>
            <w:tcW w:w="95" w:type="pct"/>
            <w:shd w:val="clear" w:color="auto" w:fill="FFC000"/>
            <w:vAlign w:val="center"/>
          </w:tcPr>
          <w:p w14:paraId="0FB80BD7" w14:textId="321EC23D" w:rsidR="00FF5EFA" w:rsidRPr="00D93763" w:rsidRDefault="00856C2F" w:rsidP="00FF05AB">
            <w:pPr>
              <w:jc w:val="center"/>
              <w:rPr>
                <w:b/>
                <w:bCs/>
                <w:sz w:val="20"/>
                <w:szCs w:val="20"/>
              </w:rPr>
            </w:pPr>
            <w:r w:rsidRPr="00D93763">
              <w:rPr>
                <w:b/>
                <w:bCs/>
                <w:sz w:val="20"/>
                <w:szCs w:val="20"/>
              </w:rPr>
              <w:t>-1</w:t>
            </w:r>
          </w:p>
        </w:tc>
        <w:tc>
          <w:tcPr>
            <w:tcW w:w="95" w:type="pct"/>
            <w:shd w:val="clear" w:color="auto" w:fill="C00000"/>
            <w:vAlign w:val="center"/>
          </w:tcPr>
          <w:p w14:paraId="22AAED22" w14:textId="610E7BAB" w:rsidR="00FF5EFA" w:rsidRPr="00D93763" w:rsidRDefault="001F1485" w:rsidP="00FF05AB">
            <w:pPr>
              <w:jc w:val="center"/>
              <w:rPr>
                <w:b/>
                <w:bCs/>
                <w:sz w:val="20"/>
                <w:szCs w:val="20"/>
              </w:rPr>
            </w:pPr>
            <w:r w:rsidRPr="00D93763">
              <w:rPr>
                <w:b/>
                <w:bCs/>
                <w:sz w:val="20"/>
                <w:szCs w:val="20"/>
              </w:rPr>
              <w:t>-8</w:t>
            </w:r>
          </w:p>
        </w:tc>
        <w:tc>
          <w:tcPr>
            <w:tcW w:w="95" w:type="pct"/>
            <w:shd w:val="clear" w:color="auto" w:fill="92D050"/>
            <w:vAlign w:val="center"/>
          </w:tcPr>
          <w:p w14:paraId="1257E368" w14:textId="03AB4357" w:rsidR="00FF5EFA" w:rsidRPr="00D93763" w:rsidRDefault="001F1485" w:rsidP="00FF05AB">
            <w:pPr>
              <w:jc w:val="center"/>
              <w:rPr>
                <w:b/>
                <w:bCs/>
                <w:sz w:val="20"/>
                <w:szCs w:val="20"/>
              </w:rPr>
            </w:pPr>
            <w:r w:rsidRPr="00D93763">
              <w:rPr>
                <w:b/>
                <w:bCs/>
                <w:sz w:val="20"/>
                <w:szCs w:val="20"/>
              </w:rPr>
              <w:t>1</w:t>
            </w:r>
          </w:p>
        </w:tc>
        <w:tc>
          <w:tcPr>
            <w:tcW w:w="95" w:type="pct"/>
            <w:shd w:val="clear" w:color="auto" w:fill="92D050"/>
            <w:vAlign w:val="center"/>
          </w:tcPr>
          <w:p w14:paraId="515C9611" w14:textId="317AAB17" w:rsidR="00FF5EFA" w:rsidRPr="00D93763" w:rsidRDefault="001F1485" w:rsidP="00FF05AB">
            <w:pPr>
              <w:jc w:val="center"/>
              <w:rPr>
                <w:b/>
                <w:bCs/>
                <w:sz w:val="20"/>
                <w:szCs w:val="20"/>
              </w:rPr>
            </w:pPr>
            <w:r w:rsidRPr="00D93763">
              <w:rPr>
                <w:b/>
                <w:bCs/>
                <w:sz w:val="20"/>
                <w:szCs w:val="20"/>
              </w:rPr>
              <w:t>1</w:t>
            </w:r>
          </w:p>
        </w:tc>
        <w:tc>
          <w:tcPr>
            <w:tcW w:w="95" w:type="pct"/>
            <w:shd w:val="clear" w:color="auto" w:fill="00B050"/>
            <w:vAlign w:val="center"/>
          </w:tcPr>
          <w:p w14:paraId="2463928B" w14:textId="42A5EFA9" w:rsidR="00FF5EFA" w:rsidRPr="00D93763" w:rsidRDefault="009C225B" w:rsidP="00FF05AB">
            <w:pPr>
              <w:jc w:val="center"/>
              <w:rPr>
                <w:b/>
                <w:bCs/>
                <w:sz w:val="20"/>
                <w:szCs w:val="20"/>
              </w:rPr>
            </w:pPr>
            <w:r w:rsidRPr="00D93763">
              <w:rPr>
                <w:b/>
                <w:bCs/>
                <w:sz w:val="20"/>
                <w:szCs w:val="20"/>
              </w:rPr>
              <w:t>2</w:t>
            </w:r>
          </w:p>
        </w:tc>
        <w:tc>
          <w:tcPr>
            <w:tcW w:w="676" w:type="pct"/>
          </w:tcPr>
          <w:p w14:paraId="5A7D9AED" w14:textId="74BE9B7A" w:rsidR="00FF5EFA" w:rsidRPr="002C237E" w:rsidRDefault="00FF5EFA" w:rsidP="00FF5EFA">
            <w:pPr>
              <w:rPr>
                <w:sz w:val="18"/>
                <w:szCs w:val="18"/>
              </w:rPr>
            </w:pPr>
            <w:r>
              <w:rPr>
                <w:b/>
                <w:bCs/>
                <w:sz w:val="18"/>
                <w:szCs w:val="18"/>
              </w:rPr>
              <w:t xml:space="preserve">Major benefits: </w:t>
            </w:r>
            <w:r w:rsidR="00C36FFC" w:rsidRPr="00D93763">
              <w:rPr>
                <w:sz w:val="18"/>
                <w:szCs w:val="18"/>
              </w:rPr>
              <w:t>There are no m</w:t>
            </w:r>
            <w:r w:rsidR="00667E5C">
              <w:rPr>
                <w:sz w:val="18"/>
                <w:szCs w:val="18"/>
              </w:rPr>
              <w:t>a</w:t>
            </w:r>
            <w:r w:rsidR="00E31E48">
              <w:rPr>
                <w:sz w:val="18"/>
                <w:szCs w:val="18"/>
              </w:rPr>
              <w:t>j</w:t>
            </w:r>
            <w:r w:rsidR="00C36FFC" w:rsidRPr="00D93763">
              <w:rPr>
                <w:sz w:val="18"/>
                <w:szCs w:val="18"/>
              </w:rPr>
              <w:t xml:space="preserve">or </w:t>
            </w:r>
            <w:r w:rsidR="513602FF" w:rsidRPr="6C03BD2A">
              <w:rPr>
                <w:sz w:val="18"/>
                <w:szCs w:val="18"/>
              </w:rPr>
              <w:t>benefit</w:t>
            </w:r>
            <w:r w:rsidR="0961DB71" w:rsidRPr="6C03BD2A">
              <w:rPr>
                <w:sz w:val="18"/>
                <w:szCs w:val="18"/>
              </w:rPr>
              <w:t>s</w:t>
            </w:r>
            <w:r w:rsidR="00C36FFC" w:rsidRPr="00D93763">
              <w:rPr>
                <w:sz w:val="18"/>
                <w:szCs w:val="18"/>
              </w:rPr>
              <w:t xml:space="preserve"> for this option. It is the case that </w:t>
            </w:r>
            <w:r w:rsidR="00C36FFC">
              <w:rPr>
                <w:sz w:val="18"/>
                <w:szCs w:val="18"/>
              </w:rPr>
              <w:t>d</w:t>
            </w:r>
            <w:r>
              <w:rPr>
                <w:sz w:val="18"/>
                <w:szCs w:val="18"/>
              </w:rPr>
              <w:t>ebts w</w:t>
            </w:r>
            <w:r w:rsidR="00C36FFC">
              <w:rPr>
                <w:sz w:val="18"/>
                <w:szCs w:val="18"/>
              </w:rPr>
              <w:t>ould</w:t>
            </w:r>
            <w:r>
              <w:rPr>
                <w:sz w:val="18"/>
                <w:szCs w:val="18"/>
              </w:rPr>
              <w:t xml:space="preserve"> not need to be repaid </w:t>
            </w:r>
            <w:r w:rsidR="00C36FFC">
              <w:rPr>
                <w:sz w:val="18"/>
                <w:szCs w:val="18"/>
              </w:rPr>
              <w:t>by those with their debt on pause, but this is outweighed by the adver</w:t>
            </w:r>
            <w:r w:rsidR="00667E5C">
              <w:rPr>
                <w:sz w:val="18"/>
                <w:szCs w:val="18"/>
              </w:rPr>
              <w:t>se impacts.</w:t>
            </w:r>
          </w:p>
          <w:p w14:paraId="5138A532" w14:textId="308EEA58" w:rsidR="00FF5EFA" w:rsidRPr="002C237E" w:rsidRDefault="00FF5EFA" w:rsidP="00FF5EFA">
            <w:pPr>
              <w:rPr>
                <w:sz w:val="18"/>
                <w:szCs w:val="18"/>
              </w:rPr>
            </w:pPr>
            <w:r>
              <w:rPr>
                <w:b/>
                <w:bCs/>
                <w:sz w:val="18"/>
                <w:szCs w:val="18"/>
              </w:rPr>
              <w:t xml:space="preserve">Major adverse impacts: </w:t>
            </w:r>
            <w:r w:rsidR="00720E60" w:rsidRPr="00D93763">
              <w:rPr>
                <w:sz w:val="18"/>
                <w:szCs w:val="18"/>
              </w:rPr>
              <w:t xml:space="preserve">The status quo </w:t>
            </w:r>
            <w:r w:rsidR="005250F9" w:rsidRPr="00D93763">
              <w:rPr>
                <w:sz w:val="18"/>
                <w:szCs w:val="18"/>
              </w:rPr>
              <w:t>perpetuates</w:t>
            </w:r>
            <w:r w:rsidR="00720E60" w:rsidRPr="00D93763">
              <w:rPr>
                <w:sz w:val="18"/>
                <w:szCs w:val="18"/>
              </w:rPr>
              <w:t xml:space="preserve"> </w:t>
            </w:r>
            <w:r w:rsidR="005250F9" w:rsidRPr="00D93763">
              <w:rPr>
                <w:sz w:val="18"/>
                <w:szCs w:val="18"/>
              </w:rPr>
              <w:t xml:space="preserve">the uncertainty </w:t>
            </w:r>
            <w:r w:rsidR="00137DF0" w:rsidRPr="00D93763">
              <w:rPr>
                <w:sz w:val="18"/>
                <w:szCs w:val="18"/>
              </w:rPr>
              <w:t xml:space="preserve">and negative impacts </w:t>
            </w:r>
            <w:r w:rsidR="005250F9" w:rsidRPr="00D93763">
              <w:rPr>
                <w:sz w:val="18"/>
                <w:szCs w:val="18"/>
              </w:rPr>
              <w:t>experienced by those affected by the debt pauses</w:t>
            </w:r>
            <w:r w:rsidR="005771E0">
              <w:rPr>
                <w:sz w:val="18"/>
                <w:szCs w:val="18"/>
              </w:rPr>
              <w:t xml:space="preserve"> and puts continued pressure on community organisations.</w:t>
            </w:r>
            <w:r w:rsidR="001359AE">
              <w:rPr>
                <w:sz w:val="18"/>
                <w:szCs w:val="18"/>
              </w:rPr>
              <w:t xml:space="preserve"> It could cause loss of confidence in Government administration. </w:t>
            </w:r>
          </w:p>
        </w:tc>
        <w:tc>
          <w:tcPr>
            <w:tcW w:w="676" w:type="pct"/>
          </w:tcPr>
          <w:p w14:paraId="1559DE60" w14:textId="4EB587E3" w:rsidR="00FF5EFA" w:rsidRPr="00745DD0" w:rsidRDefault="00FF5EFA" w:rsidP="00FF5EFA">
            <w:pPr>
              <w:rPr>
                <w:sz w:val="18"/>
                <w:szCs w:val="18"/>
              </w:rPr>
            </w:pPr>
            <w:r>
              <w:rPr>
                <w:b/>
                <w:bCs/>
                <w:sz w:val="18"/>
                <w:szCs w:val="18"/>
              </w:rPr>
              <w:t xml:space="preserve">Major benefits: </w:t>
            </w:r>
            <w:r w:rsidR="005C1F5F" w:rsidRPr="00D93763">
              <w:rPr>
                <w:sz w:val="18"/>
                <w:szCs w:val="18"/>
              </w:rPr>
              <w:t>This option has a financial benefit for those who get the waiver.</w:t>
            </w:r>
          </w:p>
          <w:p w14:paraId="4FB9DF67" w14:textId="2EEF6382" w:rsidR="00FF5EFA" w:rsidRPr="00745DD0" w:rsidDel="00ED16D2" w:rsidRDefault="00FF5EFA" w:rsidP="00FF5EFA">
            <w:pPr>
              <w:rPr>
                <w:sz w:val="18"/>
                <w:szCs w:val="18"/>
              </w:rPr>
            </w:pPr>
            <w:r>
              <w:rPr>
                <w:b/>
                <w:bCs/>
                <w:sz w:val="18"/>
                <w:szCs w:val="18"/>
              </w:rPr>
              <w:t xml:space="preserve">Major adverse impacts: </w:t>
            </w:r>
            <w:r w:rsidR="005A5494">
              <w:rPr>
                <w:sz w:val="18"/>
                <w:szCs w:val="18"/>
              </w:rPr>
              <w:t>This option is very high cos</w:t>
            </w:r>
            <w:r w:rsidR="004D0313">
              <w:rPr>
                <w:sz w:val="18"/>
                <w:szCs w:val="18"/>
              </w:rPr>
              <w:t>t</w:t>
            </w:r>
            <w:r w:rsidR="005A5494">
              <w:rPr>
                <w:sz w:val="18"/>
                <w:szCs w:val="18"/>
              </w:rPr>
              <w:t xml:space="preserve"> and requires a significant diversion of government resources</w:t>
            </w:r>
            <w:r>
              <w:rPr>
                <w:sz w:val="18"/>
                <w:szCs w:val="18"/>
              </w:rPr>
              <w:t xml:space="preserve">. </w:t>
            </w:r>
            <w:r w:rsidR="004D0313">
              <w:rPr>
                <w:sz w:val="18"/>
                <w:szCs w:val="18"/>
              </w:rPr>
              <w:t xml:space="preserve">It will </w:t>
            </w:r>
            <w:r w:rsidR="0092292F">
              <w:rPr>
                <w:sz w:val="18"/>
                <w:szCs w:val="18"/>
              </w:rPr>
              <w:t>reduce the</w:t>
            </w:r>
            <w:r w:rsidR="004D0313">
              <w:rPr>
                <w:sz w:val="18"/>
                <w:szCs w:val="18"/>
              </w:rPr>
              <w:t xml:space="preserve"> support</w:t>
            </w:r>
            <w:r w:rsidR="0092292F">
              <w:rPr>
                <w:sz w:val="18"/>
                <w:szCs w:val="18"/>
              </w:rPr>
              <w:t>s available for people who need to access assistance now</w:t>
            </w:r>
            <w:r w:rsidR="00CC7848">
              <w:rPr>
                <w:sz w:val="18"/>
                <w:szCs w:val="18"/>
              </w:rPr>
              <w:t xml:space="preserve">. It </w:t>
            </w:r>
            <w:r w:rsidR="009C3DFC">
              <w:rPr>
                <w:sz w:val="18"/>
                <w:szCs w:val="18"/>
              </w:rPr>
              <w:t xml:space="preserve">would waive debts that people did actually owe (including debts </w:t>
            </w:r>
            <w:r w:rsidR="004A79F5">
              <w:rPr>
                <w:sz w:val="18"/>
                <w:szCs w:val="18"/>
              </w:rPr>
              <w:t>not affected by income apportionment)</w:t>
            </w:r>
            <w:r w:rsidR="009C3DFC">
              <w:rPr>
                <w:sz w:val="18"/>
                <w:szCs w:val="18"/>
              </w:rPr>
              <w:t xml:space="preserve"> and </w:t>
            </w:r>
            <w:r w:rsidR="00CC7848">
              <w:rPr>
                <w:sz w:val="18"/>
                <w:szCs w:val="18"/>
              </w:rPr>
              <w:t>would</w:t>
            </w:r>
            <w:r w:rsidR="009C3DFC">
              <w:rPr>
                <w:sz w:val="18"/>
                <w:szCs w:val="18"/>
              </w:rPr>
              <w:t xml:space="preserve"> likely</w:t>
            </w:r>
            <w:r w:rsidR="00CC7848">
              <w:rPr>
                <w:sz w:val="18"/>
                <w:szCs w:val="18"/>
              </w:rPr>
              <w:t xml:space="preserve"> </w:t>
            </w:r>
            <w:r>
              <w:rPr>
                <w:sz w:val="18"/>
                <w:szCs w:val="18"/>
              </w:rPr>
              <w:t xml:space="preserve">be perceived as </w:t>
            </w:r>
            <w:r w:rsidR="00CC7848">
              <w:rPr>
                <w:sz w:val="18"/>
                <w:szCs w:val="18"/>
              </w:rPr>
              <w:t>un</w:t>
            </w:r>
            <w:r>
              <w:rPr>
                <w:sz w:val="18"/>
                <w:szCs w:val="18"/>
              </w:rPr>
              <w:t xml:space="preserve">fair by </w:t>
            </w:r>
            <w:r w:rsidR="00CC7848">
              <w:rPr>
                <w:sz w:val="18"/>
                <w:szCs w:val="18"/>
              </w:rPr>
              <w:t xml:space="preserve">other social security recipients and the </w:t>
            </w:r>
            <w:r>
              <w:rPr>
                <w:sz w:val="18"/>
                <w:szCs w:val="18"/>
              </w:rPr>
              <w:t>broader public</w:t>
            </w:r>
            <w:r w:rsidR="00CC7848">
              <w:rPr>
                <w:sz w:val="18"/>
                <w:szCs w:val="18"/>
              </w:rPr>
              <w:t xml:space="preserve">, who are still required to repay Commonwealth </w:t>
            </w:r>
            <w:r w:rsidR="00CC7848">
              <w:rPr>
                <w:sz w:val="18"/>
                <w:szCs w:val="18"/>
              </w:rPr>
              <w:lastRenderedPageBreak/>
              <w:t>debts</w:t>
            </w:r>
            <w:r>
              <w:rPr>
                <w:sz w:val="18"/>
                <w:szCs w:val="18"/>
              </w:rPr>
              <w:t>.</w:t>
            </w:r>
            <w:r w:rsidR="00A2677E">
              <w:rPr>
                <w:sz w:val="18"/>
                <w:szCs w:val="18"/>
              </w:rPr>
              <w:t xml:space="preserve"> It could</w:t>
            </w:r>
            <w:r>
              <w:rPr>
                <w:sz w:val="18"/>
                <w:szCs w:val="18"/>
              </w:rPr>
              <w:t xml:space="preserve"> cause loss of confidence in Government administration in the social security system. </w:t>
            </w:r>
          </w:p>
        </w:tc>
        <w:tc>
          <w:tcPr>
            <w:tcW w:w="676" w:type="pct"/>
          </w:tcPr>
          <w:p w14:paraId="60D6FD27" w14:textId="6171598E" w:rsidR="00FF5EFA" w:rsidRPr="004663C5" w:rsidRDefault="00FF5EFA" w:rsidP="00FF5EFA">
            <w:pPr>
              <w:rPr>
                <w:sz w:val="18"/>
                <w:szCs w:val="18"/>
              </w:rPr>
            </w:pPr>
            <w:r>
              <w:rPr>
                <w:b/>
                <w:bCs/>
                <w:sz w:val="18"/>
                <w:szCs w:val="18"/>
              </w:rPr>
              <w:lastRenderedPageBreak/>
              <w:t xml:space="preserve">Major benefits: </w:t>
            </w:r>
            <w:r w:rsidR="00192EE0">
              <w:rPr>
                <w:sz w:val="18"/>
                <w:szCs w:val="18"/>
              </w:rPr>
              <w:t xml:space="preserve">This approach would recalculate affected debts, consistent with the law as it </w:t>
            </w:r>
            <w:r w:rsidR="7EE5BB58" w:rsidRPr="57209E31">
              <w:rPr>
                <w:sz w:val="18"/>
                <w:szCs w:val="18"/>
              </w:rPr>
              <w:t>applied</w:t>
            </w:r>
            <w:r w:rsidR="0F316BAE" w:rsidRPr="57209E31">
              <w:rPr>
                <w:sz w:val="18"/>
                <w:szCs w:val="18"/>
              </w:rPr>
              <w:t>.</w:t>
            </w:r>
          </w:p>
          <w:p w14:paraId="28BC5FE4" w14:textId="18099C94" w:rsidR="00FF5EFA" w:rsidRPr="00FF4FB6" w:rsidDel="00ED16D2" w:rsidRDefault="00FF5EFA" w:rsidP="007B395A">
            <w:pPr>
              <w:rPr>
                <w:sz w:val="18"/>
                <w:szCs w:val="18"/>
              </w:rPr>
            </w:pPr>
            <w:r>
              <w:rPr>
                <w:b/>
                <w:bCs/>
                <w:sz w:val="18"/>
                <w:szCs w:val="18"/>
              </w:rPr>
              <w:t xml:space="preserve">Major adverse impacts: </w:t>
            </w:r>
            <w:r w:rsidR="007B395A">
              <w:rPr>
                <w:b/>
                <w:bCs/>
                <w:sz w:val="18"/>
                <w:szCs w:val="18"/>
              </w:rPr>
              <w:t xml:space="preserve"> </w:t>
            </w:r>
            <w:r w:rsidR="007B395A">
              <w:rPr>
                <w:sz w:val="18"/>
                <w:szCs w:val="18"/>
              </w:rPr>
              <w:t>This option is very high cost and requires a significant diversion of government resources. It will reduce the supports available for people who need to access assistance now. It has h</w:t>
            </w:r>
            <w:r>
              <w:rPr>
                <w:sz w:val="18"/>
                <w:szCs w:val="18"/>
              </w:rPr>
              <w:t>igh administrative imposts on individuals, businesses and financial institutions</w:t>
            </w:r>
            <w:r w:rsidR="007B395A">
              <w:rPr>
                <w:sz w:val="18"/>
                <w:szCs w:val="18"/>
              </w:rPr>
              <w:t xml:space="preserve">, and </w:t>
            </w:r>
            <w:r w:rsidR="00A117FD">
              <w:rPr>
                <w:sz w:val="18"/>
                <w:szCs w:val="18"/>
              </w:rPr>
              <w:t>m</w:t>
            </w:r>
            <w:r>
              <w:rPr>
                <w:sz w:val="18"/>
                <w:szCs w:val="18"/>
              </w:rPr>
              <w:t xml:space="preserve">ay cause loss of confidence in </w:t>
            </w:r>
            <w:r>
              <w:rPr>
                <w:sz w:val="18"/>
                <w:szCs w:val="18"/>
              </w:rPr>
              <w:lastRenderedPageBreak/>
              <w:t>Government administration in the social security system.</w:t>
            </w:r>
          </w:p>
        </w:tc>
        <w:tc>
          <w:tcPr>
            <w:tcW w:w="676" w:type="pct"/>
          </w:tcPr>
          <w:p w14:paraId="44AA530B" w14:textId="60939A42" w:rsidR="00FF5EFA" w:rsidRPr="00745DD0" w:rsidRDefault="00FF5EFA" w:rsidP="00FF5EFA">
            <w:pPr>
              <w:rPr>
                <w:sz w:val="18"/>
                <w:szCs w:val="18"/>
              </w:rPr>
            </w:pPr>
            <w:r>
              <w:rPr>
                <w:b/>
                <w:bCs/>
                <w:sz w:val="18"/>
                <w:szCs w:val="18"/>
              </w:rPr>
              <w:lastRenderedPageBreak/>
              <w:t xml:space="preserve">Major benefits: </w:t>
            </w:r>
            <w:r w:rsidR="006A34FA">
              <w:rPr>
                <w:sz w:val="18"/>
                <w:szCs w:val="18"/>
              </w:rPr>
              <w:t>This option r</w:t>
            </w:r>
            <w:r>
              <w:rPr>
                <w:sz w:val="18"/>
                <w:szCs w:val="18"/>
              </w:rPr>
              <w:t xml:space="preserve">esolves </w:t>
            </w:r>
            <w:r w:rsidR="006A34FA">
              <w:rPr>
                <w:sz w:val="18"/>
                <w:szCs w:val="18"/>
              </w:rPr>
              <w:t xml:space="preserve">the legal </w:t>
            </w:r>
            <w:r>
              <w:rPr>
                <w:sz w:val="18"/>
                <w:szCs w:val="18"/>
              </w:rPr>
              <w:t>uncertainty</w:t>
            </w:r>
            <w:r w:rsidR="006A34FA">
              <w:rPr>
                <w:sz w:val="18"/>
                <w:szCs w:val="18"/>
              </w:rPr>
              <w:t xml:space="preserve"> of years of historical debts.</w:t>
            </w:r>
          </w:p>
          <w:p w14:paraId="5DB76FC3" w14:textId="2F9FEE18" w:rsidR="00FF5EFA" w:rsidRPr="00745DD0" w:rsidDel="00ED16D2" w:rsidRDefault="00FF5EFA" w:rsidP="00FF5EFA">
            <w:pPr>
              <w:rPr>
                <w:b/>
                <w:bCs/>
                <w:sz w:val="18"/>
                <w:szCs w:val="18"/>
              </w:rPr>
            </w:pPr>
            <w:r>
              <w:rPr>
                <w:b/>
                <w:bCs/>
                <w:sz w:val="18"/>
                <w:szCs w:val="18"/>
              </w:rPr>
              <w:t xml:space="preserve">Major adverse impacts: </w:t>
            </w:r>
            <w:r>
              <w:rPr>
                <w:sz w:val="18"/>
                <w:szCs w:val="18"/>
              </w:rPr>
              <w:t>May be seen as unfair by affected recipients</w:t>
            </w:r>
            <w:r w:rsidR="006A34FA">
              <w:rPr>
                <w:sz w:val="18"/>
                <w:szCs w:val="18"/>
              </w:rPr>
              <w:t>, some of whom will have their debt validated higher than it should</w:t>
            </w:r>
            <w:r w:rsidR="00A62720">
              <w:rPr>
                <w:sz w:val="18"/>
                <w:szCs w:val="18"/>
              </w:rPr>
              <w:t xml:space="preserve"> have been.</w:t>
            </w:r>
          </w:p>
        </w:tc>
        <w:tc>
          <w:tcPr>
            <w:tcW w:w="676" w:type="pct"/>
          </w:tcPr>
          <w:p w14:paraId="75C28099" w14:textId="0EA13018" w:rsidR="00FF5EFA" w:rsidRPr="00745DD0" w:rsidRDefault="00FF5EFA" w:rsidP="00FF5EFA">
            <w:pPr>
              <w:rPr>
                <w:sz w:val="18"/>
                <w:szCs w:val="18"/>
              </w:rPr>
            </w:pPr>
            <w:r>
              <w:rPr>
                <w:b/>
                <w:bCs/>
                <w:sz w:val="18"/>
                <w:szCs w:val="18"/>
              </w:rPr>
              <w:t xml:space="preserve">Major benefits: </w:t>
            </w:r>
            <w:r>
              <w:rPr>
                <w:sz w:val="18"/>
                <w:szCs w:val="18"/>
              </w:rPr>
              <w:t>Resolves legal uncertainty</w:t>
            </w:r>
            <w:r w:rsidR="003A1B33">
              <w:rPr>
                <w:sz w:val="18"/>
                <w:szCs w:val="18"/>
              </w:rPr>
              <w:t xml:space="preserve"> and c</w:t>
            </w:r>
            <w:r>
              <w:rPr>
                <w:sz w:val="18"/>
                <w:szCs w:val="18"/>
              </w:rPr>
              <w:t>ompensates people affected by</w:t>
            </w:r>
            <w:r w:rsidR="003A1B33">
              <w:rPr>
                <w:sz w:val="18"/>
                <w:szCs w:val="18"/>
              </w:rPr>
              <w:t xml:space="preserve"> the debt pauses</w:t>
            </w:r>
            <w:r>
              <w:rPr>
                <w:sz w:val="18"/>
                <w:szCs w:val="18"/>
              </w:rPr>
              <w:t>.</w:t>
            </w:r>
          </w:p>
          <w:p w14:paraId="45927D03" w14:textId="58BEC808" w:rsidR="00FF5EFA" w:rsidRDefault="00FF5EFA" w:rsidP="00FF5EFA">
            <w:pPr>
              <w:rPr>
                <w:b/>
                <w:bCs/>
                <w:sz w:val="18"/>
                <w:szCs w:val="18"/>
              </w:rPr>
            </w:pPr>
            <w:r>
              <w:rPr>
                <w:b/>
                <w:bCs/>
                <w:sz w:val="18"/>
                <w:szCs w:val="18"/>
              </w:rPr>
              <w:t xml:space="preserve">Major adverse impacts: </w:t>
            </w:r>
            <w:r w:rsidR="00DC2BB4">
              <w:rPr>
                <w:sz w:val="18"/>
                <w:szCs w:val="18"/>
              </w:rPr>
              <w:t>May be seen as unfair by affected recipients, some of whom will have their debt validated higher than it should have been. Does not provide any recognition or reparation for millions with historically affected debts that are fully paid off.</w:t>
            </w:r>
          </w:p>
        </w:tc>
        <w:tc>
          <w:tcPr>
            <w:tcW w:w="671" w:type="pct"/>
          </w:tcPr>
          <w:p w14:paraId="1BF15AA5" w14:textId="76CEDC84" w:rsidR="00FF5EFA" w:rsidRPr="004663C5" w:rsidRDefault="00FF5EFA" w:rsidP="00FF5EFA">
            <w:pPr>
              <w:rPr>
                <w:sz w:val="18"/>
                <w:szCs w:val="18"/>
              </w:rPr>
            </w:pPr>
            <w:r>
              <w:rPr>
                <w:b/>
                <w:bCs/>
                <w:sz w:val="18"/>
                <w:szCs w:val="18"/>
              </w:rPr>
              <w:t xml:space="preserve">Major benefits: </w:t>
            </w:r>
            <w:r w:rsidRPr="006E28D0">
              <w:rPr>
                <w:sz w:val="18"/>
                <w:szCs w:val="18"/>
              </w:rPr>
              <w:t>Resolves</w:t>
            </w:r>
            <w:r>
              <w:rPr>
                <w:sz w:val="18"/>
                <w:szCs w:val="18"/>
              </w:rPr>
              <w:t xml:space="preserve"> legal uncertaint</w:t>
            </w:r>
            <w:r w:rsidR="004D5861">
              <w:rPr>
                <w:sz w:val="18"/>
                <w:szCs w:val="18"/>
              </w:rPr>
              <w:t>y and p</w:t>
            </w:r>
            <w:r>
              <w:rPr>
                <w:sz w:val="18"/>
                <w:szCs w:val="18"/>
              </w:rPr>
              <w:t xml:space="preserve">rovides </w:t>
            </w:r>
            <w:r w:rsidR="157B19F6" w:rsidRPr="0AB0C7A1">
              <w:rPr>
                <w:sz w:val="18"/>
                <w:szCs w:val="18"/>
              </w:rPr>
              <w:t xml:space="preserve">a </w:t>
            </w:r>
            <w:r>
              <w:rPr>
                <w:sz w:val="18"/>
                <w:szCs w:val="18"/>
              </w:rPr>
              <w:t xml:space="preserve">pathway </w:t>
            </w:r>
            <w:r w:rsidR="004D5861">
              <w:rPr>
                <w:sz w:val="18"/>
                <w:szCs w:val="18"/>
              </w:rPr>
              <w:t xml:space="preserve">for people with debts affected by income apportionment to </w:t>
            </w:r>
            <w:r>
              <w:rPr>
                <w:sz w:val="18"/>
                <w:szCs w:val="18"/>
              </w:rPr>
              <w:t xml:space="preserve">receive reparation. </w:t>
            </w:r>
          </w:p>
          <w:p w14:paraId="4DF0A1D2" w14:textId="55EA1CE6" w:rsidR="00FF5EFA" w:rsidRDefault="00FF5EFA" w:rsidP="00FF5EFA">
            <w:pPr>
              <w:rPr>
                <w:b/>
                <w:bCs/>
                <w:sz w:val="18"/>
                <w:szCs w:val="18"/>
              </w:rPr>
            </w:pPr>
            <w:r>
              <w:rPr>
                <w:b/>
                <w:bCs/>
                <w:sz w:val="18"/>
                <w:szCs w:val="18"/>
              </w:rPr>
              <w:t xml:space="preserve">Major adverse impacts: </w:t>
            </w:r>
            <w:r w:rsidR="004227B9">
              <w:rPr>
                <w:sz w:val="18"/>
                <w:szCs w:val="18"/>
              </w:rPr>
              <w:t xml:space="preserve">May be seen as unfair by affected recipients, some of whom will have their debt validated higher than it should have been. </w:t>
            </w:r>
            <w:r>
              <w:rPr>
                <w:sz w:val="18"/>
                <w:szCs w:val="18"/>
              </w:rPr>
              <w:t xml:space="preserve">Puts some onus on individuals to seek compensation. People with debts subject to pauses but not actually affected by income apportionment will be </w:t>
            </w:r>
            <w:r w:rsidR="5907DBBC" w:rsidRPr="0AB0C7A1">
              <w:rPr>
                <w:sz w:val="18"/>
                <w:szCs w:val="18"/>
              </w:rPr>
              <w:t>in</w:t>
            </w:r>
            <w:r w:rsidR="2A776778" w:rsidRPr="0AB0C7A1">
              <w:rPr>
                <w:sz w:val="18"/>
                <w:szCs w:val="18"/>
              </w:rPr>
              <w:t>eligible</w:t>
            </w:r>
            <w:r w:rsidR="004227B9">
              <w:rPr>
                <w:sz w:val="18"/>
                <w:szCs w:val="18"/>
              </w:rPr>
              <w:t xml:space="preserve"> for a </w:t>
            </w:r>
            <w:r w:rsidR="00F256EF">
              <w:rPr>
                <w:sz w:val="18"/>
                <w:szCs w:val="18"/>
              </w:rPr>
              <w:t>resolution payment</w:t>
            </w:r>
            <w:r w:rsidR="004227B9">
              <w:rPr>
                <w:sz w:val="18"/>
                <w:szCs w:val="18"/>
              </w:rPr>
              <w:t>.</w:t>
            </w:r>
          </w:p>
        </w:tc>
      </w:tr>
    </w:tbl>
    <w:bookmarkEnd w:id="57"/>
    <w:p w14:paraId="23144238" w14:textId="76F8CA9B" w:rsidR="003447DF" w:rsidRPr="00623154" w:rsidRDefault="00F2210E" w:rsidP="00623154">
      <w:pPr>
        <w:rPr>
          <w:sz w:val="18"/>
          <w:szCs w:val="18"/>
        </w:rPr>
      </w:pPr>
      <w:r w:rsidRPr="00623154">
        <w:rPr>
          <w:sz w:val="18"/>
          <w:szCs w:val="18"/>
        </w:rPr>
        <w:t>*The overall totals are the impacts of each option across all stakeholder groups. These scores may be affected by rounding.</w:t>
      </w:r>
    </w:p>
    <w:p w14:paraId="32271CAD" w14:textId="77777777" w:rsidR="003447DF" w:rsidRDefault="003447DF" w:rsidP="00021DFE">
      <w:pPr>
        <w:pStyle w:val="Heading2"/>
        <w:sectPr w:rsidR="003447DF" w:rsidSect="00745DD0">
          <w:pgSz w:w="23811" w:h="16838" w:orient="landscape" w:code="8"/>
          <w:pgMar w:top="720" w:right="720" w:bottom="720" w:left="720" w:header="993" w:footer="709" w:gutter="0"/>
          <w:cols w:space="708"/>
          <w:titlePg/>
          <w:docGrid w:linePitch="360"/>
        </w:sectPr>
      </w:pPr>
    </w:p>
    <w:p w14:paraId="7CB4CA82" w14:textId="30B3E7B6" w:rsidR="00C87F32" w:rsidRPr="00552DD3" w:rsidRDefault="00021DFE" w:rsidP="00A96771">
      <w:pPr>
        <w:spacing w:after="200" w:line="288" w:lineRule="auto"/>
      </w:pPr>
      <w:r w:rsidRPr="00A96771">
        <w:rPr>
          <w:rFonts w:asciiTheme="majorHAnsi" w:eastAsiaTheme="majorEastAsia" w:hAnsiTheme="majorHAnsi" w:cstheme="majorBidi"/>
          <w:color w:val="1C2B39" w:themeColor="accent1"/>
          <w:sz w:val="36"/>
          <w:szCs w:val="28"/>
        </w:rPr>
        <w:lastRenderedPageBreak/>
        <w:t>What is the best option?</w:t>
      </w:r>
    </w:p>
    <w:p w14:paraId="1FCA0E63" w14:textId="6E71A80D" w:rsidR="00B42C44" w:rsidRDefault="003C4120" w:rsidP="00D44B2B">
      <w:r>
        <w:t xml:space="preserve">This </w:t>
      </w:r>
      <w:r w:rsidR="00552DD3">
        <w:t>analysis</w:t>
      </w:r>
      <w:r w:rsidR="00B42C44" w:rsidDel="003C4120">
        <w:t xml:space="preserve"> </w:t>
      </w:r>
      <w:r w:rsidR="00B42C44">
        <w:t>of available options to address income apportionment (a</w:t>
      </w:r>
      <w:r w:rsidR="00552DD3">
        <w:t>bove</w:t>
      </w:r>
      <w:r w:rsidR="00B42C44">
        <w:t xml:space="preserve">) supports an approach that includes legislation to retrospectively validate income apportionment and a </w:t>
      </w:r>
      <w:r w:rsidR="00135693">
        <w:t>resolution scheme</w:t>
      </w:r>
      <w:r w:rsidR="00B42C44">
        <w:t xml:space="preserve"> for people affected by this issue.</w:t>
      </w:r>
    </w:p>
    <w:p w14:paraId="79561E93" w14:textId="52A2A552" w:rsidR="006E761F" w:rsidRDefault="00B42C44" w:rsidP="00D44B2B">
      <w:r>
        <w:t>As the analysis has found,</w:t>
      </w:r>
      <w:r w:rsidR="00552DD3">
        <w:t xml:space="preserve"> waiv</w:t>
      </w:r>
      <w:r w:rsidR="000439B4">
        <w:t>ing</w:t>
      </w:r>
      <w:r w:rsidR="008E7EBD">
        <w:t xml:space="preserve"> all potentially affected debts</w:t>
      </w:r>
      <w:r w:rsidR="00552DD3">
        <w:t xml:space="preserve"> </w:t>
      </w:r>
      <w:r w:rsidR="00232E73">
        <w:t>or recalculat</w:t>
      </w:r>
      <w:r w:rsidR="000439B4">
        <w:t>ing</w:t>
      </w:r>
      <w:r w:rsidR="00232E73">
        <w:t xml:space="preserve"> debts</w:t>
      </w:r>
      <w:r w:rsidR="00552DD3">
        <w:t xml:space="preserve">, </w:t>
      </w:r>
      <w:r w:rsidR="008E7EBD">
        <w:t xml:space="preserve">are </w:t>
      </w:r>
      <w:r w:rsidR="00232E73">
        <w:t>not</w:t>
      </w:r>
      <w:r w:rsidR="008E7EBD">
        <w:t xml:space="preserve"> </w:t>
      </w:r>
      <w:r w:rsidR="00232E73">
        <w:t xml:space="preserve">viable </w:t>
      </w:r>
      <w:r w:rsidR="00552DD3">
        <w:t>option</w:t>
      </w:r>
      <w:r w:rsidR="008E7EBD">
        <w:t>s</w:t>
      </w:r>
      <w:r w:rsidR="00346E0E">
        <w:t>.</w:t>
      </w:r>
      <w:r w:rsidR="00365C0B">
        <w:t xml:space="preserve"> </w:t>
      </w:r>
      <w:r w:rsidR="003C4120">
        <w:t xml:space="preserve">Reviewing and recalculating all potentially affected debts would likely cause upheaval in millions of people’s lives and have impacts for community organisations, businesses and financial institutions. </w:t>
      </w:r>
      <w:r w:rsidR="00365C0B">
        <w:t>Implementing either of the</w:t>
      </w:r>
      <w:r w:rsidR="000439B4">
        <w:t xml:space="preserve"> options</w:t>
      </w:r>
      <w:r w:rsidR="00365C0B">
        <w:t xml:space="preserve"> would require a </w:t>
      </w:r>
      <w:r w:rsidR="000439B4">
        <w:t xml:space="preserve">significant </w:t>
      </w:r>
      <w:r w:rsidR="00365C0B">
        <w:t xml:space="preserve">diversion of </w:t>
      </w:r>
      <w:r>
        <w:t xml:space="preserve">government </w:t>
      </w:r>
      <w:r w:rsidR="00365C0B">
        <w:t>resources</w:t>
      </w:r>
      <w:r>
        <w:t xml:space="preserve">, requiring thousands of Services Australia staff over many </w:t>
      </w:r>
      <w:r w:rsidRPr="00331942">
        <w:t>years</w:t>
      </w:r>
      <w:r>
        <w:t xml:space="preserve"> to complete. This risks compromising its ability to support people who currently need assistance.</w:t>
      </w:r>
      <w:r w:rsidR="003C4120">
        <w:t xml:space="preserve"> </w:t>
      </w:r>
      <w:r w:rsidR="008E7EBD">
        <w:t>These options are not timely or fair.</w:t>
      </w:r>
    </w:p>
    <w:p w14:paraId="222D2CCF" w14:textId="42CE8A31" w:rsidR="00B467E0" w:rsidRPr="00B467E0" w:rsidRDefault="00B42C44" w:rsidP="00D44B2B">
      <w:pPr>
        <w:rPr>
          <w:b/>
          <w:bCs/>
        </w:rPr>
      </w:pPr>
      <w:r>
        <w:t xml:space="preserve">Legislating </w:t>
      </w:r>
      <w:r w:rsidR="000439B4">
        <w:t>to retrospectively</w:t>
      </w:r>
      <w:r w:rsidR="00B710D8">
        <w:t xml:space="preserve"> validat</w:t>
      </w:r>
      <w:r w:rsidR="000439B4">
        <w:t>e income apportionment</w:t>
      </w:r>
      <w:r w:rsidR="00B710D8">
        <w:t xml:space="preserve"> </w:t>
      </w:r>
      <w:r w:rsidR="00365C0B">
        <w:t>recognises</w:t>
      </w:r>
      <w:r w:rsidR="000439B4">
        <w:t xml:space="preserve"> it was</w:t>
      </w:r>
      <w:r w:rsidR="00365C0B">
        <w:t xml:space="preserve"> a reasonable means of assessing a person’s need for income </w:t>
      </w:r>
      <w:r w:rsidR="001A4DC8">
        <w:t>support</w:t>
      </w:r>
      <w:r w:rsidR="00B467E0">
        <w:t xml:space="preserve">, based on any earnings from employment, and using evidence from the individual such as payslips. Its </w:t>
      </w:r>
      <w:r w:rsidR="00B467E0" w:rsidRPr="00B467E0">
        <w:t xml:space="preserve">historical </w:t>
      </w:r>
      <w:r w:rsidR="00B467E0">
        <w:t xml:space="preserve">application </w:t>
      </w:r>
      <w:r w:rsidR="00B467E0" w:rsidRPr="00B467E0">
        <w:t>was a genuine misunderstanding of how employment income should be assessed under the law</w:t>
      </w:r>
      <w:r w:rsidR="00B467E0">
        <w:t xml:space="preserve">. Sampling exercises have found that the </w:t>
      </w:r>
      <w:r w:rsidR="00B467E0" w:rsidRPr="00B467E0">
        <w:t>effect of income apportionment on an overall debt amount is small</w:t>
      </w:r>
      <w:r w:rsidR="003C4120">
        <w:t>.</w:t>
      </w:r>
      <w:r w:rsidR="00B467E0" w:rsidRPr="00B467E0">
        <w:t xml:space="preserve"> </w:t>
      </w:r>
      <w:r w:rsidR="003C4120">
        <w:t>T</w:t>
      </w:r>
      <w:r w:rsidR="00B467E0" w:rsidRPr="00B467E0">
        <w:t xml:space="preserve">he median change in debt amount when the debt is recalculated using the methodology upheld in </w:t>
      </w:r>
      <w:r w:rsidR="00B467E0" w:rsidRPr="00B467E0">
        <w:rPr>
          <w:i/>
          <w:iCs/>
        </w:rPr>
        <w:t xml:space="preserve">Chaplin </w:t>
      </w:r>
      <w:r w:rsidR="00B467E0" w:rsidRPr="00B467E0">
        <w:t>is less than $100.</w:t>
      </w:r>
      <w:r w:rsidR="00B467E0" w:rsidRPr="00B467E0">
        <w:rPr>
          <w:u w:val="single"/>
        </w:rPr>
        <w:t> </w:t>
      </w:r>
    </w:p>
    <w:p w14:paraId="771F8301" w14:textId="1AFD263F" w:rsidR="00D44B2B" w:rsidRDefault="00B467E0" w:rsidP="00D44B2B">
      <w:r>
        <w:t xml:space="preserve">Retrospective validation </w:t>
      </w:r>
      <w:r w:rsidR="00B42C44">
        <w:t>will provide certainty for people with affected debts</w:t>
      </w:r>
      <w:r w:rsidR="003C4120">
        <w:t xml:space="preserve"> and is a responsible use of resources</w:t>
      </w:r>
      <w:r w:rsidR="00B42C44">
        <w:t xml:space="preserve">. </w:t>
      </w:r>
      <w:r w:rsidR="00E3792B">
        <w:t xml:space="preserve">As income apportionment </w:t>
      </w:r>
      <w:r w:rsidR="00925C39">
        <w:t xml:space="preserve">relates to historical debts, any future </w:t>
      </w:r>
      <w:r w:rsidR="000A3EF4">
        <w:t>debts raised for those same historical periods can be treated consistently, as income apportionment w</w:t>
      </w:r>
      <w:r w:rsidR="001B4C78">
        <w:t>ill</w:t>
      </w:r>
      <w:r w:rsidR="000A3EF4">
        <w:t xml:space="preserve"> have been made a valid method of raising debts.</w:t>
      </w:r>
      <w:r w:rsidR="00385646">
        <w:t xml:space="preserve"> </w:t>
      </w:r>
    </w:p>
    <w:p w14:paraId="20C17945" w14:textId="1FD207A4" w:rsidR="00027550" w:rsidRDefault="00B467E0" w:rsidP="00214EF2">
      <w:r>
        <w:t>To provide</w:t>
      </w:r>
      <w:r w:rsidDel="003C4120">
        <w:t xml:space="preserve"> </w:t>
      </w:r>
      <w:r>
        <w:t>reparation, this analysis has considered – in conjunction with retrospective validation</w:t>
      </w:r>
      <w:r w:rsidR="00027550">
        <w:t xml:space="preserve"> – options for a partial waiver to those affected by the pauses and a </w:t>
      </w:r>
      <w:r w:rsidR="00135693">
        <w:t>resolution scheme</w:t>
      </w:r>
      <w:r w:rsidR="00126BF5">
        <w:t xml:space="preserve"> with broader eligibility</w:t>
      </w:r>
      <w:r w:rsidR="00027550">
        <w:t xml:space="preserve">. A partial waiver would provide compensation to those most recently affected by income apportionment, who have been subject to delays and uncertainty. </w:t>
      </w:r>
      <w:r w:rsidR="00027550" w:rsidRPr="00CD178B">
        <w:t xml:space="preserve">However, this approach </w:t>
      </w:r>
      <w:r w:rsidR="00027550">
        <w:t>could be considered unfair by people who have historical debts (which they have fully paid off) affected by income apportionment as they would be ineligible.</w:t>
      </w:r>
    </w:p>
    <w:p w14:paraId="2E9C9CAE" w14:textId="0BEBBDE7" w:rsidR="00214EF2" w:rsidRDefault="00027550" w:rsidP="00214EF2">
      <w:r>
        <w:t xml:space="preserve">A </w:t>
      </w:r>
      <w:r w:rsidR="00135693">
        <w:t>resolution scheme</w:t>
      </w:r>
      <w:r>
        <w:t>, with broad</w:t>
      </w:r>
      <w:r w:rsidR="00126BF5">
        <w:t>er</w:t>
      </w:r>
      <w:r>
        <w:t xml:space="preserve"> eligibility for people with income apportioned debts, is</w:t>
      </w:r>
      <w:r w:rsidR="00214EF2">
        <w:t xml:space="preserve"> a relatively timely, fair and efficient mechanism. </w:t>
      </w:r>
      <w:r>
        <w:t>At its simplest, such as scheme can offer people affected by this issue (not just those affected by the pauses) a convenient method of seeking fair and reasonable compensation from the Government. As an opt</w:t>
      </w:r>
      <w:r w:rsidR="00A871D2">
        <w:t xml:space="preserve"> in </w:t>
      </w:r>
      <w:r>
        <w:t xml:space="preserve">scheme, it will require some </w:t>
      </w:r>
      <w:r w:rsidR="00214EF2">
        <w:t xml:space="preserve">additional effort </w:t>
      </w:r>
      <w:r>
        <w:t xml:space="preserve">for people to apply, but objectively this </w:t>
      </w:r>
      <w:r w:rsidR="003C4120">
        <w:t xml:space="preserve">is </w:t>
      </w:r>
      <w:r>
        <w:t xml:space="preserve">a </w:t>
      </w:r>
      <w:r w:rsidR="00214EF2">
        <w:t>small additional burden</w:t>
      </w:r>
      <w:r>
        <w:t xml:space="preserve"> and the scheme can be designed to minimise the effort required as much as possible</w:t>
      </w:r>
      <w:r w:rsidR="00214EF2">
        <w:t xml:space="preserve">. A </w:t>
      </w:r>
      <w:r w:rsidR="00135693">
        <w:t>resolution scheme</w:t>
      </w:r>
      <w:r w:rsidR="00214EF2">
        <w:t xml:space="preserve"> is less impactful on the broader administration of the social security system, and has less overall regulatory burdens, compared with other options like waiving or recalculating all income apportionment affected debts</w:t>
      </w:r>
    </w:p>
    <w:p w14:paraId="2E7266DE" w14:textId="28EB92C6" w:rsidR="000711DC" w:rsidRDefault="00117279" w:rsidP="002913A5">
      <w:pPr>
        <w:spacing w:after="200" w:line="288" w:lineRule="auto"/>
      </w:pPr>
      <w:r w:rsidRPr="007846E5">
        <w:rPr>
          <w:rFonts w:asciiTheme="majorHAnsi" w:eastAsiaTheme="majorEastAsia" w:hAnsiTheme="majorHAnsi" w:cstheme="majorBidi"/>
          <w:color w:val="1C2B39" w:themeColor="accent1"/>
          <w:sz w:val="36"/>
          <w:szCs w:val="28"/>
        </w:rPr>
        <w:lastRenderedPageBreak/>
        <w:t>Implementation</w:t>
      </w:r>
      <w:r w:rsidRPr="00117279">
        <w:br/>
      </w:r>
      <w:r w:rsidR="00F13DC2">
        <w:t>Legislation to retrospectively validate income apportionment</w:t>
      </w:r>
      <w:r w:rsidR="00D53F29">
        <w:t xml:space="preserve"> and support a </w:t>
      </w:r>
      <w:r w:rsidR="00135693">
        <w:t>resolution scheme</w:t>
      </w:r>
      <w:r w:rsidR="00F13DC2">
        <w:t xml:space="preserve"> will need</w:t>
      </w:r>
      <w:r w:rsidR="000711DC">
        <w:t xml:space="preserve"> to be passed by </w:t>
      </w:r>
      <w:r w:rsidR="00546C4B">
        <w:t xml:space="preserve">the </w:t>
      </w:r>
      <w:r w:rsidR="000711DC">
        <w:t xml:space="preserve">Parliament. </w:t>
      </w:r>
    </w:p>
    <w:p w14:paraId="18FD546B" w14:textId="3E885EE0" w:rsidR="008F4FE3" w:rsidRDefault="00D53F29" w:rsidP="008F4FE3">
      <w:pPr>
        <w:spacing w:after="200" w:line="288" w:lineRule="auto"/>
      </w:pPr>
      <w:r>
        <w:t xml:space="preserve">The implementation of a </w:t>
      </w:r>
      <w:r w:rsidR="00135693">
        <w:t>resolution scheme</w:t>
      </w:r>
      <w:r w:rsidR="008F4FE3">
        <w:t xml:space="preserve"> </w:t>
      </w:r>
      <w:r>
        <w:t>will need to ensure:</w:t>
      </w:r>
    </w:p>
    <w:p w14:paraId="5BAF76A8" w14:textId="1386B19E" w:rsidR="00546C4B" w:rsidRDefault="00546C4B" w:rsidP="00546C4B">
      <w:pPr>
        <w:pStyle w:val="ListParagraph"/>
        <w:numPr>
          <w:ilvl w:val="0"/>
          <w:numId w:val="35"/>
        </w:numPr>
        <w:spacing w:after="200" w:line="288" w:lineRule="auto"/>
      </w:pPr>
      <w:r>
        <w:t>The scheme is communicated to the public</w:t>
      </w:r>
    </w:p>
    <w:p w14:paraId="0A7FE675" w14:textId="7A3E1973" w:rsidR="008F4FE3" w:rsidRDefault="008F4FE3" w:rsidP="00546C4B">
      <w:pPr>
        <w:pStyle w:val="ListParagraph"/>
        <w:numPr>
          <w:ilvl w:val="0"/>
          <w:numId w:val="35"/>
        </w:numPr>
        <w:spacing w:after="200" w:line="288" w:lineRule="auto"/>
      </w:pPr>
      <w:r>
        <w:t xml:space="preserve">The scheme meets reasonable expectations of processing timeliness, and Services Australia can complete all applications </w:t>
      </w:r>
      <w:r w:rsidR="004F5890">
        <w:t>by June 2029</w:t>
      </w:r>
      <w:r w:rsidR="00021B6C">
        <w:t>, depending on uptake</w:t>
      </w:r>
      <w:r>
        <w:t xml:space="preserve">. </w:t>
      </w:r>
    </w:p>
    <w:p w14:paraId="67B8BE70" w14:textId="35FCE86F" w:rsidR="008F4FE3" w:rsidRDefault="008F4FE3" w:rsidP="00D9741D">
      <w:pPr>
        <w:pStyle w:val="ListParagraph"/>
        <w:numPr>
          <w:ilvl w:val="0"/>
          <w:numId w:val="35"/>
        </w:numPr>
      </w:pPr>
      <w:r>
        <w:t xml:space="preserve">Appropriate </w:t>
      </w:r>
      <w:r w:rsidR="00546C4B">
        <w:t>quality assurance</w:t>
      </w:r>
      <w:r>
        <w:t xml:space="preserve"> mechanisms are in place to ensure the scheme is being implemented as intended.</w:t>
      </w:r>
    </w:p>
    <w:p w14:paraId="356EC7C6" w14:textId="77777777" w:rsidR="008F4FE3" w:rsidRDefault="008F4FE3" w:rsidP="00D9741D">
      <w:pPr>
        <w:pStyle w:val="ListParagraph"/>
        <w:numPr>
          <w:ilvl w:val="0"/>
          <w:numId w:val="35"/>
        </w:numPr>
      </w:pPr>
      <w:r>
        <w:t xml:space="preserve">Staff are adequately trained to assist applicants with queries they may have about the scheme.    </w:t>
      </w:r>
    </w:p>
    <w:p w14:paraId="410A42E5" w14:textId="77777777" w:rsidR="00B95A61" w:rsidRDefault="00B95A61">
      <w:pPr>
        <w:spacing w:after="200" w:line="288" w:lineRule="auto"/>
        <w:rPr>
          <w:rFonts w:asciiTheme="majorHAnsi" w:eastAsiaTheme="majorEastAsia" w:hAnsiTheme="majorHAnsi" w:cstheme="majorBidi"/>
          <w:color w:val="1C2B39" w:themeColor="accent1"/>
          <w:sz w:val="48"/>
          <w:szCs w:val="40"/>
        </w:rPr>
      </w:pPr>
      <w:bookmarkStart w:id="59" w:name="_Toc201430201"/>
      <w:bookmarkStart w:id="60" w:name="_Toc201430240"/>
      <w:bookmarkStart w:id="61" w:name="_Toc201430202"/>
      <w:bookmarkStart w:id="62" w:name="_Toc201430241"/>
      <w:bookmarkEnd w:id="59"/>
      <w:bookmarkEnd w:id="60"/>
      <w:bookmarkEnd w:id="61"/>
      <w:bookmarkEnd w:id="62"/>
      <w:r>
        <w:br w:type="page"/>
      </w:r>
    </w:p>
    <w:p w14:paraId="6AFEA03C" w14:textId="203C36AD" w:rsidR="00041BC8" w:rsidRPr="00200DB5" w:rsidRDefault="00041BC8" w:rsidP="00D9741D">
      <w:pPr>
        <w:pStyle w:val="Heading1"/>
        <w:numPr>
          <w:ilvl w:val="0"/>
          <w:numId w:val="12"/>
        </w:numPr>
      </w:pPr>
      <w:bookmarkStart w:id="63" w:name="_Toc207097820"/>
      <w:r>
        <w:lastRenderedPageBreak/>
        <w:t>How will you evaluate your chosen option against the success metrics?</w:t>
      </w:r>
      <w:bookmarkEnd w:id="63"/>
    </w:p>
    <w:p w14:paraId="30131A84" w14:textId="36A3F068" w:rsidR="007A6DE0" w:rsidRPr="00A96771" w:rsidRDefault="00886786" w:rsidP="00A96771">
      <w:pPr>
        <w:spacing w:after="200" w:line="288" w:lineRule="auto"/>
        <w:rPr>
          <w:rFonts w:asciiTheme="majorHAnsi" w:eastAsiaTheme="majorEastAsia" w:hAnsiTheme="majorHAnsi" w:cstheme="majorBidi"/>
          <w:color w:val="1C2B39" w:themeColor="accent1"/>
          <w:sz w:val="36"/>
          <w:szCs w:val="28"/>
        </w:rPr>
      </w:pPr>
      <w:r w:rsidRPr="00A96771">
        <w:rPr>
          <w:rFonts w:asciiTheme="majorHAnsi" w:eastAsiaTheme="majorEastAsia" w:hAnsiTheme="majorHAnsi" w:cstheme="majorBidi"/>
          <w:color w:val="1C2B39" w:themeColor="accent1"/>
          <w:sz w:val="36"/>
          <w:szCs w:val="28"/>
        </w:rPr>
        <w:t>Eva</w:t>
      </w:r>
      <w:r w:rsidR="003B73F1" w:rsidRPr="00A96771">
        <w:rPr>
          <w:rFonts w:asciiTheme="majorHAnsi" w:eastAsiaTheme="majorEastAsia" w:hAnsiTheme="majorHAnsi" w:cstheme="majorBidi"/>
          <w:color w:val="1C2B39" w:themeColor="accent1"/>
          <w:sz w:val="36"/>
          <w:szCs w:val="28"/>
        </w:rPr>
        <w:t>luation of the preferred option</w:t>
      </w:r>
    </w:p>
    <w:p w14:paraId="3E511576" w14:textId="6A1D5AD1" w:rsidR="0047547B" w:rsidRPr="008E7EBD" w:rsidRDefault="001D5467" w:rsidP="003B73F1">
      <w:pPr>
        <w:rPr>
          <w:rFonts w:cs="Arial"/>
        </w:rPr>
      </w:pPr>
      <w:r w:rsidRPr="00A96771">
        <w:rPr>
          <w:rFonts w:ascii="Arial" w:hAnsi="Arial" w:cs="Arial"/>
        </w:rPr>
        <w:t xml:space="preserve">As outlined in this </w:t>
      </w:r>
      <w:r w:rsidR="00C31C51" w:rsidRPr="00A96771">
        <w:rPr>
          <w:rFonts w:ascii="Arial" w:hAnsi="Arial" w:cs="Arial"/>
        </w:rPr>
        <w:t>impact analysis</w:t>
      </w:r>
      <w:r w:rsidRPr="00A96771">
        <w:rPr>
          <w:rFonts w:ascii="Arial" w:hAnsi="Arial" w:cs="Arial"/>
        </w:rPr>
        <w:t xml:space="preserve">, </w:t>
      </w:r>
      <w:r w:rsidR="00C31C51" w:rsidRPr="00A96771">
        <w:rPr>
          <w:rFonts w:ascii="Arial" w:hAnsi="Arial" w:cs="Arial"/>
        </w:rPr>
        <w:t>enacting retrospective validation</w:t>
      </w:r>
      <w:r w:rsidR="00E814FB" w:rsidRPr="00A96771">
        <w:rPr>
          <w:rFonts w:ascii="Arial" w:hAnsi="Arial" w:cs="Arial"/>
        </w:rPr>
        <w:t xml:space="preserve"> and a </w:t>
      </w:r>
      <w:r w:rsidR="00135693">
        <w:rPr>
          <w:rFonts w:ascii="Arial" w:hAnsi="Arial" w:cs="Arial"/>
        </w:rPr>
        <w:t>resolution scheme</w:t>
      </w:r>
      <w:r w:rsidRPr="00A96771">
        <w:rPr>
          <w:rFonts w:ascii="Arial" w:hAnsi="Arial" w:cs="Arial"/>
        </w:rPr>
        <w:t xml:space="preserve"> </w:t>
      </w:r>
      <w:r w:rsidR="00772DED" w:rsidRPr="008E7EBD">
        <w:rPr>
          <w:rFonts w:cs="Arial"/>
        </w:rPr>
        <w:t>re</w:t>
      </w:r>
      <w:r w:rsidRPr="008E7EBD">
        <w:rPr>
          <w:rFonts w:cs="Arial"/>
        </w:rPr>
        <w:t xml:space="preserve">presents </w:t>
      </w:r>
      <w:r w:rsidR="00C31C51" w:rsidRPr="008E7EBD">
        <w:rPr>
          <w:rFonts w:cs="Arial"/>
        </w:rPr>
        <w:t xml:space="preserve">a </w:t>
      </w:r>
      <w:r w:rsidRPr="008E7EBD">
        <w:rPr>
          <w:rFonts w:cs="Arial"/>
        </w:rPr>
        <w:t xml:space="preserve">balance between </w:t>
      </w:r>
      <w:r w:rsidR="00546C4B">
        <w:rPr>
          <w:rFonts w:cs="Arial"/>
        </w:rPr>
        <w:t>resolving</w:t>
      </w:r>
      <w:r w:rsidR="00CC5B99" w:rsidRPr="008E7EBD">
        <w:rPr>
          <w:rFonts w:cs="Arial"/>
        </w:rPr>
        <w:t xml:space="preserve"> income apportionment</w:t>
      </w:r>
      <w:r w:rsidR="00546C4B">
        <w:rPr>
          <w:rFonts w:cs="Arial"/>
        </w:rPr>
        <w:t xml:space="preserve">, minimising the impacts on individuals </w:t>
      </w:r>
      <w:r w:rsidR="00F70D5A" w:rsidRPr="008E7EBD">
        <w:rPr>
          <w:rFonts w:cs="Arial"/>
        </w:rPr>
        <w:t xml:space="preserve">and the resources required to </w:t>
      </w:r>
      <w:r w:rsidR="00546C4B">
        <w:rPr>
          <w:rFonts w:cs="Arial"/>
        </w:rPr>
        <w:t>manage the resolution</w:t>
      </w:r>
      <w:r w:rsidR="00F70D5A" w:rsidRPr="008E7EBD">
        <w:rPr>
          <w:rFonts w:cs="Arial"/>
        </w:rPr>
        <w:t>.</w:t>
      </w:r>
      <w:r w:rsidR="00C31C51" w:rsidRPr="008E7EBD">
        <w:rPr>
          <w:rFonts w:cs="Arial"/>
        </w:rPr>
        <w:t xml:space="preserve"> </w:t>
      </w:r>
      <w:r w:rsidR="00D4286B" w:rsidRPr="008E7EBD">
        <w:rPr>
          <w:rFonts w:cs="Arial"/>
        </w:rPr>
        <w:t xml:space="preserve">The criteria of fairness and timeliness will be </w:t>
      </w:r>
      <w:r w:rsidR="00C31C51" w:rsidRPr="008E7EBD">
        <w:rPr>
          <w:rFonts w:cs="Arial"/>
        </w:rPr>
        <w:t>evaluated using qualitative feedback from stakeholders</w:t>
      </w:r>
      <w:r w:rsidR="00E814FB" w:rsidRPr="008E7EBD">
        <w:rPr>
          <w:rFonts w:cs="Arial"/>
        </w:rPr>
        <w:t>.</w:t>
      </w:r>
      <w:r w:rsidR="00F14052" w:rsidRPr="008E7EBD">
        <w:rPr>
          <w:rFonts w:cs="Arial"/>
        </w:rPr>
        <w:t xml:space="preserve"> </w:t>
      </w:r>
    </w:p>
    <w:p w14:paraId="6908B691" w14:textId="2CC6AC9A" w:rsidR="00F14052" w:rsidRPr="008E7EBD" w:rsidRDefault="00F14052" w:rsidP="003B73F1">
      <w:pPr>
        <w:rPr>
          <w:rFonts w:cs="Arial"/>
        </w:rPr>
      </w:pPr>
      <w:r w:rsidRPr="008E7EBD">
        <w:rPr>
          <w:rFonts w:cs="Arial"/>
        </w:rPr>
        <w:t>The key metrics are outlined below:</w:t>
      </w:r>
    </w:p>
    <w:tbl>
      <w:tblPr>
        <w:tblStyle w:val="TableGrid2"/>
        <w:tblW w:w="0" w:type="auto"/>
        <w:tblInd w:w="0" w:type="dxa"/>
        <w:tblLook w:val="04A0" w:firstRow="1" w:lastRow="0" w:firstColumn="1" w:lastColumn="0" w:noHBand="0" w:noVBand="1"/>
      </w:tblPr>
      <w:tblGrid>
        <w:gridCol w:w="3071"/>
        <w:gridCol w:w="2916"/>
        <w:gridCol w:w="3039"/>
      </w:tblGrid>
      <w:tr w:rsidR="00C77728" w:rsidRPr="004428ED" w14:paraId="0C01813F" w14:textId="77777777" w:rsidTr="00C66AE8">
        <w:trPr>
          <w:cnfStyle w:val="100000000000" w:firstRow="1" w:lastRow="0" w:firstColumn="0" w:lastColumn="0" w:oddVBand="0" w:evenVBand="0" w:oddHBand="0" w:evenHBand="0" w:firstRowFirstColumn="0" w:firstRowLastColumn="0" w:lastRowFirstColumn="0" w:lastRowLastColumn="0"/>
        </w:trPr>
        <w:tc>
          <w:tcPr>
            <w:tcW w:w="3071" w:type="dxa"/>
            <w:tcBorders>
              <w:top w:val="single" w:sz="4" w:space="0" w:color="7599BB"/>
              <w:left w:val="nil"/>
              <w:bottom w:val="single" w:sz="4" w:space="0" w:color="7599BB"/>
              <w:right w:val="single" w:sz="4" w:space="0" w:color="7599BB"/>
            </w:tcBorders>
            <w:hideMark/>
          </w:tcPr>
          <w:p w14:paraId="3D4D267C" w14:textId="14687B9A" w:rsidR="00C66AE8" w:rsidRPr="004428ED" w:rsidRDefault="00C66AE8" w:rsidP="00C66AE8">
            <w:pPr>
              <w:spacing w:after="0" w:line="240" w:lineRule="auto"/>
              <w:rPr>
                <w:rFonts w:asciiTheme="minorHAnsi" w:hAnsiTheme="minorHAnsi"/>
                <w:b/>
                <w:bCs/>
              </w:rPr>
            </w:pPr>
            <w:r w:rsidRPr="004428ED">
              <w:rPr>
                <w:rFonts w:asciiTheme="minorHAnsi" w:hAnsiTheme="minorHAnsi"/>
                <w:b/>
                <w:bCs/>
              </w:rPr>
              <w:t>Targets</w:t>
            </w:r>
          </w:p>
        </w:tc>
        <w:tc>
          <w:tcPr>
            <w:tcW w:w="2916" w:type="dxa"/>
            <w:tcBorders>
              <w:top w:val="single" w:sz="4" w:space="0" w:color="7599BB"/>
              <w:left w:val="single" w:sz="4" w:space="0" w:color="7599BB"/>
              <w:bottom w:val="single" w:sz="4" w:space="0" w:color="7599BB"/>
              <w:right w:val="single" w:sz="4" w:space="0" w:color="7599BB"/>
            </w:tcBorders>
            <w:hideMark/>
          </w:tcPr>
          <w:p w14:paraId="53CA395D" w14:textId="77777777" w:rsidR="00C66AE8" w:rsidRPr="004428ED" w:rsidRDefault="00C66AE8" w:rsidP="00C66AE8">
            <w:pPr>
              <w:spacing w:after="0" w:line="240" w:lineRule="auto"/>
              <w:rPr>
                <w:rFonts w:asciiTheme="minorHAnsi" w:hAnsiTheme="minorHAnsi"/>
                <w:b/>
                <w:bCs/>
              </w:rPr>
            </w:pPr>
            <w:r w:rsidRPr="004428ED">
              <w:rPr>
                <w:rFonts w:asciiTheme="minorHAnsi" w:hAnsiTheme="minorHAnsi"/>
                <w:b/>
                <w:bCs/>
              </w:rPr>
              <w:t>Milestones and deliverables</w:t>
            </w:r>
          </w:p>
        </w:tc>
        <w:tc>
          <w:tcPr>
            <w:tcW w:w="3039" w:type="dxa"/>
            <w:tcBorders>
              <w:top w:val="single" w:sz="4" w:space="0" w:color="7599BB"/>
              <w:left w:val="single" w:sz="4" w:space="0" w:color="7599BB"/>
              <w:bottom w:val="single" w:sz="4" w:space="0" w:color="7599BB"/>
              <w:right w:val="nil"/>
            </w:tcBorders>
            <w:hideMark/>
          </w:tcPr>
          <w:p w14:paraId="10078838" w14:textId="77777777" w:rsidR="00C66AE8" w:rsidRPr="004428ED" w:rsidRDefault="00C66AE8" w:rsidP="00C66AE8">
            <w:pPr>
              <w:spacing w:after="0" w:line="240" w:lineRule="auto"/>
              <w:rPr>
                <w:rFonts w:asciiTheme="minorHAnsi" w:hAnsiTheme="minorHAnsi"/>
                <w:b/>
                <w:bCs/>
              </w:rPr>
            </w:pPr>
            <w:r w:rsidRPr="004428ED">
              <w:rPr>
                <w:rFonts w:asciiTheme="minorHAnsi" w:hAnsiTheme="minorHAnsi"/>
                <w:b/>
                <w:bCs/>
              </w:rPr>
              <w:t>Metrics and outcomes</w:t>
            </w:r>
          </w:p>
        </w:tc>
      </w:tr>
      <w:tr w:rsidR="00C66AE8" w:rsidRPr="004428ED" w14:paraId="09D608A7" w14:textId="77777777" w:rsidTr="00282634">
        <w:tc>
          <w:tcPr>
            <w:tcW w:w="0" w:type="dxa"/>
            <w:tcBorders>
              <w:top w:val="single" w:sz="4" w:space="0" w:color="7599BB"/>
              <w:left w:val="nil"/>
              <w:bottom w:val="single" w:sz="4" w:space="0" w:color="7599BB"/>
              <w:right w:val="single" w:sz="4" w:space="0" w:color="7599BB"/>
            </w:tcBorders>
            <w:hideMark/>
          </w:tcPr>
          <w:p w14:paraId="30C80A81" w14:textId="74083F36" w:rsidR="00C66AE8" w:rsidRPr="004428ED" w:rsidRDefault="009A1DC2" w:rsidP="00C66AE8">
            <w:pPr>
              <w:spacing w:after="0" w:line="240" w:lineRule="auto"/>
              <w:rPr>
                <w:rFonts w:asciiTheme="minorHAnsi" w:hAnsiTheme="minorHAnsi"/>
                <w:sz w:val="20"/>
                <w:lang w:val="en-US"/>
              </w:rPr>
            </w:pPr>
            <w:r w:rsidRPr="004428ED">
              <w:rPr>
                <w:rFonts w:asciiTheme="minorHAnsi" w:hAnsiTheme="minorHAnsi"/>
              </w:rPr>
              <w:t>There is certainty in h</w:t>
            </w:r>
            <w:r w:rsidR="00C66AE8" w:rsidRPr="004428ED">
              <w:rPr>
                <w:rFonts w:asciiTheme="minorHAnsi" w:hAnsiTheme="minorHAnsi"/>
              </w:rPr>
              <w:t>istorical debts calculated using income apportionment</w:t>
            </w:r>
            <w:r w:rsidR="00C66AE8" w:rsidRPr="004428ED" w:rsidDel="009A1DC2">
              <w:rPr>
                <w:rFonts w:asciiTheme="minorHAnsi" w:hAnsiTheme="minorHAnsi"/>
              </w:rPr>
              <w:t xml:space="preserve"> </w:t>
            </w:r>
          </w:p>
        </w:tc>
        <w:tc>
          <w:tcPr>
            <w:tcW w:w="0" w:type="dxa"/>
            <w:tcBorders>
              <w:top w:val="single" w:sz="4" w:space="0" w:color="7599BB"/>
              <w:left w:val="single" w:sz="4" w:space="0" w:color="7599BB"/>
              <w:bottom w:val="single" w:sz="4" w:space="0" w:color="7599BB"/>
              <w:right w:val="single" w:sz="4" w:space="0" w:color="7599BB"/>
            </w:tcBorders>
          </w:tcPr>
          <w:p w14:paraId="0547CEAF" w14:textId="10CA5A1B" w:rsidR="00C66AE8" w:rsidRPr="004428ED" w:rsidRDefault="009A1DC2" w:rsidP="00C66AE8">
            <w:pPr>
              <w:spacing w:after="0" w:line="240" w:lineRule="auto"/>
              <w:rPr>
                <w:rFonts w:asciiTheme="minorHAnsi" w:hAnsiTheme="minorHAnsi"/>
              </w:rPr>
            </w:pPr>
            <w:r w:rsidRPr="004428ED">
              <w:rPr>
                <w:rFonts w:asciiTheme="minorHAnsi" w:hAnsiTheme="minorHAnsi"/>
              </w:rPr>
              <w:t xml:space="preserve">Legislation is developed </w:t>
            </w:r>
          </w:p>
          <w:p w14:paraId="2ED0BE8E" w14:textId="77777777" w:rsidR="00C66AE8" w:rsidRPr="004428ED" w:rsidRDefault="00C66AE8" w:rsidP="00C66AE8">
            <w:pPr>
              <w:spacing w:after="0" w:line="240" w:lineRule="auto"/>
              <w:rPr>
                <w:rFonts w:asciiTheme="minorHAnsi" w:hAnsiTheme="minorHAnsi"/>
              </w:rPr>
            </w:pPr>
          </w:p>
          <w:p w14:paraId="192B2328" w14:textId="3DEF7D0C" w:rsidR="00C66AE8" w:rsidRPr="004428ED" w:rsidRDefault="00C66AE8" w:rsidP="00C66AE8">
            <w:pPr>
              <w:spacing w:after="0" w:line="240" w:lineRule="auto"/>
              <w:rPr>
                <w:rFonts w:asciiTheme="minorHAnsi" w:hAnsiTheme="minorHAnsi"/>
              </w:rPr>
            </w:pPr>
            <w:r w:rsidRPr="004428ED">
              <w:rPr>
                <w:rFonts w:asciiTheme="minorHAnsi" w:hAnsiTheme="minorHAnsi"/>
              </w:rPr>
              <w:t xml:space="preserve">Communication material supporting the legislation is prepared and used to inform stakeholders about the change. </w:t>
            </w:r>
          </w:p>
          <w:p w14:paraId="69AB4D2B" w14:textId="77777777" w:rsidR="00C66AE8" w:rsidRPr="004428ED" w:rsidRDefault="00C66AE8" w:rsidP="00E814FB">
            <w:pPr>
              <w:spacing w:after="0" w:line="240" w:lineRule="auto"/>
              <w:rPr>
                <w:rFonts w:asciiTheme="minorHAnsi" w:hAnsiTheme="minorHAnsi"/>
                <w:b/>
                <w:u w:val="single"/>
              </w:rPr>
            </w:pPr>
          </w:p>
        </w:tc>
        <w:tc>
          <w:tcPr>
            <w:tcW w:w="0" w:type="dxa"/>
            <w:tcBorders>
              <w:top w:val="single" w:sz="4" w:space="0" w:color="7599BB"/>
              <w:left w:val="single" w:sz="4" w:space="0" w:color="7599BB"/>
              <w:bottom w:val="single" w:sz="4" w:space="0" w:color="7599BB"/>
              <w:right w:val="nil"/>
            </w:tcBorders>
          </w:tcPr>
          <w:p w14:paraId="6BBC65BA" w14:textId="6D53A9DC" w:rsidR="00C66AE8" w:rsidRPr="004428ED" w:rsidRDefault="009A1DC2" w:rsidP="00C66AE8">
            <w:pPr>
              <w:spacing w:after="0" w:line="240" w:lineRule="auto"/>
              <w:rPr>
                <w:rFonts w:asciiTheme="minorHAnsi" w:hAnsiTheme="minorHAnsi"/>
                <w:sz w:val="20"/>
              </w:rPr>
            </w:pPr>
            <w:r w:rsidRPr="004428ED">
              <w:rPr>
                <w:rFonts w:asciiTheme="minorHAnsi" w:hAnsiTheme="minorHAnsi"/>
              </w:rPr>
              <w:t>The legislation is passed by the Parliament</w:t>
            </w:r>
            <w:r w:rsidR="00C66AE8" w:rsidRPr="004428ED">
              <w:rPr>
                <w:rFonts w:asciiTheme="minorHAnsi" w:hAnsiTheme="minorHAnsi"/>
              </w:rPr>
              <w:t>.</w:t>
            </w:r>
          </w:p>
          <w:p w14:paraId="35977B1F" w14:textId="77777777" w:rsidR="00C66AE8" w:rsidRPr="004428ED" w:rsidRDefault="00C66AE8" w:rsidP="00C66AE8">
            <w:pPr>
              <w:spacing w:after="0" w:line="240" w:lineRule="auto"/>
              <w:rPr>
                <w:rFonts w:asciiTheme="minorHAnsi" w:hAnsiTheme="minorHAnsi"/>
              </w:rPr>
            </w:pPr>
          </w:p>
          <w:p w14:paraId="33F99BAD" w14:textId="77777777" w:rsidR="00C66AE8" w:rsidRPr="004428ED" w:rsidRDefault="00C66AE8" w:rsidP="008F4FE3">
            <w:pPr>
              <w:spacing w:after="0" w:line="240" w:lineRule="auto"/>
              <w:rPr>
                <w:rFonts w:asciiTheme="minorHAnsi" w:hAnsiTheme="minorHAnsi"/>
                <w:b/>
                <w:u w:val="single"/>
              </w:rPr>
            </w:pPr>
          </w:p>
        </w:tc>
      </w:tr>
      <w:tr w:rsidR="00282634" w:rsidRPr="004428ED" w14:paraId="456FE1EA" w14:textId="77777777" w:rsidTr="00282634">
        <w:tc>
          <w:tcPr>
            <w:tcW w:w="0" w:type="dxa"/>
            <w:tcBorders>
              <w:top w:val="single" w:sz="4" w:space="0" w:color="7599BB"/>
              <w:left w:val="nil"/>
              <w:bottom w:val="single" w:sz="4" w:space="0" w:color="7599BB"/>
              <w:right w:val="single" w:sz="4" w:space="0" w:color="7599BB"/>
            </w:tcBorders>
          </w:tcPr>
          <w:p w14:paraId="0B1CFF6F" w14:textId="5735ABAA" w:rsidR="00282634" w:rsidRPr="004428ED" w:rsidRDefault="00282634" w:rsidP="00C66AE8">
            <w:pPr>
              <w:spacing w:after="0" w:line="240" w:lineRule="auto"/>
              <w:rPr>
                <w:rFonts w:asciiTheme="minorHAnsi" w:hAnsiTheme="minorHAnsi"/>
              </w:rPr>
            </w:pPr>
            <w:r w:rsidRPr="004428ED">
              <w:rPr>
                <w:rFonts w:asciiTheme="minorHAnsi" w:hAnsiTheme="minorHAnsi"/>
              </w:rPr>
              <w:t xml:space="preserve">The </w:t>
            </w:r>
            <w:r w:rsidR="00135693" w:rsidRPr="004428ED">
              <w:rPr>
                <w:rFonts w:asciiTheme="minorHAnsi" w:hAnsiTheme="minorHAnsi"/>
              </w:rPr>
              <w:t>resolution scheme</w:t>
            </w:r>
            <w:r w:rsidRPr="004428ED">
              <w:rPr>
                <w:rFonts w:asciiTheme="minorHAnsi" w:hAnsiTheme="minorHAnsi"/>
              </w:rPr>
              <w:t xml:space="preserve"> is established without delay or error.</w:t>
            </w:r>
          </w:p>
        </w:tc>
        <w:tc>
          <w:tcPr>
            <w:tcW w:w="0" w:type="dxa"/>
            <w:tcBorders>
              <w:top w:val="single" w:sz="4" w:space="0" w:color="7599BB"/>
              <w:left w:val="single" w:sz="4" w:space="0" w:color="7599BB"/>
              <w:bottom w:val="single" w:sz="4" w:space="0" w:color="7599BB"/>
              <w:right w:val="single" w:sz="4" w:space="0" w:color="7599BB"/>
            </w:tcBorders>
          </w:tcPr>
          <w:p w14:paraId="5D68B128" w14:textId="77777777" w:rsidR="00282634" w:rsidRPr="004428ED" w:rsidRDefault="00282634" w:rsidP="00282634">
            <w:pPr>
              <w:spacing w:after="0" w:line="240" w:lineRule="auto"/>
              <w:rPr>
                <w:rFonts w:asciiTheme="minorHAnsi" w:hAnsiTheme="minorHAnsi"/>
                <w:bCs/>
              </w:rPr>
            </w:pPr>
            <w:r w:rsidRPr="004428ED">
              <w:rPr>
                <w:rFonts w:asciiTheme="minorHAnsi" w:hAnsiTheme="minorHAnsi"/>
              </w:rPr>
              <w:t>Legislation is developed to allow the s</w:t>
            </w:r>
            <w:r w:rsidRPr="004428ED">
              <w:rPr>
                <w:rFonts w:asciiTheme="minorHAnsi" w:hAnsiTheme="minorHAnsi"/>
                <w:bCs/>
              </w:rPr>
              <w:t>cheme to open for applications by January 2026.</w:t>
            </w:r>
          </w:p>
          <w:p w14:paraId="146125E6" w14:textId="77777777" w:rsidR="00282634" w:rsidRPr="004428ED" w:rsidRDefault="00282634" w:rsidP="00282634">
            <w:pPr>
              <w:spacing w:after="0" w:line="240" w:lineRule="auto"/>
              <w:rPr>
                <w:rFonts w:asciiTheme="minorHAnsi" w:hAnsiTheme="minorHAnsi"/>
                <w:bCs/>
              </w:rPr>
            </w:pPr>
          </w:p>
          <w:p w14:paraId="727FF14E" w14:textId="77777777" w:rsidR="00282634" w:rsidRPr="004428ED" w:rsidDel="009A1DC2" w:rsidRDefault="00282634" w:rsidP="00C66AE8">
            <w:pPr>
              <w:spacing w:after="0" w:line="240" w:lineRule="auto"/>
              <w:rPr>
                <w:rFonts w:asciiTheme="minorHAnsi" w:hAnsiTheme="minorHAnsi"/>
              </w:rPr>
            </w:pPr>
          </w:p>
        </w:tc>
        <w:tc>
          <w:tcPr>
            <w:tcW w:w="0" w:type="dxa"/>
            <w:tcBorders>
              <w:top w:val="single" w:sz="4" w:space="0" w:color="7599BB"/>
              <w:left w:val="single" w:sz="4" w:space="0" w:color="7599BB"/>
              <w:bottom w:val="single" w:sz="4" w:space="0" w:color="7599BB"/>
              <w:right w:val="nil"/>
            </w:tcBorders>
          </w:tcPr>
          <w:p w14:paraId="31592F14" w14:textId="202576CF" w:rsidR="00282634" w:rsidRPr="004428ED" w:rsidDel="009A1DC2" w:rsidRDefault="00F8327B" w:rsidP="00C66AE8">
            <w:pPr>
              <w:spacing w:after="0" w:line="240" w:lineRule="auto"/>
              <w:rPr>
                <w:rFonts w:asciiTheme="minorHAnsi" w:hAnsiTheme="minorHAnsi"/>
              </w:rPr>
            </w:pPr>
            <w:r w:rsidRPr="004428ED">
              <w:rPr>
                <w:rFonts w:asciiTheme="minorHAnsi" w:hAnsiTheme="minorHAnsi"/>
              </w:rPr>
              <w:t>The legislation is passed by the Parliament</w:t>
            </w:r>
            <w:r w:rsidR="00B95A61" w:rsidRPr="004428ED">
              <w:rPr>
                <w:rFonts w:asciiTheme="minorHAnsi" w:hAnsiTheme="minorHAnsi"/>
              </w:rPr>
              <w:t xml:space="preserve"> and the scheme opens for applications.</w:t>
            </w:r>
          </w:p>
        </w:tc>
      </w:tr>
      <w:tr w:rsidR="00282634" w:rsidRPr="004428ED" w14:paraId="1CCABA52" w14:textId="77777777" w:rsidTr="00282634">
        <w:tc>
          <w:tcPr>
            <w:tcW w:w="0" w:type="dxa"/>
            <w:tcBorders>
              <w:top w:val="single" w:sz="4" w:space="0" w:color="7599BB"/>
              <w:left w:val="nil"/>
              <w:bottom w:val="single" w:sz="4" w:space="0" w:color="7599BB"/>
              <w:right w:val="single" w:sz="4" w:space="0" w:color="7599BB"/>
            </w:tcBorders>
          </w:tcPr>
          <w:p w14:paraId="6C23636D" w14:textId="5A13FE86" w:rsidR="00282634" w:rsidRPr="004428ED" w:rsidRDefault="00F8327B" w:rsidP="00C66AE8">
            <w:pPr>
              <w:spacing w:after="0" w:line="240" w:lineRule="auto"/>
              <w:rPr>
                <w:rFonts w:asciiTheme="minorHAnsi" w:hAnsiTheme="minorHAnsi"/>
              </w:rPr>
            </w:pPr>
            <w:r w:rsidRPr="004428ED">
              <w:rPr>
                <w:rFonts w:asciiTheme="minorHAnsi" w:hAnsiTheme="minorHAnsi"/>
              </w:rPr>
              <w:t>People can easily apply for the scheme within the 1-year timeframe and receive reparation.</w:t>
            </w:r>
          </w:p>
        </w:tc>
        <w:tc>
          <w:tcPr>
            <w:tcW w:w="0" w:type="dxa"/>
            <w:tcBorders>
              <w:top w:val="single" w:sz="4" w:space="0" w:color="7599BB"/>
              <w:left w:val="single" w:sz="4" w:space="0" w:color="7599BB"/>
              <w:bottom w:val="single" w:sz="4" w:space="0" w:color="7599BB"/>
              <w:right w:val="single" w:sz="4" w:space="0" w:color="7599BB"/>
            </w:tcBorders>
          </w:tcPr>
          <w:p w14:paraId="66EFA783" w14:textId="24AEA50B" w:rsidR="00AC1902" w:rsidRPr="004428ED" w:rsidRDefault="00AC1902" w:rsidP="00AC1902">
            <w:pPr>
              <w:spacing w:after="0" w:line="240" w:lineRule="auto"/>
              <w:rPr>
                <w:rFonts w:asciiTheme="minorHAnsi" w:hAnsiTheme="minorHAnsi"/>
                <w:sz w:val="20"/>
              </w:rPr>
            </w:pPr>
            <w:r w:rsidRPr="004428ED">
              <w:rPr>
                <w:rFonts w:asciiTheme="minorHAnsi" w:hAnsiTheme="minorHAnsi"/>
              </w:rPr>
              <w:t>Communication material supporting the legislation and scheme is prepared and used to inform</w:t>
            </w:r>
            <w:r w:rsidR="00FB0194" w:rsidRPr="004428ED">
              <w:rPr>
                <w:rFonts w:asciiTheme="minorHAnsi" w:hAnsiTheme="minorHAnsi"/>
              </w:rPr>
              <w:t xml:space="preserve"> </w:t>
            </w:r>
            <w:r w:rsidR="00600271" w:rsidRPr="004428ED">
              <w:rPr>
                <w:rFonts w:asciiTheme="minorHAnsi" w:hAnsiTheme="minorHAnsi"/>
              </w:rPr>
              <w:t>people</w:t>
            </w:r>
            <w:r w:rsidR="0037415C" w:rsidRPr="004428ED">
              <w:rPr>
                <w:rFonts w:asciiTheme="minorHAnsi" w:hAnsiTheme="minorHAnsi"/>
              </w:rPr>
              <w:t xml:space="preserve"> about the</w:t>
            </w:r>
            <w:r w:rsidR="00885517" w:rsidRPr="004428ED">
              <w:rPr>
                <w:rFonts w:asciiTheme="minorHAnsi" w:hAnsiTheme="minorHAnsi"/>
              </w:rPr>
              <w:t xml:space="preserve"> scheme and application process.</w:t>
            </w:r>
          </w:p>
          <w:p w14:paraId="24AA3C9E" w14:textId="77777777" w:rsidR="00282634" w:rsidRPr="004428ED" w:rsidDel="009A1DC2" w:rsidRDefault="00282634" w:rsidP="00C66AE8">
            <w:pPr>
              <w:spacing w:after="0" w:line="240" w:lineRule="auto"/>
              <w:rPr>
                <w:rFonts w:asciiTheme="minorHAnsi" w:hAnsiTheme="minorHAnsi"/>
              </w:rPr>
            </w:pPr>
          </w:p>
        </w:tc>
        <w:tc>
          <w:tcPr>
            <w:tcW w:w="0" w:type="dxa"/>
            <w:tcBorders>
              <w:top w:val="single" w:sz="4" w:space="0" w:color="7599BB"/>
              <w:left w:val="single" w:sz="4" w:space="0" w:color="7599BB"/>
              <w:bottom w:val="single" w:sz="4" w:space="0" w:color="7599BB"/>
              <w:right w:val="nil"/>
            </w:tcBorders>
          </w:tcPr>
          <w:p w14:paraId="352E5C1C" w14:textId="57061AC5" w:rsidR="00255D3C" w:rsidRPr="004428ED" w:rsidRDefault="00255D3C" w:rsidP="00255D3C">
            <w:pPr>
              <w:spacing w:after="0" w:line="240" w:lineRule="auto"/>
              <w:rPr>
                <w:rFonts w:asciiTheme="minorHAnsi" w:hAnsiTheme="minorHAnsi"/>
                <w:b/>
                <w:u w:val="single"/>
              </w:rPr>
            </w:pPr>
            <w:r w:rsidRPr="004428ED">
              <w:rPr>
                <w:rFonts w:asciiTheme="minorHAnsi" w:hAnsiTheme="minorHAnsi"/>
              </w:rPr>
              <w:t xml:space="preserve">Data shows the </w:t>
            </w:r>
            <w:r w:rsidR="00135693" w:rsidRPr="004428ED">
              <w:rPr>
                <w:rFonts w:asciiTheme="minorHAnsi" w:hAnsiTheme="minorHAnsi"/>
              </w:rPr>
              <w:t>resolution scheme</w:t>
            </w:r>
            <w:r w:rsidRPr="004428ED">
              <w:rPr>
                <w:rFonts w:asciiTheme="minorHAnsi" w:hAnsiTheme="minorHAnsi"/>
              </w:rPr>
              <w:t xml:space="preserve"> is being used and reparation is being paid to individuals. </w:t>
            </w:r>
          </w:p>
          <w:p w14:paraId="31E44228" w14:textId="77777777" w:rsidR="00282634" w:rsidRPr="004428ED" w:rsidDel="009A1DC2" w:rsidRDefault="00282634" w:rsidP="00C66AE8">
            <w:pPr>
              <w:spacing w:after="0" w:line="240" w:lineRule="auto"/>
              <w:rPr>
                <w:rFonts w:asciiTheme="minorHAnsi" w:hAnsiTheme="minorHAnsi"/>
              </w:rPr>
            </w:pPr>
          </w:p>
        </w:tc>
      </w:tr>
      <w:tr w:rsidR="00282634" w:rsidRPr="004428ED" w14:paraId="22CDF9B1" w14:textId="77777777" w:rsidTr="00282634">
        <w:tc>
          <w:tcPr>
            <w:tcW w:w="0" w:type="dxa"/>
            <w:tcBorders>
              <w:top w:val="single" w:sz="4" w:space="0" w:color="7599BB"/>
              <w:left w:val="nil"/>
              <w:bottom w:val="single" w:sz="4" w:space="0" w:color="7599BB"/>
              <w:right w:val="single" w:sz="4" w:space="0" w:color="7599BB"/>
            </w:tcBorders>
          </w:tcPr>
          <w:p w14:paraId="3ABAA067" w14:textId="2E22EC2F" w:rsidR="00282634" w:rsidRPr="004428ED" w:rsidRDefault="00885517" w:rsidP="00C66AE8">
            <w:pPr>
              <w:spacing w:after="0" w:line="240" w:lineRule="auto"/>
              <w:rPr>
                <w:rFonts w:asciiTheme="minorHAnsi" w:hAnsiTheme="minorHAnsi"/>
              </w:rPr>
            </w:pPr>
            <w:r w:rsidRPr="004428ED">
              <w:rPr>
                <w:rFonts w:asciiTheme="minorHAnsi" w:hAnsiTheme="minorHAnsi"/>
              </w:rPr>
              <w:t>Services Australia can process all applications</w:t>
            </w:r>
            <w:r w:rsidR="00B95A61" w:rsidRPr="004428ED">
              <w:rPr>
                <w:rFonts w:asciiTheme="minorHAnsi" w:hAnsiTheme="minorHAnsi"/>
              </w:rPr>
              <w:t xml:space="preserve"> by June 2029</w:t>
            </w:r>
            <w:r w:rsidR="00E06A15" w:rsidRPr="004428ED">
              <w:rPr>
                <w:rFonts w:asciiTheme="minorHAnsi" w:hAnsiTheme="minorHAnsi"/>
              </w:rPr>
              <w:t>, depending on uptake</w:t>
            </w:r>
            <w:r w:rsidR="00B95A61" w:rsidRPr="004428ED">
              <w:rPr>
                <w:rFonts w:asciiTheme="minorHAnsi" w:hAnsiTheme="minorHAnsi"/>
              </w:rPr>
              <w:t>.</w:t>
            </w:r>
          </w:p>
        </w:tc>
        <w:tc>
          <w:tcPr>
            <w:tcW w:w="0" w:type="dxa"/>
            <w:tcBorders>
              <w:top w:val="single" w:sz="4" w:space="0" w:color="7599BB"/>
              <w:left w:val="single" w:sz="4" w:space="0" w:color="7599BB"/>
              <w:bottom w:val="single" w:sz="4" w:space="0" w:color="7599BB"/>
              <w:right w:val="single" w:sz="4" w:space="0" w:color="7599BB"/>
            </w:tcBorders>
          </w:tcPr>
          <w:p w14:paraId="24A85FAB" w14:textId="77777777" w:rsidR="00282634" w:rsidRPr="004428ED" w:rsidDel="009A1DC2" w:rsidRDefault="00282634" w:rsidP="00C66AE8">
            <w:pPr>
              <w:spacing w:after="0" w:line="240" w:lineRule="auto"/>
              <w:rPr>
                <w:rFonts w:asciiTheme="minorHAnsi" w:hAnsiTheme="minorHAnsi"/>
              </w:rPr>
            </w:pPr>
          </w:p>
        </w:tc>
        <w:tc>
          <w:tcPr>
            <w:tcW w:w="0" w:type="dxa"/>
            <w:tcBorders>
              <w:top w:val="single" w:sz="4" w:space="0" w:color="7599BB"/>
              <w:left w:val="single" w:sz="4" w:space="0" w:color="7599BB"/>
              <w:bottom w:val="single" w:sz="4" w:space="0" w:color="7599BB"/>
              <w:right w:val="nil"/>
            </w:tcBorders>
          </w:tcPr>
          <w:p w14:paraId="6A6AEB33" w14:textId="2D7FAE64" w:rsidR="00282634" w:rsidRPr="004428ED" w:rsidDel="009A1DC2" w:rsidRDefault="00885517" w:rsidP="00C66AE8">
            <w:pPr>
              <w:spacing w:after="0" w:line="240" w:lineRule="auto"/>
              <w:rPr>
                <w:rFonts w:asciiTheme="minorHAnsi" w:hAnsiTheme="minorHAnsi"/>
              </w:rPr>
            </w:pPr>
            <w:r w:rsidRPr="004428ED">
              <w:rPr>
                <w:rFonts w:asciiTheme="minorHAnsi" w:hAnsiTheme="minorHAnsi"/>
              </w:rPr>
              <w:t>Regular reporting on application processing and inflow. Timeliness for reviews of scheme decisions and reparation are within parameters.</w:t>
            </w:r>
          </w:p>
        </w:tc>
      </w:tr>
    </w:tbl>
    <w:p w14:paraId="3FC2D923" w14:textId="21CFCE2E" w:rsidR="008F4FE3" w:rsidRPr="004428ED" w:rsidRDefault="008F4FE3" w:rsidP="00CA75B0">
      <w:pPr>
        <w:rPr>
          <w:rFonts w:cs="Arial"/>
        </w:rPr>
      </w:pPr>
    </w:p>
    <w:p w14:paraId="7CA2B2EB" w14:textId="2A8FBB42" w:rsidR="00113544" w:rsidRDefault="00113544" w:rsidP="002C237E">
      <w:pPr>
        <w:pStyle w:val="Heading3"/>
      </w:pPr>
      <w:r>
        <w:lastRenderedPageBreak/>
        <w:t>Lawfulness</w:t>
      </w:r>
    </w:p>
    <w:p w14:paraId="72FDB209" w14:textId="1F2E7D5C" w:rsidR="008F4FE3" w:rsidRDefault="008F4FE3" w:rsidP="008F4FE3">
      <w:pPr>
        <w:pStyle w:val="CAB-NumberedParagraph"/>
        <w:spacing w:before="0" w:after="160" w:line="264" w:lineRule="auto"/>
        <w:ind w:left="0" w:firstLine="0"/>
        <w:rPr>
          <w:rFonts w:asciiTheme="minorHAnsi" w:eastAsiaTheme="minorEastAsia" w:hAnsiTheme="minorHAnsi"/>
          <w:szCs w:val="21"/>
        </w:rPr>
      </w:pPr>
      <w:r>
        <w:rPr>
          <w:rFonts w:asciiTheme="minorHAnsi" w:eastAsiaTheme="minorEastAsia" w:hAnsiTheme="minorHAnsi"/>
          <w:szCs w:val="21"/>
        </w:rPr>
        <w:t>The effectiveness of the retrospective legislation will be determined by how well it is able to validate and resolve the issue of income apportionment. The legislation needs to be drafted to ensure that the proper effect of validating the use of income apportionment is understood and can be applied both to known historical debts potentially affected by income apportionment, as well as possible future debts which may be raised. Success in this context would be avoiding further legislative change</w:t>
      </w:r>
      <w:r w:rsidDel="00D44818">
        <w:rPr>
          <w:rFonts w:asciiTheme="minorHAnsi" w:eastAsiaTheme="minorEastAsia" w:hAnsiTheme="minorHAnsi"/>
          <w:szCs w:val="21"/>
        </w:rPr>
        <w:t xml:space="preserve"> </w:t>
      </w:r>
      <w:r>
        <w:rPr>
          <w:rFonts w:asciiTheme="minorHAnsi" w:eastAsiaTheme="minorEastAsia" w:hAnsiTheme="minorHAnsi"/>
          <w:szCs w:val="21"/>
        </w:rPr>
        <w:t xml:space="preserve">or challenge from review bodies who find the new legislation unsatisfactory. </w:t>
      </w:r>
    </w:p>
    <w:p w14:paraId="6F0842ED" w14:textId="7E58174B" w:rsidR="00E814FB" w:rsidRDefault="00E814FB" w:rsidP="008F4FE3">
      <w:pPr>
        <w:pStyle w:val="CAB-NumberedParagraph"/>
        <w:spacing w:before="0" w:after="160" w:line="264" w:lineRule="auto"/>
        <w:ind w:left="0" w:firstLine="0"/>
        <w:rPr>
          <w:rFonts w:asciiTheme="minorHAnsi" w:eastAsiaTheme="minorEastAsia" w:hAnsiTheme="minorHAnsi"/>
          <w:szCs w:val="21"/>
        </w:rPr>
      </w:pPr>
      <w:r>
        <w:rPr>
          <w:rFonts w:asciiTheme="minorHAnsi" w:eastAsiaTheme="minorEastAsia" w:hAnsiTheme="minorHAnsi"/>
          <w:szCs w:val="21"/>
        </w:rPr>
        <w:t xml:space="preserve">The effectiveness of the </w:t>
      </w:r>
      <w:r w:rsidR="00135693">
        <w:rPr>
          <w:rFonts w:asciiTheme="minorHAnsi" w:eastAsiaTheme="minorEastAsia" w:hAnsiTheme="minorHAnsi"/>
          <w:szCs w:val="21"/>
        </w:rPr>
        <w:t>resolution scheme</w:t>
      </w:r>
      <w:r>
        <w:rPr>
          <w:rFonts w:asciiTheme="minorHAnsi" w:eastAsiaTheme="minorEastAsia" w:hAnsiTheme="minorHAnsi"/>
          <w:szCs w:val="21"/>
        </w:rPr>
        <w:t xml:space="preserve"> will also be contingent on well-drafted legislative provisions.</w:t>
      </w:r>
    </w:p>
    <w:p w14:paraId="0440CE0B" w14:textId="348EE7C2" w:rsidR="003509B9" w:rsidRDefault="003509B9" w:rsidP="003509B9">
      <w:pPr>
        <w:pStyle w:val="Heading3"/>
      </w:pPr>
      <w:r w:rsidRPr="007846E5">
        <w:t>Fairness</w:t>
      </w:r>
    </w:p>
    <w:p w14:paraId="4FF01D07" w14:textId="7324AE3E" w:rsidR="001B6AA7" w:rsidRDefault="00853C57" w:rsidP="00C20C00">
      <w:r>
        <w:t xml:space="preserve">Stakeholder opinion will </w:t>
      </w:r>
      <w:r w:rsidR="00016074">
        <w:t xml:space="preserve">provide the greatest indicator of </w:t>
      </w:r>
      <w:r w:rsidR="00AD55CA">
        <w:t>fairness</w:t>
      </w:r>
      <w:r w:rsidR="00016074">
        <w:t xml:space="preserve"> and will fundamentally determine whether the </w:t>
      </w:r>
      <w:r w:rsidR="00AD55CA">
        <w:t>approach involving retrospective legislation</w:t>
      </w:r>
      <w:r w:rsidR="008F4FE3">
        <w:t xml:space="preserve"> and a </w:t>
      </w:r>
      <w:r w:rsidR="00135693">
        <w:t>resolution scheme</w:t>
      </w:r>
      <w:r w:rsidR="00C66AE8">
        <w:t xml:space="preserve"> is</w:t>
      </w:r>
      <w:r w:rsidR="00AD55CA">
        <w:t xml:space="preserve"> ultimately successful.</w:t>
      </w:r>
      <w:r w:rsidR="008F4FE3" w:rsidRPr="008F4FE3">
        <w:t xml:space="preserve"> </w:t>
      </w:r>
    </w:p>
    <w:p w14:paraId="17ABDBFC" w14:textId="0E8BDC63" w:rsidR="008F4FE3" w:rsidRDefault="008F4FE3" w:rsidP="008F4FE3">
      <w:r>
        <w:t xml:space="preserve">The fairness of the </w:t>
      </w:r>
      <w:r w:rsidR="00135693">
        <w:t>resolution scheme</w:t>
      </w:r>
      <w:r>
        <w:t xml:space="preserve"> will be based on assessment of: </w:t>
      </w:r>
    </w:p>
    <w:p w14:paraId="3EB3E75D" w14:textId="2ABBC492" w:rsidR="00926EC3" w:rsidRPr="00926EC3" w:rsidRDefault="00926EC3" w:rsidP="001A7237">
      <w:pPr>
        <w:pStyle w:val="ListParagraph"/>
        <w:numPr>
          <w:ilvl w:val="0"/>
          <w:numId w:val="46"/>
        </w:numPr>
      </w:pPr>
      <w:r>
        <w:t>If Parliament passes the legislation.</w:t>
      </w:r>
    </w:p>
    <w:p w14:paraId="7FB65E49" w14:textId="2D1FF983" w:rsidR="001A7237" w:rsidRPr="001A7237" w:rsidRDefault="001A7237" w:rsidP="001A7237">
      <w:pPr>
        <w:pStyle w:val="ListParagraph"/>
        <w:numPr>
          <w:ilvl w:val="0"/>
          <w:numId w:val="46"/>
        </w:numPr>
      </w:pPr>
      <w:r>
        <w:rPr>
          <w:rFonts w:cs="Arial"/>
        </w:rPr>
        <w:t>Whether p</w:t>
      </w:r>
      <w:r w:rsidRPr="008E7EBD">
        <w:rPr>
          <w:rFonts w:cs="Arial"/>
        </w:rPr>
        <w:t xml:space="preserve">eople can easily apply for the scheme within the 1-year timeframe and </w:t>
      </w:r>
      <w:r>
        <w:rPr>
          <w:rFonts w:cs="Arial"/>
        </w:rPr>
        <w:t>receive reparation</w:t>
      </w:r>
      <w:r w:rsidRPr="008E7EBD">
        <w:rPr>
          <w:rFonts w:cs="Arial"/>
        </w:rPr>
        <w:t>.</w:t>
      </w:r>
    </w:p>
    <w:p w14:paraId="6CADF08B" w14:textId="77777777" w:rsidR="00C20C00" w:rsidRPr="00584A4A" w:rsidRDefault="001A7237" w:rsidP="001A7237">
      <w:pPr>
        <w:pStyle w:val="ListParagraph"/>
        <w:numPr>
          <w:ilvl w:val="0"/>
          <w:numId w:val="46"/>
        </w:numPr>
        <w:spacing w:after="0" w:line="240" w:lineRule="auto"/>
        <w:rPr>
          <w:rFonts w:cs="Arial"/>
          <w:sz w:val="20"/>
        </w:rPr>
      </w:pPr>
      <w:r>
        <w:rPr>
          <w:rFonts w:cs="Arial"/>
        </w:rPr>
        <w:t>If suitable c</w:t>
      </w:r>
      <w:r w:rsidRPr="001A7237">
        <w:rPr>
          <w:rFonts w:cs="Arial"/>
        </w:rPr>
        <w:t>ommunication material supporting the legislation and scheme is prepared and used to inform</w:t>
      </w:r>
      <w:r>
        <w:t xml:space="preserve"> people about the scheme and application process</w:t>
      </w:r>
      <w:r w:rsidR="00C20C00">
        <w:t>.</w:t>
      </w:r>
    </w:p>
    <w:p w14:paraId="49BE7AD4" w14:textId="5E7641C7" w:rsidR="001A7237" w:rsidRPr="00584A4A" w:rsidRDefault="001A7237" w:rsidP="00584A4A">
      <w:pPr>
        <w:pStyle w:val="ListParagraph"/>
        <w:numPr>
          <w:ilvl w:val="0"/>
          <w:numId w:val="46"/>
        </w:numPr>
        <w:spacing w:after="0" w:line="240" w:lineRule="auto"/>
        <w:rPr>
          <w:rFonts w:cs="Arial"/>
          <w:sz w:val="20"/>
        </w:rPr>
      </w:pPr>
      <w:r>
        <w:t>If</w:t>
      </w:r>
      <w:r w:rsidR="00C20C00">
        <w:t xml:space="preserve"> d</w:t>
      </w:r>
      <w:r w:rsidRPr="001A7237">
        <w:rPr>
          <w:rFonts w:cs="Arial"/>
        </w:rPr>
        <w:t xml:space="preserve">ata shows the </w:t>
      </w:r>
      <w:r w:rsidR="00135693">
        <w:rPr>
          <w:rFonts w:cs="Arial"/>
        </w:rPr>
        <w:t>resolution scheme</w:t>
      </w:r>
      <w:r w:rsidRPr="001A7237">
        <w:rPr>
          <w:rFonts w:cs="Arial"/>
        </w:rPr>
        <w:t xml:space="preserve"> is being used and reparation </w:t>
      </w:r>
      <w:r>
        <w:t xml:space="preserve">is </w:t>
      </w:r>
      <w:r w:rsidRPr="001A7237">
        <w:rPr>
          <w:rFonts w:cs="Arial"/>
        </w:rPr>
        <w:t xml:space="preserve">being paid to individuals. </w:t>
      </w:r>
    </w:p>
    <w:p w14:paraId="07DAE28D" w14:textId="77777777" w:rsidR="00DB4353" w:rsidRDefault="00DB4353" w:rsidP="008F4FE3"/>
    <w:p w14:paraId="3B074EDF" w14:textId="3B03EA42" w:rsidR="00756B4F" w:rsidRDefault="00756B4F" w:rsidP="007846E5">
      <w:pPr>
        <w:pStyle w:val="Heading3"/>
      </w:pPr>
      <w:r>
        <w:t>Timeliness</w:t>
      </w:r>
    </w:p>
    <w:p w14:paraId="30B0779F" w14:textId="498E30E4" w:rsidR="008F4FE3" w:rsidRDefault="008F4FE3" w:rsidP="008F4FE3">
      <w:r>
        <w:t xml:space="preserve">Ensuring the validation of income apportionment and the delivery of a </w:t>
      </w:r>
      <w:r w:rsidR="00135693">
        <w:t>resolution scheme</w:t>
      </w:r>
      <w:r>
        <w:t xml:space="preserve"> occurs within a timely manner will be a key part of the approach’s success. Legislation must receive passage without substantial delay. Resolving the income apportionment issue in a reasonable time frame will also remove the uncertainty that has been surrounding the issue for many years, affecting those with a potentially affected income apportionment debt.  </w:t>
      </w:r>
    </w:p>
    <w:p w14:paraId="7CE9CC0D" w14:textId="77777777" w:rsidR="008F4FE3" w:rsidRDefault="008F4FE3" w:rsidP="008F4FE3">
      <w:r>
        <w:t xml:space="preserve">Services Australia reporting will support analysis of how they are progressing with resolving the backlog of income apportionment affected matters. </w:t>
      </w:r>
    </w:p>
    <w:p w14:paraId="3045FEE4" w14:textId="1C5B8E74" w:rsidR="008F4FE3" w:rsidRPr="003509B9" w:rsidRDefault="008F4FE3" w:rsidP="008F4FE3">
      <w:r>
        <w:t xml:space="preserve">The timeliness of the </w:t>
      </w:r>
      <w:r w:rsidR="00135693">
        <w:t>resolution scheme</w:t>
      </w:r>
      <w:r>
        <w:t xml:space="preserve"> will be assessed </w:t>
      </w:r>
      <w:r w:rsidR="000F1203">
        <w:t xml:space="preserve">against the </w:t>
      </w:r>
      <w:r>
        <w:t xml:space="preserve">ability of Services Australia to process applications </w:t>
      </w:r>
      <w:r w:rsidR="004F5890">
        <w:t>by June 2029</w:t>
      </w:r>
      <w:r>
        <w:t xml:space="preserve">. </w:t>
      </w:r>
    </w:p>
    <w:p w14:paraId="3C026DED" w14:textId="77777777" w:rsidR="00200DB5" w:rsidRDefault="00200DB5" w:rsidP="00010D52">
      <w:pPr>
        <w:spacing w:after="200" w:line="288" w:lineRule="auto"/>
      </w:pPr>
    </w:p>
    <w:sectPr w:rsidR="00200DB5" w:rsidSect="00741623">
      <w:pgSz w:w="11906" w:h="16838"/>
      <w:pgMar w:top="1701" w:right="1134" w:bottom="1843"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DBBDE" w14:textId="77777777" w:rsidR="00CB4879" w:rsidRDefault="00CB4879" w:rsidP="00F957C6">
      <w:pPr>
        <w:spacing w:after="0" w:line="240" w:lineRule="auto"/>
      </w:pPr>
      <w:r>
        <w:separator/>
      </w:r>
    </w:p>
  </w:endnote>
  <w:endnote w:type="continuationSeparator" w:id="0">
    <w:p w14:paraId="6429D0F2" w14:textId="77777777" w:rsidR="00CB4879" w:rsidRDefault="00CB4879" w:rsidP="00F957C6">
      <w:pPr>
        <w:spacing w:after="0" w:line="240" w:lineRule="auto"/>
      </w:pPr>
      <w:r>
        <w:continuationSeparator/>
      </w:r>
    </w:p>
  </w:endnote>
  <w:endnote w:type="continuationNotice" w:id="1">
    <w:p w14:paraId="79C4D602" w14:textId="77777777" w:rsidR="00CB4879" w:rsidRDefault="00CB4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4A85" w14:textId="77777777" w:rsidR="008963DE" w:rsidRDefault="00896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88239"/>
      <w:docPartObj>
        <w:docPartGallery w:val="Page Numbers (Bottom of Page)"/>
        <w:docPartUnique/>
      </w:docPartObj>
    </w:sdtPr>
    <w:sdtEndPr>
      <w:rPr>
        <w:noProof/>
      </w:rPr>
    </w:sdtEndPr>
    <w:sdtContent>
      <w:p w14:paraId="7B41F760" w14:textId="2C65E500" w:rsidR="00F256EF" w:rsidRPr="00C91FB8" w:rsidRDefault="00F256EF">
        <w:pPr>
          <w:pStyle w:val="Footer"/>
          <w:jc w:val="right"/>
          <w:rPr>
            <w:szCs w:val="22"/>
          </w:rPr>
        </w:pPr>
        <w:r w:rsidRPr="00C91FB8">
          <w:rPr>
            <w:szCs w:val="22"/>
          </w:rPr>
          <w:fldChar w:fldCharType="begin"/>
        </w:r>
        <w:r w:rsidRPr="00C91FB8">
          <w:rPr>
            <w:szCs w:val="22"/>
          </w:rPr>
          <w:instrText xml:space="preserve"> PAGE   \* MERGEFORMAT </w:instrText>
        </w:r>
        <w:r w:rsidRPr="00C91FB8">
          <w:rPr>
            <w:szCs w:val="22"/>
          </w:rPr>
          <w:fldChar w:fldCharType="separate"/>
        </w:r>
        <w:r w:rsidR="008963DE">
          <w:rPr>
            <w:noProof/>
            <w:szCs w:val="22"/>
          </w:rPr>
          <w:t>54</w:t>
        </w:r>
        <w:r w:rsidRPr="00C91FB8">
          <w:rPr>
            <w:noProof/>
            <w:szCs w:val="22"/>
          </w:rPr>
          <w:fldChar w:fldCharType="end"/>
        </w:r>
      </w:p>
    </w:sdtContent>
  </w:sdt>
  <w:p w14:paraId="48276B1E" w14:textId="77777777" w:rsidR="00440674" w:rsidRDefault="00440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17E6" w14:textId="77777777" w:rsidR="008963DE" w:rsidRDefault="00896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F5DE5" w14:textId="77777777" w:rsidR="00CB4879" w:rsidRDefault="00CB4879" w:rsidP="00F957C6">
      <w:pPr>
        <w:spacing w:after="0" w:line="240" w:lineRule="auto"/>
      </w:pPr>
      <w:r>
        <w:separator/>
      </w:r>
    </w:p>
  </w:footnote>
  <w:footnote w:type="continuationSeparator" w:id="0">
    <w:p w14:paraId="67B772DA" w14:textId="77777777" w:rsidR="00CB4879" w:rsidRDefault="00CB4879" w:rsidP="00F957C6">
      <w:pPr>
        <w:spacing w:after="0" w:line="240" w:lineRule="auto"/>
      </w:pPr>
      <w:r>
        <w:continuationSeparator/>
      </w:r>
    </w:p>
  </w:footnote>
  <w:footnote w:type="continuationNotice" w:id="1">
    <w:p w14:paraId="2B4E0C63" w14:textId="77777777" w:rsidR="00CB4879" w:rsidRDefault="00CB4879">
      <w:pPr>
        <w:spacing w:after="0" w:line="240" w:lineRule="auto"/>
      </w:pPr>
    </w:p>
  </w:footnote>
  <w:footnote w:id="2">
    <w:p w14:paraId="284CC380" w14:textId="131D3355" w:rsidR="007600C3" w:rsidRDefault="007600C3" w:rsidP="007600C3">
      <w:pPr>
        <w:pStyle w:val="FootnoteText"/>
      </w:pPr>
      <w:r w:rsidRPr="0066765B">
        <w:rPr>
          <w:rStyle w:val="FootnoteReference"/>
          <w:rFonts w:asciiTheme="minorHAnsi" w:hAnsiTheme="minorHAnsi"/>
        </w:rPr>
        <w:footnoteRef/>
      </w:r>
      <w:r w:rsidRPr="0066765B">
        <w:rPr>
          <w:rFonts w:asciiTheme="minorHAnsi" w:hAnsiTheme="minorHAnsi"/>
        </w:rPr>
        <w:t xml:space="preserve"> </w:t>
      </w:r>
      <w:r w:rsidRPr="0066765B">
        <w:rPr>
          <w:rFonts w:asciiTheme="minorHAnsi" w:hAnsiTheme="minorHAnsi"/>
          <w:sz w:val="18"/>
          <w:szCs w:val="18"/>
        </w:rPr>
        <w:t>This data is drawn from Services Australia’s Debt Management Information System.</w:t>
      </w:r>
      <w:r w:rsidRPr="0066765B">
        <w:rPr>
          <w:rFonts w:asciiTheme="minorHAnsi" w:hAnsiTheme="minorHAnsi"/>
        </w:rPr>
        <w:t xml:space="preserve"> </w:t>
      </w:r>
      <w:r w:rsidRPr="0066765B">
        <w:rPr>
          <w:rFonts w:asciiTheme="minorHAnsi" w:hAnsiTheme="minorHAnsi"/>
          <w:sz w:val="18"/>
          <w:szCs w:val="18"/>
        </w:rPr>
        <w:t xml:space="preserve">Overturned debts have been excluded as no repayments were made towards these debts. Debts belonging to deceased people have been excluded given the practical and legal challenges of </w:t>
      </w:r>
      <w:r w:rsidR="00290FAB" w:rsidRPr="0066765B">
        <w:rPr>
          <w:rFonts w:asciiTheme="minorHAnsi" w:hAnsiTheme="minorHAnsi"/>
          <w:sz w:val="18"/>
          <w:szCs w:val="18"/>
        </w:rPr>
        <w:t xml:space="preserve">engaging </w:t>
      </w:r>
      <w:r w:rsidRPr="0066765B">
        <w:rPr>
          <w:rFonts w:asciiTheme="minorHAnsi" w:hAnsiTheme="minorHAnsi"/>
          <w:sz w:val="18"/>
          <w:szCs w:val="18"/>
        </w:rPr>
        <w:t>estates that have been closed for years. Services Australia’s Debt Management Information System only records debts going back to those on file in 1993. Debts relating to certain time-periods and payments are not included as income apportionment was likely lawful in those instances</w:t>
      </w:r>
      <w:r w:rsidRPr="00E37DC0">
        <w:rPr>
          <w:sz w:val="18"/>
          <w:szCs w:val="18"/>
        </w:rPr>
        <w:t>.</w:t>
      </w:r>
    </w:p>
  </w:footnote>
  <w:footnote w:id="3">
    <w:p w14:paraId="29CCF862" w14:textId="042CFAA5" w:rsidR="00E521DE" w:rsidRPr="0066765B" w:rsidRDefault="00E521DE">
      <w:pPr>
        <w:pStyle w:val="FootnoteText"/>
        <w:rPr>
          <w:rFonts w:asciiTheme="minorHAnsi" w:hAnsiTheme="minorHAnsi"/>
        </w:rPr>
      </w:pPr>
      <w:r w:rsidRPr="0066765B">
        <w:rPr>
          <w:rStyle w:val="FootnoteReference"/>
          <w:rFonts w:asciiTheme="minorHAnsi" w:hAnsiTheme="minorHAnsi"/>
        </w:rPr>
        <w:footnoteRef/>
      </w:r>
      <w:r w:rsidRPr="0066765B">
        <w:rPr>
          <w:rFonts w:asciiTheme="minorHAnsi" w:hAnsiTheme="minorHAnsi"/>
        </w:rPr>
        <w:t xml:space="preserve"> </w:t>
      </w:r>
      <w:r w:rsidR="006C599E" w:rsidRPr="0066765B">
        <w:rPr>
          <w:rFonts w:asciiTheme="minorHAnsi" w:hAnsiTheme="minorHAnsi"/>
          <w:sz w:val="18"/>
          <w:szCs w:val="18"/>
        </w:rPr>
        <w:t>This data is drawn from Services Australia’s Debt Management Information System.</w:t>
      </w:r>
      <w:r w:rsidR="006C599E" w:rsidRPr="0066765B">
        <w:rPr>
          <w:rFonts w:asciiTheme="minorHAnsi" w:hAnsiTheme="minorHAnsi"/>
        </w:rPr>
        <w:t xml:space="preserve"> </w:t>
      </w:r>
      <w:r w:rsidR="006C599E" w:rsidRPr="0066765B">
        <w:rPr>
          <w:rFonts w:asciiTheme="minorHAnsi" w:hAnsiTheme="minorHAnsi"/>
          <w:sz w:val="18"/>
          <w:szCs w:val="18"/>
        </w:rPr>
        <w:t>Overturned debts have been excluded as no repayments were made towards these debts. Debts belonging to deceased people have been excluded given the practical and legal challenges of engaging estates that have been closed for years. Services Australia’s Debt Management Information System only records debts going back to those on file in 1993. Debts relating to certain time-periods and payments are not included as income apportionment was likely lawful in those instances</w:t>
      </w:r>
      <w:r w:rsidRPr="0066765B">
        <w:rPr>
          <w:rFonts w:asciiTheme="minorHAnsi" w:hAnsiTheme="minorHAnsi"/>
          <w:sz w:val="18"/>
          <w:szCs w:val="18"/>
        </w:rPr>
        <w:t>.</w:t>
      </w:r>
    </w:p>
  </w:footnote>
  <w:footnote w:id="4">
    <w:p w14:paraId="7FDD067C" w14:textId="08F94FB5" w:rsidR="00C23088" w:rsidRPr="00607D45" w:rsidRDefault="00C23088" w:rsidP="00C23088">
      <w:pPr>
        <w:pStyle w:val="FootnoteText"/>
        <w:rPr>
          <w:rFonts w:asciiTheme="minorHAnsi" w:hAnsiTheme="minorHAnsi"/>
        </w:rPr>
      </w:pPr>
      <w:r w:rsidRPr="00607D45">
        <w:rPr>
          <w:rStyle w:val="FootnoteReference"/>
          <w:rFonts w:asciiTheme="minorHAnsi" w:hAnsiTheme="minorHAnsi"/>
        </w:rPr>
        <w:footnoteRef/>
      </w:r>
      <w:r w:rsidRPr="00607D45">
        <w:rPr>
          <w:rFonts w:asciiTheme="minorHAnsi" w:hAnsiTheme="minorHAnsi"/>
        </w:rPr>
        <w:t xml:space="preserve"> Office of Impact Analysis, ‘Value of Statistical Life’, 202</w:t>
      </w:r>
      <w:r w:rsidR="00B026EC" w:rsidRPr="00607D45">
        <w:rPr>
          <w:rFonts w:asciiTheme="minorHAnsi" w:hAnsiTheme="minorHAnsi"/>
        </w:rPr>
        <w:t>4</w:t>
      </w:r>
      <w:r w:rsidRPr="00607D45">
        <w:rPr>
          <w:rFonts w:asciiTheme="minorHAnsi" w:hAnsiTheme="minorHAnsi"/>
        </w:rPr>
        <w:t xml:space="preserve">, </w:t>
      </w:r>
      <w:r w:rsidR="00154504" w:rsidRPr="00607D45">
        <w:rPr>
          <w:rFonts w:asciiTheme="minorHAnsi" w:hAnsiTheme="minorHAnsi"/>
        </w:rPr>
        <w:t>https://oia.pmc.gov.au/sites/default/files/2024-11/value-statistical-life-guidance-note.pdf</w:t>
      </w:r>
    </w:p>
  </w:footnote>
  <w:footnote w:id="5">
    <w:p w14:paraId="6E5F2CDB" w14:textId="32930937" w:rsidR="00F52DFD" w:rsidRPr="00C91FB8" w:rsidRDefault="00F52DFD">
      <w:pPr>
        <w:pStyle w:val="FootnoteText"/>
        <w:rPr>
          <w:rFonts w:asciiTheme="minorHAnsi" w:hAnsiTheme="minorHAnsi"/>
        </w:rPr>
      </w:pPr>
      <w:r w:rsidRPr="00C91FB8">
        <w:rPr>
          <w:rStyle w:val="FootnoteReference"/>
          <w:rFonts w:asciiTheme="minorHAnsi" w:hAnsiTheme="minorHAnsi"/>
        </w:rPr>
        <w:footnoteRef/>
      </w:r>
      <w:r w:rsidRPr="00C91FB8">
        <w:rPr>
          <w:rFonts w:asciiTheme="minorHAnsi" w:hAnsiTheme="minorHAnsi"/>
        </w:rPr>
        <w:t xml:space="preserve"> </w:t>
      </w:r>
      <w:r w:rsidR="00AE09EA" w:rsidRPr="00C91FB8">
        <w:rPr>
          <w:rFonts w:asciiTheme="minorHAnsi" w:hAnsiTheme="minorHAnsi"/>
        </w:rPr>
        <w:t xml:space="preserve">Economic Justice Australia, </w:t>
      </w:r>
      <w:r w:rsidR="001813CB" w:rsidRPr="00C91FB8">
        <w:rPr>
          <w:rFonts w:asciiTheme="minorHAnsi" w:hAnsiTheme="minorHAnsi"/>
        </w:rPr>
        <w:t>‘</w:t>
      </w:r>
      <w:r w:rsidR="00AE09EA" w:rsidRPr="00C91FB8">
        <w:rPr>
          <w:rFonts w:asciiTheme="minorHAnsi" w:hAnsiTheme="minorHAnsi"/>
        </w:rPr>
        <w:t>Media Release: Legality of decades-old Government system again being called into question in Federal Court test case</w:t>
      </w:r>
      <w:r w:rsidR="001813CB" w:rsidRPr="00C91FB8">
        <w:rPr>
          <w:rFonts w:asciiTheme="minorHAnsi" w:hAnsiTheme="minorHAnsi"/>
        </w:rPr>
        <w:t>’</w:t>
      </w:r>
      <w:r w:rsidR="00AE09EA" w:rsidRPr="00C91FB8">
        <w:rPr>
          <w:rFonts w:asciiTheme="minorHAnsi" w:hAnsiTheme="minorHAnsi"/>
        </w:rPr>
        <w:t>, March 6 2025.</w:t>
      </w:r>
    </w:p>
  </w:footnote>
  <w:footnote w:id="6">
    <w:p w14:paraId="3F436991" w14:textId="65060B2A" w:rsidR="00F52DFD" w:rsidRDefault="00F52DFD">
      <w:pPr>
        <w:pStyle w:val="FootnoteText"/>
      </w:pPr>
      <w:r w:rsidRPr="00C91FB8">
        <w:rPr>
          <w:rStyle w:val="FootnoteReference"/>
          <w:rFonts w:asciiTheme="minorHAnsi" w:hAnsiTheme="minorHAnsi"/>
        </w:rPr>
        <w:footnoteRef/>
      </w:r>
      <w:r w:rsidRPr="00C91FB8">
        <w:rPr>
          <w:rFonts w:asciiTheme="minorHAnsi" w:hAnsiTheme="minorHAnsi"/>
        </w:rPr>
        <w:t xml:space="preserve"> </w:t>
      </w:r>
      <w:r w:rsidR="00AE09EA" w:rsidRPr="00C91FB8">
        <w:rPr>
          <w:rFonts w:asciiTheme="minorHAnsi" w:hAnsiTheme="minorHAnsi"/>
        </w:rPr>
        <w:t xml:space="preserve">Australian Council of Social Service, </w:t>
      </w:r>
      <w:r w:rsidRPr="00C91FB8">
        <w:rPr>
          <w:rFonts w:asciiTheme="minorHAnsi" w:hAnsiTheme="minorHAnsi"/>
          <w:i/>
          <w:iCs/>
        </w:rPr>
        <w:t>Budget Priorities Statement 2024-25</w:t>
      </w:r>
      <w:r w:rsidRPr="00C91FB8">
        <w:rPr>
          <w:rFonts w:asciiTheme="minorHAnsi" w:hAnsiTheme="minorHAnsi"/>
        </w:rPr>
        <w:t>, 2023, p.17.</w:t>
      </w:r>
    </w:p>
  </w:footnote>
  <w:footnote w:id="7">
    <w:p w14:paraId="3DE76E10" w14:textId="4B6F8AC1" w:rsidR="00131872" w:rsidRDefault="00131872">
      <w:pPr>
        <w:pStyle w:val="FootnoteText"/>
      </w:pPr>
      <w:r>
        <w:rPr>
          <w:rStyle w:val="FootnoteReference"/>
        </w:rPr>
        <w:footnoteRef/>
      </w:r>
      <w:r>
        <w:t xml:space="preserve">  </w:t>
      </w:r>
      <w:r w:rsidR="00292B1F">
        <w:t xml:space="preserve">The assessment </w:t>
      </w:r>
      <w:r w:rsidR="006E2C18">
        <w:t>of fairness</w:t>
      </w:r>
      <w:r>
        <w:t xml:space="preserve"> </w:t>
      </w:r>
      <w:r w:rsidR="00292B1F">
        <w:t xml:space="preserve">reflects the likely impost an option will have on the services of community organisations not how it aligns with </w:t>
      </w:r>
      <w:r w:rsidR="000A7EEE">
        <w:t>their advocacy position</w:t>
      </w:r>
      <w:r w:rsidR="00292B1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0F0E" w14:textId="77777777" w:rsidR="008963DE" w:rsidRDefault="00896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1542" w14:textId="77777777" w:rsidR="008963DE" w:rsidRDefault="00896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A9235" w14:textId="61D15181" w:rsidR="00741623" w:rsidRDefault="00741623" w:rsidP="00ED38BF">
    <w:pPr>
      <w:pStyle w:val="Header"/>
      <w:jc w:val="center"/>
      <w:rPr>
        <w:rFonts w:ascii="Arial" w:hAnsi="Arial" w:cs="Arial"/>
        <w:b/>
        <w:bCs/>
        <w:noProof/>
        <w:color w:val="FF0000"/>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844F4"/>
    <w:multiLevelType w:val="hybridMultilevel"/>
    <w:tmpl w:val="2844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A09DE"/>
    <w:multiLevelType w:val="hybridMultilevel"/>
    <w:tmpl w:val="E1948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0F542E"/>
    <w:multiLevelType w:val="multilevel"/>
    <w:tmpl w:val="3C1C528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25A2B5C"/>
    <w:multiLevelType w:val="hybridMultilevel"/>
    <w:tmpl w:val="47A25F70"/>
    <w:lvl w:ilvl="0" w:tplc="E9224584">
      <w:start w:val="1"/>
      <w:numFmt w:val="bullet"/>
      <w:pStyle w:val="TalkingPoint"/>
      <w:lvlText w:val=""/>
      <w:lvlJc w:val="left"/>
      <w:pPr>
        <w:ind w:left="360" w:hanging="360"/>
      </w:pPr>
      <w:rPr>
        <w:rFonts w:ascii="Symbol" w:hAnsi="Symbol" w:hint="default"/>
        <w:color w:val="auto"/>
        <w:sz w:val="32"/>
        <w:szCs w:val="32"/>
        <w:effect w:val="none"/>
      </w:rPr>
    </w:lvl>
    <w:lvl w:ilvl="1" w:tplc="32428238">
      <w:start w:val="1"/>
      <w:numFmt w:val="bullet"/>
      <w:lvlText w:val="o"/>
      <w:lvlJc w:val="left"/>
      <w:pPr>
        <w:ind w:left="1080" w:hanging="360"/>
      </w:pPr>
      <w:rPr>
        <w:rFonts w:ascii="Courier New" w:hAnsi="Courier New" w:cs="Courier New" w:hint="default"/>
      </w:rPr>
    </w:lvl>
    <w:lvl w:ilvl="2" w:tplc="2B2237F2" w:tentative="1">
      <w:start w:val="1"/>
      <w:numFmt w:val="bullet"/>
      <w:lvlText w:val=""/>
      <w:lvlJc w:val="left"/>
      <w:pPr>
        <w:ind w:left="1800" w:hanging="360"/>
      </w:pPr>
      <w:rPr>
        <w:rFonts w:ascii="Wingdings" w:hAnsi="Wingdings" w:hint="default"/>
      </w:rPr>
    </w:lvl>
    <w:lvl w:ilvl="3" w:tplc="8B7EFFBA" w:tentative="1">
      <w:start w:val="1"/>
      <w:numFmt w:val="bullet"/>
      <w:lvlText w:val=""/>
      <w:lvlJc w:val="left"/>
      <w:pPr>
        <w:ind w:left="2520" w:hanging="360"/>
      </w:pPr>
      <w:rPr>
        <w:rFonts w:ascii="Symbol" w:hAnsi="Symbol" w:hint="default"/>
      </w:rPr>
    </w:lvl>
    <w:lvl w:ilvl="4" w:tplc="1D9ADD56" w:tentative="1">
      <w:start w:val="1"/>
      <w:numFmt w:val="bullet"/>
      <w:lvlText w:val="o"/>
      <w:lvlJc w:val="left"/>
      <w:pPr>
        <w:ind w:left="3240" w:hanging="360"/>
      </w:pPr>
      <w:rPr>
        <w:rFonts w:ascii="Courier New" w:hAnsi="Courier New" w:cs="Courier New" w:hint="default"/>
      </w:rPr>
    </w:lvl>
    <w:lvl w:ilvl="5" w:tplc="E872038A" w:tentative="1">
      <w:start w:val="1"/>
      <w:numFmt w:val="bullet"/>
      <w:lvlText w:val=""/>
      <w:lvlJc w:val="left"/>
      <w:pPr>
        <w:ind w:left="3960" w:hanging="360"/>
      </w:pPr>
      <w:rPr>
        <w:rFonts w:ascii="Wingdings" w:hAnsi="Wingdings" w:hint="default"/>
      </w:rPr>
    </w:lvl>
    <w:lvl w:ilvl="6" w:tplc="48A0712E" w:tentative="1">
      <w:start w:val="1"/>
      <w:numFmt w:val="bullet"/>
      <w:lvlText w:val=""/>
      <w:lvlJc w:val="left"/>
      <w:pPr>
        <w:ind w:left="4680" w:hanging="360"/>
      </w:pPr>
      <w:rPr>
        <w:rFonts w:ascii="Symbol" w:hAnsi="Symbol" w:hint="default"/>
      </w:rPr>
    </w:lvl>
    <w:lvl w:ilvl="7" w:tplc="8EC0EC9A" w:tentative="1">
      <w:start w:val="1"/>
      <w:numFmt w:val="bullet"/>
      <w:lvlText w:val="o"/>
      <w:lvlJc w:val="left"/>
      <w:pPr>
        <w:ind w:left="5400" w:hanging="360"/>
      </w:pPr>
      <w:rPr>
        <w:rFonts w:ascii="Courier New" w:hAnsi="Courier New" w:cs="Courier New" w:hint="default"/>
      </w:rPr>
    </w:lvl>
    <w:lvl w:ilvl="8" w:tplc="64905DB4" w:tentative="1">
      <w:start w:val="1"/>
      <w:numFmt w:val="bullet"/>
      <w:lvlText w:val=""/>
      <w:lvlJc w:val="left"/>
      <w:pPr>
        <w:ind w:left="6120" w:hanging="360"/>
      </w:pPr>
      <w:rPr>
        <w:rFonts w:ascii="Wingdings" w:hAnsi="Wingdings" w:hint="default"/>
      </w:rPr>
    </w:lvl>
  </w:abstractNum>
  <w:abstractNum w:abstractNumId="8"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9"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10" w15:restartNumberingAfterBreak="0">
    <w:nsid w:val="1E8C2A9C"/>
    <w:multiLevelType w:val="hybridMultilevel"/>
    <w:tmpl w:val="AD9E0F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299D2860"/>
    <w:multiLevelType w:val="hybridMultilevel"/>
    <w:tmpl w:val="3562433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4" w15:restartNumberingAfterBreak="0">
    <w:nsid w:val="330D3193"/>
    <w:multiLevelType w:val="hybridMultilevel"/>
    <w:tmpl w:val="FC50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6" w15:restartNumberingAfterBreak="0">
    <w:nsid w:val="380A20E9"/>
    <w:multiLevelType w:val="multilevel"/>
    <w:tmpl w:val="99A01F50"/>
    <w:lvl w:ilvl="0">
      <w:start w:val="4"/>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38792B03"/>
    <w:multiLevelType w:val="hybridMultilevel"/>
    <w:tmpl w:val="86BC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D20308"/>
    <w:multiLevelType w:val="hybridMultilevel"/>
    <w:tmpl w:val="F4563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31421"/>
    <w:multiLevelType w:val="hybridMultilevel"/>
    <w:tmpl w:val="B6AC61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7036EE1"/>
    <w:multiLevelType w:val="hybridMultilevel"/>
    <w:tmpl w:val="0D3C2C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99549E"/>
    <w:multiLevelType w:val="hybridMultilevel"/>
    <w:tmpl w:val="8EE09380"/>
    <w:lvl w:ilvl="0" w:tplc="54C68BB8">
      <w:start w:val="1"/>
      <w:numFmt w:val="lowerLetter"/>
      <w:pStyle w:val="CABRecommendationsList"/>
      <w:lvlText w:val="(%1)"/>
      <w:lvlJc w:val="left"/>
      <w:pPr>
        <w:ind w:left="802" w:hanging="405"/>
      </w:pPr>
      <w:rPr>
        <w:rFonts w:hint="default"/>
      </w:rPr>
    </w:lvl>
    <w:lvl w:ilvl="1" w:tplc="8068A36E">
      <w:start w:val="1"/>
      <w:numFmt w:val="lowerRoman"/>
      <w:lvlText w:val="%2."/>
      <w:lvlJc w:val="right"/>
      <w:pPr>
        <w:ind w:left="1477" w:hanging="360"/>
      </w:pPr>
    </w:lvl>
    <w:lvl w:ilvl="2" w:tplc="5C26B55C" w:tentative="1">
      <w:start w:val="1"/>
      <w:numFmt w:val="lowerRoman"/>
      <w:lvlText w:val="%3."/>
      <w:lvlJc w:val="right"/>
      <w:pPr>
        <w:ind w:left="2197" w:hanging="180"/>
      </w:pPr>
    </w:lvl>
    <w:lvl w:ilvl="3" w:tplc="1966E48C" w:tentative="1">
      <w:start w:val="1"/>
      <w:numFmt w:val="decimal"/>
      <w:lvlText w:val="%4."/>
      <w:lvlJc w:val="left"/>
      <w:pPr>
        <w:ind w:left="2917" w:hanging="360"/>
      </w:pPr>
    </w:lvl>
    <w:lvl w:ilvl="4" w:tplc="52306228" w:tentative="1">
      <w:start w:val="1"/>
      <w:numFmt w:val="lowerLetter"/>
      <w:lvlText w:val="%5."/>
      <w:lvlJc w:val="left"/>
      <w:pPr>
        <w:ind w:left="3637" w:hanging="360"/>
      </w:pPr>
    </w:lvl>
    <w:lvl w:ilvl="5" w:tplc="1604D826" w:tentative="1">
      <w:start w:val="1"/>
      <w:numFmt w:val="lowerRoman"/>
      <w:lvlText w:val="%6."/>
      <w:lvlJc w:val="right"/>
      <w:pPr>
        <w:ind w:left="4357" w:hanging="180"/>
      </w:pPr>
    </w:lvl>
    <w:lvl w:ilvl="6" w:tplc="D9227E72" w:tentative="1">
      <w:start w:val="1"/>
      <w:numFmt w:val="decimal"/>
      <w:lvlText w:val="%7."/>
      <w:lvlJc w:val="left"/>
      <w:pPr>
        <w:ind w:left="5077" w:hanging="360"/>
      </w:pPr>
    </w:lvl>
    <w:lvl w:ilvl="7" w:tplc="450ADCB8" w:tentative="1">
      <w:start w:val="1"/>
      <w:numFmt w:val="lowerLetter"/>
      <w:lvlText w:val="%8."/>
      <w:lvlJc w:val="left"/>
      <w:pPr>
        <w:ind w:left="5797" w:hanging="360"/>
      </w:pPr>
    </w:lvl>
    <w:lvl w:ilvl="8" w:tplc="0F685238" w:tentative="1">
      <w:start w:val="1"/>
      <w:numFmt w:val="lowerRoman"/>
      <w:lvlText w:val="%9."/>
      <w:lvlJc w:val="right"/>
      <w:pPr>
        <w:ind w:left="6517" w:hanging="180"/>
      </w:pPr>
    </w:lvl>
  </w:abstractNum>
  <w:abstractNum w:abstractNumId="22"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4E6E0BB1"/>
    <w:multiLevelType w:val="hybridMultilevel"/>
    <w:tmpl w:val="5D805D6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EFE3BDD"/>
    <w:multiLevelType w:val="hybridMultilevel"/>
    <w:tmpl w:val="7E56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AF362A"/>
    <w:multiLevelType w:val="multilevel"/>
    <w:tmpl w:val="B762A658"/>
    <w:lvl w:ilvl="0">
      <w:start w:val="4"/>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52FB2795"/>
    <w:multiLevelType w:val="multilevel"/>
    <w:tmpl w:val="5C24488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5B2C6B27"/>
    <w:multiLevelType w:val="hybridMultilevel"/>
    <w:tmpl w:val="2A16D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6B5D25"/>
    <w:multiLevelType w:val="hybridMultilevel"/>
    <w:tmpl w:val="2782E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D823AC"/>
    <w:multiLevelType w:val="multilevel"/>
    <w:tmpl w:val="8DFA4C70"/>
    <w:lvl w:ilvl="0">
      <w:start w:val="4"/>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5EE95D99"/>
    <w:multiLevelType w:val="hybridMultilevel"/>
    <w:tmpl w:val="1EF0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C67CD0"/>
    <w:multiLevelType w:val="hybridMultilevel"/>
    <w:tmpl w:val="238C3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95566C"/>
    <w:multiLevelType w:val="multilevel"/>
    <w:tmpl w:val="6A3A8A5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64101334"/>
    <w:multiLevelType w:val="hybridMultilevel"/>
    <w:tmpl w:val="A9CA3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E21C92"/>
    <w:multiLevelType w:val="hybridMultilevel"/>
    <w:tmpl w:val="97A64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3967A4"/>
    <w:multiLevelType w:val="hybridMultilevel"/>
    <w:tmpl w:val="969C840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6A756902"/>
    <w:multiLevelType w:val="hybridMultilevel"/>
    <w:tmpl w:val="BEB23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1F2D30"/>
    <w:multiLevelType w:val="hybridMultilevel"/>
    <w:tmpl w:val="7A581B9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0" w15:restartNumberingAfterBreak="0">
    <w:nsid w:val="76974C00"/>
    <w:multiLevelType w:val="hybridMultilevel"/>
    <w:tmpl w:val="CF08F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F26231"/>
    <w:multiLevelType w:val="hybridMultilevel"/>
    <w:tmpl w:val="C5889A8E"/>
    <w:lvl w:ilvl="0" w:tplc="F3AA5E56">
      <w:start w:val="1"/>
      <w:numFmt w:val="bullet"/>
      <w:pStyle w:val="CABBulletList"/>
      <w:lvlText w:val=""/>
      <w:lvlJc w:val="left"/>
      <w:pPr>
        <w:ind w:left="1078" w:hanging="284"/>
      </w:pPr>
      <w:rPr>
        <w:rFonts w:ascii="Symbol" w:hAnsi="Symbol" w:hint="default"/>
        <w:color w:val="auto"/>
      </w:rPr>
    </w:lvl>
    <w:lvl w:ilvl="1" w:tplc="9BC45F1A" w:tentative="1">
      <w:start w:val="1"/>
      <w:numFmt w:val="bullet"/>
      <w:lvlText w:val="o"/>
      <w:lvlJc w:val="left"/>
      <w:pPr>
        <w:ind w:left="2234" w:hanging="360"/>
      </w:pPr>
      <w:rPr>
        <w:rFonts w:ascii="Courier New" w:hAnsi="Courier New" w:hint="default"/>
      </w:rPr>
    </w:lvl>
    <w:lvl w:ilvl="2" w:tplc="0442C806" w:tentative="1">
      <w:start w:val="1"/>
      <w:numFmt w:val="bullet"/>
      <w:lvlText w:val=""/>
      <w:lvlJc w:val="left"/>
      <w:pPr>
        <w:ind w:left="2954" w:hanging="360"/>
      </w:pPr>
      <w:rPr>
        <w:rFonts w:ascii="Wingdings" w:hAnsi="Wingdings" w:hint="default"/>
      </w:rPr>
    </w:lvl>
    <w:lvl w:ilvl="3" w:tplc="2A06AA5E" w:tentative="1">
      <w:start w:val="1"/>
      <w:numFmt w:val="bullet"/>
      <w:lvlText w:val=""/>
      <w:lvlJc w:val="left"/>
      <w:pPr>
        <w:ind w:left="3674" w:hanging="360"/>
      </w:pPr>
      <w:rPr>
        <w:rFonts w:ascii="Symbol" w:hAnsi="Symbol" w:hint="default"/>
      </w:rPr>
    </w:lvl>
    <w:lvl w:ilvl="4" w:tplc="4FC6B548" w:tentative="1">
      <w:start w:val="1"/>
      <w:numFmt w:val="bullet"/>
      <w:lvlText w:val="o"/>
      <w:lvlJc w:val="left"/>
      <w:pPr>
        <w:ind w:left="4394" w:hanging="360"/>
      </w:pPr>
      <w:rPr>
        <w:rFonts w:ascii="Courier New" w:hAnsi="Courier New" w:hint="default"/>
      </w:rPr>
    </w:lvl>
    <w:lvl w:ilvl="5" w:tplc="2806E8BC" w:tentative="1">
      <w:start w:val="1"/>
      <w:numFmt w:val="bullet"/>
      <w:lvlText w:val=""/>
      <w:lvlJc w:val="left"/>
      <w:pPr>
        <w:ind w:left="5114" w:hanging="360"/>
      </w:pPr>
      <w:rPr>
        <w:rFonts w:ascii="Wingdings" w:hAnsi="Wingdings" w:hint="default"/>
      </w:rPr>
    </w:lvl>
    <w:lvl w:ilvl="6" w:tplc="1A101BB8" w:tentative="1">
      <w:start w:val="1"/>
      <w:numFmt w:val="bullet"/>
      <w:lvlText w:val=""/>
      <w:lvlJc w:val="left"/>
      <w:pPr>
        <w:ind w:left="5834" w:hanging="360"/>
      </w:pPr>
      <w:rPr>
        <w:rFonts w:ascii="Symbol" w:hAnsi="Symbol" w:hint="default"/>
      </w:rPr>
    </w:lvl>
    <w:lvl w:ilvl="7" w:tplc="C05035FC" w:tentative="1">
      <w:start w:val="1"/>
      <w:numFmt w:val="bullet"/>
      <w:lvlText w:val="o"/>
      <w:lvlJc w:val="left"/>
      <w:pPr>
        <w:ind w:left="6554" w:hanging="360"/>
      </w:pPr>
      <w:rPr>
        <w:rFonts w:ascii="Courier New" w:hAnsi="Courier New" w:hint="default"/>
      </w:rPr>
    </w:lvl>
    <w:lvl w:ilvl="8" w:tplc="624C82F4" w:tentative="1">
      <w:start w:val="1"/>
      <w:numFmt w:val="bullet"/>
      <w:lvlText w:val=""/>
      <w:lvlJc w:val="left"/>
      <w:pPr>
        <w:ind w:left="7274" w:hanging="360"/>
      </w:pPr>
      <w:rPr>
        <w:rFonts w:ascii="Wingdings" w:hAnsi="Wingdings" w:hint="default"/>
      </w:rPr>
    </w:lvl>
  </w:abstractNum>
  <w:abstractNum w:abstractNumId="4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191C7C"/>
    <w:multiLevelType w:val="hybridMultilevel"/>
    <w:tmpl w:val="D6D06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A35381"/>
    <w:multiLevelType w:val="hybridMultilevel"/>
    <w:tmpl w:val="8F0EA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1614B1"/>
    <w:multiLevelType w:val="hybridMultilevel"/>
    <w:tmpl w:val="EF10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3F4182"/>
    <w:multiLevelType w:val="hybridMultilevel"/>
    <w:tmpl w:val="964A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7"/>
  </w:num>
  <w:num w:numId="4">
    <w:abstractNumId w:val="12"/>
  </w:num>
  <w:num w:numId="5">
    <w:abstractNumId w:val="42"/>
  </w:num>
  <w:num w:numId="6">
    <w:abstractNumId w:val="9"/>
  </w:num>
  <w:num w:numId="7">
    <w:abstractNumId w:val="22"/>
  </w:num>
  <w:num w:numId="8">
    <w:abstractNumId w:val="8"/>
  </w:num>
  <w:num w:numId="9">
    <w:abstractNumId w:val="11"/>
  </w:num>
  <w:num w:numId="10">
    <w:abstractNumId w:val="6"/>
  </w:num>
  <w:num w:numId="11">
    <w:abstractNumId w:val="39"/>
  </w:num>
  <w:num w:numId="12">
    <w:abstractNumId w:val="15"/>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
    <w:abstractNumId w:val="0"/>
  </w:num>
  <w:num w:numId="14">
    <w:abstractNumId w:val="7"/>
  </w:num>
  <w:num w:numId="15">
    <w:abstractNumId w:val="41"/>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num>
  <w:num w:numId="21">
    <w:abstractNumId w:val="23"/>
  </w:num>
  <w:num w:numId="22">
    <w:abstractNumId w:val="4"/>
  </w:num>
  <w:num w:numId="23">
    <w:abstractNumId w:val="13"/>
  </w:num>
  <w:num w:numId="24">
    <w:abstractNumId w:val="31"/>
  </w:num>
  <w:num w:numId="25">
    <w:abstractNumId w:val="36"/>
  </w:num>
  <w:num w:numId="26">
    <w:abstractNumId w:val="25"/>
  </w:num>
  <w:num w:numId="27">
    <w:abstractNumId w:val="14"/>
  </w:num>
  <w:num w:numId="28">
    <w:abstractNumId w:val="40"/>
  </w:num>
  <w:num w:numId="29">
    <w:abstractNumId w:val="21"/>
  </w:num>
  <w:num w:numId="30">
    <w:abstractNumId w:val="38"/>
  </w:num>
  <w:num w:numId="31">
    <w:abstractNumId w:val="33"/>
  </w:num>
  <w:num w:numId="32">
    <w:abstractNumId w:val="35"/>
  </w:num>
  <w:num w:numId="33">
    <w:abstractNumId w:val="20"/>
  </w:num>
  <w:num w:numId="34">
    <w:abstractNumId w:val="44"/>
  </w:num>
  <w:num w:numId="35">
    <w:abstractNumId w:val="45"/>
  </w:num>
  <w:num w:numId="36">
    <w:abstractNumId w:val="30"/>
  </w:num>
  <w:num w:numId="37">
    <w:abstractNumId w:val="19"/>
  </w:num>
  <w:num w:numId="38">
    <w:abstractNumId w:val="43"/>
  </w:num>
  <w:num w:numId="39">
    <w:abstractNumId w:val="27"/>
  </w:num>
  <w:num w:numId="40">
    <w:abstractNumId w:val="26"/>
  </w:num>
  <w:num w:numId="41">
    <w:abstractNumId w:val="17"/>
  </w:num>
  <w:num w:numId="42">
    <w:abstractNumId w:val="46"/>
  </w:num>
  <w:num w:numId="43">
    <w:abstractNumId w:val="28"/>
  </w:num>
  <w:num w:numId="44">
    <w:abstractNumId w:val="10"/>
  </w:num>
  <w:num w:numId="45">
    <w:abstractNumId w:val="1"/>
  </w:num>
  <w:num w:numId="46">
    <w:abstractNumId w:val="34"/>
  </w:num>
  <w:num w:numId="47">
    <w:abstractNumId w:val="29"/>
  </w:num>
  <w:num w:numId="48">
    <w:abstractNumId w:val="16"/>
  </w:num>
  <w:num w:numId="49">
    <w:abstractNumId w:val="32"/>
  </w:num>
  <w:num w:numId="50">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01E0"/>
    <w:rsid w:val="000002D2"/>
    <w:rsid w:val="000006B0"/>
    <w:rsid w:val="00000853"/>
    <w:rsid w:val="00000F65"/>
    <w:rsid w:val="00001185"/>
    <w:rsid w:val="000016D1"/>
    <w:rsid w:val="000016D7"/>
    <w:rsid w:val="00001B5B"/>
    <w:rsid w:val="00001C42"/>
    <w:rsid w:val="00001E0C"/>
    <w:rsid w:val="0000236A"/>
    <w:rsid w:val="000025BA"/>
    <w:rsid w:val="00002B44"/>
    <w:rsid w:val="00003534"/>
    <w:rsid w:val="0000361D"/>
    <w:rsid w:val="00003AB0"/>
    <w:rsid w:val="00003EFE"/>
    <w:rsid w:val="000045C9"/>
    <w:rsid w:val="00004D80"/>
    <w:rsid w:val="0000506E"/>
    <w:rsid w:val="000051F2"/>
    <w:rsid w:val="000053FA"/>
    <w:rsid w:val="00005ABA"/>
    <w:rsid w:val="000066BD"/>
    <w:rsid w:val="00006A47"/>
    <w:rsid w:val="00007074"/>
    <w:rsid w:val="00007174"/>
    <w:rsid w:val="00007A47"/>
    <w:rsid w:val="000102B5"/>
    <w:rsid w:val="000104ED"/>
    <w:rsid w:val="00010541"/>
    <w:rsid w:val="000108DC"/>
    <w:rsid w:val="00010D3C"/>
    <w:rsid w:val="00010D52"/>
    <w:rsid w:val="00011EE8"/>
    <w:rsid w:val="00012116"/>
    <w:rsid w:val="00012F35"/>
    <w:rsid w:val="000133FC"/>
    <w:rsid w:val="000136FA"/>
    <w:rsid w:val="00013E98"/>
    <w:rsid w:val="0001421B"/>
    <w:rsid w:val="000149F4"/>
    <w:rsid w:val="00014A8F"/>
    <w:rsid w:val="00014C32"/>
    <w:rsid w:val="00014E63"/>
    <w:rsid w:val="000153DF"/>
    <w:rsid w:val="000156CE"/>
    <w:rsid w:val="00015C68"/>
    <w:rsid w:val="00016074"/>
    <w:rsid w:val="000160CE"/>
    <w:rsid w:val="0001620B"/>
    <w:rsid w:val="00016794"/>
    <w:rsid w:val="00016B15"/>
    <w:rsid w:val="00017B32"/>
    <w:rsid w:val="0002028B"/>
    <w:rsid w:val="0002036F"/>
    <w:rsid w:val="00020402"/>
    <w:rsid w:val="00020613"/>
    <w:rsid w:val="000209AD"/>
    <w:rsid w:val="00020BFA"/>
    <w:rsid w:val="0002175C"/>
    <w:rsid w:val="00021843"/>
    <w:rsid w:val="00021B6C"/>
    <w:rsid w:val="00021C6E"/>
    <w:rsid w:val="00021DFB"/>
    <w:rsid w:val="00021DFE"/>
    <w:rsid w:val="00021E49"/>
    <w:rsid w:val="000223E1"/>
    <w:rsid w:val="0002266F"/>
    <w:rsid w:val="000227C3"/>
    <w:rsid w:val="00022817"/>
    <w:rsid w:val="00023731"/>
    <w:rsid w:val="0002375F"/>
    <w:rsid w:val="000237C6"/>
    <w:rsid w:val="00023B74"/>
    <w:rsid w:val="00024210"/>
    <w:rsid w:val="000244A5"/>
    <w:rsid w:val="00024509"/>
    <w:rsid w:val="000249AB"/>
    <w:rsid w:val="00024DC7"/>
    <w:rsid w:val="00024E07"/>
    <w:rsid w:val="00024E99"/>
    <w:rsid w:val="00025054"/>
    <w:rsid w:val="0002519B"/>
    <w:rsid w:val="000252C0"/>
    <w:rsid w:val="000256D2"/>
    <w:rsid w:val="00025D09"/>
    <w:rsid w:val="00025DE9"/>
    <w:rsid w:val="000269FC"/>
    <w:rsid w:val="00026FFF"/>
    <w:rsid w:val="00027038"/>
    <w:rsid w:val="000273FB"/>
    <w:rsid w:val="00027550"/>
    <w:rsid w:val="0002781A"/>
    <w:rsid w:val="00027F94"/>
    <w:rsid w:val="00030073"/>
    <w:rsid w:val="000305CF"/>
    <w:rsid w:val="00030659"/>
    <w:rsid w:val="00030812"/>
    <w:rsid w:val="00030883"/>
    <w:rsid w:val="0003133F"/>
    <w:rsid w:val="000313B4"/>
    <w:rsid w:val="000314F7"/>
    <w:rsid w:val="0003154E"/>
    <w:rsid w:val="00031A6F"/>
    <w:rsid w:val="00031CB6"/>
    <w:rsid w:val="00031F91"/>
    <w:rsid w:val="00032446"/>
    <w:rsid w:val="000324BF"/>
    <w:rsid w:val="00032E3A"/>
    <w:rsid w:val="000330D3"/>
    <w:rsid w:val="000334F1"/>
    <w:rsid w:val="000341F6"/>
    <w:rsid w:val="00034593"/>
    <w:rsid w:val="00034D7E"/>
    <w:rsid w:val="000350A1"/>
    <w:rsid w:val="00035164"/>
    <w:rsid w:val="00035579"/>
    <w:rsid w:val="00035744"/>
    <w:rsid w:val="00035875"/>
    <w:rsid w:val="00035BED"/>
    <w:rsid w:val="0003643F"/>
    <w:rsid w:val="00036FC5"/>
    <w:rsid w:val="000372FC"/>
    <w:rsid w:val="00037403"/>
    <w:rsid w:val="000374FB"/>
    <w:rsid w:val="00037513"/>
    <w:rsid w:val="000375E4"/>
    <w:rsid w:val="00037935"/>
    <w:rsid w:val="00037A39"/>
    <w:rsid w:val="00037D55"/>
    <w:rsid w:val="00037FBB"/>
    <w:rsid w:val="0004063B"/>
    <w:rsid w:val="00041481"/>
    <w:rsid w:val="00041588"/>
    <w:rsid w:val="00041BC8"/>
    <w:rsid w:val="0004220C"/>
    <w:rsid w:val="000425BB"/>
    <w:rsid w:val="00042F76"/>
    <w:rsid w:val="0004375A"/>
    <w:rsid w:val="000439B4"/>
    <w:rsid w:val="00044131"/>
    <w:rsid w:val="000441F4"/>
    <w:rsid w:val="0004538D"/>
    <w:rsid w:val="00045409"/>
    <w:rsid w:val="000455BD"/>
    <w:rsid w:val="0004630F"/>
    <w:rsid w:val="00046348"/>
    <w:rsid w:val="000474EA"/>
    <w:rsid w:val="00047597"/>
    <w:rsid w:val="00047FAF"/>
    <w:rsid w:val="0005008F"/>
    <w:rsid w:val="00050291"/>
    <w:rsid w:val="00050964"/>
    <w:rsid w:val="00050A78"/>
    <w:rsid w:val="00050E86"/>
    <w:rsid w:val="000512E5"/>
    <w:rsid w:val="000518BC"/>
    <w:rsid w:val="00051BCB"/>
    <w:rsid w:val="00051DEE"/>
    <w:rsid w:val="00052204"/>
    <w:rsid w:val="0005248D"/>
    <w:rsid w:val="000529F6"/>
    <w:rsid w:val="00052A30"/>
    <w:rsid w:val="00052ADD"/>
    <w:rsid w:val="00052C69"/>
    <w:rsid w:val="00052E37"/>
    <w:rsid w:val="00053493"/>
    <w:rsid w:val="00053A4E"/>
    <w:rsid w:val="00053C98"/>
    <w:rsid w:val="00054897"/>
    <w:rsid w:val="0005494F"/>
    <w:rsid w:val="00054BA7"/>
    <w:rsid w:val="00054DB4"/>
    <w:rsid w:val="00054E07"/>
    <w:rsid w:val="00054F3E"/>
    <w:rsid w:val="000553A7"/>
    <w:rsid w:val="00055BCF"/>
    <w:rsid w:val="000560D1"/>
    <w:rsid w:val="00057081"/>
    <w:rsid w:val="000571A3"/>
    <w:rsid w:val="000572A2"/>
    <w:rsid w:val="00060633"/>
    <w:rsid w:val="0006063E"/>
    <w:rsid w:val="00060D5C"/>
    <w:rsid w:val="00061096"/>
    <w:rsid w:val="00061172"/>
    <w:rsid w:val="000611BD"/>
    <w:rsid w:val="00061444"/>
    <w:rsid w:val="000617F5"/>
    <w:rsid w:val="00061F46"/>
    <w:rsid w:val="00063BEE"/>
    <w:rsid w:val="00064343"/>
    <w:rsid w:val="000647EE"/>
    <w:rsid w:val="00066021"/>
    <w:rsid w:val="00066156"/>
    <w:rsid w:val="00066200"/>
    <w:rsid w:val="0006627F"/>
    <w:rsid w:val="000666BA"/>
    <w:rsid w:val="00066D7F"/>
    <w:rsid w:val="00067091"/>
    <w:rsid w:val="00067108"/>
    <w:rsid w:val="00067B29"/>
    <w:rsid w:val="00067C6C"/>
    <w:rsid w:val="00067FAA"/>
    <w:rsid w:val="0007008F"/>
    <w:rsid w:val="00070671"/>
    <w:rsid w:val="000708A6"/>
    <w:rsid w:val="00070E7D"/>
    <w:rsid w:val="000711DC"/>
    <w:rsid w:val="00071B01"/>
    <w:rsid w:val="00071C65"/>
    <w:rsid w:val="00071E00"/>
    <w:rsid w:val="000721D4"/>
    <w:rsid w:val="000726C1"/>
    <w:rsid w:val="00072E36"/>
    <w:rsid w:val="000732EF"/>
    <w:rsid w:val="0007333A"/>
    <w:rsid w:val="00073B46"/>
    <w:rsid w:val="00073C38"/>
    <w:rsid w:val="00073EE3"/>
    <w:rsid w:val="00075031"/>
    <w:rsid w:val="00075264"/>
    <w:rsid w:val="00075987"/>
    <w:rsid w:val="000761B9"/>
    <w:rsid w:val="000762A1"/>
    <w:rsid w:val="000762DF"/>
    <w:rsid w:val="000763F2"/>
    <w:rsid w:val="000766F5"/>
    <w:rsid w:val="000768CA"/>
    <w:rsid w:val="0007694B"/>
    <w:rsid w:val="00076989"/>
    <w:rsid w:val="00076B82"/>
    <w:rsid w:val="00076C6E"/>
    <w:rsid w:val="0007771B"/>
    <w:rsid w:val="0008059D"/>
    <w:rsid w:val="000808C6"/>
    <w:rsid w:val="00080BC5"/>
    <w:rsid w:val="00080FA1"/>
    <w:rsid w:val="0008216D"/>
    <w:rsid w:val="00082629"/>
    <w:rsid w:val="00082926"/>
    <w:rsid w:val="00082B30"/>
    <w:rsid w:val="00082C9A"/>
    <w:rsid w:val="000833A8"/>
    <w:rsid w:val="00083893"/>
    <w:rsid w:val="000838C1"/>
    <w:rsid w:val="0008437E"/>
    <w:rsid w:val="00084C71"/>
    <w:rsid w:val="00084CC7"/>
    <w:rsid w:val="00085350"/>
    <w:rsid w:val="00085F0E"/>
    <w:rsid w:val="000862EB"/>
    <w:rsid w:val="000865A4"/>
    <w:rsid w:val="00086B3A"/>
    <w:rsid w:val="00086C17"/>
    <w:rsid w:val="00086E4D"/>
    <w:rsid w:val="00087807"/>
    <w:rsid w:val="00087B1E"/>
    <w:rsid w:val="00090260"/>
    <w:rsid w:val="00090D5C"/>
    <w:rsid w:val="00090E0B"/>
    <w:rsid w:val="000918B4"/>
    <w:rsid w:val="00091E6B"/>
    <w:rsid w:val="00092130"/>
    <w:rsid w:val="0009248E"/>
    <w:rsid w:val="00092543"/>
    <w:rsid w:val="0009266C"/>
    <w:rsid w:val="00092D94"/>
    <w:rsid w:val="00093584"/>
    <w:rsid w:val="00093597"/>
    <w:rsid w:val="000935CE"/>
    <w:rsid w:val="000936D5"/>
    <w:rsid w:val="00093BD8"/>
    <w:rsid w:val="00093F18"/>
    <w:rsid w:val="0009485D"/>
    <w:rsid w:val="00094918"/>
    <w:rsid w:val="000951C9"/>
    <w:rsid w:val="00095202"/>
    <w:rsid w:val="00095BB1"/>
    <w:rsid w:val="00095D2C"/>
    <w:rsid w:val="00095F15"/>
    <w:rsid w:val="00095F79"/>
    <w:rsid w:val="00096477"/>
    <w:rsid w:val="000965F2"/>
    <w:rsid w:val="0009688B"/>
    <w:rsid w:val="00096C4D"/>
    <w:rsid w:val="00096D71"/>
    <w:rsid w:val="000975F1"/>
    <w:rsid w:val="00097893"/>
    <w:rsid w:val="00097F21"/>
    <w:rsid w:val="000A022D"/>
    <w:rsid w:val="000A09D4"/>
    <w:rsid w:val="000A0F8C"/>
    <w:rsid w:val="000A1393"/>
    <w:rsid w:val="000A1395"/>
    <w:rsid w:val="000A139D"/>
    <w:rsid w:val="000A157A"/>
    <w:rsid w:val="000A224E"/>
    <w:rsid w:val="000A2A7C"/>
    <w:rsid w:val="000A30F4"/>
    <w:rsid w:val="000A319A"/>
    <w:rsid w:val="000A3416"/>
    <w:rsid w:val="000A3E92"/>
    <w:rsid w:val="000A3EF4"/>
    <w:rsid w:val="000A3FF9"/>
    <w:rsid w:val="000A49DA"/>
    <w:rsid w:val="000A5047"/>
    <w:rsid w:val="000A566A"/>
    <w:rsid w:val="000A56C1"/>
    <w:rsid w:val="000A5A08"/>
    <w:rsid w:val="000A5AF3"/>
    <w:rsid w:val="000A5C8A"/>
    <w:rsid w:val="000A5E7C"/>
    <w:rsid w:val="000A67A5"/>
    <w:rsid w:val="000A6A61"/>
    <w:rsid w:val="000A6C93"/>
    <w:rsid w:val="000A7159"/>
    <w:rsid w:val="000A71D4"/>
    <w:rsid w:val="000A742A"/>
    <w:rsid w:val="000A7EEE"/>
    <w:rsid w:val="000B0512"/>
    <w:rsid w:val="000B10AE"/>
    <w:rsid w:val="000B1183"/>
    <w:rsid w:val="000B168F"/>
    <w:rsid w:val="000B1B02"/>
    <w:rsid w:val="000B206B"/>
    <w:rsid w:val="000B2130"/>
    <w:rsid w:val="000B25EE"/>
    <w:rsid w:val="000B2AFD"/>
    <w:rsid w:val="000B2BA7"/>
    <w:rsid w:val="000B2BC5"/>
    <w:rsid w:val="000B2D63"/>
    <w:rsid w:val="000B3417"/>
    <w:rsid w:val="000B3669"/>
    <w:rsid w:val="000B3C5F"/>
    <w:rsid w:val="000B3CC2"/>
    <w:rsid w:val="000B4D50"/>
    <w:rsid w:val="000B5033"/>
    <w:rsid w:val="000B5686"/>
    <w:rsid w:val="000B582D"/>
    <w:rsid w:val="000B5FA8"/>
    <w:rsid w:val="000B6126"/>
    <w:rsid w:val="000B6241"/>
    <w:rsid w:val="000B6395"/>
    <w:rsid w:val="000B68CC"/>
    <w:rsid w:val="000B6A28"/>
    <w:rsid w:val="000B6D14"/>
    <w:rsid w:val="000B6DF6"/>
    <w:rsid w:val="000B6F1A"/>
    <w:rsid w:val="000C0162"/>
    <w:rsid w:val="000C0483"/>
    <w:rsid w:val="000C11EF"/>
    <w:rsid w:val="000C1294"/>
    <w:rsid w:val="000C1AD8"/>
    <w:rsid w:val="000C1E60"/>
    <w:rsid w:val="000C200A"/>
    <w:rsid w:val="000C2802"/>
    <w:rsid w:val="000C2BF3"/>
    <w:rsid w:val="000C3216"/>
    <w:rsid w:val="000C325F"/>
    <w:rsid w:val="000C387F"/>
    <w:rsid w:val="000C38F1"/>
    <w:rsid w:val="000C39B4"/>
    <w:rsid w:val="000C3FBC"/>
    <w:rsid w:val="000C4277"/>
    <w:rsid w:val="000C46F3"/>
    <w:rsid w:val="000C4C72"/>
    <w:rsid w:val="000C4F54"/>
    <w:rsid w:val="000C5457"/>
    <w:rsid w:val="000C5878"/>
    <w:rsid w:val="000C5C2F"/>
    <w:rsid w:val="000C5D80"/>
    <w:rsid w:val="000C70AF"/>
    <w:rsid w:val="000C71DE"/>
    <w:rsid w:val="000C7C6E"/>
    <w:rsid w:val="000C7E65"/>
    <w:rsid w:val="000C7F8F"/>
    <w:rsid w:val="000D0B54"/>
    <w:rsid w:val="000D1281"/>
    <w:rsid w:val="000D1366"/>
    <w:rsid w:val="000D1409"/>
    <w:rsid w:val="000D1C31"/>
    <w:rsid w:val="000D224E"/>
    <w:rsid w:val="000D22E6"/>
    <w:rsid w:val="000D25AF"/>
    <w:rsid w:val="000D2AF6"/>
    <w:rsid w:val="000D2DDE"/>
    <w:rsid w:val="000D37CB"/>
    <w:rsid w:val="000D3ACE"/>
    <w:rsid w:val="000D3DAE"/>
    <w:rsid w:val="000D3EE4"/>
    <w:rsid w:val="000D49B5"/>
    <w:rsid w:val="000D5585"/>
    <w:rsid w:val="000D62D3"/>
    <w:rsid w:val="000D6423"/>
    <w:rsid w:val="000D6CB9"/>
    <w:rsid w:val="000D6DC9"/>
    <w:rsid w:val="000D6E2F"/>
    <w:rsid w:val="000D749D"/>
    <w:rsid w:val="000D7551"/>
    <w:rsid w:val="000D7B0F"/>
    <w:rsid w:val="000E00CA"/>
    <w:rsid w:val="000E0138"/>
    <w:rsid w:val="000E0228"/>
    <w:rsid w:val="000E06AD"/>
    <w:rsid w:val="000E09A8"/>
    <w:rsid w:val="000E0A3F"/>
    <w:rsid w:val="000E0A5B"/>
    <w:rsid w:val="000E1378"/>
    <w:rsid w:val="000E15E6"/>
    <w:rsid w:val="000E15FD"/>
    <w:rsid w:val="000E1E04"/>
    <w:rsid w:val="000E2027"/>
    <w:rsid w:val="000E2D3C"/>
    <w:rsid w:val="000E2E6D"/>
    <w:rsid w:val="000E3187"/>
    <w:rsid w:val="000E33CF"/>
    <w:rsid w:val="000E35BF"/>
    <w:rsid w:val="000E3CA2"/>
    <w:rsid w:val="000E4761"/>
    <w:rsid w:val="000E48A3"/>
    <w:rsid w:val="000E4FEC"/>
    <w:rsid w:val="000E5071"/>
    <w:rsid w:val="000E5184"/>
    <w:rsid w:val="000E52F4"/>
    <w:rsid w:val="000E55EC"/>
    <w:rsid w:val="000E66AA"/>
    <w:rsid w:val="000E68BC"/>
    <w:rsid w:val="000E6DC7"/>
    <w:rsid w:val="000E732A"/>
    <w:rsid w:val="000E7356"/>
    <w:rsid w:val="000F0FCE"/>
    <w:rsid w:val="000F1203"/>
    <w:rsid w:val="000F1E28"/>
    <w:rsid w:val="000F1F6F"/>
    <w:rsid w:val="000F2440"/>
    <w:rsid w:val="000F275E"/>
    <w:rsid w:val="000F29FB"/>
    <w:rsid w:val="000F2A66"/>
    <w:rsid w:val="000F3053"/>
    <w:rsid w:val="000F3B6B"/>
    <w:rsid w:val="000F40B6"/>
    <w:rsid w:val="000F4295"/>
    <w:rsid w:val="000F45B9"/>
    <w:rsid w:val="000F4E59"/>
    <w:rsid w:val="000F4E64"/>
    <w:rsid w:val="000F5068"/>
    <w:rsid w:val="000F513C"/>
    <w:rsid w:val="000F5255"/>
    <w:rsid w:val="000F544D"/>
    <w:rsid w:val="000F5A75"/>
    <w:rsid w:val="000F5B13"/>
    <w:rsid w:val="000F5F7A"/>
    <w:rsid w:val="000F5FE1"/>
    <w:rsid w:val="000F6561"/>
    <w:rsid w:val="000F667A"/>
    <w:rsid w:val="000F66F4"/>
    <w:rsid w:val="000F6E1A"/>
    <w:rsid w:val="000F6E8E"/>
    <w:rsid w:val="000F75BD"/>
    <w:rsid w:val="000F75ED"/>
    <w:rsid w:val="000F7CED"/>
    <w:rsid w:val="00100AE9"/>
    <w:rsid w:val="00100CAE"/>
    <w:rsid w:val="001015F3"/>
    <w:rsid w:val="00101D6C"/>
    <w:rsid w:val="0010207D"/>
    <w:rsid w:val="00102A8E"/>
    <w:rsid w:val="00102FCE"/>
    <w:rsid w:val="00103187"/>
    <w:rsid w:val="001033F6"/>
    <w:rsid w:val="001038CD"/>
    <w:rsid w:val="001038F5"/>
    <w:rsid w:val="00103D9F"/>
    <w:rsid w:val="00104006"/>
    <w:rsid w:val="00104594"/>
    <w:rsid w:val="00104A27"/>
    <w:rsid w:val="00104F13"/>
    <w:rsid w:val="00105154"/>
    <w:rsid w:val="0010520E"/>
    <w:rsid w:val="0010594C"/>
    <w:rsid w:val="00105CAA"/>
    <w:rsid w:val="00106277"/>
    <w:rsid w:val="0010652A"/>
    <w:rsid w:val="001065F2"/>
    <w:rsid w:val="00106623"/>
    <w:rsid w:val="0010691E"/>
    <w:rsid w:val="0010797B"/>
    <w:rsid w:val="001104D9"/>
    <w:rsid w:val="00110970"/>
    <w:rsid w:val="00110B39"/>
    <w:rsid w:val="00110DD0"/>
    <w:rsid w:val="001112EA"/>
    <w:rsid w:val="00111886"/>
    <w:rsid w:val="00111D16"/>
    <w:rsid w:val="00111F6B"/>
    <w:rsid w:val="00112445"/>
    <w:rsid w:val="00112D6F"/>
    <w:rsid w:val="00112EDC"/>
    <w:rsid w:val="001132BE"/>
    <w:rsid w:val="00113544"/>
    <w:rsid w:val="00113903"/>
    <w:rsid w:val="00115264"/>
    <w:rsid w:val="0011532C"/>
    <w:rsid w:val="001155EF"/>
    <w:rsid w:val="00115A8B"/>
    <w:rsid w:val="00115E6B"/>
    <w:rsid w:val="001162C8"/>
    <w:rsid w:val="0011662F"/>
    <w:rsid w:val="00116740"/>
    <w:rsid w:val="00116B4D"/>
    <w:rsid w:val="00117279"/>
    <w:rsid w:val="00117321"/>
    <w:rsid w:val="00117A77"/>
    <w:rsid w:val="00117CCC"/>
    <w:rsid w:val="00117E93"/>
    <w:rsid w:val="001204CD"/>
    <w:rsid w:val="0012097B"/>
    <w:rsid w:val="00120B1F"/>
    <w:rsid w:val="0012232F"/>
    <w:rsid w:val="001230AF"/>
    <w:rsid w:val="00123163"/>
    <w:rsid w:val="00123659"/>
    <w:rsid w:val="00123B12"/>
    <w:rsid w:val="00123D01"/>
    <w:rsid w:val="00124563"/>
    <w:rsid w:val="001254AB"/>
    <w:rsid w:val="0012595F"/>
    <w:rsid w:val="00125AF1"/>
    <w:rsid w:val="00125BFD"/>
    <w:rsid w:val="0012638D"/>
    <w:rsid w:val="00126A67"/>
    <w:rsid w:val="00126AAC"/>
    <w:rsid w:val="00126BF5"/>
    <w:rsid w:val="00126C59"/>
    <w:rsid w:val="0012758E"/>
    <w:rsid w:val="00127B9A"/>
    <w:rsid w:val="00127D59"/>
    <w:rsid w:val="001301B6"/>
    <w:rsid w:val="0013061D"/>
    <w:rsid w:val="00130868"/>
    <w:rsid w:val="00130CE9"/>
    <w:rsid w:val="001315E8"/>
    <w:rsid w:val="00131872"/>
    <w:rsid w:val="00131B59"/>
    <w:rsid w:val="00131E79"/>
    <w:rsid w:val="00131E93"/>
    <w:rsid w:val="0013207E"/>
    <w:rsid w:val="00132165"/>
    <w:rsid w:val="0013255D"/>
    <w:rsid w:val="001325CE"/>
    <w:rsid w:val="0013312C"/>
    <w:rsid w:val="001331B4"/>
    <w:rsid w:val="001337D0"/>
    <w:rsid w:val="00133DF8"/>
    <w:rsid w:val="001341F4"/>
    <w:rsid w:val="00134502"/>
    <w:rsid w:val="001345B4"/>
    <w:rsid w:val="00134C6F"/>
    <w:rsid w:val="00134C73"/>
    <w:rsid w:val="00134F0D"/>
    <w:rsid w:val="0013562C"/>
    <w:rsid w:val="00135687"/>
    <w:rsid w:val="00135693"/>
    <w:rsid w:val="001356E1"/>
    <w:rsid w:val="001359AE"/>
    <w:rsid w:val="00135B27"/>
    <w:rsid w:val="00135C51"/>
    <w:rsid w:val="00135D11"/>
    <w:rsid w:val="001364B0"/>
    <w:rsid w:val="00136601"/>
    <w:rsid w:val="00136733"/>
    <w:rsid w:val="00136E12"/>
    <w:rsid w:val="00136F9B"/>
    <w:rsid w:val="00137026"/>
    <w:rsid w:val="001372CC"/>
    <w:rsid w:val="001375B6"/>
    <w:rsid w:val="00137DF0"/>
    <w:rsid w:val="00140568"/>
    <w:rsid w:val="0014056A"/>
    <w:rsid w:val="00140E5A"/>
    <w:rsid w:val="001410A3"/>
    <w:rsid w:val="0014151F"/>
    <w:rsid w:val="0014185C"/>
    <w:rsid w:val="00141DAB"/>
    <w:rsid w:val="00142072"/>
    <w:rsid w:val="001425A8"/>
    <w:rsid w:val="00142C75"/>
    <w:rsid w:val="00143378"/>
    <w:rsid w:val="0014359B"/>
    <w:rsid w:val="0014429C"/>
    <w:rsid w:val="00144C31"/>
    <w:rsid w:val="00144EAD"/>
    <w:rsid w:val="00145065"/>
    <w:rsid w:val="0014524A"/>
    <w:rsid w:val="00145360"/>
    <w:rsid w:val="00145526"/>
    <w:rsid w:val="001459BA"/>
    <w:rsid w:val="00145A2F"/>
    <w:rsid w:val="00145CEA"/>
    <w:rsid w:val="00145F59"/>
    <w:rsid w:val="001462D6"/>
    <w:rsid w:val="001466BE"/>
    <w:rsid w:val="00146796"/>
    <w:rsid w:val="001474F3"/>
    <w:rsid w:val="0014753A"/>
    <w:rsid w:val="00147821"/>
    <w:rsid w:val="001478FD"/>
    <w:rsid w:val="001479BB"/>
    <w:rsid w:val="00147D1E"/>
    <w:rsid w:val="00147F7A"/>
    <w:rsid w:val="0015010D"/>
    <w:rsid w:val="0015013C"/>
    <w:rsid w:val="00150835"/>
    <w:rsid w:val="00150C76"/>
    <w:rsid w:val="001515A5"/>
    <w:rsid w:val="0015282C"/>
    <w:rsid w:val="00152A02"/>
    <w:rsid w:val="001530DA"/>
    <w:rsid w:val="00153635"/>
    <w:rsid w:val="00154504"/>
    <w:rsid w:val="001549BF"/>
    <w:rsid w:val="00155219"/>
    <w:rsid w:val="001553DF"/>
    <w:rsid w:val="0015543F"/>
    <w:rsid w:val="00155883"/>
    <w:rsid w:val="001558F6"/>
    <w:rsid w:val="00155A69"/>
    <w:rsid w:val="00155C04"/>
    <w:rsid w:val="001560AA"/>
    <w:rsid w:val="0015658A"/>
    <w:rsid w:val="00156684"/>
    <w:rsid w:val="00157374"/>
    <w:rsid w:val="00157A0F"/>
    <w:rsid w:val="00160051"/>
    <w:rsid w:val="001601E3"/>
    <w:rsid w:val="0016091E"/>
    <w:rsid w:val="00160C6D"/>
    <w:rsid w:val="00160C7E"/>
    <w:rsid w:val="001611BF"/>
    <w:rsid w:val="001611FD"/>
    <w:rsid w:val="0016134E"/>
    <w:rsid w:val="0016139C"/>
    <w:rsid w:val="00161803"/>
    <w:rsid w:val="00161986"/>
    <w:rsid w:val="00161DC7"/>
    <w:rsid w:val="001621AE"/>
    <w:rsid w:val="00162768"/>
    <w:rsid w:val="00162D40"/>
    <w:rsid w:val="001631C8"/>
    <w:rsid w:val="001634FF"/>
    <w:rsid w:val="00163832"/>
    <w:rsid w:val="00163BCE"/>
    <w:rsid w:val="00163CCF"/>
    <w:rsid w:val="00163DDA"/>
    <w:rsid w:val="001641DF"/>
    <w:rsid w:val="00164563"/>
    <w:rsid w:val="001649B6"/>
    <w:rsid w:val="00164D8B"/>
    <w:rsid w:val="00164F03"/>
    <w:rsid w:val="00165BD9"/>
    <w:rsid w:val="00165CC4"/>
    <w:rsid w:val="001663DC"/>
    <w:rsid w:val="00166422"/>
    <w:rsid w:val="00166700"/>
    <w:rsid w:val="001668AF"/>
    <w:rsid w:val="0016692C"/>
    <w:rsid w:val="00167028"/>
    <w:rsid w:val="001672A9"/>
    <w:rsid w:val="00167B19"/>
    <w:rsid w:val="00167D07"/>
    <w:rsid w:val="0017012A"/>
    <w:rsid w:val="00170166"/>
    <w:rsid w:val="00170ECF"/>
    <w:rsid w:val="00171217"/>
    <w:rsid w:val="001714B8"/>
    <w:rsid w:val="00171891"/>
    <w:rsid w:val="00171B0C"/>
    <w:rsid w:val="00171BDA"/>
    <w:rsid w:val="00172886"/>
    <w:rsid w:val="00172E50"/>
    <w:rsid w:val="00173CF0"/>
    <w:rsid w:val="00173CF5"/>
    <w:rsid w:val="0017436A"/>
    <w:rsid w:val="0017458E"/>
    <w:rsid w:val="00175510"/>
    <w:rsid w:val="001756D8"/>
    <w:rsid w:val="001758DA"/>
    <w:rsid w:val="00175A72"/>
    <w:rsid w:val="00175B7A"/>
    <w:rsid w:val="00175DA9"/>
    <w:rsid w:val="00175F06"/>
    <w:rsid w:val="00176685"/>
    <w:rsid w:val="001766DD"/>
    <w:rsid w:val="00176C2F"/>
    <w:rsid w:val="00176E7F"/>
    <w:rsid w:val="00177716"/>
    <w:rsid w:val="00180131"/>
    <w:rsid w:val="001801EC"/>
    <w:rsid w:val="00180270"/>
    <w:rsid w:val="0018096E"/>
    <w:rsid w:val="00181396"/>
    <w:rsid w:val="001813CB"/>
    <w:rsid w:val="001818CA"/>
    <w:rsid w:val="001820B9"/>
    <w:rsid w:val="00182288"/>
    <w:rsid w:val="001826C2"/>
    <w:rsid w:val="00182BF5"/>
    <w:rsid w:val="00182F4C"/>
    <w:rsid w:val="00183695"/>
    <w:rsid w:val="001846B3"/>
    <w:rsid w:val="001855EA"/>
    <w:rsid w:val="00185CDF"/>
    <w:rsid w:val="001863FF"/>
    <w:rsid w:val="0018642D"/>
    <w:rsid w:val="0018655D"/>
    <w:rsid w:val="001866F3"/>
    <w:rsid w:val="00186A56"/>
    <w:rsid w:val="00186FE5"/>
    <w:rsid w:val="0018709D"/>
    <w:rsid w:val="00187B69"/>
    <w:rsid w:val="00190CD9"/>
    <w:rsid w:val="00191099"/>
    <w:rsid w:val="0019170F"/>
    <w:rsid w:val="00191BBA"/>
    <w:rsid w:val="00191D6C"/>
    <w:rsid w:val="00191EBD"/>
    <w:rsid w:val="0019278A"/>
    <w:rsid w:val="0019290D"/>
    <w:rsid w:val="00192AC6"/>
    <w:rsid w:val="00192EE0"/>
    <w:rsid w:val="00193A69"/>
    <w:rsid w:val="00193CBF"/>
    <w:rsid w:val="00194063"/>
    <w:rsid w:val="0019421A"/>
    <w:rsid w:val="001953B9"/>
    <w:rsid w:val="001954B4"/>
    <w:rsid w:val="0019563F"/>
    <w:rsid w:val="001959A7"/>
    <w:rsid w:val="00195F45"/>
    <w:rsid w:val="0019638E"/>
    <w:rsid w:val="001973C1"/>
    <w:rsid w:val="0019754D"/>
    <w:rsid w:val="00197579"/>
    <w:rsid w:val="00197936"/>
    <w:rsid w:val="00197D98"/>
    <w:rsid w:val="00197DC8"/>
    <w:rsid w:val="00197DCC"/>
    <w:rsid w:val="001A01E6"/>
    <w:rsid w:val="001A04B1"/>
    <w:rsid w:val="001A0EA2"/>
    <w:rsid w:val="001A15A5"/>
    <w:rsid w:val="001A1DCB"/>
    <w:rsid w:val="001A204B"/>
    <w:rsid w:val="001A214E"/>
    <w:rsid w:val="001A2301"/>
    <w:rsid w:val="001A2F8D"/>
    <w:rsid w:val="001A32BF"/>
    <w:rsid w:val="001A3D73"/>
    <w:rsid w:val="001A4473"/>
    <w:rsid w:val="001A4800"/>
    <w:rsid w:val="001A4976"/>
    <w:rsid w:val="001A4DC8"/>
    <w:rsid w:val="001A5832"/>
    <w:rsid w:val="001A586C"/>
    <w:rsid w:val="001A5C9A"/>
    <w:rsid w:val="001A5E33"/>
    <w:rsid w:val="001A63C8"/>
    <w:rsid w:val="001A6FD3"/>
    <w:rsid w:val="001A6FE8"/>
    <w:rsid w:val="001A7237"/>
    <w:rsid w:val="001A7485"/>
    <w:rsid w:val="001A76AA"/>
    <w:rsid w:val="001A776E"/>
    <w:rsid w:val="001B0029"/>
    <w:rsid w:val="001B04CD"/>
    <w:rsid w:val="001B0527"/>
    <w:rsid w:val="001B0961"/>
    <w:rsid w:val="001B0AA5"/>
    <w:rsid w:val="001B0E23"/>
    <w:rsid w:val="001B12A2"/>
    <w:rsid w:val="001B1308"/>
    <w:rsid w:val="001B17C7"/>
    <w:rsid w:val="001B1BF1"/>
    <w:rsid w:val="001B2648"/>
    <w:rsid w:val="001B26C8"/>
    <w:rsid w:val="001B2722"/>
    <w:rsid w:val="001B2749"/>
    <w:rsid w:val="001B2D56"/>
    <w:rsid w:val="001B321C"/>
    <w:rsid w:val="001B34BC"/>
    <w:rsid w:val="001B38CF"/>
    <w:rsid w:val="001B3EEF"/>
    <w:rsid w:val="001B3F49"/>
    <w:rsid w:val="001B4070"/>
    <w:rsid w:val="001B4B29"/>
    <w:rsid w:val="001B4C78"/>
    <w:rsid w:val="001B5B14"/>
    <w:rsid w:val="001B5FE1"/>
    <w:rsid w:val="001B60F7"/>
    <w:rsid w:val="001B6167"/>
    <w:rsid w:val="001B6497"/>
    <w:rsid w:val="001B688A"/>
    <w:rsid w:val="001B68A7"/>
    <w:rsid w:val="001B68BE"/>
    <w:rsid w:val="001B6AA7"/>
    <w:rsid w:val="001B6E13"/>
    <w:rsid w:val="001B6E3D"/>
    <w:rsid w:val="001B7407"/>
    <w:rsid w:val="001B755F"/>
    <w:rsid w:val="001B783F"/>
    <w:rsid w:val="001B7986"/>
    <w:rsid w:val="001B7ED2"/>
    <w:rsid w:val="001B7F78"/>
    <w:rsid w:val="001C002D"/>
    <w:rsid w:val="001C005E"/>
    <w:rsid w:val="001C07DA"/>
    <w:rsid w:val="001C0926"/>
    <w:rsid w:val="001C164D"/>
    <w:rsid w:val="001C181E"/>
    <w:rsid w:val="001C1CF7"/>
    <w:rsid w:val="001C200E"/>
    <w:rsid w:val="001C24CE"/>
    <w:rsid w:val="001C2512"/>
    <w:rsid w:val="001C27C6"/>
    <w:rsid w:val="001C3139"/>
    <w:rsid w:val="001C3563"/>
    <w:rsid w:val="001C3D98"/>
    <w:rsid w:val="001C3FC4"/>
    <w:rsid w:val="001C4CDD"/>
    <w:rsid w:val="001C4FAF"/>
    <w:rsid w:val="001C538B"/>
    <w:rsid w:val="001C53EA"/>
    <w:rsid w:val="001C59B0"/>
    <w:rsid w:val="001C5C8C"/>
    <w:rsid w:val="001C5CF0"/>
    <w:rsid w:val="001C5E5A"/>
    <w:rsid w:val="001C5FD1"/>
    <w:rsid w:val="001C6069"/>
    <w:rsid w:val="001C63C6"/>
    <w:rsid w:val="001C6448"/>
    <w:rsid w:val="001C6B6C"/>
    <w:rsid w:val="001C6E4B"/>
    <w:rsid w:val="001C777A"/>
    <w:rsid w:val="001C7786"/>
    <w:rsid w:val="001C7D74"/>
    <w:rsid w:val="001D07EF"/>
    <w:rsid w:val="001D0C6D"/>
    <w:rsid w:val="001D0F7D"/>
    <w:rsid w:val="001D0FA3"/>
    <w:rsid w:val="001D10CB"/>
    <w:rsid w:val="001D12F1"/>
    <w:rsid w:val="001D1430"/>
    <w:rsid w:val="001D143A"/>
    <w:rsid w:val="001D1A71"/>
    <w:rsid w:val="001D1CDD"/>
    <w:rsid w:val="001D1FB1"/>
    <w:rsid w:val="001D202E"/>
    <w:rsid w:val="001D20A2"/>
    <w:rsid w:val="001D242E"/>
    <w:rsid w:val="001D24C6"/>
    <w:rsid w:val="001D2662"/>
    <w:rsid w:val="001D29A8"/>
    <w:rsid w:val="001D2B12"/>
    <w:rsid w:val="001D2C3A"/>
    <w:rsid w:val="001D30DE"/>
    <w:rsid w:val="001D3378"/>
    <w:rsid w:val="001D4363"/>
    <w:rsid w:val="001D47DC"/>
    <w:rsid w:val="001D4DE8"/>
    <w:rsid w:val="001D4EE6"/>
    <w:rsid w:val="001D5188"/>
    <w:rsid w:val="001D51EA"/>
    <w:rsid w:val="001D5227"/>
    <w:rsid w:val="001D5467"/>
    <w:rsid w:val="001D59A8"/>
    <w:rsid w:val="001D5A6F"/>
    <w:rsid w:val="001D5F92"/>
    <w:rsid w:val="001D6E76"/>
    <w:rsid w:val="001D7735"/>
    <w:rsid w:val="001D7980"/>
    <w:rsid w:val="001D7F20"/>
    <w:rsid w:val="001E02C9"/>
    <w:rsid w:val="001E045A"/>
    <w:rsid w:val="001E063D"/>
    <w:rsid w:val="001E078C"/>
    <w:rsid w:val="001E0BA2"/>
    <w:rsid w:val="001E0CEC"/>
    <w:rsid w:val="001E11C7"/>
    <w:rsid w:val="001E16EE"/>
    <w:rsid w:val="001E18A7"/>
    <w:rsid w:val="001E1A47"/>
    <w:rsid w:val="001E1D58"/>
    <w:rsid w:val="001E1F5D"/>
    <w:rsid w:val="001E2825"/>
    <w:rsid w:val="001E28AF"/>
    <w:rsid w:val="001E2AE6"/>
    <w:rsid w:val="001E3233"/>
    <w:rsid w:val="001E3C19"/>
    <w:rsid w:val="001E4042"/>
    <w:rsid w:val="001E410B"/>
    <w:rsid w:val="001E4539"/>
    <w:rsid w:val="001E45B7"/>
    <w:rsid w:val="001E499E"/>
    <w:rsid w:val="001E4DFF"/>
    <w:rsid w:val="001E4E27"/>
    <w:rsid w:val="001E502C"/>
    <w:rsid w:val="001E6305"/>
    <w:rsid w:val="001E6695"/>
    <w:rsid w:val="001E66E7"/>
    <w:rsid w:val="001E6713"/>
    <w:rsid w:val="001E6946"/>
    <w:rsid w:val="001E71C7"/>
    <w:rsid w:val="001E7322"/>
    <w:rsid w:val="001E7621"/>
    <w:rsid w:val="001E78B0"/>
    <w:rsid w:val="001E7C0E"/>
    <w:rsid w:val="001F008E"/>
    <w:rsid w:val="001F080F"/>
    <w:rsid w:val="001F0866"/>
    <w:rsid w:val="001F0A22"/>
    <w:rsid w:val="001F0F24"/>
    <w:rsid w:val="001F1376"/>
    <w:rsid w:val="001F1485"/>
    <w:rsid w:val="001F1A34"/>
    <w:rsid w:val="001F1DAB"/>
    <w:rsid w:val="001F20B9"/>
    <w:rsid w:val="001F2161"/>
    <w:rsid w:val="001F262A"/>
    <w:rsid w:val="001F26DE"/>
    <w:rsid w:val="001F31A2"/>
    <w:rsid w:val="001F39B2"/>
    <w:rsid w:val="001F3DFB"/>
    <w:rsid w:val="001F3E20"/>
    <w:rsid w:val="001F455E"/>
    <w:rsid w:val="001F4962"/>
    <w:rsid w:val="001F4C00"/>
    <w:rsid w:val="001F5D00"/>
    <w:rsid w:val="001F5D8F"/>
    <w:rsid w:val="001F5E0E"/>
    <w:rsid w:val="001F5E7E"/>
    <w:rsid w:val="001F6B5C"/>
    <w:rsid w:val="001F763D"/>
    <w:rsid w:val="001F796C"/>
    <w:rsid w:val="001F7C02"/>
    <w:rsid w:val="001F7C8E"/>
    <w:rsid w:val="002001FF"/>
    <w:rsid w:val="0020040B"/>
    <w:rsid w:val="00200587"/>
    <w:rsid w:val="002008E2"/>
    <w:rsid w:val="00200C44"/>
    <w:rsid w:val="00200C5E"/>
    <w:rsid w:val="00200DB5"/>
    <w:rsid w:val="00200E82"/>
    <w:rsid w:val="00200ED6"/>
    <w:rsid w:val="0020134D"/>
    <w:rsid w:val="0020188B"/>
    <w:rsid w:val="00202143"/>
    <w:rsid w:val="0020218B"/>
    <w:rsid w:val="0020234C"/>
    <w:rsid w:val="002023A5"/>
    <w:rsid w:val="00202633"/>
    <w:rsid w:val="0020264B"/>
    <w:rsid w:val="002027B0"/>
    <w:rsid w:val="002029FD"/>
    <w:rsid w:val="00202AEA"/>
    <w:rsid w:val="00203203"/>
    <w:rsid w:val="0020329D"/>
    <w:rsid w:val="00203A6A"/>
    <w:rsid w:val="002040B6"/>
    <w:rsid w:val="00204183"/>
    <w:rsid w:val="0020471D"/>
    <w:rsid w:val="00204ED2"/>
    <w:rsid w:val="00204EF3"/>
    <w:rsid w:val="00205346"/>
    <w:rsid w:val="00205A0E"/>
    <w:rsid w:val="00206622"/>
    <w:rsid w:val="00206852"/>
    <w:rsid w:val="00206A92"/>
    <w:rsid w:val="002075AF"/>
    <w:rsid w:val="00207768"/>
    <w:rsid w:val="00207966"/>
    <w:rsid w:val="00210069"/>
    <w:rsid w:val="00210145"/>
    <w:rsid w:val="002101A9"/>
    <w:rsid w:val="0021058F"/>
    <w:rsid w:val="00210691"/>
    <w:rsid w:val="002117DF"/>
    <w:rsid w:val="0021181D"/>
    <w:rsid w:val="00211ADC"/>
    <w:rsid w:val="00211B4A"/>
    <w:rsid w:val="00211D79"/>
    <w:rsid w:val="00211F64"/>
    <w:rsid w:val="00212091"/>
    <w:rsid w:val="002123CE"/>
    <w:rsid w:val="00212443"/>
    <w:rsid w:val="00212993"/>
    <w:rsid w:val="002129EB"/>
    <w:rsid w:val="002139E3"/>
    <w:rsid w:val="002148DE"/>
    <w:rsid w:val="00214AF4"/>
    <w:rsid w:val="00214EF2"/>
    <w:rsid w:val="00215424"/>
    <w:rsid w:val="0021549C"/>
    <w:rsid w:val="0021563A"/>
    <w:rsid w:val="00215AA8"/>
    <w:rsid w:val="00215C77"/>
    <w:rsid w:val="00215CEE"/>
    <w:rsid w:val="00215DA4"/>
    <w:rsid w:val="00215F60"/>
    <w:rsid w:val="002162E7"/>
    <w:rsid w:val="00216530"/>
    <w:rsid w:val="00216E6C"/>
    <w:rsid w:val="00216FB6"/>
    <w:rsid w:val="00217097"/>
    <w:rsid w:val="0021754E"/>
    <w:rsid w:val="002178DB"/>
    <w:rsid w:val="00217E7B"/>
    <w:rsid w:val="00217FC8"/>
    <w:rsid w:val="00220DDA"/>
    <w:rsid w:val="00220FB0"/>
    <w:rsid w:val="0022139F"/>
    <w:rsid w:val="00221BCD"/>
    <w:rsid w:val="00221CB8"/>
    <w:rsid w:val="00221E3D"/>
    <w:rsid w:val="0022208F"/>
    <w:rsid w:val="0022223A"/>
    <w:rsid w:val="002227B0"/>
    <w:rsid w:val="00222D48"/>
    <w:rsid w:val="0022300E"/>
    <w:rsid w:val="0022353A"/>
    <w:rsid w:val="00223933"/>
    <w:rsid w:val="00223CAB"/>
    <w:rsid w:val="00224422"/>
    <w:rsid w:val="002245B3"/>
    <w:rsid w:val="0022468F"/>
    <w:rsid w:val="002246DD"/>
    <w:rsid w:val="0022470E"/>
    <w:rsid w:val="00224D3C"/>
    <w:rsid w:val="00224E25"/>
    <w:rsid w:val="00224FD2"/>
    <w:rsid w:val="002251A9"/>
    <w:rsid w:val="00225B0A"/>
    <w:rsid w:val="002260D0"/>
    <w:rsid w:val="00226903"/>
    <w:rsid w:val="00226DAA"/>
    <w:rsid w:val="002272AD"/>
    <w:rsid w:val="002279BD"/>
    <w:rsid w:val="00227DB5"/>
    <w:rsid w:val="00230236"/>
    <w:rsid w:val="0023035F"/>
    <w:rsid w:val="002306CC"/>
    <w:rsid w:val="00230F67"/>
    <w:rsid w:val="002311A4"/>
    <w:rsid w:val="00231652"/>
    <w:rsid w:val="0023227E"/>
    <w:rsid w:val="002326C7"/>
    <w:rsid w:val="002326F4"/>
    <w:rsid w:val="00232987"/>
    <w:rsid w:val="00232A68"/>
    <w:rsid w:val="00232B89"/>
    <w:rsid w:val="00232BAC"/>
    <w:rsid w:val="00232C71"/>
    <w:rsid w:val="00232E73"/>
    <w:rsid w:val="002331A9"/>
    <w:rsid w:val="002334D6"/>
    <w:rsid w:val="002334F0"/>
    <w:rsid w:val="00234536"/>
    <w:rsid w:val="00234580"/>
    <w:rsid w:val="00234839"/>
    <w:rsid w:val="00234F81"/>
    <w:rsid w:val="0023517F"/>
    <w:rsid w:val="00235327"/>
    <w:rsid w:val="00235618"/>
    <w:rsid w:val="00235CE3"/>
    <w:rsid w:val="0023684E"/>
    <w:rsid w:val="00236BC6"/>
    <w:rsid w:val="00236CBE"/>
    <w:rsid w:val="00237978"/>
    <w:rsid w:val="00237DA0"/>
    <w:rsid w:val="00237DBF"/>
    <w:rsid w:val="0024019B"/>
    <w:rsid w:val="0024030B"/>
    <w:rsid w:val="002409A8"/>
    <w:rsid w:val="00240EBE"/>
    <w:rsid w:val="002411EF"/>
    <w:rsid w:val="002413F7"/>
    <w:rsid w:val="00241521"/>
    <w:rsid w:val="002419F3"/>
    <w:rsid w:val="002421E4"/>
    <w:rsid w:val="00242A94"/>
    <w:rsid w:val="00242ED1"/>
    <w:rsid w:val="0024303D"/>
    <w:rsid w:val="0024355B"/>
    <w:rsid w:val="002435D6"/>
    <w:rsid w:val="0024386B"/>
    <w:rsid w:val="00243E1A"/>
    <w:rsid w:val="0024419B"/>
    <w:rsid w:val="00245039"/>
    <w:rsid w:val="0024515F"/>
    <w:rsid w:val="002456F1"/>
    <w:rsid w:val="002456FC"/>
    <w:rsid w:val="0024581B"/>
    <w:rsid w:val="002459BE"/>
    <w:rsid w:val="00246242"/>
    <w:rsid w:val="00246757"/>
    <w:rsid w:val="00246950"/>
    <w:rsid w:val="00246E30"/>
    <w:rsid w:val="0024746A"/>
    <w:rsid w:val="002475AD"/>
    <w:rsid w:val="002475ED"/>
    <w:rsid w:val="00247604"/>
    <w:rsid w:val="00247868"/>
    <w:rsid w:val="00247A1D"/>
    <w:rsid w:val="00247AB8"/>
    <w:rsid w:val="00247F64"/>
    <w:rsid w:val="002500CE"/>
    <w:rsid w:val="0025071E"/>
    <w:rsid w:val="002509FD"/>
    <w:rsid w:val="00250A04"/>
    <w:rsid w:val="00251138"/>
    <w:rsid w:val="002515D5"/>
    <w:rsid w:val="00251672"/>
    <w:rsid w:val="00251A51"/>
    <w:rsid w:val="00251D83"/>
    <w:rsid w:val="0025208B"/>
    <w:rsid w:val="002525E6"/>
    <w:rsid w:val="00252FD2"/>
    <w:rsid w:val="002532F7"/>
    <w:rsid w:val="0025374B"/>
    <w:rsid w:val="002539A1"/>
    <w:rsid w:val="00253C5A"/>
    <w:rsid w:val="00253E24"/>
    <w:rsid w:val="00253FDE"/>
    <w:rsid w:val="002547A0"/>
    <w:rsid w:val="00254962"/>
    <w:rsid w:val="0025527C"/>
    <w:rsid w:val="00255383"/>
    <w:rsid w:val="002553A7"/>
    <w:rsid w:val="00255928"/>
    <w:rsid w:val="00255D3C"/>
    <w:rsid w:val="00255DE6"/>
    <w:rsid w:val="00256092"/>
    <w:rsid w:val="00256123"/>
    <w:rsid w:val="002563D4"/>
    <w:rsid w:val="00256B85"/>
    <w:rsid w:val="00256C6B"/>
    <w:rsid w:val="00256F09"/>
    <w:rsid w:val="00257A44"/>
    <w:rsid w:val="00257C5E"/>
    <w:rsid w:val="00257EC3"/>
    <w:rsid w:val="00260958"/>
    <w:rsid w:val="00261599"/>
    <w:rsid w:val="0026171E"/>
    <w:rsid w:val="0026199A"/>
    <w:rsid w:val="00261BDF"/>
    <w:rsid w:val="00262BC9"/>
    <w:rsid w:val="00263FB1"/>
    <w:rsid w:val="002645FA"/>
    <w:rsid w:val="00264AA0"/>
    <w:rsid w:val="002650CC"/>
    <w:rsid w:val="00265156"/>
    <w:rsid w:val="002653A7"/>
    <w:rsid w:val="00265EE0"/>
    <w:rsid w:val="00265FE2"/>
    <w:rsid w:val="002664A7"/>
    <w:rsid w:val="002664C4"/>
    <w:rsid w:val="00266613"/>
    <w:rsid w:val="00266CCC"/>
    <w:rsid w:val="00266EB6"/>
    <w:rsid w:val="00266F28"/>
    <w:rsid w:val="0026700C"/>
    <w:rsid w:val="00267278"/>
    <w:rsid w:val="002673CB"/>
    <w:rsid w:val="00267541"/>
    <w:rsid w:val="00267645"/>
    <w:rsid w:val="00267E35"/>
    <w:rsid w:val="002701B0"/>
    <w:rsid w:val="00270B2B"/>
    <w:rsid w:val="00270B62"/>
    <w:rsid w:val="00270D76"/>
    <w:rsid w:val="00270D89"/>
    <w:rsid w:val="00270DCD"/>
    <w:rsid w:val="0027104F"/>
    <w:rsid w:val="0027105D"/>
    <w:rsid w:val="002711BA"/>
    <w:rsid w:val="002716FA"/>
    <w:rsid w:val="00271F84"/>
    <w:rsid w:val="002720CB"/>
    <w:rsid w:val="002726AC"/>
    <w:rsid w:val="00272BD8"/>
    <w:rsid w:val="00272D89"/>
    <w:rsid w:val="00272F88"/>
    <w:rsid w:val="0027314C"/>
    <w:rsid w:val="002734D0"/>
    <w:rsid w:val="002734F1"/>
    <w:rsid w:val="002743EB"/>
    <w:rsid w:val="002747B8"/>
    <w:rsid w:val="002748BF"/>
    <w:rsid w:val="00274C06"/>
    <w:rsid w:val="00274D42"/>
    <w:rsid w:val="00274DFD"/>
    <w:rsid w:val="00275670"/>
    <w:rsid w:val="00275A7C"/>
    <w:rsid w:val="00275B8D"/>
    <w:rsid w:val="00275CC0"/>
    <w:rsid w:val="00275FCB"/>
    <w:rsid w:val="00276271"/>
    <w:rsid w:val="0027636B"/>
    <w:rsid w:val="002766F4"/>
    <w:rsid w:val="00276731"/>
    <w:rsid w:val="0027685F"/>
    <w:rsid w:val="00276B79"/>
    <w:rsid w:val="002771EC"/>
    <w:rsid w:val="00277339"/>
    <w:rsid w:val="002777F7"/>
    <w:rsid w:val="00277877"/>
    <w:rsid w:val="00277EC3"/>
    <w:rsid w:val="00280124"/>
    <w:rsid w:val="00280181"/>
    <w:rsid w:val="00280935"/>
    <w:rsid w:val="00280B89"/>
    <w:rsid w:val="00280F7F"/>
    <w:rsid w:val="00280FC3"/>
    <w:rsid w:val="002816C0"/>
    <w:rsid w:val="00281EB9"/>
    <w:rsid w:val="00281FFB"/>
    <w:rsid w:val="002820B0"/>
    <w:rsid w:val="002822F7"/>
    <w:rsid w:val="00282634"/>
    <w:rsid w:val="002829E0"/>
    <w:rsid w:val="002833DD"/>
    <w:rsid w:val="002839F8"/>
    <w:rsid w:val="00283B70"/>
    <w:rsid w:val="00284049"/>
    <w:rsid w:val="00284089"/>
    <w:rsid w:val="002849D7"/>
    <w:rsid w:val="00284B23"/>
    <w:rsid w:val="00284EE4"/>
    <w:rsid w:val="00285258"/>
    <w:rsid w:val="002857C9"/>
    <w:rsid w:val="00285CAF"/>
    <w:rsid w:val="002861AE"/>
    <w:rsid w:val="0028672F"/>
    <w:rsid w:val="00286981"/>
    <w:rsid w:val="0028728A"/>
    <w:rsid w:val="00290504"/>
    <w:rsid w:val="00290F88"/>
    <w:rsid w:val="00290FAB"/>
    <w:rsid w:val="00291077"/>
    <w:rsid w:val="002912A9"/>
    <w:rsid w:val="002913A5"/>
    <w:rsid w:val="00291568"/>
    <w:rsid w:val="0029187E"/>
    <w:rsid w:val="00291BC3"/>
    <w:rsid w:val="00291C46"/>
    <w:rsid w:val="00292B1F"/>
    <w:rsid w:val="00292BFC"/>
    <w:rsid w:val="0029338D"/>
    <w:rsid w:val="002936E9"/>
    <w:rsid w:val="00293A4E"/>
    <w:rsid w:val="00293D63"/>
    <w:rsid w:val="00293EB7"/>
    <w:rsid w:val="0029414D"/>
    <w:rsid w:val="00294BA2"/>
    <w:rsid w:val="00295756"/>
    <w:rsid w:val="00295B64"/>
    <w:rsid w:val="00296189"/>
    <w:rsid w:val="00296AD4"/>
    <w:rsid w:val="00296CC6"/>
    <w:rsid w:val="00296CD4"/>
    <w:rsid w:val="00296E2D"/>
    <w:rsid w:val="00296F1C"/>
    <w:rsid w:val="0029720A"/>
    <w:rsid w:val="0029753C"/>
    <w:rsid w:val="0029758C"/>
    <w:rsid w:val="002A0B66"/>
    <w:rsid w:val="002A0F32"/>
    <w:rsid w:val="002A14A2"/>
    <w:rsid w:val="002A16D1"/>
    <w:rsid w:val="002A2140"/>
    <w:rsid w:val="002A2157"/>
    <w:rsid w:val="002A2BBC"/>
    <w:rsid w:val="002A2FDD"/>
    <w:rsid w:val="002A30CA"/>
    <w:rsid w:val="002A345E"/>
    <w:rsid w:val="002A373B"/>
    <w:rsid w:val="002A38DA"/>
    <w:rsid w:val="002A43E6"/>
    <w:rsid w:val="002A4457"/>
    <w:rsid w:val="002A445E"/>
    <w:rsid w:val="002A485A"/>
    <w:rsid w:val="002A52EC"/>
    <w:rsid w:val="002A56A2"/>
    <w:rsid w:val="002A5767"/>
    <w:rsid w:val="002A5D10"/>
    <w:rsid w:val="002A5FDD"/>
    <w:rsid w:val="002A6113"/>
    <w:rsid w:val="002A6BE1"/>
    <w:rsid w:val="002A6DCA"/>
    <w:rsid w:val="002A6EE1"/>
    <w:rsid w:val="002A7060"/>
    <w:rsid w:val="002A77F6"/>
    <w:rsid w:val="002A78E2"/>
    <w:rsid w:val="002A7E9A"/>
    <w:rsid w:val="002B0975"/>
    <w:rsid w:val="002B09B7"/>
    <w:rsid w:val="002B0D1D"/>
    <w:rsid w:val="002B0D30"/>
    <w:rsid w:val="002B1184"/>
    <w:rsid w:val="002B1235"/>
    <w:rsid w:val="002B1F2E"/>
    <w:rsid w:val="002B22BC"/>
    <w:rsid w:val="002B26E1"/>
    <w:rsid w:val="002B2854"/>
    <w:rsid w:val="002B3530"/>
    <w:rsid w:val="002B41ED"/>
    <w:rsid w:val="002B46AF"/>
    <w:rsid w:val="002B48AD"/>
    <w:rsid w:val="002B4A1F"/>
    <w:rsid w:val="002B4A76"/>
    <w:rsid w:val="002B4F36"/>
    <w:rsid w:val="002B5363"/>
    <w:rsid w:val="002B54A0"/>
    <w:rsid w:val="002B661A"/>
    <w:rsid w:val="002B67ED"/>
    <w:rsid w:val="002B68BE"/>
    <w:rsid w:val="002B6A7E"/>
    <w:rsid w:val="002B72BC"/>
    <w:rsid w:val="002B785C"/>
    <w:rsid w:val="002C0083"/>
    <w:rsid w:val="002C121F"/>
    <w:rsid w:val="002C12D9"/>
    <w:rsid w:val="002C1AD6"/>
    <w:rsid w:val="002C1C55"/>
    <w:rsid w:val="002C237E"/>
    <w:rsid w:val="002C23A1"/>
    <w:rsid w:val="002C2557"/>
    <w:rsid w:val="002C2771"/>
    <w:rsid w:val="002C3356"/>
    <w:rsid w:val="002C3792"/>
    <w:rsid w:val="002C3BE3"/>
    <w:rsid w:val="002C4185"/>
    <w:rsid w:val="002C430E"/>
    <w:rsid w:val="002C4904"/>
    <w:rsid w:val="002C4D0D"/>
    <w:rsid w:val="002C56EA"/>
    <w:rsid w:val="002C6AAA"/>
    <w:rsid w:val="002C6DDD"/>
    <w:rsid w:val="002C70D3"/>
    <w:rsid w:val="002C72D2"/>
    <w:rsid w:val="002C7A05"/>
    <w:rsid w:val="002C7AE7"/>
    <w:rsid w:val="002C7D35"/>
    <w:rsid w:val="002C7F7F"/>
    <w:rsid w:val="002D0B7D"/>
    <w:rsid w:val="002D100C"/>
    <w:rsid w:val="002D1170"/>
    <w:rsid w:val="002D1259"/>
    <w:rsid w:val="002D160E"/>
    <w:rsid w:val="002D18D1"/>
    <w:rsid w:val="002D1E68"/>
    <w:rsid w:val="002D1F51"/>
    <w:rsid w:val="002D229A"/>
    <w:rsid w:val="002D23AB"/>
    <w:rsid w:val="002D23FC"/>
    <w:rsid w:val="002D24E4"/>
    <w:rsid w:val="002D25CC"/>
    <w:rsid w:val="002D2769"/>
    <w:rsid w:val="002D2911"/>
    <w:rsid w:val="002D2DDA"/>
    <w:rsid w:val="002D2E01"/>
    <w:rsid w:val="002D2E3D"/>
    <w:rsid w:val="002D2FB8"/>
    <w:rsid w:val="002D3281"/>
    <w:rsid w:val="002D3584"/>
    <w:rsid w:val="002D3DA1"/>
    <w:rsid w:val="002D4857"/>
    <w:rsid w:val="002D513A"/>
    <w:rsid w:val="002D5173"/>
    <w:rsid w:val="002D5580"/>
    <w:rsid w:val="002D5850"/>
    <w:rsid w:val="002D5979"/>
    <w:rsid w:val="002D5DAB"/>
    <w:rsid w:val="002D6076"/>
    <w:rsid w:val="002D625C"/>
    <w:rsid w:val="002D6450"/>
    <w:rsid w:val="002D68EB"/>
    <w:rsid w:val="002D6B3D"/>
    <w:rsid w:val="002D77C0"/>
    <w:rsid w:val="002D780D"/>
    <w:rsid w:val="002D7E15"/>
    <w:rsid w:val="002E04D4"/>
    <w:rsid w:val="002E0520"/>
    <w:rsid w:val="002E08D3"/>
    <w:rsid w:val="002E0A24"/>
    <w:rsid w:val="002E0B76"/>
    <w:rsid w:val="002E0DB3"/>
    <w:rsid w:val="002E10FE"/>
    <w:rsid w:val="002E195F"/>
    <w:rsid w:val="002E1C0D"/>
    <w:rsid w:val="002E1C13"/>
    <w:rsid w:val="002E24B6"/>
    <w:rsid w:val="002E2983"/>
    <w:rsid w:val="002E2AF8"/>
    <w:rsid w:val="002E3163"/>
    <w:rsid w:val="002E35DC"/>
    <w:rsid w:val="002E3B20"/>
    <w:rsid w:val="002E3FF5"/>
    <w:rsid w:val="002E41B6"/>
    <w:rsid w:val="002E4256"/>
    <w:rsid w:val="002E4A89"/>
    <w:rsid w:val="002E4CAC"/>
    <w:rsid w:val="002E52C5"/>
    <w:rsid w:val="002E558A"/>
    <w:rsid w:val="002E580D"/>
    <w:rsid w:val="002E5916"/>
    <w:rsid w:val="002E5985"/>
    <w:rsid w:val="002E5B3D"/>
    <w:rsid w:val="002E5C3D"/>
    <w:rsid w:val="002E607E"/>
    <w:rsid w:val="002E6A07"/>
    <w:rsid w:val="002E7390"/>
    <w:rsid w:val="002E7629"/>
    <w:rsid w:val="002E7667"/>
    <w:rsid w:val="002E78AC"/>
    <w:rsid w:val="002E7987"/>
    <w:rsid w:val="002E7E6D"/>
    <w:rsid w:val="002E7FEE"/>
    <w:rsid w:val="002F169D"/>
    <w:rsid w:val="002F1CB8"/>
    <w:rsid w:val="002F1F24"/>
    <w:rsid w:val="002F1FB2"/>
    <w:rsid w:val="002F2259"/>
    <w:rsid w:val="002F2413"/>
    <w:rsid w:val="002F2537"/>
    <w:rsid w:val="002F284E"/>
    <w:rsid w:val="002F2A59"/>
    <w:rsid w:val="002F2C3B"/>
    <w:rsid w:val="002F2CC4"/>
    <w:rsid w:val="002F314C"/>
    <w:rsid w:val="002F37FE"/>
    <w:rsid w:val="002F411C"/>
    <w:rsid w:val="002F42E5"/>
    <w:rsid w:val="002F42E6"/>
    <w:rsid w:val="002F437B"/>
    <w:rsid w:val="002F4ABF"/>
    <w:rsid w:val="002F4E7C"/>
    <w:rsid w:val="002F4F9D"/>
    <w:rsid w:val="002F4FF3"/>
    <w:rsid w:val="002F5183"/>
    <w:rsid w:val="002F54C6"/>
    <w:rsid w:val="002F5795"/>
    <w:rsid w:val="002F5E84"/>
    <w:rsid w:val="002F6514"/>
    <w:rsid w:val="002F67B4"/>
    <w:rsid w:val="002F68A1"/>
    <w:rsid w:val="002F6AAC"/>
    <w:rsid w:val="002F6BC7"/>
    <w:rsid w:val="002F6D80"/>
    <w:rsid w:val="002F73F9"/>
    <w:rsid w:val="002F7A90"/>
    <w:rsid w:val="002F7EA0"/>
    <w:rsid w:val="00300420"/>
    <w:rsid w:val="0030044F"/>
    <w:rsid w:val="00300A6C"/>
    <w:rsid w:val="00301432"/>
    <w:rsid w:val="00301856"/>
    <w:rsid w:val="003019FF"/>
    <w:rsid w:val="00301A01"/>
    <w:rsid w:val="00301E4B"/>
    <w:rsid w:val="0030220E"/>
    <w:rsid w:val="00302D05"/>
    <w:rsid w:val="00302D3E"/>
    <w:rsid w:val="00302EE4"/>
    <w:rsid w:val="003033FB"/>
    <w:rsid w:val="003037A3"/>
    <w:rsid w:val="00303AE4"/>
    <w:rsid w:val="00303C55"/>
    <w:rsid w:val="00303FA2"/>
    <w:rsid w:val="00304EA3"/>
    <w:rsid w:val="003053FA"/>
    <w:rsid w:val="00305686"/>
    <w:rsid w:val="00305C34"/>
    <w:rsid w:val="00305D75"/>
    <w:rsid w:val="00306217"/>
    <w:rsid w:val="003062FA"/>
    <w:rsid w:val="003068C6"/>
    <w:rsid w:val="00306996"/>
    <w:rsid w:val="00307073"/>
    <w:rsid w:val="0030716E"/>
    <w:rsid w:val="003074AC"/>
    <w:rsid w:val="00307A4E"/>
    <w:rsid w:val="00307D56"/>
    <w:rsid w:val="003102CE"/>
    <w:rsid w:val="00310303"/>
    <w:rsid w:val="00310530"/>
    <w:rsid w:val="0031065E"/>
    <w:rsid w:val="003107E9"/>
    <w:rsid w:val="00310ED0"/>
    <w:rsid w:val="0031106A"/>
    <w:rsid w:val="00311188"/>
    <w:rsid w:val="003117B2"/>
    <w:rsid w:val="00311C2D"/>
    <w:rsid w:val="00311FDA"/>
    <w:rsid w:val="003121DF"/>
    <w:rsid w:val="003125C9"/>
    <w:rsid w:val="00312B42"/>
    <w:rsid w:val="00312DE2"/>
    <w:rsid w:val="00312E54"/>
    <w:rsid w:val="00313045"/>
    <w:rsid w:val="00313475"/>
    <w:rsid w:val="003135D1"/>
    <w:rsid w:val="00313E27"/>
    <w:rsid w:val="003149C1"/>
    <w:rsid w:val="00314D9B"/>
    <w:rsid w:val="00314E42"/>
    <w:rsid w:val="00315930"/>
    <w:rsid w:val="00315A68"/>
    <w:rsid w:val="00315E92"/>
    <w:rsid w:val="00316093"/>
    <w:rsid w:val="00316106"/>
    <w:rsid w:val="003162EB"/>
    <w:rsid w:val="0031691C"/>
    <w:rsid w:val="00316C71"/>
    <w:rsid w:val="00316F3F"/>
    <w:rsid w:val="00316F7E"/>
    <w:rsid w:val="00317030"/>
    <w:rsid w:val="003174C4"/>
    <w:rsid w:val="00317631"/>
    <w:rsid w:val="00320460"/>
    <w:rsid w:val="0032060B"/>
    <w:rsid w:val="00320635"/>
    <w:rsid w:val="00320B12"/>
    <w:rsid w:val="00321401"/>
    <w:rsid w:val="00321A23"/>
    <w:rsid w:val="00321F5B"/>
    <w:rsid w:val="00321F67"/>
    <w:rsid w:val="00321FAE"/>
    <w:rsid w:val="00322044"/>
    <w:rsid w:val="00322158"/>
    <w:rsid w:val="003226F6"/>
    <w:rsid w:val="003229DB"/>
    <w:rsid w:val="00322C18"/>
    <w:rsid w:val="00322D33"/>
    <w:rsid w:val="00322E92"/>
    <w:rsid w:val="00323274"/>
    <w:rsid w:val="00323437"/>
    <w:rsid w:val="00323583"/>
    <w:rsid w:val="0032375F"/>
    <w:rsid w:val="003237F8"/>
    <w:rsid w:val="0032399E"/>
    <w:rsid w:val="0032464A"/>
    <w:rsid w:val="00324E91"/>
    <w:rsid w:val="0032504B"/>
    <w:rsid w:val="00325375"/>
    <w:rsid w:val="00325931"/>
    <w:rsid w:val="00325A59"/>
    <w:rsid w:val="00325CB3"/>
    <w:rsid w:val="00325D3C"/>
    <w:rsid w:val="00326888"/>
    <w:rsid w:val="00326B68"/>
    <w:rsid w:val="00326BFB"/>
    <w:rsid w:val="00326DD0"/>
    <w:rsid w:val="00327510"/>
    <w:rsid w:val="0032780C"/>
    <w:rsid w:val="00327C38"/>
    <w:rsid w:val="0033014D"/>
    <w:rsid w:val="00330246"/>
    <w:rsid w:val="0033044B"/>
    <w:rsid w:val="0033049A"/>
    <w:rsid w:val="003309A1"/>
    <w:rsid w:val="00330BC1"/>
    <w:rsid w:val="00331254"/>
    <w:rsid w:val="00331640"/>
    <w:rsid w:val="00331885"/>
    <w:rsid w:val="003319C7"/>
    <w:rsid w:val="00331DC9"/>
    <w:rsid w:val="0033247E"/>
    <w:rsid w:val="00332C2D"/>
    <w:rsid w:val="00332F0A"/>
    <w:rsid w:val="00333101"/>
    <w:rsid w:val="003332A5"/>
    <w:rsid w:val="00333406"/>
    <w:rsid w:val="00333B90"/>
    <w:rsid w:val="00333B91"/>
    <w:rsid w:val="00333C8F"/>
    <w:rsid w:val="00333CE5"/>
    <w:rsid w:val="00333DF0"/>
    <w:rsid w:val="00334444"/>
    <w:rsid w:val="0033457F"/>
    <w:rsid w:val="003348C1"/>
    <w:rsid w:val="00334AE6"/>
    <w:rsid w:val="00335427"/>
    <w:rsid w:val="00335631"/>
    <w:rsid w:val="00335C24"/>
    <w:rsid w:val="00335F6C"/>
    <w:rsid w:val="00336326"/>
    <w:rsid w:val="003369A2"/>
    <w:rsid w:val="00336A0D"/>
    <w:rsid w:val="00336E39"/>
    <w:rsid w:val="0033711A"/>
    <w:rsid w:val="00337621"/>
    <w:rsid w:val="00337651"/>
    <w:rsid w:val="003400D7"/>
    <w:rsid w:val="00340115"/>
    <w:rsid w:val="00340870"/>
    <w:rsid w:val="00340E63"/>
    <w:rsid w:val="00340F89"/>
    <w:rsid w:val="00341809"/>
    <w:rsid w:val="003428C2"/>
    <w:rsid w:val="003431E3"/>
    <w:rsid w:val="00343649"/>
    <w:rsid w:val="003436A6"/>
    <w:rsid w:val="003437B4"/>
    <w:rsid w:val="00343B03"/>
    <w:rsid w:val="00343C49"/>
    <w:rsid w:val="00343C4E"/>
    <w:rsid w:val="00344377"/>
    <w:rsid w:val="00344695"/>
    <w:rsid w:val="003446F3"/>
    <w:rsid w:val="00344734"/>
    <w:rsid w:val="00344747"/>
    <w:rsid w:val="003447DF"/>
    <w:rsid w:val="00344CC7"/>
    <w:rsid w:val="003450CA"/>
    <w:rsid w:val="003453FA"/>
    <w:rsid w:val="00345897"/>
    <w:rsid w:val="0034686B"/>
    <w:rsid w:val="00346921"/>
    <w:rsid w:val="00346B04"/>
    <w:rsid w:val="00346E0E"/>
    <w:rsid w:val="00346F42"/>
    <w:rsid w:val="0034729F"/>
    <w:rsid w:val="0034735F"/>
    <w:rsid w:val="003475C0"/>
    <w:rsid w:val="0034777A"/>
    <w:rsid w:val="00347969"/>
    <w:rsid w:val="00347C66"/>
    <w:rsid w:val="003501ED"/>
    <w:rsid w:val="0035078D"/>
    <w:rsid w:val="003509B9"/>
    <w:rsid w:val="00350A35"/>
    <w:rsid w:val="00350A81"/>
    <w:rsid w:val="00351291"/>
    <w:rsid w:val="00351320"/>
    <w:rsid w:val="003516AA"/>
    <w:rsid w:val="003516CC"/>
    <w:rsid w:val="0035191B"/>
    <w:rsid w:val="00352037"/>
    <w:rsid w:val="00352220"/>
    <w:rsid w:val="0035312A"/>
    <w:rsid w:val="00353E28"/>
    <w:rsid w:val="00353E5E"/>
    <w:rsid w:val="00354145"/>
    <w:rsid w:val="003542A9"/>
    <w:rsid w:val="003548C5"/>
    <w:rsid w:val="00354B8F"/>
    <w:rsid w:val="00354FF3"/>
    <w:rsid w:val="003553EA"/>
    <w:rsid w:val="00355AB7"/>
    <w:rsid w:val="00355C32"/>
    <w:rsid w:val="00355C98"/>
    <w:rsid w:val="00356205"/>
    <w:rsid w:val="003562B2"/>
    <w:rsid w:val="00356A20"/>
    <w:rsid w:val="0035794C"/>
    <w:rsid w:val="00357BF0"/>
    <w:rsid w:val="00360B2A"/>
    <w:rsid w:val="00360B3F"/>
    <w:rsid w:val="00360DE1"/>
    <w:rsid w:val="00360DE4"/>
    <w:rsid w:val="00361020"/>
    <w:rsid w:val="003611CE"/>
    <w:rsid w:val="00361791"/>
    <w:rsid w:val="00361869"/>
    <w:rsid w:val="00361B68"/>
    <w:rsid w:val="003620A1"/>
    <w:rsid w:val="0036252F"/>
    <w:rsid w:val="00362574"/>
    <w:rsid w:val="00362884"/>
    <w:rsid w:val="00362943"/>
    <w:rsid w:val="00363B35"/>
    <w:rsid w:val="00363C5B"/>
    <w:rsid w:val="00363C9B"/>
    <w:rsid w:val="00363CA8"/>
    <w:rsid w:val="00363F52"/>
    <w:rsid w:val="00364C69"/>
    <w:rsid w:val="00364D49"/>
    <w:rsid w:val="00364DF7"/>
    <w:rsid w:val="003650D0"/>
    <w:rsid w:val="00365392"/>
    <w:rsid w:val="00365AD0"/>
    <w:rsid w:val="00365C0B"/>
    <w:rsid w:val="003663E1"/>
    <w:rsid w:val="003664C7"/>
    <w:rsid w:val="00367344"/>
    <w:rsid w:val="00367D2F"/>
    <w:rsid w:val="0037040F"/>
    <w:rsid w:val="003706C9"/>
    <w:rsid w:val="00370B8B"/>
    <w:rsid w:val="00370C1E"/>
    <w:rsid w:val="00370C5C"/>
    <w:rsid w:val="00371476"/>
    <w:rsid w:val="003719DC"/>
    <w:rsid w:val="003724B7"/>
    <w:rsid w:val="00372856"/>
    <w:rsid w:val="003728CA"/>
    <w:rsid w:val="00372BE7"/>
    <w:rsid w:val="00372C06"/>
    <w:rsid w:val="00372D2B"/>
    <w:rsid w:val="00373105"/>
    <w:rsid w:val="0037332C"/>
    <w:rsid w:val="003733E4"/>
    <w:rsid w:val="003736A4"/>
    <w:rsid w:val="00373710"/>
    <w:rsid w:val="00374104"/>
    <w:rsid w:val="0037415C"/>
    <w:rsid w:val="00374569"/>
    <w:rsid w:val="003748B0"/>
    <w:rsid w:val="00374C0F"/>
    <w:rsid w:val="00374D2A"/>
    <w:rsid w:val="00374D30"/>
    <w:rsid w:val="00375004"/>
    <w:rsid w:val="00375647"/>
    <w:rsid w:val="00375731"/>
    <w:rsid w:val="003759F9"/>
    <w:rsid w:val="003763C9"/>
    <w:rsid w:val="00376506"/>
    <w:rsid w:val="003767C2"/>
    <w:rsid w:val="00376974"/>
    <w:rsid w:val="00376AC9"/>
    <w:rsid w:val="00376B8C"/>
    <w:rsid w:val="00376CDD"/>
    <w:rsid w:val="00376FE6"/>
    <w:rsid w:val="00377168"/>
    <w:rsid w:val="0037742C"/>
    <w:rsid w:val="00377561"/>
    <w:rsid w:val="0037757A"/>
    <w:rsid w:val="003778CB"/>
    <w:rsid w:val="00377C11"/>
    <w:rsid w:val="00377C3F"/>
    <w:rsid w:val="00377E83"/>
    <w:rsid w:val="00377ECE"/>
    <w:rsid w:val="003805BD"/>
    <w:rsid w:val="0038108F"/>
    <w:rsid w:val="00381192"/>
    <w:rsid w:val="003816CC"/>
    <w:rsid w:val="0038199E"/>
    <w:rsid w:val="00381F1A"/>
    <w:rsid w:val="003820FC"/>
    <w:rsid w:val="00382DEC"/>
    <w:rsid w:val="00382E4D"/>
    <w:rsid w:val="003839E2"/>
    <w:rsid w:val="003839ED"/>
    <w:rsid w:val="00383B40"/>
    <w:rsid w:val="00383BAE"/>
    <w:rsid w:val="00383DC3"/>
    <w:rsid w:val="00383DD3"/>
    <w:rsid w:val="00383E6B"/>
    <w:rsid w:val="00383E94"/>
    <w:rsid w:val="00383F85"/>
    <w:rsid w:val="003842B2"/>
    <w:rsid w:val="00385646"/>
    <w:rsid w:val="00385660"/>
    <w:rsid w:val="003858D5"/>
    <w:rsid w:val="00385A54"/>
    <w:rsid w:val="00385BD5"/>
    <w:rsid w:val="003866B6"/>
    <w:rsid w:val="003866D1"/>
    <w:rsid w:val="00386857"/>
    <w:rsid w:val="00386A33"/>
    <w:rsid w:val="00386BD5"/>
    <w:rsid w:val="003878CE"/>
    <w:rsid w:val="00387956"/>
    <w:rsid w:val="0038798E"/>
    <w:rsid w:val="00387A33"/>
    <w:rsid w:val="00387FEA"/>
    <w:rsid w:val="00390109"/>
    <w:rsid w:val="003902D5"/>
    <w:rsid w:val="00390432"/>
    <w:rsid w:val="00390D35"/>
    <w:rsid w:val="00391736"/>
    <w:rsid w:val="00391F32"/>
    <w:rsid w:val="00392050"/>
    <w:rsid w:val="00392245"/>
    <w:rsid w:val="003925E4"/>
    <w:rsid w:val="00392AA9"/>
    <w:rsid w:val="00393FD5"/>
    <w:rsid w:val="0039435E"/>
    <w:rsid w:val="0039479C"/>
    <w:rsid w:val="003949FA"/>
    <w:rsid w:val="00394A95"/>
    <w:rsid w:val="00394DBA"/>
    <w:rsid w:val="003957C7"/>
    <w:rsid w:val="00395E89"/>
    <w:rsid w:val="0039624B"/>
    <w:rsid w:val="0039673A"/>
    <w:rsid w:val="00396CD9"/>
    <w:rsid w:val="00397023"/>
    <w:rsid w:val="0039794F"/>
    <w:rsid w:val="00397B8D"/>
    <w:rsid w:val="00397CE1"/>
    <w:rsid w:val="00397E0B"/>
    <w:rsid w:val="00397EEC"/>
    <w:rsid w:val="003A067A"/>
    <w:rsid w:val="003A11F1"/>
    <w:rsid w:val="003A134E"/>
    <w:rsid w:val="003A1B33"/>
    <w:rsid w:val="003A1BEE"/>
    <w:rsid w:val="003A1CAD"/>
    <w:rsid w:val="003A213B"/>
    <w:rsid w:val="003A2782"/>
    <w:rsid w:val="003A2EA8"/>
    <w:rsid w:val="003A3C4A"/>
    <w:rsid w:val="003A3FBE"/>
    <w:rsid w:val="003A4093"/>
    <w:rsid w:val="003A4409"/>
    <w:rsid w:val="003A46EE"/>
    <w:rsid w:val="003A4842"/>
    <w:rsid w:val="003A4913"/>
    <w:rsid w:val="003A49DA"/>
    <w:rsid w:val="003A4C51"/>
    <w:rsid w:val="003A4EDF"/>
    <w:rsid w:val="003A593B"/>
    <w:rsid w:val="003A5F45"/>
    <w:rsid w:val="003A600E"/>
    <w:rsid w:val="003A62C7"/>
    <w:rsid w:val="003A630B"/>
    <w:rsid w:val="003A6544"/>
    <w:rsid w:val="003A77E9"/>
    <w:rsid w:val="003A7D02"/>
    <w:rsid w:val="003B0857"/>
    <w:rsid w:val="003B0D35"/>
    <w:rsid w:val="003B148B"/>
    <w:rsid w:val="003B1637"/>
    <w:rsid w:val="003B18D0"/>
    <w:rsid w:val="003B1C59"/>
    <w:rsid w:val="003B1DE3"/>
    <w:rsid w:val="003B1E4B"/>
    <w:rsid w:val="003B25A1"/>
    <w:rsid w:val="003B27DB"/>
    <w:rsid w:val="003B2ED7"/>
    <w:rsid w:val="003B3318"/>
    <w:rsid w:val="003B3785"/>
    <w:rsid w:val="003B38A3"/>
    <w:rsid w:val="003B3CD2"/>
    <w:rsid w:val="003B3F03"/>
    <w:rsid w:val="003B464E"/>
    <w:rsid w:val="003B4C96"/>
    <w:rsid w:val="003B5014"/>
    <w:rsid w:val="003B54B7"/>
    <w:rsid w:val="003B5FAD"/>
    <w:rsid w:val="003B61C5"/>
    <w:rsid w:val="003B7025"/>
    <w:rsid w:val="003B7345"/>
    <w:rsid w:val="003B73F1"/>
    <w:rsid w:val="003B742F"/>
    <w:rsid w:val="003B746D"/>
    <w:rsid w:val="003B7975"/>
    <w:rsid w:val="003B7BCC"/>
    <w:rsid w:val="003B7D99"/>
    <w:rsid w:val="003B7E5E"/>
    <w:rsid w:val="003C01E5"/>
    <w:rsid w:val="003C0509"/>
    <w:rsid w:val="003C08FA"/>
    <w:rsid w:val="003C1685"/>
    <w:rsid w:val="003C181D"/>
    <w:rsid w:val="003C1DBF"/>
    <w:rsid w:val="003C208F"/>
    <w:rsid w:val="003C2172"/>
    <w:rsid w:val="003C262F"/>
    <w:rsid w:val="003C282F"/>
    <w:rsid w:val="003C28EE"/>
    <w:rsid w:val="003C291D"/>
    <w:rsid w:val="003C3EED"/>
    <w:rsid w:val="003C4120"/>
    <w:rsid w:val="003C4D75"/>
    <w:rsid w:val="003C50B6"/>
    <w:rsid w:val="003C58F0"/>
    <w:rsid w:val="003C598F"/>
    <w:rsid w:val="003C5E6C"/>
    <w:rsid w:val="003C62B2"/>
    <w:rsid w:val="003C6F34"/>
    <w:rsid w:val="003C6F92"/>
    <w:rsid w:val="003C702B"/>
    <w:rsid w:val="003C73DF"/>
    <w:rsid w:val="003C7B74"/>
    <w:rsid w:val="003D0263"/>
    <w:rsid w:val="003D0355"/>
    <w:rsid w:val="003D0686"/>
    <w:rsid w:val="003D0EBA"/>
    <w:rsid w:val="003D1039"/>
    <w:rsid w:val="003D1438"/>
    <w:rsid w:val="003D18AB"/>
    <w:rsid w:val="003D1CB1"/>
    <w:rsid w:val="003D20DE"/>
    <w:rsid w:val="003D237E"/>
    <w:rsid w:val="003D2675"/>
    <w:rsid w:val="003D275A"/>
    <w:rsid w:val="003D28F7"/>
    <w:rsid w:val="003D2E7D"/>
    <w:rsid w:val="003D31A6"/>
    <w:rsid w:val="003D322E"/>
    <w:rsid w:val="003D3264"/>
    <w:rsid w:val="003D37AE"/>
    <w:rsid w:val="003D39A7"/>
    <w:rsid w:val="003D3C8F"/>
    <w:rsid w:val="003D3E34"/>
    <w:rsid w:val="003D4304"/>
    <w:rsid w:val="003D471A"/>
    <w:rsid w:val="003D497B"/>
    <w:rsid w:val="003D4A33"/>
    <w:rsid w:val="003D4AE3"/>
    <w:rsid w:val="003D56BB"/>
    <w:rsid w:val="003D676D"/>
    <w:rsid w:val="003D6FC4"/>
    <w:rsid w:val="003D7482"/>
    <w:rsid w:val="003D78BB"/>
    <w:rsid w:val="003E03D7"/>
    <w:rsid w:val="003E063E"/>
    <w:rsid w:val="003E0677"/>
    <w:rsid w:val="003E1004"/>
    <w:rsid w:val="003E143C"/>
    <w:rsid w:val="003E1503"/>
    <w:rsid w:val="003E176C"/>
    <w:rsid w:val="003E184E"/>
    <w:rsid w:val="003E1A89"/>
    <w:rsid w:val="003E2472"/>
    <w:rsid w:val="003E247F"/>
    <w:rsid w:val="003E2704"/>
    <w:rsid w:val="003E2882"/>
    <w:rsid w:val="003E29A7"/>
    <w:rsid w:val="003E3745"/>
    <w:rsid w:val="003E4239"/>
    <w:rsid w:val="003E45C2"/>
    <w:rsid w:val="003E4C93"/>
    <w:rsid w:val="003E536B"/>
    <w:rsid w:val="003E5BDD"/>
    <w:rsid w:val="003E65A2"/>
    <w:rsid w:val="003E666C"/>
    <w:rsid w:val="003E68C4"/>
    <w:rsid w:val="003E6B6A"/>
    <w:rsid w:val="003E7201"/>
    <w:rsid w:val="003E7D76"/>
    <w:rsid w:val="003F05BE"/>
    <w:rsid w:val="003F06B7"/>
    <w:rsid w:val="003F113E"/>
    <w:rsid w:val="003F15FE"/>
    <w:rsid w:val="003F196E"/>
    <w:rsid w:val="003F23E9"/>
    <w:rsid w:val="003F2403"/>
    <w:rsid w:val="003F2924"/>
    <w:rsid w:val="003F326F"/>
    <w:rsid w:val="003F3322"/>
    <w:rsid w:val="003F3704"/>
    <w:rsid w:val="003F3995"/>
    <w:rsid w:val="003F3A30"/>
    <w:rsid w:val="003F3E84"/>
    <w:rsid w:val="003F4D31"/>
    <w:rsid w:val="003F538B"/>
    <w:rsid w:val="003F580C"/>
    <w:rsid w:val="003F59F2"/>
    <w:rsid w:val="003F5EAC"/>
    <w:rsid w:val="003F604E"/>
    <w:rsid w:val="003F60BE"/>
    <w:rsid w:val="003F643C"/>
    <w:rsid w:val="003F64FE"/>
    <w:rsid w:val="003F6752"/>
    <w:rsid w:val="003F7236"/>
    <w:rsid w:val="003F777C"/>
    <w:rsid w:val="003F7F02"/>
    <w:rsid w:val="00400019"/>
    <w:rsid w:val="00400215"/>
    <w:rsid w:val="004006CE"/>
    <w:rsid w:val="0040085B"/>
    <w:rsid w:val="00400D83"/>
    <w:rsid w:val="0040100C"/>
    <w:rsid w:val="00401534"/>
    <w:rsid w:val="0040164E"/>
    <w:rsid w:val="00401DA9"/>
    <w:rsid w:val="00401E69"/>
    <w:rsid w:val="00401FB8"/>
    <w:rsid w:val="00402303"/>
    <w:rsid w:val="00402306"/>
    <w:rsid w:val="0040231C"/>
    <w:rsid w:val="00402F6E"/>
    <w:rsid w:val="004039B1"/>
    <w:rsid w:val="00403FBD"/>
    <w:rsid w:val="004049FE"/>
    <w:rsid w:val="00405232"/>
    <w:rsid w:val="0040597E"/>
    <w:rsid w:val="00405F40"/>
    <w:rsid w:val="00406468"/>
    <w:rsid w:val="00406677"/>
    <w:rsid w:val="00406988"/>
    <w:rsid w:val="00406DD5"/>
    <w:rsid w:val="0040714E"/>
    <w:rsid w:val="004075A8"/>
    <w:rsid w:val="0040787A"/>
    <w:rsid w:val="00410360"/>
    <w:rsid w:val="00410BE3"/>
    <w:rsid w:val="00410F8D"/>
    <w:rsid w:val="00411038"/>
    <w:rsid w:val="00411234"/>
    <w:rsid w:val="004115F1"/>
    <w:rsid w:val="00411624"/>
    <w:rsid w:val="004118EF"/>
    <w:rsid w:val="00412210"/>
    <w:rsid w:val="0041245D"/>
    <w:rsid w:val="0041278E"/>
    <w:rsid w:val="0041290B"/>
    <w:rsid w:val="00412C1A"/>
    <w:rsid w:val="00413098"/>
    <w:rsid w:val="00413787"/>
    <w:rsid w:val="00413A01"/>
    <w:rsid w:val="004143FF"/>
    <w:rsid w:val="00414AB3"/>
    <w:rsid w:val="00414C5C"/>
    <w:rsid w:val="00414EC4"/>
    <w:rsid w:val="00415138"/>
    <w:rsid w:val="00415697"/>
    <w:rsid w:val="00415CFA"/>
    <w:rsid w:val="00415D4C"/>
    <w:rsid w:val="004160AB"/>
    <w:rsid w:val="004160EC"/>
    <w:rsid w:val="00416180"/>
    <w:rsid w:val="004161CE"/>
    <w:rsid w:val="00416B60"/>
    <w:rsid w:val="00417021"/>
    <w:rsid w:val="00417E20"/>
    <w:rsid w:val="00417E4A"/>
    <w:rsid w:val="00421659"/>
    <w:rsid w:val="00421CB0"/>
    <w:rsid w:val="00422305"/>
    <w:rsid w:val="00422373"/>
    <w:rsid w:val="004227B9"/>
    <w:rsid w:val="00422BA1"/>
    <w:rsid w:val="00422C53"/>
    <w:rsid w:val="00423173"/>
    <w:rsid w:val="0042345F"/>
    <w:rsid w:val="0042386C"/>
    <w:rsid w:val="00423C4A"/>
    <w:rsid w:val="00423CB3"/>
    <w:rsid w:val="00424A57"/>
    <w:rsid w:val="00425001"/>
    <w:rsid w:val="004251ED"/>
    <w:rsid w:val="00425494"/>
    <w:rsid w:val="004254F6"/>
    <w:rsid w:val="00425F58"/>
    <w:rsid w:val="004262E4"/>
    <w:rsid w:val="0042631E"/>
    <w:rsid w:val="0042689C"/>
    <w:rsid w:val="004268A9"/>
    <w:rsid w:val="00426CA9"/>
    <w:rsid w:val="00426D47"/>
    <w:rsid w:val="00426E24"/>
    <w:rsid w:val="00426F25"/>
    <w:rsid w:val="00426F77"/>
    <w:rsid w:val="00427064"/>
    <w:rsid w:val="00427518"/>
    <w:rsid w:val="00427D71"/>
    <w:rsid w:val="004300D4"/>
    <w:rsid w:val="004300E1"/>
    <w:rsid w:val="00430709"/>
    <w:rsid w:val="00430A55"/>
    <w:rsid w:val="0043156C"/>
    <w:rsid w:val="00431C6F"/>
    <w:rsid w:val="00431DC6"/>
    <w:rsid w:val="00432043"/>
    <w:rsid w:val="0043230F"/>
    <w:rsid w:val="0043280E"/>
    <w:rsid w:val="00432A30"/>
    <w:rsid w:val="00432B76"/>
    <w:rsid w:val="00433361"/>
    <w:rsid w:val="004336AA"/>
    <w:rsid w:val="00434613"/>
    <w:rsid w:val="00434689"/>
    <w:rsid w:val="00434BD5"/>
    <w:rsid w:val="00435127"/>
    <w:rsid w:val="00435B13"/>
    <w:rsid w:val="00435BE9"/>
    <w:rsid w:val="00435D00"/>
    <w:rsid w:val="00435D22"/>
    <w:rsid w:val="00435F25"/>
    <w:rsid w:val="004362D8"/>
    <w:rsid w:val="00436301"/>
    <w:rsid w:val="00436460"/>
    <w:rsid w:val="0043699B"/>
    <w:rsid w:val="00440674"/>
    <w:rsid w:val="00440E7A"/>
    <w:rsid w:val="0044136C"/>
    <w:rsid w:val="00441465"/>
    <w:rsid w:val="00441871"/>
    <w:rsid w:val="0044201C"/>
    <w:rsid w:val="0044229F"/>
    <w:rsid w:val="004428ED"/>
    <w:rsid w:val="00442B5D"/>
    <w:rsid w:val="00442F8D"/>
    <w:rsid w:val="004430D0"/>
    <w:rsid w:val="004431BC"/>
    <w:rsid w:val="00443226"/>
    <w:rsid w:val="0044348C"/>
    <w:rsid w:val="00443993"/>
    <w:rsid w:val="00443F97"/>
    <w:rsid w:val="004441AC"/>
    <w:rsid w:val="0044454B"/>
    <w:rsid w:val="004446B5"/>
    <w:rsid w:val="004450C7"/>
    <w:rsid w:val="00445BFD"/>
    <w:rsid w:val="0044646F"/>
    <w:rsid w:val="0044690A"/>
    <w:rsid w:val="00446B02"/>
    <w:rsid w:val="00446B60"/>
    <w:rsid w:val="00446BD6"/>
    <w:rsid w:val="00447106"/>
    <w:rsid w:val="00450279"/>
    <w:rsid w:val="00450840"/>
    <w:rsid w:val="00451B18"/>
    <w:rsid w:val="00451E74"/>
    <w:rsid w:val="00452297"/>
    <w:rsid w:val="00452332"/>
    <w:rsid w:val="004524A3"/>
    <w:rsid w:val="00452563"/>
    <w:rsid w:val="00452BB8"/>
    <w:rsid w:val="00452D0F"/>
    <w:rsid w:val="004531D1"/>
    <w:rsid w:val="004532F6"/>
    <w:rsid w:val="00453667"/>
    <w:rsid w:val="004536E8"/>
    <w:rsid w:val="00455A8D"/>
    <w:rsid w:val="004561CB"/>
    <w:rsid w:val="004563FE"/>
    <w:rsid w:val="004569F9"/>
    <w:rsid w:val="00457774"/>
    <w:rsid w:val="00457C66"/>
    <w:rsid w:val="00457CE3"/>
    <w:rsid w:val="00460548"/>
    <w:rsid w:val="00460B41"/>
    <w:rsid w:val="00461669"/>
    <w:rsid w:val="004617ED"/>
    <w:rsid w:val="00461801"/>
    <w:rsid w:val="00461E13"/>
    <w:rsid w:val="00461F8F"/>
    <w:rsid w:val="00462E5F"/>
    <w:rsid w:val="004633E8"/>
    <w:rsid w:val="00463EEF"/>
    <w:rsid w:val="0046475B"/>
    <w:rsid w:val="00464786"/>
    <w:rsid w:val="00464894"/>
    <w:rsid w:val="00464C73"/>
    <w:rsid w:val="00464D89"/>
    <w:rsid w:val="00466916"/>
    <w:rsid w:val="004676BC"/>
    <w:rsid w:val="00467C20"/>
    <w:rsid w:val="00467DBC"/>
    <w:rsid w:val="0047044E"/>
    <w:rsid w:val="004705A6"/>
    <w:rsid w:val="00470FC7"/>
    <w:rsid w:val="0047105D"/>
    <w:rsid w:val="00471149"/>
    <w:rsid w:val="0047157B"/>
    <w:rsid w:val="004717CD"/>
    <w:rsid w:val="0047180A"/>
    <w:rsid w:val="00471D39"/>
    <w:rsid w:val="00471DF0"/>
    <w:rsid w:val="00472441"/>
    <w:rsid w:val="0047257D"/>
    <w:rsid w:val="00472AD3"/>
    <w:rsid w:val="00472C6C"/>
    <w:rsid w:val="00473305"/>
    <w:rsid w:val="004739F2"/>
    <w:rsid w:val="00473A79"/>
    <w:rsid w:val="004741D1"/>
    <w:rsid w:val="00474CC8"/>
    <w:rsid w:val="0047511A"/>
    <w:rsid w:val="00475248"/>
    <w:rsid w:val="0047547B"/>
    <w:rsid w:val="004758EC"/>
    <w:rsid w:val="00475B22"/>
    <w:rsid w:val="00475B98"/>
    <w:rsid w:val="004762F8"/>
    <w:rsid w:val="0047638B"/>
    <w:rsid w:val="00476DFE"/>
    <w:rsid w:val="0047704B"/>
    <w:rsid w:val="00477403"/>
    <w:rsid w:val="00477D41"/>
    <w:rsid w:val="00477D44"/>
    <w:rsid w:val="00477DED"/>
    <w:rsid w:val="00477EF1"/>
    <w:rsid w:val="00480B87"/>
    <w:rsid w:val="00480FDC"/>
    <w:rsid w:val="00481150"/>
    <w:rsid w:val="00481472"/>
    <w:rsid w:val="004815FE"/>
    <w:rsid w:val="0048192E"/>
    <w:rsid w:val="00481F75"/>
    <w:rsid w:val="004820A5"/>
    <w:rsid w:val="004823B8"/>
    <w:rsid w:val="00483014"/>
    <w:rsid w:val="00483363"/>
    <w:rsid w:val="00483BAB"/>
    <w:rsid w:val="00483FEF"/>
    <w:rsid w:val="0048418C"/>
    <w:rsid w:val="0048441F"/>
    <w:rsid w:val="00484A39"/>
    <w:rsid w:val="00484B83"/>
    <w:rsid w:val="00485187"/>
    <w:rsid w:val="004857EB"/>
    <w:rsid w:val="00485868"/>
    <w:rsid w:val="00485B70"/>
    <w:rsid w:val="00485E65"/>
    <w:rsid w:val="00487179"/>
    <w:rsid w:val="00487403"/>
    <w:rsid w:val="004900A3"/>
    <w:rsid w:val="00490588"/>
    <w:rsid w:val="00490B90"/>
    <w:rsid w:val="00490EF2"/>
    <w:rsid w:val="00490EF6"/>
    <w:rsid w:val="00491763"/>
    <w:rsid w:val="00492A47"/>
    <w:rsid w:val="00492E2B"/>
    <w:rsid w:val="00493952"/>
    <w:rsid w:val="00493BB4"/>
    <w:rsid w:val="00493C8F"/>
    <w:rsid w:val="00493FA5"/>
    <w:rsid w:val="004941B6"/>
    <w:rsid w:val="004945E8"/>
    <w:rsid w:val="00494F6A"/>
    <w:rsid w:val="00494F72"/>
    <w:rsid w:val="004955C7"/>
    <w:rsid w:val="004960B3"/>
    <w:rsid w:val="00496159"/>
    <w:rsid w:val="00496A8C"/>
    <w:rsid w:val="00496B99"/>
    <w:rsid w:val="0049700B"/>
    <w:rsid w:val="00497270"/>
    <w:rsid w:val="00497580"/>
    <w:rsid w:val="00497E4C"/>
    <w:rsid w:val="004A05F2"/>
    <w:rsid w:val="004A05F4"/>
    <w:rsid w:val="004A0741"/>
    <w:rsid w:val="004A0D1F"/>
    <w:rsid w:val="004A0FAC"/>
    <w:rsid w:val="004A1C2C"/>
    <w:rsid w:val="004A1F27"/>
    <w:rsid w:val="004A21FA"/>
    <w:rsid w:val="004A2783"/>
    <w:rsid w:val="004A29A0"/>
    <w:rsid w:val="004A2BCD"/>
    <w:rsid w:val="004A35C3"/>
    <w:rsid w:val="004A3C61"/>
    <w:rsid w:val="004A3D2E"/>
    <w:rsid w:val="004A3E70"/>
    <w:rsid w:val="004A3FE3"/>
    <w:rsid w:val="004A469E"/>
    <w:rsid w:val="004A47C8"/>
    <w:rsid w:val="004A4DD2"/>
    <w:rsid w:val="004A5946"/>
    <w:rsid w:val="004A63D7"/>
    <w:rsid w:val="004A7050"/>
    <w:rsid w:val="004A72F7"/>
    <w:rsid w:val="004A732B"/>
    <w:rsid w:val="004A79F5"/>
    <w:rsid w:val="004A7C03"/>
    <w:rsid w:val="004A7E64"/>
    <w:rsid w:val="004B042B"/>
    <w:rsid w:val="004B04F3"/>
    <w:rsid w:val="004B0666"/>
    <w:rsid w:val="004B10D2"/>
    <w:rsid w:val="004B110B"/>
    <w:rsid w:val="004B113A"/>
    <w:rsid w:val="004B1865"/>
    <w:rsid w:val="004B19B3"/>
    <w:rsid w:val="004B1BBC"/>
    <w:rsid w:val="004B2C90"/>
    <w:rsid w:val="004B3065"/>
    <w:rsid w:val="004B340C"/>
    <w:rsid w:val="004B3B71"/>
    <w:rsid w:val="004B3FC9"/>
    <w:rsid w:val="004B47B4"/>
    <w:rsid w:val="004B4ACD"/>
    <w:rsid w:val="004B4CB1"/>
    <w:rsid w:val="004B4F00"/>
    <w:rsid w:val="004B5425"/>
    <w:rsid w:val="004B57E1"/>
    <w:rsid w:val="004B5F5D"/>
    <w:rsid w:val="004B642F"/>
    <w:rsid w:val="004B6F9A"/>
    <w:rsid w:val="004B7438"/>
    <w:rsid w:val="004B76E6"/>
    <w:rsid w:val="004B777D"/>
    <w:rsid w:val="004C0C3F"/>
    <w:rsid w:val="004C0F85"/>
    <w:rsid w:val="004C151E"/>
    <w:rsid w:val="004C17DE"/>
    <w:rsid w:val="004C22B4"/>
    <w:rsid w:val="004C266F"/>
    <w:rsid w:val="004C27C4"/>
    <w:rsid w:val="004C281E"/>
    <w:rsid w:val="004C2881"/>
    <w:rsid w:val="004C2AAA"/>
    <w:rsid w:val="004C2E84"/>
    <w:rsid w:val="004C35E1"/>
    <w:rsid w:val="004C3945"/>
    <w:rsid w:val="004C3965"/>
    <w:rsid w:val="004C3F06"/>
    <w:rsid w:val="004C418B"/>
    <w:rsid w:val="004C42BE"/>
    <w:rsid w:val="004C4611"/>
    <w:rsid w:val="004C49F4"/>
    <w:rsid w:val="004C4F66"/>
    <w:rsid w:val="004C5372"/>
    <w:rsid w:val="004C53AC"/>
    <w:rsid w:val="004C5425"/>
    <w:rsid w:val="004C57F4"/>
    <w:rsid w:val="004C5875"/>
    <w:rsid w:val="004C5991"/>
    <w:rsid w:val="004C5B86"/>
    <w:rsid w:val="004C5C8A"/>
    <w:rsid w:val="004C5CB9"/>
    <w:rsid w:val="004C5D7B"/>
    <w:rsid w:val="004C5D9E"/>
    <w:rsid w:val="004C5F93"/>
    <w:rsid w:val="004C60E6"/>
    <w:rsid w:val="004C70B4"/>
    <w:rsid w:val="004C72E5"/>
    <w:rsid w:val="004C75EA"/>
    <w:rsid w:val="004C7A31"/>
    <w:rsid w:val="004D0313"/>
    <w:rsid w:val="004D059F"/>
    <w:rsid w:val="004D08D9"/>
    <w:rsid w:val="004D0D16"/>
    <w:rsid w:val="004D1100"/>
    <w:rsid w:val="004D1CFB"/>
    <w:rsid w:val="004D2686"/>
    <w:rsid w:val="004D32C0"/>
    <w:rsid w:val="004D387E"/>
    <w:rsid w:val="004D3AC5"/>
    <w:rsid w:val="004D3ED3"/>
    <w:rsid w:val="004D4C1E"/>
    <w:rsid w:val="004D4D59"/>
    <w:rsid w:val="004D4E7D"/>
    <w:rsid w:val="004D53A7"/>
    <w:rsid w:val="004D5785"/>
    <w:rsid w:val="004D5861"/>
    <w:rsid w:val="004D6258"/>
    <w:rsid w:val="004D6D1A"/>
    <w:rsid w:val="004D6F0E"/>
    <w:rsid w:val="004E0044"/>
    <w:rsid w:val="004E0236"/>
    <w:rsid w:val="004E0A0A"/>
    <w:rsid w:val="004E1272"/>
    <w:rsid w:val="004E13C3"/>
    <w:rsid w:val="004E1575"/>
    <w:rsid w:val="004E1616"/>
    <w:rsid w:val="004E22BF"/>
    <w:rsid w:val="004E259C"/>
    <w:rsid w:val="004E285D"/>
    <w:rsid w:val="004E3070"/>
    <w:rsid w:val="004E3237"/>
    <w:rsid w:val="004E3507"/>
    <w:rsid w:val="004E3A6A"/>
    <w:rsid w:val="004E419F"/>
    <w:rsid w:val="004E41C7"/>
    <w:rsid w:val="004E4540"/>
    <w:rsid w:val="004E532E"/>
    <w:rsid w:val="004E5759"/>
    <w:rsid w:val="004E5F03"/>
    <w:rsid w:val="004E62B8"/>
    <w:rsid w:val="004E639F"/>
    <w:rsid w:val="004E63F2"/>
    <w:rsid w:val="004E6EAE"/>
    <w:rsid w:val="004E710B"/>
    <w:rsid w:val="004E72F1"/>
    <w:rsid w:val="004E7391"/>
    <w:rsid w:val="004E7B4D"/>
    <w:rsid w:val="004F0690"/>
    <w:rsid w:val="004F1076"/>
    <w:rsid w:val="004F115D"/>
    <w:rsid w:val="004F1162"/>
    <w:rsid w:val="004F1A2D"/>
    <w:rsid w:val="004F1B5D"/>
    <w:rsid w:val="004F1D76"/>
    <w:rsid w:val="004F1DEC"/>
    <w:rsid w:val="004F2F78"/>
    <w:rsid w:val="004F3045"/>
    <w:rsid w:val="004F36A6"/>
    <w:rsid w:val="004F445E"/>
    <w:rsid w:val="004F47DE"/>
    <w:rsid w:val="004F4C4F"/>
    <w:rsid w:val="004F4C54"/>
    <w:rsid w:val="004F519B"/>
    <w:rsid w:val="004F55AC"/>
    <w:rsid w:val="004F55BA"/>
    <w:rsid w:val="004F5890"/>
    <w:rsid w:val="004F5A78"/>
    <w:rsid w:val="004F5D4B"/>
    <w:rsid w:val="004F5DCB"/>
    <w:rsid w:val="004F5DF8"/>
    <w:rsid w:val="004F5DFF"/>
    <w:rsid w:val="004F63CA"/>
    <w:rsid w:val="004F67E6"/>
    <w:rsid w:val="004F709E"/>
    <w:rsid w:val="004F722B"/>
    <w:rsid w:val="004F731C"/>
    <w:rsid w:val="005004B0"/>
    <w:rsid w:val="005007DE"/>
    <w:rsid w:val="0050155A"/>
    <w:rsid w:val="005017FC"/>
    <w:rsid w:val="00501C0C"/>
    <w:rsid w:val="00501CAF"/>
    <w:rsid w:val="00501D4E"/>
    <w:rsid w:val="00501FFD"/>
    <w:rsid w:val="0050235F"/>
    <w:rsid w:val="005023DD"/>
    <w:rsid w:val="005033C9"/>
    <w:rsid w:val="0050363C"/>
    <w:rsid w:val="00503BE2"/>
    <w:rsid w:val="00503C7B"/>
    <w:rsid w:val="00504294"/>
    <w:rsid w:val="00504AC2"/>
    <w:rsid w:val="00504D6B"/>
    <w:rsid w:val="005055A8"/>
    <w:rsid w:val="005056B5"/>
    <w:rsid w:val="00505BDD"/>
    <w:rsid w:val="005061FE"/>
    <w:rsid w:val="00506385"/>
    <w:rsid w:val="005063A3"/>
    <w:rsid w:val="00506C0F"/>
    <w:rsid w:val="00506C19"/>
    <w:rsid w:val="00506D32"/>
    <w:rsid w:val="00511035"/>
    <w:rsid w:val="005113E1"/>
    <w:rsid w:val="0051140C"/>
    <w:rsid w:val="00511492"/>
    <w:rsid w:val="005115E5"/>
    <w:rsid w:val="00511824"/>
    <w:rsid w:val="00511C2B"/>
    <w:rsid w:val="00511E79"/>
    <w:rsid w:val="0051209E"/>
    <w:rsid w:val="005120C2"/>
    <w:rsid w:val="00512209"/>
    <w:rsid w:val="00513388"/>
    <w:rsid w:val="005139A8"/>
    <w:rsid w:val="00513EED"/>
    <w:rsid w:val="00514770"/>
    <w:rsid w:val="00514BE4"/>
    <w:rsid w:val="00514FBC"/>
    <w:rsid w:val="00514FC6"/>
    <w:rsid w:val="005157EC"/>
    <w:rsid w:val="00515981"/>
    <w:rsid w:val="00515EDA"/>
    <w:rsid w:val="00516192"/>
    <w:rsid w:val="005161F6"/>
    <w:rsid w:val="00516AE9"/>
    <w:rsid w:val="00516B98"/>
    <w:rsid w:val="005171DE"/>
    <w:rsid w:val="0051750F"/>
    <w:rsid w:val="00517576"/>
    <w:rsid w:val="00517956"/>
    <w:rsid w:val="00520229"/>
    <w:rsid w:val="005207D8"/>
    <w:rsid w:val="00521264"/>
    <w:rsid w:val="005212C4"/>
    <w:rsid w:val="005219FA"/>
    <w:rsid w:val="00521BB5"/>
    <w:rsid w:val="00521BC7"/>
    <w:rsid w:val="005221F1"/>
    <w:rsid w:val="005226B9"/>
    <w:rsid w:val="00522771"/>
    <w:rsid w:val="0052300B"/>
    <w:rsid w:val="00524714"/>
    <w:rsid w:val="00524ADB"/>
    <w:rsid w:val="00524D67"/>
    <w:rsid w:val="005250F9"/>
    <w:rsid w:val="00525209"/>
    <w:rsid w:val="00525360"/>
    <w:rsid w:val="00525584"/>
    <w:rsid w:val="0052578A"/>
    <w:rsid w:val="005257F9"/>
    <w:rsid w:val="00525B35"/>
    <w:rsid w:val="0052653A"/>
    <w:rsid w:val="00526EDC"/>
    <w:rsid w:val="0052712C"/>
    <w:rsid w:val="005278E4"/>
    <w:rsid w:val="00527C66"/>
    <w:rsid w:val="00527D13"/>
    <w:rsid w:val="005301B1"/>
    <w:rsid w:val="00530306"/>
    <w:rsid w:val="005310FB"/>
    <w:rsid w:val="0053123B"/>
    <w:rsid w:val="0053130F"/>
    <w:rsid w:val="00531379"/>
    <w:rsid w:val="0053140F"/>
    <w:rsid w:val="005314E7"/>
    <w:rsid w:val="0053166F"/>
    <w:rsid w:val="005317AE"/>
    <w:rsid w:val="005317F0"/>
    <w:rsid w:val="0053188D"/>
    <w:rsid w:val="00531C46"/>
    <w:rsid w:val="00531E29"/>
    <w:rsid w:val="005325CA"/>
    <w:rsid w:val="0053262C"/>
    <w:rsid w:val="005328B8"/>
    <w:rsid w:val="00532982"/>
    <w:rsid w:val="005329C5"/>
    <w:rsid w:val="00532A1D"/>
    <w:rsid w:val="005332E4"/>
    <w:rsid w:val="00533C91"/>
    <w:rsid w:val="0053403E"/>
    <w:rsid w:val="005340EA"/>
    <w:rsid w:val="005345A6"/>
    <w:rsid w:val="00534803"/>
    <w:rsid w:val="00534E92"/>
    <w:rsid w:val="005352E7"/>
    <w:rsid w:val="00535336"/>
    <w:rsid w:val="00535CA0"/>
    <w:rsid w:val="00535E26"/>
    <w:rsid w:val="0053604D"/>
    <w:rsid w:val="00536324"/>
    <w:rsid w:val="0053657C"/>
    <w:rsid w:val="00536F22"/>
    <w:rsid w:val="0053734B"/>
    <w:rsid w:val="00537506"/>
    <w:rsid w:val="00537508"/>
    <w:rsid w:val="005375DC"/>
    <w:rsid w:val="00537603"/>
    <w:rsid w:val="005379CE"/>
    <w:rsid w:val="00540219"/>
    <w:rsid w:val="005405DD"/>
    <w:rsid w:val="00540C42"/>
    <w:rsid w:val="00540DE6"/>
    <w:rsid w:val="0054107E"/>
    <w:rsid w:val="005418E9"/>
    <w:rsid w:val="00541A89"/>
    <w:rsid w:val="00542448"/>
    <w:rsid w:val="005425D6"/>
    <w:rsid w:val="00542870"/>
    <w:rsid w:val="0054313C"/>
    <w:rsid w:val="005435DE"/>
    <w:rsid w:val="00544470"/>
    <w:rsid w:val="0054451D"/>
    <w:rsid w:val="00544743"/>
    <w:rsid w:val="00544AC9"/>
    <w:rsid w:val="00544B42"/>
    <w:rsid w:val="00544C81"/>
    <w:rsid w:val="00544CFE"/>
    <w:rsid w:val="00544F65"/>
    <w:rsid w:val="00545068"/>
    <w:rsid w:val="005453C8"/>
    <w:rsid w:val="005453F8"/>
    <w:rsid w:val="00545636"/>
    <w:rsid w:val="0054592A"/>
    <w:rsid w:val="0054593A"/>
    <w:rsid w:val="00545DB2"/>
    <w:rsid w:val="0054656F"/>
    <w:rsid w:val="0054677E"/>
    <w:rsid w:val="00546C4B"/>
    <w:rsid w:val="005476D9"/>
    <w:rsid w:val="0055021F"/>
    <w:rsid w:val="00550603"/>
    <w:rsid w:val="00550C57"/>
    <w:rsid w:val="0055141F"/>
    <w:rsid w:val="00551C1D"/>
    <w:rsid w:val="00551D2F"/>
    <w:rsid w:val="0055251A"/>
    <w:rsid w:val="0055277B"/>
    <w:rsid w:val="00552BB4"/>
    <w:rsid w:val="00552DD3"/>
    <w:rsid w:val="005530A5"/>
    <w:rsid w:val="00553683"/>
    <w:rsid w:val="0055382D"/>
    <w:rsid w:val="00553937"/>
    <w:rsid w:val="00554452"/>
    <w:rsid w:val="0055484F"/>
    <w:rsid w:val="00554A1B"/>
    <w:rsid w:val="00554BE3"/>
    <w:rsid w:val="00554E68"/>
    <w:rsid w:val="0055548F"/>
    <w:rsid w:val="00555663"/>
    <w:rsid w:val="00555A30"/>
    <w:rsid w:val="00555DB8"/>
    <w:rsid w:val="00556397"/>
    <w:rsid w:val="005575FF"/>
    <w:rsid w:val="005579BD"/>
    <w:rsid w:val="00557AB5"/>
    <w:rsid w:val="005606AD"/>
    <w:rsid w:val="00561FB9"/>
    <w:rsid w:val="00562BB1"/>
    <w:rsid w:val="00563949"/>
    <w:rsid w:val="00563B66"/>
    <w:rsid w:val="00563E78"/>
    <w:rsid w:val="005642A5"/>
    <w:rsid w:val="00564A91"/>
    <w:rsid w:val="00564B4F"/>
    <w:rsid w:val="00564BE8"/>
    <w:rsid w:val="00564DC2"/>
    <w:rsid w:val="00564F13"/>
    <w:rsid w:val="00564FCB"/>
    <w:rsid w:val="0056640C"/>
    <w:rsid w:val="00566CDD"/>
    <w:rsid w:val="0056707F"/>
    <w:rsid w:val="00567649"/>
    <w:rsid w:val="00567ACA"/>
    <w:rsid w:val="00567F8E"/>
    <w:rsid w:val="00567FB7"/>
    <w:rsid w:val="0057023F"/>
    <w:rsid w:val="00570A82"/>
    <w:rsid w:val="00570D35"/>
    <w:rsid w:val="00570DEB"/>
    <w:rsid w:val="00570E6B"/>
    <w:rsid w:val="005711D7"/>
    <w:rsid w:val="00571203"/>
    <w:rsid w:val="0057135B"/>
    <w:rsid w:val="00571822"/>
    <w:rsid w:val="00571884"/>
    <w:rsid w:val="00571DBF"/>
    <w:rsid w:val="0057218C"/>
    <w:rsid w:val="005724BA"/>
    <w:rsid w:val="00572DAD"/>
    <w:rsid w:val="00573D37"/>
    <w:rsid w:val="00573D7F"/>
    <w:rsid w:val="0057477B"/>
    <w:rsid w:val="0057493F"/>
    <w:rsid w:val="00574FA5"/>
    <w:rsid w:val="00575166"/>
    <w:rsid w:val="005755DB"/>
    <w:rsid w:val="0057644B"/>
    <w:rsid w:val="00576745"/>
    <w:rsid w:val="00576A59"/>
    <w:rsid w:val="00576E11"/>
    <w:rsid w:val="00576E3C"/>
    <w:rsid w:val="00576FA4"/>
    <w:rsid w:val="005771E0"/>
    <w:rsid w:val="0057749E"/>
    <w:rsid w:val="00577B27"/>
    <w:rsid w:val="00581655"/>
    <w:rsid w:val="005820E5"/>
    <w:rsid w:val="00582125"/>
    <w:rsid w:val="0058216E"/>
    <w:rsid w:val="005825BF"/>
    <w:rsid w:val="005829FD"/>
    <w:rsid w:val="00582A45"/>
    <w:rsid w:val="00582C6F"/>
    <w:rsid w:val="00582D47"/>
    <w:rsid w:val="005841E0"/>
    <w:rsid w:val="0058426E"/>
    <w:rsid w:val="0058440F"/>
    <w:rsid w:val="00584553"/>
    <w:rsid w:val="005846F3"/>
    <w:rsid w:val="005846FF"/>
    <w:rsid w:val="00584A4A"/>
    <w:rsid w:val="00584CC0"/>
    <w:rsid w:val="00584E77"/>
    <w:rsid w:val="00585D15"/>
    <w:rsid w:val="00585F31"/>
    <w:rsid w:val="00585FE3"/>
    <w:rsid w:val="0058605C"/>
    <w:rsid w:val="00586578"/>
    <w:rsid w:val="0058673D"/>
    <w:rsid w:val="005879F7"/>
    <w:rsid w:val="00587E13"/>
    <w:rsid w:val="00590DE6"/>
    <w:rsid w:val="00590FE7"/>
    <w:rsid w:val="00591288"/>
    <w:rsid w:val="00591456"/>
    <w:rsid w:val="00591728"/>
    <w:rsid w:val="005917FD"/>
    <w:rsid w:val="00591DBB"/>
    <w:rsid w:val="00592077"/>
    <w:rsid w:val="005923BA"/>
    <w:rsid w:val="005924D4"/>
    <w:rsid w:val="0059282A"/>
    <w:rsid w:val="00592C08"/>
    <w:rsid w:val="0059341D"/>
    <w:rsid w:val="0059379E"/>
    <w:rsid w:val="005938D5"/>
    <w:rsid w:val="0059391D"/>
    <w:rsid w:val="0059398E"/>
    <w:rsid w:val="00593BB5"/>
    <w:rsid w:val="00594297"/>
    <w:rsid w:val="0059493D"/>
    <w:rsid w:val="00595063"/>
    <w:rsid w:val="00595F80"/>
    <w:rsid w:val="00596139"/>
    <w:rsid w:val="005961C6"/>
    <w:rsid w:val="00596653"/>
    <w:rsid w:val="005967FB"/>
    <w:rsid w:val="005972F0"/>
    <w:rsid w:val="00597C63"/>
    <w:rsid w:val="005A06E3"/>
    <w:rsid w:val="005A08D9"/>
    <w:rsid w:val="005A0E3E"/>
    <w:rsid w:val="005A102C"/>
    <w:rsid w:val="005A102E"/>
    <w:rsid w:val="005A104E"/>
    <w:rsid w:val="005A1A0D"/>
    <w:rsid w:val="005A1F3D"/>
    <w:rsid w:val="005A1F5B"/>
    <w:rsid w:val="005A206F"/>
    <w:rsid w:val="005A231D"/>
    <w:rsid w:val="005A27D4"/>
    <w:rsid w:val="005A2E7C"/>
    <w:rsid w:val="005A32AD"/>
    <w:rsid w:val="005A3DD1"/>
    <w:rsid w:val="005A3F9F"/>
    <w:rsid w:val="005A4563"/>
    <w:rsid w:val="005A4739"/>
    <w:rsid w:val="005A4A18"/>
    <w:rsid w:val="005A4AA1"/>
    <w:rsid w:val="005A4AFE"/>
    <w:rsid w:val="005A4B42"/>
    <w:rsid w:val="005A4F0F"/>
    <w:rsid w:val="005A5494"/>
    <w:rsid w:val="005A59FD"/>
    <w:rsid w:val="005A5BEC"/>
    <w:rsid w:val="005A70F6"/>
    <w:rsid w:val="005A7568"/>
    <w:rsid w:val="005A78DE"/>
    <w:rsid w:val="005A7CF3"/>
    <w:rsid w:val="005A7D15"/>
    <w:rsid w:val="005B0D40"/>
    <w:rsid w:val="005B11E1"/>
    <w:rsid w:val="005B1278"/>
    <w:rsid w:val="005B1413"/>
    <w:rsid w:val="005B1905"/>
    <w:rsid w:val="005B1C82"/>
    <w:rsid w:val="005B1E1A"/>
    <w:rsid w:val="005B21E2"/>
    <w:rsid w:val="005B258A"/>
    <w:rsid w:val="005B31BD"/>
    <w:rsid w:val="005B3358"/>
    <w:rsid w:val="005B3C12"/>
    <w:rsid w:val="005B3E78"/>
    <w:rsid w:val="005B444D"/>
    <w:rsid w:val="005B4C56"/>
    <w:rsid w:val="005B5052"/>
    <w:rsid w:val="005B5187"/>
    <w:rsid w:val="005B5261"/>
    <w:rsid w:val="005B57BD"/>
    <w:rsid w:val="005B593E"/>
    <w:rsid w:val="005B5B1B"/>
    <w:rsid w:val="005B5F74"/>
    <w:rsid w:val="005B6108"/>
    <w:rsid w:val="005B683F"/>
    <w:rsid w:val="005B774F"/>
    <w:rsid w:val="005B797E"/>
    <w:rsid w:val="005C0060"/>
    <w:rsid w:val="005C0602"/>
    <w:rsid w:val="005C0739"/>
    <w:rsid w:val="005C0813"/>
    <w:rsid w:val="005C09F2"/>
    <w:rsid w:val="005C0D31"/>
    <w:rsid w:val="005C0DC3"/>
    <w:rsid w:val="005C0F15"/>
    <w:rsid w:val="005C16D9"/>
    <w:rsid w:val="005C17AE"/>
    <w:rsid w:val="005C188D"/>
    <w:rsid w:val="005C1903"/>
    <w:rsid w:val="005C19D8"/>
    <w:rsid w:val="005C1DCB"/>
    <w:rsid w:val="005C1F5F"/>
    <w:rsid w:val="005C2323"/>
    <w:rsid w:val="005C2325"/>
    <w:rsid w:val="005C24F3"/>
    <w:rsid w:val="005C2C5A"/>
    <w:rsid w:val="005C34AF"/>
    <w:rsid w:val="005C34BD"/>
    <w:rsid w:val="005C370E"/>
    <w:rsid w:val="005C3C13"/>
    <w:rsid w:val="005C3D28"/>
    <w:rsid w:val="005C3E97"/>
    <w:rsid w:val="005C3F1B"/>
    <w:rsid w:val="005C3F58"/>
    <w:rsid w:val="005C4013"/>
    <w:rsid w:val="005C40A1"/>
    <w:rsid w:val="005C4252"/>
    <w:rsid w:val="005C445E"/>
    <w:rsid w:val="005C4649"/>
    <w:rsid w:val="005C46C6"/>
    <w:rsid w:val="005C4C24"/>
    <w:rsid w:val="005C4C6A"/>
    <w:rsid w:val="005C4CA7"/>
    <w:rsid w:val="005C56A2"/>
    <w:rsid w:val="005C60E9"/>
    <w:rsid w:val="005C61A4"/>
    <w:rsid w:val="005C69E1"/>
    <w:rsid w:val="005C6A14"/>
    <w:rsid w:val="005C6A1E"/>
    <w:rsid w:val="005C6F6D"/>
    <w:rsid w:val="005C7308"/>
    <w:rsid w:val="005C7393"/>
    <w:rsid w:val="005C7507"/>
    <w:rsid w:val="005C7A41"/>
    <w:rsid w:val="005C7CCB"/>
    <w:rsid w:val="005D0462"/>
    <w:rsid w:val="005D056F"/>
    <w:rsid w:val="005D065A"/>
    <w:rsid w:val="005D0BCA"/>
    <w:rsid w:val="005D1204"/>
    <w:rsid w:val="005D1548"/>
    <w:rsid w:val="005D1D92"/>
    <w:rsid w:val="005D293C"/>
    <w:rsid w:val="005D2E6C"/>
    <w:rsid w:val="005D32A6"/>
    <w:rsid w:val="005D330C"/>
    <w:rsid w:val="005D36AD"/>
    <w:rsid w:val="005D3AC3"/>
    <w:rsid w:val="005D3BE3"/>
    <w:rsid w:val="005D3D26"/>
    <w:rsid w:val="005D40E3"/>
    <w:rsid w:val="005D4415"/>
    <w:rsid w:val="005D454A"/>
    <w:rsid w:val="005D4706"/>
    <w:rsid w:val="005D4767"/>
    <w:rsid w:val="005D48FB"/>
    <w:rsid w:val="005D4A9F"/>
    <w:rsid w:val="005D4F01"/>
    <w:rsid w:val="005D50FC"/>
    <w:rsid w:val="005D533F"/>
    <w:rsid w:val="005D5E7D"/>
    <w:rsid w:val="005D639C"/>
    <w:rsid w:val="005D654A"/>
    <w:rsid w:val="005D6F17"/>
    <w:rsid w:val="005D6FFF"/>
    <w:rsid w:val="005D722E"/>
    <w:rsid w:val="005D762F"/>
    <w:rsid w:val="005D7928"/>
    <w:rsid w:val="005D7960"/>
    <w:rsid w:val="005D7BB8"/>
    <w:rsid w:val="005D7C1C"/>
    <w:rsid w:val="005D7E76"/>
    <w:rsid w:val="005E1096"/>
    <w:rsid w:val="005E1C58"/>
    <w:rsid w:val="005E1D66"/>
    <w:rsid w:val="005E1DAC"/>
    <w:rsid w:val="005E20DA"/>
    <w:rsid w:val="005E2306"/>
    <w:rsid w:val="005E23BD"/>
    <w:rsid w:val="005E244C"/>
    <w:rsid w:val="005E2580"/>
    <w:rsid w:val="005E29D4"/>
    <w:rsid w:val="005E2A61"/>
    <w:rsid w:val="005E2CFF"/>
    <w:rsid w:val="005E2ED3"/>
    <w:rsid w:val="005E339D"/>
    <w:rsid w:val="005E37FB"/>
    <w:rsid w:val="005E3AA2"/>
    <w:rsid w:val="005E3D30"/>
    <w:rsid w:val="005E46E0"/>
    <w:rsid w:val="005E4796"/>
    <w:rsid w:val="005E5023"/>
    <w:rsid w:val="005E54CB"/>
    <w:rsid w:val="005E54DE"/>
    <w:rsid w:val="005E558E"/>
    <w:rsid w:val="005E5ABD"/>
    <w:rsid w:val="005E6B48"/>
    <w:rsid w:val="005E6CFC"/>
    <w:rsid w:val="005E72D2"/>
    <w:rsid w:val="005E7577"/>
    <w:rsid w:val="005E78E4"/>
    <w:rsid w:val="005E79DB"/>
    <w:rsid w:val="005E7BD1"/>
    <w:rsid w:val="005F00E1"/>
    <w:rsid w:val="005F09A6"/>
    <w:rsid w:val="005F11ED"/>
    <w:rsid w:val="005F1762"/>
    <w:rsid w:val="005F1DC5"/>
    <w:rsid w:val="005F1EB8"/>
    <w:rsid w:val="005F20C8"/>
    <w:rsid w:val="005F25FE"/>
    <w:rsid w:val="005F288D"/>
    <w:rsid w:val="005F2B88"/>
    <w:rsid w:val="005F2DCE"/>
    <w:rsid w:val="005F2ED1"/>
    <w:rsid w:val="005F2F0C"/>
    <w:rsid w:val="005F311E"/>
    <w:rsid w:val="005F37E0"/>
    <w:rsid w:val="005F386B"/>
    <w:rsid w:val="005F3B40"/>
    <w:rsid w:val="005F3FCC"/>
    <w:rsid w:val="005F4150"/>
    <w:rsid w:val="005F44DC"/>
    <w:rsid w:val="005F45D2"/>
    <w:rsid w:val="005F5156"/>
    <w:rsid w:val="005F5858"/>
    <w:rsid w:val="005F59B2"/>
    <w:rsid w:val="005F605A"/>
    <w:rsid w:val="005F60C1"/>
    <w:rsid w:val="005F6158"/>
    <w:rsid w:val="005F6686"/>
    <w:rsid w:val="005F7187"/>
    <w:rsid w:val="005F7316"/>
    <w:rsid w:val="005F7DFB"/>
    <w:rsid w:val="0060011C"/>
    <w:rsid w:val="00600271"/>
    <w:rsid w:val="0060076A"/>
    <w:rsid w:val="00600947"/>
    <w:rsid w:val="00600AEC"/>
    <w:rsid w:val="00600BA6"/>
    <w:rsid w:val="00600CB7"/>
    <w:rsid w:val="00600EA3"/>
    <w:rsid w:val="00601338"/>
    <w:rsid w:val="006016E8"/>
    <w:rsid w:val="006029A9"/>
    <w:rsid w:val="00602E96"/>
    <w:rsid w:val="00603021"/>
    <w:rsid w:val="00603D33"/>
    <w:rsid w:val="00603FCA"/>
    <w:rsid w:val="0060413B"/>
    <w:rsid w:val="00604516"/>
    <w:rsid w:val="00604B66"/>
    <w:rsid w:val="006059B7"/>
    <w:rsid w:val="00605CC7"/>
    <w:rsid w:val="00605DC6"/>
    <w:rsid w:val="0060605B"/>
    <w:rsid w:val="00606167"/>
    <w:rsid w:val="00606238"/>
    <w:rsid w:val="0060659C"/>
    <w:rsid w:val="00606B25"/>
    <w:rsid w:val="00606C56"/>
    <w:rsid w:val="006073B2"/>
    <w:rsid w:val="0060771F"/>
    <w:rsid w:val="006078ED"/>
    <w:rsid w:val="00607A05"/>
    <w:rsid w:val="00607A62"/>
    <w:rsid w:val="00607C88"/>
    <w:rsid w:val="00607D34"/>
    <w:rsid w:val="00607D45"/>
    <w:rsid w:val="00607DD5"/>
    <w:rsid w:val="00607E3A"/>
    <w:rsid w:val="00610B4A"/>
    <w:rsid w:val="0061122C"/>
    <w:rsid w:val="006113F1"/>
    <w:rsid w:val="0061169B"/>
    <w:rsid w:val="00611924"/>
    <w:rsid w:val="006120B4"/>
    <w:rsid w:val="006121F5"/>
    <w:rsid w:val="00612E51"/>
    <w:rsid w:val="00613BB8"/>
    <w:rsid w:val="00613DC3"/>
    <w:rsid w:val="006147EB"/>
    <w:rsid w:val="00614F7F"/>
    <w:rsid w:val="0061504D"/>
    <w:rsid w:val="0061563C"/>
    <w:rsid w:val="00615BD7"/>
    <w:rsid w:val="006165C4"/>
    <w:rsid w:val="00616A39"/>
    <w:rsid w:val="00616A55"/>
    <w:rsid w:val="00617558"/>
    <w:rsid w:val="006178C7"/>
    <w:rsid w:val="006179A0"/>
    <w:rsid w:val="006200EB"/>
    <w:rsid w:val="0062054A"/>
    <w:rsid w:val="00620712"/>
    <w:rsid w:val="006208D8"/>
    <w:rsid w:val="006209E9"/>
    <w:rsid w:val="00620CA7"/>
    <w:rsid w:val="006210C6"/>
    <w:rsid w:val="00621C0D"/>
    <w:rsid w:val="00621DB1"/>
    <w:rsid w:val="00621EA3"/>
    <w:rsid w:val="0062259C"/>
    <w:rsid w:val="00622BAA"/>
    <w:rsid w:val="00623154"/>
    <w:rsid w:val="00623328"/>
    <w:rsid w:val="0062402B"/>
    <w:rsid w:val="0062411A"/>
    <w:rsid w:val="00624255"/>
    <w:rsid w:val="006246DB"/>
    <w:rsid w:val="006249CA"/>
    <w:rsid w:val="00624BFC"/>
    <w:rsid w:val="006251FC"/>
    <w:rsid w:val="0062548E"/>
    <w:rsid w:val="00625520"/>
    <w:rsid w:val="0062558D"/>
    <w:rsid w:val="00626C70"/>
    <w:rsid w:val="00626F57"/>
    <w:rsid w:val="00626FE2"/>
    <w:rsid w:val="006272B3"/>
    <w:rsid w:val="006276E8"/>
    <w:rsid w:val="0062779B"/>
    <w:rsid w:val="0062795D"/>
    <w:rsid w:val="00627CE5"/>
    <w:rsid w:val="00627D8C"/>
    <w:rsid w:val="00627E04"/>
    <w:rsid w:val="00627F78"/>
    <w:rsid w:val="006303BC"/>
    <w:rsid w:val="00630A24"/>
    <w:rsid w:val="00630E8C"/>
    <w:rsid w:val="00630F09"/>
    <w:rsid w:val="00630FFD"/>
    <w:rsid w:val="0063122A"/>
    <w:rsid w:val="00631701"/>
    <w:rsid w:val="006318D8"/>
    <w:rsid w:val="006319DF"/>
    <w:rsid w:val="00631BBA"/>
    <w:rsid w:val="00631C37"/>
    <w:rsid w:val="0063264F"/>
    <w:rsid w:val="0063266E"/>
    <w:rsid w:val="00632A8E"/>
    <w:rsid w:val="00633386"/>
    <w:rsid w:val="006333E2"/>
    <w:rsid w:val="006335AB"/>
    <w:rsid w:val="006339A6"/>
    <w:rsid w:val="00633A86"/>
    <w:rsid w:val="00633EA7"/>
    <w:rsid w:val="00634252"/>
    <w:rsid w:val="006343A7"/>
    <w:rsid w:val="006344B8"/>
    <w:rsid w:val="0063486E"/>
    <w:rsid w:val="00634FE5"/>
    <w:rsid w:val="00635442"/>
    <w:rsid w:val="00635556"/>
    <w:rsid w:val="00635804"/>
    <w:rsid w:val="00635B09"/>
    <w:rsid w:val="00636110"/>
    <w:rsid w:val="00636308"/>
    <w:rsid w:val="006364E7"/>
    <w:rsid w:val="00637150"/>
    <w:rsid w:val="00637368"/>
    <w:rsid w:val="00637469"/>
    <w:rsid w:val="00640234"/>
    <w:rsid w:val="00640788"/>
    <w:rsid w:val="00640D43"/>
    <w:rsid w:val="00640F06"/>
    <w:rsid w:val="00641184"/>
    <w:rsid w:val="006421E1"/>
    <w:rsid w:val="0064297D"/>
    <w:rsid w:val="00643163"/>
    <w:rsid w:val="0064343A"/>
    <w:rsid w:val="006437F5"/>
    <w:rsid w:val="0064398E"/>
    <w:rsid w:val="00643D96"/>
    <w:rsid w:val="00643ED9"/>
    <w:rsid w:val="006445FB"/>
    <w:rsid w:val="00644617"/>
    <w:rsid w:val="00644BA1"/>
    <w:rsid w:val="00644CC1"/>
    <w:rsid w:val="00644EA2"/>
    <w:rsid w:val="0064563F"/>
    <w:rsid w:val="00645759"/>
    <w:rsid w:val="006460C6"/>
    <w:rsid w:val="0064626F"/>
    <w:rsid w:val="00646595"/>
    <w:rsid w:val="0064699A"/>
    <w:rsid w:val="00646B1F"/>
    <w:rsid w:val="00646E6F"/>
    <w:rsid w:val="00646F52"/>
    <w:rsid w:val="00647133"/>
    <w:rsid w:val="00647762"/>
    <w:rsid w:val="006477E0"/>
    <w:rsid w:val="00647C29"/>
    <w:rsid w:val="00647E6E"/>
    <w:rsid w:val="006505F9"/>
    <w:rsid w:val="00650722"/>
    <w:rsid w:val="0065105B"/>
    <w:rsid w:val="00651106"/>
    <w:rsid w:val="0065182A"/>
    <w:rsid w:val="0065183F"/>
    <w:rsid w:val="00651F7F"/>
    <w:rsid w:val="0065260D"/>
    <w:rsid w:val="006528B6"/>
    <w:rsid w:val="00652A87"/>
    <w:rsid w:val="00652F39"/>
    <w:rsid w:val="00653198"/>
    <w:rsid w:val="00653617"/>
    <w:rsid w:val="00653656"/>
    <w:rsid w:val="00653796"/>
    <w:rsid w:val="006538E8"/>
    <w:rsid w:val="00653CC3"/>
    <w:rsid w:val="00653D12"/>
    <w:rsid w:val="00653DCC"/>
    <w:rsid w:val="00653E9C"/>
    <w:rsid w:val="0065416F"/>
    <w:rsid w:val="006541C9"/>
    <w:rsid w:val="00654270"/>
    <w:rsid w:val="00654451"/>
    <w:rsid w:val="0065447F"/>
    <w:rsid w:val="00654785"/>
    <w:rsid w:val="006551AB"/>
    <w:rsid w:val="00655636"/>
    <w:rsid w:val="006559DC"/>
    <w:rsid w:val="00655E40"/>
    <w:rsid w:val="006563EC"/>
    <w:rsid w:val="00656422"/>
    <w:rsid w:val="0065647F"/>
    <w:rsid w:val="006564B3"/>
    <w:rsid w:val="00656781"/>
    <w:rsid w:val="00656963"/>
    <w:rsid w:val="0065719C"/>
    <w:rsid w:val="0065735B"/>
    <w:rsid w:val="0065773E"/>
    <w:rsid w:val="00657A24"/>
    <w:rsid w:val="00660C67"/>
    <w:rsid w:val="00661887"/>
    <w:rsid w:val="006618BF"/>
    <w:rsid w:val="00661CF5"/>
    <w:rsid w:val="00661D78"/>
    <w:rsid w:val="0066254E"/>
    <w:rsid w:val="00662811"/>
    <w:rsid w:val="00662D82"/>
    <w:rsid w:val="006630ED"/>
    <w:rsid w:val="00663BE6"/>
    <w:rsid w:val="00664438"/>
    <w:rsid w:val="00664E0C"/>
    <w:rsid w:val="00665037"/>
    <w:rsid w:val="00665FB6"/>
    <w:rsid w:val="0066638D"/>
    <w:rsid w:val="0066640A"/>
    <w:rsid w:val="00666435"/>
    <w:rsid w:val="00666943"/>
    <w:rsid w:val="006670FB"/>
    <w:rsid w:val="0066765B"/>
    <w:rsid w:val="006677B3"/>
    <w:rsid w:val="00667AB2"/>
    <w:rsid w:val="00667E5C"/>
    <w:rsid w:val="00670005"/>
    <w:rsid w:val="006701F7"/>
    <w:rsid w:val="00670467"/>
    <w:rsid w:val="0067086C"/>
    <w:rsid w:val="006714C7"/>
    <w:rsid w:val="006718B2"/>
    <w:rsid w:val="00671B65"/>
    <w:rsid w:val="006722EB"/>
    <w:rsid w:val="0067289C"/>
    <w:rsid w:val="00672AB2"/>
    <w:rsid w:val="00672E0D"/>
    <w:rsid w:val="00672E0F"/>
    <w:rsid w:val="00672E44"/>
    <w:rsid w:val="00672E62"/>
    <w:rsid w:val="00672EDF"/>
    <w:rsid w:val="00673082"/>
    <w:rsid w:val="00674AE3"/>
    <w:rsid w:val="00674C66"/>
    <w:rsid w:val="00674D15"/>
    <w:rsid w:val="0067543D"/>
    <w:rsid w:val="006755CD"/>
    <w:rsid w:val="006757A8"/>
    <w:rsid w:val="006757B4"/>
    <w:rsid w:val="006757DB"/>
    <w:rsid w:val="00675F10"/>
    <w:rsid w:val="006761B3"/>
    <w:rsid w:val="006769FC"/>
    <w:rsid w:val="00677556"/>
    <w:rsid w:val="00677A67"/>
    <w:rsid w:val="00680425"/>
    <w:rsid w:val="00680B2B"/>
    <w:rsid w:val="00680CBA"/>
    <w:rsid w:val="006810C2"/>
    <w:rsid w:val="00682276"/>
    <w:rsid w:val="006822E3"/>
    <w:rsid w:val="00682843"/>
    <w:rsid w:val="00682889"/>
    <w:rsid w:val="00682DE6"/>
    <w:rsid w:val="006831DD"/>
    <w:rsid w:val="0068348F"/>
    <w:rsid w:val="00683A2B"/>
    <w:rsid w:val="00683DCF"/>
    <w:rsid w:val="00684015"/>
    <w:rsid w:val="00684307"/>
    <w:rsid w:val="006849FB"/>
    <w:rsid w:val="00684C46"/>
    <w:rsid w:val="00684EA8"/>
    <w:rsid w:val="006853D5"/>
    <w:rsid w:val="00685457"/>
    <w:rsid w:val="006854FF"/>
    <w:rsid w:val="00685570"/>
    <w:rsid w:val="00685EB5"/>
    <w:rsid w:val="006860DC"/>
    <w:rsid w:val="006866A8"/>
    <w:rsid w:val="0068683F"/>
    <w:rsid w:val="0068747D"/>
    <w:rsid w:val="00687563"/>
    <w:rsid w:val="00687BA4"/>
    <w:rsid w:val="00690601"/>
    <w:rsid w:val="0069185F"/>
    <w:rsid w:val="00691D03"/>
    <w:rsid w:val="0069205E"/>
    <w:rsid w:val="006920D8"/>
    <w:rsid w:val="0069210C"/>
    <w:rsid w:val="006924DF"/>
    <w:rsid w:val="00692764"/>
    <w:rsid w:val="006928AB"/>
    <w:rsid w:val="00692B37"/>
    <w:rsid w:val="00692D50"/>
    <w:rsid w:val="00693501"/>
    <w:rsid w:val="00694775"/>
    <w:rsid w:val="00694C07"/>
    <w:rsid w:val="00694C15"/>
    <w:rsid w:val="00694D25"/>
    <w:rsid w:val="006954E6"/>
    <w:rsid w:val="0069574C"/>
    <w:rsid w:val="00695976"/>
    <w:rsid w:val="006959FF"/>
    <w:rsid w:val="00695BCE"/>
    <w:rsid w:val="0069686F"/>
    <w:rsid w:val="006969F2"/>
    <w:rsid w:val="00696D8E"/>
    <w:rsid w:val="0069759C"/>
    <w:rsid w:val="00697697"/>
    <w:rsid w:val="00697868"/>
    <w:rsid w:val="00697887"/>
    <w:rsid w:val="00697C1C"/>
    <w:rsid w:val="006A008F"/>
    <w:rsid w:val="006A00DC"/>
    <w:rsid w:val="006A023F"/>
    <w:rsid w:val="006A092A"/>
    <w:rsid w:val="006A1254"/>
    <w:rsid w:val="006A12F5"/>
    <w:rsid w:val="006A16F4"/>
    <w:rsid w:val="006A1CA8"/>
    <w:rsid w:val="006A1E56"/>
    <w:rsid w:val="006A1FEC"/>
    <w:rsid w:val="006A2C42"/>
    <w:rsid w:val="006A2DF8"/>
    <w:rsid w:val="006A30F3"/>
    <w:rsid w:val="006A34FA"/>
    <w:rsid w:val="006A37DC"/>
    <w:rsid w:val="006A3874"/>
    <w:rsid w:val="006A3910"/>
    <w:rsid w:val="006A44AF"/>
    <w:rsid w:val="006A48B6"/>
    <w:rsid w:val="006A48E1"/>
    <w:rsid w:val="006A562D"/>
    <w:rsid w:val="006A57DB"/>
    <w:rsid w:val="006A5AA6"/>
    <w:rsid w:val="006A5AB4"/>
    <w:rsid w:val="006A5B6D"/>
    <w:rsid w:val="006A5BC8"/>
    <w:rsid w:val="006A5DD5"/>
    <w:rsid w:val="006A787E"/>
    <w:rsid w:val="006B09FD"/>
    <w:rsid w:val="006B0C66"/>
    <w:rsid w:val="006B0DD1"/>
    <w:rsid w:val="006B110B"/>
    <w:rsid w:val="006B1912"/>
    <w:rsid w:val="006B1CFF"/>
    <w:rsid w:val="006B291A"/>
    <w:rsid w:val="006B2CD1"/>
    <w:rsid w:val="006B303C"/>
    <w:rsid w:val="006B36E7"/>
    <w:rsid w:val="006B3DA2"/>
    <w:rsid w:val="006B3E3F"/>
    <w:rsid w:val="006B40C1"/>
    <w:rsid w:val="006B4F5B"/>
    <w:rsid w:val="006B506A"/>
    <w:rsid w:val="006B546A"/>
    <w:rsid w:val="006B57F0"/>
    <w:rsid w:val="006B5857"/>
    <w:rsid w:val="006B59F8"/>
    <w:rsid w:val="006B5B99"/>
    <w:rsid w:val="006B5F2E"/>
    <w:rsid w:val="006B5FD3"/>
    <w:rsid w:val="006B61DB"/>
    <w:rsid w:val="006B61E7"/>
    <w:rsid w:val="006B6428"/>
    <w:rsid w:val="006B65B0"/>
    <w:rsid w:val="006B68C9"/>
    <w:rsid w:val="006B7140"/>
    <w:rsid w:val="006B774C"/>
    <w:rsid w:val="006B7EBE"/>
    <w:rsid w:val="006C0667"/>
    <w:rsid w:val="006C16F5"/>
    <w:rsid w:val="006C1BFB"/>
    <w:rsid w:val="006C1C0A"/>
    <w:rsid w:val="006C1F0E"/>
    <w:rsid w:val="006C209C"/>
    <w:rsid w:val="006C21DF"/>
    <w:rsid w:val="006C262A"/>
    <w:rsid w:val="006C2919"/>
    <w:rsid w:val="006C495D"/>
    <w:rsid w:val="006C4D19"/>
    <w:rsid w:val="006C599E"/>
    <w:rsid w:val="006C5A91"/>
    <w:rsid w:val="006C5F8B"/>
    <w:rsid w:val="006C6289"/>
    <w:rsid w:val="006C6973"/>
    <w:rsid w:val="006C6EB6"/>
    <w:rsid w:val="006C7A5D"/>
    <w:rsid w:val="006C7BF8"/>
    <w:rsid w:val="006C7F15"/>
    <w:rsid w:val="006D0056"/>
    <w:rsid w:val="006D01FB"/>
    <w:rsid w:val="006D03D4"/>
    <w:rsid w:val="006D0994"/>
    <w:rsid w:val="006D1667"/>
    <w:rsid w:val="006D16B6"/>
    <w:rsid w:val="006D1AF3"/>
    <w:rsid w:val="006D1D78"/>
    <w:rsid w:val="006D1F91"/>
    <w:rsid w:val="006D2B4B"/>
    <w:rsid w:val="006D2B9A"/>
    <w:rsid w:val="006D2BA1"/>
    <w:rsid w:val="006D33C6"/>
    <w:rsid w:val="006D3540"/>
    <w:rsid w:val="006D362E"/>
    <w:rsid w:val="006D370D"/>
    <w:rsid w:val="006D3813"/>
    <w:rsid w:val="006D3B04"/>
    <w:rsid w:val="006D3B3A"/>
    <w:rsid w:val="006D3CB0"/>
    <w:rsid w:val="006D4741"/>
    <w:rsid w:val="006D4996"/>
    <w:rsid w:val="006D4EA8"/>
    <w:rsid w:val="006D5395"/>
    <w:rsid w:val="006D57A8"/>
    <w:rsid w:val="006D6085"/>
    <w:rsid w:val="006D628A"/>
    <w:rsid w:val="006D709C"/>
    <w:rsid w:val="006D721A"/>
    <w:rsid w:val="006D75F9"/>
    <w:rsid w:val="006E01F5"/>
    <w:rsid w:val="006E0D7A"/>
    <w:rsid w:val="006E1312"/>
    <w:rsid w:val="006E1659"/>
    <w:rsid w:val="006E170D"/>
    <w:rsid w:val="006E1751"/>
    <w:rsid w:val="006E2298"/>
    <w:rsid w:val="006E279B"/>
    <w:rsid w:val="006E28D0"/>
    <w:rsid w:val="006E2BF0"/>
    <w:rsid w:val="006E2C18"/>
    <w:rsid w:val="006E37AC"/>
    <w:rsid w:val="006E3944"/>
    <w:rsid w:val="006E4686"/>
    <w:rsid w:val="006E49FE"/>
    <w:rsid w:val="006E5069"/>
    <w:rsid w:val="006E518A"/>
    <w:rsid w:val="006E54C9"/>
    <w:rsid w:val="006E5BBB"/>
    <w:rsid w:val="006E5BC6"/>
    <w:rsid w:val="006E698B"/>
    <w:rsid w:val="006E73F2"/>
    <w:rsid w:val="006E761F"/>
    <w:rsid w:val="006E7937"/>
    <w:rsid w:val="006E795D"/>
    <w:rsid w:val="006E7AE0"/>
    <w:rsid w:val="006E7CA0"/>
    <w:rsid w:val="006F0333"/>
    <w:rsid w:val="006F0BE4"/>
    <w:rsid w:val="006F0BFE"/>
    <w:rsid w:val="006F0CEC"/>
    <w:rsid w:val="006F146F"/>
    <w:rsid w:val="006F1A56"/>
    <w:rsid w:val="006F1BDE"/>
    <w:rsid w:val="006F1D4C"/>
    <w:rsid w:val="006F1ECE"/>
    <w:rsid w:val="006F203F"/>
    <w:rsid w:val="006F20E5"/>
    <w:rsid w:val="006F2C7E"/>
    <w:rsid w:val="006F2E8C"/>
    <w:rsid w:val="006F3131"/>
    <w:rsid w:val="006F315D"/>
    <w:rsid w:val="006F3789"/>
    <w:rsid w:val="006F4EEC"/>
    <w:rsid w:val="006F58D7"/>
    <w:rsid w:val="006F5D46"/>
    <w:rsid w:val="006F6E61"/>
    <w:rsid w:val="006F7D8B"/>
    <w:rsid w:val="006F7FF3"/>
    <w:rsid w:val="00700A5F"/>
    <w:rsid w:val="00700E43"/>
    <w:rsid w:val="007012CF"/>
    <w:rsid w:val="00701546"/>
    <w:rsid w:val="00701B0D"/>
    <w:rsid w:val="00701D92"/>
    <w:rsid w:val="00701E38"/>
    <w:rsid w:val="007021FC"/>
    <w:rsid w:val="0070294C"/>
    <w:rsid w:val="00702B67"/>
    <w:rsid w:val="00702CE9"/>
    <w:rsid w:val="007033FE"/>
    <w:rsid w:val="00703829"/>
    <w:rsid w:val="00703C79"/>
    <w:rsid w:val="00704086"/>
    <w:rsid w:val="00704550"/>
    <w:rsid w:val="007046EB"/>
    <w:rsid w:val="00704CE2"/>
    <w:rsid w:val="00705D2B"/>
    <w:rsid w:val="007061B3"/>
    <w:rsid w:val="00706AE5"/>
    <w:rsid w:val="00706BC0"/>
    <w:rsid w:val="00706D77"/>
    <w:rsid w:val="00706E95"/>
    <w:rsid w:val="00707712"/>
    <w:rsid w:val="007105C7"/>
    <w:rsid w:val="007105E2"/>
    <w:rsid w:val="00710FD6"/>
    <w:rsid w:val="00711129"/>
    <w:rsid w:val="007111FB"/>
    <w:rsid w:val="00711478"/>
    <w:rsid w:val="007114F3"/>
    <w:rsid w:val="00711657"/>
    <w:rsid w:val="007119AE"/>
    <w:rsid w:val="00711BAF"/>
    <w:rsid w:val="007121D0"/>
    <w:rsid w:val="00712BC9"/>
    <w:rsid w:val="00712E03"/>
    <w:rsid w:val="00713C26"/>
    <w:rsid w:val="007140CB"/>
    <w:rsid w:val="00714788"/>
    <w:rsid w:val="00714ACA"/>
    <w:rsid w:val="00714F6C"/>
    <w:rsid w:val="00715350"/>
    <w:rsid w:val="00715468"/>
    <w:rsid w:val="0071548B"/>
    <w:rsid w:val="007155A2"/>
    <w:rsid w:val="007156D7"/>
    <w:rsid w:val="00715DF3"/>
    <w:rsid w:val="00715F6C"/>
    <w:rsid w:val="00715FD2"/>
    <w:rsid w:val="00716291"/>
    <w:rsid w:val="007166B2"/>
    <w:rsid w:val="007203C6"/>
    <w:rsid w:val="007203E4"/>
    <w:rsid w:val="007204A9"/>
    <w:rsid w:val="00720551"/>
    <w:rsid w:val="00720620"/>
    <w:rsid w:val="007207E0"/>
    <w:rsid w:val="00720C5C"/>
    <w:rsid w:val="00720E60"/>
    <w:rsid w:val="00721091"/>
    <w:rsid w:val="00721432"/>
    <w:rsid w:val="007217EC"/>
    <w:rsid w:val="00721AE1"/>
    <w:rsid w:val="0072264D"/>
    <w:rsid w:val="00722665"/>
    <w:rsid w:val="00723086"/>
    <w:rsid w:val="0072319E"/>
    <w:rsid w:val="007238AA"/>
    <w:rsid w:val="007238EB"/>
    <w:rsid w:val="00723DEE"/>
    <w:rsid w:val="0072424C"/>
    <w:rsid w:val="00724713"/>
    <w:rsid w:val="00725243"/>
    <w:rsid w:val="00725363"/>
    <w:rsid w:val="00725676"/>
    <w:rsid w:val="00725DB1"/>
    <w:rsid w:val="00725E77"/>
    <w:rsid w:val="007268D4"/>
    <w:rsid w:val="00726B7A"/>
    <w:rsid w:val="00727134"/>
    <w:rsid w:val="00727686"/>
    <w:rsid w:val="00727EB3"/>
    <w:rsid w:val="00727FB2"/>
    <w:rsid w:val="00727FF0"/>
    <w:rsid w:val="00730283"/>
    <w:rsid w:val="00730464"/>
    <w:rsid w:val="00730475"/>
    <w:rsid w:val="007305D5"/>
    <w:rsid w:val="00730847"/>
    <w:rsid w:val="00730C60"/>
    <w:rsid w:val="00731055"/>
    <w:rsid w:val="00731180"/>
    <w:rsid w:val="00731526"/>
    <w:rsid w:val="007315DD"/>
    <w:rsid w:val="00731650"/>
    <w:rsid w:val="007317B0"/>
    <w:rsid w:val="00731A1D"/>
    <w:rsid w:val="00731CFB"/>
    <w:rsid w:val="0073205C"/>
    <w:rsid w:val="00732D88"/>
    <w:rsid w:val="00732F9F"/>
    <w:rsid w:val="00733691"/>
    <w:rsid w:val="00733BCB"/>
    <w:rsid w:val="0073408A"/>
    <w:rsid w:val="00734182"/>
    <w:rsid w:val="00734881"/>
    <w:rsid w:val="007349F7"/>
    <w:rsid w:val="00734AF4"/>
    <w:rsid w:val="00734D99"/>
    <w:rsid w:val="007352BA"/>
    <w:rsid w:val="00735432"/>
    <w:rsid w:val="007359D6"/>
    <w:rsid w:val="00735E67"/>
    <w:rsid w:val="00735FB6"/>
    <w:rsid w:val="00736228"/>
    <w:rsid w:val="00736288"/>
    <w:rsid w:val="007362D6"/>
    <w:rsid w:val="00736D70"/>
    <w:rsid w:val="00737501"/>
    <w:rsid w:val="0073789D"/>
    <w:rsid w:val="007378E5"/>
    <w:rsid w:val="00740C51"/>
    <w:rsid w:val="00741623"/>
    <w:rsid w:val="00741D2D"/>
    <w:rsid w:val="00741EB7"/>
    <w:rsid w:val="007423CC"/>
    <w:rsid w:val="007427AF"/>
    <w:rsid w:val="0074288E"/>
    <w:rsid w:val="00742ACE"/>
    <w:rsid w:val="00742C84"/>
    <w:rsid w:val="007434B1"/>
    <w:rsid w:val="0074353E"/>
    <w:rsid w:val="00743D70"/>
    <w:rsid w:val="00743EBA"/>
    <w:rsid w:val="007445A3"/>
    <w:rsid w:val="00744DCE"/>
    <w:rsid w:val="0074527C"/>
    <w:rsid w:val="0074590C"/>
    <w:rsid w:val="00745DD0"/>
    <w:rsid w:val="00745EB7"/>
    <w:rsid w:val="0074689F"/>
    <w:rsid w:val="007468A2"/>
    <w:rsid w:val="00746BAD"/>
    <w:rsid w:val="007470A0"/>
    <w:rsid w:val="00747232"/>
    <w:rsid w:val="00747298"/>
    <w:rsid w:val="00747B93"/>
    <w:rsid w:val="00747C5A"/>
    <w:rsid w:val="00747D90"/>
    <w:rsid w:val="007500C8"/>
    <w:rsid w:val="007502CC"/>
    <w:rsid w:val="00750C91"/>
    <w:rsid w:val="0075114C"/>
    <w:rsid w:val="00751217"/>
    <w:rsid w:val="00751E74"/>
    <w:rsid w:val="00751FB7"/>
    <w:rsid w:val="0075247C"/>
    <w:rsid w:val="00752638"/>
    <w:rsid w:val="00752797"/>
    <w:rsid w:val="00752CDC"/>
    <w:rsid w:val="00752E2A"/>
    <w:rsid w:val="0075362D"/>
    <w:rsid w:val="007537A0"/>
    <w:rsid w:val="00753DFE"/>
    <w:rsid w:val="007550AB"/>
    <w:rsid w:val="007553B5"/>
    <w:rsid w:val="00755FF5"/>
    <w:rsid w:val="007562C9"/>
    <w:rsid w:val="00756401"/>
    <w:rsid w:val="00756929"/>
    <w:rsid w:val="0075695F"/>
    <w:rsid w:val="00756A5E"/>
    <w:rsid w:val="00756B4F"/>
    <w:rsid w:val="0075775A"/>
    <w:rsid w:val="00757CBC"/>
    <w:rsid w:val="00757E9C"/>
    <w:rsid w:val="007600C3"/>
    <w:rsid w:val="007610E8"/>
    <w:rsid w:val="007617E7"/>
    <w:rsid w:val="007619B0"/>
    <w:rsid w:val="007619B3"/>
    <w:rsid w:val="00762526"/>
    <w:rsid w:val="00762A44"/>
    <w:rsid w:val="00762B8C"/>
    <w:rsid w:val="007633B4"/>
    <w:rsid w:val="00764592"/>
    <w:rsid w:val="00764ADB"/>
    <w:rsid w:val="00764D59"/>
    <w:rsid w:val="007650A6"/>
    <w:rsid w:val="00765113"/>
    <w:rsid w:val="0076538F"/>
    <w:rsid w:val="00765A27"/>
    <w:rsid w:val="0076602E"/>
    <w:rsid w:val="007661B0"/>
    <w:rsid w:val="00767266"/>
    <w:rsid w:val="00767451"/>
    <w:rsid w:val="00767685"/>
    <w:rsid w:val="007676EF"/>
    <w:rsid w:val="00767DBB"/>
    <w:rsid w:val="00767ECD"/>
    <w:rsid w:val="007702B4"/>
    <w:rsid w:val="00770773"/>
    <w:rsid w:val="007713E1"/>
    <w:rsid w:val="007714D4"/>
    <w:rsid w:val="0077150E"/>
    <w:rsid w:val="00771771"/>
    <w:rsid w:val="00771AB5"/>
    <w:rsid w:val="00771D1F"/>
    <w:rsid w:val="007723A9"/>
    <w:rsid w:val="007724E4"/>
    <w:rsid w:val="00772A72"/>
    <w:rsid w:val="00772DED"/>
    <w:rsid w:val="00772F89"/>
    <w:rsid w:val="00773271"/>
    <w:rsid w:val="007735AA"/>
    <w:rsid w:val="00773B10"/>
    <w:rsid w:val="00773DA5"/>
    <w:rsid w:val="00774264"/>
    <w:rsid w:val="00774637"/>
    <w:rsid w:val="00774646"/>
    <w:rsid w:val="007747D8"/>
    <w:rsid w:val="00774AEB"/>
    <w:rsid w:val="00775427"/>
    <w:rsid w:val="00775469"/>
    <w:rsid w:val="007754D0"/>
    <w:rsid w:val="0077566B"/>
    <w:rsid w:val="007758E5"/>
    <w:rsid w:val="00776D70"/>
    <w:rsid w:val="007777F2"/>
    <w:rsid w:val="00780311"/>
    <w:rsid w:val="0078042E"/>
    <w:rsid w:val="00780893"/>
    <w:rsid w:val="00780C18"/>
    <w:rsid w:val="00781695"/>
    <w:rsid w:val="0078177A"/>
    <w:rsid w:val="00781AEB"/>
    <w:rsid w:val="00781B0D"/>
    <w:rsid w:val="00781E6A"/>
    <w:rsid w:val="0078256A"/>
    <w:rsid w:val="0078307C"/>
    <w:rsid w:val="0078311F"/>
    <w:rsid w:val="00783230"/>
    <w:rsid w:val="00783ED1"/>
    <w:rsid w:val="00783FF7"/>
    <w:rsid w:val="007846E5"/>
    <w:rsid w:val="00784AB2"/>
    <w:rsid w:val="00784ECD"/>
    <w:rsid w:val="00785017"/>
    <w:rsid w:val="00785BE0"/>
    <w:rsid w:val="00786D97"/>
    <w:rsid w:val="00787051"/>
    <w:rsid w:val="0078730D"/>
    <w:rsid w:val="007903E4"/>
    <w:rsid w:val="00790453"/>
    <w:rsid w:val="0079054E"/>
    <w:rsid w:val="0079071C"/>
    <w:rsid w:val="00790B72"/>
    <w:rsid w:val="00790B93"/>
    <w:rsid w:val="00790BAB"/>
    <w:rsid w:val="00792669"/>
    <w:rsid w:val="0079299E"/>
    <w:rsid w:val="00792B74"/>
    <w:rsid w:val="00792CBD"/>
    <w:rsid w:val="00792CFA"/>
    <w:rsid w:val="00793774"/>
    <w:rsid w:val="00793788"/>
    <w:rsid w:val="0079419E"/>
    <w:rsid w:val="0079421F"/>
    <w:rsid w:val="0079452D"/>
    <w:rsid w:val="00794883"/>
    <w:rsid w:val="00794CFD"/>
    <w:rsid w:val="00794D8B"/>
    <w:rsid w:val="0079504E"/>
    <w:rsid w:val="00795092"/>
    <w:rsid w:val="0079529F"/>
    <w:rsid w:val="00795626"/>
    <w:rsid w:val="00795A7D"/>
    <w:rsid w:val="00796014"/>
    <w:rsid w:val="00796FC4"/>
    <w:rsid w:val="00797937"/>
    <w:rsid w:val="00797A71"/>
    <w:rsid w:val="00797B2C"/>
    <w:rsid w:val="00797DCF"/>
    <w:rsid w:val="007A007F"/>
    <w:rsid w:val="007A02A7"/>
    <w:rsid w:val="007A02BA"/>
    <w:rsid w:val="007A04BF"/>
    <w:rsid w:val="007A0749"/>
    <w:rsid w:val="007A0D4A"/>
    <w:rsid w:val="007A0E89"/>
    <w:rsid w:val="007A0E8C"/>
    <w:rsid w:val="007A1190"/>
    <w:rsid w:val="007A1668"/>
    <w:rsid w:val="007A18D4"/>
    <w:rsid w:val="007A1932"/>
    <w:rsid w:val="007A1DF2"/>
    <w:rsid w:val="007A255D"/>
    <w:rsid w:val="007A2B38"/>
    <w:rsid w:val="007A2F47"/>
    <w:rsid w:val="007A2F5C"/>
    <w:rsid w:val="007A31E1"/>
    <w:rsid w:val="007A32EC"/>
    <w:rsid w:val="007A36C2"/>
    <w:rsid w:val="007A3A5A"/>
    <w:rsid w:val="007A466A"/>
    <w:rsid w:val="007A4844"/>
    <w:rsid w:val="007A49C5"/>
    <w:rsid w:val="007A4F85"/>
    <w:rsid w:val="007A53EC"/>
    <w:rsid w:val="007A5A1A"/>
    <w:rsid w:val="007A60E3"/>
    <w:rsid w:val="007A62DB"/>
    <w:rsid w:val="007A67AD"/>
    <w:rsid w:val="007A6CC3"/>
    <w:rsid w:val="007A6DB6"/>
    <w:rsid w:val="007A6DE0"/>
    <w:rsid w:val="007A73D9"/>
    <w:rsid w:val="007A7865"/>
    <w:rsid w:val="007B0172"/>
    <w:rsid w:val="007B0334"/>
    <w:rsid w:val="007B1540"/>
    <w:rsid w:val="007B223E"/>
    <w:rsid w:val="007B248A"/>
    <w:rsid w:val="007B2DF6"/>
    <w:rsid w:val="007B3912"/>
    <w:rsid w:val="007B395A"/>
    <w:rsid w:val="007B3DB0"/>
    <w:rsid w:val="007B3EAB"/>
    <w:rsid w:val="007B464A"/>
    <w:rsid w:val="007B4C8E"/>
    <w:rsid w:val="007B4D20"/>
    <w:rsid w:val="007B502F"/>
    <w:rsid w:val="007B5066"/>
    <w:rsid w:val="007B5147"/>
    <w:rsid w:val="007B54E2"/>
    <w:rsid w:val="007B552E"/>
    <w:rsid w:val="007B59CE"/>
    <w:rsid w:val="007B5C70"/>
    <w:rsid w:val="007B65F9"/>
    <w:rsid w:val="007B69DE"/>
    <w:rsid w:val="007B6AA7"/>
    <w:rsid w:val="007B6CD9"/>
    <w:rsid w:val="007B6DD9"/>
    <w:rsid w:val="007B6F17"/>
    <w:rsid w:val="007B7768"/>
    <w:rsid w:val="007B781B"/>
    <w:rsid w:val="007C009E"/>
    <w:rsid w:val="007C016E"/>
    <w:rsid w:val="007C06A6"/>
    <w:rsid w:val="007C0935"/>
    <w:rsid w:val="007C097F"/>
    <w:rsid w:val="007C0BBE"/>
    <w:rsid w:val="007C0F71"/>
    <w:rsid w:val="007C117D"/>
    <w:rsid w:val="007C1673"/>
    <w:rsid w:val="007C1CAD"/>
    <w:rsid w:val="007C1F83"/>
    <w:rsid w:val="007C1FB1"/>
    <w:rsid w:val="007C240C"/>
    <w:rsid w:val="007C27CF"/>
    <w:rsid w:val="007C285C"/>
    <w:rsid w:val="007C2DDF"/>
    <w:rsid w:val="007C30DB"/>
    <w:rsid w:val="007C3101"/>
    <w:rsid w:val="007C3804"/>
    <w:rsid w:val="007C3816"/>
    <w:rsid w:val="007C387C"/>
    <w:rsid w:val="007C3BEF"/>
    <w:rsid w:val="007C4184"/>
    <w:rsid w:val="007C6210"/>
    <w:rsid w:val="007C62E6"/>
    <w:rsid w:val="007C634A"/>
    <w:rsid w:val="007C67A7"/>
    <w:rsid w:val="007C6D47"/>
    <w:rsid w:val="007C787A"/>
    <w:rsid w:val="007C7A8F"/>
    <w:rsid w:val="007C7AAE"/>
    <w:rsid w:val="007D0CE9"/>
    <w:rsid w:val="007D11AF"/>
    <w:rsid w:val="007D12A5"/>
    <w:rsid w:val="007D1855"/>
    <w:rsid w:val="007D18AF"/>
    <w:rsid w:val="007D245D"/>
    <w:rsid w:val="007D246D"/>
    <w:rsid w:val="007D2BBB"/>
    <w:rsid w:val="007D3134"/>
    <w:rsid w:val="007D335E"/>
    <w:rsid w:val="007D391E"/>
    <w:rsid w:val="007D491C"/>
    <w:rsid w:val="007D4925"/>
    <w:rsid w:val="007D4C5A"/>
    <w:rsid w:val="007D5254"/>
    <w:rsid w:val="007D54D7"/>
    <w:rsid w:val="007D58FE"/>
    <w:rsid w:val="007D6223"/>
    <w:rsid w:val="007D704A"/>
    <w:rsid w:val="007D7197"/>
    <w:rsid w:val="007D7C62"/>
    <w:rsid w:val="007E1CB4"/>
    <w:rsid w:val="007E1CD4"/>
    <w:rsid w:val="007E1F74"/>
    <w:rsid w:val="007E1FC2"/>
    <w:rsid w:val="007E2B7B"/>
    <w:rsid w:val="007E3581"/>
    <w:rsid w:val="007E35CD"/>
    <w:rsid w:val="007E3815"/>
    <w:rsid w:val="007E3E8F"/>
    <w:rsid w:val="007E4166"/>
    <w:rsid w:val="007E4534"/>
    <w:rsid w:val="007E5AD9"/>
    <w:rsid w:val="007E5C38"/>
    <w:rsid w:val="007E6917"/>
    <w:rsid w:val="007E6A0B"/>
    <w:rsid w:val="007E6F9A"/>
    <w:rsid w:val="007E765E"/>
    <w:rsid w:val="007F008D"/>
    <w:rsid w:val="007F0278"/>
    <w:rsid w:val="007F0A17"/>
    <w:rsid w:val="007F1008"/>
    <w:rsid w:val="007F14BA"/>
    <w:rsid w:val="007F170A"/>
    <w:rsid w:val="007F2526"/>
    <w:rsid w:val="007F2B5F"/>
    <w:rsid w:val="007F334A"/>
    <w:rsid w:val="007F3606"/>
    <w:rsid w:val="007F3B8E"/>
    <w:rsid w:val="007F3F93"/>
    <w:rsid w:val="007F4520"/>
    <w:rsid w:val="007F4ABA"/>
    <w:rsid w:val="007F4E12"/>
    <w:rsid w:val="007F4E93"/>
    <w:rsid w:val="007F4F12"/>
    <w:rsid w:val="007F5130"/>
    <w:rsid w:val="007F5769"/>
    <w:rsid w:val="007F578E"/>
    <w:rsid w:val="007F598B"/>
    <w:rsid w:val="007F5A65"/>
    <w:rsid w:val="007F5BC6"/>
    <w:rsid w:val="007F5CAB"/>
    <w:rsid w:val="007F5DD7"/>
    <w:rsid w:val="007F60F9"/>
    <w:rsid w:val="007F63DB"/>
    <w:rsid w:val="007F71ED"/>
    <w:rsid w:val="007F757B"/>
    <w:rsid w:val="007F77F6"/>
    <w:rsid w:val="007F7AED"/>
    <w:rsid w:val="007F7BE9"/>
    <w:rsid w:val="007F7FA2"/>
    <w:rsid w:val="008005E9"/>
    <w:rsid w:val="0080092F"/>
    <w:rsid w:val="00802157"/>
    <w:rsid w:val="008023E5"/>
    <w:rsid w:val="008029FC"/>
    <w:rsid w:val="008035B1"/>
    <w:rsid w:val="008037A4"/>
    <w:rsid w:val="008043E7"/>
    <w:rsid w:val="008046D4"/>
    <w:rsid w:val="008051DF"/>
    <w:rsid w:val="0080520E"/>
    <w:rsid w:val="00805809"/>
    <w:rsid w:val="00805C47"/>
    <w:rsid w:val="00805FB6"/>
    <w:rsid w:val="00806033"/>
    <w:rsid w:val="00806A9E"/>
    <w:rsid w:val="00806D51"/>
    <w:rsid w:val="008070B3"/>
    <w:rsid w:val="00807BDE"/>
    <w:rsid w:val="00807C12"/>
    <w:rsid w:val="0081041F"/>
    <w:rsid w:val="00810433"/>
    <w:rsid w:val="008104FA"/>
    <w:rsid w:val="008107C2"/>
    <w:rsid w:val="008108BE"/>
    <w:rsid w:val="008108C0"/>
    <w:rsid w:val="00811359"/>
    <w:rsid w:val="00811ADE"/>
    <w:rsid w:val="00811C1B"/>
    <w:rsid w:val="00811D70"/>
    <w:rsid w:val="00811F47"/>
    <w:rsid w:val="00812396"/>
    <w:rsid w:val="0081289B"/>
    <w:rsid w:val="00812C85"/>
    <w:rsid w:val="008130DE"/>
    <w:rsid w:val="0081313D"/>
    <w:rsid w:val="0081346A"/>
    <w:rsid w:val="008137EF"/>
    <w:rsid w:val="00813879"/>
    <w:rsid w:val="008138C7"/>
    <w:rsid w:val="00813B50"/>
    <w:rsid w:val="00813DEF"/>
    <w:rsid w:val="008142BE"/>
    <w:rsid w:val="008147C0"/>
    <w:rsid w:val="00814BE5"/>
    <w:rsid w:val="00815499"/>
    <w:rsid w:val="00815583"/>
    <w:rsid w:val="00815D4A"/>
    <w:rsid w:val="0081670A"/>
    <w:rsid w:val="00816956"/>
    <w:rsid w:val="00816A0F"/>
    <w:rsid w:val="00816E60"/>
    <w:rsid w:val="00816EF1"/>
    <w:rsid w:val="008172CC"/>
    <w:rsid w:val="00817415"/>
    <w:rsid w:val="008200DA"/>
    <w:rsid w:val="00820D8F"/>
    <w:rsid w:val="00821A08"/>
    <w:rsid w:val="00821A1E"/>
    <w:rsid w:val="00821D86"/>
    <w:rsid w:val="0082206E"/>
    <w:rsid w:val="00822232"/>
    <w:rsid w:val="008222AC"/>
    <w:rsid w:val="008223AF"/>
    <w:rsid w:val="008225D9"/>
    <w:rsid w:val="00822645"/>
    <w:rsid w:val="00822670"/>
    <w:rsid w:val="0082270E"/>
    <w:rsid w:val="00822917"/>
    <w:rsid w:val="00822C40"/>
    <w:rsid w:val="00822E93"/>
    <w:rsid w:val="00823840"/>
    <w:rsid w:val="00823C7B"/>
    <w:rsid w:val="00823DDE"/>
    <w:rsid w:val="008240F8"/>
    <w:rsid w:val="0082411E"/>
    <w:rsid w:val="008246F0"/>
    <w:rsid w:val="008249E4"/>
    <w:rsid w:val="00825AB8"/>
    <w:rsid w:val="00825F29"/>
    <w:rsid w:val="00826602"/>
    <w:rsid w:val="008267EB"/>
    <w:rsid w:val="00826C51"/>
    <w:rsid w:val="00827165"/>
    <w:rsid w:val="0082729C"/>
    <w:rsid w:val="008272CB"/>
    <w:rsid w:val="00827805"/>
    <w:rsid w:val="008278DC"/>
    <w:rsid w:val="00827F9C"/>
    <w:rsid w:val="008300C2"/>
    <w:rsid w:val="008300FC"/>
    <w:rsid w:val="0083033F"/>
    <w:rsid w:val="00830441"/>
    <w:rsid w:val="0083047D"/>
    <w:rsid w:val="00830894"/>
    <w:rsid w:val="00830A93"/>
    <w:rsid w:val="00830F1A"/>
    <w:rsid w:val="00831574"/>
    <w:rsid w:val="008315CE"/>
    <w:rsid w:val="00831994"/>
    <w:rsid w:val="00832061"/>
    <w:rsid w:val="008324CB"/>
    <w:rsid w:val="008324F3"/>
    <w:rsid w:val="00832563"/>
    <w:rsid w:val="008326D6"/>
    <w:rsid w:val="008328E9"/>
    <w:rsid w:val="00832AAF"/>
    <w:rsid w:val="00832DD3"/>
    <w:rsid w:val="00833792"/>
    <w:rsid w:val="00833F42"/>
    <w:rsid w:val="008344E3"/>
    <w:rsid w:val="008348BF"/>
    <w:rsid w:val="00834B3A"/>
    <w:rsid w:val="00834D89"/>
    <w:rsid w:val="00834F13"/>
    <w:rsid w:val="0083516C"/>
    <w:rsid w:val="008355D5"/>
    <w:rsid w:val="008360DA"/>
    <w:rsid w:val="008363FB"/>
    <w:rsid w:val="0083652D"/>
    <w:rsid w:val="00836674"/>
    <w:rsid w:val="008371BF"/>
    <w:rsid w:val="00837AE4"/>
    <w:rsid w:val="00837B59"/>
    <w:rsid w:val="008406FA"/>
    <w:rsid w:val="00841011"/>
    <w:rsid w:val="0084167B"/>
    <w:rsid w:val="00841974"/>
    <w:rsid w:val="00841F4A"/>
    <w:rsid w:val="008420D4"/>
    <w:rsid w:val="00842CD9"/>
    <w:rsid w:val="00842D05"/>
    <w:rsid w:val="00842EB1"/>
    <w:rsid w:val="00843293"/>
    <w:rsid w:val="0084376E"/>
    <w:rsid w:val="00843C9A"/>
    <w:rsid w:val="008441FC"/>
    <w:rsid w:val="00844583"/>
    <w:rsid w:val="008453B5"/>
    <w:rsid w:val="00845E6E"/>
    <w:rsid w:val="008461AC"/>
    <w:rsid w:val="0084624C"/>
    <w:rsid w:val="00846E5E"/>
    <w:rsid w:val="0084707E"/>
    <w:rsid w:val="00847EFF"/>
    <w:rsid w:val="008501F0"/>
    <w:rsid w:val="008505E0"/>
    <w:rsid w:val="008508D3"/>
    <w:rsid w:val="00850A4E"/>
    <w:rsid w:val="00850B09"/>
    <w:rsid w:val="00850BAD"/>
    <w:rsid w:val="00850CDE"/>
    <w:rsid w:val="00850E59"/>
    <w:rsid w:val="00851127"/>
    <w:rsid w:val="00851ADC"/>
    <w:rsid w:val="00851E8C"/>
    <w:rsid w:val="00852010"/>
    <w:rsid w:val="00852436"/>
    <w:rsid w:val="008526A9"/>
    <w:rsid w:val="008528B7"/>
    <w:rsid w:val="00852DA2"/>
    <w:rsid w:val="00852E7B"/>
    <w:rsid w:val="00852F35"/>
    <w:rsid w:val="008530E2"/>
    <w:rsid w:val="00853C57"/>
    <w:rsid w:val="00853E94"/>
    <w:rsid w:val="008541C0"/>
    <w:rsid w:val="0085456F"/>
    <w:rsid w:val="00854DA7"/>
    <w:rsid w:val="00854ED1"/>
    <w:rsid w:val="00856331"/>
    <w:rsid w:val="00856C2F"/>
    <w:rsid w:val="00857363"/>
    <w:rsid w:val="0085750A"/>
    <w:rsid w:val="00857710"/>
    <w:rsid w:val="00857C39"/>
    <w:rsid w:val="00860367"/>
    <w:rsid w:val="0086037D"/>
    <w:rsid w:val="00860D3C"/>
    <w:rsid w:val="008611A5"/>
    <w:rsid w:val="0086141C"/>
    <w:rsid w:val="00861999"/>
    <w:rsid w:val="00861B1F"/>
    <w:rsid w:val="00861C5E"/>
    <w:rsid w:val="00861F0D"/>
    <w:rsid w:val="0086209D"/>
    <w:rsid w:val="008626DB"/>
    <w:rsid w:val="008626E8"/>
    <w:rsid w:val="00862AF7"/>
    <w:rsid w:val="00862CD5"/>
    <w:rsid w:val="00863CF7"/>
    <w:rsid w:val="008643FF"/>
    <w:rsid w:val="0086500E"/>
    <w:rsid w:val="008652C0"/>
    <w:rsid w:val="008655D0"/>
    <w:rsid w:val="008656EB"/>
    <w:rsid w:val="008667D9"/>
    <w:rsid w:val="00866D75"/>
    <w:rsid w:val="008673E1"/>
    <w:rsid w:val="00867816"/>
    <w:rsid w:val="00867CA8"/>
    <w:rsid w:val="00867F06"/>
    <w:rsid w:val="008707AF"/>
    <w:rsid w:val="008707C3"/>
    <w:rsid w:val="0087083B"/>
    <w:rsid w:val="00870877"/>
    <w:rsid w:val="00870908"/>
    <w:rsid w:val="008709D6"/>
    <w:rsid w:val="00870AA7"/>
    <w:rsid w:val="00871A3D"/>
    <w:rsid w:val="00871D4A"/>
    <w:rsid w:val="00872035"/>
    <w:rsid w:val="00872460"/>
    <w:rsid w:val="00872990"/>
    <w:rsid w:val="00872D62"/>
    <w:rsid w:val="008738AA"/>
    <w:rsid w:val="008738DA"/>
    <w:rsid w:val="00873CC8"/>
    <w:rsid w:val="0087424B"/>
    <w:rsid w:val="00874CBE"/>
    <w:rsid w:val="00874CC1"/>
    <w:rsid w:val="00875634"/>
    <w:rsid w:val="00875A4B"/>
    <w:rsid w:val="00875F0D"/>
    <w:rsid w:val="008766F7"/>
    <w:rsid w:val="008771B3"/>
    <w:rsid w:val="0087728F"/>
    <w:rsid w:val="008776A6"/>
    <w:rsid w:val="008801BA"/>
    <w:rsid w:val="00880485"/>
    <w:rsid w:val="008804DB"/>
    <w:rsid w:val="008805CE"/>
    <w:rsid w:val="00880864"/>
    <w:rsid w:val="00880D6A"/>
    <w:rsid w:val="00881A82"/>
    <w:rsid w:val="00881C6D"/>
    <w:rsid w:val="00881F71"/>
    <w:rsid w:val="0088248D"/>
    <w:rsid w:val="008828D4"/>
    <w:rsid w:val="00882E30"/>
    <w:rsid w:val="00883248"/>
    <w:rsid w:val="00883A63"/>
    <w:rsid w:val="00883A7A"/>
    <w:rsid w:val="00883B12"/>
    <w:rsid w:val="00883BE9"/>
    <w:rsid w:val="00884BAB"/>
    <w:rsid w:val="00885091"/>
    <w:rsid w:val="00885237"/>
    <w:rsid w:val="00885384"/>
    <w:rsid w:val="00885517"/>
    <w:rsid w:val="008864FF"/>
    <w:rsid w:val="00886786"/>
    <w:rsid w:val="00886F01"/>
    <w:rsid w:val="00887C06"/>
    <w:rsid w:val="00887CC6"/>
    <w:rsid w:val="00887F77"/>
    <w:rsid w:val="00890653"/>
    <w:rsid w:val="008907FC"/>
    <w:rsid w:val="008909A7"/>
    <w:rsid w:val="008910B0"/>
    <w:rsid w:val="00891D32"/>
    <w:rsid w:val="008925B1"/>
    <w:rsid w:val="0089286B"/>
    <w:rsid w:val="008928AA"/>
    <w:rsid w:val="00892B28"/>
    <w:rsid w:val="008935A6"/>
    <w:rsid w:val="00893656"/>
    <w:rsid w:val="00893685"/>
    <w:rsid w:val="0089422D"/>
    <w:rsid w:val="0089439B"/>
    <w:rsid w:val="00894AD0"/>
    <w:rsid w:val="00894AF1"/>
    <w:rsid w:val="00894CF4"/>
    <w:rsid w:val="00895597"/>
    <w:rsid w:val="008956A8"/>
    <w:rsid w:val="00895729"/>
    <w:rsid w:val="00895735"/>
    <w:rsid w:val="008957DE"/>
    <w:rsid w:val="00895ADE"/>
    <w:rsid w:val="00896292"/>
    <w:rsid w:val="008963DE"/>
    <w:rsid w:val="00896682"/>
    <w:rsid w:val="00896B4E"/>
    <w:rsid w:val="0089741C"/>
    <w:rsid w:val="0089757D"/>
    <w:rsid w:val="0089783F"/>
    <w:rsid w:val="0089784A"/>
    <w:rsid w:val="008978D4"/>
    <w:rsid w:val="00897BBD"/>
    <w:rsid w:val="00897DC8"/>
    <w:rsid w:val="008A005A"/>
    <w:rsid w:val="008A03FF"/>
    <w:rsid w:val="008A0614"/>
    <w:rsid w:val="008A0E52"/>
    <w:rsid w:val="008A0F5A"/>
    <w:rsid w:val="008A0FC3"/>
    <w:rsid w:val="008A1319"/>
    <w:rsid w:val="008A1B8E"/>
    <w:rsid w:val="008A1EA4"/>
    <w:rsid w:val="008A20BC"/>
    <w:rsid w:val="008A23A0"/>
    <w:rsid w:val="008A2BEC"/>
    <w:rsid w:val="008A2EB9"/>
    <w:rsid w:val="008A2FF1"/>
    <w:rsid w:val="008A3101"/>
    <w:rsid w:val="008A3D50"/>
    <w:rsid w:val="008A3E39"/>
    <w:rsid w:val="008A3E47"/>
    <w:rsid w:val="008A44B1"/>
    <w:rsid w:val="008A4732"/>
    <w:rsid w:val="008A50AA"/>
    <w:rsid w:val="008A52B0"/>
    <w:rsid w:val="008A5559"/>
    <w:rsid w:val="008A561A"/>
    <w:rsid w:val="008A5738"/>
    <w:rsid w:val="008A5988"/>
    <w:rsid w:val="008A5C34"/>
    <w:rsid w:val="008A5D97"/>
    <w:rsid w:val="008A5DAE"/>
    <w:rsid w:val="008A5F67"/>
    <w:rsid w:val="008A641D"/>
    <w:rsid w:val="008A645A"/>
    <w:rsid w:val="008A6A18"/>
    <w:rsid w:val="008A7510"/>
    <w:rsid w:val="008A79E2"/>
    <w:rsid w:val="008A7C1C"/>
    <w:rsid w:val="008B01B9"/>
    <w:rsid w:val="008B03D1"/>
    <w:rsid w:val="008B04E4"/>
    <w:rsid w:val="008B05BE"/>
    <w:rsid w:val="008B0618"/>
    <w:rsid w:val="008B105B"/>
    <w:rsid w:val="008B1121"/>
    <w:rsid w:val="008B1190"/>
    <w:rsid w:val="008B11CF"/>
    <w:rsid w:val="008B1D97"/>
    <w:rsid w:val="008B2442"/>
    <w:rsid w:val="008B2AA9"/>
    <w:rsid w:val="008B2C43"/>
    <w:rsid w:val="008B2F4F"/>
    <w:rsid w:val="008B2F57"/>
    <w:rsid w:val="008B364E"/>
    <w:rsid w:val="008B3A91"/>
    <w:rsid w:val="008B3D48"/>
    <w:rsid w:val="008B3F1B"/>
    <w:rsid w:val="008B44F5"/>
    <w:rsid w:val="008B4F32"/>
    <w:rsid w:val="008B50D3"/>
    <w:rsid w:val="008B543A"/>
    <w:rsid w:val="008B5D74"/>
    <w:rsid w:val="008B5EF8"/>
    <w:rsid w:val="008B62B5"/>
    <w:rsid w:val="008B655A"/>
    <w:rsid w:val="008B7159"/>
    <w:rsid w:val="008B789D"/>
    <w:rsid w:val="008B7AA7"/>
    <w:rsid w:val="008C0166"/>
    <w:rsid w:val="008C019A"/>
    <w:rsid w:val="008C0666"/>
    <w:rsid w:val="008C0716"/>
    <w:rsid w:val="008C091A"/>
    <w:rsid w:val="008C0CBF"/>
    <w:rsid w:val="008C1377"/>
    <w:rsid w:val="008C1484"/>
    <w:rsid w:val="008C17B6"/>
    <w:rsid w:val="008C1DB6"/>
    <w:rsid w:val="008C24C3"/>
    <w:rsid w:val="008C24E3"/>
    <w:rsid w:val="008C2522"/>
    <w:rsid w:val="008C2909"/>
    <w:rsid w:val="008C308E"/>
    <w:rsid w:val="008C30B9"/>
    <w:rsid w:val="008C328A"/>
    <w:rsid w:val="008C3534"/>
    <w:rsid w:val="008C3781"/>
    <w:rsid w:val="008C3DDB"/>
    <w:rsid w:val="008C3ED7"/>
    <w:rsid w:val="008C464A"/>
    <w:rsid w:val="008C46AA"/>
    <w:rsid w:val="008C47A1"/>
    <w:rsid w:val="008C4C13"/>
    <w:rsid w:val="008C4D63"/>
    <w:rsid w:val="008C4ECA"/>
    <w:rsid w:val="008C516F"/>
    <w:rsid w:val="008C53E1"/>
    <w:rsid w:val="008C5411"/>
    <w:rsid w:val="008C5D40"/>
    <w:rsid w:val="008C5D51"/>
    <w:rsid w:val="008C738F"/>
    <w:rsid w:val="008C79B1"/>
    <w:rsid w:val="008C7CC2"/>
    <w:rsid w:val="008C7E50"/>
    <w:rsid w:val="008D04F3"/>
    <w:rsid w:val="008D0DF5"/>
    <w:rsid w:val="008D1416"/>
    <w:rsid w:val="008D15B3"/>
    <w:rsid w:val="008D1BD6"/>
    <w:rsid w:val="008D2422"/>
    <w:rsid w:val="008D2516"/>
    <w:rsid w:val="008D26C6"/>
    <w:rsid w:val="008D2958"/>
    <w:rsid w:val="008D2B62"/>
    <w:rsid w:val="008D331B"/>
    <w:rsid w:val="008D3358"/>
    <w:rsid w:val="008D3955"/>
    <w:rsid w:val="008D459C"/>
    <w:rsid w:val="008D4682"/>
    <w:rsid w:val="008D4AAB"/>
    <w:rsid w:val="008D6098"/>
    <w:rsid w:val="008D61B4"/>
    <w:rsid w:val="008D624C"/>
    <w:rsid w:val="008D6B9E"/>
    <w:rsid w:val="008D738A"/>
    <w:rsid w:val="008D763B"/>
    <w:rsid w:val="008D7C10"/>
    <w:rsid w:val="008D7C15"/>
    <w:rsid w:val="008D7DC4"/>
    <w:rsid w:val="008E01E1"/>
    <w:rsid w:val="008E04BF"/>
    <w:rsid w:val="008E0722"/>
    <w:rsid w:val="008E0E4C"/>
    <w:rsid w:val="008E1024"/>
    <w:rsid w:val="008E12A1"/>
    <w:rsid w:val="008E13E7"/>
    <w:rsid w:val="008E2A79"/>
    <w:rsid w:val="008E347A"/>
    <w:rsid w:val="008E38D2"/>
    <w:rsid w:val="008E3FF1"/>
    <w:rsid w:val="008E412F"/>
    <w:rsid w:val="008E4C43"/>
    <w:rsid w:val="008E4C81"/>
    <w:rsid w:val="008E5118"/>
    <w:rsid w:val="008E52BD"/>
    <w:rsid w:val="008E5497"/>
    <w:rsid w:val="008E5A99"/>
    <w:rsid w:val="008E61C1"/>
    <w:rsid w:val="008E6610"/>
    <w:rsid w:val="008E66F0"/>
    <w:rsid w:val="008E6F4F"/>
    <w:rsid w:val="008E72DC"/>
    <w:rsid w:val="008E74B2"/>
    <w:rsid w:val="008E79C7"/>
    <w:rsid w:val="008E7C14"/>
    <w:rsid w:val="008E7D38"/>
    <w:rsid w:val="008E7DC6"/>
    <w:rsid w:val="008E7EBD"/>
    <w:rsid w:val="008E7F08"/>
    <w:rsid w:val="008F0227"/>
    <w:rsid w:val="008F0E46"/>
    <w:rsid w:val="008F0FEE"/>
    <w:rsid w:val="008F113E"/>
    <w:rsid w:val="008F13C8"/>
    <w:rsid w:val="008F152C"/>
    <w:rsid w:val="008F19E5"/>
    <w:rsid w:val="008F1D22"/>
    <w:rsid w:val="008F1E43"/>
    <w:rsid w:val="008F1EC0"/>
    <w:rsid w:val="008F2170"/>
    <w:rsid w:val="008F2482"/>
    <w:rsid w:val="008F24E5"/>
    <w:rsid w:val="008F25BB"/>
    <w:rsid w:val="008F2D00"/>
    <w:rsid w:val="008F2D97"/>
    <w:rsid w:val="008F393C"/>
    <w:rsid w:val="008F39C6"/>
    <w:rsid w:val="008F3DAE"/>
    <w:rsid w:val="008F429C"/>
    <w:rsid w:val="008F4BD7"/>
    <w:rsid w:val="008F4C08"/>
    <w:rsid w:val="008F4FE3"/>
    <w:rsid w:val="008F50B5"/>
    <w:rsid w:val="008F5439"/>
    <w:rsid w:val="008F56C0"/>
    <w:rsid w:val="008F59B6"/>
    <w:rsid w:val="008F5B21"/>
    <w:rsid w:val="008F68E3"/>
    <w:rsid w:val="008F71FB"/>
    <w:rsid w:val="008F775F"/>
    <w:rsid w:val="008F7B9F"/>
    <w:rsid w:val="0090036C"/>
    <w:rsid w:val="0090064C"/>
    <w:rsid w:val="009007A9"/>
    <w:rsid w:val="00900B09"/>
    <w:rsid w:val="00901E23"/>
    <w:rsid w:val="00902284"/>
    <w:rsid w:val="0090238E"/>
    <w:rsid w:val="009026D1"/>
    <w:rsid w:val="00902C9F"/>
    <w:rsid w:val="00902EEA"/>
    <w:rsid w:val="0090323D"/>
    <w:rsid w:val="0090360A"/>
    <w:rsid w:val="0090401A"/>
    <w:rsid w:val="00904A33"/>
    <w:rsid w:val="00906297"/>
    <w:rsid w:val="00906493"/>
    <w:rsid w:val="009065C3"/>
    <w:rsid w:val="009065E4"/>
    <w:rsid w:val="0090693C"/>
    <w:rsid w:val="0090706C"/>
    <w:rsid w:val="009100BD"/>
    <w:rsid w:val="0091020B"/>
    <w:rsid w:val="00910318"/>
    <w:rsid w:val="0091048F"/>
    <w:rsid w:val="00910AE9"/>
    <w:rsid w:val="00911170"/>
    <w:rsid w:val="00911D23"/>
    <w:rsid w:val="00911F82"/>
    <w:rsid w:val="0091204D"/>
    <w:rsid w:val="009127F7"/>
    <w:rsid w:val="00912C03"/>
    <w:rsid w:val="009131DF"/>
    <w:rsid w:val="009133E8"/>
    <w:rsid w:val="00913DD2"/>
    <w:rsid w:val="00913ED0"/>
    <w:rsid w:val="00914051"/>
    <w:rsid w:val="009144E3"/>
    <w:rsid w:val="00914595"/>
    <w:rsid w:val="00914D21"/>
    <w:rsid w:val="009157C9"/>
    <w:rsid w:val="009158EC"/>
    <w:rsid w:val="00916520"/>
    <w:rsid w:val="00916684"/>
    <w:rsid w:val="009169FC"/>
    <w:rsid w:val="00917293"/>
    <w:rsid w:val="00917DE2"/>
    <w:rsid w:val="009201F4"/>
    <w:rsid w:val="00920A2B"/>
    <w:rsid w:val="00920CDA"/>
    <w:rsid w:val="009218A1"/>
    <w:rsid w:val="00922315"/>
    <w:rsid w:val="00922771"/>
    <w:rsid w:val="009227D5"/>
    <w:rsid w:val="0092292F"/>
    <w:rsid w:val="00922E1B"/>
    <w:rsid w:val="00923379"/>
    <w:rsid w:val="00923C4B"/>
    <w:rsid w:val="00923EB6"/>
    <w:rsid w:val="0092424A"/>
    <w:rsid w:val="00924C5D"/>
    <w:rsid w:val="0092523F"/>
    <w:rsid w:val="00925254"/>
    <w:rsid w:val="00925388"/>
    <w:rsid w:val="009253A9"/>
    <w:rsid w:val="0092568A"/>
    <w:rsid w:val="009257FD"/>
    <w:rsid w:val="00925A2E"/>
    <w:rsid w:val="00925ABF"/>
    <w:rsid w:val="00925C39"/>
    <w:rsid w:val="00926201"/>
    <w:rsid w:val="00926210"/>
    <w:rsid w:val="00926EC3"/>
    <w:rsid w:val="00927327"/>
    <w:rsid w:val="00927650"/>
    <w:rsid w:val="00927694"/>
    <w:rsid w:val="00927C30"/>
    <w:rsid w:val="00927E8E"/>
    <w:rsid w:val="0093012F"/>
    <w:rsid w:val="0093024C"/>
    <w:rsid w:val="0093035F"/>
    <w:rsid w:val="00930DF0"/>
    <w:rsid w:val="00931AC7"/>
    <w:rsid w:val="00931EF7"/>
    <w:rsid w:val="009325A9"/>
    <w:rsid w:val="00932BD2"/>
    <w:rsid w:val="00932DE6"/>
    <w:rsid w:val="00932E7E"/>
    <w:rsid w:val="00933076"/>
    <w:rsid w:val="00933190"/>
    <w:rsid w:val="00933222"/>
    <w:rsid w:val="00933525"/>
    <w:rsid w:val="0093363E"/>
    <w:rsid w:val="00934084"/>
    <w:rsid w:val="00934130"/>
    <w:rsid w:val="009348D7"/>
    <w:rsid w:val="00934CCF"/>
    <w:rsid w:val="00934FCF"/>
    <w:rsid w:val="00935304"/>
    <w:rsid w:val="009357FD"/>
    <w:rsid w:val="00935932"/>
    <w:rsid w:val="00935C5C"/>
    <w:rsid w:val="00935F35"/>
    <w:rsid w:val="00936006"/>
    <w:rsid w:val="009362CC"/>
    <w:rsid w:val="0093660D"/>
    <w:rsid w:val="0093707C"/>
    <w:rsid w:val="0093728E"/>
    <w:rsid w:val="009374D3"/>
    <w:rsid w:val="009374E9"/>
    <w:rsid w:val="00937872"/>
    <w:rsid w:val="00937BD7"/>
    <w:rsid w:val="00937F6A"/>
    <w:rsid w:val="00940268"/>
    <w:rsid w:val="009403BF"/>
    <w:rsid w:val="00940661"/>
    <w:rsid w:val="00940A2B"/>
    <w:rsid w:val="00941687"/>
    <w:rsid w:val="00941D79"/>
    <w:rsid w:val="009423A8"/>
    <w:rsid w:val="00942BEE"/>
    <w:rsid w:val="00942C2C"/>
    <w:rsid w:val="00942CB6"/>
    <w:rsid w:val="00942CE9"/>
    <w:rsid w:val="00943605"/>
    <w:rsid w:val="00943713"/>
    <w:rsid w:val="0094384E"/>
    <w:rsid w:val="00943889"/>
    <w:rsid w:val="00943D4F"/>
    <w:rsid w:val="00943D7E"/>
    <w:rsid w:val="00943F36"/>
    <w:rsid w:val="00943F7C"/>
    <w:rsid w:val="009440AF"/>
    <w:rsid w:val="00944B1F"/>
    <w:rsid w:val="00944B21"/>
    <w:rsid w:val="00944B80"/>
    <w:rsid w:val="00944B92"/>
    <w:rsid w:val="00944D22"/>
    <w:rsid w:val="00944E1C"/>
    <w:rsid w:val="0094509A"/>
    <w:rsid w:val="009452FF"/>
    <w:rsid w:val="00945339"/>
    <w:rsid w:val="0094652C"/>
    <w:rsid w:val="0094777A"/>
    <w:rsid w:val="00947A31"/>
    <w:rsid w:val="00947B35"/>
    <w:rsid w:val="00950630"/>
    <w:rsid w:val="00950AD6"/>
    <w:rsid w:val="00950E76"/>
    <w:rsid w:val="00950EEF"/>
    <w:rsid w:val="00951472"/>
    <w:rsid w:val="0095164F"/>
    <w:rsid w:val="009516D9"/>
    <w:rsid w:val="00951A15"/>
    <w:rsid w:val="00951B2C"/>
    <w:rsid w:val="00951DA9"/>
    <w:rsid w:val="00952107"/>
    <w:rsid w:val="00952566"/>
    <w:rsid w:val="009525F3"/>
    <w:rsid w:val="00952736"/>
    <w:rsid w:val="00952781"/>
    <w:rsid w:val="00952FF2"/>
    <w:rsid w:val="00953529"/>
    <w:rsid w:val="00953ADF"/>
    <w:rsid w:val="00954084"/>
    <w:rsid w:val="0095417A"/>
    <w:rsid w:val="009547F6"/>
    <w:rsid w:val="00954AA8"/>
    <w:rsid w:val="00954FF2"/>
    <w:rsid w:val="00955154"/>
    <w:rsid w:val="00955293"/>
    <w:rsid w:val="00955DD0"/>
    <w:rsid w:val="00956329"/>
    <w:rsid w:val="009565D3"/>
    <w:rsid w:val="00956DAF"/>
    <w:rsid w:val="00957102"/>
    <w:rsid w:val="00957312"/>
    <w:rsid w:val="00957966"/>
    <w:rsid w:val="009615D2"/>
    <w:rsid w:val="00961AF2"/>
    <w:rsid w:val="00961B32"/>
    <w:rsid w:val="00961B77"/>
    <w:rsid w:val="009620D3"/>
    <w:rsid w:val="00962BEB"/>
    <w:rsid w:val="00962D01"/>
    <w:rsid w:val="00962D49"/>
    <w:rsid w:val="00962EE8"/>
    <w:rsid w:val="0096313B"/>
    <w:rsid w:val="0096314C"/>
    <w:rsid w:val="00963417"/>
    <w:rsid w:val="009634E0"/>
    <w:rsid w:val="009634FA"/>
    <w:rsid w:val="009638BC"/>
    <w:rsid w:val="009639FA"/>
    <w:rsid w:val="00963B3C"/>
    <w:rsid w:val="00963F0F"/>
    <w:rsid w:val="00963F40"/>
    <w:rsid w:val="00963F62"/>
    <w:rsid w:val="009643FF"/>
    <w:rsid w:val="0096499A"/>
    <w:rsid w:val="00964A8F"/>
    <w:rsid w:val="00964C11"/>
    <w:rsid w:val="009652EA"/>
    <w:rsid w:val="009659A8"/>
    <w:rsid w:val="009659E7"/>
    <w:rsid w:val="009659F6"/>
    <w:rsid w:val="00965A76"/>
    <w:rsid w:val="00966B98"/>
    <w:rsid w:val="0096707A"/>
    <w:rsid w:val="0096745E"/>
    <w:rsid w:val="009677B9"/>
    <w:rsid w:val="00970678"/>
    <w:rsid w:val="00970721"/>
    <w:rsid w:val="00970F11"/>
    <w:rsid w:val="00971031"/>
    <w:rsid w:val="009710EC"/>
    <w:rsid w:val="00971209"/>
    <w:rsid w:val="0097170A"/>
    <w:rsid w:val="00971FF6"/>
    <w:rsid w:val="009727D9"/>
    <w:rsid w:val="00972D79"/>
    <w:rsid w:val="00972EB8"/>
    <w:rsid w:val="0097336A"/>
    <w:rsid w:val="00973E72"/>
    <w:rsid w:val="00974379"/>
    <w:rsid w:val="00974399"/>
    <w:rsid w:val="00974623"/>
    <w:rsid w:val="00974A07"/>
    <w:rsid w:val="00974DDB"/>
    <w:rsid w:val="00975585"/>
    <w:rsid w:val="009755F3"/>
    <w:rsid w:val="009756DE"/>
    <w:rsid w:val="00976375"/>
    <w:rsid w:val="0097664D"/>
    <w:rsid w:val="009767F3"/>
    <w:rsid w:val="00976C49"/>
    <w:rsid w:val="00976D5A"/>
    <w:rsid w:val="00976EE9"/>
    <w:rsid w:val="00977107"/>
    <w:rsid w:val="00980043"/>
    <w:rsid w:val="00980327"/>
    <w:rsid w:val="00980DA0"/>
    <w:rsid w:val="00981685"/>
    <w:rsid w:val="00982065"/>
    <w:rsid w:val="0098213A"/>
    <w:rsid w:val="0098219B"/>
    <w:rsid w:val="00982433"/>
    <w:rsid w:val="00982886"/>
    <w:rsid w:val="00982A9B"/>
    <w:rsid w:val="00982B7E"/>
    <w:rsid w:val="00982BC3"/>
    <w:rsid w:val="00982CA7"/>
    <w:rsid w:val="0098392E"/>
    <w:rsid w:val="00983A6D"/>
    <w:rsid w:val="009842A0"/>
    <w:rsid w:val="00984376"/>
    <w:rsid w:val="00984492"/>
    <w:rsid w:val="009849EA"/>
    <w:rsid w:val="00984A34"/>
    <w:rsid w:val="009854EA"/>
    <w:rsid w:val="00985899"/>
    <w:rsid w:val="00985FA9"/>
    <w:rsid w:val="009866E7"/>
    <w:rsid w:val="009867F8"/>
    <w:rsid w:val="00986C26"/>
    <w:rsid w:val="0098736D"/>
    <w:rsid w:val="009877F1"/>
    <w:rsid w:val="00987C6E"/>
    <w:rsid w:val="00987F20"/>
    <w:rsid w:val="00987F50"/>
    <w:rsid w:val="009900C3"/>
    <w:rsid w:val="00991532"/>
    <w:rsid w:val="009916F9"/>
    <w:rsid w:val="00991804"/>
    <w:rsid w:val="009918F0"/>
    <w:rsid w:val="00991C65"/>
    <w:rsid w:val="009924C9"/>
    <w:rsid w:val="009926D1"/>
    <w:rsid w:val="009926FE"/>
    <w:rsid w:val="00992DFC"/>
    <w:rsid w:val="00993074"/>
    <w:rsid w:val="009930CD"/>
    <w:rsid w:val="00993467"/>
    <w:rsid w:val="0099368B"/>
    <w:rsid w:val="00993A6A"/>
    <w:rsid w:val="00993F93"/>
    <w:rsid w:val="0099435A"/>
    <w:rsid w:val="009943CE"/>
    <w:rsid w:val="009947A1"/>
    <w:rsid w:val="009947D1"/>
    <w:rsid w:val="00994B92"/>
    <w:rsid w:val="00994EC1"/>
    <w:rsid w:val="00995294"/>
    <w:rsid w:val="00995541"/>
    <w:rsid w:val="00996024"/>
    <w:rsid w:val="00996711"/>
    <w:rsid w:val="0099704A"/>
    <w:rsid w:val="00997776"/>
    <w:rsid w:val="009978CA"/>
    <w:rsid w:val="00997E73"/>
    <w:rsid w:val="009A0283"/>
    <w:rsid w:val="009A0774"/>
    <w:rsid w:val="009A0952"/>
    <w:rsid w:val="009A109A"/>
    <w:rsid w:val="009A1AA3"/>
    <w:rsid w:val="009A1DC2"/>
    <w:rsid w:val="009A1DD2"/>
    <w:rsid w:val="009A27CB"/>
    <w:rsid w:val="009A2953"/>
    <w:rsid w:val="009A2BBA"/>
    <w:rsid w:val="009A3858"/>
    <w:rsid w:val="009A3B36"/>
    <w:rsid w:val="009A47F5"/>
    <w:rsid w:val="009A5150"/>
    <w:rsid w:val="009A5214"/>
    <w:rsid w:val="009A56A1"/>
    <w:rsid w:val="009A57FE"/>
    <w:rsid w:val="009A5D91"/>
    <w:rsid w:val="009A6773"/>
    <w:rsid w:val="009A692C"/>
    <w:rsid w:val="009A6B8B"/>
    <w:rsid w:val="009A6D9C"/>
    <w:rsid w:val="009A76AC"/>
    <w:rsid w:val="009A7D1C"/>
    <w:rsid w:val="009A7D6F"/>
    <w:rsid w:val="009A7E9D"/>
    <w:rsid w:val="009B0986"/>
    <w:rsid w:val="009B0BCE"/>
    <w:rsid w:val="009B1107"/>
    <w:rsid w:val="009B142E"/>
    <w:rsid w:val="009B14DF"/>
    <w:rsid w:val="009B19C4"/>
    <w:rsid w:val="009B1D07"/>
    <w:rsid w:val="009B1D7E"/>
    <w:rsid w:val="009B231F"/>
    <w:rsid w:val="009B2572"/>
    <w:rsid w:val="009B2A58"/>
    <w:rsid w:val="009B2A7B"/>
    <w:rsid w:val="009B307D"/>
    <w:rsid w:val="009B3414"/>
    <w:rsid w:val="009B37AB"/>
    <w:rsid w:val="009B4588"/>
    <w:rsid w:val="009B4956"/>
    <w:rsid w:val="009B49A9"/>
    <w:rsid w:val="009B4A53"/>
    <w:rsid w:val="009B4C75"/>
    <w:rsid w:val="009B4FD1"/>
    <w:rsid w:val="009B5764"/>
    <w:rsid w:val="009B57D4"/>
    <w:rsid w:val="009B5C9A"/>
    <w:rsid w:val="009B5D9F"/>
    <w:rsid w:val="009B5F03"/>
    <w:rsid w:val="009B6278"/>
    <w:rsid w:val="009B6504"/>
    <w:rsid w:val="009B6A60"/>
    <w:rsid w:val="009B70BC"/>
    <w:rsid w:val="009B745B"/>
    <w:rsid w:val="009B74ED"/>
    <w:rsid w:val="009B788E"/>
    <w:rsid w:val="009B7EFE"/>
    <w:rsid w:val="009C01C5"/>
    <w:rsid w:val="009C0CFC"/>
    <w:rsid w:val="009C1BE1"/>
    <w:rsid w:val="009C1DCD"/>
    <w:rsid w:val="009C1FCE"/>
    <w:rsid w:val="009C225B"/>
    <w:rsid w:val="009C2401"/>
    <w:rsid w:val="009C245F"/>
    <w:rsid w:val="009C24FD"/>
    <w:rsid w:val="009C29FF"/>
    <w:rsid w:val="009C2ADB"/>
    <w:rsid w:val="009C2D80"/>
    <w:rsid w:val="009C2DD7"/>
    <w:rsid w:val="009C32A9"/>
    <w:rsid w:val="009C3852"/>
    <w:rsid w:val="009C3C6B"/>
    <w:rsid w:val="009C3DFC"/>
    <w:rsid w:val="009C46A4"/>
    <w:rsid w:val="009C4F8D"/>
    <w:rsid w:val="009C502B"/>
    <w:rsid w:val="009C59E1"/>
    <w:rsid w:val="009C5EA3"/>
    <w:rsid w:val="009C5FEB"/>
    <w:rsid w:val="009C60BB"/>
    <w:rsid w:val="009C60F6"/>
    <w:rsid w:val="009C6100"/>
    <w:rsid w:val="009C615C"/>
    <w:rsid w:val="009C6380"/>
    <w:rsid w:val="009C6E98"/>
    <w:rsid w:val="009C709D"/>
    <w:rsid w:val="009C728D"/>
    <w:rsid w:val="009C7360"/>
    <w:rsid w:val="009C7788"/>
    <w:rsid w:val="009C7837"/>
    <w:rsid w:val="009C7866"/>
    <w:rsid w:val="009C7967"/>
    <w:rsid w:val="009C7DE5"/>
    <w:rsid w:val="009C7ED5"/>
    <w:rsid w:val="009D0327"/>
    <w:rsid w:val="009D0CDC"/>
    <w:rsid w:val="009D0F29"/>
    <w:rsid w:val="009D13FC"/>
    <w:rsid w:val="009D1C82"/>
    <w:rsid w:val="009D1E5F"/>
    <w:rsid w:val="009D22E3"/>
    <w:rsid w:val="009D238D"/>
    <w:rsid w:val="009D23A2"/>
    <w:rsid w:val="009D2DBC"/>
    <w:rsid w:val="009D2EB6"/>
    <w:rsid w:val="009D3292"/>
    <w:rsid w:val="009D35B3"/>
    <w:rsid w:val="009D3710"/>
    <w:rsid w:val="009D3CE1"/>
    <w:rsid w:val="009D4EB3"/>
    <w:rsid w:val="009D4FC4"/>
    <w:rsid w:val="009D50B0"/>
    <w:rsid w:val="009D517F"/>
    <w:rsid w:val="009D5679"/>
    <w:rsid w:val="009D5727"/>
    <w:rsid w:val="009D58D1"/>
    <w:rsid w:val="009D6251"/>
    <w:rsid w:val="009D63A5"/>
    <w:rsid w:val="009D6B73"/>
    <w:rsid w:val="009D7CD7"/>
    <w:rsid w:val="009D7DE1"/>
    <w:rsid w:val="009E0322"/>
    <w:rsid w:val="009E085F"/>
    <w:rsid w:val="009E0B0C"/>
    <w:rsid w:val="009E0B6D"/>
    <w:rsid w:val="009E0E6B"/>
    <w:rsid w:val="009E150D"/>
    <w:rsid w:val="009E1DD8"/>
    <w:rsid w:val="009E1F71"/>
    <w:rsid w:val="009E237C"/>
    <w:rsid w:val="009E26B3"/>
    <w:rsid w:val="009E2772"/>
    <w:rsid w:val="009E27EA"/>
    <w:rsid w:val="009E2A1A"/>
    <w:rsid w:val="009E2C6D"/>
    <w:rsid w:val="009E2D4A"/>
    <w:rsid w:val="009E2F62"/>
    <w:rsid w:val="009E368D"/>
    <w:rsid w:val="009E36CA"/>
    <w:rsid w:val="009E3A67"/>
    <w:rsid w:val="009E3F49"/>
    <w:rsid w:val="009E4049"/>
    <w:rsid w:val="009E4416"/>
    <w:rsid w:val="009E4764"/>
    <w:rsid w:val="009E506A"/>
    <w:rsid w:val="009E52BE"/>
    <w:rsid w:val="009E533F"/>
    <w:rsid w:val="009E5384"/>
    <w:rsid w:val="009E550A"/>
    <w:rsid w:val="009E55E3"/>
    <w:rsid w:val="009E586E"/>
    <w:rsid w:val="009E6240"/>
    <w:rsid w:val="009E6335"/>
    <w:rsid w:val="009E6BE2"/>
    <w:rsid w:val="009E6D63"/>
    <w:rsid w:val="009E6D94"/>
    <w:rsid w:val="009E6F51"/>
    <w:rsid w:val="009E73CD"/>
    <w:rsid w:val="009E7807"/>
    <w:rsid w:val="009E7879"/>
    <w:rsid w:val="009F03DA"/>
    <w:rsid w:val="009F03FB"/>
    <w:rsid w:val="009F0889"/>
    <w:rsid w:val="009F0F5B"/>
    <w:rsid w:val="009F1005"/>
    <w:rsid w:val="009F13E4"/>
    <w:rsid w:val="009F1565"/>
    <w:rsid w:val="009F15BF"/>
    <w:rsid w:val="009F1AC0"/>
    <w:rsid w:val="009F1AFB"/>
    <w:rsid w:val="009F1D1E"/>
    <w:rsid w:val="009F21BD"/>
    <w:rsid w:val="009F2256"/>
    <w:rsid w:val="009F2408"/>
    <w:rsid w:val="009F2510"/>
    <w:rsid w:val="009F2D09"/>
    <w:rsid w:val="009F31F9"/>
    <w:rsid w:val="009F337F"/>
    <w:rsid w:val="009F33AE"/>
    <w:rsid w:val="009F342D"/>
    <w:rsid w:val="009F3BB0"/>
    <w:rsid w:val="009F40E1"/>
    <w:rsid w:val="009F4E05"/>
    <w:rsid w:val="009F4F8D"/>
    <w:rsid w:val="009F53B7"/>
    <w:rsid w:val="009F5D3B"/>
    <w:rsid w:val="009F5EFB"/>
    <w:rsid w:val="009F5F1F"/>
    <w:rsid w:val="009F5FEB"/>
    <w:rsid w:val="009F60A3"/>
    <w:rsid w:val="009F6219"/>
    <w:rsid w:val="009F64E7"/>
    <w:rsid w:val="009F6721"/>
    <w:rsid w:val="009F6A0F"/>
    <w:rsid w:val="009F6F05"/>
    <w:rsid w:val="009F741C"/>
    <w:rsid w:val="009F7723"/>
    <w:rsid w:val="009F77F9"/>
    <w:rsid w:val="009F7818"/>
    <w:rsid w:val="009F7909"/>
    <w:rsid w:val="00A0027E"/>
    <w:rsid w:val="00A005FD"/>
    <w:rsid w:val="00A008E6"/>
    <w:rsid w:val="00A00B16"/>
    <w:rsid w:val="00A00D2A"/>
    <w:rsid w:val="00A0177F"/>
    <w:rsid w:val="00A018B5"/>
    <w:rsid w:val="00A01B97"/>
    <w:rsid w:val="00A01D00"/>
    <w:rsid w:val="00A0207F"/>
    <w:rsid w:val="00A023C3"/>
    <w:rsid w:val="00A02544"/>
    <w:rsid w:val="00A02656"/>
    <w:rsid w:val="00A027F4"/>
    <w:rsid w:val="00A02F29"/>
    <w:rsid w:val="00A03347"/>
    <w:rsid w:val="00A039E1"/>
    <w:rsid w:val="00A03A12"/>
    <w:rsid w:val="00A03BFB"/>
    <w:rsid w:val="00A03DBB"/>
    <w:rsid w:val="00A04051"/>
    <w:rsid w:val="00A04059"/>
    <w:rsid w:val="00A04366"/>
    <w:rsid w:val="00A04443"/>
    <w:rsid w:val="00A04628"/>
    <w:rsid w:val="00A04D4F"/>
    <w:rsid w:val="00A05575"/>
    <w:rsid w:val="00A058EF"/>
    <w:rsid w:val="00A05AFB"/>
    <w:rsid w:val="00A06409"/>
    <w:rsid w:val="00A06473"/>
    <w:rsid w:val="00A06488"/>
    <w:rsid w:val="00A06F6A"/>
    <w:rsid w:val="00A07C19"/>
    <w:rsid w:val="00A07CD4"/>
    <w:rsid w:val="00A10945"/>
    <w:rsid w:val="00A10CA9"/>
    <w:rsid w:val="00A10DDF"/>
    <w:rsid w:val="00A11675"/>
    <w:rsid w:val="00A11732"/>
    <w:rsid w:val="00A117FD"/>
    <w:rsid w:val="00A12749"/>
    <w:rsid w:val="00A12841"/>
    <w:rsid w:val="00A12C83"/>
    <w:rsid w:val="00A12D5A"/>
    <w:rsid w:val="00A12F46"/>
    <w:rsid w:val="00A132F1"/>
    <w:rsid w:val="00A139E1"/>
    <w:rsid w:val="00A13EBD"/>
    <w:rsid w:val="00A1421F"/>
    <w:rsid w:val="00A14878"/>
    <w:rsid w:val="00A157CE"/>
    <w:rsid w:val="00A16005"/>
    <w:rsid w:val="00A16F22"/>
    <w:rsid w:val="00A17269"/>
    <w:rsid w:val="00A1750E"/>
    <w:rsid w:val="00A2036D"/>
    <w:rsid w:val="00A20794"/>
    <w:rsid w:val="00A21320"/>
    <w:rsid w:val="00A21504"/>
    <w:rsid w:val="00A2167F"/>
    <w:rsid w:val="00A21687"/>
    <w:rsid w:val="00A22093"/>
    <w:rsid w:val="00A222BA"/>
    <w:rsid w:val="00A22A46"/>
    <w:rsid w:val="00A22B0C"/>
    <w:rsid w:val="00A22C11"/>
    <w:rsid w:val="00A22E48"/>
    <w:rsid w:val="00A2324A"/>
    <w:rsid w:val="00A236B1"/>
    <w:rsid w:val="00A23B76"/>
    <w:rsid w:val="00A23D1B"/>
    <w:rsid w:val="00A24150"/>
    <w:rsid w:val="00A245C4"/>
    <w:rsid w:val="00A248B6"/>
    <w:rsid w:val="00A25080"/>
    <w:rsid w:val="00A25518"/>
    <w:rsid w:val="00A25800"/>
    <w:rsid w:val="00A25816"/>
    <w:rsid w:val="00A25927"/>
    <w:rsid w:val="00A261E2"/>
    <w:rsid w:val="00A265AA"/>
    <w:rsid w:val="00A2677E"/>
    <w:rsid w:val="00A26FA4"/>
    <w:rsid w:val="00A27114"/>
    <w:rsid w:val="00A2756F"/>
    <w:rsid w:val="00A275C9"/>
    <w:rsid w:val="00A27936"/>
    <w:rsid w:val="00A3009A"/>
    <w:rsid w:val="00A309D9"/>
    <w:rsid w:val="00A31A9B"/>
    <w:rsid w:val="00A31F06"/>
    <w:rsid w:val="00A32080"/>
    <w:rsid w:val="00A32288"/>
    <w:rsid w:val="00A322C1"/>
    <w:rsid w:val="00A32ED8"/>
    <w:rsid w:val="00A33263"/>
    <w:rsid w:val="00A33276"/>
    <w:rsid w:val="00A3349E"/>
    <w:rsid w:val="00A33ABE"/>
    <w:rsid w:val="00A33DF0"/>
    <w:rsid w:val="00A34361"/>
    <w:rsid w:val="00A343CC"/>
    <w:rsid w:val="00A34534"/>
    <w:rsid w:val="00A3455F"/>
    <w:rsid w:val="00A346E2"/>
    <w:rsid w:val="00A34D49"/>
    <w:rsid w:val="00A35774"/>
    <w:rsid w:val="00A360AC"/>
    <w:rsid w:val="00A361CC"/>
    <w:rsid w:val="00A362AB"/>
    <w:rsid w:val="00A3647A"/>
    <w:rsid w:val="00A36AC0"/>
    <w:rsid w:val="00A36F5C"/>
    <w:rsid w:val="00A37173"/>
    <w:rsid w:val="00A37A6D"/>
    <w:rsid w:val="00A37BC7"/>
    <w:rsid w:val="00A37D34"/>
    <w:rsid w:val="00A4007A"/>
    <w:rsid w:val="00A401D9"/>
    <w:rsid w:val="00A402FD"/>
    <w:rsid w:val="00A4053F"/>
    <w:rsid w:val="00A406BB"/>
    <w:rsid w:val="00A40733"/>
    <w:rsid w:val="00A40951"/>
    <w:rsid w:val="00A40BDB"/>
    <w:rsid w:val="00A41950"/>
    <w:rsid w:val="00A41DA9"/>
    <w:rsid w:val="00A42907"/>
    <w:rsid w:val="00A42D1D"/>
    <w:rsid w:val="00A42EA9"/>
    <w:rsid w:val="00A433DA"/>
    <w:rsid w:val="00A43E02"/>
    <w:rsid w:val="00A4434F"/>
    <w:rsid w:val="00A44DF1"/>
    <w:rsid w:val="00A45279"/>
    <w:rsid w:val="00A45392"/>
    <w:rsid w:val="00A453CA"/>
    <w:rsid w:val="00A4559A"/>
    <w:rsid w:val="00A46240"/>
    <w:rsid w:val="00A46260"/>
    <w:rsid w:val="00A46FEE"/>
    <w:rsid w:val="00A47653"/>
    <w:rsid w:val="00A502E6"/>
    <w:rsid w:val="00A5033E"/>
    <w:rsid w:val="00A5080A"/>
    <w:rsid w:val="00A5089E"/>
    <w:rsid w:val="00A5094C"/>
    <w:rsid w:val="00A512C2"/>
    <w:rsid w:val="00A51847"/>
    <w:rsid w:val="00A518C6"/>
    <w:rsid w:val="00A51AA9"/>
    <w:rsid w:val="00A52D49"/>
    <w:rsid w:val="00A531EA"/>
    <w:rsid w:val="00A53909"/>
    <w:rsid w:val="00A542A6"/>
    <w:rsid w:val="00A54719"/>
    <w:rsid w:val="00A549D3"/>
    <w:rsid w:val="00A55143"/>
    <w:rsid w:val="00A55FB9"/>
    <w:rsid w:val="00A56137"/>
    <w:rsid w:val="00A5629C"/>
    <w:rsid w:val="00A577FB"/>
    <w:rsid w:val="00A606C0"/>
    <w:rsid w:val="00A60A4B"/>
    <w:rsid w:val="00A60B63"/>
    <w:rsid w:val="00A60CC5"/>
    <w:rsid w:val="00A613DB"/>
    <w:rsid w:val="00A61887"/>
    <w:rsid w:val="00A61C7C"/>
    <w:rsid w:val="00A623E6"/>
    <w:rsid w:val="00A62720"/>
    <w:rsid w:val="00A62D74"/>
    <w:rsid w:val="00A62EF3"/>
    <w:rsid w:val="00A63267"/>
    <w:rsid w:val="00A6330A"/>
    <w:rsid w:val="00A63371"/>
    <w:rsid w:val="00A63E2F"/>
    <w:rsid w:val="00A64194"/>
    <w:rsid w:val="00A644C4"/>
    <w:rsid w:val="00A64830"/>
    <w:rsid w:val="00A64D28"/>
    <w:rsid w:val="00A64E39"/>
    <w:rsid w:val="00A6540F"/>
    <w:rsid w:val="00A65414"/>
    <w:rsid w:val="00A657B9"/>
    <w:rsid w:val="00A65A8D"/>
    <w:rsid w:val="00A65F00"/>
    <w:rsid w:val="00A6612F"/>
    <w:rsid w:val="00A66246"/>
    <w:rsid w:val="00A66437"/>
    <w:rsid w:val="00A668FC"/>
    <w:rsid w:val="00A6702A"/>
    <w:rsid w:val="00A67639"/>
    <w:rsid w:val="00A67967"/>
    <w:rsid w:val="00A67E22"/>
    <w:rsid w:val="00A70147"/>
    <w:rsid w:val="00A70419"/>
    <w:rsid w:val="00A70DD3"/>
    <w:rsid w:val="00A70EE2"/>
    <w:rsid w:val="00A71008"/>
    <w:rsid w:val="00A711D9"/>
    <w:rsid w:val="00A71269"/>
    <w:rsid w:val="00A71326"/>
    <w:rsid w:val="00A715D2"/>
    <w:rsid w:val="00A71813"/>
    <w:rsid w:val="00A7192C"/>
    <w:rsid w:val="00A71BB5"/>
    <w:rsid w:val="00A71BDE"/>
    <w:rsid w:val="00A71DB6"/>
    <w:rsid w:val="00A71DC0"/>
    <w:rsid w:val="00A71E7B"/>
    <w:rsid w:val="00A723C7"/>
    <w:rsid w:val="00A725C1"/>
    <w:rsid w:val="00A72C0E"/>
    <w:rsid w:val="00A72F11"/>
    <w:rsid w:val="00A73320"/>
    <w:rsid w:val="00A73356"/>
    <w:rsid w:val="00A73424"/>
    <w:rsid w:val="00A73A42"/>
    <w:rsid w:val="00A73FF0"/>
    <w:rsid w:val="00A743C2"/>
    <w:rsid w:val="00A7553B"/>
    <w:rsid w:val="00A7568A"/>
    <w:rsid w:val="00A7582A"/>
    <w:rsid w:val="00A759F0"/>
    <w:rsid w:val="00A75F04"/>
    <w:rsid w:val="00A76B12"/>
    <w:rsid w:val="00A76FE3"/>
    <w:rsid w:val="00A77083"/>
    <w:rsid w:val="00A77F7A"/>
    <w:rsid w:val="00A80989"/>
    <w:rsid w:val="00A80A22"/>
    <w:rsid w:val="00A80F20"/>
    <w:rsid w:val="00A811F5"/>
    <w:rsid w:val="00A81385"/>
    <w:rsid w:val="00A81A08"/>
    <w:rsid w:val="00A822A3"/>
    <w:rsid w:val="00A82BC5"/>
    <w:rsid w:val="00A830AA"/>
    <w:rsid w:val="00A83A83"/>
    <w:rsid w:val="00A83F6A"/>
    <w:rsid w:val="00A844EF"/>
    <w:rsid w:val="00A84948"/>
    <w:rsid w:val="00A84B75"/>
    <w:rsid w:val="00A84C05"/>
    <w:rsid w:val="00A84E40"/>
    <w:rsid w:val="00A85219"/>
    <w:rsid w:val="00A85658"/>
    <w:rsid w:val="00A85B18"/>
    <w:rsid w:val="00A85FEF"/>
    <w:rsid w:val="00A860C0"/>
    <w:rsid w:val="00A86B48"/>
    <w:rsid w:val="00A86E35"/>
    <w:rsid w:val="00A871D2"/>
    <w:rsid w:val="00A87677"/>
    <w:rsid w:val="00A87B00"/>
    <w:rsid w:val="00A90665"/>
    <w:rsid w:val="00A90D5D"/>
    <w:rsid w:val="00A918A7"/>
    <w:rsid w:val="00A91951"/>
    <w:rsid w:val="00A919EB"/>
    <w:rsid w:val="00A91C7F"/>
    <w:rsid w:val="00A91EB0"/>
    <w:rsid w:val="00A923CE"/>
    <w:rsid w:val="00A9298A"/>
    <w:rsid w:val="00A92CF9"/>
    <w:rsid w:val="00A92EA4"/>
    <w:rsid w:val="00A93BEF"/>
    <w:rsid w:val="00A93C7D"/>
    <w:rsid w:val="00A94398"/>
    <w:rsid w:val="00A9485C"/>
    <w:rsid w:val="00A9517B"/>
    <w:rsid w:val="00A9531F"/>
    <w:rsid w:val="00A95B50"/>
    <w:rsid w:val="00A95CE7"/>
    <w:rsid w:val="00A95E22"/>
    <w:rsid w:val="00A95EED"/>
    <w:rsid w:val="00A9676E"/>
    <w:rsid w:val="00A96771"/>
    <w:rsid w:val="00A96C39"/>
    <w:rsid w:val="00A96F5B"/>
    <w:rsid w:val="00A96FD7"/>
    <w:rsid w:val="00A97508"/>
    <w:rsid w:val="00A978A3"/>
    <w:rsid w:val="00AA010C"/>
    <w:rsid w:val="00AA024B"/>
    <w:rsid w:val="00AA0A43"/>
    <w:rsid w:val="00AA0BAF"/>
    <w:rsid w:val="00AA0F45"/>
    <w:rsid w:val="00AA1093"/>
    <w:rsid w:val="00AA12EC"/>
    <w:rsid w:val="00AA16B7"/>
    <w:rsid w:val="00AA1DB2"/>
    <w:rsid w:val="00AA2116"/>
    <w:rsid w:val="00AA255C"/>
    <w:rsid w:val="00AA2700"/>
    <w:rsid w:val="00AA270D"/>
    <w:rsid w:val="00AA2ABA"/>
    <w:rsid w:val="00AA33F6"/>
    <w:rsid w:val="00AA38B3"/>
    <w:rsid w:val="00AA3F1E"/>
    <w:rsid w:val="00AA43B7"/>
    <w:rsid w:val="00AA4E23"/>
    <w:rsid w:val="00AA504C"/>
    <w:rsid w:val="00AA528C"/>
    <w:rsid w:val="00AA5394"/>
    <w:rsid w:val="00AA5733"/>
    <w:rsid w:val="00AA5E62"/>
    <w:rsid w:val="00AA5F15"/>
    <w:rsid w:val="00AA61DE"/>
    <w:rsid w:val="00AA647D"/>
    <w:rsid w:val="00AA6C41"/>
    <w:rsid w:val="00AA705F"/>
    <w:rsid w:val="00AA7545"/>
    <w:rsid w:val="00AA75A0"/>
    <w:rsid w:val="00AB0399"/>
    <w:rsid w:val="00AB0757"/>
    <w:rsid w:val="00AB0931"/>
    <w:rsid w:val="00AB0D59"/>
    <w:rsid w:val="00AB0DC3"/>
    <w:rsid w:val="00AB1E45"/>
    <w:rsid w:val="00AB1EAE"/>
    <w:rsid w:val="00AB1F09"/>
    <w:rsid w:val="00AB233A"/>
    <w:rsid w:val="00AB2773"/>
    <w:rsid w:val="00AB2A1B"/>
    <w:rsid w:val="00AB356B"/>
    <w:rsid w:val="00AB4A58"/>
    <w:rsid w:val="00AB4A6B"/>
    <w:rsid w:val="00AB4F33"/>
    <w:rsid w:val="00AB5268"/>
    <w:rsid w:val="00AB52C6"/>
    <w:rsid w:val="00AB54BF"/>
    <w:rsid w:val="00AB5752"/>
    <w:rsid w:val="00AB58AC"/>
    <w:rsid w:val="00AB5982"/>
    <w:rsid w:val="00AB5A12"/>
    <w:rsid w:val="00AB5EBC"/>
    <w:rsid w:val="00AB609F"/>
    <w:rsid w:val="00AB69CB"/>
    <w:rsid w:val="00AB6F09"/>
    <w:rsid w:val="00AB714B"/>
    <w:rsid w:val="00AB754C"/>
    <w:rsid w:val="00AB7757"/>
    <w:rsid w:val="00AB7E14"/>
    <w:rsid w:val="00AC0A43"/>
    <w:rsid w:val="00AC0B9D"/>
    <w:rsid w:val="00AC0DDF"/>
    <w:rsid w:val="00AC1037"/>
    <w:rsid w:val="00AC10DE"/>
    <w:rsid w:val="00AC1902"/>
    <w:rsid w:val="00AC1A8A"/>
    <w:rsid w:val="00AC1FA8"/>
    <w:rsid w:val="00AC21DD"/>
    <w:rsid w:val="00AC2699"/>
    <w:rsid w:val="00AC26DD"/>
    <w:rsid w:val="00AC2CDC"/>
    <w:rsid w:val="00AC31BA"/>
    <w:rsid w:val="00AC33D3"/>
    <w:rsid w:val="00AC395B"/>
    <w:rsid w:val="00AC3A1F"/>
    <w:rsid w:val="00AC3A6C"/>
    <w:rsid w:val="00AC3C96"/>
    <w:rsid w:val="00AC4193"/>
    <w:rsid w:val="00AC4823"/>
    <w:rsid w:val="00AC5223"/>
    <w:rsid w:val="00AC5377"/>
    <w:rsid w:val="00AC54EF"/>
    <w:rsid w:val="00AC5AA6"/>
    <w:rsid w:val="00AC5AB8"/>
    <w:rsid w:val="00AC5DA5"/>
    <w:rsid w:val="00AC6A7F"/>
    <w:rsid w:val="00AC6CF6"/>
    <w:rsid w:val="00AC7666"/>
    <w:rsid w:val="00AC76EE"/>
    <w:rsid w:val="00AC7C6E"/>
    <w:rsid w:val="00AD01D2"/>
    <w:rsid w:val="00AD0879"/>
    <w:rsid w:val="00AD0C0D"/>
    <w:rsid w:val="00AD0D0E"/>
    <w:rsid w:val="00AD1042"/>
    <w:rsid w:val="00AD1074"/>
    <w:rsid w:val="00AD15AC"/>
    <w:rsid w:val="00AD1816"/>
    <w:rsid w:val="00AD1C27"/>
    <w:rsid w:val="00AD286B"/>
    <w:rsid w:val="00AD2C27"/>
    <w:rsid w:val="00AD2C4B"/>
    <w:rsid w:val="00AD2ED8"/>
    <w:rsid w:val="00AD31B1"/>
    <w:rsid w:val="00AD35CA"/>
    <w:rsid w:val="00AD3B38"/>
    <w:rsid w:val="00AD3C04"/>
    <w:rsid w:val="00AD46AF"/>
    <w:rsid w:val="00AD5588"/>
    <w:rsid w:val="00AD55CA"/>
    <w:rsid w:val="00AD6F65"/>
    <w:rsid w:val="00AD7136"/>
    <w:rsid w:val="00AD75BB"/>
    <w:rsid w:val="00AD7805"/>
    <w:rsid w:val="00AD7B3C"/>
    <w:rsid w:val="00AD7BD4"/>
    <w:rsid w:val="00AD7FF9"/>
    <w:rsid w:val="00AE0325"/>
    <w:rsid w:val="00AE04F0"/>
    <w:rsid w:val="00AE0547"/>
    <w:rsid w:val="00AE094A"/>
    <w:rsid w:val="00AE09EA"/>
    <w:rsid w:val="00AE0A28"/>
    <w:rsid w:val="00AE0C7C"/>
    <w:rsid w:val="00AE2403"/>
    <w:rsid w:val="00AE267B"/>
    <w:rsid w:val="00AE2713"/>
    <w:rsid w:val="00AE2763"/>
    <w:rsid w:val="00AE2BD6"/>
    <w:rsid w:val="00AE2EA5"/>
    <w:rsid w:val="00AE2FF3"/>
    <w:rsid w:val="00AE37FE"/>
    <w:rsid w:val="00AE3B3B"/>
    <w:rsid w:val="00AE3EF8"/>
    <w:rsid w:val="00AE3EFC"/>
    <w:rsid w:val="00AE45D5"/>
    <w:rsid w:val="00AE462E"/>
    <w:rsid w:val="00AE4693"/>
    <w:rsid w:val="00AE4A7F"/>
    <w:rsid w:val="00AE514F"/>
    <w:rsid w:val="00AE59F5"/>
    <w:rsid w:val="00AE639A"/>
    <w:rsid w:val="00AE6A7E"/>
    <w:rsid w:val="00AE6E1A"/>
    <w:rsid w:val="00AE7997"/>
    <w:rsid w:val="00AE7B5E"/>
    <w:rsid w:val="00AE7C7A"/>
    <w:rsid w:val="00AE7FB5"/>
    <w:rsid w:val="00AF078E"/>
    <w:rsid w:val="00AF08AF"/>
    <w:rsid w:val="00AF0D5F"/>
    <w:rsid w:val="00AF10C1"/>
    <w:rsid w:val="00AF1F64"/>
    <w:rsid w:val="00AF1FE8"/>
    <w:rsid w:val="00AF2215"/>
    <w:rsid w:val="00AF23C5"/>
    <w:rsid w:val="00AF2538"/>
    <w:rsid w:val="00AF2989"/>
    <w:rsid w:val="00AF31DD"/>
    <w:rsid w:val="00AF32B6"/>
    <w:rsid w:val="00AF35C1"/>
    <w:rsid w:val="00AF3FB9"/>
    <w:rsid w:val="00AF406E"/>
    <w:rsid w:val="00AF4CB6"/>
    <w:rsid w:val="00AF50EF"/>
    <w:rsid w:val="00AF62A2"/>
    <w:rsid w:val="00AF66B6"/>
    <w:rsid w:val="00AF66DC"/>
    <w:rsid w:val="00AF69BA"/>
    <w:rsid w:val="00AF69E5"/>
    <w:rsid w:val="00AF6CED"/>
    <w:rsid w:val="00AF6DB9"/>
    <w:rsid w:val="00AF70AC"/>
    <w:rsid w:val="00AF7F10"/>
    <w:rsid w:val="00AF7F37"/>
    <w:rsid w:val="00B01368"/>
    <w:rsid w:val="00B014D9"/>
    <w:rsid w:val="00B01EBD"/>
    <w:rsid w:val="00B0208F"/>
    <w:rsid w:val="00B02445"/>
    <w:rsid w:val="00B02599"/>
    <w:rsid w:val="00B025D8"/>
    <w:rsid w:val="00B026EC"/>
    <w:rsid w:val="00B02755"/>
    <w:rsid w:val="00B02A43"/>
    <w:rsid w:val="00B02ADA"/>
    <w:rsid w:val="00B03418"/>
    <w:rsid w:val="00B03A38"/>
    <w:rsid w:val="00B0431C"/>
    <w:rsid w:val="00B05005"/>
    <w:rsid w:val="00B0552F"/>
    <w:rsid w:val="00B05FEB"/>
    <w:rsid w:val="00B06D2C"/>
    <w:rsid w:val="00B07077"/>
    <w:rsid w:val="00B07826"/>
    <w:rsid w:val="00B079EB"/>
    <w:rsid w:val="00B10245"/>
    <w:rsid w:val="00B10308"/>
    <w:rsid w:val="00B10612"/>
    <w:rsid w:val="00B10B64"/>
    <w:rsid w:val="00B10DD2"/>
    <w:rsid w:val="00B1109E"/>
    <w:rsid w:val="00B110D6"/>
    <w:rsid w:val="00B111D9"/>
    <w:rsid w:val="00B113F7"/>
    <w:rsid w:val="00B12BEE"/>
    <w:rsid w:val="00B12D93"/>
    <w:rsid w:val="00B1304B"/>
    <w:rsid w:val="00B13F12"/>
    <w:rsid w:val="00B1499C"/>
    <w:rsid w:val="00B14CCD"/>
    <w:rsid w:val="00B15190"/>
    <w:rsid w:val="00B15ADE"/>
    <w:rsid w:val="00B15B4C"/>
    <w:rsid w:val="00B16505"/>
    <w:rsid w:val="00B1665C"/>
    <w:rsid w:val="00B1701B"/>
    <w:rsid w:val="00B17B0D"/>
    <w:rsid w:val="00B17B36"/>
    <w:rsid w:val="00B17DF2"/>
    <w:rsid w:val="00B17EC1"/>
    <w:rsid w:val="00B2070B"/>
    <w:rsid w:val="00B20789"/>
    <w:rsid w:val="00B20A83"/>
    <w:rsid w:val="00B21006"/>
    <w:rsid w:val="00B211CC"/>
    <w:rsid w:val="00B211D2"/>
    <w:rsid w:val="00B217EB"/>
    <w:rsid w:val="00B21CB3"/>
    <w:rsid w:val="00B21E2B"/>
    <w:rsid w:val="00B22046"/>
    <w:rsid w:val="00B22B33"/>
    <w:rsid w:val="00B231AE"/>
    <w:rsid w:val="00B23853"/>
    <w:rsid w:val="00B24623"/>
    <w:rsid w:val="00B247B5"/>
    <w:rsid w:val="00B251CF"/>
    <w:rsid w:val="00B25E94"/>
    <w:rsid w:val="00B267ED"/>
    <w:rsid w:val="00B26B6C"/>
    <w:rsid w:val="00B26D81"/>
    <w:rsid w:val="00B26F11"/>
    <w:rsid w:val="00B27753"/>
    <w:rsid w:val="00B27E9B"/>
    <w:rsid w:val="00B27EC0"/>
    <w:rsid w:val="00B30065"/>
    <w:rsid w:val="00B3042E"/>
    <w:rsid w:val="00B30538"/>
    <w:rsid w:val="00B308A2"/>
    <w:rsid w:val="00B30950"/>
    <w:rsid w:val="00B30E00"/>
    <w:rsid w:val="00B31189"/>
    <w:rsid w:val="00B313BA"/>
    <w:rsid w:val="00B313FC"/>
    <w:rsid w:val="00B313FD"/>
    <w:rsid w:val="00B31B99"/>
    <w:rsid w:val="00B31BFE"/>
    <w:rsid w:val="00B31DEA"/>
    <w:rsid w:val="00B3273B"/>
    <w:rsid w:val="00B32C81"/>
    <w:rsid w:val="00B3307D"/>
    <w:rsid w:val="00B33177"/>
    <w:rsid w:val="00B33239"/>
    <w:rsid w:val="00B33378"/>
    <w:rsid w:val="00B338FF"/>
    <w:rsid w:val="00B3458E"/>
    <w:rsid w:val="00B34D5D"/>
    <w:rsid w:val="00B354C0"/>
    <w:rsid w:val="00B3675B"/>
    <w:rsid w:val="00B367E1"/>
    <w:rsid w:val="00B36B1A"/>
    <w:rsid w:val="00B36D39"/>
    <w:rsid w:val="00B36FDC"/>
    <w:rsid w:val="00B379F6"/>
    <w:rsid w:val="00B4037C"/>
    <w:rsid w:val="00B408E8"/>
    <w:rsid w:val="00B41367"/>
    <w:rsid w:val="00B41804"/>
    <w:rsid w:val="00B4187D"/>
    <w:rsid w:val="00B41CF3"/>
    <w:rsid w:val="00B41DFD"/>
    <w:rsid w:val="00B4216E"/>
    <w:rsid w:val="00B4262C"/>
    <w:rsid w:val="00B42C44"/>
    <w:rsid w:val="00B43323"/>
    <w:rsid w:val="00B4356D"/>
    <w:rsid w:val="00B436E6"/>
    <w:rsid w:val="00B43AFD"/>
    <w:rsid w:val="00B4431A"/>
    <w:rsid w:val="00B443E2"/>
    <w:rsid w:val="00B44593"/>
    <w:rsid w:val="00B4480A"/>
    <w:rsid w:val="00B449AF"/>
    <w:rsid w:val="00B44D23"/>
    <w:rsid w:val="00B4521F"/>
    <w:rsid w:val="00B455A5"/>
    <w:rsid w:val="00B45674"/>
    <w:rsid w:val="00B45AD3"/>
    <w:rsid w:val="00B45F6B"/>
    <w:rsid w:val="00B46030"/>
    <w:rsid w:val="00B46109"/>
    <w:rsid w:val="00B467E0"/>
    <w:rsid w:val="00B467E8"/>
    <w:rsid w:val="00B46974"/>
    <w:rsid w:val="00B46CA8"/>
    <w:rsid w:val="00B46FB9"/>
    <w:rsid w:val="00B470B3"/>
    <w:rsid w:val="00B47181"/>
    <w:rsid w:val="00B4729F"/>
    <w:rsid w:val="00B501A4"/>
    <w:rsid w:val="00B50D32"/>
    <w:rsid w:val="00B50DAF"/>
    <w:rsid w:val="00B50F15"/>
    <w:rsid w:val="00B5108F"/>
    <w:rsid w:val="00B51322"/>
    <w:rsid w:val="00B51330"/>
    <w:rsid w:val="00B51435"/>
    <w:rsid w:val="00B517F2"/>
    <w:rsid w:val="00B518DD"/>
    <w:rsid w:val="00B51C42"/>
    <w:rsid w:val="00B52270"/>
    <w:rsid w:val="00B5248E"/>
    <w:rsid w:val="00B52B09"/>
    <w:rsid w:val="00B532EF"/>
    <w:rsid w:val="00B5346C"/>
    <w:rsid w:val="00B534B3"/>
    <w:rsid w:val="00B536CB"/>
    <w:rsid w:val="00B53AFA"/>
    <w:rsid w:val="00B54060"/>
    <w:rsid w:val="00B54854"/>
    <w:rsid w:val="00B548CB"/>
    <w:rsid w:val="00B54B0B"/>
    <w:rsid w:val="00B54B37"/>
    <w:rsid w:val="00B54EFA"/>
    <w:rsid w:val="00B55066"/>
    <w:rsid w:val="00B561E1"/>
    <w:rsid w:val="00B5625B"/>
    <w:rsid w:val="00B56736"/>
    <w:rsid w:val="00B57FB1"/>
    <w:rsid w:val="00B602C3"/>
    <w:rsid w:val="00B604C3"/>
    <w:rsid w:val="00B60529"/>
    <w:rsid w:val="00B607E8"/>
    <w:rsid w:val="00B60A27"/>
    <w:rsid w:val="00B60C23"/>
    <w:rsid w:val="00B60CB7"/>
    <w:rsid w:val="00B60FB7"/>
    <w:rsid w:val="00B614E2"/>
    <w:rsid w:val="00B6174F"/>
    <w:rsid w:val="00B61AC0"/>
    <w:rsid w:val="00B61F52"/>
    <w:rsid w:val="00B62B76"/>
    <w:rsid w:val="00B63018"/>
    <w:rsid w:val="00B6378B"/>
    <w:rsid w:val="00B63BD6"/>
    <w:rsid w:val="00B63F16"/>
    <w:rsid w:val="00B63F1E"/>
    <w:rsid w:val="00B654F3"/>
    <w:rsid w:val="00B658B9"/>
    <w:rsid w:val="00B6596F"/>
    <w:rsid w:val="00B65AC6"/>
    <w:rsid w:val="00B65DF3"/>
    <w:rsid w:val="00B661D7"/>
    <w:rsid w:val="00B664EC"/>
    <w:rsid w:val="00B6682C"/>
    <w:rsid w:val="00B6682E"/>
    <w:rsid w:val="00B66C5D"/>
    <w:rsid w:val="00B66E47"/>
    <w:rsid w:val="00B66EF7"/>
    <w:rsid w:val="00B6733C"/>
    <w:rsid w:val="00B675EE"/>
    <w:rsid w:val="00B67AD9"/>
    <w:rsid w:val="00B67B2A"/>
    <w:rsid w:val="00B700B2"/>
    <w:rsid w:val="00B70755"/>
    <w:rsid w:val="00B710D8"/>
    <w:rsid w:val="00B71401"/>
    <w:rsid w:val="00B7202E"/>
    <w:rsid w:val="00B727E3"/>
    <w:rsid w:val="00B72B13"/>
    <w:rsid w:val="00B735A9"/>
    <w:rsid w:val="00B737FA"/>
    <w:rsid w:val="00B73A8E"/>
    <w:rsid w:val="00B73D73"/>
    <w:rsid w:val="00B744D0"/>
    <w:rsid w:val="00B744EC"/>
    <w:rsid w:val="00B747BA"/>
    <w:rsid w:val="00B7493E"/>
    <w:rsid w:val="00B74B0B"/>
    <w:rsid w:val="00B74E0C"/>
    <w:rsid w:val="00B7507C"/>
    <w:rsid w:val="00B7513F"/>
    <w:rsid w:val="00B75291"/>
    <w:rsid w:val="00B756AD"/>
    <w:rsid w:val="00B756BB"/>
    <w:rsid w:val="00B768A7"/>
    <w:rsid w:val="00B76D64"/>
    <w:rsid w:val="00B76E71"/>
    <w:rsid w:val="00B7743D"/>
    <w:rsid w:val="00B77756"/>
    <w:rsid w:val="00B77D59"/>
    <w:rsid w:val="00B77E51"/>
    <w:rsid w:val="00B8067E"/>
    <w:rsid w:val="00B809D9"/>
    <w:rsid w:val="00B80EDB"/>
    <w:rsid w:val="00B812EB"/>
    <w:rsid w:val="00B81382"/>
    <w:rsid w:val="00B813BB"/>
    <w:rsid w:val="00B815B3"/>
    <w:rsid w:val="00B81E0F"/>
    <w:rsid w:val="00B81EB9"/>
    <w:rsid w:val="00B81F4D"/>
    <w:rsid w:val="00B821C3"/>
    <w:rsid w:val="00B827FC"/>
    <w:rsid w:val="00B82C5D"/>
    <w:rsid w:val="00B82E04"/>
    <w:rsid w:val="00B82FD0"/>
    <w:rsid w:val="00B83C9B"/>
    <w:rsid w:val="00B84507"/>
    <w:rsid w:val="00B84D3E"/>
    <w:rsid w:val="00B84EDD"/>
    <w:rsid w:val="00B84FBF"/>
    <w:rsid w:val="00B852AE"/>
    <w:rsid w:val="00B85888"/>
    <w:rsid w:val="00B85A65"/>
    <w:rsid w:val="00B85CF1"/>
    <w:rsid w:val="00B86504"/>
    <w:rsid w:val="00B86539"/>
    <w:rsid w:val="00B86C23"/>
    <w:rsid w:val="00B86D50"/>
    <w:rsid w:val="00B87DEA"/>
    <w:rsid w:val="00B911CA"/>
    <w:rsid w:val="00B919A5"/>
    <w:rsid w:val="00B91AE5"/>
    <w:rsid w:val="00B91CB4"/>
    <w:rsid w:val="00B92075"/>
    <w:rsid w:val="00B92575"/>
    <w:rsid w:val="00B928AC"/>
    <w:rsid w:val="00B939F6"/>
    <w:rsid w:val="00B93F72"/>
    <w:rsid w:val="00B9429E"/>
    <w:rsid w:val="00B94418"/>
    <w:rsid w:val="00B948D9"/>
    <w:rsid w:val="00B948E2"/>
    <w:rsid w:val="00B95840"/>
    <w:rsid w:val="00B95A61"/>
    <w:rsid w:val="00B961FD"/>
    <w:rsid w:val="00B9657D"/>
    <w:rsid w:val="00B968E3"/>
    <w:rsid w:val="00B96F52"/>
    <w:rsid w:val="00B97002"/>
    <w:rsid w:val="00B97142"/>
    <w:rsid w:val="00B97E25"/>
    <w:rsid w:val="00BA05C5"/>
    <w:rsid w:val="00BA06E1"/>
    <w:rsid w:val="00BA0862"/>
    <w:rsid w:val="00BA09B5"/>
    <w:rsid w:val="00BA1266"/>
    <w:rsid w:val="00BA1345"/>
    <w:rsid w:val="00BA13FD"/>
    <w:rsid w:val="00BA1738"/>
    <w:rsid w:val="00BA18E6"/>
    <w:rsid w:val="00BA18FA"/>
    <w:rsid w:val="00BA1A63"/>
    <w:rsid w:val="00BA1E1C"/>
    <w:rsid w:val="00BA1EDB"/>
    <w:rsid w:val="00BA20B3"/>
    <w:rsid w:val="00BA2BEC"/>
    <w:rsid w:val="00BA3006"/>
    <w:rsid w:val="00BA3527"/>
    <w:rsid w:val="00BA3594"/>
    <w:rsid w:val="00BA3617"/>
    <w:rsid w:val="00BA3758"/>
    <w:rsid w:val="00BA4AA6"/>
    <w:rsid w:val="00BA4D8C"/>
    <w:rsid w:val="00BA5363"/>
    <w:rsid w:val="00BA5D6C"/>
    <w:rsid w:val="00BA603A"/>
    <w:rsid w:val="00BA652A"/>
    <w:rsid w:val="00BA670A"/>
    <w:rsid w:val="00BA67F7"/>
    <w:rsid w:val="00BA70CA"/>
    <w:rsid w:val="00BA726E"/>
    <w:rsid w:val="00BA7988"/>
    <w:rsid w:val="00BA7AC7"/>
    <w:rsid w:val="00BA7B29"/>
    <w:rsid w:val="00BB0476"/>
    <w:rsid w:val="00BB04F7"/>
    <w:rsid w:val="00BB0554"/>
    <w:rsid w:val="00BB0FA5"/>
    <w:rsid w:val="00BB1129"/>
    <w:rsid w:val="00BB1526"/>
    <w:rsid w:val="00BB1833"/>
    <w:rsid w:val="00BB1A06"/>
    <w:rsid w:val="00BB2375"/>
    <w:rsid w:val="00BB24A8"/>
    <w:rsid w:val="00BB2C7D"/>
    <w:rsid w:val="00BB2DBC"/>
    <w:rsid w:val="00BB303A"/>
    <w:rsid w:val="00BB350E"/>
    <w:rsid w:val="00BB3A78"/>
    <w:rsid w:val="00BB3B9D"/>
    <w:rsid w:val="00BB4B8C"/>
    <w:rsid w:val="00BB4D2B"/>
    <w:rsid w:val="00BB4DB5"/>
    <w:rsid w:val="00BB54AA"/>
    <w:rsid w:val="00BB5CB3"/>
    <w:rsid w:val="00BB671C"/>
    <w:rsid w:val="00BB6908"/>
    <w:rsid w:val="00BB6CA7"/>
    <w:rsid w:val="00BB6EE8"/>
    <w:rsid w:val="00BB714B"/>
    <w:rsid w:val="00BB79F0"/>
    <w:rsid w:val="00BB7E0C"/>
    <w:rsid w:val="00BC0066"/>
    <w:rsid w:val="00BC0185"/>
    <w:rsid w:val="00BC0909"/>
    <w:rsid w:val="00BC096E"/>
    <w:rsid w:val="00BC0B7F"/>
    <w:rsid w:val="00BC0D8C"/>
    <w:rsid w:val="00BC1810"/>
    <w:rsid w:val="00BC19AD"/>
    <w:rsid w:val="00BC1A3B"/>
    <w:rsid w:val="00BC1B04"/>
    <w:rsid w:val="00BC2128"/>
    <w:rsid w:val="00BC2178"/>
    <w:rsid w:val="00BC2593"/>
    <w:rsid w:val="00BC259E"/>
    <w:rsid w:val="00BC2609"/>
    <w:rsid w:val="00BC2693"/>
    <w:rsid w:val="00BC2960"/>
    <w:rsid w:val="00BC2AC4"/>
    <w:rsid w:val="00BC2F82"/>
    <w:rsid w:val="00BC3146"/>
    <w:rsid w:val="00BC3440"/>
    <w:rsid w:val="00BC3ACB"/>
    <w:rsid w:val="00BC43C0"/>
    <w:rsid w:val="00BC4422"/>
    <w:rsid w:val="00BC4C4B"/>
    <w:rsid w:val="00BC5DFE"/>
    <w:rsid w:val="00BC5F23"/>
    <w:rsid w:val="00BC601E"/>
    <w:rsid w:val="00BC60A1"/>
    <w:rsid w:val="00BC6395"/>
    <w:rsid w:val="00BC6536"/>
    <w:rsid w:val="00BC6655"/>
    <w:rsid w:val="00BC69A8"/>
    <w:rsid w:val="00BC6E46"/>
    <w:rsid w:val="00BC6F09"/>
    <w:rsid w:val="00BC78AD"/>
    <w:rsid w:val="00BC7CE9"/>
    <w:rsid w:val="00BC7D67"/>
    <w:rsid w:val="00BC7DA9"/>
    <w:rsid w:val="00BD074E"/>
    <w:rsid w:val="00BD0ECB"/>
    <w:rsid w:val="00BD159D"/>
    <w:rsid w:val="00BD171D"/>
    <w:rsid w:val="00BD1868"/>
    <w:rsid w:val="00BD2325"/>
    <w:rsid w:val="00BD25EE"/>
    <w:rsid w:val="00BD2CD1"/>
    <w:rsid w:val="00BD2E4C"/>
    <w:rsid w:val="00BD2E82"/>
    <w:rsid w:val="00BD2EB8"/>
    <w:rsid w:val="00BD2EC6"/>
    <w:rsid w:val="00BD34E2"/>
    <w:rsid w:val="00BD3564"/>
    <w:rsid w:val="00BD3B08"/>
    <w:rsid w:val="00BD3F6E"/>
    <w:rsid w:val="00BD426D"/>
    <w:rsid w:val="00BD4ADB"/>
    <w:rsid w:val="00BD4BA1"/>
    <w:rsid w:val="00BD4C2B"/>
    <w:rsid w:val="00BD57F5"/>
    <w:rsid w:val="00BD5E50"/>
    <w:rsid w:val="00BD6543"/>
    <w:rsid w:val="00BD65D6"/>
    <w:rsid w:val="00BD65DD"/>
    <w:rsid w:val="00BD6817"/>
    <w:rsid w:val="00BD6A81"/>
    <w:rsid w:val="00BD7718"/>
    <w:rsid w:val="00BD7D5A"/>
    <w:rsid w:val="00BD7FF2"/>
    <w:rsid w:val="00BE008A"/>
    <w:rsid w:val="00BE04D3"/>
    <w:rsid w:val="00BE0A9D"/>
    <w:rsid w:val="00BE10FE"/>
    <w:rsid w:val="00BE1427"/>
    <w:rsid w:val="00BE14D9"/>
    <w:rsid w:val="00BE1851"/>
    <w:rsid w:val="00BE1A92"/>
    <w:rsid w:val="00BE1D17"/>
    <w:rsid w:val="00BE1D4D"/>
    <w:rsid w:val="00BE2138"/>
    <w:rsid w:val="00BE2297"/>
    <w:rsid w:val="00BE2323"/>
    <w:rsid w:val="00BE27C3"/>
    <w:rsid w:val="00BE3429"/>
    <w:rsid w:val="00BE34BF"/>
    <w:rsid w:val="00BE383A"/>
    <w:rsid w:val="00BE3B7C"/>
    <w:rsid w:val="00BE406C"/>
    <w:rsid w:val="00BE45E9"/>
    <w:rsid w:val="00BE48A4"/>
    <w:rsid w:val="00BE4BC7"/>
    <w:rsid w:val="00BE4CDF"/>
    <w:rsid w:val="00BE5329"/>
    <w:rsid w:val="00BE55A3"/>
    <w:rsid w:val="00BE55FB"/>
    <w:rsid w:val="00BE56F0"/>
    <w:rsid w:val="00BE5733"/>
    <w:rsid w:val="00BE583A"/>
    <w:rsid w:val="00BE5CBE"/>
    <w:rsid w:val="00BE5D55"/>
    <w:rsid w:val="00BE60CC"/>
    <w:rsid w:val="00BE6E9F"/>
    <w:rsid w:val="00BE73CF"/>
    <w:rsid w:val="00BF00A0"/>
    <w:rsid w:val="00BF00E5"/>
    <w:rsid w:val="00BF01C9"/>
    <w:rsid w:val="00BF0295"/>
    <w:rsid w:val="00BF0A2E"/>
    <w:rsid w:val="00BF108D"/>
    <w:rsid w:val="00BF13CC"/>
    <w:rsid w:val="00BF2211"/>
    <w:rsid w:val="00BF2855"/>
    <w:rsid w:val="00BF2F61"/>
    <w:rsid w:val="00BF2FE5"/>
    <w:rsid w:val="00BF3093"/>
    <w:rsid w:val="00BF374A"/>
    <w:rsid w:val="00BF4444"/>
    <w:rsid w:val="00BF467E"/>
    <w:rsid w:val="00BF5243"/>
    <w:rsid w:val="00BF528C"/>
    <w:rsid w:val="00BF571D"/>
    <w:rsid w:val="00BF58DD"/>
    <w:rsid w:val="00BF597A"/>
    <w:rsid w:val="00BF6245"/>
    <w:rsid w:val="00BF6BE6"/>
    <w:rsid w:val="00BF6F9F"/>
    <w:rsid w:val="00BF745B"/>
    <w:rsid w:val="00BF79F0"/>
    <w:rsid w:val="00BF7B13"/>
    <w:rsid w:val="00C001B7"/>
    <w:rsid w:val="00C00217"/>
    <w:rsid w:val="00C002E8"/>
    <w:rsid w:val="00C00464"/>
    <w:rsid w:val="00C0087E"/>
    <w:rsid w:val="00C00D96"/>
    <w:rsid w:val="00C017D9"/>
    <w:rsid w:val="00C02902"/>
    <w:rsid w:val="00C0307F"/>
    <w:rsid w:val="00C0368E"/>
    <w:rsid w:val="00C0372A"/>
    <w:rsid w:val="00C03C21"/>
    <w:rsid w:val="00C03D7A"/>
    <w:rsid w:val="00C046FE"/>
    <w:rsid w:val="00C05A9B"/>
    <w:rsid w:val="00C05F0E"/>
    <w:rsid w:val="00C065BB"/>
    <w:rsid w:val="00C06A6A"/>
    <w:rsid w:val="00C06B09"/>
    <w:rsid w:val="00C07838"/>
    <w:rsid w:val="00C078D1"/>
    <w:rsid w:val="00C07A42"/>
    <w:rsid w:val="00C07B4A"/>
    <w:rsid w:val="00C07C4E"/>
    <w:rsid w:val="00C07DCE"/>
    <w:rsid w:val="00C10ACC"/>
    <w:rsid w:val="00C11144"/>
    <w:rsid w:val="00C11487"/>
    <w:rsid w:val="00C1189C"/>
    <w:rsid w:val="00C11BEB"/>
    <w:rsid w:val="00C12579"/>
    <w:rsid w:val="00C12631"/>
    <w:rsid w:val="00C129A7"/>
    <w:rsid w:val="00C12AA4"/>
    <w:rsid w:val="00C12B05"/>
    <w:rsid w:val="00C12D35"/>
    <w:rsid w:val="00C13468"/>
    <w:rsid w:val="00C134D7"/>
    <w:rsid w:val="00C13E88"/>
    <w:rsid w:val="00C14158"/>
    <w:rsid w:val="00C1515A"/>
    <w:rsid w:val="00C155F8"/>
    <w:rsid w:val="00C15920"/>
    <w:rsid w:val="00C15D9F"/>
    <w:rsid w:val="00C15E87"/>
    <w:rsid w:val="00C1696A"/>
    <w:rsid w:val="00C170ED"/>
    <w:rsid w:val="00C1742A"/>
    <w:rsid w:val="00C17533"/>
    <w:rsid w:val="00C17589"/>
    <w:rsid w:val="00C17B02"/>
    <w:rsid w:val="00C17F52"/>
    <w:rsid w:val="00C20432"/>
    <w:rsid w:val="00C20BF2"/>
    <w:rsid w:val="00C20C00"/>
    <w:rsid w:val="00C2144A"/>
    <w:rsid w:val="00C21559"/>
    <w:rsid w:val="00C220F8"/>
    <w:rsid w:val="00C22415"/>
    <w:rsid w:val="00C22A12"/>
    <w:rsid w:val="00C22CE9"/>
    <w:rsid w:val="00C22E0B"/>
    <w:rsid w:val="00C22E1C"/>
    <w:rsid w:val="00C22E61"/>
    <w:rsid w:val="00C22FB9"/>
    <w:rsid w:val="00C23088"/>
    <w:rsid w:val="00C239E3"/>
    <w:rsid w:val="00C24284"/>
    <w:rsid w:val="00C243DF"/>
    <w:rsid w:val="00C2458F"/>
    <w:rsid w:val="00C24644"/>
    <w:rsid w:val="00C24660"/>
    <w:rsid w:val="00C24759"/>
    <w:rsid w:val="00C250D0"/>
    <w:rsid w:val="00C251C7"/>
    <w:rsid w:val="00C25547"/>
    <w:rsid w:val="00C25C7C"/>
    <w:rsid w:val="00C261DF"/>
    <w:rsid w:val="00C26A07"/>
    <w:rsid w:val="00C26AA1"/>
    <w:rsid w:val="00C27287"/>
    <w:rsid w:val="00C2756A"/>
    <w:rsid w:val="00C277B4"/>
    <w:rsid w:val="00C278B0"/>
    <w:rsid w:val="00C27DF6"/>
    <w:rsid w:val="00C305D9"/>
    <w:rsid w:val="00C30674"/>
    <w:rsid w:val="00C317FD"/>
    <w:rsid w:val="00C31C51"/>
    <w:rsid w:val="00C32272"/>
    <w:rsid w:val="00C32C97"/>
    <w:rsid w:val="00C32CD9"/>
    <w:rsid w:val="00C32E47"/>
    <w:rsid w:val="00C32E66"/>
    <w:rsid w:val="00C32ECE"/>
    <w:rsid w:val="00C332BC"/>
    <w:rsid w:val="00C33411"/>
    <w:rsid w:val="00C339FE"/>
    <w:rsid w:val="00C34436"/>
    <w:rsid w:val="00C34894"/>
    <w:rsid w:val="00C34D1A"/>
    <w:rsid w:val="00C35160"/>
    <w:rsid w:val="00C352A3"/>
    <w:rsid w:val="00C35457"/>
    <w:rsid w:val="00C355D3"/>
    <w:rsid w:val="00C36070"/>
    <w:rsid w:val="00C36164"/>
    <w:rsid w:val="00C362F8"/>
    <w:rsid w:val="00C36F81"/>
    <w:rsid w:val="00C36FFC"/>
    <w:rsid w:val="00C3717A"/>
    <w:rsid w:val="00C407D4"/>
    <w:rsid w:val="00C40C14"/>
    <w:rsid w:val="00C40CA3"/>
    <w:rsid w:val="00C4104A"/>
    <w:rsid w:val="00C4106C"/>
    <w:rsid w:val="00C41638"/>
    <w:rsid w:val="00C41835"/>
    <w:rsid w:val="00C41AC2"/>
    <w:rsid w:val="00C41C6B"/>
    <w:rsid w:val="00C41C83"/>
    <w:rsid w:val="00C421CA"/>
    <w:rsid w:val="00C42DD5"/>
    <w:rsid w:val="00C42F86"/>
    <w:rsid w:val="00C433D0"/>
    <w:rsid w:val="00C435F3"/>
    <w:rsid w:val="00C437D7"/>
    <w:rsid w:val="00C43C39"/>
    <w:rsid w:val="00C441EA"/>
    <w:rsid w:val="00C442C3"/>
    <w:rsid w:val="00C44367"/>
    <w:rsid w:val="00C444AC"/>
    <w:rsid w:val="00C456E6"/>
    <w:rsid w:val="00C45BDE"/>
    <w:rsid w:val="00C46093"/>
    <w:rsid w:val="00C460EB"/>
    <w:rsid w:val="00C4654C"/>
    <w:rsid w:val="00C4667A"/>
    <w:rsid w:val="00C46CD1"/>
    <w:rsid w:val="00C470D8"/>
    <w:rsid w:val="00C47620"/>
    <w:rsid w:val="00C4762B"/>
    <w:rsid w:val="00C478A5"/>
    <w:rsid w:val="00C47E7D"/>
    <w:rsid w:val="00C50319"/>
    <w:rsid w:val="00C506C8"/>
    <w:rsid w:val="00C5078E"/>
    <w:rsid w:val="00C50D2B"/>
    <w:rsid w:val="00C514FF"/>
    <w:rsid w:val="00C51CE5"/>
    <w:rsid w:val="00C52370"/>
    <w:rsid w:val="00C52C53"/>
    <w:rsid w:val="00C52EBE"/>
    <w:rsid w:val="00C5330F"/>
    <w:rsid w:val="00C5374A"/>
    <w:rsid w:val="00C5397E"/>
    <w:rsid w:val="00C54E7F"/>
    <w:rsid w:val="00C55501"/>
    <w:rsid w:val="00C55570"/>
    <w:rsid w:val="00C55737"/>
    <w:rsid w:val="00C55740"/>
    <w:rsid w:val="00C55861"/>
    <w:rsid w:val="00C55906"/>
    <w:rsid w:val="00C55995"/>
    <w:rsid w:val="00C55C3F"/>
    <w:rsid w:val="00C55E01"/>
    <w:rsid w:val="00C55ECF"/>
    <w:rsid w:val="00C560FB"/>
    <w:rsid w:val="00C566E2"/>
    <w:rsid w:val="00C56954"/>
    <w:rsid w:val="00C57A9E"/>
    <w:rsid w:val="00C57D78"/>
    <w:rsid w:val="00C57F77"/>
    <w:rsid w:val="00C57FEC"/>
    <w:rsid w:val="00C601D1"/>
    <w:rsid w:val="00C60839"/>
    <w:rsid w:val="00C60D4B"/>
    <w:rsid w:val="00C60E08"/>
    <w:rsid w:val="00C60F3D"/>
    <w:rsid w:val="00C611C7"/>
    <w:rsid w:val="00C61201"/>
    <w:rsid w:val="00C61381"/>
    <w:rsid w:val="00C61895"/>
    <w:rsid w:val="00C61D53"/>
    <w:rsid w:val="00C61FB0"/>
    <w:rsid w:val="00C623A4"/>
    <w:rsid w:val="00C62444"/>
    <w:rsid w:val="00C6308B"/>
    <w:rsid w:val="00C630AF"/>
    <w:rsid w:val="00C63F56"/>
    <w:rsid w:val="00C65742"/>
    <w:rsid w:val="00C65770"/>
    <w:rsid w:val="00C66418"/>
    <w:rsid w:val="00C66AE8"/>
    <w:rsid w:val="00C67AA1"/>
    <w:rsid w:val="00C67E66"/>
    <w:rsid w:val="00C7013C"/>
    <w:rsid w:val="00C70233"/>
    <w:rsid w:val="00C70947"/>
    <w:rsid w:val="00C709DD"/>
    <w:rsid w:val="00C71318"/>
    <w:rsid w:val="00C71452"/>
    <w:rsid w:val="00C7202F"/>
    <w:rsid w:val="00C72475"/>
    <w:rsid w:val="00C724F4"/>
    <w:rsid w:val="00C726AA"/>
    <w:rsid w:val="00C728F9"/>
    <w:rsid w:val="00C72C00"/>
    <w:rsid w:val="00C72EAD"/>
    <w:rsid w:val="00C7344C"/>
    <w:rsid w:val="00C73613"/>
    <w:rsid w:val="00C73724"/>
    <w:rsid w:val="00C73747"/>
    <w:rsid w:val="00C741BB"/>
    <w:rsid w:val="00C741D2"/>
    <w:rsid w:val="00C74336"/>
    <w:rsid w:val="00C746C9"/>
    <w:rsid w:val="00C7472D"/>
    <w:rsid w:val="00C74B02"/>
    <w:rsid w:val="00C74BEA"/>
    <w:rsid w:val="00C74E28"/>
    <w:rsid w:val="00C74EB4"/>
    <w:rsid w:val="00C7501B"/>
    <w:rsid w:val="00C7540E"/>
    <w:rsid w:val="00C7557B"/>
    <w:rsid w:val="00C75730"/>
    <w:rsid w:val="00C75A5F"/>
    <w:rsid w:val="00C75A81"/>
    <w:rsid w:val="00C7660E"/>
    <w:rsid w:val="00C76B16"/>
    <w:rsid w:val="00C76B32"/>
    <w:rsid w:val="00C76C2B"/>
    <w:rsid w:val="00C76FAB"/>
    <w:rsid w:val="00C7735F"/>
    <w:rsid w:val="00C77728"/>
    <w:rsid w:val="00C77868"/>
    <w:rsid w:val="00C77E24"/>
    <w:rsid w:val="00C77FD5"/>
    <w:rsid w:val="00C800D0"/>
    <w:rsid w:val="00C805EA"/>
    <w:rsid w:val="00C80AEF"/>
    <w:rsid w:val="00C80D19"/>
    <w:rsid w:val="00C80DA4"/>
    <w:rsid w:val="00C81481"/>
    <w:rsid w:val="00C81A80"/>
    <w:rsid w:val="00C81FAA"/>
    <w:rsid w:val="00C8208F"/>
    <w:rsid w:val="00C82311"/>
    <w:rsid w:val="00C82403"/>
    <w:rsid w:val="00C82468"/>
    <w:rsid w:val="00C8246A"/>
    <w:rsid w:val="00C82736"/>
    <w:rsid w:val="00C82902"/>
    <w:rsid w:val="00C82945"/>
    <w:rsid w:val="00C829EF"/>
    <w:rsid w:val="00C82EE6"/>
    <w:rsid w:val="00C83390"/>
    <w:rsid w:val="00C837CE"/>
    <w:rsid w:val="00C838D8"/>
    <w:rsid w:val="00C83C27"/>
    <w:rsid w:val="00C83DB2"/>
    <w:rsid w:val="00C84385"/>
    <w:rsid w:val="00C84EEA"/>
    <w:rsid w:val="00C850C3"/>
    <w:rsid w:val="00C8539E"/>
    <w:rsid w:val="00C85AA8"/>
    <w:rsid w:val="00C85CF3"/>
    <w:rsid w:val="00C86672"/>
    <w:rsid w:val="00C87B17"/>
    <w:rsid w:val="00C87C05"/>
    <w:rsid w:val="00C87F32"/>
    <w:rsid w:val="00C90062"/>
    <w:rsid w:val="00C9025A"/>
    <w:rsid w:val="00C91431"/>
    <w:rsid w:val="00C915A5"/>
    <w:rsid w:val="00C91C39"/>
    <w:rsid w:val="00C91C80"/>
    <w:rsid w:val="00C91F48"/>
    <w:rsid w:val="00C91F5C"/>
    <w:rsid w:val="00C91FB8"/>
    <w:rsid w:val="00C92123"/>
    <w:rsid w:val="00C92215"/>
    <w:rsid w:val="00C92270"/>
    <w:rsid w:val="00C935E5"/>
    <w:rsid w:val="00C93DF3"/>
    <w:rsid w:val="00C93EEC"/>
    <w:rsid w:val="00C944EE"/>
    <w:rsid w:val="00C945DB"/>
    <w:rsid w:val="00C94A07"/>
    <w:rsid w:val="00C954EA"/>
    <w:rsid w:val="00C95761"/>
    <w:rsid w:val="00C957D1"/>
    <w:rsid w:val="00C95EFD"/>
    <w:rsid w:val="00C9661B"/>
    <w:rsid w:val="00C96BBC"/>
    <w:rsid w:val="00C96CC4"/>
    <w:rsid w:val="00C97301"/>
    <w:rsid w:val="00C97782"/>
    <w:rsid w:val="00C97CFA"/>
    <w:rsid w:val="00CA06E1"/>
    <w:rsid w:val="00CA072A"/>
    <w:rsid w:val="00CA0D1F"/>
    <w:rsid w:val="00CA0D3E"/>
    <w:rsid w:val="00CA0EA6"/>
    <w:rsid w:val="00CA107A"/>
    <w:rsid w:val="00CA1150"/>
    <w:rsid w:val="00CA145F"/>
    <w:rsid w:val="00CA1550"/>
    <w:rsid w:val="00CA1C3A"/>
    <w:rsid w:val="00CA2289"/>
    <w:rsid w:val="00CA29E2"/>
    <w:rsid w:val="00CA2BF9"/>
    <w:rsid w:val="00CA31DA"/>
    <w:rsid w:val="00CA3802"/>
    <w:rsid w:val="00CA3D1C"/>
    <w:rsid w:val="00CA47C5"/>
    <w:rsid w:val="00CA48F3"/>
    <w:rsid w:val="00CA51D8"/>
    <w:rsid w:val="00CA5386"/>
    <w:rsid w:val="00CA57BA"/>
    <w:rsid w:val="00CA5F85"/>
    <w:rsid w:val="00CA61BF"/>
    <w:rsid w:val="00CA64AD"/>
    <w:rsid w:val="00CA65ED"/>
    <w:rsid w:val="00CA6786"/>
    <w:rsid w:val="00CA69AD"/>
    <w:rsid w:val="00CA7078"/>
    <w:rsid w:val="00CA75B0"/>
    <w:rsid w:val="00CA79D4"/>
    <w:rsid w:val="00CA7FFE"/>
    <w:rsid w:val="00CB0046"/>
    <w:rsid w:val="00CB00B8"/>
    <w:rsid w:val="00CB0326"/>
    <w:rsid w:val="00CB09FA"/>
    <w:rsid w:val="00CB135F"/>
    <w:rsid w:val="00CB1B5D"/>
    <w:rsid w:val="00CB2560"/>
    <w:rsid w:val="00CB27AC"/>
    <w:rsid w:val="00CB28C0"/>
    <w:rsid w:val="00CB2A91"/>
    <w:rsid w:val="00CB2B60"/>
    <w:rsid w:val="00CB3188"/>
    <w:rsid w:val="00CB42FC"/>
    <w:rsid w:val="00CB4879"/>
    <w:rsid w:val="00CB4D33"/>
    <w:rsid w:val="00CB53F2"/>
    <w:rsid w:val="00CB56DD"/>
    <w:rsid w:val="00CB5C91"/>
    <w:rsid w:val="00CB5D12"/>
    <w:rsid w:val="00CB5EA5"/>
    <w:rsid w:val="00CB603F"/>
    <w:rsid w:val="00CB6604"/>
    <w:rsid w:val="00CB6FDB"/>
    <w:rsid w:val="00CB747D"/>
    <w:rsid w:val="00CB7936"/>
    <w:rsid w:val="00CB7DAB"/>
    <w:rsid w:val="00CC0847"/>
    <w:rsid w:val="00CC0B37"/>
    <w:rsid w:val="00CC0BE2"/>
    <w:rsid w:val="00CC1A2E"/>
    <w:rsid w:val="00CC22FC"/>
    <w:rsid w:val="00CC2AB4"/>
    <w:rsid w:val="00CC2C7E"/>
    <w:rsid w:val="00CC34B1"/>
    <w:rsid w:val="00CC383B"/>
    <w:rsid w:val="00CC3B22"/>
    <w:rsid w:val="00CC3DF6"/>
    <w:rsid w:val="00CC4050"/>
    <w:rsid w:val="00CC5213"/>
    <w:rsid w:val="00CC5B99"/>
    <w:rsid w:val="00CC5F21"/>
    <w:rsid w:val="00CC6110"/>
    <w:rsid w:val="00CC690B"/>
    <w:rsid w:val="00CC6A31"/>
    <w:rsid w:val="00CC6D8E"/>
    <w:rsid w:val="00CC7848"/>
    <w:rsid w:val="00CC79B4"/>
    <w:rsid w:val="00CD030D"/>
    <w:rsid w:val="00CD0376"/>
    <w:rsid w:val="00CD0594"/>
    <w:rsid w:val="00CD0D54"/>
    <w:rsid w:val="00CD1029"/>
    <w:rsid w:val="00CD127C"/>
    <w:rsid w:val="00CD1393"/>
    <w:rsid w:val="00CD1E74"/>
    <w:rsid w:val="00CD1E80"/>
    <w:rsid w:val="00CD1FDE"/>
    <w:rsid w:val="00CD243C"/>
    <w:rsid w:val="00CD2896"/>
    <w:rsid w:val="00CD2B27"/>
    <w:rsid w:val="00CD3126"/>
    <w:rsid w:val="00CD3407"/>
    <w:rsid w:val="00CD3B5A"/>
    <w:rsid w:val="00CD3D4F"/>
    <w:rsid w:val="00CD4383"/>
    <w:rsid w:val="00CD46DE"/>
    <w:rsid w:val="00CD4BBA"/>
    <w:rsid w:val="00CD5EF0"/>
    <w:rsid w:val="00CD62DF"/>
    <w:rsid w:val="00CD6A71"/>
    <w:rsid w:val="00CD727B"/>
    <w:rsid w:val="00CD750D"/>
    <w:rsid w:val="00CE0583"/>
    <w:rsid w:val="00CE05E9"/>
    <w:rsid w:val="00CE0A97"/>
    <w:rsid w:val="00CE1C56"/>
    <w:rsid w:val="00CE2550"/>
    <w:rsid w:val="00CE2905"/>
    <w:rsid w:val="00CE2C20"/>
    <w:rsid w:val="00CE3B0D"/>
    <w:rsid w:val="00CE3B9B"/>
    <w:rsid w:val="00CE3F8A"/>
    <w:rsid w:val="00CE411E"/>
    <w:rsid w:val="00CE4B64"/>
    <w:rsid w:val="00CE5861"/>
    <w:rsid w:val="00CE64AF"/>
    <w:rsid w:val="00CE6FA4"/>
    <w:rsid w:val="00CE7007"/>
    <w:rsid w:val="00CE759E"/>
    <w:rsid w:val="00CE7E11"/>
    <w:rsid w:val="00CF085B"/>
    <w:rsid w:val="00CF0E02"/>
    <w:rsid w:val="00CF0F23"/>
    <w:rsid w:val="00CF106C"/>
    <w:rsid w:val="00CF1070"/>
    <w:rsid w:val="00CF19EA"/>
    <w:rsid w:val="00CF24B2"/>
    <w:rsid w:val="00CF251C"/>
    <w:rsid w:val="00CF2E19"/>
    <w:rsid w:val="00CF2F69"/>
    <w:rsid w:val="00CF3161"/>
    <w:rsid w:val="00CF361F"/>
    <w:rsid w:val="00CF3990"/>
    <w:rsid w:val="00CF3EF0"/>
    <w:rsid w:val="00CF3F8C"/>
    <w:rsid w:val="00CF4005"/>
    <w:rsid w:val="00CF4342"/>
    <w:rsid w:val="00CF4AE3"/>
    <w:rsid w:val="00CF4FC0"/>
    <w:rsid w:val="00CF51C3"/>
    <w:rsid w:val="00CF52C6"/>
    <w:rsid w:val="00CF53C2"/>
    <w:rsid w:val="00CF5558"/>
    <w:rsid w:val="00CF57F2"/>
    <w:rsid w:val="00CF5D78"/>
    <w:rsid w:val="00CF72C9"/>
    <w:rsid w:val="00CF7B32"/>
    <w:rsid w:val="00CF7D38"/>
    <w:rsid w:val="00CF7E06"/>
    <w:rsid w:val="00D00063"/>
    <w:rsid w:val="00D00294"/>
    <w:rsid w:val="00D00452"/>
    <w:rsid w:val="00D005BE"/>
    <w:rsid w:val="00D0149B"/>
    <w:rsid w:val="00D018FE"/>
    <w:rsid w:val="00D01A1E"/>
    <w:rsid w:val="00D01A22"/>
    <w:rsid w:val="00D01BAD"/>
    <w:rsid w:val="00D02123"/>
    <w:rsid w:val="00D0239E"/>
    <w:rsid w:val="00D0269D"/>
    <w:rsid w:val="00D02875"/>
    <w:rsid w:val="00D02CB1"/>
    <w:rsid w:val="00D033B0"/>
    <w:rsid w:val="00D03412"/>
    <w:rsid w:val="00D03499"/>
    <w:rsid w:val="00D03567"/>
    <w:rsid w:val="00D03602"/>
    <w:rsid w:val="00D03799"/>
    <w:rsid w:val="00D0419D"/>
    <w:rsid w:val="00D04785"/>
    <w:rsid w:val="00D048D8"/>
    <w:rsid w:val="00D04A64"/>
    <w:rsid w:val="00D04E61"/>
    <w:rsid w:val="00D0513A"/>
    <w:rsid w:val="00D066EA"/>
    <w:rsid w:val="00D06EE3"/>
    <w:rsid w:val="00D07AA3"/>
    <w:rsid w:val="00D07B9C"/>
    <w:rsid w:val="00D07CD5"/>
    <w:rsid w:val="00D07D2E"/>
    <w:rsid w:val="00D07EB7"/>
    <w:rsid w:val="00D10635"/>
    <w:rsid w:val="00D10C9F"/>
    <w:rsid w:val="00D11275"/>
    <w:rsid w:val="00D11AB0"/>
    <w:rsid w:val="00D11B04"/>
    <w:rsid w:val="00D11BD1"/>
    <w:rsid w:val="00D13200"/>
    <w:rsid w:val="00D137E7"/>
    <w:rsid w:val="00D139D5"/>
    <w:rsid w:val="00D14283"/>
    <w:rsid w:val="00D14836"/>
    <w:rsid w:val="00D148EA"/>
    <w:rsid w:val="00D14ED3"/>
    <w:rsid w:val="00D15223"/>
    <w:rsid w:val="00D154CE"/>
    <w:rsid w:val="00D15E35"/>
    <w:rsid w:val="00D1643D"/>
    <w:rsid w:val="00D17181"/>
    <w:rsid w:val="00D17193"/>
    <w:rsid w:val="00D172F1"/>
    <w:rsid w:val="00D177E0"/>
    <w:rsid w:val="00D17979"/>
    <w:rsid w:val="00D17E1B"/>
    <w:rsid w:val="00D205DC"/>
    <w:rsid w:val="00D20A2D"/>
    <w:rsid w:val="00D20AC8"/>
    <w:rsid w:val="00D20B47"/>
    <w:rsid w:val="00D20E45"/>
    <w:rsid w:val="00D212AA"/>
    <w:rsid w:val="00D222E4"/>
    <w:rsid w:val="00D22C27"/>
    <w:rsid w:val="00D22D59"/>
    <w:rsid w:val="00D2332A"/>
    <w:rsid w:val="00D23E68"/>
    <w:rsid w:val="00D24471"/>
    <w:rsid w:val="00D24E83"/>
    <w:rsid w:val="00D254DA"/>
    <w:rsid w:val="00D2576E"/>
    <w:rsid w:val="00D2599B"/>
    <w:rsid w:val="00D25BCE"/>
    <w:rsid w:val="00D26560"/>
    <w:rsid w:val="00D26A25"/>
    <w:rsid w:val="00D26A42"/>
    <w:rsid w:val="00D26A5B"/>
    <w:rsid w:val="00D26AF1"/>
    <w:rsid w:val="00D272C6"/>
    <w:rsid w:val="00D27CC3"/>
    <w:rsid w:val="00D27FF5"/>
    <w:rsid w:val="00D30E2B"/>
    <w:rsid w:val="00D317CA"/>
    <w:rsid w:val="00D31CEA"/>
    <w:rsid w:val="00D325F2"/>
    <w:rsid w:val="00D32810"/>
    <w:rsid w:val="00D32ECF"/>
    <w:rsid w:val="00D332AE"/>
    <w:rsid w:val="00D33742"/>
    <w:rsid w:val="00D33850"/>
    <w:rsid w:val="00D33DE4"/>
    <w:rsid w:val="00D33FC6"/>
    <w:rsid w:val="00D34094"/>
    <w:rsid w:val="00D342F4"/>
    <w:rsid w:val="00D34456"/>
    <w:rsid w:val="00D3482B"/>
    <w:rsid w:val="00D34DCD"/>
    <w:rsid w:val="00D34EE0"/>
    <w:rsid w:val="00D354DD"/>
    <w:rsid w:val="00D3646F"/>
    <w:rsid w:val="00D36766"/>
    <w:rsid w:val="00D36A18"/>
    <w:rsid w:val="00D36AA2"/>
    <w:rsid w:val="00D37124"/>
    <w:rsid w:val="00D37FF5"/>
    <w:rsid w:val="00D40290"/>
    <w:rsid w:val="00D40BB2"/>
    <w:rsid w:val="00D41D8C"/>
    <w:rsid w:val="00D41F6C"/>
    <w:rsid w:val="00D42191"/>
    <w:rsid w:val="00D4219D"/>
    <w:rsid w:val="00D421F8"/>
    <w:rsid w:val="00D424B6"/>
    <w:rsid w:val="00D4267C"/>
    <w:rsid w:val="00D4286B"/>
    <w:rsid w:val="00D42A5E"/>
    <w:rsid w:val="00D42F41"/>
    <w:rsid w:val="00D43D49"/>
    <w:rsid w:val="00D44053"/>
    <w:rsid w:val="00D44555"/>
    <w:rsid w:val="00D44818"/>
    <w:rsid w:val="00D44B2B"/>
    <w:rsid w:val="00D45442"/>
    <w:rsid w:val="00D46955"/>
    <w:rsid w:val="00D4705C"/>
    <w:rsid w:val="00D4740D"/>
    <w:rsid w:val="00D47915"/>
    <w:rsid w:val="00D479EE"/>
    <w:rsid w:val="00D47DC4"/>
    <w:rsid w:val="00D500C1"/>
    <w:rsid w:val="00D50285"/>
    <w:rsid w:val="00D504ED"/>
    <w:rsid w:val="00D50523"/>
    <w:rsid w:val="00D50BB9"/>
    <w:rsid w:val="00D50FDE"/>
    <w:rsid w:val="00D51CE1"/>
    <w:rsid w:val="00D51DB4"/>
    <w:rsid w:val="00D51E20"/>
    <w:rsid w:val="00D523AE"/>
    <w:rsid w:val="00D524C7"/>
    <w:rsid w:val="00D5256B"/>
    <w:rsid w:val="00D525B8"/>
    <w:rsid w:val="00D525FA"/>
    <w:rsid w:val="00D52A7D"/>
    <w:rsid w:val="00D52D67"/>
    <w:rsid w:val="00D5389C"/>
    <w:rsid w:val="00D53F29"/>
    <w:rsid w:val="00D5403F"/>
    <w:rsid w:val="00D541ED"/>
    <w:rsid w:val="00D546F5"/>
    <w:rsid w:val="00D54B0C"/>
    <w:rsid w:val="00D54D2F"/>
    <w:rsid w:val="00D55089"/>
    <w:rsid w:val="00D55354"/>
    <w:rsid w:val="00D558CF"/>
    <w:rsid w:val="00D558D1"/>
    <w:rsid w:val="00D5667C"/>
    <w:rsid w:val="00D56844"/>
    <w:rsid w:val="00D56CE7"/>
    <w:rsid w:val="00D574C8"/>
    <w:rsid w:val="00D5789F"/>
    <w:rsid w:val="00D579AE"/>
    <w:rsid w:val="00D57A90"/>
    <w:rsid w:val="00D57B5B"/>
    <w:rsid w:val="00D57BAE"/>
    <w:rsid w:val="00D57F28"/>
    <w:rsid w:val="00D6021B"/>
    <w:rsid w:val="00D6023F"/>
    <w:rsid w:val="00D605EB"/>
    <w:rsid w:val="00D60F2A"/>
    <w:rsid w:val="00D61C5D"/>
    <w:rsid w:val="00D62BF2"/>
    <w:rsid w:val="00D62EB9"/>
    <w:rsid w:val="00D62F00"/>
    <w:rsid w:val="00D62FB1"/>
    <w:rsid w:val="00D6371A"/>
    <w:rsid w:val="00D63A39"/>
    <w:rsid w:val="00D64A70"/>
    <w:rsid w:val="00D64C0A"/>
    <w:rsid w:val="00D658E7"/>
    <w:rsid w:val="00D659FB"/>
    <w:rsid w:val="00D65A4C"/>
    <w:rsid w:val="00D65DD8"/>
    <w:rsid w:val="00D660A7"/>
    <w:rsid w:val="00D6621B"/>
    <w:rsid w:val="00D662A4"/>
    <w:rsid w:val="00D66971"/>
    <w:rsid w:val="00D669B1"/>
    <w:rsid w:val="00D671C7"/>
    <w:rsid w:val="00D677BA"/>
    <w:rsid w:val="00D67962"/>
    <w:rsid w:val="00D67BE4"/>
    <w:rsid w:val="00D67CCF"/>
    <w:rsid w:val="00D70070"/>
    <w:rsid w:val="00D700EB"/>
    <w:rsid w:val="00D70258"/>
    <w:rsid w:val="00D706CB"/>
    <w:rsid w:val="00D70F45"/>
    <w:rsid w:val="00D7130A"/>
    <w:rsid w:val="00D71592"/>
    <w:rsid w:val="00D719B4"/>
    <w:rsid w:val="00D71A11"/>
    <w:rsid w:val="00D71D9E"/>
    <w:rsid w:val="00D71FEF"/>
    <w:rsid w:val="00D7248E"/>
    <w:rsid w:val="00D724AF"/>
    <w:rsid w:val="00D724CB"/>
    <w:rsid w:val="00D72E29"/>
    <w:rsid w:val="00D730C8"/>
    <w:rsid w:val="00D731ED"/>
    <w:rsid w:val="00D734B2"/>
    <w:rsid w:val="00D737CE"/>
    <w:rsid w:val="00D737FB"/>
    <w:rsid w:val="00D73A51"/>
    <w:rsid w:val="00D73F9B"/>
    <w:rsid w:val="00D74165"/>
    <w:rsid w:val="00D745C6"/>
    <w:rsid w:val="00D74CB8"/>
    <w:rsid w:val="00D74F04"/>
    <w:rsid w:val="00D750CA"/>
    <w:rsid w:val="00D7563F"/>
    <w:rsid w:val="00D756A3"/>
    <w:rsid w:val="00D75C3C"/>
    <w:rsid w:val="00D765B7"/>
    <w:rsid w:val="00D76713"/>
    <w:rsid w:val="00D76994"/>
    <w:rsid w:val="00D76F98"/>
    <w:rsid w:val="00D76FCF"/>
    <w:rsid w:val="00D771AD"/>
    <w:rsid w:val="00D77781"/>
    <w:rsid w:val="00D807FC"/>
    <w:rsid w:val="00D81191"/>
    <w:rsid w:val="00D81BC2"/>
    <w:rsid w:val="00D81C8E"/>
    <w:rsid w:val="00D82069"/>
    <w:rsid w:val="00D8244C"/>
    <w:rsid w:val="00D827E8"/>
    <w:rsid w:val="00D82FBE"/>
    <w:rsid w:val="00D8303C"/>
    <w:rsid w:val="00D83264"/>
    <w:rsid w:val="00D8348F"/>
    <w:rsid w:val="00D8398B"/>
    <w:rsid w:val="00D83AD1"/>
    <w:rsid w:val="00D83C1C"/>
    <w:rsid w:val="00D83C27"/>
    <w:rsid w:val="00D83C78"/>
    <w:rsid w:val="00D8410B"/>
    <w:rsid w:val="00D8426E"/>
    <w:rsid w:val="00D84384"/>
    <w:rsid w:val="00D851A7"/>
    <w:rsid w:val="00D85412"/>
    <w:rsid w:val="00D85FE7"/>
    <w:rsid w:val="00D86516"/>
    <w:rsid w:val="00D865C2"/>
    <w:rsid w:val="00D86B77"/>
    <w:rsid w:val="00D86BC0"/>
    <w:rsid w:val="00D86C6D"/>
    <w:rsid w:val="00D86DB8"/>
    <w:rsid w:val="00D87AFC"/>
    <w:rsid w:val="00D87B2C"/>
    <w:rsid w:val="00D87C12"/>
    <w:rsid w:val="00D9005D"/>
    <w:rsid w:val="00D903A1"/>
    <w:rsid w:val="00D909D7"/>
    <w:rsid w:val="00D90D7F"/>
    <w:rsid w:val="00D90E12"/>
    <w:rsid w:val="00D915FD"/>
    <w:rsid w:val="00D916B6"/>
    <w:rsid w:val="00D91D1E"/>
    <w:rsid w:val="00D920B9"/>
    <w:rsid w:val="00D923D6"/>
    <w:rsid w:val="00D93153"/>
    <w:rsid w:val="00D9344D"/>
    <w:rsid w:val="00D93763"/>
    <w:rsid w:val="00D93855"/>
    <w:rsid w:val="00D93909"/>
    <w:rsid w:val="00D94565"/>
    <w:rsid w:val="00D95413"/>
    <w:rsid w:val="00D954A8"/>
    <w:rsid w:val="00D95584"/>
    <w:rsid w:val="00D95F32"/>
    <w:rsid w:val="00D96990"/>
    <w:rsid w:val="00D969F7"/>
    <w:rsid w:val="00D97295"/>
    <w:rsid w:val="00D9741D"/>
    <w:rsid w:val="00D977DD"/>
    <w:rsid w:val="00D97B24"/>
    <w:rsid w:val="00DA18A2"/>
    <w:rsid w:val="00DA198C"/>
    <w:rsid w:val="00DA1CDB"/>
    <w:rsid w:val="00DA1D4B"/>
    <w:rsid w:val="00DA1EE6"/>
    <w:rsid w:val="00DA23B9"/>
    <w:rsid w:val="00DA2460"/>
    <w:rsid w:val="00DA27AD"/>
    <w:rsid w:val="00DA2CEE"/>
    <w:rsid w:val="00DA30C4"/>
    <w:rsid w:val="00DA33A9"/>
    <w:rsid w:val="00DA34F1"/>
    <w:rsid w:val="00DA3D28"/>
    <w:rsid w:val="00DA3DB2"/>
    <w:rsid w:val="00DA40E5"/>
    <w:rsid w:val="00DA42E3"/>
    <w:rsid w:val="00DA43D4"/>
    <w:rsid w:val="00DA440E"/>
    <w:rsid w:val="00DA460A"/>
    <w:rsid w:val="00DA46A4"/>
    <w:rsid w:val="00DA4761"/>
    <w:rsid w:val="00DA49E7"/>
    <w:rsid w:val="00DA4B8C"/>
    <w:rsid w:val="00DA52DE"/>
    <w:rsid w:val="00DA5550"/>
    <w:rsid w:val="00DA565B"/>
    <w:rsid w:val="00DA5B83"/>
    <w:rsid w:val="00DA5FCD"/>
    <w:rsid w:val="00DA61E2"/>
    <w:rsid w:val="00DA6240"/>
    <w:rsid w:val="00DA6393"/>
    <w:rsid w:val="00DA6682"/>
    <w:rsid w:val="00DA6816"/>
    <w:rsid w:val="00DA6832"/>
    <w:rsid w:val="00DA6A25"/>
    <w:rsid w:val="00DA6CAD"/>
    <w:rsid w:val="00DA739D"/>
    <w:rsid w:val="00DB0022"/>
    <w:rsid w:val="00DB04F1"/>
    <w:rsid w:val="00DB0542"/>
    <w:rsid w:val="00DB0B89"/>
    <w:rsid w:val="00DB12C2"/>
    <w:rsid w:val="00DB18B2"/>
    <w:rsid w:val="00DB197C"/>
    <w:rsid w:val="00DB1FEE"/>
    <w:rsid w:val="00DB20BB"/>
    <w:rsid w:val="00DB221F"/>
    <w:rsid w:val="00DB2359"/>
    <w:rsid w:val="00DB2431"/>
    <w:rsid w:val="00DB24E5"/>
    <w:rsid w:val="00DB274C"/>
    <w:rsid w:val="00DB297A"/>
    <w:rsid w:val="00DB342C"/>
    <w:rsid w:val="00DB343C"/>
    <w:rsid w:val="00DB360E"/>
    <w:rsid w:val="00DB39E3"/>
    <w:rsid w:val="00DB3ECF"/>
    <w:rsid w:val="00DB4353"/>
    <w:rsid w:val="00DB4D54"/>
    <w:rsid w:val="00DB4D97"/>
    <w:rsid w:val="00DB4EB2"/>
    <w:rsid w:val="00DB50A5"/>
    <w:rsid w:val="00DB51FD"/>
    <w:rsid w:val="00DB5D83"/>
    <w:rsid w:val="00DB67B7"/>
    <w:rsid w:val="00DB716D"/>
    <w:rsid w:val="00DB7B18"/>
    <w:rsid w:val="00DB7D73"/>
    <w:rsid w:val="00DB7FA5"/>
    <w:rsid w:val="00DC00C7"/>
    <w:rsid w:val="00DC0433"/>
    <w:rsid w:val="00DC065E"/>
    <w:rsid w:val="00DC07DA"/>
    <w:rsid w:val="00DC0906"/>
    <w:rsid w:val="00DC164C"/>
    <w:rsid w:val="00DC17B0"/>
    <w:rsid w:val="00DC1838"/>
    <w:rsid w:val="00DC1BB7"/>
    <w:rsid w:val="00DC226F"/>
    <w:rsid w:val="00DC22F4"/>
    <w:rsid w:val="00DC231E"/>
    <w:rsid w:val="00DC2958"/>
    <w:rsid w:val="00DC2BB4"/>
    <w:rsid w:val="00DC2EB9"/>
    <w:rsid w:val="00DC4164"/>
    <w:rsid w:val="00DC4657"/>
    <w:rsid w:val="00DC48EA"/>
    <w:rsid w:val="00DC49B6"/>
    <w:rsid w:val="00DC4C24"/>
    <w:rsid w:val="00DC5223"/>
    <w:rsid w:val="00DC55F7"/>
    <w:rsid w:val="00DC5B6F"/>
    <w:rsid w:val="00DC614A"/>
    <w:rsid w:val="00DC6884"/>
    <w:rsid w:val="00DC707D"/>
    <w:rsid w:val="00DC755C"/>
    <w:rsid w:val="00DC7921"/>
    <w:rsid w:val="00DD0423"/>
    <w:rsid w:val="00DD071D"/>
    <w:rsid w:val="00DD0B8D"/>
    <w:rsid w:val="00DD0EC2"/>
    <w:rsid w:val="00DD1B2E"/>
    <w:rsid w:val="00DD1C90"/>
    <w:rsid w:val="00DD1E3E"/>
    <w:rsid w:val="00DD2116"/>
    <w:rsid w:val="00DD235E"/>
    <w:rsid w:val="00DD326E"/>
    <w:rsid w:val="00DD3469"/>
    <w:rsid w:val="00DD3DAA"/>
    <w:rsid w:val="00DD45BA"/>
    <w:rsid w:val="00DD4A51"/>
    <w:rsid w:val="00DD4B03"/>
    <w:rsid w:val="00DD5AD4"/>
    <w:rsid w:val="00DD5CA3"/>
    <w:rsid w:val="00DD602E"/>
    <w:rsid w:val="00DD6245"/>
    <w:rsid w:val="00DD67FF"/>
    <w:rsid w:val="00DD6AE9"/>
    <w:rsid w:val="00DD6C2A"/>
    <w:rsid w:val="00DD6F15"/>
    <w:rsid w:val="00DD6F1A"/>
    <w:rsid w:val="00DD70EB"/>
    <w:rsid w:val="00DD74BB"/>
    <w:rsid w:val="00DD78D2"/>
    <w:rsid w:val="00DD7DA6"/>
    <w:rsid w:val="00DE0B9D"/>
    <w:rsid w:val="00DE0CD1"/>
    <w:rsid w:val="00DE1417"/>
    <w:rsid w:val="00DE1F3B"/>
    <w:rsid w:val="00DE20F6"/>
    <w:rsid w:val="00DE2CAF"/>
    <w:rsid w:val="00DE2CE9"/>
    <w:rsid w:val="00DE2F2B"/>
    <w:rsid w:val="00DE2FBC"/>
    <w:rsid w:val="00DE3606"/>
    <w:rsid w:val="00DE3763"/>
    <w:rsid w:val="00DE3C1E"/>
    <w:rsid w:val="00DE432E"/>
    <w:rsid w:val="00DE49FC"/>
    <w:rsid w:val="00DE4A4D"/>
    <w:rsid w:val="00DE4C97"/>
    <w:rsid w:val="00DE5478"/>
    <w:rsid w:val="00DE58B0"/>
    <w:rsid w:val="00DE5CDC"/>
    <w:rsid w:val="00DE633C"/>
    <w:rsid w:val="00DE6432"/>
    <w:rsid w:val="00DE65B8"/>
    <w:rsid w:val="00DE6C3B"/>
    <w:rsid w:val="00DE7157"/>
    <w:rsid w:val="00DE7BBC"/>
    <w:rsid w:val="00DE7C5D"/>
    <w:rsid w:val="00DF012A"/>
    <w:rsid w:val="00DF088C"/>
    <w:rsid w:val="00DF1213"/>
    <w:rsid w:val="00DF1825"/>
    <w:rsid w:val="00DF182D"/>
    <w:rsid w:val="00DF1E2D"/>
    <w:rsid w:val="00DF2F8D"/>
    <w:rsid w:val="00DF3121"/>
    <w:rsid w:val="00DF351D"/>
    <w:rsid w:val="00DF3855"/>
    <w:rsid w:val="00DF389F"/>
    <w:rsid w:val="00DF39BA"/>
    <w:rsid w:val="00DF4200"/>
    <w:rsid w:val="00DF4F9E"/>
    <w:rsid w:val="00DF5BDC"/>
    <w:rsid w:val="00DF5CF5"/>
    <w:rsid w:val="00DF5D09"/>
    <w:rsid w:val="00DF691C"/>
    <w:rsid w:val="00DF6CD6"/>
    <w:rsid w:val="00DF712C"/>
    <w:rsid w:val="00DF7793"/>
    <w:rsid w:val="00DF77A5"/>
    <w:rsid w:val="00DF7F62"/>
    <w:rsid w:val="00E00093"/>
    <w:rsid w:val="00E007BC"/>
    <w:rsid w:val="00E009BA"/>
    <w:rsid w:val="00E00D14"/>
    <w:rsid w:val="00E01165"/>
    <w:rsid w:val="00E01285"/>
    <w:rsid w:val="00E012C7"/>
    <w:rsid w:val="00E01722"/>
    <w:rsid w:val="00E0176D"/>
    <w:rsid w:val="00E01893"/>
    <w:rsid w:val="00E0211D"/>
    <w:rsid w:val="00E023BF"/>
    <w:rsid w:val="00E023DA"/>
    <w:rsid w:val="00E02D78"/>
    <w:rsid w:val="00E02F09"/>
    <w:rsid w:val="00E031D2"/>
    <w:rsid w:val="00E0326C"/>
    <w:rsid w:val="00E0347C"/>
    <w:rsid w:val="00E03580"/>
    <w:rsid w:val="00E03A76"/>
    <w:rsid w:val="00E04235"/>
    <w:rsid w:val="00E0463C"/>
    <w:rsid w:val="00E0497B"/>
    <w:rsid w:val="00E04C39"/>
    <w:rsid w:val="00E05E3C"/>
    <w:rsid w:val="00E05E8A"/>
    <w:rsid w:val="00E05FA0"/>
    <w:rsid w:val="00E05FA4"/>
    <w:rsid w:val="00E06A15"/>
    <w:rsid w:val="00E06A68"/>
    <w:rsid w:val="00E06AE9"/>
    <w:rsid w:val="00E0728B"/>
    <w:rsid w:val="00E07465"/>
    <w:rsid w:val="00E07C40"/>
    <w:rsid w:val="00E07CCB"/>
    <w:rsid w:val="00E07F01"/>
    <w:rsid w:val="00E097C5"/>
    <w:rsid w:val="00E10C80"/>
    <w:rsid w:val="00E115B8"/>
    <w:rsid w:val="00E1164A"/>
    <w:rsid w:val="00E119B3"/>
    <w:rsid w:val="00E12287"/>
    <w:rsid w:val="00E126C7"/>
    <w:rsid w:val="00E12A3C"/>
    <w:rsid w:val="00E12C23"/>
    <w:rsid w:val="00E131CF"/>
    <w:rsid w:val="00E13FA5"/>
    <w:rsid w:val="00E14070"/>
    <w:rsid w:val="00E1437C"/>
    <w:rsid w:val="00E149D6"/>
    <w:rsid w:val="00E14EBC"/>
    <w:rsid w:val="00E1548D"/>
    <w:rsid w:val="00E154DD"/>
    <w:rsid w:val="00E15A1C"/>
    <w:rsid w:val="00E15BEA"/>
    <w:rsid w:val="00E15E52"/>
    <w:rsid w:val="00E163C8"/>
    <w:rsid w:val="00E163D4"/>
    <w:rsid w:val="00E163D8"/>
    <w:rsid w:val="00E16666"/>
    <w:rsid w:val="00E16F9C"/>
    <w:rsid w:val="00E17130"/>
    <w:rsid w:val="00E17702"/>
    <w:rsid w:val="00E1786B"/>
    <w:rsid w:val="00E17905"/>
    <w:rsid w:val="00E17ED2"/>
    <w:rsid w:val="00E207D5"/>
    <w:rsid w:val="00E20A46"/>
    <w:rsid w:val="00E20B67"/>
    <w:rsid w:val="00E20C23"/>
    <w:rsid w:val="00E210DD"/>
    <w:rsid w:val="00E2161E"/>
    <w:rsid w:val="00E21639"/>
    <w:rsid w:val="00E22107"/>
    <w:rsid w:val="00E222DD"/>
    <w:rsid w:val="00E222FB"/>
    <w:rsid w:val="00E224F4"/>
    <w:rsid w:val="00E22DAE"/>
    <w:rsid w:val="00E237A6"/>
    <w:rsid w:val="00E238B1"/>
    <w:rsid w:val="00E23B88"/>
    <w:rsid w:val="00E242F0"/>
    <w:rsid w:val="00E248A6"/>
    <w:rsid w:val="00E24955"/>
    <w:rsid w:val="00E249AC"/>
    <w:rsid w:val="00E24A37"/>
    <w:rsid w:val="00E24DCE"/>
    <w:rsid w:val="00E25385"/>
    <w:rsid w:val="00E253B3"/>
    <w:rsid w:val="00E25C0B"/>
    <w:rsid w:val="00E25F4C"/>
    <w:rsid w:val="00E2616F"/>
    <w:rsid w:val="00E261D1"/>
    <w:rsid w:val="00E26878"/>
    <w:rsid w:val="00E2695C"/>
    <w:rsid w:val="00E269E4"/>
    <w:rsid w:val="00E26A3E"/>
    <w:rsid w:val="00E27536"/>
    <w:rsid w:val="00E2753F"/>
    <w:rsid w:val="00E277C9"/>
    <w:rsid w:val="00E27B7E"/>
    <w:rsid w:val="00E27CCA"/>
    <w:rsid w:val="00E3070E"/>
    <w:rsid w:val="00E30F1A"/>
    <w:rsid w:val="00E314B7"/>
    <w:rsid w:val="00E318E7"/>
    <w:rsid w:val="00E31A31"/>
    <w:rsid w:val="00E31B0B"/>
    <w:rsid w:val="00E31E48"/>
    <w:rsid w:val="00E32900"/>
    <w:rsid w:val="00E32911"/>
    <w:rsid w:val="00E32B0B"/>
    <w:rsid w:val="00E33043"/>
    <w:rsid w:val="00E33745"/>
    <w:rsid w:val="00E339DF"/>
    <w:rsid w:val="00E34569"/>
    <w:rsid w:val="00E34B33"/>
    <w:rsid w:val="00E35095"/>
    <w:rsid w:val="00E3533B"/>
    <w:rsid w:val="00E3556B"/>
    <w:rsid w:val="00E3556D"/>
    <w:rsid w:val="00E35687"/>
    <w:rsid w:val="00E356E1"/>
    <w:rsid w:val="00E357E6"/>
    <w:rsid w:val="00E35982"/>
    <w:rsid w:val="00E35D80"/>
    <w:rsid w:val="00E35E1A"/>
    <w:rsid w:val="00E35EAF"/>
    <w:rsid w:val="00E362FA"/>
    <w:rsid w:val="00E367D5"/>
    <w:rsid w:val="00E36916"/>
    <w:rsid w:val="00E36ABD"/>
    <w:rsid w:val="00E36AF0"/>
    <w:rsid w:val="00E36CF2"/>
    <w:rsid w:val="00E36CF6"/>
    <w:rsid w:val="00E36EA4"/>
    <w:rsid w:val="00E36EBC"/>
    <w:rsid w:val="00E372F3"/>
    <w:rsid w:val="00E37306"/>
    <w:rsid w:val="00E37647"/>
    <w:rsid w:val="00E3792B"/>
    <w:rsid w:val="00E37D4C"/>
    <w:rsid w:val="00E37DC0"/>
    <w:rsid w:val="00E40211"/>
    <w:rsid w:val="00E406F4"/>
    <w:rsid w:val="00E41427"/>
    <w:rsid w:val="00E41EA3"/>
    <w:rsid w:val="00E421BF"/>
    <w:rsid w:val="00E423DF"/>
    <w:rsid w:val="00E425BF"/>
    <w:rsid w:val="00E42736"/>
    <w:rsid w:val="00E42A74"/>
    <w:rsid w:val="00E42B44"/>
    <w:rsid w:val="00E434DC"/>
    <w:rsid w:val="00E43870"/>
    <w:rsid w:val="00E43AA6"/>
    <w:rsid w:val="00E43CC3"/>
    <w:rsid w:val="00E4404A"/>
    <w:rsid w:val="00E448B4"/>
    <w:rsid w:val="00E453C9"/>
    <w:rsid w:val="00E454E2"/>
    <w:rsid w:val="00E45834"/>
    <w:rsid w:val="00E45B35"/>
    <w:rsid w:val="00E45E7C"/>
    <w:rsid w:val="00E45F43"/>
    <w:rsid w:val="00E4620D"/>
    <w:rsid w:val="00E463AF"/>
    <w:rsid w:val="00E46598"/>
    <w:rsid w:val="00E468DC"/>
    <w:rsid w:val="00E46A4A"/>
    <w:rsid w:val="00E46ED0"/>
    <w:rsid w:val="00E47366"/>
    <w:rsid w:val="00E47B74"/>
    <w:rsid w:val="00E47DA4"/>
    <w:rsid w:val="00E47DE7"/>
    <w:rsid w:val="00E47F56"/>
    <w:rsid w:val="00E47F98"/>
    <w:rsid w:val="00E501B8"/>
    <w:rsid w:val="00E502C8"/>
    <w:rsid w:val="00E503A2"/>
    <w:rsid w:val="00E5056A"/>
    <w:rsid w:val="00E50FF0"/>
    <w:rsid w:val="00E513C4"/>
    <w:rsid w:val="00E517E1"/>
    <w:rsid w:val="00E51C87"/>
    <w:rsid w:val="00E51E77"/>
    <w:rsid w:val="00E521DE"/>
    <w:rsid w:val="00E52B76"/>
    <w:rsid w:val="00E52BD8"/>
    <w:rsid w:val="00E5300E"/>
    <w:rsid w:val="00E53999"/>
    <w:rsid w:val="00E53C15"/>
    <w:rsid w:val="00E54A11"/>
    <w:rsid w:val="00E54EFF"/>
    <w:rsid w:val="00E5530D"/>
    <w:rsid w:val="00E55C42"/>
    <w:rsid w:val="00E56DEF"/>
    <w:rsid w:val="00E56E27"/>
    <w:rsid w:val="00E5764A"/>
    <w:rsid w:val="00E579B7"/>
    <w:rsid w:val="00E57A00"/>
    <w:rsid w:val="00E57D4C"/>
    <w:rsid w:val="00E6013B"/>
    <w:rsid w:val="00E602DB"/>
    <w:rsid w:val="00E60EB0"/>
    <w:rsid w:val="00E61018"/>
    <w:rsid w:val="00E61069"/>
    <w:rsid w:val="00E618B3"/>
    <w:rsid w:val="00E61E9D"/>
    <w:rsid w:val="00E62146"/>
    <w:rsid w:val="00E623A7"/>
    <w:rsid w:val="00E627EB"/>
    <w:rsid w:val="00E62E27"/>
    <w:rsid w:val="00E63141"/>
    <w:rsid w:val="00E632BD"/>
    <w:rsid w:val="00E63716"/>
    <w:rsid w:val="00E637CB"/>
    <w:rsid w:val="00E63921"/>
    <w:rsid w:val="00E6400F"/>
    <w:rsid w:val="00E64199"/>
    <w:rsid w:val="00E644B0"/>
    <w:rsid w:val="00E644CC"/>
    <w:rsid w:val="00E64878"/>
    <w:rsid w:val="00E6493B"/>
    <w:rsid w:val="00E649D4"/>
    <w:rsid w:val="00E64E48"/>
    <w:rsid w:val="00E64EAF"/>
    <w:rsid w:val="00E65501"/>
    <w:rsid w:val="00E6552F"/>
    <w:rsid w:val="00E65636"/>
    <w:rsid w:val="00E65C6F"/>
    <w:rsid w:val="00E66D06"/>
    <w:rsid w:val="00E6768D"/>
    <w:rsid w:val="00E70005"/>
    <w:rsid w:val="00E7034C"/>
    <w:rsid w:val="00E70936"/>
    <w:rsid w:val="00E70A43"/>
    <w:rsid w:val="00E70B44"/>
    <w:rsid w:val="00E70B49"/>
    <w:rsid w:val="00E70EDE"/>
    <w:rsid w:val="00E71276"/>
    <w:rsid w:val="00E718D4"/>
    <w:rsid w:val="00E71B28"/>
    <w:rsid w:val="00E71D73"/>
    <w:rsid w:val="00E72834"/>
    <w:rsid w:val="00E72E62"/>
    <w:rsid w:val="00E732BF"/>
    <w:rsid w:val="00E740E4"/>
    <w:rsid w:val="00E746A5"/>
    <w:rsid w:val="00E746CA"/>
    <w:rsid w:val="00E753A2"/>
    <w:rsid w:val="00E75602"/>
    <w:rsid w:val="00E75A89"/>
    <w:rsid w:val="00E75A92"/>
    <w:rsid w:val="00E761F1"/>
    <w:rsid w:val="00E7638D"/>
    <w:rsid w:val="00E76506"/>
    <w:rsid w:val="00E765F2"/>
    <w:rsid w:val="00E7694F"/>
    <w:rsid w:val="00E76BB9"/>
    <w:rsid w:val="00E76D41"/>
    <w:rsid w:val="00E76E8A"/>
    <w:rsid w:val="00E77163"/>
    <w:rsid w:val="00E77384"/>
    <w:rsid w:val="00E77441"/>
    <w:rsid w:val="00E77B85"/>
    <w:rsid w:val="00E77C82"/>
    <w:rsid w:val="00E77FA7"/>
    <w:rsid w:val="00E803B3"/>
    <w:rsid w:val="00E80A26"/>
    <w:rsid w:val="00E80C41"/>
    <w:rsid w:val="00E80C73"/>
    <w:rsid w:val="00E8126F"/>
    <w:rsid w:val="00E814FB"/>
    <w:rsid w:val="00E82690"/>
    <w:rsid w:val="00E82774"/>
    <w:rsid w:val="00E82908"/>
    <w:rsid w:val="00E82A02"/>
    <w:rsid w:val="00E83A8E"/>
    <w:rsid w:val="00E83BE4"/>
    <w:rsid w:val="00E83C59"/>
    <w:rsid w:val="00E840B4"/>
    <w:rsid w:val="00E84A79"/>
    <w:rsid w:val="00E84D8E"/>
    <w:rsid w:val="00E84F06"/>
    <w:rsid w:val="00E856AB"/>
    <w:rsid w:val="00E856B5"/>
    <w:rsid w:val="00E858E6"/>
    <w:rsid w:val="00E85E8C"/>
    <w:rsid w:val="00E86AE3"/>
    <w:rsid w:val="00E86D7C"/>
    <w:rsid w:val="00E86E6B"/>
    <w:rsid w:val="00E872B0"/>
    <w:rsid w:val="00E87C80"/>
    <w:rsid w:val="00E87CB7"/>
    <w:rsid w:val="00E87E9A"/>
    <w:rsid w:val="00E90407"/>
    <w:rsid w:val="00E90895"/>
    <w:rsid w:val="00E90981"/>
    <w:rsid w:val="00E90B49"/>
    <w:rsid w:val="00E90CC3"/>
    <w:rsid w:val="00E90E0E"/>
    <w:rsid w:val="00E90FD5"/>
    <w:rsid w:val="00E91032"/>
    <w:rsid w:val="00E911C6"/>
    <w:rsid w:val="00E9157F"/>
    <w:rsid w:val="00E91811"/>
    <w:rsid w:val="00E91B07"/>
    <w:rsid w:val="00E91C73"/>
    <w:rsid w:val="00E9211C"/>
    <w:rsid w:val="00E92551"/>
    <w:rsid w:val="00E926CE"/>
    <w:rsid w:val="00E92844"/>
    <w:rsid w:val="00E92D1C"/>
    <w:rsid w:val="00E92DFF"/>
    <w:rsid w:val="00E92E59"/>
    <w:rsid w:val="00E93044"/>
    <w:rsid w:val="00E93089"/>
    <w:rsid w:val="00E93935"/>
    <w:rsid w:val="00E93A4A"/>
    <w:rsid w:val="00E93B42"/>
    <w:rsid w:val="00E94180"/>
    <w:rsid w:val="00E9436C"/>
    <w:rsid w:val="00E94789"/>
    <w:rsid w:val="00E94FCB"/>
    <w:rsid w:val="00E9516C"/>
    <w:rsid w:val="00E951AA"/>
    <w:rsid w:val="00E953D6"/>
    <w:rsid w:val="00E953E0"/>
    <w:rsid w:val="00E958E3"/>
    <w:rsid w:val="00E962A8"/>
    <w:rsid w:val="00E96B8C"/>
    <w:rsid w:val="00E96E96"/>
    <w:rsid w:val="00E978AC"/>
    <w:rsid w:val="00E97902"/>
    <w:rsid w:val="00E97ED3"/>
    <w:rsid w:val="00EA02C3"/>
    <w:rsid w:val="00EA03A2"/>
    <w:rsid w:val="00EA04BC"/>
    <w:rsid w:val="00EA0EE5"/>
    <w:rsid w:val="00EA11EC"/>
    <w:rsid w:val="00EA18F8"/>
    <w:rsid w:val="00EA1B78"/>
    <w:rsid w:val="00EA259E"/>
    <w:rsid w:val="00EA277C"/>
    <w:rsid w:val="00EA2B4A"/>
    <w:rsid w:val="00EA2BB9"/>
    <w:rsid w:val="00EA2E77"/>
    <w:rsid w:val="00EA3560"/>
    <w:rsid w:val="00EA372B"/>
    <w:rsid w:val="00EA37A7"/>
    <w:rsid w:val="00EA3A73"/>
    <w:rsid w:val="00EA3B9E"/>
    <w:rsid w:val="00EA4145"/>
    <w:rsid w:val="00EA41AF"/>
    <w:rsid w:val="00EA4A21"/>
    <w:rsid w:val="00EA4E02"/>
    <w:rsid w:val="00EA4E70"/>
    <w:rsid w:val="00EA4FB5"/>
    <w:rsid w:val="00EA5075"/>
    <w:rsid w:val="00EA53AB"/>
    <w:rsid w:val="00EA558C"/>
    <w:rsid w:val="00EA56E0"/>
    <w:rsid w:val="00EA57D3"/>
    <w:rsid w:val="00EA5852"/>
    <w:rsid w:val="00EA68E9"/>
    <w:rsid w:val="00EA71D8"/>
    <w:rsid w:val="00EA7F56"/>
    <w:rsid w:val="00EB0AF6"/>
    <w:rsid w:val="00EB11D6"/>
    <w:rsid w:val="00EB1798"/>
    <w:rsid w:val="00EB18DA"/>
    <w:rsid w:val="00EB197A"/>
    <w:rsid w:val="00EB2424"/>
    <w:rsid w:val="00EB2D14"/>
    <w:rsid w:val="00EB2FFC"/>
    <w:rsid w:val="00EB30D9"/>
    <w:rsid w:val="00EB35E3"/>
    <w:rsid w:val="00EB37C6"/>
    <w:rsid w:val="00EB396A"/>
    <w:rsid w:val="00EB3B11"/>
    <w:rsid w:val="00EB3B36"/>
    <w:rsid w:val="00EB40BE"/>
    <w:rsid w:val="00EB4379"/>
    <w:rsid w:val="00EB45C7"/>
    <w:rsid w:val="00EB4A9E"/>
    <w:rsid w:val="00EB4C65"/>
    <w:rsid w:val="00EB4E9C"/>
    <w:rsid w:val="00EB5209"/>
    <w:rsid w:val="00EB5262"/>
    <w:rsid w:val="00EB5379"/>
    <w:rsid w:val="00EB56D5"/>
    <w:rsid w:val="00EB5D77"/>
    <w:rsid w:val="00EB6059"/>
    <w:rsid w:val="00EB6074"/>
    <w:rsid w:val="00EB6582"/>
    <w:rsid w:val="00EB6A84"/>
    <w:rsid w:val="00EB6DEE"/>
    <w:rsid w:val="00EB6FDC"/>
    <w:rsid w:val="00EB735B"/>
    <w:rsid w:val="00EB769F"/>
    <w:rsid w:val="00EB782D"/>
    <w:rsid w:val="00EB7906"/>
    <w:rsid w:val="00EB7BA7"/>
    <w:rsid w:val="00EC01E6"/>
    <w:rsid w:val="00EC0219"/>
    <w:rsid w:val="00EC0B8B"/>
    <w:rsid w:val="00EC1489"/>
    <w:rsid w:val="00EC171F"/>
    <w:rsid w:val="00EC1B0F"/>
    <w:rsid w:val="00EC21EF"/>
    <w:rsid w:val="00EC24B7"/>
    <w:rsid w:val="00EC292E"/>
    <w:rsid w:val="00EC2ACE"/>
    <w:rsid w:val="00EC3434"/>
    <w:rsid w:val="00EC34DF"/>
    <w:rsid w:val="00EC3538"/>
    <w:rsid w:val="00EC3768"/>
    <w:rsid w:val="00EC3D48"/>
    <w:rsid w:val="00EC4366"/>
    <w:rsid w:val="00EC4B85"/>
    <w:rsid w:val="00EC4C30"/>
    <w:rsid w:val="00EC50AD"/>
    <w:rsid w:val="00EC53B5"/>
    <w:rsid w:val="00EC580B"/>
    <w:rsid w:val="00EC5810"/>
    <w:rsid w:val="00EC6243"/>
    <w:rsid w:val="00EC62DE"/>
    <w:rsid w:val="00EC67EA"/>
    <w:rsid w:val="00EC7134"/>
    <w:rsid w:val="00EC72A7"/>
    <w:rsid w:val="00EC7C61"/>
    <w:rsid w:val="00ED01AD"/>
    <w:rsid w:val="00ED0697"/>
    <w:rsid w:val="00ED0876"/>
    <w:rsid w:val="00ED0A2C"/>
    <w:rsid w:val="00ED0B92"/>
    <w:rsid w:val="00ED16D2"/>
    <w:rsid w:val="00ED1A82"/>
    <w:rsid w:val="00ED1AFD"/>
    <w:rsid w:val="00ED1E7A"/>
    <w:rsid w:val="00ED1F8B"/>
    <w:rsid w:val="00ED249D"/>
    <w:rsid w:val="00ED301C"/>
    <w:rsid w:val="00ED3269"/>
    <w:rsid w:val="00ED32E0"/>
    <w:rsid w:val="00ED34CB"/>
    <w:rsid w:val="00ED35A8"/>
    <w:rsid w:val="00ED3866"/>
    <w:rsid w:val="00ED38BF"/>
    <w:rsid w:val="00ED3ACD"/>
    <w:rsid w:val="00ED459A"/>
    <w:rsid w:val="00ED4C68"/>
    <w:rsid w:val="00ED4CC6"/>
    <w:rsid w:val="00ED4FE8"/>
    <w:rsid w:val="00ED555C"/>
    <w:rsid w:val="00ED5692"/>
    <w:rsid w:val="00ED59CC"/>
    <w:rsid w:val="00ED5A0C"/>
    <w:rsid w:val="00ED6062"/>
    <w:rsid w:val="00ED60A4"/>
    <w:rsid w:val="00ED64F4"/>
    <w:rsid w:val="00ED65C0"/>
    <w:rsid w:val="00ED7FA5"/>
    <w:rsid w:val="00EE1308"/>
    <w:rsid w:val="00EE1C2D"/>
    <w:rsid w:val="00EE1C4E"/>
    <w:rsid w:val="00EE1F12"/>
    <w:rsid w:val="00EE24A7"/>
    <w:rsid w:val="00EE25B8"/>
    <w:rsid w:val="00EE4320"/>
    <w:rsid w:val="00EE4622"/>
    <w:rsid w:val="00EE470B"/>
    <w:rsid w:val="00EE47B4"/>
    <w:rsid w:val="00EE4850"/>
    <w:rsid w:val="00EE4B9C"/>
    <w:rsid w:val="00EE4C7A"/>
    <w:rsid w:val="00EE4CE6"/>
    <w:rsid w:val="00EE5222"/>
    <w:rsid w:val="00EE5473"/>
    <w:rsid w:val="00EE59EF"/>
    <w:rsid w:val="00EE5D53"/>
    <w:rsid w:val="00EE5DC6"/>
    <w:rsid w:val="00EE5E8A"/>
    <w:rsid w:val="00EE6032"/>
    <w:rsid w:val="00EE62C8"/>
    <w:rsid w:val="00EE649A"/>
    <w:rsid w:val="00EE6A73"/>
    <w:rsid w:val="00EE71CA"/>
    <w:rsid w:val="00EE72F6"/>
    <w:rsid w:val="00EE73EE"/>
    <w:rsid w:val="00EE7428"/>
    <w:rsid w:val="00EE7963"/>
    <w:rsid w:val="00EF03D1"/>
    <w:rsid w:val="00EF050B"/>
    <w:rsid w:val="00EF138F"/>
    <w:rsid w:val="00EF1762"/>
    <w:rsid w:val="00EF1C6B"/>
    <w:rsid w:val="00EF1F0E"/>
    <w:rsid w:val="00EF2474"/>
    <w:rsid w:val="00EF2B4E"/>
    <w:rsid w:val="00EF34CD"/>
    <w:rsid w:val="00EF35C7"/>
    <w:rsid w:val="00EF36DB"/>
    <w:rsid w:val="00EF4479"/>
    <w:rsid w:val="00EF4604"/>
    <w:rsid w:val="00EF4816"/>
    <w:rsid w:val="00EF490A"/>
    <w:rsid w:val="00EF4B54"/>
    <w:rsid w:val="00EF5139"/>
    <w:rsid w:val="00EF55BE"/>
    <w:rsid w:val="00EF589A"/>
    <w:rsid w:val="00EF595D"/>
    <w:rsid w:val="00EF5C7A"/>
    <w:rsid w:val="00EF63B4"/>
    <w:rsid w:val="00EF6518"/>
    <w:rsid w:val="00EF6FD4"/>
    <w:rsid w:val="00EF73D1"/>
    <w:rsid w:val="00F0047B"/>
    <w:rsid w:val="00F009B1"/>
    <w:rsid w:val="00F00D86"/>
    <w:rsid w:val="00F0154B"/>
    <w:rsid w:val="00F01787"/>
    <w:rsid w:val="00F01BD5"/>
    <w:rsid w:val="00F01C76"/>
    <w:rsid w:val="00F01EE1"/>
    <w:rsid w:val="00F02772"/>
    <w:rsid w:val="00F02BC1"/>
    <w:rsid w:val="00F0303C"/>
    <w:rsid w:val="00F03073"/>
    <w:rsid w:val="00F03920"/>
    <w:rsid w:val="00F039D8"/>
    <w:rsid w:val="00F03E88"/>
    <w:rsid w:val="00F04604"/>
    <w:rsid w:val="00F046EB"/>
    <w:rsid w:val="00F05263"/>
    <w:rsid w:val="00F05321"/>
    <w:rsid w:val="00F053AD"/>
    <w:rsid w:val="00F055E3"/>
    <w:rsid w:val="00F056CE"/>
    <w:rsid w:val="00F05A63"/>
    <w:rsid w:val="00F05F18"/>
    <w:rsid w:val="00F0600D"/>
    <w:rsid w:val="00F06151"/>
    <w:rsid w:val="00F06B1C"/>
    <w:rsid w:val="00F0723C"/>
    <w:rsid w:val="00F07380"/>
    <w:rsid w:val="00F0739C"/>
    <w:rsid w:val="00F07521"/>
    <w:rsid w:val="00F07AB1"/>
    <w:rsid w:val="00F07E54"/>
    <w:rsid w:val="00F07F0B"/>
    <w:rsid w:val="00F10416"/>
    <w:rsid w:val="00F107D1"/>
    <w:rsid w:val="00F1098B"/>
    <w:rsid w:val="00F11313"/>
    <w:rsid w:val="00F11603"/>
    <w:rsid w:val="00F11B41"/>
    <w:rsid w:val="00F11E77"/>
    <w:rsid w:val="00F123DC"/>
    <w:rsid w:val="00F125B8"/>
    <w:rsid w:val="00F12AC5"/>
    <w:rsid w:val="00F12CEB"/>
    <w:rsid w:val="00F12DF5"/>
    <w:rsid w:val="00F1366A"/>
    <w:rsid w:val="00F13DC2"/>
    <w:rsid w:val="00F14013"/>
    <w:rsid w:val="00F14052"/>
    <w:rsid w:val="00F14112"/>
    <w:rsid w:val="00F143D3"/>
    <w:rsid w:val="00F1473B"/>
    <w:rsid w:val="00F1484E"/>
    <w:rsid w:val="00F149CF"/>
    <w:rsid w:val="00F14A6C"/>
    <w:rsid w:val="00F14B4E"/>
    <w:rsid w:val="00F14CC6"/>
    <w:rsid w:val="00F15217"/>
    <w:rsid w:val="00F1542C"/>
    <w:rsid w:val="00F15C53"/>
    <w:rsid w:val="00F15EEA"/>
    <w:rsid w:val="00F15F15"/>
    <w:rsid w:val="00F17657"/>
    <w:rsid w:val="00F178DA"/>
    <w:rsid w:val="00F17923"/>
    <w:rsid w:val="00F17AA0"/>
    <w:rsid w:val="00F20425"/>
    <w:rsid w:val="00F205EB"/>
    <w:rsid w:val="00F2068A"/>
    <w:rsid w:val="00F2137A"/>
    <w:rsid w:val="00F21DC6"/>
    <w:rsid w:val="00F21E8E"/>
    <w:rsid w:val="00F2210E"/>
    <w:rsid w:val="00F22182"/>
    <w:rsid w:val="00F2352A"/>
    <w:rsid w:val="00F238BA"/>
    <w:rsid w:val="00F23B99"/>
    <w:rsid w:val="00F249EF"/>
    <w:rsid w:val="00F24EEB"/>
    <w:rsid w:val="00F25382"/>
    <w:rsid w:val="00F255BA"/>
    <w:rsid w:val="00F256EF"/>
    <w:rsid w:val="00F258E8"/>
    <w:rsid w:val="00F25925"/>
    <w:rsid w:val="00F25B00"/>
    <w:rsid w:val="00F25D50"/>
    <w:rsid w:val="00F25D52"/>
    <w:rsid w:val="00F2650B"/>
    <w:rsid w:val="00F267DB"/>
    <w:rsid w:val="00F26929"/>
    <w:rsid w:val="00F26987"/>
    <w:rsid w:val="00F26A47"/>
    <w:rsid w:val="00F275DB"/>
    <w:rsid w:val="00F276C5"/>
    <w:rsid w:val="00F278DF"/>
    <w:rsid w:val="00F3001B"/>
    <w:rsid w:val="00F3057D"/>
    <w:rsid w:val="00F305D7"/>
    <w:rsid w:val="00F31659"/>
    <w:rsid w:val="00F321FF"/>
    <w:rsid w:val="00F32690"/>
    <w:rsid w:val="00F327F3"/>
    <w:rsid w:val="00F32B21"/>
    <w:rsid w:val="00F32C75"/>
    <w:rsid w:val="00F33CD6"/>
    <w:rsid w:val="00F33D50"/>
    <w:rsid w:val="00F341E1"/>
    <w:rsid w:val="00F341F5"/>
    <w:rsid w:val="00F36928"/>
    <w:rsid w:val="00F37AA0"/>
    <w:rsid w:val="00F37D09"/>
    <w:rsid w:val="00F37FF7"/>
    <w:rsid w:val="00F40425"/>
    <w:rsid w:val="00F4044B"/>
    <w:rsid w:val="00F404C9"/>
    <w:rsid w:val="00F4050E"/>
    <w:rsid w:val="00F40A50"/>
    <w:rsid w:val="00F40CE1"/>
    <w:rsid w:val="00F40CFA"/>
    <w:rsid w:val="00F41C1A"/>
    <w:rsid w:val="00F41E7B"/>
    <w:rsid w:val="00F41EF4"/>
    <w:rsid w:val="00F41F85"/>
    <w:rsid w:val="00F4218E"/>
    <w:rsid w:val="00F421D6"/>
    <w:rsid w:val="00F422A3"/>
    <w:rsid w:val="00F426E9"/>
    <w:rsid w:val="00F427D9"/>
    <w:rsid w:val="00F428E7"/>
    <w:rsid w:val="00F42CC8"/>
    <w:rsid w:val="00F430E4"/>
    <w:rsid w:val="00F43635"/>
    <w:rsid w:val="00F43A7D"/>
    <w:rsid w:val="00F4401D"/>
    <w:rsid w:val="00F440B3"/>
    <w:rsid w:val="00F4464D"/>
    <w:rsid w:val="00F44AA5"/>
    <w:rsid w:val="00F44CDF"/>
    <w:rsid w:val="00F458CE"/>
    <w:rsid w:val="00F47317"/>
    <w:rsid w:val="00F47753"/>
    <w:rsid w:val="00F47C17"/>
    <w:rsid w:val="00F47F81"/>
    <w:rsid w:val="00F51029"/>
    <w:rsid w:val="00F51150"/>
    <w:rsid w:val="00F513EE"/>
    <w:rsid w:val="00F51872"/>
    <w:rsid w:val="00F521C4"/>
    <w:rsid w:val="00F52A6A"/>
    <w:rsid w:val="00F52DFD"/>
    <w:rsid w:val="00F53597"/>
    <w:rsid w:val="00F53C33"/>
    <w:rsid w:val="00F54051"/>
    <w:rsid w:val="00F543FF"/>
    <w:rsid w:val="00F54CB6"/>
    <w:rsid w:val="00F54D5E"/>
    <w:rsid w:val="00F54F63"/>
    <w:rsid w:val="00F55128"/>
    <w:rsid w:val="00F558D1"/>
    <w:rsid w:val="00F563A6"/>
    <w:rsid w:val="00F56E23"/>
    <w:rsid w:val="00F57580"/>
    <w:rsid w:val="00F576CE"/>
    <w:rsid w:val="00F579A7"/>
    <w:rsid w:val="00F57D52"/>
    <w:rsid w:val="00F57D97"/>
    <w:rsid w:val="00F57E29"/>
    <w:rsid w:val="00F601DD"/>
    <w:rsid w:val="00F60FF2"/>
    <w:rsid w:val="00F6195F"/>
    <w:rsid w:val="00F61E1F"/>
    <w:rsid w:val="00F62053"/>
    <w:rsid w:val="00F623FE"/>
    <w:rsid w:val="00F62916"/>
    <w:rsid w:val="00F630E3"/>
    <w:rsid w:val="00F634E4"/>
    <w:rsid w:val="00F63AE9"/>
    <w:rsid w:val="00F63B61"/>
    <w:rsid w:val="00F63CA6"/>
    <w:rsid w:val="00F64630"/>
    <w:rsid w:val="00F64670"/>
    <w:rsid w:val="00F64C63"/>
    <w:rsid w:val="00F659E1"/>
    <w:rsid w:val="00F66078"/>
    <w:rsid w:val="00F662BB"/>
    <w:rsid w:val="00F6699E"/>
    <w:rsid w:val="00F66A73"/>
    <w:rsid w:val="00F66AC3"/>
    <w:rsid w:val="00F66E1B"/>
    <w:rsid w:val="00F66F73"/>
    <w:rsid w:val="00F67046"/>
    <w:rsid w:val="00F67130"/>
    <w:rsid w:val="00F6730F"/>
    <w:rsid w:val="00F675A0"/>
    <w:rsid w:val="00F675FF"/>
    <w:rsid w:val="00F67A45"/>
    <w:rsid w:val="00F67A64"/>
    <w:rsid w:val="00F67AE4"/>
    <w:rsid w:val="00F67B04"/>
    <w:rsid w:val="00F67FF8"/>
    <w:rsid w:val="00F704A3"/>
    <w:rsid w:val="00F705B4"/>
    <w:rsid w:val="00F70981"/>
    <w:rsid w:val="00F70B13"/>
    <w:rsid w:val="00F70C40"/>
    <w:rsid w:val="00F70D5A"/>
    <w:rsid w:val="00F70D70"/>
    <w:rsid w:val="00F70E1B"/>
    <w:rsid w:val="00F71461"/>
    <w:rsid w:val="00F714C6"/>
    <w:rsid w:val="00F72E14"/>
    <w:rsid w:val="00F72E49"/>
    <w:rsid w:val="00F73024"/>
    <w:rsid w:val="00F7391A"/>
    <w:rsid w:val="00F73A52"/>
    <w:rsid w:val="00F73B7C"/>
    <w:rsid w:val="00F747CD"/>
    <w:rsid w:val="00F74CF5"/>
    <w:rsid w:val="00F753E6"/>
    <w:rsid w:val="00F75697"/>
    <w:rsid w:val="00F75E3C"/>
    <w:rsid w:val="00F764EC"/>
    <w:rsid w:val="00F765B8"/>
    <w:rsid w:val="00F767A8"/>
    <w:rsid w:val="00F76877"/>
    <w:rsid w:val="00F7687D"/>
    <w:rsid w:val="00F76EE2"/>
    <w:rsid w:val="00F770F5"/>
    <w:rsid w:val="00F77D95"/>
    <w:rsid w:val="00F8025E"/>
    <w:rsid w:val="00F80373"/>
    <w:rsid w:val="00F8073F"/>
    <w:rsid w:val="00F81036"/>
    <w:rsid w:val="00F8110A"/>
    <w:rsid w:val="00F814F8"/>
    <w:rsid w:val="00F82402"/>
    <w:rsid w:val="00F82848"/>
    <w:rsid w:val="00F82FCC"/>
    <w:rsid w:val="00F8311F"/>
    <w:rsid w:val="00F83196"/>
    <w:rsid w:val="00F8327B"/>
    <w:rsid w:val="00F83483"/>
    <w:rsid w:val="00F836D7"/>
    <w:rsid w:val="00F837D3"/>
    <w:rsid w:val="00F83867"/>
    <w:rsid w:val="00F838E4"/>
    <w:rsid w:val="00F83DB4"/>
    <w:rsid w:val="00F842D8"/>
    <w:rsid w:val="00F84528"/>
    <w:rsid w:val="00F84E4B"/>
    <w:rsid w:val="00F84F23"/>
    <w:rsid w:val="00F8572A"/>
    <w:rsid w:val="00F85F14"/>
    <w:rsid w:val="00F85FDB"/>
    <w:rsid w:val="00F862A9"/>
    <w:rsid w:val="00F8640C"/>
    <w:rsid w:val="00F86700"/>
    <w:rsid w:val="00F87586"/>
    <w:rsid w:val="00F876D1"/>
    <w:rsid w:val="00F87982"/>
    <w:rsid w:val="00F87C46"/>
    <w:rsid w:val="00F87CBD"/>
    <w:rsid w:val="00F9032F"/>
    <w:rsid w:val="00F9035E"/>
    <w:rsid w:val="00F904DD"/>
    <w:rsid w:val="00F905A0"/>
    <w:rsid w:val="00F907C8"/>
    <w:rsid w:val="00F90B38"/>
    <w:rsid w:val="00F91064"/>
    <w:rsid w:val="00F91649"/>
    <w:rsid w:val="00F91B8C"/>
    <w:rsid w:val="00F921D5"/>
    <w:rsid w:val="00F9263E"/>
    <w:rsid w:val="00F929F8"/>
    <w:rsid w:val="00F92BAA"/>
    <w:rsid w:val="00F92C41"/>
    <w:rsid w:val="00F9300F"/>
    <w:rsid w:val="00F9319E"/>
    <w:rsid w:val="00F93376"/>
    <w:rsid w:val="00F939BA"/>
    <w:rsid w:val="00F939C7"/>
    <w:rsid w:val="00F9479D"/>
    <w:rsid w:val="00F94984"/>
    <w:rsid w:val="00F957C6"/>
    <w:rsid w:val="00F95E91"/>
    <w:rsid w:val="00F96CF3"/>
    <w:rsid w:val="00F9788C"/>
    <w:rsid w:val="00F97975"/>
    <w:rsid w:val="00F97A81"/>
    <w:rsid w:val="00F97C44"/>
    <w:rsid w:val="00FA01C4"/>
    <w:rsid w:val="00FA0D20"/>
    <w:rsid w:val="00FA1133"/>
    <w:rsid w:val="00FA1A09"/>
    <w:rsid w:val="00FA1A81"/>
    <w:rsid w:val="00FA2A97"/>
    <w:rsid w:val="00FA3915"/>
    <w:rsid w:val="00FA3F80"/>
    <w:rsid w:val="00FA4078"/>
    <w:rsid w:val="00FA49E1"/>
    <w:rsid w:val="00FA4D97"/>
    <w:rsid w:val="00FA4F1F"/>
    <w:rsid w:val="00FA4F25"/>
    <w:rsid w:val="00FA508C"/>
    <w:rsid w:val="00FA5792"/>
    <w:rsid w:val="00FA59DA"/>
    <w:rsid w:val="00FA5A7B"/>
    <w:rsid w:val="00FA5B6E"/>
    <w:rsid w:val="00FA5EDF"/>
    <w:rsid w:val="00FA6003"/>
    <w:rsid w:val="00FA6C8B"/>
    <w:rsid w:val="00FA7384"/>
    <w:rsid w:val="00FA73C4"/>
    <w:rsid w:val="00FA7494"/>
    <w:rsid w:val="00FA765B"/>
    <w:rsid w:val="00FA772D"/>
    <w:rsid w:val="00FB0194"/>
    <w:rsid w:val="00FB03AD"/>
    <w:rsid w:val="00FB068E"/>
    <w:rsid w:val="00FB06DC"/>
    <w:rsid w:val="00FB083E"/>
    <w:rsid w:val="00FB09DD"/>
    <w:rsid w:val="00FB12B6"/>
    <w:rsid w:val="00FB133A"/>
    <w:rsid w:val="00FB25BA"/>
    <w:rsid w:val="00FB26AB"/>
    <w:rsid w:val="00FB2DC4"/>
    <w:rsid w:val="00FB307C"/>
    <w:rsid w:val="00FB33B3"/>
    <w:rsid w:val="00FB3ACF"/>
    <w:rsid w:val="00FB52C1"/>
    <w:rsid w:val="00FB5599"/>
    <w:rsid w:val="00FB5806"/>
    <w:rsid w:val="00FB5BA3"/>
    <w:rsid w:val="00FB6355"/>
    <w:rsid w:val="00FB713C"/>
    <w:rsid w:val="00FB75C0"/>
    <w:rsid w:val="00FB7C35"/>
    <w:rsid w:val="00FB7CD4"/>
    <w:rsid w:val="00FC0090"/>
    <w:rsid w:val="00FC02F0"/>
    <w:rsid w:val="00FC03E3"/>
    <w:rsid w:val="00FC04CD"/>
    <w:rsid w:val="00FC056C"/>
    <w:rsid w:val="00FC0586"/>
    <w:rsid w:val="00FC0ACF"/>
    <w:rsid w:val="00FC1DC3"/>
    <w:rsid w:val="00FC1E1F"/>
    <w:rsid w:val="00FC256C"/>
    <w:rsid w:val="00FC28BE"/>
    <w:rsid w:val="00FC2A69"/>
    <w:rsid w:val="00FC2D97"/>
    <w:rsid w:val="00FC2E2D"/>
    <w:rsid w:val="00FC2E8E"/>
    <w:rsid w:val="00FC37CC"/>
    <w:rsid w:val="00FC391D"/>
    <w:rsid w:val="00FC3EAB"/>
    <w:rsid w:val="00FC40A0"/>
    <w:rsid w:val="00FC4ABE"/>
    <w:rsid w:val="00FC4CB1"/>
    <w:rsid w:val="00FC4D29"/>
    <w:rsid w:val="00FC529F"/>
    <w:rsid w:val="00FC53A8"/>
    <w:rsid w:val="00FC5493"/>
    <w:rsid w:val="00FC6471"/>
    <w:rsid w:val="00FC6574"/>
    <w:rsid w:val="00FC65D4"/>
    <w:rsid w:val="00FC6634"/>
    <w:rsid w:val="00FC6890"/>
    <w:rsid w:val="00FC6914"/>
    <w:rsid w:val="00FC6F02"/>
    <w:rsid w:val="00FC7488"/>
    <w:rsid w:val="00FC7BD7"/>
    <w:rsid w:val="00FC7D6C"/>
    <w:rsid w:val="00FC7F26"/>
    <w:rsid w:val="00FD05E7"/>
    <w:rsid w:val="00FD0E08"/>
    <w:rsid w:val="00FD0EFE"/>
    <w:rsid w:val="00FD1016"/>
    <w:rsid w:val="00FD11C5"/>
    <w:rsid w:val="00FD173E"/>
    <w:rsid w:val="00FD1990"/>
    <w:rsid w:val="00FD1DC5"/>
    <w:rsid w:val="00FD1EF2"/>
    <w:rsid w:val="00FD20A5"/>
    <w:rsid w:val="00FD21BD"/>
    <w:rsid w:val="00FD260C"/>
    <w:rsid w:val="00FD29AF"/>
    <w:rsid w:val="00FD2C22"/>
    <w:rsid w:val="00FD2C76"/>
    <w:rsid w:val="00FD3454"/>
    <w:rsid w:val="00FD380D"/>
    <w:rsid w:val="00FD3B7D"/>
    <w:rsid w:val="00FD4177"/>
    <w:rsid w:val="00FD42FC"/>
    <w:rsid w:val="00FD44D9"/>
    <w:rsid w:val="00FD46F3"/>
    <w:rsid w:val="00FD4E2F"/>
    <w:rsid w:val="00FD509E"/>
    <w:rsid w:val="00FD550A"/>
    <w:rsid w:val="00FD553D"/>
    <w:rsid w:val="00FD55B6"/>
    <w:rsid w:val="00FD5C4B"/>
    <w:rsid w:val="00FD5C79"/>
    <w:rsid w:val="00FD5F76"/>
    <w:rsid w:val="00FD6375"/>
    <w:rsid w:val="00FD6624"/>
    <w:rsid w:val="00FD6C45"/>
    <w:rsid w:val="00FD71B6"/>
    <w:rsid w:val="00FD7270"/>
    <w:rsid w:val="00FD7A3D"/>
    <w:rsid w:val="00FD7E0C"/>
    <w:rsid w:val="00FE0F76"/>
    <w:rsid w:val="00FE15C8"/>
    <w:rsid w:val="00FE1699"/>
    <w:rsid w:val="00FE17EB"/>
    <w:rsid w:val="00FE1860"/>
    <w:rsid w:val="00FE1993"/>
    <w:rsid w:val="00FE1A0A"/>
    <w:rsid w:val="00FE2110"/>
    <w:rsid w:val="00FE2C15"/>
    <w:rsid w:val="00FE2C7F"/>
    <w:rsid w:val="00FE39D1"/>
    <w:rsid w:val="00FE3E86"/>
    <w:rsid w:val="00FE4017"/>
    <w:rsid w:val="00FE4141"/>
    <w:rsid w:val="00FE481C"/>
    <w:rsid w:val="00FE4925"/>
    <w:rsid w:val="00FE4D40"/>
    <w:rsid w:val="00FE4E57"/>
    <w:rsid w:val="00FE55F0"/>
    <w:rsid w:val="00FE5719"/>
    <w:rsid w:val="00FE5BF3"/>
    <w:rsid w:val="00FE64EF"/>
    <w:rsid w:val="00FE67EE"/>
    <w:rsid w:val="00FE6863"/>
    <w:rsid w:val="00FE68A2"/>
    <w:rsid w:val="00FE6A89"/>
    <w:rsid w:val="00FE6E42"/>
    <w:rsid w:val="00FE7987"/>
    <w:rsid w:val="00FE7DA9"/>
    <w:rsid w:val="00FF023D"/>
    <w:rsid w:val="00FF05AB"/>
    <w:rsid w:val="00FF0D0A"/>
    <w:rsid w:val="00FF0D15"/>
    <w:rsid w:val="00FF1008"/>
    <w:rsid w:val="00FF1054"/>
    <w:rsid w:val="00FF17AC"/>
    <w:rsid w:val="00FF1A47"/>
    <w:rsid w:val="00FF1AD2"/>
    <w:rsid w:val="00FF1D0C"/>
    <w:rsid w:val="00FF212F"/>
    <w:rsid w:val="00FF2401"/>
    <w:rsid w:val="00FF241C"/>
    <w:rsid w:val="00FF2674"/>
    <w:rsid w:val="00FF2815"/>
    <w:rsid w:val="00FF2DA6"/>
    <w:rsid w:val="00FF2E3C"/>
    <w:rsid w:val="00FF3429"/>
    <w:rsid w:val="00FF40F8"/>
    <w:rsid w:val="00FF431C"/>
    <w:rsid w:val="00FF482A"/>
    <w:rsid w:val="00FF486C"/>
    <w:rsid w:val="00FF4BAE"/>
    <w:rsid w:val="00FF4C0F"/>
    <w:rsid w:val="00FF4DBC"/>
    <w:rsid w:val="00FF5090"/>
    <w:rsid w:val="00FF52D6"/>
    <w:rsid w:val="00FF5A4B"/>
    <w:rsid w:val="00FF5C1C"/>
    <w:rsid w:val="00FF5D7F"/>
    <w:rsid w:val="00FF5D81"/>
    <w:rsid w:val="00FF5E10"/>
    <w:rsid w:val="00FF5ECE"/>
    <w:rsid w:val="00FF5EFA"/>
    <w:rsid w:val="00FF62E5"/>
    <w:rsid w:val="00FF6371"/>
    <w:rsid w:val="00FF6456"/>
    <w:rsid w:val="00FF6D6E"/>
    <w:rsid w:val="00FF75BA"/>
    <w:rsid w:val="019B65FC"/>
    <w:rsid w:val="0355DE50"/>
    <w:rsid w:val="053BE8AA"/>
    <w:rsid w:val="05CCA525"/>
    <w:rsid w:val="05DD2973"/>
    <w:rsid w:val="068DF120"/>
    <w:rsid w:val="06A1E4A5"/>
    <w:rsid w:val="07FFB274"/>
    <w:rsid w:val="08152277"/>
    <w:rsid w:val="08268A12"/>
    <w:rsid w:val="08DC42B4"/>
    <w:rsid w:val="0961DB71"/>
    <w:rsid w:val="0AB0C7A1"/>
    <w:rsid w:val="0B5B1506"/>
    <w:rsid w:val="0CD992D8"/>
    <w:rsid w:val="0D3A1D85"/>
    <w:rsid w:val="0D4577C6"/>
    <w:rsid w:val="0D723B93"/>
    <w:rsid w:val="0DC72355"/>
    <w:rsid w:val="0E3B1E27"/>
    <w:rsid w:val="0E6D9435"/>
    <w:rsid w:val="0F316BAE"/>
    <w:rsid w:val="103ABC3E"/>
    <w:rsid w:val="12027EEC"/>
    <w:rsid w:val="1251B77E"/>
    <w:rsid w:val="12994C26"/>
    <w:rsid w:val="136FB0B9"/>
    <w:rsid w:val="140061ED"/>
    <w:rsid w:val="15357B02"/>
    <w:rsid w:val="157B19F6"/>
    <w:rsid w:val="16C7C086"/>
    <w:rsid w:val="17A39006"/>
    <w:rsid w:val="17CA97D5"/>
    <w:rsid w:val="17DF37D0"/>
    <w:rsid w:val="18B680CB"/>
    <w:rsid w:val="195C9846"/>
    <w:rsid w:val="1ACB26AC"/>
    <w:rsid w:val="1B1495D5"/>
    <w:rsid w:val="1C50F45D"/>
    <w:rsid w:val="1C581BE6"/>
    <w:rsid w:val="1D5662CA"/>
    <w:rsid w:val="1D83EB79"/>
    <w:rsid w:val="1DBAD551"/>
    <w:rsid w:val="1E8B2979"/>
    <w:rsid w:val="205952AB"/>
    <w:rsid w:val="219CFDA4"/>
    <w:rsid w:val="22CAAD1C"/>
    <w:rsid w:val="23B4EFDC"/>
    <w:rsid w:val="278EF8A9"/>
    <w:rsid w:val="2886BCA3"/>
    <w:rsid w:val="298D8558"/>
    <w:rsid w:val="2A1290C7"/>
    <w:rsid w:val="2A776778"/>
    <w:rsid w:val="2CC9890F"/>
    <w:rsid w:val="2DB58616"/>
    <w:rsid w:val="2E04C9E7"/>
    <w:rsid w:val="2EEDD6FF"/>
    <w:rsid w:val="2EF0BEB0"/>
    <w:rsid w:val="2F5C9805"/>
    <w:rsid w:val="303910EE"/>
    <w:rsid w:val="30907ED8"/>
    <w:rsid w:val="30EA2277"/>
    <w:rsid w:val="3115E79A"/>
    <w:rsid w:val="314AF1CE"/>
    <w:rsid w:val="32289065"/>
    <w:rsid w:val="327AA81D"/>
    <w:rsid w:val="32D2F79A"/>
    <w:rsid w:val="3317C3E0"/>
    <w:rsid w:val="3387A9AC"/>
    <w:rsid w:val="33994DE8"/>
    <w:rsid w:val="33FB639F"/>
    <w:rsid w:val="350E39C2"/>
    <w:rsid w:val="35F49214"/>
    <w:rsid w:val="3668D086"/>
    <w:rsid w:val="3861FF05"/>
    <w:rsid w:val="3A026349"/>
    <w:rsid w:val="3A10CFF7"/>
    <w:rsid w:val="3C77D58D"/>
    <w:rsid w:val="3CE8D78A"/>
    <w:rsid w:val="3E0B4B48"/>
    <w:rsid w:val="3E407F86"/>
    <w:rsid w:val="3EBFCF4F"/>
    <w:rsid w:val="3F8D0757"/>
    <w:rsid w:val="3FFE424E"/>
    <w:rsid w:val="4188F577"/>
    <w:rsid w:val="43402841"/>
    <w:rsid w:val="438B0B0C"/>
    <w:rsid w:val="44789EEF"/>
    <w:rsid w:val="44F30608"/>
    <w:rsid w:val="4590F7EF"/>
    <w:rsid w:val="46CC7FEA"/>
    <w:rsid w:val="46D3F2A2"/>
    <w:rsid w:val="47D13507"/>
    <w:rsid w:val="47EBBB4C"/>
    <w:rsid w:val="482D184E"/>
    <w:rsid w:val="493A7A01"/>
    <w:rsid w:val="49C34F2C"/>
    <w:rsid w:val="4A908B7F"/>
    <w:rsid w:val="4C221F73"/>
    <w:rsid w:val="4C51E5D8"/>
    <w:rsid w:val="4D0B452B"/>
    <w:rsid w:val="4D36E4D5"/>
    <w:rsid w:val="4DB9F25C"/>
    <w:rsid w:val="50BDEF7B"/>
    <w:rsid w:val="513602FF"/>
    <w:rsid w:val="516DD2A3"/>
    <w:rsid w:val="521969DB"/>
    <w:rsid w:val="528AC0CC"/>
    <w:rsid w:val="539CAD59"/>
    <w:rsid w:val="5478CCBA"/>
    <w:rsid w:val="552D50C0"/>
    <w:rsid w:val="55AED441"/>
    <w:rsid w:val="55C1B544"/>
    <w:rsid w:val="567FB366"/>
    <w:rsid w:val="57209E31"/>
    <w:rsid w:val="57DDAA58"/>
    <w:rsid w:val="58861ABF"/>
    <w:rsid w:val="5907DBBC"/>
    <w:rsid w:val="5AFB92D8"/>
    <w:rsid w:val="5B3A65A7"/>
    <w:rsid w:val="5B53B4DB"/>
    <w:rsid w:val="5B94858F"/>
    <w:rsid w:val="60D21DED"/>
    <w:rsid w:val="61121260"/>
    <w:rsid w:val="61A0777A"/>
    <w:rsid w:val="61A6F6C0"/>
    <w:rsid w:val="62E5CAC2"/>
    <w:rsid w:val="63776F76"/>
    <w:rsid w:val="63E63542"/>
    <w:rsid w:val="650CB239"/>
    <w:rsid w:val="6519416B"/>
    <w:rsid w:val="65A16404"/>
    <w:rsid w:val="6628A332"/>
    <w:rsid w:val="6682F2EC"/>
    <w:rsid w:val="66886DFE"/>
    <w:rsid w:val="67C6D1BF"/>
    <w:rsid w:val="67FDEC82"/>
    <w:rsid w:val="6813DE99"/>
    <w:rsid w:val="688B5D52"/>
    <w:rsid w:val="688DDEA2"/>
    <w:rsid w:val="68D0E6C1"/>
    <w:rsid w:val="6982D124"/>
    <w:rsid w:val="6985BD81"/>
    <w:rsid w:val="6A404F69"/>
    <w:rsid w:val="6AC97CD5"/>
    <w:rsid w:val="6BA874E9"/>
    <w:rsid w:val="6C03BD2A"/>
    <w:rsid w:val="6C51E0F8"/>
    <w:rsid w:val="6C863408"/>
    <w:rsid w:val="6DD081A9"/>
    <w:rsid w:val="6F614916"/>
    <w:rsid w:val="71C547A4"/>
    <w:rsid w:val="71E27E2F"/>
    <w:rsid w:val="730453F1"/>
    <w:rsid w:val="74311AF0"/>
    <w:rsid w:val="746D15FF"/>
    <w:rsid w:val="74B38E34"/>
    <w:rsid w:val="74D8513C"/>
    <w:rsid w:val="75076C42"/>
    <w:rsid w:val="76DFA402"/>
    <w:rsid w:val="7804954B"/>
    <w:rsid w:val="7921E71F"/>
    <w:rsid w:val="7A14CF18"/>
    <w:rsid w:val="7A748401"/>
    <w:rsid w:val="7AFE67D8"/>
    <w:rsid w:val="7B11A7FC"/>
    <w:rsid w:val="7CF62016"/>
    <w:rsid w:val="7D9A312C"/>
    <w:rsid w:val="7DF6998A"/>
    <w:rsid w:val="7E071056"/>
    <w:rsid w:val="7EA79049"/>
    <w:rsid w:val="7EE5BB58"/>
    <w:rsid w:val="7FA09FB9"/>
    <w:rsid w:val="7FCE1A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8AF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C0F"/>
    <w:pPr>
      <w:spacing w:after="160" w:line="264" w:lineRule="auto"/>
    </w:pPr>
    <w:rPr>
      <w:sz w:val="22"/>
    </w:rPr>
  </w:style>
  <w:style w:type="paragraph" w:styleId="Heading1">
    <w:name w:val="heading 1"/>
    <w:aliases w:val="CAB Section Heading,Heading 1 Cab"/>
    <w:basedOn w:val="Normal"/>
    <w:next w:val="Normal"/>
    <w:link w:val="Heading1Char"/>
    <w:uiPriority w:val="4"/>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Heading 1 Cab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link w:val="NoSpacingChar"/>
    <w:uiPriority w:val="5"/>
    <w:unhideWhenUsed/>
    <w:qFormat/>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6"/>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aliases w:val="CAB - List Bullet,List Bullet Cab,AR bullet 1,Body Bullets 1,Bullet Point,Bullet point,Bullet points,CV text,Content descriptions,Dot pt,L,List Paragraph Number,List Paragraph1,List Paragraph11,List Paragraph2,Main,Number Paragraph,number"/>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1"/>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2"/>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13"/>
      </w:numPr>
      <w:contextualSpacing/>
    </w:pPr>
  </w:style>
  <w:style w:type="paragraph" w:customStyle="1" w:styleId="CABParagraph">
    <w:name w:val="CAB Paragraph"/>
    <w:basedOn w:val="BodyText"/>
    <w:link w:val="CABParagraphChar"/>
    <w:uiPriority w:val="98"/>
    <w:qFormat/>
    <w:rsid w:val="00F6195F"/>
    <w:pPr>
      <w:spacing w:before="120" w:after="0" w:line="240" w:lineRule="auto"/>
    </w:pPr>
    <w:rPr>
      <w:rFonts w:ascii="Arial" w:eastAsiaTheme="minorHAnsi" w:hAnsi="Arial"/>
      <w:szCs w:val="22"/>
    </w:rPr>
  </w:style>
  <w:style w:type="character" w:customStyle="1" w:styleId="CABParagraphChar">
    <w:name w:val="CAB Paragraph Char"/>
    <w:basedOn w:val="DefaultParagraphFont"/>
    <w:link w:val="CABParagraph"/>
    <w:uiPriority w:val="98"/>
    <w:rsid w:val="00F6195F"/>
    <w:rPr>
      <w:rFonts w:ascii="Arial" w:eastAsiaTheme="minorHAnsi" w:hAnsi="Arial"/>
      <w:sz w:val="22"/>
      <w:szCs w:val="22"/>
    </w:rPr>
  </w:style>
  <w:style w:type="paragraph" w:styleId="BodyText">
    <w:name w:val="Body Text"/>
    <w:basedOn w:val="Normal"/>
    <w:link w:val="BodyTextChar"/>
    <w:uiPriority w:val="99"/>
    <w:unhideWhenUsed/>
    <w:rsid w:val="00F6195F"/>
    <w:pPr>
      <w:spacing w:after="120"/>
    </w:pPr>
  </w:style>
  <w:style w:type="character" w:customStyle="1" w:styleId="BodyTextChar">
    <w:name w:val="Body Text Char"/>
    <w:basedOn w:val="DefaultParagraphFont"/>
    <w:link w:val="BodyText"/>
    <w:uiPriority w:val="99"/>
    <w:rsid w:val="00F6195F"/>
    <w:rPr>
      <w:sz w:val="22"/>
    </w:rPr>
  </w:style>
  <w:style w:type="character" w:styleId="CommentReference">
    <w:name w:val="annotation reference"/>
    <w:basedOn w:val="DefaultParagraphFont"/>
    <w:uiPriority w:val="99"/>
    <w:semiHidden/>
    <w:unhideWhenUsed/>
    <w:rsid w:val="00847EFF"/>
    <w:rPr>
      <w:sz w:val="16"/>
      <w:szCs w:val="16"/>
    </w:rPr>
  </w:style>
  <w:style w:type="paragraph" w:styleId="CommentText">
    <w:name w:val="annotation text"/>
    <w:basedOn w:val="Normal"/>
    <w:link w:val="CommentTextChar"/>
    <w:uiPriority w:val="99"/>
    <w:unhideWhenUsed/>
    <w:rsid w:val="00847EFF"/>
    <w:pPr>
      <w:spacing w:after="200" w:line="276"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847EFF"/>
    <w:rPr>
      <w:rFonts w:ascii="Arial" w:eastAsiaTheme="minorHAnsi" w:hAnsi="Arial"/>
      <w:sz w:val="20"/>
      <w:szCs w:val="20"/>
    </w:rPr>
  </w:style>
  <w:style w:type="character" w:customStyle="1" w:styleId="ListParagraphChar">
    <w:name w:val="List Paragraph Char"/>
    <w:aliases w:val="CAB - List Bullet Char,List Bullet Cab Char,AR bullet 1 Char,Body Bullets 1 Char,Bullet Point Char,Bullet point Char,Bullet points Char,CV text Char,Content descriptions Char,Dot pt Char,L Char,List Paragraph Number Char,Main Char"/>
    <w:link w:val="ListParagraph"/>
    <w:uiPriority w:val="34"/>
    <w:qFormat/>
    <w:locked/>
    <w:rsid w:val="00550603"/>
    <w:rPr>
      <w:sz w:val="22"/>
    </w:rPr>
  </w:style>
  <w:style w:type="character" w:styleId="FootnoteReference">
    <w:name w:val="footnote reference"/>
    <w:basedOn w:val="DefaultParagraphFont"/>
    <w:uiPriority w:val="99"/>
    <w:semiHidden/>
    <w:unhideWhenUsed/>
    <w:rsid w:val="009F337F"/>
    <w:rPr>
      <w:vertAlign w:val="superscript"/>
    </w:rPr>
  </w:style>
  <w:style w:type="paragraph" w:styleId="FootnoteText">
    <w:name w:val="footnote text"/>
    <w:basedOn w:val="Normal"/>
    <w:link w:val="FootnoteTextChar"/>
    <w:uiPriority w:val="99"/>
    <w:semiHidden/>
    <w:unhideWhenUsed/>
    <w:rsid w:val="00F74CF5"/>
    <w:pPr>
      <w:spacing w:after="0" w:line="240" w:lineRule="auto"/>
    </w:pPr>
    <w:rPr>
      <w:rFonts w:ascii="Arial" w:eastAsiaTheme="minorHAnsi" w:hAnsi="Arial"/>
      <w:kern w:val="2"/>
      <w:sz w:val="20"/>
      <w:szCs w:val="20"/>
      <w14:ligatures w14:val="standardContextual"/>
    </w:rPr>
  </w:style>
  <w:style w:type="character" w:customStyle="1" w:styleId="FootnoteTextChar">
    <w:name w:val="Footnote Text Char"/>
    <w:basedOn w:val="DefaultParagraphFont"/>
    <w:link w:val="FootnoteText"/>
    <w:uiPriority w:val="99"/>
    <w:semiHidden/>
    <w:rsid w:val="00F74CF5"/>
    <w:rPr>
      <w:rFonts w:ascii="Arial" w:eastAsiaTheme="minorHAnsi" w:hAnsi="Arial"/>
      <w:kern w:val="2"/>
      <w:sz w:val="20"/>
      <w:szCs w:val="20"/>
      <w14:ligatures w14:val="standardContextual"/>
    </w:rPr>
  </w:style>
  <w:style w:type="paragraph" w:customStyle="1" w:styleId="TalkingPoint">
    <w:name w:val="TalkingPoint"/>
    <w:basedOn w:val="Normal"/>
    <w:link w:val="TalkingPointChar"/>
    <w:qFormat/>
    <w:rsid w:val="0026199A"/>
    <w:pPr>
      <w:numPr>
        <w:numId w:val="14"/>
      </w:numPr>
      <w:spacing w:after="0" w:line="240" w:lineRule="auto"/>
    </w:pPr>
    <w:rPr>
      <w:rFonts w:ascii="Calibri" w:eastAsiaTheme="minorHAnsi" w:hAnsi="Calibri" w:cs="Calibri"/>
      <w:color w:val="1C2B39" w:themeColor="text1"/>
      <w:sz w:val="32"/>
      <w:szCs w:val="32"/>
    </w:rPr>
  </w:style>
  <w:style w:type="character" w:customStyle="1" w:styleId="TalkingPointChar">
    <w:name w:val="TalkingPoint Char"/>
    <w:basedOn w:val="DefaultParagraphFont"/>
    <w:link w:val="TalkingPoint"/>
    <w:rsid w:val="0026199A"/>
    <w:rPr>
      <w:rFonts w:ascii="Calibri" w:eastAsiaTheme="minorHAnsi" w:hAnsi="Calibri" w:cs="Calibri"/>
      <w:color w:val="1C2B39" w:themeColor="text1"/>
      <w:sz w:val="32"/>
      <w:szCs w:val="32"/>
    </w:rPr>
  </w:style>
  <w:style w:type="paragraph" w:customStyle="1" w:styleId="Bullet">
    <w:name w:val="Bullet"/>
    <w:basedOn w:val="Normal"/>
    <w:link w:val="BulletChar"/>
    <w:rsid w:val="0048418C"/>
    <w:pPr>
      <w:tabs>
        <w:tab w:val="num" w:pos="520"/>
      </w:tabs>
      <w:spacing w:after="120" w:line="276" w:lineRule="auto"/>
      <w:ind w:left="520" w:hanging="520"/>
    </w:pPr>
    <w:rPr>
      <w:rFonts w:ascii="Arial" w:eastAsiaTheme="minorHAnsi" w:hAnsi="Arial"/>
      <w:szCs w:val="22"/>
    </w:rPr>
  </w:style>
  <w:style w:type="character" w:customStyle="1" w:styleId="BulletChar">
    <w:name w:val="Bullet Char"/>
    <w:basedOn w:val="CABParagraphChar"/>
    <w:link w:val="Bullet"/>
    <w:rsid w:val="0048418C"/>
    <w:rPr>
      <w:rFonts w:ascii="Arial" w:eastAsiaTheme="minorHAnsi" w:hAnsi="Arial"/>
      <w:sz w:val="22"/>
      <w:szCs w:val="22"/>
    </w:rPr>
  </w:style>
  <w:style w:type="paragraph" w:customStyle="1" w:styleId="CABNumberedParagraph">
    <w:name w:val="CAB Numbered Paragraph"/>
    <w:basedOn w:val="Normal"/>
    <w:uiPriority w:val="98"/>
    <w:qFormat/>
    <w:rsid w:val="006D709C"/>
    <w:pPr>
      <w:tabs>
        <w:tab w:val="num" w:pos="340"/>
      </w:tabs>
      <w:spacing w:after="200" w:line="276" w:lineRule="auto"/>
      <w:ind w:left="340"/>
    </w:pPr>
    <w:rPr>
      <w:rFonts w:ascii="Arial" w:eastAsiaTheme="minorHAnsi" w:hAnsi="Arial"/>
      <w:szCs w:val="22"/>
    </w:rPr>
  </w:style>
  <w:style w:type="paragraph" w:customStyle="1" w:styleId="CABH2Info">
    <w:name w:val="CAB H2 Info"/>
    <w:basedOn w:val="Heading2"/>
    <w:uiPriority w:val="98"/>
    <w:qFormat/>
    <w:rsid w:val="006D709C"/>
    <w:pPr>
      <w:spacing w:before="200" w:after="0"/>
    </w:pPr>
    <w:rPr>
      <w:rFonts w:ascii="Arial" w:hAnsi="Arial"/>
      <w:b/>
      <w:bCs/>
      <w:color w:val="auto"/>
      <w:sz w:val="24"/>
      <w:szCs w:val="32"/>
    </w:rPr>
  </w:style>
  <w:style w:type="paragraph" w:customStyle="1" w:styleId="ProtectiveMarking">
    <w:name w:val="Protective Marking"/>
    <w:uiPriority w:val="15"/>
    <w:semiHidden/>
    <w:qFormat/>
    <w:rsid w:val="00A83F6A"/>
    <w:pPr>
      <w:spacing w:after="0" w:line="240" w:lineRule="auto"/>
      <w:jc w:val="center"/>
    </w:pPr>
    <w:rPr>
      <w:rFonts w:ascii="Arial" w:eastAsiaTheme="minorHAnsi" w:hAnsi="Arial"/>
      <w:b/>
      <w:color w:val="FF0000"/>
      <w:sz w:val="30"/>
      <w:szCs w:val="22"/>
    </w:rPr>
  </w:style>
  <w:style w:type="table" w:customStyle="1" w:styleId="TableGrid1">
    <w:name w:val="Table Grid1"/>
    <w:basedOn w:val="TableNormal"/>
    <w:next w:val="TableGrid"/>
    <w:uiPriority w:val="59"/>
    <w:rsid w:val="007046EB"/>
    <w:pPr>
      <w:spacing w:after="0" w:line="240" w:lineRule="auto"/>
    </w:pPr>
    <w:rPr>
      <w:rFonts w:eastAsia="Arial"/>
      <w:sz w:val="20"/>
      <w:szCs w:val="22"/>
    </w:rPr>
    <w:tblPr>
      <w:tblBorders>
        <w:insideH w:val="single" w:sz="4" w:space="0" w:color="7599BB"/>
        <w:insideV w:val="single" w:sz="4" w:space="0" w:color="7599BB"/>
      </w:tblBorders>
    </w:tblPr>
    <w:tblStylePr w:type="firstRow">
      <w:tblPr/>
      <w:tcPr>
        <w:shd w:val="clear" w:color="auto" w:fill="E3EAF1"/>
      </w:tcPr>
    </w:tblStylePr>
  </w:style>
  <w:style w:type="paragraph" w:styleId="Revision">
    <w:name w:val="Revision"/>
    <w:hidden/>
    <w:uiPriority w:val="99"/>
    <w:semiHidden/>
    <w:rsid w:val="004F2F78"/>
    <w:pPr>
      <w:spacing w:after="0" w:line="240" w:lineRule="auto"/>
    </w:pPr>
    <w:rPr>
      <w:sz w:val="22"/>
    </w:rPr>
  </w:style>
  <w:style w:type="character" w:customStyle="1" w:styleId="NoSpacingChar">
    <w:name w:val="No Spacing Char"/>
    <w:basedOn w:val="DefaultParagraphFont"/>
    <w:link w:val="NoSpacing"/>
    <w:uiPriority w:val="5"/>
    <w:rsid w:val="00281EB9"/>
  </w:style>
  <w:style w:type="paragraph" w:customStyle="1" w:styleId="CAB-NumberedParagraph">
    <w:name w:val="CAB - Numbered Paragraph"/>
    <w:basedOn w:val="Normal"/>
    <w:uiPriority w:val="98"/>
    <w:rsid w:val="007F2526"/>
    <w:pPr>
      <w:spacing w:before="120" w:after="120" w:line="240" w:lineRule="auto"/>
      <w:ind w:left="567" w:hanging="567"/>
    </w:pPr>
    <w:rPr>
      <w:rFonts w:ascii="Arial" w:eastAsiaTheme="minorHAnsi" w:hAnsi="Arial"/>
      <w:szCs w:val="22"/>
    </w:rPr>
  </w:style>
  <w:style w:type="character" w:customStyle="1" w:styleId="StyleArial10pt">
    <w:name w:val="Style Arial 10 pt"/>
    <w:basedOn w:val="DefaultParagraphFont"/>
    <w:uiPriority w:val="99"/>
    <w:rsid w:val="00C65770"/>
    <w:rPr>
      <w:rFonts w:ascii="Arial" w:hAnsi="Arial" w:cs="Times New Roman"/>
      <w:sz w:val="20"/>
    </w:rPr>
  </w:style>
  <w:style w:type="paragraph" w:customStyle="1" w:styleId="CABBulletList">
    <w:name w:val="CAB Bullet List"/>
    <w:basedOn w:val="ListParagraph"/>
    <w:uiPriority w:val="98"/>
    <w:qFormat/>
    <w:rsid w:val="00501CAF"/>
    <w:pPr>
      <w:numPr>
        <w:numId w:val="15"/>
      </w:numPr>
      <w:tabs>
        <w:tab w:val="left" w:pos="851"/>
      </w:tabs>
      <w:spacing w:before="60" w:after="60" w:line="240" w:lineRule="auto"/>
      <w:ind w:left="850" w:hanging="288"/>
    </w:pPr>
    <w:rPr>
      <w:rFonts w:ascii="Arial" w:eastAsiaTheme="minorHAnsi" w:hAnsi="Arial"/>
      <w:szCs w:val="22"/>
    </w:rPr>
  </w:style>
  <w:style w:type="paragraph" w:styleId="NormalWeb">
    <w:name w:val="Normal (Web)"/>
    <w:basedOn w:val="Normal"/>
    <w:uiPriority w:val="99"/>
    <w:semiHidden/>
    <w:unhideWhenUsed/>
    <w:rsid w:val="002B285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39A8"/>
    <w:pPr>
      <w:spacing w:after="160" w:line="240" w:lineRule="auto"/>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5139A8"/>
    <w:rPr>
      <w:rFonts w:ascii="Arial" w:eastAsiaTheme="minorHAnsi" w:hAnsi="Arial"/>
      <w:b/>
      <w:bCs/>
      <w:sz w:val="20"/>
      <w:szCs w:val="20"/>
    </w:rPr>
  </w:style>
  <w:style w:type="paragraph" w:customStyle="1" w:styleId="CABHeading2">
    <w:name w:val="CAB Heading 2."/>
    <w:basedOn w:val="Normal"/>
    <w:link w:val="CABHeading2Char"/>
    <w:uiPriority w:val="98"/>
    <w:qFormat/>
    <w:rsid w:val="00D42F41"/>
    <w:pPr>
      <w:keepNext/>
      <w:keepLines/>
      <w:tabs>
        <w:tab w:val="left" w:pos="567"/>
      </w:tabs>
      <w:spacing w:before="200" w:after="0" w:line="240" w:lineRule="auto"/>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D42F41"/>
    <w:rPr>
      <w:rFonts w:ascii="Arial" w:eastAsiaTheme="majorEastAsia" w:hAnsi="Arial" w:cstheme="majorBidi"/>
      <w:b/>
      <w:bCs/>
      <w:color w:val="003865"/>
      <w:sz w:val="24"/>
      <w:szCs w:val="28"/>
    </w:rPr>
  </w:style>
  <w:style w:type="character" w:customStyle="1" w:styleId="UnresolvedMention">
    <w:name w:val="Unresolved Mention"/>
    <w:basedOn w:val="DefaultParagraphFont"/>
    <w:uiPriority w:val="99"/>
    <w:semiHidden/>
    <w:unhideWhenUsed/>
    <w:rsid w:val="00326DD0"/>
    <w:rPr>
      <w:color w:val="605E5C"/>
      <w:shd w:val="clear" w:color="auto" w:fill="E1DFDD"/>
    </w:rPr>
  </w:style>
  <w:style w:type="paragraph" w:customStyle="1" w:styleId="CABNETParagraph">
    <w:name w:val="CABNET Paragraph."/>
    <w:basedOn w:val="Normal"/>
    <w:link w:val="CABNETParagraphChar"/>
    <w:uiPriority w:val="98"/>
    <w:qFormat/>
    <w:rsid w:val="001E28AF"/>
    <w:pPr>
      <w:spacing w:before="120" w:after="120" w:line="240" w:lineRule="auto"/>
    </w:pPr>
    <w:rPr>
      <w:rFonts w:ascii="Arial" w:eastAsiaTheme="minorHAnsi" w:hAnsi="Arial" w:cstheme="minorHAnsi"/>
      <w:szCs w:val="22"/>
    </w:rPr>
  </w:style>
  <w:style w:type="character" w:customStyle="1" w:styleId="CABNETParagraphChar">
    <w:name w:val="CABNET Paragraph. Char"/>
    <w:basedOn w:val="DefaultParagraphFont"/>
    <w:link w:val="CABNETParagraph"/>
    <w:uiPriority w:val="98"/>
    <w:rsid w:val="001E28AF"/>
    <w:rPr>
      <w:rFonts w:ascii="Arial" w:eastAsiaTheme="minorHAnsi" w:hAnsi="Arial" w:cstheme="minorHAnsi"/>
      <w:sz w:val="22"/>
      <w:szCs w:val="22"/>
    </w:rPr>
  </w:style>
  <w:style w:type="character" w:customStyle="1" w:styleId="cf01">
    <w:name w:val="cf01"/>
    <w:basedOn w:val="DefaultParagraphFont"/>
    <w:rsid w:val="00622BAA"/>
    <w:rPr>
      <w:rFonts w:ascii="Segoe UI" w:hAnsi="Segoe UI" w:cs="Segoe UI" w:hint="default"/>
      <w:sz w:val="18"/>
      <w:szCs w:val="18"/>
    </w:rPr>
  </w:style>
  <w:style w:type="paragraph" w:customStyle="1" w:styleId="CABRecommendationsList">
    <w:name w:val="CAB Recommendations List"/>
    <w:uiPriority w:val="98"/>
    <w:rsid w:val="005F00E1"/>
    <w:pPr>
      <w:numPr>
        <w:numId w:val="29"/>
      </w:numPr>
      <w:spacing w:before="120" w:line="240" w:lineRule="auto"/>
      <w:jc w:val="both"/>
    </w:pPr>
    <w:rPr>
      <w:rFonts w:ascii="Arial" w:eastAsiaTheme="minorHAnsi" w:hAnsi="Arial"/>
      <w:sz w:val="22"/>
      <w:szCs w:val="22"/>
    </w:rPr>
  </w:style>
  <w:style w:type="table" w:customStyle="1" w:styleId="TableGrid2">
    <w:name w:val="Table Grid2"/>
    <w:basedOn w:val="TableNormal"/>
    <w:next w:val="TableGrid"/>
    <w:uiPriority w:val="39"/>
    <w:rsid w:val="00C66AE8"/>
    <w:pPr>
      <w:spacing w:after="0" w:line="240" w:lineRule="auto"/>
    </w:pPr>
    <w:rPr>
      <w:rFonts w:ascii="Arial" w:eastAsia="Arial" w:hAnsi="Arial" w:cs="Arial"/>
      <w:sz w:val="20"/>
      <w:szCs w:val="22"/>
    </w:rPr>
    <w:tblPr>
      <w:tblInd w:w="0" w:type="nil"/>
      <w:tblBorders>
        <w:insideH w:val="single" w:sz="4" w:space="0" w:color="7599BB"/>
        <w:insideV w:val="single" w:sz="4" w:space="0" w:color="7599BB"/>
      </w:tblBorders>
    </w:tblPr>
    <w:tblStylePr w:type="firstRow">
      <w:tblPr/>
      <w:tcPr>
        <w:shd w:val="clear" w:color="auto" w:fill="E3EAF1"/>
      </w:tcPr>
    </w:tblStylePr>
  </w:style>
  <w:style w:type="paragraph" w:customStyle="1" w:styleId="Default">
    <w:name w:val="Default"/>
    <w:rsid w:val="00171BDA"/>
    <w:pPr>
      <w:autoSpaceDE w:val="0"/>
      <w:autoSpaceDN w:val="0"/>
      <w:adjustRightInd w:val="0"/>
      <w:spacing w:after="0" w:line="240" w:lineRule="auto"/>
    </w:pPr>
    <w:rPr>
      <w:rFonts w:ascii="Segoe UI Symbol" w:hAnsi="Segoe UI Symbol" w:cs="Segoe UI Symbol"/>
      <w:color w:val="000000"/>
      <w:sz w:val="24"/>
      <w:szCs w:val="24"/>
    </w:rPr>
  </w:style>
  <w:style w:type="character" w:customStyle="1" w:styleId="normaltextrun">
    <w:name w:val="normaltextrun"/>
    <w:basedOn w:val="DefaultParagraphFont"/>
    <w:rsid w:val="00774264"/>
  </w:style>
  <w:style w:type="character" w:customStyle="1" w:styleId="cf11">
    <w:name w:val="cf11"/>
    <w:basedOn w:val="DefaultParagraphFont"/>
    <w:rsid w:val="0001620B"/>
    <w:rPr>
      <w:rFonts w:ascii="Segoe UI" w:hAnsi="Segoe UI" w:cs="Segoe UI" w:hint="default"/>
      <w:i/>
      <w:iCs/>
      <w:sz w:val="18"/>
      <w:szCs w:val="18"/>
    </w:rPr>
  </w:style>
  <w:style w:type="character" w:customStyle="1" w:styleId="Mention">
    <w:name w:val="Mention"/>
    <w:basedOn w:val="DefaultParagraphFont"/>
    <w:uiPriority w:val="99"/>
    <w:unhideWhenUsed/>
    <w:rsid w:val="00DE36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3193">
      <w:bodyDiv w:val="1"/>
      <w:marLeft w:val="0"/>
      <w:marRight w:val="0"/>
      <w:marTop w:val="0"/>
      <w:marBottom w:val="0"/>
      <w:divBdr>
        <w:top w:val="none" w:sz="0" w:space="0" w:color="auto"/>
        <w:left w:val="none" w:sz="0" w:space="0" w:color="auto"/>
        <w:bottom w:val="none" w:sz="0" w:space="0" w:color="auto"/>
        <w:right w:val="none" w:sz="0" w:space="0" w:color="auto"/>
      </w:divBdr>
    </w:div>
    <w:div w:id="51470337">
      <w:bodyDiv w:val="1"/>
      <w:marLeft w:val="0"/>
      <w:marRight w:val="0"/>
      <w:marTop w:val="0"/>
      <w:marBottom w:val="0"/>
      <w:divBdr>
        <w:top w:val="none" w:sz="0" w:space="0" w:color="auto"/>
        <w:left w:val="none" w:sz="0" w:space="0" w:color="auto"/>
        <w:bottom w:val="none" w:sz="0" w:space="0" w:color="auto"/>
        <w:right w:val="none" w:sz="0" w:space="0" w:color="auto"/>
      </w:divBdr>
    </w:div>
    <w:div w:id="62719751">
      <w:bodyDiv w:val="1"/>
      <w:marLeft w:val="0"/>
      <w:marRight w:val="0"/>
      <w:marTop w:val="0"/>
      <w:marBottom w:val="0"/>
      <w:divBdr>
        <w:top w:val="none" w:sz="0" w:space="0" w:color="auto"/>
        <w:left w:val="none" w:sz="0" w:space="0" w:color="auto"/>
        <w:bottom w:val="none" w:sz="0" w:space="0" w:color="auto"/>
        <w:right w:val="none" w:sz="0" w:space="0" w:color="auto"/>
      </w:divBdr>
    </w:div>
    <w:div w:id="65692044">
      <w:bodyDiv w:val="1"/>
      <w:marLeft w:val="0"/>
      <w:marRight w:val="0"/>
      <w:marTop w:val="0"/>
      <w:marBottom w:val="0"/>
      <w:divBdr>
        <w:top w:val="none" w:sz="0" w:space="0" w:color="auto"/>
        <w:left w:val="none" w:sz="0" w:space="0" w:color="auto"/>
        <w:bottom w:val="none" w:sz="0" w:space="0" w:color="auto"/>
        <w:right w:val="none" w:sz="0" w:space="0" w:color="auto"/>
      </w:divBdr>
    </w:div>
    <w:div w:id="85731471">
      <w:bodyDiv w:val="1"/>
      <w:marLeft w:val="0"/>
      <w:marRight w:val="0"/>
      <w:marTop w:val="0"/>
      <w:marBottom w:val="0"/>
      <w:divBdr>
        <w:top w:val="none" w:sz="0" w:space="0" w:color="auto"/>
        <w:left w:val="none" w:sz="0" w:space="0" w:color="auto"/>
        <w:bottom w:val="none" w:sz="0" w:space="0" w:color="auto"/>
        <w:right w:val="none" w:sz="0" w:space="0" w:color="auto"/>
      </w:divBdr>
    </w:div>
    <w:div w:id="103887160">
      <w:bodyDiv w:val="1"/>
      <w:marLeft w:val="0"/>
      <w:marRight w:val="0"/>
      <w:marTop w:val="0"/>
      <w:marBottom w:val="0"/>
      <w:divBdr>
        <w:top w:val="none" w:sz="0" w:space="0" w:color="auto"/>
        <w:left w:val="none" w:sz="0" w:space="0" w:color="auto"/>
        <w:bottom w:val="none" w:sz="0" w:space="0" w:color="auto"/>
        <w:right w:val="none" w:sz="0" w:space="0" w:color="auto"/>
      </w:divBdr>
    </w:div>
    <w:div w:id="104619008">
      <w:bodyDiv w:val="1"/>
      <w:marLeft w:val="0"/>
      <w:marRight w:val="0"/>
      <w:marTop w:val="0"/>
      <w:marBottom w:val="0"/>
      <w:divBdr>
        <w:top w:val="none" w:sz="0" w:space="0" w:color="auto"/>
        <w:left w:val="none" w:sz="0" w:space="0" w:color="auto"/>
        <w:bottom w:val="none" w:sz="0" w:space="0" w:color="auto"/>
        <w:right w:val="none" w:sz="0" w:space="0" w:color="auto"/>
      </w:divBdr>
    </w:div>
    <w:div w:id="109471647">
      <w:bodyDiv w:val="1"/>
      <w:marLeft w:val="0"/>
      <w:marRight w:val="0"/>
      <w:marTop w:val="0"/>
      <w:marBottom w:val="0"/>
      <w:divBdr>
        <w:top w:val="none" w:sz="0" w:space="0" w:color="auto"/>
        <w:left w:val="none" w:sz="0" w:space="0" w:color="auto"/>
        <w:bottom w:val="none" w:sz="0" w:space="0" w:color="auto"/>
        <w:right w:val="none" w:sz="0" w:space="0" w:color="auto"/>
      </w:divBdr>
    </w:div>
    <w:div w:id="159320516">
      <w:bodyDiv w:val="1"/>
      <w:marLeft w:val="0"/>
      <w:marRight w:val="0"/>
      <w:marTop w:val="0"/>
      <w:marBottom w:val="0"/>
      <w:divBdr>
        <w:top w:val="none" w:sz="0" w:space="0" w:color="auto"/>
        <w:left w:val="none" w:sz="0" w:space="0" w:color="auto"/>
        <w:bottom w:val="none" w:sz="0" w:space="0" w:color="auto"/>
        <w:right w:val="none" w:sz="0" w:space="0" w:color="auto"/>
      </w:divBdr>
    </w:div>
    <w:div w:id="204752385">
      <w:bodyDiv w:val="1"/>
      <w:marLeft w:val="0"/>
      <w:marRight w:val="0"/>
      <w:marTop w:val="0"/>
      <w:marBottom w:val="0"/>
      <w:divBdr>
        <w:top w:val="none" w:sz="0" w:space="0" w:color="auto"/>
        <w:left w:val="none" w:sz="0" w:space="0" w:color="auto"/>
        <w:bottom w:val="none" w:sz="0" w:space="0" w:color="auto"/>
        <w:right w:val="none" w:sz="0" w:space="0" w:color="auto"/>
      </w:divBdr>
    </w:div>
    <w:div w:id="215317690">
      <w:bodyDiv w:val="1"/>
      <w:marLeft w:val="0"/>
      <w:marRight w:val="0"/>
      <w:marTop w:val="0"/>
      <w:marBottom w:val="0"/>
      <w:divBdr>
        <w:top w:val="none" w:sz="0" w:space="0" w:color="auto"/>
        <w:left w:val="none" w:sz="0" w:space="0" w:color="auto"/>
        <w:bottom w:val="none" w:sz="0" w:space="0" w:color="auto"/>
        <w:right w:val="none" w:sz="0" w:space="0" w:color="auto"/>
      </w:divBdr>
    </w:div>
    <w:div w:id="216667151">
      <w:bodyDiv w:val="1"/>
      <w:marLeft w:val="0"/>
      <w:marRight w:val="0"/>
      <w:marTop w:val="0"/>
      <w:marBottom w:val="0"/>
      <w:divBdr>
        <w:top w:val="none" w:sz="0" w:space="0" w:color="auto"/>
        <w:left w:val="none" w:sz="0" w:space="0" w:color="auto"/>
        <w:bottom w:val="none" w:sz="0" w:space="0" w:color="auto"/>
        <w:right w:val="none" w:sz="0" w:space="0" w:color="auto"/>
      </w:divBdr>
    </w:div>
    <w:div w:id="226763389">
      <w:bodyDiv w:val="1"/>
      <w:marLeft w:val="0"/>
      <w:marRight w:val="0"/>
      <w:marTop w:val="0"/>
      <w:marBottom w:val="0"/>
      <w:divBdr>
        <w:top w:val="none" w:sz="0" w:space="0" w:color="auto"/>
        <w:left w:val="none" w:sz="0" w:space="0" w:color="auto"/>
        <w:bottom w:val="none" w:sz="0" w:space="0" w:color="auto"/>
        <w:right w:val="none" w:sz="0" w:space="0" w:color="auto"/>
      </w:divBdr>
    </w:div>
    <w:div w:id="255212595">
      <w:bodyDiv w:val="1"/>
      <w:marLeft w:val="0"/>
      <w:marRight w:val="0"/>
      <w:marTop w:val="0"/>
      <w:marBottom w:val="0"/>
      <w:divBdr>
        <w:top w:val="none" w:sz="0" w:space="0" w:color="auto"/>
        <w:left w:val="none" w:sz="0" w:space="0" w:color="auto"/>
        <w:bottom w:val="none" w:sz="0" w:space="0" w:color="auto"/>
        <w:right w:val="none" w:sz="0" w:space="0" w:color="auto"/>
      </w:divBdr>
    </w:div>
    <w:div w:id="259677342">
      <w:bodyDiv w:val="1"/>
      <w:marLeft w:val="0"/>
      <w:marRight w:val="0"/>
      <w:marTop w:val="0"/>
      <w:marBottom w:val="0"/>
      <w:divBdr>
        <w:top w:val="none" w:sz="0" w:space="0" w:color="auto"/>
        <w:left w:val="none" w:sz="0" w:space="0" w:color="auto"/>
        <w:bottom w:val="none" w:sz="0" w:space="0" w:color="auto"/>
        <w:right w:val="none" w:sz="0" w:space="0" w:color="auto"/>
      </w:divBdr>
    </w:div>
    <w:div w:id="261913797">
      <w:bodyDiv w:val="1"/>
      <w:marLeft w:val="0"/>
      <w:marRight w:val="0"/>
      <w:marTop w:val="0"/>
      <w:marBottom w:val="0"/>
      <w:divBdr>
        <w:top w:val="none" w:sz="0" w:space="0" w:color="auto"/>
        <w:left w:val="none" w:sz="0" w:space="0" w:color="auto"/>
        <w:bottom w:val="none" w:sz="0" w:space="0" w:color="auto"/>
        <w:right w:val="none" w:sz="0" w:space="0" w:color="auto"/>
      </w:divBdr>
    </w:div>
    <w:div w:id="264580548">
      <w:bodyDiv w:val="1"/>
      <w:marLeft w:val="0"/>
      <w:marRight w:val="0"/>
      <w:marTop w:val="0"/>
      <w:marBottom w:val="0"/>
      <w:divBdr>
        <w:top w:val="none" w:sz="0" w:space="0" w:color="auto"/>
        <w:left w:val="none" w:sz="0" w:space="0" w:color="auto"/>
        <w:bottom w:val="none" w:sz="0" w:space="0" w:color="auto"/>
        <w:right w:val="none" w:sz="0" w:space="0" w:color="auto"/>
      </w:divBdr>
    </w:div>
    <w:div w:id="299464173">
      <w:bodyDiv w:val="1"/>
      <w:marLeft w:val="0"/>
      <w:marRight w:val="0"/>
      <w:marTop w:val="0"/>
      <w:marBottom w:val="0"/>
      <w:divBdr>
        <w:top w:val="none" w:sz="0" w:space="0" w:color="auto"/>
        <w:left w:val="none" w:sz="0" w:space="0" w:color="auto"/>
        <w:bottom w:val="none" w:sz="0" w:space="0" w:color="auto"/>
        <w:right w:val="none" w:sz="0" w:space="0" w:color="auto"/>
      </w:divBdr>
    </w:div>
    <w:div w:id="303855481">
      <w:bodyDiv w:val="1"/>
      <w:marLeft w:val="0"/>
      <w:marRight w:val="0"/>
      <w:marTop w:val="0"/>
      <w:marBottom w:val="0"/>
      <w:divBdr>
        <w:top w:val="none" w:sz="0" w:space="0" w:color="auto"/>
        <w:left w:val="none" w:sz="0" w:space="0" w:color="auto"/>
        <w:bottom w:val="none" w:sz="0" w:space="0" w:color="auto"/>
        <w:right w:val="none" w:sz="0" w:space="0" w:color="auto"/>
      </w:divBdr>
    </w:div>
    <w:div w:id="307822883">
      <w:bodyDiv w:val="1"/>
      <w:marLeft w:val="0"/>
      <w:marRight w:val="0"/>
      <w:marTop w:val="0"/>
      <w:marBottom w:val="0"/>
      <w:divBdr>
        <w:top w:val="none" w:sz="0" w:space="0" w:color="auto"/>
        <w:left w:val="none" w:sz="0" w:space="0" w:color="auto"/>
        <w:bottom w:val="none" w:sz="0" w:space="0" w:color="auto"/>
        <w:right w:val="none" w:sz="0" w:space="0" w:color="auto"/>
      </w:divBdr>
    </w:div>
    <w:div w:id="312103456">
      <w:bodyDiv w:val="1"/>
      <w:marLeft w:val="0"/>
      <w:marRight w:val="0"/>
      <w:marTop w:val="0"/>
      <w:marBottom w:val="0"/>
      <w:divBdr>
        <w:top w:val="none" w:sz="0" w:space="0" w:color="auto"/>
        <w:left w:val="none" w:sz="0" w:space="0" w:color="auto"/>
        <w:bottom w:val="none" w:sz="0" w:space="0" w:color="auto"/>
        <w:right w:val="none" w:sz="0" w:space="0" w:color="auto"/>
      </w:divBdr>
    </w:div>
    <w:div w:id="342391825">
      <w:bodyDiv w:val="1"/>
      <w:marLeft w:val="0"/>
      <w:marRight w:val="0"/>
      <w:marTop w:val="0"/>
      <w:marBottom w:val="0"/>
      <w:divBdr>
        <w:top w:val="none" w:sz="0" w:space="0" w:color="auto"/>
        <w:left w:val="none" w:sz="0" w:space="0" w:color="auto"/>
        <w:bottom w:val="none" w:sz="0" w:space="0" w:color="auto"/>
        <w:right w:val="none" w:sz="0" w:space="0" w:color="auto"/>
      </w:divBdr>
    </w:div>
    <w:div w:id="356735639">
      <w:bodyDiv w:val="1"/>
      <w:marLeft w:val="0"/>
      <w:marRight w:val="0"/>
      <w:marTop w:val="0"/>
      <w:marBottom w:val="0"/>
      <w:divBdr>
        <w:top w:val="none" w:sz="0" w:space="0" w:color="auto"/>
        <w:left w:val="none" w:sz="0" w:space="0" w:color="auto"/>
        <w:bottom w:val="none" w:sz="0" w:space="0" w:color="auto"/>
        <w:right w:val="none" w:sz="0" w:space="0" w:color="auto"/>
      </w:divBdr>
    </w:div>
    <w:div w:id="359358603">
      <w:bodyDiv w:val="1"/>
      <w:marLeft w:val="0"/>
      <w:marRight w:val="0"/>
      <w:marTop w:val="0"/>
      <w:marBottom w:val="0"/>
      <w:divBdr>
        <w:top w:val="none" w:sz="0" w:space="0" w:color="auto"/>
        <w:left w:val="none" w:sz="0" w:space="0" w:color="auto"/>
        <w:bottom w:val="none" w:sz="0" w:space="0" w:color="auto"/>
        <w:right w:val="none" w:sz="0" w:space="0" w:color="auto"/>
      </w:divBdr>
    </w:div>
    <w:div w:id="438112572">
      <w:bodyDiv w:val="1"/>
      <w:marLeft w:val="0"/>
      <w:marRight w:val="0"/>
      <w:marTop w:val="0"/>
      <w:marBottom w:val="0"/>
      <w:divBdr>
        <w:top w:val="none" w:sz="0" w:space="0" w:color="auto"/>
        <w:left w:val="none" w:sz="0" w:space="0" w:color="auto"/>
        <w:bottom w:val="none" w:sz="0" w:space="0" w:color="auto"/>
        <w:right w:val="none" w:sz="0" w:space="0" w:color="auto"/>
      </w:divBdr>
    </w:div>
    <w:div w:id="445739703">
      <w:bodyDiv w:val="1"/>
      <w:marLeft w:val="0"/>
      <w:marRight w:val="0"/>
      <w:marTop w:val="0"/>
      <w:marBottom w:val="0"/>
      <w:divBdr>
        <w:top w:val="none" w:sz="0" w:space="0" w:color="auto"/>
        <w:left w:val="none" w:sz="0" w:space="0" w:color="auto"/>
        <w:bottom w:val="none" w:sz="0" w:space="0" w:color="auto"/>
        <w:right w:val="none" w:sz="0" w:space="0" w:color="auto"/>
      </w:divBdr>
    </w:div>
    <w:div w:id="480078049">
      <w:bodyDiv w:val="1"/>
      <w:marLeft w:val="0"/>
      <w:marRight w:val="0"/>
      <w:marTop w:val="0"/>
      <w:marBottom w:val="0"/>
      <w:divBdr>
        <w:top w:val="none" w:sz="0" w:space="0" w:color="auto"/>
        <w:left w:val="none" w:sz="0" w:space="0" w:color="auto"/>
        <w:bottom w:val="none" w:sz="0" w:space="0" w:color="auto"/>
        <w:right w:val="none" w:sz="0" w:space="0" w:color="auto"/>
      </w:divBdr>
    </w:div>
    <w:div w:id="497160417">
      <w:bodyDiv w:val="1"/>
      <w:marLeft w:val="0"/>
      <w:marRight w:val="0"/>
      <w:marTop w:val="0"/>
      <w:marBottom w:val="0"/>
      <w:divBdr>
        <w:top w:val="none" w:sz="0" w:space="0" w:color="auto"/>
        <w:left w:val="none" w:sz="0" w:space="0" w:color="auto"/>
        <w:bottom w:val="none" w:sz="0" w:space="0" w:color="auto"/>
        <w:right w:val="none" w:sz="0" w:space="0" w:color="auto"/>
      </w:divBdr>
    </w:div>
    <w:div w:id="507133970">
      <w:bodyDiv w:val="1"/>
      <w:marLeft w:val="0"/>
      <w:marRight w:val="0"/>
      <w:marTop w:val="0"/>
      <w:marBottom w:val="0"/>
      <w:divBdr>
        <w:top w:val="none" w:sz="0" w:space="0" w:color="auto"/>
        <w:left w:val="none" w:sz="0" w:space="0" w:color="auto"/>
        <w:bottom w:val="none" w:sz="0" w:space="0" w:color="auto"/>
        <w:right w:val="none" w:sz="0" w:space="0" w:color="auto"/>
      </w:divBdr>
    </w:div>
    <w:div w:id="527372012">
      <w:bodyDiv w:val="1"/>
      <w:marLeft w:val="0"/>
      <w:marRight w:val="0"/>
      <w:marTop w:val="0"/>
      <w:marBottom w:val="0"/>
      <w:divBdr>
        <w:top w:val="none" w:sz="0" w:space="0" w:color="auto"/>
        <w:left w:val="none" w:sz="0" w:space="0" w:color="auto"/>
        <w:bottom w:val="none" w:sz="0" w:space="0" w:color="auto"/>
        <w:right w:val="none" w:sz="0" w:space="0" w:color="auto"/>
      </w:divBdr>
    </w:div>
    <w:div w:id="554002358">
      <w:bodyDiv w:val="1"/>
      <w:marLeft w:val="0"/>
      <w:marRight w:val="0"/>
      <w:marTop w:val="0"/>
      <w:marBottom w:val="0"/>
      <w:divBdr>
        <w:top w:val="none" w:sz="0" w:space="0" w:color="auto"/>
        <w:left w:val="none" w:sz="0" w:space="0" w:color="auto"/>
        <w:bottom w:val="none" w:sz="0" w:space="0" w:color="auto"/>
        <w:right w:val="none" w:sz="0" w:space="0" w:color="auto"/>
      </w:divBdr>
    </w:div>
    <w:div w:id="597253294">
      <w:bodyDiv w:val="1"/>
      <w:marLeft w:val="0"/>
      <w:marRight w:val="0"/>
      <w:marTop w:val="0"/>
      <w:marBottom w:val="0"/>
      <w:divBdr>
        <w:top w:val="none" w:sz="0" w:space="0" w:color="auto"/>
        <w:left w:val="none" w:sz="0" w:space="0" w:color="auto"/>
        <w:bottom w:val="none" w:sz="0" w:space="0" w:color="auto"/>
        <w:right w:val="none" w:sz="0" w:space="0" w:color="auto"/>
      </w:divBdr>
    </w:div>
    <w:div w:id="613832523">
      <w:bodyDiv w:val="1"/>
      <w:marLeft w:val="0"/>
      <w:marRight w:val="0"/>
      <w:marTop w:val="0"/>
      <w:marBottom w:val="0"/>
      <w:divBdr>
        <w:top w:val="none" w:sz="0" w:space="0" w:color="auto"/>
        <w:left w:val="none" w:sz="0" w:space="0" w:color="auto"/>
        <w:bottom w:val="none" w:sz="0" w:space="0" w:color="auto"/>
        <w:right w:val="none" w:sz="0" w:space="0" w:color="auto"/>
      </w:divBdr>
    </w:div>
    <w:div w:id="618416602">
      <w:bodyDiv w:val="1"/>
      <w:marLeft w:val="0"/>
      <w:marRight w:val="0"/>
      <w:marTop w:val="0"/>
      <w:marBottom w:val="0"/>
      <w:divBdr>
        <w:top w:val="none" w:sz="0" w:space="0" w:color="auto"/>
        <w:left w:val="none" w:sz="0" w:space="0" w:color="auto"/>
        <w:bottom w:val="none" w:sz="0" w:space="0" w:color="auto"/>
        <w:right w:val="none" w:sz="0" w:space="0" w:color="auto"/>
      </w:divBdr>
    </w:div>
    <w:div w:id="620959410">
      <w:bodyDiv w:val="1"/>
      <w:marLeft w:val="0"/>
      <w:marRight w:val="0"/>
      <w:marTop w:val="0"/>
      <w:marBottom w:val="0"/>
      <w:divBdr>
        <w:top w:val="none" w:sz="0" w:space="0" w:color="auto"/>
        <w:left w:val="none" w:sz="0" w:space="0" w:color="auto"/>
        <w:bottom w:val="none" w:sz="0" w:space="0" w:color="auto"/>
        <w:right w:val="none" w:sz="0" w:space="0" w:color="auto"/>
      </w:divBdr>
    </w:div>
    <w:div w:id="649408166">
      <w:bodyDiv w:val="1"/>
      <w:marLeft w:val="0"/>
      <w:marRight w:val="0"/>
      <w:marTop w:val="0"/>
      <w:marBottom w:val="0"/>
      <w:divBdr>
        <w:top w:val="none" w:sz="0" w:space="0" w:color="auto"/>
        <w:left w:val="none" w:sz="0" w:space="0" w:color="auto"/>
        <w:bottom w:val="none" w:sz="0" w:space="0" w:color="auto"/>
        <w:right w:val="none" w:sz="0" w:space="0" w:color="auto"/>
      </w:divBdr>
    </w:div>
    <w:div w:id="661738380">
      <w:bodyDiv w:val="1"/>
      <w:marLeft w:val="0"/>
      <w:marRight w:val="0"/>
      <w:marTop w:val="0"/>
      <w:marBottom w:val="0"/>
      <w:divBdr>
        <w:top w:val="none" w:sz="0" w:space="0" w:color="auto"/>
        <w:left w:val="none" w:sz="0" w:space="0" w:color="auto"/>
        <w:bottom w:val="none" w:sz="0" w:space="0" w:color="auto"/>
        <w:right w:val="none" w:sz="0" w:space="0" w:color="auto"/>
      </w:divBdr>
    </w:div>
    <w:div w:id="662781909">
      <w:bodyDiv w:val="1"/>
      <w:marLeft w:val="0"/>
      <w:marRight w:val="0"/>
      <w:marTop w:val="0"/>
      <w:marBottom w:val="0"/>
      <w:divBdr>
        <w:top w:val="none" w:sz="0" w:space="0" w:color="auto"/>
        <w:left w:val="none" w:sz="0" w:space="0" w:color="auto"/>
        <w:bottom w:val="none" w:sz="0" w:space="0" w:color="auto"/>
        <w:right w:val="none" w:sz="0" w:space="0" w:color="auto"/>
      </w:divBdr>
    </w:div>
    <w:div w:id="694306674">
      <w:bodyDiv w:val="1"/>
      <w:marLeft w:val="0"/>
      <w:marRight w:val="0"/>
      <w:marTop w:val="0"/>
      <w:marBottom w:val="0"/>
      <w:divBdr>
        <w:top w:val="none" w:sz="0" w:space="0" w:color="auto"/>
        <w:left w:val="none" w:sz="0" w:space="0" w:color="auto"/>
        <w:bottom w:val="none" w:sz="0" w:space="0" w:color="auto"/>
        <w:right w:val="none" w:sz="0" w:space="0" w:color="auto"/>
      </w:divBdr>
    </w:div>
    <w:div w:id="746725648">
      <w:bodyDiv w:val="1"/>
      <w:marLeft w:val="0"/>
      <w:marRight w:val="0"/>
      <w:marTop w:val="0"/>
      <w:marBottom w:val="0"/>
      <w:divBdr>
        <w:top w:val="none" w:sz="0" w:space="0" w:color="auto"/>
        <w:left w:val="none" w:sz="0" w:space="0" w:color="auto"/>
        <w:bottom w:val="none" w:sz="0" w:space="0" w:color="auto"/>
        <w:right w:val="none" w:sz="0" w:space="0" w:color="auto"/>
      </w:divBdr>
    </w:div>
    <w:div w:id="761416823">
      <w:bodyDiv w:val="1"/>
      <w:marLeft w:val="0"/>
      <w:marRight w:val="0"/>
      <w:marTop w:val="0"/>
      <w:marBottom w:val="0"/>
      <w:divBdr>
        <w:top w:val="none" w:sz="0" w:space="0" w:color="auto"/>
        <w:left w:val="none" w:sz="0" w:space="0" w:color="auto"/>
        <w:bottom w:val="none" w:sz="0" w:space="0" w:color="auto"/>
        <w:right w:val="none" w:sz="0" w:space="0" w:color="auto"/>
      </w:divBdr>
    </w:div>
    <w:div w:id="780539166">
      <w:bodyDiv w:val="1"/>
      <w:marLeft w:val="0"/>
      <w:marRight w:val="0"/>
      <w:marTop w:val="0"/>
      <w:marBottom w:val="0"/>
      <w:divBdr>
        <w:top w:val="none" w:sz="0" w:space="0" w:color="auto"/>
        <w:left w:val="none" w:sz="0" w:space="0" w:color="auto"/>
        <w:bottom w:val="none" w:sz="0" w:space="0" w:color="auto"/>
        <w:right w:val="none" w:sz="0" w:space="0" w:color="auto"/>
      </w:divBdr>
    </w:div>
    <w:div w:id="808939876">
      <w:bodyDiv w:val="1"/>
      <w:marLeft w:val="0"/>
      <w:marRight w:val="0"/>
      <w:marTop w:val="0"/>
      <w:marBottom w:val="0"/>
      <w:divBdr>
        <w:top w:val="none" w:sz="0" w:space="0" w:color="auto"/>
        <w:left w:val="none" w:sz="0" w:space="0" w:color="auto"/>
        <w:bottom w:val="none" w:sz="0" w:space="0" w:color="auto"/>
        <w:right w:val="none" w:sz="0" w:space="0" w:color="auto"/>
      </w:divBdr>
    </w:div>
    <w:div w:id="834414350">
      <w:bodyDiv w:val="1"/>
      <w:marLeft w:val="0"/>
      <w:marRight w:val="0"/>
      <w:marTop w:val="0"/>
      <w:marBottom w:val="0"/>
      <w:divBdr>
        <w:top w:val="none" w:sz="0" w:space="0" w:color="auto"/>
        <w:left w:val="none" w:sz="0" w:space="0" w:color="auto"/>
        <w:bottom w:val="none" w:sz="0" w:space="0" w:color="auto"/>
        <w:right w:val="none" w:sz="0" w:space="0" w:color="auto"/>
      </w:divBdr>
    </w:div>
    <w:div w:id="871455986">
      <w:bodyDiv w:val="1"/>
      <w:marLeft w:val="0"/>
      <w:marRight w:val="0"/>
      <w:marTop w:val="0"/>
      <w:marBottom w:val="0"/>
      <w:divBdr>
        <w:top w:val="none" w:sz="0" w:space="0" w:color="auto"/>
        <w:left w:val="none" w:sz="0" w:space="0" w:color="auto"/>
        <w:bottom w:val="none" w:sz="0" w:space="0" w:color="auto"/>
        <w:right w:val="none" w:sz="0" w:space="0" w:color="auto"/>
      </w:divBdr>
    </w:div>
    <w:div w:id="888145740">
      <w:bodyDiv w:val="1"/>
      <w:marLeft w:val="0"/>
      <w:marRight w:val="0"/>
      <w:marTop w:val="0"/>
      <w:marBottom w:val="0"/>
      <w:divBdr>
        <w:top w:val="none" w:sz="0" w:space="0" w:color="auto"/>
        <w:left w:val="none" w:sz="0" w:space="0" w:color="auto"/>
        <w:bottom w:val="none" w:sz="0" w:space="0" w:color="auto"/>
        <w:right w:val="none" w:sz="0" w:space="0" w:color="auto"/>
      </w:divBdr>
    </w:div>
    <w:div w:id="911350166">
      <w:bodyDiv w:val="1"/>
      <w:marLeft w:val="0"/>
      <w:marRight w:val="0"/>
      <w:marTop w:val="0"/>
      <w:marBottom w:val="0"/>
      <w:divBdr>
        <w:top w:val="none" w:sz="0" w:space="0" w:color="auto"/>
        <w:left w:val="none" w:sz="0" w:space="0" w:color="auto"/>
        <w:bottom w:val="none" w:sz="0" w:space="0" w:color="auto"/>
        <w:right w:val="none" w:sz="0" w:space="0" w:color="auto"/>
      </w:divBdr>
    </w:div>
    <w:div w:id="928194747">
      <w:bodyDiv w:val="1"/>
      <w:marLeft w:val="0"/>
      <w:marRight w:val="0"/>
      <w:marTop w:val="0"/>
      <w:marBottom w:val="0"/>
      <w:divBdr>
        <w:top w:val="none" w:sz="0" w:space="0" w:color="auto"/>
        <w:left w:val="none" w:sz="0" w:space="0" w:color="auto"/>
        <w:bottom w:val="none" w:sz="0" w:space="0" w:color="auto"/>
        <w:right w:val="none" w:sz="0" w:space="0" w:color="auto"/>
      </w:divBdr>
    </w:div>
    <w:div w:id="953829106">
      <w:bodyDiv w:val="1"/>
      <w:marLeft w:val="0"/>
      <w:marRight w:val="0"/>
      <w:marTop w:val="0"/>
      <w:marBottom w:val="0"/>
      <w:divBdr>
        <w:top w:val="none" w:sz="0" w:space="0" w:color="auto"/>
        <w:left w:val="none" w:sz="0" w:space="0" w:color="auto"/>
        <w:bottom w:val="none" w:sz="0" w:space="0" w:color="auto"/>
        <w:right w:val="none" w:sz="0" w:space="0" w:color="auto"/>
      </w:divBdr>
    </w:div>
    <w:div w:id="992636138">
      <w:bodyDiv w:val="1"/>
      <w:marLeft w:val="0"/>
      <w:marRight w:val="0"/>
      <w:marTop w:val="0"/>
      <w:marBottom w:val="0"/>
      <w:divBdr>
        <w:top w:val="none" w:sz="0" w:space="0" w:color="auto"/>
        <w:left w:val="none" w:sz="0" w:space="0" w:color="auto"/>
        <w:bottom w:val="none" w:sz="0" w:space="0" w:color="auto"/>
        <w:right w:val="none" w:sz="0" w:space="0" w:color="auto"/>
      </w:divBdr>
    </w:div>
    <w:div w:id="1028213470">
      <w:bodyDiv w:val="1"/>
      <w:marLeft w:val="0"/>
      <w:marRight w:val="0"/>
      <w:marTop w:val="0"/>
      <w:marBottom w:val="0"/>
      <w:divBdr>
        <w:top w:val="none" w:sz="0" w:space="0" w:color="auto"/>
        <w:left w:val="none" w:sz="0" w:space="0" w:color="auto"/>
        <w:bottom w:val="none" w:sz="0" w:space="0" w:color="auto"/>
        <w:right w:val="none" w:sz="0" w:space="0" w:color="auto"/>
      </w:divBdr>
    </w:div>
    <w:div w:id="1032801179">
      <w:bodyDiv w:val="1"/>
      <w:marLeft w:val="0"/>
      <w:marRight w:val="0"/>
      <w:marTop w:val="0"/>
      <w:marBottom w:val="0"/>
      <w:divBdr>
        <w:top w:val="none" w:sz="0" w:space="0" w:color="auto"/>
        <w:left w:val="none" w:sz="0" w:space="0" w:color="auto"/>
        <w:bottom w:val="none" w:sz="0" w:space="0" w:color="auto"/>
        <w:right w:val="none" w:sz="0" w:space="0" w:color="auto"/>
      </w:divBdr>
    </w:div>
    <w:div w:id="1055541082">
      <w:bodyDiv w:val="1"/>
      <w:marLeft w:val="0"/>
      <w:marRight w:val="0"/>
      <w:marTop w:val="0"/>
      <w:marBottom w:val="0"/>
      <w:divBdr>
        <w:top w:val="none" w:sz="0" w:space="0" w:color="auto"/>
        <w:left w:val="none" w:sz="0" w:space="0" w:color="auto"/>
        <w:bottom w:val="none" w:sz="0" w:space="0" w:color="auto"/>
        <w:right w:val="none" w:sz="0" w:space="0" w:color="auto"/>
      </w:divBdr>
    </w:div>
    <w:div w:id="1061564216">
      <w:bodyDiv w:val="1"/>
      <w:marLeft w:val="0"/>
      <w:marRight w:val="0"/>
      <w:marTop w:val="0"/>
      <w:marBottom w:val="0"/>
      <w:divBdr>
        <w:top w:val="none" w:sz="0" w:space="0" w:color="auto"/>
        <w:left w:val="none" w:sz="0" w:space="0" w:color="auto"/>
        <w:bottom w:val="none" w:sz="0" w:space="0" w:color="auto"/>
        <w:right w:val="none" w:sz="0" w:space="0" w:color="auto"/>
      </w:divBdr>
    </w:div>
    <w:div w:id="1072891948">
      <w:bodyDiv w:val="1"/>
      <w:marLeft w:val="0"/>
      <w:marRight w:val="0"/>
      <w:marTop w:val="0"/>
      <w:marBottom w:val="0"/>
      <w:divBdr>
        <w:top w:val="none" w:sz="0" w:space="0" w:color="auto"/>
        <w:left w:val="none" w:sz="0" w:space="0" w:color="auto"/>
        <w:bottom w:val="none" w:sz="0" w:space="0" w:color="auto"/>
        <w:right w:val="none" w:sz="0" w:space="0" w:color="auto"/>
      </w:divBdr>
    </w:div>
    <w:div w:id="1099762010">
      <w:bodyDiv w:val="1"/>
      <w:marLeft w:val="0"/>
      <w:marRight w:val="0"/>
      <w:marTop w:val="0"/>
      <w:marBottom w:val="0"/>
      <w:divBdr>
        <w:top w:val="none" w:sz="0" w:space="0" w:color="auto"/>
        <w:left w:val="none" w:sz="0" w:space="0" w:color="auto"/>
        <w:bottom w:val="none" w:sz="0" w:space="0" w:color="auto"/>
        <w:right w:val="none" w:sz="0" w:space="0" w:color="auto"/>
      </w:divBdr>
    </w:div>
    <w:div w:id="1128745371">
      <w:bodyDiv w:val="1"/>
      <w:marLeft w:val="0"/>
      <w:marRight w:val="0"/>
      <w:marTop w:val="0"/>
      <w:marBottom w:val="0"/>
      <w:divBdr>
        <w:top w:val="none" w:sz="0" w:space="0" w:color="auto"/>
        <w:left w:val="none" w:sz="0" w:space="0" w:color="auto"/>
        <w:bottom w:val="none" w:sz="0" w:space="0" w:color="auto"/>
        <w:right w:val="none" w:sz="0" w:space="0" w:color="auto"/>
      </w:divBdr>
    </w:div>
    <w:div w:id="1158494220">
      <w:bodyDiv w:val="1"/>
      <w:marLeft w:val="0"/>
      <w:marRight w:val="0"/>
      <w:marTop w:val="0"/>
      <w:marBottom w:val="0"/>
      <w:divBdr>
        <w:top w:val="none" w:sz="0" w:space="0" w:color="auto"/>
        <w:left w:val="none" w:sz="0" w:space="0" w:color="auto"/>
        <w:bottom w:val="none" w:sz="0" w:space="0" w:color="auto"/>
        <w:right w:val="none" w:sz="0" w:space="0" w:color="auto"/>
      </w:divBdr>
    </w:div>
    <w:div w:id="1202746430">
      <w:bodyDiv w:val="1"/>
      <w:marLeft w:val="0"/>
      <w:marRight w:val="0"/>
      <w:marTop w:val="0"/>
      <w:marBottom w:val="0"/>
      <w:divBdr>
        <w:top w:val="none" w:sz="0" w:space="0" w:color="auto"/>
        <w:left w:val="none" w:sz="0" w:space="0" w:color="auto"/>
        <w:bottom w:val="none" w:sz="0" w:space="0" w:color="auto"/>
        <w:right w:val="none" w:sz="0" w:space="0" w:color="auto"/>
      </w:divBdr>
    </w:div>
    <w:div w:id="1247685405">
      <w:bodyDiv w:val="1"/>
      <w:marLeft w:val="0"/>
      <w:marRight w:val="0"/>
      <w:marTop w:val="0"/>
      <w:marBottom w:val="0"/>
      <w:divBdr>
        <w:top w:val="none" w:sz="0" w:space="0" w:color="auto"/>
        <w:left w:val="none" w:sz="0" w:space="0" w:color="auto"/>
        <w:bottom w:val="none" w:sz="0" w:space="0" w:color="auto"/>
        <w:right w:val="none" w:sz="0" w:space="0" w:color="auto"/>
      </w:divBdr>
    </w:div>
    <w:div w:id="1265386991">
      <w:bodyDiv w:val="1"/>
      <w:marLeft w:val="0"/>
      <w:marRight w:val="0"/>
      <w:marTop w:val="0"/>
      <w:marBottom w:val="0"/>
      <w:divBdr>
        <w:top w:val="none" w:sz="0" w:space="0" w:color="auto"/>
        <w:left w:val="none" w:sz="0" w:space="0" w:color="auto"/>
        <w:bottom w:val="none" w:sz="0" w:space="0" w:color="auto"/>
        <w:right w:val="none" w:sz="0" w:space="0" w:color="auto"/>
      </w:divBdr>
    </w:div>
    <w:div w:id="1267347334">
      <w:bodyDiv w:val="1"/>
      <w:marLeft w:val="0"/>
      <w:marRight w:val="0"/>
      <w:marTop w:val="0"/>
      <w:marBottom w:val="0"/>
      <w:divBdr>
        <w:top w:val="none" w:sz="0" w:space="0" w:color="auto"/>
        <w:left w:val="none" w:sz="0" w:space="0" w:color="auto"/>
        <w:bottom w:val="none" w:sz="0" w:space="0" w:color="auto"/>
        <w:right w:val="none" w:sz="0" w:space="0" w:color="auto"/>
      </w:divBdr>
    </w:div>
    <w:div w:id="1273168070">
      <w:bodyDiv w:val="1"/>
      <w:marLeft w:val="0"/>
      <w:marRight w:val="0"/>
      <w:marTop w:val="0"/>
      <w:marBottom w:val="0"/>
      <w:divBdr>
        <w:top w:val="none" w:sz="0" w:space="0" w:color="auto"/>
        <w:left w:val="none" w:sz="0" w:space="0" w:color="auto"/>
        <w:bottom w:val="none" w:sz="0" w:space="0" w:color="auto"/>
        <w:right w:val="none" w:sz="0" w:space="0" w:color="auto"/>
      </w:divBdr>
    </w:div>
    <w:div w:id="1354065354">
      <w:bodyDiv w:val="1"/>
      <w:marLeft w:val="0"/>
      <w:marRight w:val="0"/>
      <w:marTop w:val="0"/>
      <w:marBottom w:val="0"/>
      <w:divBdr>
        <w:top w:val="none" w:sz="0" w:space="0" w:color="auto"/>
        <w:left w:val="none" w:sz="0" w:space="0" w:color="auto"/>
        <w:bottom w:val="none" w:sz="0" w:space="0" w:color="auto"/>
        <w:right w:val="none" w:sz="0" w:space="0" w:color="auto"/>
      </w:divBdr>
    </w:div>
    <w:div w:id="1388990449">
      <w:bodyDiv w:val="1"/>
      <w:marLeft w:val="0"/>
      <w:marRight w:val="0"/>
      <w:marTop w:val="0"/>
      <w:marBottom w:val="0"/>
      <w:divBdr>
        <w:top w:val="none" w:sz="0" w:space="0" w:color="auto"/>
        <w:left w:val="none" w:sz="0" w:space="0" w:color="auto"/>
        <w:bottom w:val="none" w:sz="0" w:space="0" w:color="auto"/>
        <w:right w:val="none" w:sz="0" w:space="0" w:color="auto"/>
      </w:divBdr>
    </w:div>
    <w:div w:id="1391685236">
      <w:bodyDiv w:val="1"/>
      <w:marLeft w:val="0"/>
      <w:marRight w:val="0"/>
      <w:marTop w:val="0"/>
      <w:marBottom w:val="0"/>
      <w:divBdr>
        <w:top w:val="none" w:sz="0" w:space="0" w:color="auto"/>
        <w:left w:val="none" w:sz="0" w:space="0" w:color="auto"/>
        <w:bottom w:val="none" w:sz="0" w:space="0" w:color="auto"/>
        <w:right w:val="none" w:sz="0" w:space="0" w:color="auto"/>
      </w:divBdr>
    </w:div>
    <w:div w:id="1437484128">
      <w:bodyDiv w:val="1"/>
      <w:marLeft w:val="0"/>
      <w:marRight w:val="0"/>
      <w:marTop w:val="0"/>
      <w:marBottom w:val="0"/>
      <w:divBdr>
        <w:top w:val="none" w:sz="0" w:space="0" w:color="auto"/>
        <w:left w:val="none" w:sz="0" w:space="0" w:color="auto"/>
        <w:bottom w:val="none" w:sz="0" w:space="0" w:color="auto"/>
        <w:right w:val="none" w:sz="0" w:space="0" w:color="auto"/>
      </w:divBdr>
    </w:div>
    <w:div w:id="1438914523">
      <w:bodyDiv w:val="1"/>
      <w:marLeft w:val="0"/>
      <w:marRight w:val="0"/>
      <w:marTop w:val="0"/>
      <w:marBottom w:val="0"/>
      <w:divBdr>
        <w:top w:val="none" w:sz="0" w:space="0" w:color="auto"/>
        <w:left w:val="none" w:sz="0" w:space="0" w:color="auto"/>
        <w:bottom w:val="none" w:sz="0" w:space="0" w:color="auto"/>
        <w:right w:val="none" w:sz="0" w:space="0" w:color="auto"/>
      </w:divBdr>
    </w:div>
    <w:div w:id="1444571476">
      <w:bodyDiv w:val="1"/>
      <w:marLeft w:val="0"/>
      <w:marRight w:val="0"/>
      <w:marTop w:val="0"/>
      <w:marBottom w:val="0"/>
      <w:divBdr>
        <w:top w:val="none" w:sz="0" w:space="0" w:color="auto"/>
        <w:left w:val="none" w:sz="0" w:space="0" w:color="auto"/>
        <w:bottom w:val="none" w:sz="0" w:space="0" w:color="auto"/>
        <w:right w:val="none" w:sz="0" w:space="0" w:color="auto"/>
      </w:divBdr>
    </w:div>
    <w:div w:id="1445803579">
      <w:bodyDiv w:val="1"/>
      <w:marLeft w:val="0"/>
      <w:marRight w:val="0"/>
      <w:marTop w:val="0"/>
      <w:marBottom w:val="0"/>
      <w:divBdr>
        <w:top w:val="none" w:sz="0" w:space="0" w:color="auto"/>
        <w:left w:val="none" w:sz="0" w:space="0" w:color="auto"/>
        <w:bottom w:val="none" w:sz="0" w:space="0" w:color="auto"/>
        <w:right w:val="none" w:sz="0" w:space="0" w:color="auto"/>
      </w:divBdr>
    </w:div>
    <w:div w:id="1481462825">
      <w:bodyDiv w:val="1"/>
      <w:marLeft w:val="0"/>
      <w:marRight w:val="0"/>
      <w:marTop w:val="0"/>
      <w:marBottom w:val="0"/>
      <w:divBdr>
        <w:top w:val="none" w:sz="0" w:space="0" w:color="auto"/>
        <w:left w:val="none" w:sz="0" w:space="0" w:color="auto"/>
        <w:bottom w:val="none" w:sz="0" w:space="0" w:color="auto"/>
        <w:right w:val="none" w:sz="0" w:space="0" w:color="auto"/>
      </w:divBdr>
    </w:div>
    <w:div w:id="1560021890">
      <w:bodyDiv w:val="1"/>
      <w:marLeft w:val="0"/>
      <w:marRight w:val="0"/>
      <w:marTop w:val="0"/>
      <w:marBottom w:val="0"/>
      <w:divBdr>
        <w:top w:val="none" w:sz="0" w:space="0" w:color="auto"/>
        <w:left w:val="none" w:sz="0" w:space="0" w:color="auto"/>
        <w:bottom w:val="none" w:sz="0" w:space="0" w:color="auto"/>
        <w:right w:val="none" w:sz="0" w:space="0" w:color="auto"/>
      </w:divBdr>
    </w:div>
    <w:div w:id="1567492391">
      <w:bodyDiv w:val="1"/>
      <w:marLeft w:val="0"/>
      <w:marRight w:val="0"/>
      <w:marTop w:val="0"/>
      <w:marBottom w:val="0"/>
      <w:divBdr>
        <w:top w:val="none" w:sz="0" w:space="0" w:color="auto"/>
        <w:left w:val="none" w:sz="0" w:space="0" w:color="auto"/>
        <w:bottom w:val="none" w:sz="0" w:space="0" w:color="auto"/>
        <w:right w:val="none" w:sz="0" w:space="0" w:color="auto"/>
      </w:divBdr>
    </w:div>
    <w:div w:id="1623729341">
      <w:bodyDiv w:val="1"/>
      <w:marLeft w:val="0"/>
      <w:marRight w:val="0"/>
      <w:marTop w:val="0"/>
      <w:marBottom w:val="0"/>
      <w:divBdr>
        <w:top w:val="none" w:sz="0" w:space="0" w:color="auto"/>
        <w:left w:val="none" w:sz="0" w:space="0" w:color="auto"/>
        <w:bottom w:val="none" w:sz="0" w:space="0" w:color="auto"/>
        <w:right w:val="none" w:sz="0" w:space="0" w:color="auto"/>
      </w:divBdr>
    </w:div>
    <w:div w:id="1625846095">
      <w:bodyDiv w:val="1"/>
      <w:marLeft w:val="0"/>
      <w:marRight w:val="0"/>
      <w:marTop w:val="0"/>
      <w:marBottom w:val="0"/>
      <w:divBdr>
        <w:top w:val="none" w:sz="0" w:space="0" w:color="auto"/>
        <w:left w:val="none" w:sz="0" w:space="0" w:color="auto"/>
        <w:bottom w:val="none" w:sz="0" w:space="0" w:color="auto"/>
        <w:right w:val="none" w:sz="0" w:space="0" w:color="auto"/>
      </w:divBdr>
    </w:div>
    <w:div w:id="16358673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25518884">
      <w:bodyDiv w:val="1"/>
      <w:marLeft w:val="0"/>
      <w:marRight w:val="0"/>
      <w:marTop w:val="0"/>
      <w:marBottom w:val="0"/>
      <w:divBdr>
        <w:top w:val="none" w:sz="0" w:space="0" w:color="auto"/>
        <w:left w:val="none" w:sz="0" w:space="0" w:color="auto"/>
        <w:bottom w:val="none" w:sz="0" w:space="0" w:color="auto"/>
        <w:right w:val="none" w:sz="0" w:space="0" w:color="auto"/>
      </w:divBdr>
    </w:div>
    <w:div w:id="1728407847">
      <w:bodyDiv w:val="1"/>
      <w:marLeft w:val="0"/>
      <w:marRight w:val="0"/>
      <w:marTop w:val="0"/>
      <w:marBottom w:val="0"/>
      <w:divBdr>
        <w:top w:val="none" w:sz="0" w:space="0" w:color="auto"/>
        <w:left w:val="none" w:sz="0" w:space="0" w:color="auto"/>
        <w:bottom w:val="none" w:sz="0" w:space="0" w:color="auto"/>
        <w:right w:val="none" w:sz="0" w:space="0" w:color="auto"/>
      </w:divBdr>
    </w:div>
    <w:div w:id="1749108753">
      <w:bodyDiv w:val="1"/>
      <w:marLeft w:val="0"/>
      <w:marRight w:val="0"/>
      <w:marTop w:val="0"/>
      <w:marBottom w:val="0"/>
      <w:divBdr>
        <w:top w:val="none" w:sz="0" w:space="0" w:color="auto"/>
        <w:left w:val="none" w:sz="0" w:space="0" w:color="auto"/>
        <w:bottom w:val="none" w:sz="0" w:space="0" w:color="auto"/>
        <w:right w:val="none" w:sz="0" w:space="0" w:color="auto"/>
      </w:divBdr>
    </w:div>
    <w:div w:id="1756049379">
      <w:bodyDiv w:val="1"/>
      <w:marLeft w:val="0"/>
      <w:marRight w:val="0"/>
      <w:marTop w:val="0"/>
      <w:marBottom w:val="0"/>
      <w:divBdr>
        <w:top w:val="none" w:sz="0" w:space="0" w:color="auto"/>
        <w:left w:val="none" w:sz="0" w:space="0" w:color="auto"/>
        <w:bottom w:val="none" w:sz="0" w:space="0" w:color="auto"/>
        <w:right w:val="none" w:sz="0" w:space="0" w:color="auto"/>
      </w:divBdr>
    </w:div>
    <w:div w:id="1774662771">
      <w:bodyDiv w:val="1"/>
      <w:marLeft w:val="0"/>
      <w:marRight w:val="0"/>
      <w:marTop w:val="0"/>
      <w:marBottom w:val="0"/>
      <w:divBdr>
        <w:top w:val="none" w:sz="0" w:space="0" w:color="auto"/>
        <w:left w:val="none" w:sz="0" w:space="0" w:color="auto"/>
        <w:bottom w:val="none" w:sz="0" w:space="0" w:color="auto"/>
        <w:right w:val="none" w:sz="0" w:space="0" w:color="auto"/>
      </w:divBdr>
    </w:div>
    <w:div w:id="1779255835">
      <w:bodyDiv w:val="1"/>
      <w:marLeft w:val="0"/>
      <w:marRight w:val="0"/>
      <w:marTop w:val="0"/>
      <w:marBottom w:val="0"/>
      <w:divBdr>
        <w:top w:val="none" w:sz="0" w:space="0" w:color="auto"/>
        <w:left w:val="none" w:sz="0" w:space="0" w:color="auto"/>
        <w:bottom w:val="none" w:sz="0" w:space="0" w:color="auto"/>
        <w:right w:val="none" w:sz="0" w:space="0" w:color="auto"/>
      </w:divBdr>
    </w:div>
    <w:div w:id="1783264219">
      <w:bodyDiv w:val="1"/>
      <w:marLeft w:val="0"/>
      <w:marRight w:val="0"/>
      <w:marTop w:val="0"/>
      <w:marBottom w:val="0"/>
      <w:divBdr>
        <w:top w:val="none" w:sz="0" w:space="0" w:color="auto"/>
        <w:left w:val="none" w:sz="0" w:space="0" w:color="auto"/>
        <w:bottom w:val="none" w:sz="0" w:space="0" w:color="auto"/>
        <w:right w:val="none" w:sz="0" w:space="0" w:color="auto"/>
      </w:divBdr>
    </w:div>
    <w:div w:id="1784228336">
      <w:bodyDiv w:val="1"/>
      <w:marLeft w:val="0"/>
      <w:marRight w:val="0"/>
      <w:marTop w:val="0"/>
      <w:marBottom w:val="0"/>
      <w:divBdr>
        <w:top w:val="none" w:sz="0" w:space="0" w:color="auto"/>
        <w:left w:val="none" w:sz="0" w:space="0" w:color="auto"/>
        <w:bottom w:val="none" w:sz="0" w:space="0" w:color="auto"/>
        <w:right w:val="none" w:sz="0" w:space="0" w:color="auto"/>
      </w:divBdr>
    </w:div>
    <w:div w:id="1788771064">
      <w:bodyDiv w:val="1"/>
      <w:marLeft w:val="0"/>
      <w:marRight w:val="0"/>
      <w:marTop w:val="0"/>
      <w:marBottom w:val="0"/>
      <w:divBdr>
        <w:top w:val="none" w:sz="0" w:space="0" w:color="auto"/>
        <w:left w:val="none" w:sz="0" w:space="0" w:color="auto"/>
        <w:bottom w:val="none" w:sz="0" w:space="0" w:color="auto"/>
        <w:right w:val="none" w:sz="0" w:space="0" w:color="auto"/>
      </w:divBdr>
    </w:div>
    <w:div w:id="1801026571">
      <w:bodyDiv w:val="1"/>
      <w:marLeft w:val="0"/>
      <w:marRight w:val="0"/>
      <w:marTop w:val="0"/>
      <w:marBottom w:val="0"/>
      <w:divBdr>
        <w:top w:val="none" w:sz="0" w:space="0" w:color="auto"/>
        <w:left w:val="none" w:sz="0" w:space="0" w:color="auto"/>
        <w:bottom w:val="none" w:sz="0" w:space="0" w:color="auto"/>
        <w:right w:val="none" w:sz="0" w:space="0" w:color="auto"/>
      </w:divBdr>
    </w:div>
    <w:div w:id="1829395179">
      <w:bodyDiv w:val="1"/>
      <w:marLeft w:val="0"/>
      <w:marRight w:val="0"/>
      <w:marTop w:val="0"/>
      <w:marBottom w:val="0"/>
      <w:divBdr>
        <w:top w:val="none" w:sz="0" w:space="0" w:color="auto"/>
        <w:left w:val="none" w:sz="0" w:space="0" w:color="auto"/>
        <w:bottom w:val="none" w:sz="0" w:space="0" w:color="auto"/>
        <w:right w:val="none" w:sz="0" w:space="0" w:color="auto"/>
      </w:divBdr>
    </w:div>
    <w:div w:id="1847552133">
      <w:bodyDiv w:val="1"/>
      <w:marLeft w:val="0"/>
      <w:marRight w:val="0"/>
      <w:marTop w:val="0"/>
      <w:marBottom w:val="0"/>
      <w:divBdr>
        <w:top w:val="none" w:sz="0" w:space="0" w:color="auto"/>
        <w:left w:val="none" w:sz="0" w:space="0" w:color="auto"/>
        <w:bottom w:val="none" w:sz="0" w:space="0" w:color="auto"/>
        <w:right w:val="none" w:sz="0" w:space="0" w:color="auto"/>
      </w:divBdr>
    </w:div>
    <w:div w:id="1864242346">
      <w:bodyDiv w:val="1"/>
      <w:marLeft w:val="0"/>
      <w:marRight w:val="0"/>
      <w:marTop w:val="0"/>
      <w:marBottom w:val="0"/>
      <w:divBdr>
        <w:top w:val="none" w:sz="0" w:space="0" w:color="auto"/>
        <w:left w:val="none" w:sz="0" w:space="0" w:color="auto"/>
        <w:bottom w:val="none" w:sz="0" w:space="0" w:color="auto"/>
        <w:right w:val="none" w:sz="0" w:space="0" w:color="auto"/>
      </w:divBdr>
    </w:div>
    <w:div w:id="1869683984">
      <w:bodyDiv w:val="1"/>
      <w:marLeft w:val="0"/>
      <w:marRight w:val="0"/>
      <w:marTop w:val="0"/>
      <w:marBottom w:val="0"/>
      <w:divBdr>
        <w:top w:val="none" w:sz="0" w:space="0" w:color="auto"/>
        <w:left w:val="none" w:sz="0" w:space="0" w:color="auto"/>
        <w:bottom w:val="none" w:sz="0" w:space="0" w:color="auto"/>
        <w:right w:val="none" w:sz="0" w:space="0" w:color="auto"/>
      </w:divBdr>
    </w:div>
    <w:div w:id="1872526652">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88569706">
      <w:bodyDiv w:val="1"/>
      <w:marLeft w:val="0"/>
      <w:marRight w:val="0"/>
      <w:marTop w:val="0"/>
      <w:marBottom w:val="0"/>
      <w:divBdr>
        <w:top w:val="none" w:sz="0" w:space="0" w:color="auto"/>
        <w:left w:val="none" w:sz="0" w:space="0" w:color="auto"/>
        <w:bottom w:val="none" w:sz="0" w:space="0" w:color="auto"/>
        <w:right w:val="none" w:sz="0" w:space="0" w:color="auto"/>
      </w:divBdr>
    </w:div>
    <w:div w:id="1903952785">
      <w:bodyDiv w:val="1"/>
      <w:marLeft w:val="0"/>
      <w:marRight w:val="0"/>
      <w:marTop w:val="0"/>
      <w:marBottom w:val="0"/>
      <w:divBdr>
        <w:top w:val="none" w:sz="0" w:space="0" w:color="auto"/>
        <w:left w:val="none" w:sz="0" w:space="0" w:color="auto"/>
        <w:bottom w:val="none" w:sz="0" w:space="0" w:color="auto"/>
        <w:right w:val="none" w:sz="0" w:space="0" w:color="auto"/>
      </w:divBdr>
    </w:div>
    <w:div w:id="1916233665">
      <w:bodyDiv w:val="1"/>
      <w:marLeft w:val="0"/>
      <w:marRight w:val="0"/>
      <w:marTop w:val="0"/>
      <w:marBottom w:val="0"/>
      <w:divBdr>
        <w:top w:val="none" w:sz="0" w:space="0" w:color="auto"/>
        <w:left w:val="none" w:sz="0" w:space="0" w:color="auto"/>
        <w:bottom w:val="none" w:sz="0" w:space="0" w:color="auto"/>
        <w:right w:val="none" w:sz="0" w:space="0" w:color="auto"/>
      </w:divBdr>
    </w:div>
    <w:div w:id="1923564585">
      <w:bodyDiv w:val="1"/>
      <w:marLeft w:val="0"/>
      <w:marRight w:val="0"/>
      <w:marTop w:val="0"/>
      <w:marBottom w:val="0"/>
      <w:divBdr>
        <w:top w:val="none" w:sz="0" w:space="0" w:color="auto"/>
        <w:left w:val="none" w:sz="0" w:space="0" w:color="auto"/>
        <w:bottom w:val="none" w:sz="0" w:space="0" w:color="auto"/>
        <w:right w:val="none" w:sz="0" w:space="0" w:color="auto"/>
      </w:divBdr>
    </w:div>
    <w:div w:id="1938441505">
      <w:bodyDiv w:val="1"/>
      <w:marLeft w:val="0"/>
      <w:marRight w:val="0"/>
      <w:marTop w:val="0"/>
      <w:marBottom w:val="0"/>
      <w:divBdr>
        <w:top w:val="none" w:sz="0" w:space="0" w:color="auto"/>
        <w:left w:val="none" w:sz="0" w:space="0" w:color="auto"/>
        <w:bottom w:val="none" w:sz="0" w:space="0" w:color="auto"/>
        <w:right w:val="none" w:sz="0" w:space="0" w:color="auto"/>
      </w:divBdr>
    </w:div>
    <w:div w:id="1982028600">
      <w:bodyDiv w:val="1"/>
      <w:marLeft w:val="0"/>
      <w:marRight w:val="0"/>
      <w:marTop w:val="0"/>
      <w:marBottom w:val="0"/>
      <w:divBdr>
        <w:top w:val="none" w:sz="0" w:space="0" w:color="auto"/>
        <w:left w:val="none" w:sz="0" w:space="0" w:color="auto"/>
        <w:bottom w:val="none" w:sz="0" w:space="0" w:color="auto"/>
        <w:right w:val="none" w:sz="0" w:space="0" w:color="auto"/>
      </w:divBdr>
    </w:div>
    <w:div w:id="1998654394">
      <w:bodyDiv w:val="1"/>
      <w:marLeft w:val="0"/>
      <w:marRight w:val="0"/>
      <w:marTop w:val="0"/>
      <w:marBottom w:val="0"/>
      <w:divBdr>
        <w:top w:val="none" w:sz="0" w:space="0" w:color="auto"/>
        <w:left w:val="none" w:sz="0" w:space="0" w:color="auto"/>
        <w:bottom w:val="none" w:sz="0" w:space="0" w:color="auto"/>
        <w:right w:val="none" w:sz="0" w:space="0" w:color="auto"/>
      </w:divBdr>
    </w:div>
    <w:div w:id="2095734244">
      <w:bodyDiv w:val="1"/>
      <w:marLeft w:val="0"/>
      <w:marRight w:val="0"/>
      <w:marTop w:val="0"/>
      <w:marBottom w:val="0"/>
      <w:divBdr>
        <w:top w:val="none" w:sz="0" w:space="0" w:color="auto"/>
        <w:left w:val="none" w:sz="0" w:space="0" w:color="auto"/>
        <w:bottom w:val="none" w:sz="0" w:space="0" w:color="auto"/>
        <w:right w:val="none" w:sz="0" w:space="0" w:color="auto"/>
      </w:divBdr>
    </w:div>
    <w:div w:id="2095855057">
      <w:bodyDiv w:val="1"/>
      <w:marLeft w:val="0"/>
      <w:marRight w:val="0"/>
      <w:marTop w:val="0"/>
      <w:marBottom w:val="0"/>
      <w:divBdr>
        <w:top w:val="none" w:sz="0" w:space="0" w:color="auto"/>
        <w:left w:val="none" w:sz="0" w:space="0" w:color="auto"/>
        <w:bottom w:val="none" w:sz="0" w:space="0" w:color="auto"/>
        <w:right w:val="none" w:sz="0" w:space="0" w:color="auto"/>
      </w:divBdr>
    </w:div>
    <w:div w:id="2104916758">
      <w:bodyDiv w:val="1"/>
      <w:marLeft w:val="0"/>
      <w:marRight w:val="0"/>
      <w:marTop w:val="0"/>
      <w:marBottom w:val="0"/>
      <w:divBdr>
        <w:top w:val="none" w:sz="0" w:space="0" w:color="auto"/>
        <w:left w:val="none" w:sz="0" w:space="0" w:color="auto"/>
        <w:bottom w:val="none" w:sz="0" w:space="0" w:color="auto"/>
        <w:right w:val="none" w:sz="0" w:space="0" w:color="auto"/>
      </w:divBdr>
    </w:div>
    <w:div w:id="2136243150">
      <w:bodyDiv w:val="1"/>
      <w:marLeft w:val="0"/>
      <w:marRight w:val="0"/>
      <w:marTop w:val="0"/>
      <w:marBottom w:val="0"/>
      <w:divBdr>
        <w:top w:val="none" w:sz="0" w:space="0" w:color="auto"/>
        <w:left w:val="none" w:sz="0" w:space="0" w:color="auto"/>
        <w:bottom w:val="none" w:sz="0" w:space="0" w:color="auto"/>
        <w:right w:val="none" w:sz="0" w:space="0" w:color="auto"/>
      </w:divBdr>
    </w:div>
    <w:div w:id="21397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18311</Words>
  <Characters>104377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2025-09-05T01:08:00Z</dcterms:created>
  <dcterms:modified xsi:type="dcterms:W3CDTF">2025-09-05T01:09:00Z</dcterms:modified>
  <cp:category/>
</cp:coreProperties>
</file>