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D9DC" w14:textId="6980F727" w:rsidR="0019088E" w:rsidRDefault="00BF757C" w:rsidP="0019088E">
      <w:pPr>
        <w:pStyle w:val="Title"/>
        <w:spacing w:after="120"/>
        <w:rPr>
          <w:rFonts w:ascii="Calibri" w:hAnsi="Calibri" w:cs="Calibri"/>
          <w:sz w:val="52"/>
        </w:rPr>
      </w:pPr>
      <w:bookmarkStart w:id="0" w:name="_GoBack"/>
      <w:bookmarkEnd w:id="0"/>
      <w:r>
        <w:rPr>
          <w:rFonts w:ascii="Calibri" w:hAnsi="Calibri" w:cs="Calibri"/>
          <w:sz w:val="52"/>
        </w:rPr>
        <w:t>Resolution of</w:t>
      </w:r>
      <w:r w:rsidR="000B50F2">
        <w:rPr>
          <w:rFonts w:ascii="Calibri" w:hAnsi="Calibri" w:cs="Calibri"/>
          <w:sz w:val="52"/>
        </w:rPr>
        <w:t xml:space="preserve"> Income Apportionment</w:t>
      </w:r>
    </w:p>
    <w:p w14:paraId="6F5F81DB" w14:textId="647298A7" w:rsidR="006A3810" w:rsidRPr="0070036E" w:rsidRDefault="0070036E" w:rsidP="0070036E">
      <w:pPr>
        <w:pStyle w:val="Subtitle"/>
        <w:rPr>
          <w:rFonts w:cs="Calibri Light"/>
        </w:rPr>
      </w:pPr>
      <w:r>
        <w:rPr>
          <w:rFonts w:cs="Calibri Light"/>
        </w:rPr>
        <w:t xml:space="preserve">The Department of Social Services </w:t>
      </w:r>
    </w:p>
    <w:p w14:paraId="7A3BF88D" w14:textId="4FA37D56" w:rsidR="000F7480" w:rsidRDefault="0070036E" w:rsidP="000F7480">
      <w:pPr>
        <w:pStyle w:val="BOXHeading2"/>
        <w:ind w:firstLine="493"/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4A933FB" wp14:editId="796132A6">
            <wp:simplePos x="0" y="0"/>
            <wp:positionH relativeFrom="margin">
              <wp:posOffset>33655</wp:posOffset>
            </wp:positionH>
            <wp:positionV relativeFrom="margin">
              <wp:posOffset>843915</wp:posOffset>
            </wp:positionV>
            <wp:extent cx="490855" cy="490855"/>
            <wp:effectExtent l="0" t="0" r="4445" b="0"/>
            <wp:wrapNone/>
            <wp:docPr id="1400115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80">
        <w:rPr>
          <w:noProof/>
        </w:rPr>
        <w:t xml:space="preserve">  The policy problem and preferred policy approach</w:t>
      </w:r>
    </w:p>
    <w:p w14:paraId="49B375FD" w14:textId="2F1A1CCB" w:rsidR="008B30BE" w:rsidRPr="008B30BE" w:rsidRDefault="00C7237C" w:rsidP="00C52792">
      <w:pPr>
        <w:pStyle w:val="BOXBulletedList"/>
        <w:pBdr>
          <w:bottom w:val="single" w:sz="48" w:space="0" w:color="F2F2F2" w:themeColor="background1" w:themeShade="F2"/>
        </w:pBdr>
        <w:spacing w:after="0" w:line="240" w:lineRule="auto"/>
        <w:rPr>
          <w:rFonts w:asciiTheme="minorHAnsi" w:hAnsiTheme="minorHAnsi" w:cstheme="minorHAnsi"/>
          <w:bCs/>
          <w:szCs w:val="18"/>
        </w:rPr>
      </w:pPr>
      <w:r w:rsidRPr="008B30BE">
        <w:rPr>
          <w:rFonts w:asciiTheme="minorHAnsi" w:hAnsiTheme="minorHAnsi" w:cstheme="minorHAnsi"/>
        </w:rPr>
        <w:t xml:space="preserve">Income apportionment </w:t>
      </w:r>
      <w:r w:rsidR="008B30BE">
        <w:rPr>
          <w:rFonts w:asciiTheme="minorHAnsi" w:hAnsiTheme="minorHAnsi" w:cstheme="minorHAnsi"/>
        </w:rPr>
        <w:t>was a long-standing practice, dating back to the early 1990s, adopted to calculate social security debts for some people who earned employment income and received a social security payment</w:t>
      </w:r>
      <w:r w:rsidRPr="00BF757C">
        <w:rPr>
          <w:rFonts w:asciiTheme="minorHAnsi" w:hAnsiTheme="minorHAnsi" w:cstheme="minorHAnsi"/>
        </w:rPr>
        <w:t>.</w:t>
      </w:r>
      <w:r w:rsidR="008B30BE">
        <w:rPr>
          <w:rFonts w:asciiTheme="minorHAnsi" w:hAnsiTheme="minorHAnsi" w:cstheme="minorHAnsi"/>
        </w:rPr>
        <w:t xml:space="preserve"> Use of the practice ceased in December 2020, when legislative changes made assessing employment income much simpler.</w:t>
      </w:r>
    </w:p>
    <w:p w14:paraId="43AE3092" w14:textId="719DC817" w:rsidR="008B30BE" w:rsidRPr="001D6CB0" w:rsidRDefault="004C2B7B" w:rsidP="00C52792">
      <w:pPr>
        <w:pStyle w:val="BOXBulletedList"/>
        <w:pBdr>
          <w:bottom w:val="single" w:sz="48" w:space="0" w:color="F2F2F2" w:themeColor="background1" w:themeShade="F2"/>
        </w:pBdr>
        <w:spacing w:after="0" w:line="240" w:lineRule="auto"/>
        <w:rPr>
          <w:rFonts w:asciiTheme="minorHAnsi" w:hAnsiTheme="minorHAnsi" w:cstheme="minorHAnsi"/>
          <w:bCs/>
          <w:szCs w:val="18"/>
        </w:rPr>
      </w:pPr>
      <w:r w:rsidRPr="001D6CB0">
        <w:rPr>
          <w:rFonts w:asciiTheme="minorHAnsi" w:hAnsiTheme="minorHAnsi" w:cstheme="minorHAnsi"/>
        </w:rPr>
        <w:t>T</w:t>
      </w:r>
      <w:r w:rsidR="008B30BE" w:rsidRPr="001D6CB0">
        <w:rPr>
          <w:rFonts w:asciiTheme="minorHAnsi" w:hAnsiTheme="minorHAnsi" w:cstheme="minorHAnsi"/>
        </w:rPr>
        <w:t>he historical use of income apportionment</w:t>
      </w:r>
      <w:r w:rsidRPr="001D6CB0">
        <w:rPr>
          <w:rFonts w:asciiTheme="minorHAnsi" w:hAnsiTheme="minorHAnsi" w:cstheme="minorHAnsi"/>
        </w:rPr>
        <w:t xml:space="preserve"> is now understood</w:t>
      </w:r>
      <w:r w:rsidR="008B30BE" w:rsidRPr="001D6CB0">
        <w:rPr>
          <w:rFonts w:asciiTheme="minorHAnsi" w:hAnsiTheme="minorHAnsi" w:cstheme="minorHAnsi"/>
        </w:rPr>
        <w:t xml:space="preserve"> to be generally unlawful.</w:t>
      </w:r>
      <w:r w:rsidR="00C7237C" w:rsidRPr="001D6CB0">
        <w:rPr>
          <w:rFonts w:asciiTheme="minorHAnsi" w:hAnsiTheme="minorHAnsi" w:cstheme="minorHAnsi"/>
        </w:rPr>
        <w:t xml:space="preserve"> </w:t>
      </w:r>
    </w:p>
    <w:p w14:paraId="2A065763" w14:textId="17C55F80" w:rsidR="00BF078A" w:rsidRPr="00BF757C" w:rsidRDefault="00C7237C" w:rsidP="00C52792">
      <w:pPr>
        <w:pStyle w:val="BOXBulletedList"/>
        <w:pBdr>
          <w:bottom w:val="single" w:sz="48" w:space="0" w:color="F2F2F2" w:themeColor="background1" w:themeShade="F2"/>
        </w:pBdr>
        <w:spacing w:after="0" w:line="240" w:lineRule="auto"/>
        <w:rPr>
          <w:rFonts w:asciiTheme="minorHAnsi" w:hAnsiTheme="minorHAnsi" w:cstheme="minorHAnsi"/>
          <w:bCs/>
          <w:szCs w:val="18"/>
        </w:rPr>
      </w:pPr>
      <w:r w:rsidRPr="00BF757C">
        <w:rPr>
          <w:rFonts w:asciiTheme="minorHAnsi" w:hAnsiTheme="minorHAnsi" w:cstheme="minorHAnsi"/>
        </w:rPr>
        <w:t xml:space="preserve">Around </w:t>
      </w:r>
      <w:r w:rsidRPr="00BF757C">
        <w:rPr>
          <w:rFonts w:asciiTheme="minorHAnsi" w:hAnsiTheme="minorHAnsi" w:cstheme="minorHAnsi"/>
          <w:b/>
          <w:bCs/>
        </w:rPr>
        <w:t>5.5 million social security debts</w:t>
      </w:r>
      <w:r w:rsidRPr="00BF757C">
        <w:rPr>
          <w:rFonts w:asciiTheme="minorHAnsi" w:hAnsiTheme="minorHAnsi" w:cstheme="minorHAnsi"/>
        </w:rPr>
        <w:t xml:space="preserve">, held by around </w:t>
      </w:r>
      <w:r w:rsidRPr="00BF757C">
        <w:rPr>
          <w:rFonts w:asciiTheme="minorHAnsi" w:hAnsiTheme="minorHAnsi" w:cstheme="minorHAnsi"/>
          <w:b/>
          <w:bCs/>
        </w:rPr>
        <w:t>3 million people</w:t>
      </w:r>
      <w:r w:rsidRPr="00BF757C">
        <w:rPr>
          <w:rFonts w:asciiTheme="minorHAnsi" w:hAnsiTheme="minorHAnsi" w:cstheme="minorHAnsi"/>
        </w:rPr>
        <w:t xml:space="preserve"> and worth a total of </w:t>
      </w:r>
      <w:r w:rsidRPr="00BF757C">
        <w:rPr>
          <w:rFonts w:asciiTheme="minorHAnsi" w:hAnsiTheme="minorHAnsi" w:cstheme="minorHAnsi"/>
          <w:b/>
          <w:bCs/>
        </w:rPr>
        <w:t>$4.4 billion,</w:t>
      </w:r>
      <w:r w:rsidRPr="00BF757C">
        <w:rPr>
          <w:rFonts w:asciiTheme="minorHAnsi" w:hAnsiTheme="minorHAnsi" w:cstheme="minorHAnsi"/>
        </w:rPr>
        <w:t xml:space="preserve"> </w:t>
      </w:r>
      <w:r w:rsidR="008B30BE" w:rsidRPr="001F6D8C">
        <w:rPr>
          <w:rFonts w:asciiTheme="minorHAnsi" w:hAnsiTheme="minorHAnsi" w:cstheme="minorHAnsi"/>
        </w:rPr>
        <w:t xml:space="preserve">are </w:t>
      </w:r>
      <w:r w:rsidRPr="001F6D8C">
        <w:rPr>
          <w:rFonts w:asciiTheme="minorHAnsi" w:hAnsiTheme="minorHAnsi" w:cstheme="minorHAnsi"/>
        </w:rPr>
        <w:t>potentially affected by income apportionment.</w:t>
      </w:r>
      <w:r w:rsidR="008B30BE" w:rsidRPr="001F6D8C">
        <w:rPr>
          <w:rFonts w:asciiTheme="minorHAnsi" w:hAnsiTheme="minorHAnsi" w:cstheme="minorHAnsi"/>
        </w:rPr>
        <w:t xml:space="preserve"> </w:t>
      </w:r>
      <w:r w:rsidR="006679D5" w:rsidRPr="001F6D8C">
        <w:rPr>
          <w:rFonts w:asciiTheme="minorHAnsi" w:hAnsiTheme="minorHAnsi" w:cstheme="minorHAnsi"/>
        </w:rPr>
        <w:t>It is only possible to know which debts are actually affected through a manual review</w:t>
      </w:r>
      <w:r w:rsidR="006679D5">
        <w:rPr>
          <w:rFonts w:asciiTheme="minorHAnsi" w:hAnsiTheme="minorHAnsi" w:cstheme="minorHAnsi"/>
        </w:rPr>
        <w:t xml:space="preserve"> of each individual debt. 97% of the debts are fully repaid. The average age is 19 years.</w:t>
      </w:r>
    </w:p>
    <w:p w14:paraId="21C6E460" w14:textId="54C05CD0" w:rsidR="0099059C" w:rsidRDefault="0099059C" w:rsidP="00C52792">
      <w:pPr>
        <w:pStyle w:val="BOXBulletedList"/>
        <w:pBdr>
          <w:bottom w:val="single" w:sz="48" w:space="0" w:color="F2F2F2" w:themeColor="background1" w:themeShade="F2"/>
        </w:pBdr>
        <w:spacing w:after="0" w:line="240" w:lineRule="auto"/>
        <w:rPr>
          <w:rFonts w:asciiTheme="minorHAnsi" w:hAnsiTheme="minorHAnsi" w:cstheme="minorHAnsi"/>
        </w:rPr>
      </w:pPr>
      <w:r w:rsidRPr="00BF757C">
        <w:rPr>
          <w:rFonts w:asciiTheme="minorHAnsi" w:hAnsiTheme="minorHAnsi" w:cstheme="minorHAnsi"/>
        </w:rPr>
        <w:t>Waiving or recalcu</w:t>
      </w:r>
      <w:r>
        <w:rPr>
          <w:rFonts w:asciiTheme="minorHAnsi" w:hAnsiTheme="minorHAnsi" w:cstheme="minorHAnsi"/>
        </w:rPr>
        <w:t>la</w:t>
      </w:r>
      <w:r w:rsidRPr="00BF757C">
        <w:rPr>
          <w:rFonts w:asciiTheme="minorHAnsi" w:hAnsiTheme="minorHAnsi" w:cstheme="minorHAnsi"/>
        </w:rPr>
        <w:t xml:space="preserve">ting </w:t>
      </w:r>
      <w:r>
        <w:rPr>
          <w:rFonts w:asciiTheme="minorHAnsi" w:hAnsiTheme="minorHAnsi" w:cstheme="minorHAnsi"/>
        </w:rPr>
        <w:t xml:space="preserve">affected </w:t>
      </w:r>
      <w:r w:rsidRPr="00BF757C">
        <w:rPr>
          <w:rFonts w:asciiTheme="minorHAnsi" w:hAnsiTheme="minorHAnsi" w:cstheme="minorHAnsi"/>
        </w:rPr>
        <w:t>debts</w:t>
      </w:r>
      <w:r>
        <w:rPr>
          <w:rFonts w:asciiTheme="minorHAnsi" w:hAnsiTheme="minorHAnsi" w:cstheme="minorHAnsi"/>
        </w:rPr>
        <w:t xml:space="preserve"> (using the method endorsed in a recent Full Federal Court outcome) would</w:t>
      </w:r>
      <w:r w:rsidRPr="00BF75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mean reopening d</w:t>
      </w:r>
      <w:r w:rsidRPr="00262233">
        <w:rPr>
          <w:rFonts w:asciiTheme="minorHAnsi" w:hAnsiTheme="minorHAnsi" w:cstheme="minorHAnsi"/>
        </w:rPr>
        <w:t>ebts many years old, causing distress and protracted uncertainty for the people affected</w:t>
      </w:r>
      <w:r>
        <w:rPr>
          <w:rFonts w:asciiTheme="minorHAnsi" w:hAnsiTheme="minorHAnsi" w:cstheme="minorHAnsi"/>
        </w:rPr>
        <w:t xml:space="preserve"> and take</w:t>
      </w:r>
      <w:r w:rsidRPr="00262233">
        <w:rPr>
          <w:rFonts w:asciiTheme="minorHAnsi" w:hAnsiTheme="minorHAnsi" w:cstheme="minorHAnsi"/>
        </w:rPr>
        <w:t xml:space="preserve"> thousands of officials working many years</w:t>
      </w:r>
      <w:r>
        <w:rPr>
          <w:rFonts w:asciiTheme="minorHAnsi" w:hAnsiTheme="minorHAnsi" w:cstheme="minorHAnsi"/>
        </w:rPr>
        <w:t xml:space="preserve">, </w:t>
      </w:r>
      <w:r w:rsidRPr="00262233">
        <w:rPr>
          <w:rFonts w:asciiTheme="minorHAnsi" w:hAnsiTheme="minorHAnsi" w:cstheme="minorHAnsi"/>
        </w:rPr>
        <w:t>divert</w:t>
      </w:r>
      <w:r>
        <w:rPr>
          <w:rFonts w:asciiTheme="minorHAnsi" w:hAnsiTheme="minorHAnsi" w:cstheme="minorHAnsi"/>
        </w:rPr>
        <w:t>ing</w:t>
      </w:r>
      <w:r w:rsidRPr="00262233">
        <w:rPr>
          <w:rFonts w:asciiTheme="minorHAnsi" w:hAnsiTheme="minorHAnsi" w:cstheme="minorHAnsi"/>
        </w:rPr>
        <w:t xml:space="preserve"> critical government resources from frontline services.</w:t>
      </w:r>
    </w:p>
    <w:p w14:paraId="4D3214B1" w14:textId="77777777" w:rsidR="0099059C" w:rsidRPr="00BF757C" w:rsidRDefault="0099059C" w:rsidP="00C52792">
      <w:pPr>
        <w:pStyle w:val="BOXBulletedList"/>
        <w:pBdr>
          <w:bottom w:val="single" w:sz="48" w:space="0" w:color="F2F2F2" w:themeColor="background1" w:themeShade="F2"/>
        </w:pBdr>
        <w:spacing w:after="0" w:line="240" w:lineRule="auto"/>
        <w:rPr>
          <w:rFonts w:asciiTheme="minorHAnsi" w:hAnsiTheme="minorHAnsi" w:cstheme="minorHAnsi"/>
          <w:bCs/>
          <w:szCs w:val="18"/>
        </w:rPr>
      </w:pPr>
      <w:r w:rsidRPr="00BF757C">
        <w:rPr>
          <w:rFonts w:asciiTheme="minorHAnsi" w:hAnsiTheme="minorHAnsi" w:cstheme="minorHAnsi"/>
          <w:bCs/>
          <w:szCs w:val="18"/>
        </w:rPr>
        <w:t xml:space="preserve">Legislation to </w:t>
      </w:r>
      <w:r w:rsidRPr="00BF757C">
        <w:rPr>
          <w:rFonts w:asciiTheme="minorHAnsi" w:hAnsiTheme="minorHAnsi" w:cstheme="minorHAnsi"/>
          <w:b/>
          <w:szCs w:val="18"/>
        </w:rPr>
        <w:t>retrospectively validate income apportionment</w:t>
      </w:r>
      <w:r w:rsidRPr="00BF757C">
        <w:rPr>
          <w:rFonts w:asciiTheme="minorHAnsi" w:hAnsiTheme="minorHAnsi" w:cstheme="minorHAnsi"/>
          <w:bCs/>
          <w:szCs w:val="18"/>
        </w:rPr>
        <w:t xml:space="preserve"> </w:t>
      </w:r>
      <w:r>
        <w:rPr>
          <w:rFonts w:asciiTheme="minorHAnsi" w:hAnsiTheme="minorHAnsi" w:cstheme="minorHAnsi"/>
          <w:bCs/>
          <w:szCs w:val="18"/>
        </w:rPr>
        <w:t xml:space="preserve">provides certainty and </w:t>
      </w:r>
      <w:r w:rsidRPr="00BF757C">
        <w:rPr>
          <w:rFonts w:asciiTheme="minorHAnsi" w:hAnsiTheme="minorHAnsi" w:cstheme="minorHAnsi"/>
          <w:bCs/>
          <w:szCs w:val="18"/>
        </w:rPr>
        <w:t xml:space="preserve">recognises it was a nonetheless reasonable means of assessing a person’s </w:t>
      </w:r>
      <w:r>
        <w:rPr>
          <w:rFonts w:asciiTheme="minorHAnsi" w:hAnsiTheme="minorHAnsi" w:cstheme="minorHAnsi"/>
          <w:bCs/>
          <w:szCs w:val="18"/>
        </w:rPr>
        <w:t xml:space="preserve">entitlement to income support, using evidence such as the person’s payslip, as part of calculating a debt. </w:t>
      </w:r>
    </w:p>
    <w:p w14:paraId="155098C1" w14:textId="77777777" w:rsidR="0099059C" w:rsidRPr="00BF757C" w:rsidRDefault="0099059C" w:rsidP="00C52792">
      <w:pPr>
        <w:pStyle w:val="BOXBulletedList"/>
        <w:pBdr>
          <w:bottom w:val="single" w:sz="48" w:space="0" w:color="F2F2F2" w:themeColor="background1" w:themeShade="F2"/>
        </w:pBd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AU"/>
        </w:rPr>
        <w:t xml:space="preserve">This would be accompanied by a </w:t>
      </w:r>
      <w:r w:rsidRPr="00BF757C">
        <w:rPr>
          <w:rFonts w:asciiTheme="minorHAnsi" w:hAnsiTheme="minorHAnsi" w:cstheme="minorHAnsi"/>
          <w:b/>
          <w:bCs/>
        </w:rPr>
        <w:t>re</w:t>
      </w:r>
      <w:r>
        <w:rPr>
          <w:rFonts w:asciiTheme="minorHAnsi" w:hAnsiTheme="minorHAnsi" w:cstheme="minorHAnsi"/>
          <w:b/>
          <w:bCs/>
        </w:rPr>
        <w:t>solution</w:t>
      </w:r>
      <w:r w:rsidRPr="00BF757C">
        <w:rPr>
          <w:rFonts w:asciiTheme="minorHAnsi" w:hAnsiTheme="minorHAnsi" w:cstheme="minorHAnsi"/>
          <w:b/>
          <w:bCs/>
        </w:rPr>
        <w:t xml:space="preserve"> scheme</w:t>
      </w:r>
      <w:r>
        <w:rPr>
          <w:rFonts w:asciiTheme="minorHAnsi" w:hAnsiTheme="minorHAnsi" w:cstheme="minorHAnsi"/>
        </w:rPr>
        <w:t>, to provide people with a debt affected by income apportionment a simple way of seeking fair and reasonable compensation from the Government.</w:t>
      </w:r>
    </w:p>
    <w:p w14:paraId="2C3DC803" w14:textId="06FC8CC4" w:rsidR="000B50F2" w:rsidRPr="00D859BB" w:rsidRDefault="006679D5" w:rsidP="000B50F2">
      <w:pPr>
        <w:pStyle w:val="BOXHeading2"/>
        <w:spacing w:before="120"/>
        <w:ind w:firstLine="493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22164BC8" wp14:editId="0E72BC0F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409575" cy="409575"/>
            <wp:effectExtent l="0" t="0" r="0" b="0"/>
            <wp:wrapNone/>
            <wp:docPr id="38876101" name="Picture 1" descr="A blue target with a arrow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16231" name="Picture 1" descr="A blue target with a arrow in the ce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F2">
        <w:t>Impact Analysis</w:t>
      </w:r>
    </w:p>
    <w:tbl>
      <w:tblPr>
        <w:tblStyle w:val="Custom11"/>
        <w:tblW w:w="5002" w:type="pct"/>
        <w:tblLook w:val="0420" w:firstRow="1" w:lastRow="0" w:firstColumn="0" w:lastColumn="0" w:noHBand="0" w:noVBand="1"/>
        <w:tblCaption w:val="Table with horizontal lines"/>
        <w:tblDescription w:val="This is an example of alt text."/>
      </w:tblPr>
      <w:tblGrid>
        <w:gridCol w:w="3491"/>
        <w:gridCol w:w="3491"/>
        <w:gridCol w:w="3489"/>
      </w:tblGrid>
      <w:tr w:rsidR="000F7480" w:rsidRPr="005505E3" w14:paraId="264E1518" w14:textId="77777777" w:rsidTr="73B08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3"/>
            <w:tcBorders>
              <w:top w:val="single" w:sz="2" w:space="0" w:color="FFFFFF" w:themeColor="background1"/>
              <w:bottom w:val="single" w:sz="4" w:space="0" w:color="C0504D" w:themeColor="accent2"/>
            </w:tcBorders>
            <w:shd w:val="clear" w:color="auto" w:fill="1C2B39"/>
          </w:tcPr>
          <w:p w14:paraId="7D865A96" w14:textId="231752D5" w:rsidR="000F7480" w:rsidRPr="00152412" w:rsidRDefault="000F7480" w:rsidP="005924A2">
            <w:pPr>
              <w:rPr>
                <w:rFonts w:ascii="Calibri" w:hAnsi="Calibri" w:cs="Calibri"/>
                <w:b w:val="0"/>
                <w:color w:val="FFFFFF" w:themeColor="background1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Cs w:val="18"/>
              </w:rPr>
              <w:t>Impacts</w:t>
            </w:r>
          </w:p>
        </w:tc>
      </w:tr>
      <w:tr w:rsidR="000F7480" w:rsidRPr="005505E3" w14:paraId="517968C9" w14:textId="77777777" w:rsidTr="73B08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2"/>
        </w:trPr>
        <w:tc>
          <w:tcPr>
            <w:tcW w:w="5000" w:type="pct"/>
            <w:gridSpan w:val="3"/>
            <w:tcBorders>
              <w:top w:val="single" w:sz="4" w:space="0" w:color="C0504D" w:themeColor="accent2"/>
            </w:tcBorders>
            <w:shd w:val="clear" w:color="auto" w:fill="D8E2EC"/>
          </w:tcPr>
          <w:p w14:paraId="52940A65" w14:textId="05A122C2" w:rsidR="008B2282" w:rsidRPr="007D1884" w:rsidRDefault="00801A36" w:rsidP="007D1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  <w:szCs w:val="18"/>
              </w:rPr>
            </w:pPr>
            <w:r>
              <w:t xml:space="preserve">The </w:t>
            </w:r>
            <w:r w:rsidRPr="00801A36">
              <w:rPr>
                <w:b/>
                <w:bCs/>
              </w:rPr>
              <w:t>practical impact of retrospective validation on individuals is minimal</w:t>
            </w:r>
            <w:r w:rsidR="00BF757C">
              <w:rPr>
                <w:b/>
                <w:bCs/>
              </w:rPr>
              <w:t xml:space="preserve">, </w:t>
            </w:r>
            <w:r>
              <w:t>as</w:t>
            </w:r>
            <w:r w:rsidR="007D1884">
              <w:t xml:space="preserve"> it</w:t>
            </w:r>
            <w:r>
              <w:t xml:space="preserve"> </w:t>
            </w:r>
            <w:r w:rsidR="007D1884">
              <w:t xml:space="preserve">will simply confirm an existing </w:t>
            </w:r>
            <w:r>
              <w:t>debt</w:t>
            </w:r>
            <w:r w:rsidR="007D1884">
              <w:t xml:space="preserve"> amount. Most people will not need to do anything. </w:t>
            </w:r>
            <w:r w:rsidR="008B2282" w:rsidRPr="00262233">
              <w:rPr>
                <w:rFonts w:asciiTheme="minorHAnsi" w:hAnsiTheme="minorHAnsi" w:cstheme="minorHAnsi"/>
                <w:bCs/>
                <w:szCs w:val="18"/>
              </w:rPr>
              <w:t>Any future debts raised relating to pre</w:t>
            </w:r>
            <w:r w:rsidR="007D1884">
              <w:rPr>
                <w:rFonts w:asciiTheme="minorHAnsi" w:hAnsiTheme="minorHAnsi" w:cstheme="minorHAnsi"/>
                <w:bCs/>
                <w:szCs w:val="18"/>
              </w:rPr>
              <w:t>-</w:t>
            </w:r>
            <w:r w:rsidR="008B2282" w:rsidRPr="00262233">
              <w:rPr>
                <w:rFonts w:asciiTheme="minorHAnsi" w:hAnsiTheme="minorHAnsi" w:cstheme="minorHAnsi"/>
                <w:bCs/>
                <w:szCs w:val="18"/>
              </w:rPr>
              <w:t xml:space="preserve"> December 2020 periods will be treated consistently, using income apportionment, as it will have been made a valid method of raising debts.</w:t>
            </w:r>
          </w:p>
          <w:p w14:paraId="70F5E733" w14:textId="4E1674B9" w:rsidR="007D1884" w:rsidRPr="00BF757C" w:rsidRDefault="00001439" w:rsidP="007D1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  <w:szCs w:val="18"/>
              </w:rPr>
            </w:pPr>
            <w:r w:rsidRPr="00932E57">
              <w:rPr>
                <w:rFonts w:ascii="Calibri" w:hAnsi="Calibri" w:cs="Calibri"/>
                <w:b/>
                <w:szCs w:val="18"/>
              </w:rPr>
              <w:t>Debt processing wo</w:t>
            </w:r>
            <w:r w:rsidR="00391833">
              <w:rPr>
                <w:rFonts w:ascii="Calibri" w:hAnsi="Calibri" w:cs="Calibri"/>
                <w:b/>
                <w:szCs w:val="18"/>
              </w:rPr>
              <w:t>uld</w:t>
            </w:r>
            <w:r w:rsidRPr="00932E57">
              <w:rPr>
                <w:rFonts w:ascii="Calibri" w:hAnsi="Calibri" w:cs="Calibri"/>
                <w:b/>
                <w:szCs w:val="18"/>
              </w:rPr>
              <w:t xml:space="preserve"> recommence</w:t>
            </w:r>
            <w:r>
              <w:rPr>
                <w:rFonts w:ascii="Calibri" w:hAnsi="Calibri" w:cs="Calibri"/>
                <w:bCs/>
                <w:szCs w:val="18"/>
              </w:rPr>
              <w:t xml:space="preserve">, as required by law, for the approximately </w:t>
            </w:r>
            <w:r w:rsidRPr="002B22BC">
              <w:t>160,000 debts subject to income apportionment</w:t>
            </w:r>
            <w:r w:rsidR="007D1884">
              <w:t>-</w:t>
            </w:r>
            <w:r w:rsidRPr="002B22BC">
              <w:t>related pauses.</w:t>
            </w:r>
            <w:r>
              <w:t xml:space="preserve"> This will </w:t>
            </w:r>
            <w:r w:rsidR="007D1884">
              <w:t>end the</w:t>
            </w:r>
            <w:r w:rsidR="007D1884">
              <w:rPr>
                <w:bCs/>
              </w:rPr>
              <w:t xml:space="preserve"> uncertainty of these pauses for people with these debt activities.</w:t>
            </w:r>
          </w:p>
          <w:p w14:paraId="486E7B35" w14:textId="1345BD1D" w:rsidR="00BF757C" w:rsidRPr="00BF757C" w:rsidRDefault="00BF757C" w:rsidP="007D1884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5CECAAF1">
              <w:rPr>
                <w:rFonts w:ascii="Calibri" w:hAnsi="Calibri" w:cs="Calibri"/>
              </w:rPr>
              <w:t xml:space="preserve">A </w:t>
            </w:r>
            <w:r w:rsidRPr="5CECAAF1">
              <w:rPr>
                <w:rFonts w:ascii="Calibri" w:hAnsi="Calibri" w:cs="Calibri"/>
                <w:b/>
                <w:bCs/>
              </w:rPr>
              <w:t>re</w:t>
            </w:r>
            <w:r w:rsidR="00BB6117" w:rsidRPr="5CECAAF1">
              <w:rPr>
                <w:rFonts w:ascii="Calibri" w:hAnsi="Calibri" w:cs="Calibri"/>
                <w:b/>
                <w:bCs/>
              </w:rPr>
              <w:t>solution</w:t>
            </w:r>
            <w:r w:rsidRPr="5CECAAF1">
              <w:rPr>
                <w:rFonts w:ascii="Calibri" w:hAnsi="Calibri" w:cs="Calibri"/>
                <w:b/>
                <w:bCs/>
              </w:rPr>
              <w:t xml:space="preserve"> scheme</w:t>
            </w:r>
            <w:r w:rsidRPr="5CECAAF1">
              <w:rPr>
                <w:rFonts w:ascii="Calibri" w:hAnsi="Calibri" w:cs="Calibri"/>
              </w:rPr>
              <w:t xml:space="preserve"> will be beneficial t</w:t>
            </w:r>
            <w:r w:rsidR="00391833" w:rsidRPr="5CECAAF1">
              <w:rPr>
                <w:rFonts w:ascii="Calibri" w:hAnsi="Calibri" w:cs="Calibri"/>
              </w:rPr>
              <w:t xml:space="preserve">o people with debts affected </w:t>
            </w:r>
            <w:r w:rsidRPr="5CECAAF1">
              <w:rPr>
                <w:rFonts w:ascii="Calibri" w:hAnsi="Calibri" w:cs="Calibri"/>
              </w:rPr>
              <w:t>by income apportionment</w:t>
            </w:r>
            <w:r w:rsidR="00391833" w:rsidRPr="5CECAAF1">
              <w:rPr>
                <w:rFonts w:ascii="Calibri" w:hAnsi="Calibri" w:cs="Calibri"/>
              </w:rPr>
              <w:t xml:space="preserve">, who can </w:t>
            </w:r>
            <w:r w:rsidR="005F7D5B" w:rsidRPr="5CECAAF1">
              <w:rPr>
                <w:rFonts w:ascii="Calibri" w:hAnsi="Calibri" w:cs="Calibri"/>
              </w:rPr>
              <w:t>receive a reparation amount</w:t>
            </w:r>
            <w:r w:rsidR="006E7C1D" w:rsidRPr="5CECAAF1">
              <w:rPr>
                <w:rFonts w:ascii="Calibri" w:hAnsi="Calibri" w:cs="Calibri"/>
              </w:rPr>
              <w:t xml:space="preserve"> if they apply to the scheme</w:t>
            </w:r>
            <w:r w:rsidR="00391833" w:rsidRPr="5CECAAF1">
              <w:rPr>
                <w:rFonts w:ascii="Calibri" w:hAnsi="Calibri" w:cs="Calibri"/>
              </w:rPr>
              <w:t xml:space="preserve">. Other </w:t>
            </w:r>
            <w:r w:rsidR="005F7D5B" w:rsidRPr="5CECAAF1">
              <w:rPr>
                <w:rFonts w:ascii="Calibri" w:hAnsi="Calibri" w:cs="Calibri"/>
              </w:rPr>
              <w:t xml:space="preserve">cohorts such as other </w:t>
            </w:r>
            <w:r w:rsidRPr="5CECAAF1">
              <w:rPr>
                <w:rFonts w:ascii="Calibri" w:hAnsi="Calibri" w:cs="Calibri"/>
              </w:rPr>
              <w:t>social security recipients and people with</w:t>
            </w:r>
            <w:r w:rsidR="007A6950" w:rsidRPr="5CECAAF1">
              <w:rPr>
                <w:rFonts w:ascii="Calibri" w:hAnsi="Calibri" w:cs="Calibri"/>
              </w:rPr>
              <w:t xml:space="preserve"> unrelated</w:t>
            </w:r>
            <w:r w:rsidRPr="5CECAAF1">
              <w:rPr>
                <w:rFonts w:ascii="Calibri" w:hAnsi="Calibri" w:cs="Calibri"/>
              </w:rPr>
              <w:t xml:space="preserve"> Commonwealth debts</w:t>
            </w:r>
            <w:r w:rsidR="00391833" w:rsidRPr="5CECAAF1">
              <w:rPr>
                <w:rFonts w:ascii="Calibri" w:hAnsi="Calibri" w:cs="Calibri"/>
              </w:rPr>
              <w:t xml:space="preserve"> will be unaffected.</w:t>
            </w:r>
            <w:r w:rsidR="5CECAAF1">
              <w:rPr>
                <w:noProof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28E333A0" wp14:editId="1276F2EC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571500</wp:posOffset>
                  </wp:positionV>
                  <wp:extent cx="497205" cy="497205"/>
                  <wp:effectExtent l="0" t="0" r="0" b="0"/>
                  <wp:wrapNone/>
                  <wp:docPr id="2138567585" name="Picture 2138567585" descr="Icon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7480" w:rsidRPr="005505E3" w14:paraId="0BB794FA" w14:textId="77777777" w:rsidTr="73B08956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C0504D" w:themeColor="accent2"/>
            </w:tcBorders>
            <w:shd w:val="clear" w:color="auto" w:fill="1C2B39"/>
          </w:tcPr>
          <w:p w14:paraId="39B5BA44" w14:textId="77777777" w:rsidR="000F7480" w:rsidRPr="002B53AF" w:rsidRDefault="000F7480" w:rsidP="005924A2">
            <w:pPr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Cs w:val="22"/>
              </w:rPr>
              <w:t>Who is impacted</w:t>
            </w:r>
          </w:p>
        </w:tc>
      </w:tr>
      <w:tr w:rsidR="000F7480" w:rsidRPr="005505E3" w14:paraId="52A210E9" w14:textId="77777777" w:rsidTr="73B08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pct"/>
            <w:tcBorders>
              <w:top w:val="single" w:sz="4" w:space="0" w:color="C0504D" w:themeColor="accent2"/>
            </w:tcBorders>
            <w:shd w:val="clear" w:color="auto" w:fill="1C2B39"/>
          </w:tcPr>
          <w:p w14:paraId="1CDAFF3B" w14:textId="77777777" w:rsidR="000F7480" w:rsidRDefault="000F7480" w:rsidP="005924A2">
            <w:pPr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Cs w:val="22"/>
              </w:rPr>
              <w:t>Individuals</w:t>
            </w:r>
          </w:p>
        </w:tc>
        <w:tc>
          <w:tcPr>
            <w:tcW w:w="1667" w:type="pct"/>
            <w:tcBorders>
              <w:top w:val="single" w:sz="4" w:space="0" w:color="C0504D" w:themeColor="accent2"/>
            </w:tcBorders>
            <w:shd w:val="clear" w:color="auto" w:fill="1C2B39"/>
          </w:tcPr>
          <w:p w14:paraId="187E4E0E" w14:textId="77777777" w:rsidR="000F7480" w:rsidRDefault="000F7480" w:rsidP="005924A2">
            <w:pPr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Cs w:val="22"/>
              </w:rPr>
              <w:t>Businesses</w:t>
            </w:r>
          </w:p>
        </w:tc>
        <w:tc>
          <w:tcPr>
            <w:tcW w:w="1666" w:type="pct"/>
            <w:tcBorders>
              <w:top w:val="single" w:sz="4" w:space="0" w:color="C0504D" w:themeColor="accent2"/>
            </w:tcBorders>
            <w:shd w:val="clear" w:color="auto" w:fill="1C2B39"/>
          </w:tcPr>
          <w:p w14:paraId="40853DD6" w14:textId="77777777" w:rsidR="000F7480" w:rsidRDefault="000F7480" w:rsidP="005924A2">
            <w:pPr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Cs w:val="22"/>
              </w:rPr>
              <w:t>Community organisations</w:t>
            </w:r>
          </w:p>
        </w:tc>
      </w:tr>
      <w:tr w:rsidR="000F7480" w:rsidRPr="005505E3" w14:paraId="5D45D643" w14:textId="77777777" w:rsidTr="00D76392">
        <w:trPr>
          <w:trHeight w:val="1457"/>
        </w:trPr>
        <w:tc>
          <w:tcPr>
            <w:tcW w:w="1667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2E6F9024" w14:textId="5E3F8D39" w:rsidR="00DD14C7" w:rsidRPr="00AF7A50" w:rsidRDefault="00DD14C7" w:rsidP="29C1B3B7">
            <w:pPr>
              <w:rPr>
                <w:rFonts w:ascii="Calibri" w:hAnsi="Calibri" w:cs="Calibri"/>
                <w:sz w:val="18"/>
                <w:szCs w:val="18"/>
              </w:rPr>
            </w:pPr>
            <w:r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>Retrospective validation:</w:t>
            </w:r>
            <w:r w:rsidRPr="73B089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26F39D7E" w:rsidRPr="73B08956">
              <w:rPr>
                <w:rFonts w:ascii="Calibri" w:hAnsi="Calibri" w:cs="Calibri"/>
                <w:sz w:val="18"/>
                <w:szCs w:val="18"/>
              </w:rPr>
              <w:t>$0.8 million over 10 years</w:t>
            </w:r>
            <w:r w:rsidR="2ED7D1A0" w:rsidRPr="73B08956">
              <w:rPr>
                <w:rFonts w:ascii="Calibri" w:hAnsi="Calibri" w:cs="Calibri"/>
                <w:sz w:val="18"/>
                <w:szCs w:val="18"/>
              </w:rPr>
              <w:t xml:space="preserve"> (to understand impacts). </w:t>
            </w:r>
            <w:r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  <w:r w:rsidR="00BB6117"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>solution</w:t>
            </w:r>
            <w:r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scheme:</w:t>
            </w:r>
            <w:r w:rsidR="00B42933"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067C" w:rsidRPr="73B08956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486EBA15" w:rsidRPr="73B08956">
              <w:rPr>
                <w:rFonts w:ascii="Calibri" w:hAnsi="Calibri" w:cs="Calibri"/>
                <w:sz w:val="18"/>
                <w:szCs w:val="18"/>
              </w:rPr>
              <w:t>51.</w:t>
            </w:r>
            <w:r w:rsidR="005B571C" w:rsidRPr="73B08956">
              <w:rPr>
                <w:rFonts w:ascii="Calibri" w:hAnsi="Calibri" w:cs="Calibri"/>
                <w:sz w:val="18"/>
                <w:szCs w:val="18"/>
              </w:rPr>
              <w:t>3</w:t>
            </w:r>
            <w:r w:rsidRPr="73B08956">
              <w:rPr>
                <w:rFonts w:ascii="Calibri" w:hAnsi="Calibri" w:cs="Calibri"/>
                <w:sz w:val="18"/>
                <w:szCs w:val="18"/>
              </w:rPr>
              <w:t xml:space="preserve"> million</w:t>
            </w:r>
            <w:r w:rsidR="00B42933" w:rsidRPr="73B08956">
              <w:rPr>
                <w:rFonts w:ascii="Calibri" w:hAnsi="Calibri" w:cs="Calibri"/>
                <w:sz w:val="18"/>
                <w:szCs w:val="18"/>
              </w:rPr>
              <w:t xml:space="preserve"> over 10 years</w:t>
            </w:r>
            <w:r w:rsidRPr="73B08956">
              <w:rPr>
                <w:rFonts w:ascii="Calibri" w:hAnsi="Calibri" w:cs="Calibri"/>
                <w:sz w:val="18"/>
                <w:szCs w:val="18"/>
              </w:rPr>
              <w:t>, reflecting regulatory cost of applying for and otherwise engaging with</w:t>
            </w:r>
            <w:r w:rsidR="006E7C1D" w:rsidRPr="73B08956">
              <w:rPr>
                <w:rFonts w:ascii="Calibri" w:hAnsi="Calibri" w:cs="Calibri"/>
                <w:sz w:val="18"/>
                <w:szCs w:val="18"/>
              </w:rPr>
              <w:t xml:space="preserve"> the</w:t>
            </w:r>
            <w:r w:rsidRPr="73B08956">
              <w:rPr>
                <w:rFonts w:ascii="Calibri" w:hAnsi="Calibri" w:cs="Calibri"/>
                <w:sz w:val="18"/>
                <w:szCs w:val="18"/>
              </w:rPr>
              <w:t xml:space="preserve"> scheme.</w:t>
            </w:r>
            <w:r w:rsidR="007F5128" w:rsidRPr="73B0895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67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08F97239" w14:textId="3EFFB95E" w:rsidR="000F7480" w:rsidRPr="00AF7A50" w:rsidRDefault="00DD14C7" w:rsidP="29C1B3B7">
            <w:pPr>
              <w:rPr>
                <w:rFonts w:ascii="Calibri" w:hAnsi="Calibri" w:cs="Calibri"/>
                <w:sz w:val="18"/>
                <w:szCs w:val="18"/>
              </w:rPr>
            </w:pP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Retrospective validation:</w:t>
            </w:r>
            <w:r w:rsidRPr="29C1B3B7">
              <w:rPr>
                <w:rFonts w:ascii="Calibri" w:hAnsi="Calibri" w:cs="Calibri"/>
                <w:sz w:val="18"/>
                <w:szCs w:val="18"/>
              </w:rPr>
              <w:t xml:space="preserve"> Nil </w:t>
            </w: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  <w:r w:rsidR="00BB6117"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solutio</w:t>
            </w: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n scheme:</w:t>
            </w:r>
            <w:r w:rsidRPr="29C1B3B7">
              <w:rPr>
                <w:rFonts w:ascii="Calibri" w:hAnsi="Calibri" w:cs="Calibri"/>
                <w:sz w:val="18"/>
                <w:szCs w:val="18"/>
              </w:rPr>
              <w:t xml:space="preserve"> Nil </w:t>
            </w:r>
          </w:p>
        </w:tc>
        <w:tc>
          <w:tcPr>
            <w:tcW w:w="1666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649FB093" w14:textId="298044CB" w:rsidR="000F7480" w:rsidRPr="00AF7A50" w:rsidRDefault="00DD14C7" w:rsidP="29C1B3B7">
            <w:pPr>
              <w:rPr>
                <w:rFonts w:ascii="Calibri" w:hAnsi="Calibri" w:cs="Calibri"/>
                <w:sz w:val="18"/>
                <w:szCs w:val="18"/>
              </w:rPr>
            </w:pP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Retrospective validation:</w:t>
            </w:r>
            <w:r w:rsidRPr="29C1B3B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452B" w:rsidRPr="29C1B3B7">
              <w:rPr>
                <w:rFonts w:ascii="Calibri" w:hAnsi="Calibri" w:cs="Calibri"/>
                <w:sz w:val="18"/>
                <w:szCs w:val="18"/>
              </w:rPr>
              <w:t>$</w:t>
            </w:r>
            <w:r w:rsidR="00B42933" w:rsidRPr="29C1B3B7">
              <w:rPr>
                <w:rFonts w:ascii="Calibri" w:hAnsi="Calibri" w:cs="Calibri"/>
                <w:sz w:val="18"/>
                <w:szCs w:val="18"/>
              </w:rPr>
              <w:t>2</w:t>
            </w:r>
            <w:r w:rsidR="00EE452B" w:rsidRPr="29C1B3B7">
              <w:rPr>
                <w:rFonts w:ascii="Calibri" w:hAnsi="Calibri" w:cs="Calibri"/>
                <w:sz w:val="18"/>
                <w:szCs w:val="18"/>
              </w:rPr>
              <w:t>.</w:t>
            </w:r>
            <w:r w:rsidR="00B42933" w:rsidRPr="29C1B3B7">
              <w:rPr>
                <w:rFonts w:ascii="Calibri" w:hAnsi="Calibri" w:cs="Calibri"/>
                <w:sz w:val="18"/>
                <w:szCs w:val="18"/>
              </w:rPr>
              <w:t>0</w:t>
            </w:r>
            <w:r w:rsidR="00EE452B" w:rsidRPr="29C1B3B7">
              <w:rPr>
                <w:rFonts w:ascii="Calibri" w:hAnsi="Calibri" w:cs="Calibri"/>
                <w:sz w:val="18"/>
                <w:szCs w:val="18"/>
              </w:rPr>
              <w:t xml:space="preserve"> million over 10 years. </w:t>
            </w: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  <w:r w:rsidR="00BB6117"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>solution</w:t>
            </w:r>
            <w:r w:rsidRPr="29C1B3B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scheme:</w:t>
            </w:r>
            <w:r w:rsidRPr="29C1B3B7">
              <w:rPr>
                <w:rFonts w:ascii="Calibri" w:hAnsi="Calibri" w:cs="Calibri"/>
                <w:sz w:val="18"/>
                <w:szCs w:val="18"/>
              </w:rPr>
              <w:t xml:space="preserve"> $</w:t>
            </w:r>
            <w:r w:rsidR="00B42933" w:rsidRPr="29C1B3B7">
              <w:rPr>
                <w:rFonts w:ascii="Calibri" w:hAnsi="Calibri" w:cs="Calibri"/>
                <w:sz w:val="18"/>
                <w:szCs w:val="18"/>
              </w:rPr>
              <w:t>4</w:t>
            </w:r>
            <w:r w:rsidR="00EE452B" w:rsidRPr="29C1B3B7">
              <w:rPr>
                <w:rFonts w:ascii="Calibri" w:hAnsi="Calibri" w:cs="Calibri"/>
                <w:sz w:val="18"/>
                <w:szCs w:val="18"/>
              </w:rPr>
              <w:t>.6</w:t>
            </w:r>
            <w:r w:rsidR="006E7C1D" w:rsidRPr="29C1B3B7">
              <w:rPr>
                <w:rFonts w:ascii="Calibri" w:hAnsi="Calibri" w:cs="Calibri"/>
                <w:sz w:val="18"/>
                <w:szCs w:val="18"/>
              </w:rPr>
              <w:t> </w:t>
            </w:r>
            <w:r w:rsidRPr="29C1B3B7">
              <w:rPr>
                <w:rFonts w:ascii="Calibri" w:hAnsi="Calibri" w:cs="Calibri"/>
                <w:sz w:val="18"/>
                <w:szCs w:val="18"/>
              </w:rPr>
              <w:t>million over 10 years</w:t>
            </w:r>
            <w:r w:rsidR="00EE452B" w:rsidRPr="29C1B3B7">
              <w:rPr>
                <w:rFonts w:ascii="Calibri" w:hAnsi="Calibri" w:cs="Calibri"/>
                <w:sz w:val="18"/>
                <w:szCs w:val="18"/>
              </w:rPr>
              <w:t xml:space="preserve">. Both reflect regulatory costs of assisting people with relevant debts. </w:t>
            </w:r>
          </w:p>
        </w:tc>
      </w:tr>
    </w:tbl>
    <w:p w14:paraId="6F60DE39" w14:textId="14F77F0D" w:rsidR="00391833" w:rsidRPr="000F7480" w:rsidRDefault="00BF757C" w:rsidP="00391833">
      <w:pPr>
        <w:pStyle w:val="BOXHeading2"/>
        <w:ind w:firstLine="493"/>
        <w:rPr>
          <w:rFonts w:cs="Calibri"/>
          <w:bCs/>
        </w:rPr>
      </w:pPr>
      <w:r>
        <w:rPr>
          <w:rFonts w:cs="Calibri"/>
        </w:rPr>
        <w:t xml:space="preserve"> </w:t>
      </w:r>
      <w:r w:rsidR="00391833">
        <w:rPr>
          <w:noProof/>
        </w:rPr>
        <w:t xml:space="preserve">  Other</w:t>
      </w:r>
      <w:r w:rsidR="00391833" w:rsidRPr="00E2196D">
        <w:rPr>
          <w:noProof/>
        </w:rPr>
        <w:t xml:space="preserve"> </w:t>
      </w:r>
      <w:r w:rsidR="00391833">
        <w:rPr>
          <w:noProof/>
        </w:rPr>
        <w:t>considerations and i</w:t>
      </w:r>
      <w:r w:rsidR="00391833" w:rsidRPr="00534819">
        <w:rPr>
          <w:noProof/>
        </w:rPr>
        <w:t>mplementation</w:t>
      </w:r>
    </w:p>
    <w:p w14:paraId="7C97B313" w14:textId="75683A80" w:rsidR="00636A02" w:rsidRPr="00391833" w:rsidRDefault="00391833" w:rsidP="00391833">
      <w:pPr>
        <w:pStyle w:val="BOXBulletedList"/>
        <w:numPr>
          <w:ilvl w:val="0"/>
          <w:numId w:val="7"/>
        </w:numPr>
        <w:spacing w:after="0"/>
        <w:ind w:left="511"/>
        <w:rPr>
          <w:rFonts w:cs="Calibri"/>
        </w:rPr>
      </w:pPr>
      <w:r>
        <w:rPr>
          <w:rFonts w:ascii="Calibri" w:hAnsi="Calibri" w:cs="Calibri"/>
        </w:rPr>
        <w:t>Agencies will engage with participants to monitor successful delivery of the r</w:t>
      </w:r>
      <w:r w:rsidR="00BB6117">
        <w:rPr>
          <w:rFonts w:ascii="Calibri" w:hAnsi="Calibri" w:cs="Calibri"/>
        </w:rPr>
        <w:t>esolution</w:t>
      </w:r>
      <w:r>
        <w:rPr>
          <w:rFonts w:ascii="Calibri" w:hAnsi="Calibri" w:cs="Calibri"/>
        </w:rPr>
        <w:t xml:space="preserve"> scheme </w:t>
      </w:r>
    </w:p>
    <w:sectPr w:rsidR="00636A02" w:rsidRPr="00391833" w:rsidSect="000F74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3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12D4" w14:textId="77777777" w:rsidR="00E260D1" w:rsidRDefault="00E260D1">
      <w:r>
        <w:separator/>
      </w:r>
    </w:p>
  </w:endnote>
  <w:endnote w:type="continuationSeparator" w:id="0">
    <w:p w14:paraId="569C136F" w14:textId="77777777" w:rsidR="00E260D1" w:rsidRDefault="00E2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BD94" w14:textId="77777777" w:rsidR="0062114E" w:rsidRDefault="00621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EEC8" w14:textId="77777777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DAAB" w14:textId="25CB2BFD" w:rsidR="0019088E" w:rsidRPr="00BB1526" w:rsidRDefault="0019088E" w:rsidP="0019088E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Pr="00852F35">
      <w:rPr>
        <w:color w:val="6E6E6E"/>
        <w:sz w:val="18"/>
        <w:szCs w:val="18"/>
      </w:rPr>
      <w:t xml:space="preserve">| </w:t>
    </w:r>
    <w:r>
      <w:rPr>
        <w:color w:val="6E6E6E"/>
        <w:sz w:val="18"/>
        <w:szCs w:val="18"/>
      </w:rPr>
      <w:t>Legislative Approach to Income Apportionment</w:t>
    </w:r>
  </w:p>
  <w:p w14:paraId="0818136E" w14:textId="77777777" w:rsidR="002943C1" w:rsidRDefault="002943C1" w:rsidP="0019088E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85DAD" w14:textId="77777777" w:rsidR="00E260D1" w:rsidRDefault="00E260D1">
      <w:r>
        <w:separator/>
      </w:r>
    </w:p>
  </w:footnote>
  <w:footnote w:type="continuationSeparator" w:id="0">
    <w:p w14:paraId="44E40670" w14:textId="77777777" w:rsidR="00E260D1" w:rsidRDefault="00E2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3404" w14:textId="77777777" w:rsidR="0062114E" w:rsidRDefault="00621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D4A2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E452" w14:textId="41B06244" w:rsidR="002943C1" w:rsidRDefault="006A3810" w:rsidP="00262233">
    <w:pPr>
      <w:pStyle w:val="Header"/>
      <w:tabs>
        <w:tab w:val="clear" w:pos="4320"/>
        <w:tab w:val="clear" w:pos="8640"/>
      </w:tabs>
      <w:ind w:left="-142"/>
    </w:pPr>
    <w:r>
      <w:rPr>
        <w:rStyle w:val="CLASSIFICATIONChar"/>
        <w:noProof/>
        <w:lang w:eastAsia="en-AU"/>
      </w:rPr>
      <w:drawing>
        <wp:anchor distT="0" distB="0" distL="114300" distR="114300" simplePos="0" relativeHeight="251659264" behindDoc="1" locked="0" layoutInCell="1" allowOverlap="1" wp14:anchorId="37CC0C4C" wp14:editId="7C99B05A">
          <wp:simplePos x="0" y="0"/>
          <wp:positionH relativeFrom="column">
            <wp:posOffset>1882775</wp:posOffset>
          </wp:positionH>
          <wp:positionV relativeFrom="paragraph">
            <wp:posOffset>-275590</wp:posOffset>
          </wp:positionV>
          <wp:extent cx="2120900" cy="567622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67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7201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" w15:restartNumberingAfterBreak="0">
    <w:nsid w:val="137477F3"/>
    <w:multiLevelType w:val="hybridMultilevel"/>
    <w:tmpl w:val="E5DCDBD2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C21BDF"/>
    <w:multiLevelType w:val="hybridMultilevel"/>
    <w:tmpl w:val="CD1402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61"/>
    <w:rsid w:val="00001439"/>
    <w:rsid w:val="00035D57"/>
    <w:rsid w:val="00041201"/>
    <w:rsid w:val="00096196"/>
    <w:rsid w:val="000A5867"/>
    <w:rsid w:val="000B50F2"/>
    <w:rsid w:val="000C4278"/>
    <w:rsid w:val="000D4F72"/>
    <w:rsid w:val="000F7480"/>
    <w:rsid w:val="00104FAD"/>
    <w:rsid w:val="00122FC6"/>
    <w:rsid w:val="00166318"/>
    <w:rsid w:val="00184178"/>
    <w:rsid w:val="0019088E"/>
    <w:rsid w:val="0019227C"/>
    <w:rsid w:val="001D6CB0"/>
    <w:rsid w:val="001F6D8C"/>
    <w:rsid w:val="00206C3F"/>
    <w:rsid w:val="00227EE2"/>
    <w:rsid w:val="00252348"/>
    <w:rsid w:val="0025564F"/>
    <w:rsid w:val="002607E9"/>
    <w:rsid w:val="00262233"/>
    <w:rsid w:val="0029047B"/>
    <w:rsid w:val="002943C1"/>
    <w:rsid w:val="002F4A91"/>
    <w:rsid w:val="002F7D4A"/>
    <w:rsid w:val="00302CA6"/>
    <w:rsid w:val="00302EB7"/>
    <w:rsid w:val="003431FD"/>
    <w:rsid w:val="003573B1"/>
    <w:rsid w:val="00385C81"/>
    <w:rsid w:val="003861E4"/>
    <w:rsid w:val="00390889"/>
    <w:rsid w:val="00391833"/>
    <w:rsid w:val="00424E6C"/>
    <w:rsid w:val="0043103A"/>
    <w:rsid w:val="004321FF"/>
    <w:rsid w:val="004C12AE"/>
    <w:rsid w:val="004C2B7B"/>
    <w:rsid w:val="004D05DC"/>
    <w:rsid w:val="004F4AE5"/>
    <w:rsid w:val="005128F4"/>
    <w:rsid w:val="00566053"/>
    <w:rsid w:val="0058392D"/>
    <w:rsid w:val="005A1442"/>
    <w:rsid w:val="005A70F6"/>
    <w:rsid w:val="005B571C"/>
    <w:rsid w:val="005F7D5B"/>
    <w:rsid w:val="0062114E"/>
    <w:rsid w:val="00636A02"/>
    <w:rsid w:val="006679D5"/>
    <w:rsid w:val="006A3810"/>
    <w:rsid w:val="006C565D"/>
    <w:rsid w:val="006D3845"/>
    <w:rsid w:val="006E7C1D"/>
    <w:rsid w:val="0070036E"/>
    <w:rsid w:val="007413F9"/>
    <w:rsid w:val="007562C9"/>
    <w:rsid w:val="00781E24"/>
    <w:rsid w:val="007A6950"/>
    <w:rsid w:val="007B418E"/>
    <w:rsid w:val="007D1884"/>
    <w:rsid w:val="007F5128"/>
    <w:rsid w:val="00801A36"/>
    <w:rsid w:val="00810571"/>
    <w:rsid w:val="008525E4"/>
    <w:rsid w:val="008B2282"/>
    <w:rsid w:val="008B30BE"/>
    <w:rsid w:val="008F25C8"/>
    <w:rsid w:val="008F5AEA"/>
    <w:rsid w:val="00923015"/>
    <w:rsid w:val="00932E57"/>
    <w:rsid w:val="009360D1"/>
    <w:rsid w:val="009603B0"/>
    <w:rsid w:val="0099059C"/>
    <w:rsid w:val="00993392"/>
    <w:rsid w:val="009B21AC"/>
    <w:rsid w:val="009B50DC"/>
    <w:rsid w:val="009B53BE"/>
    <w:rsid w:val="009E1CD0"/>
    <w:rsid w:val="00A046D0"/>
    <w:rsid w:val="00A2666F"/>
    <w:rsid w:val="00A831DE"/>
    <w:rsid w:val="00AA4C8E"/>
    <w:rsid w:val="00AC2212"/>
    <w:rsid w:val="00AC7DEF"/>
    <w:rsid w:val="00AE124C"/>
    <w:rsid w:val="00AF2F7C"/>
    <w:rsid w:val="00AF7A50"/>
    <w:rsid w:val="00B15287"/>
    <w:rsid w:val="00B42933"/>
    <w:rsid w:val="00B65E53"/>
    <w:rsid w:val="00B70FEF"/>
    <w:rsid w:val="00B809EA"/>
    <w:rsid w:val="00B85888"/>
    <w:rsid w:val="00B92410"/>
    <w:rsid w:val="00BB6117"/>
    <w:rsid w:val="00BC2F82"/>
    <w:rsid w:val="00BF078A"/>
    <w:rsid w:val="00BF65E1"/>
    <w:rsid w:val="00BF757C"/>
    <w:rsid w:val="00C35CFA"/>
    <w:rsid w:val="00C52792"/>
    <w:rsid w:val="00C60461"/>
    <w:rsid w:val="00C65230"/>
    <w:rsid w:val="00C7237C"/>
    <w:rsid w:val="00C870AD"/>
    <w:rsid w:val="00CB002B"/>
    <w:rsid w:val="00CC3A2D"/>
    <w:rsid w:val="00CD7828"/>
    <w:rsid w:val="00CE1CE4"/>
    <w:rsid w:val="00D072D5"/>
    <w:rsid w:val="00D76392"/>
    <w:rsid w:val="00D94203"/>
    <w:rsid w:val="00DA6480"/>
    <w:rsid w:val="00DB0FC6"/>
    <w:rsid w:val="00DD14C7"/>
    <w:rsid w:val="00DD232A"/>
    <w:rsid w:val="00DE0519"/>
    <w:rsid w:val="00DE4979"/>
    <w:rsid w:val="00DF777D"/>
    <w:rsid w:val="00E23EAF"/>
    <w:rsid w:val="00E260D1"/>
    <w:rsid w:val="00E31286"/>
    <w:rsid w:val="00E91ABF"/>
    <w:rsid w:val="00E97202"/>
    <w:rsid w:val="00EE0807"/>
    <w:rsid w:val="00EE452B"/>
    <w:rsid w:val="00EF138F"/>
    <w:rsid w:val="00F2067C"/>
    <w:rsid w:val="00F409D8"/>
    <w:rsid w:val="00FB355B"/>
    <w:rsid w:val="00FF266B"/>
    <w:rsid w:val="026FA2B2"/>
    <w:rsid w:val="08D8C753"/>
    <w:rsid w:val="1AD6837F"/>
    <w:rsid w:val="1FDD3544"/>
    <w:rsid w:val="26F39D7E"/>
    <w:rsid w:val="29C1B3B7"/>
    <w:rsid w:val="2ED7D1A0"/>
    <w:rsid w:val="359D1023"/>
    <w:rsid w:val="3979DD18"/>
    <w:rsid w:val="486EBA15"/>
    <w:rsid w:val="549B0C0B"/>
    <w:rsid w:val="557A64A9"/>
    <w:rsid w:val="59916101"/>
    <w:rsid w:val="5CECAAF1"/>
    <w:rsid w:val="73B08956"/>
    <w:rsid w:val="785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6878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50F2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9088E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8"/>
    <w:rsid w:val="0019088E"/>
    <w:pPr>
      <w:spacing w:before="0" w:after="240"/>
      <w:contextualSpacing/>
    </w:pPr>
    <w:rPr>
      <w:rFonts w:asciiTheme="majorHAnsi" w:eastAsiaTheme="majorEastAsia" w:hAnsiTheme="majorHAnsi" w:cstheme="majorBidi"/>
      <w:noProof/>
      <w:color w:val="1C2B39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19088E"/>
    <w:rPr>
      <w:rFonts w:asciiTheme="majorHAnsi" w:eastAsiaTheme="majorEastAsia" w:hAnsiTheme="majorHAnsi" w:cstheme="majorBidi"/>
      <w:noProof/>
      <w:color w:val="1C2B39"/>
      <w:spacing w:val="-15"/>
      <w:sz w:val="56"/>
      <w:szCs w:val="96"/>
      <w:lang w:eastAsia="en-US"/>
    </w:rPr>
  </w:style>
  <w:style w:type="paragraph" w:customStyle="1" w:styleId="BOXHeading2">
    <w:name w:val="BOX Heading 2"/>
    <w:basedOn w:val="Heading1"/>
    <w:next w:val="Normal"/>
    <w:uiPriority w:val="6"/>
    <w:qFormat/>
    <w:rsid w:val="000B50F2"/>
    <w:pPr>
      <w:pBdr>
        <w:top w:val="single" w:sz="48" w:space="1" w:color="007279"/>
        <w:left w:val="single" w:sz="48" w:space="4" w:color="007279"/>
        <w:bottom w:val="single" w:sz="48" w:space="1" w:color="007279"/>
        <w:right w:val="single" w:sz="48" w:space="4" w:color="007279"/>
      </w:pBdr>
      <w:shd w:val="clear" w:color="auto" w:fill="007279"/>
      <w:ind w:left="227" w:right="227"/>
    </w:pPr>
    <w:rPr>
      <w:rFonts w:ascii="Calibri" w:hAnsi="Calibri"/>
      <w:color w:val="FFFFFF" w:themeColor="background1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0B50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unhideWhenUsed/>
    <w:rsid w:val="000F7480"/>
    <w:pPr>
      <w:spacing w:before="0" w:after="160" w:line="264" w:lineRule="auto"/>
      <w:ind w:left="720"/>
      <w:contextualSpacing/>
    </w:pPr>
    <w:rPr>
      <w:rFonts w:ascii="Calibri Light" w:eastAsiaTheme="minorEastAsia" w:hAnsi="Calibri Light" w:cstheme="minorBidi"/>
      <w:color w:val="1C2B39"/>
      <w:sz w:val="20"/>
      <w:szCs w:val="21"/>
    </w:rPr>
  </w:style>
  <w:style w:type="table" w:customStyle="1" w:styleId="Custom11">
    <w:name w:val="Custom 11"/>
    <w:basedOn w:val="TableNormal"/>
    <w:uiPriority w:val="99"/>
    <w:rsid w:val="000F7480"/>
    <w:rPr>
      <w:rFonts w:asciiTheme="minorHAnsi" w:eastAsiaTheme="minorEastAsia" w:hAnsiTheme="minorHAnsi" w:cstheme="minorBidi"/>
      <w:sz w:val="18"/>
      <w:szCs w:val="21"/>
      <w:lang w:eastAsia="en-US"/>
    </w:rPr>
    <w:tblPr>
      <w:tblStyleRowBandSize w:val="1"/>
      <w:tblBorders>
        <w:top w:val="single" w:sz="4" w:space="0" w:color="4F81BD" w:themeColor="accent1"/>
        <w:bottom w:val="single" w:sz="12" w:space="0" w:color="4F81BD" w:themeColor="accent1"/>
        <w:insideH w:val="single" w:sz="4" w:space="0" w:color="4F81BD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4F81BD" w:themeFill="accent1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BOXBulletedList">
    <w:name w:val="BOX Bulleted List"/>
    <w:basedOn w:val="Normal"/>
    <w:uiPriority w:val="5"/>
    <w:qFormat/>
    <w:rsid w:val="000F7480"/>
    <w:pPr>
      <w:numPr>
        <w:numId w:val="5"/>
      </w:num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left" w:pos="3300"/>
      </w:tabs>
      <w:spacing w:before="0" w:after="160" w:line="264" w:lineRule="auto"/>
      <w:ind w:left="511" w:right="227"/>
    </w:pPr>
    <w:rPr>
      <w:rFonts w:ascii="Calibri Light" w:eastAsiaTheme="minorEastAsia" w:hAnsi="Calibri Light" w:cstheme="minorBidi"/>
      <w:color w:val="1C2B39"/>
      <w:sz w:val="20"/>
      <w:szCs w:val="21"/>
    </w:rPr>
  </w:style>
  <w:style w:type="character" w:styleId="CommentReference">
    <w:name w:val="annotation reference"/>
    <w:basedOn w:val="DefaultParagraphFont"/>
    <w:semiHidden/>
    <w:unhideWhenUsed/>
    <w:rsid w:val="00385C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5C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5C8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5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5C81"/>
    <w:rPr>
      <w:rFonts w:ascii="Arial" w:hAnsi="Arial"/>
      <w:b/>
      <w:bCs/>
      <w:lang w:eastAsia="en-US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6A3810"/>
    <w:pPr>
      <w:spacing w:before="0" w:after="160" w:line="264" w:lineRule="auto"/>
      <w:jc w:val="center"/>
    </w:pPr>
    <w:rPr>
      <w:rFonts w:ascii="Segoe UI" w:eastAsiaTheme="minorEastAsia" w:hAnsi="Segoe UI" w:cstheme="minorBidi"/>
      <w:caps/>
      <w:color w:val="C00000"/>
      <w:sz w:val="18"/>
      <w:szCs w:val="21"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6A3810"/>
    <w:rPr>
      <w:rFonts w:ascii="Segoe UI" w:eastAsiaTheme="minorEastAsia" w:hAnsi="Segoe UI" w:cstheme="minorBidi"/>
      <w:caps/>
      <w:color w:val="C00000"/>
      <w:sz w:val="18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19"/>
    <w:rsid w:val="0070036E"/>
    <w:pPr>
      <w:numPr>
        <w:ilvl w:val="1"/>
      </w:numPr>
      <w:spacing w:before="0" w:after="160"/>
    </w:pPr>
    <w:rPr>
      <w:rFonts w:ascii="Calibri Light" w:eastAsiaTheme="majorEastAsia" w:hAnsi="Calibri Light" w:cstheme="minorHAnsi"/>
      <w:noProof/>
      <w:color w:val="1C2B39"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70036E"/>
    <w:rPr>
      <w:rFonts w:ascii="Calibri Light" w:eastAsiaTheme="majorEastAsia" w:hAnsi="Calibri Light" w:cstheme="minorHAnsi"/>
      <w:noProof/>
      <w:color w:val="1C2B39"/>
      <w:sz w:val="28"/>
      <w:szCs w:val="30"/>
      <w:lang w:eastAsia="en-US"/>
    </w:rPr>
  </w:style>
  <w:style w:type="paragraph" w:styleId="Revision">
    <w:name w:val="Revision"/>
    <w:hidden/>
    <w:uiPriority w:val="99"/>
    <w:semiHidden/>
    <w:rsid w:val="0025234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2025-09-05T01:07:00Z</dcterms:created>
  <dcterms:modified xsi:type="dcterms:W3CDTF">2025-09-05T01:07:00Z</dcterms:modified>
  <cp:category/>
</cp:coreProperties>
</file>