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5558C" w14:textId="77777777" w:rsidR="007D1186" w:rsidRPr="0012120B" w:rsidRDefault="007D1186" w:rsidP="00751A23">
      <w:pPr>
        <w:pStyle w:val="Title"/>
        <w:rPr>
          <w:vertAlign w:val="subscript"/>
        </w:rPr>
      </w:pPr>
      <w:bookmarkStart w:id="0" w:name="_Toc203639518"/>
      <w:bookmarkStart w:id="1" w:name="_GoBack"/>
      <w:bookmarkEnd w:id="0"/>
      <w:bookmarkEnd w:id="1"/>
    </w:p>
    <w:p w14:paraId="13108625" w14:textId="77777777" w:rsidR="007D1186" w:rsidRDefault="007D1186" w:rsidP="00751A23">
      <w:pPr>
        <w:pStyle w:val="Title"/>
      </w:pPr>
    </w:p>
    <w:p w14:paraId="7B3B9BAC" w14:textId="77777777" w:rsidR="007D1186" w:rsidRDefault="007D1186" w:rsidP="00751A23">
      <w:pPr>
        <w:pStyle w:val="Title"/>
      </w:pPr>
    </w:p>
    <w:p w14:paraId="47E17651" w14:textId="77777777" w:rsidR="007D1186" w:rsidRDefault="007D1186" w:rsidP="00751A23">
      <w:pPr>
        <w:pStyle w:val="Title"/>
      </w:pPr>
    </w:p>
    <w:p w14:paraId="08C76D9C" w14:textId="77777777" w:rsidR="007D1186" w:rsidRDefault="007D1186" w:rsidP="00751A23">
      <w:pPr>
        <w:pStyle w:val="Title"/>
      </w:pPr>
    </w:p>
    <w:p w14:paraId="5AED7B84" w14:textId="77777777" w:rsidR="007D1186" w:rsidRDefault="007D1186" w:rsidP="00751A23">
      <w:pPr>
        <w:pStyle w:val="Title"/>
      </w:pPr>
    </w:p>
    <w:p w14:paraId="6D40576A" w14:textId="77777777" w:rsidR="007D1186" w:rsidRDefault="007D1186" w:rsidP="00751A23">
      <w:pPr>
        <w:pStyle w:val="Title"/>
      </w:pPr>
    </w:p>
    <w:p w14:paraId="00E746F5" w14:textId="77777777" w:rsidR="007D1186" w:rsidRDefault="007D1186" w:rsidP="00751A23">
      <w:pPr>
        <w:pStyle w:val="Title"/>
      </w:pPr>
    </w:p>
    <w:p w14:paraId="153713C0" w14:textId="77777777" w:rsidR="007D1186" w:rsidRDefault="007D1186" w:rsidP="00751A23">
      <w:pPr>
        <w:pStyle w:val="Title"/>
      </w:pPr>
    </w:p>
    <w:p w14:paraId="3C25E41B" w14:textId="77777777" w:rsidR="007D1186" w:rsidRDefault="007D1186" w:rsidP="00751A23">
      <w:pPr>
        <w:pStyle w:val="Title"/>
      </w:pPr>
    </w:p>
    <w:p w14:paraId="54153939" w14:textId="77777777" w:rsidR="007D1186" w:rsidRDefault="007D1186" w:rsidP="00751A23">
      <w:pPr>
        <w:pStyle w:val="Title"/>
      </w:pPr>
    </w:p>
    <w:p w14:paraId="1C7036F3" w14:textId="77777777" w:rsidR="007D1186" w:rsidRDefault="007D1186" w:rsidP="00751A23">
      <w:pPr>
        <w:pStyle w:val="Title"/>
      </w:pPr>
    </w:p>
    <w:p w14:paraId="33C2B1B0" w14:textId="77777777" w:rsidR="007D1186" w:rsidRDefault="007D1186" w:rsidP="00751A23">
      <w:pPr>
        <w:pStyle w:val="Title"/>
      </w:pPr>
    </w:p>
    <w:p w14:paraId="351C65B6" w14:textId="77777777" w:rsidR="007D1186" w:rsidRDefault="007D1186" w:rsidP="00751A23">
      <w:pPr>
        <w:pStyle w:val="Title"/>
      </w:pPr>
    </w:p>
    <w:p w14:paraId="0D36A61C" w14:textId="379E8F64" w:rsidR="007D1186" w:rsidRPr="007D1186" w:rsidRDefault="007D1186" w:rsidP="00751A23">
      <w:pPr>
        <w:pStyle w:val="Title"/>
        <w:rPr>
          <w:color w:val="FFFFFF" w:themeColor="background1"/>
          <w:sz w:val="72"/>
          <w:szCs w:val="72"/>
        </w:rPr>
      </w:pPr>
      <w:r w:rsidRPr="1B5BB200">
        <w:rPr>
          <w:color w:val="FFFFFF" w:themeColor="background1"/>
          <w:sz w:val="72"/>
          <w:szCs w:val="72"/>
        </w:rPr>
        <w:t>Linking care funding to care minutes delivery</w:t>
      </w:r>
      <w:r w:rsidR="00615773">
        <w:rPr>
          <w:color w:val="FFFFFF" w:themeColor="background1"/>
          <w:sz w:val="72"/>
          <w:szCs w:val="72"/>
        </w:rPr>
        <w:t xml:space="preserve"> in residential aged care</w:t>
      </w:r>
    </w:p>
    <w:p w14:paraId="6184A861" w14:textId="0E048D80" w:rsidR="00751A23" w:rsidRDefault="01E4A9C2" w:rsidP="01E4A9C2">
      <w:pPr>
        <w:pStyle w:val="Subtitle"/>
        <w:rPr>
          <w:color w:val="FFFFFF" w:themeColor="background1"/>
          <w:sz w:val="52"/>
          <w:szCs w:val="52"/>
        </w:rPr>
        <w:sectPr w:rsidR="00751A23" w:rsidSect="00775191">
          <w:headerReference w:type="even" r:id="rId8"/>
          <w:headerReference w:type="default" r:id="rId9"/>
          <w:footerReference w:type="even" r:id="rId10"/>
          <w:footerReference w:type="default" r:id="rId11"/>
          <w:headerReference w:type="first" r:id="rId12"/>
          <w:footerReference w:type="first" r:id="rId13"/>
          <w:type w:val="continuous"/>
          <w:pgSz w:w="11906" w:h="16838"/>
          <w:pgMar w:top="1701" w:right="1418" w:bottom="1418" w:left="1418" w:header="850" w:footer="709" w:gutter="0"/>
          <w:cols w:space="708"/>
          <w:titlePg/>
          <w:docGrid w:linePitch="360"/>
        </w:sectPr>
      </w:pPr>
      <w:r w:rsidRPr="1B5BB200">
        <w:rPr>
          <w:color w:val="FFFFFF" w:themeColor="background1"/>
          <w:sz w:val="52"/>
          <w:szCs w:val="52"/>
        </w:rPr>
        <w:t xml:space="preserve">Impact </w:t>
      </w:r>
      <w:r w:rsidR="00B24FD1">
        <w:rPr>
          <w:color w:val="FFFFFF" w:themeColor="background1"/>
          <w:sz w:val="52"/>
          <w:szCs w:val="52"/>
        </w:rPr>
        <w:t>A</w:t>
      </w:r>
      <w:r w:rsidR="007D1186" w:rsidRPr="1B5BB200">
        <w:rPr>
          <w:color w:val="FFFFFF" w:themeColor="background1"/>
          <w:sz w:val="52"/>
          <w:szCs w:val="52"/>
        </w:rPr>
        <w:t>nalysis</w:t>
      </w:r>
    </w:p>
    <w:p w14:paraId="11D46CAF" w14:textId="77777777" w:rsidR="00832A41" w:rsidRDefault="01E4A9C2" w:rsidP="00CA4BE3">
      <w:pPr>
        <w:pStyle w:val="Heading1"/>
      </w:pPr>
      <w:bookmarkStart w:id="2" w:name="_Toc178074419"/>
      <w:bookmarkStart w:id="3" w:name="_Toc183705469"/>
      <w:bookmarkStart w:id="4" w:name="_Toc203133275"/>
      <w:bookmarkStart w:id="5" w:name="_Toc200394430"/>
      <w:bookmarkStart w:id="6" w:name="_Toc205802668"/>
      <w:bookmarkStart w:id="7" w:name="_Toc203639517"/>
      <w:bookmarkStart w:id="8" w:name="_Toc207014396"/>
      <w:r>
        <w:lastRenderedPageBreak/>
        <w:t>Executive summary</w:t>
      </w:r>
      <w:bookmarkEnd w:id="2"/>
      <w:bookmarkEnd w:id="3"/>
      <w:bookmarkEnd w:id="4"/>
      <w:bookmarkEnd w:id="5"/>
      <w:bookmarkEnd w:id="6"/>
      <w:bookmarkEnd w:id="7"/>
      <w:bookmarkEnd w:id="8"/>
    </w:p>
    <w:p w14:paraId="3142459D" w14:textId="2C659617" w:rsidR="00C60CDB" w:rsidRDefault="7321F2CE" w:rsidP="00F22C09">
      <w:pPr>
        <w:pStyle w:val="Paragraphtext"/>
      </w:pPr>
      <w:r>
        <w:t>The</w:t>
      </w:r>
      <w:r w:rsidR="08C8BAAE">
        <w:t xml:space="preserve"> 2021</w:t>
      </w:r>
      <w:r>
        <w:t xml:space="preserve"> Royal Commission</w:t>
      </w:r>
      <w:r w:rsidR="08C8BAAE">
        <w:t xml:space="preserve"> into Aged Care Quality and Safety (Royal Commission) Final Report</w:t>
      </w:r>
      <w:r>
        <w:t xml:space="preserve"> found that staffing levels across much of the residential aged care sector </w:t>
      </w:r>
      <w:r w:rsidR="5DA2CDC0">
        <w:t xml:space="preserve">(sector) </w:t>
      </w:r>
      <w:r>
        <w:t>were inadequate to support quality care</w:t>
      </w:r>
      <w:r w:rsidR="02F72D5F">
        <w:t xml:space="preserve"> to </w:t>
      </w:r>
      <w:r w:rsidR="08C8BAAE">
        <w:t xml:space="preserve">older people </w:t>
      </w:r>
      <w:r w:rsidR="447DC584">
        <w:t>living in residential aged care</w:t>
      </w:r>
      <w:r>
        <w:t xml:space="preserve"> </w:t>
      </w:r>
      <w:r w:rsidR="7447394B">
        <w:t xml:space="preserve">homes </w:t>
      </w:r>
      <w:r>
        <w:t xml:space="preserve">and recommended that </w:t>
      </w:r>
      <w:r w:rsidDel="7321F2CE">
        <w:t>g</w:t>
      </w:r>
      <w:r>
        <w:t xml:space="preserve">overnment adopt minimum care time requirements to ensure consistent and adequate staffing across </w:t>
      </w:r>
      <w:r w:rsidR="1441BB5E">
        <w:t xml:space="preserve">all </w:t>
      </w:r>
      <w:r w:rsidR="07DB848B">
        <w:t>approved residential aged care homes</w:t>
      </w:r>
      <w:r w:rsidR="76A3606F">
        <w:t>.</w:t>
      </w:r>
      <w:r>
        <w:t xml:space="preserve"> </w:t>
      </w:r>
      <w:r w:rsidR="41CF8CC3">
        <w:t>The</w:t>
      </w:r>
      <w:r w:rsidR="6D448B27">
        <w:t xml:space="preserve"> </w:t>
      </w:r>
      <w:r w:rsidR="4853EC5E">
        <w:t>Australian</w:t>
      </w:r>
      <w:r w:rsidR="41CF8CC3">
        <w:t xml:space="preserve"> </w:t>
      </w:r>
      <w:r>
        <w:t xml:space="preserve">Government </w:t>
      </w:r>
      <w:r w:rsidR="2DFF43C5">
        <w:t xml:space="preserve">(Government) </w:t>
      </w:r>
      <w:r>
        <w:t>accepted this recommendation and implemented mandatory care minute</w:t>
      </w:r>
      <w:r w:rsidR="0FB29916">
        <w:t>s</w:t>
      </w:r>
      <w:r>
        <w:t xml:space="preserve"> requirements and provided substantial funding uplifts to fund the sector to deliver the additional required care time.</w:t>
      </w:r>
    </w:p>
    <w:p w14:paraId="48099279" w14:textId="2A58D58E" w:rsidR="00F22C09" w:rsidRDefault="7321F2CE" w:rsidP="00F22C09">
      <w:pPr>
        <w:pStyle w:val="Paragraphtext"/>
      </w:pPr>
      <w:r>
        <w:t xml:space="preserve">Despite this, compliance with the care minutes responsibility is low with only 37.4% of </w:t>
      </w:r>
      <w:r w:rsidR="1C0B69CA">
        <w:t>homes</w:t>
      </w:r>
      <w:r>
        <w:t xml:space="preserve"> meeting their required care minute targets in the December quarter of 2024. This means that most </w:t>
      </w:r>
      <w:r w:rsidR="7EA0328F">
        <w:t>residential aged care residents (</w:t>
      </w:r>
      <w:r w:rsidR="76A3606F">
        <w:t>residents</w:t>
      </w:r>
      <w:r w:rsidR="38E2878E">
        <w:t>)</w:t>
      </w:r>
      <w:r>
        <w:t xml:space="preserve"> are not receiving the amount of care the Royal Commission considered necessary </w:t>
      </w:r>
      <w:r w:rsidR="7E9325CE">
        <w:t>and</w:t>
      </w:r>
      <w:r>
        <w:t xml:space="preserve"> that Government is providing substantial funding to </w:t>
      </w:r>
      <w:r w:rsidR="588A16E1">
        <w:t xml:space="preserve">registered residential </w:t>
      </w:r>
      <w:r>
        <w:t>aged care providers</w:t>
      </w:r>
      <w:r w:rsidR="0E94D038">
        <w:t xml:space="preserve"> (providers)</w:t>
      </w:r>
      <w:r>
        <w:t xml:space="preserve"> for care that is </w:t>
      </w:r>
      <w:r w:rsidDel="7321F2CE">
        <w:t>in many cases</w:t>
      </w:r>
      <w:r>
        <w:t xml:space="preserve"> not being delivered.</w:t>
      </w:r>
    </w:p>
    <w:p w14:paraId="4B7DA214" w14:textId="503BAA5A" w:rsidR="00F22C09" w:rsidRDefault="4DF6AA69" w:rsidP="00F22C09">
      <w:pPr>
        <w:pStyle w:val="Paragraphtext"/>
      </w:pPr>
      <w:r>
        <w:t>The varying c</w:t>
      </w:r>
      <w:r w:rsidR="69C3E1D7">
        <w:t>ompliance rates between provider types</w:t>
      </w:r>
      <w:r w:rsidR="005F1C4C">
        <w:t>,</w:t>
      </w:r>
      <w:r w:rsidR="69C3E1D7">
        <w:t xml:space="preserve"> </w:t>
      </w:r>
      <w:r w:rsidR="00F32FFD">
        <w:t>a</w:t>
      </w:r>
      <w:r w:rsidR="69C3E1D7">
        <w:t xml:space="preserve">nd across </w:t>
      </w:r>
      <w:r w:rsidR="57B0D749">
        <w:t xml:space="preserve">the </w:t>
      </w:r>
      <w:r w:rsidR="69C3E1D7">
        <w:t xml:space="preserve">different locations </w:t>
      </w:r>
      <w:r w:rsidR="3F33542C">
        <w:t>of their residential aged care homes</w:t>
      </w:r>
      <w:r w:rsidR="005E3D0F">
        <w:t>,</w:t>
      </w:r>
      <w:r w:rsidR="3F33542C">
        <w:t xml:space="preserve"> </w:t>
      </w:r>
      <w:r w:rsidR="69C3E1D7">
        <w:t>indicate</w:t>
      </w:r>
      <w:r w:rsidR="1CE33947">
        <w:t>s</w:t>
      </w:r>
      <w:r w:rsidR="69C3E1D7">
        <w:t xml:space="preserve"> that some providers </w:t>
      </w:r>
      <w:r w:rsidR="089AD301">
        <w:t>could</w:t>
      </w:r>
      <w:r w:rsidR="69C3E1D7">
        <w:t xml:space="preserve"> be making business decisions to not comply with care minutes</w:t>
      </w:r>
      <w:r w:rsidR="622A6B02">
        <w:t xml:space="preserve"> targets</w:t>
      </w:r>
      <w:r w:rsidR="29B65A03">
        <w:t>.</w:t>
      </w:r>
      <w:r w:rsidR="69C3E1D7">
        <w:t xml:space="preserve"> Analysis of care income and expense data from </w:t>
      </w:r>
      <w:r w:rsidR="5CE8A8D2">
        <w:t xml:space="preserve">providers and </w:t>
      </w:r>
      <w:r w:rsidR="68172C76">
        <w:t xml:space="preserve">residential aged care </w:t>
      </w:r>
      <w:r w:rsidR="5CE8A8D2">
        <w:t>homes</w:t>
      </w:r>
      <w:r w:rsidR="69C3E1D7">
        <w:t xml:space="preserve"> that met and did not meet their care minutes targets also show that </w:t>
      </w:r>
      <w:r w:rsidR="69C3E1D7" w:rsidRPr="793722D6">
        <w:t xml:space="preserve">those that did not meet their care minutes </w:t>
      </w:r>
      <w:r w:rsidR="576D0B5D" w:rsidRPr="793722D6">
        <w:t xml:space="preserve">targets </w:t>
      </w:r>
      <w:r w:rsidR="69C3E1D7" w:rsidRPr="793722D6">
        <w:t>recorded substantially higher care profits than those that did</w:t>
      </w:r>
      <w:r w:rsidR="1A7DDCD1">
        <w:t>.</w:t>
      </w:r>
      <w:r w:rsidR="69C3E1D7">
        <w:t xml:space="preserve"> That is, those not meeting care minutes </w:t>
      </w:r>
      <w:r w:rsidR="00C10290">
        <w:t>are</w:t>
      </w:r>
      <w:r w:rsidR="69C3E1D7">
        <w:t xml:space="preserve"> benefitting financially from not doing so.</w:t>
      </w:r>
    </w:p>
    <w:p w14:paraId="2D6E76FD" w14:textId="6466DC43" w:rsidR="002E2951" w:rsidRDefault="5B262A84" w:rsidP="002E2951">
      <w:pPr>
        <w:pStyle w:val="Paragraphtext"/>
      </w:pPr>
      <w:r>
        <w:t xml:space="preserve">Without </w:t>
      </w:r>
      <w:r w:rsidR="7D6E5F49">
        <w:t>G</w:t>
      </w:r>
      <w:r>
        <w:t>overnment intervention,</w:t>
      </w:r>
      <w:r w:rsidR="2AE283F9">
        <w:t xml:space="preserve"> it is expected that compliance with care minutes</w:t>
      </w:r>
      <w:r w:rsidR="61000EFC">
        <w:t xml:space="preserve"> </w:t>
      </w:r>
      <w:r w:rsidR="46589BD8">
        <w:t>targets</w:t>
      </w:r>
      <w:r w:rsidR="2EB053CE">
        <w:t xml:space="preserve"> </w:t>
      </w:r>
      <w:r w:rsidR="760AE15E">
        <w:t>will continue to be low</w:t>
      </w:r>
      <w:r w:rsidR="2AE283F9">
        <w:t xml:space="preserve">. This means that a significant proportion of older people </w:t>
      </w:r>
      <w:r w:rsidR="4B12FA8A">
        <w:t>receiving</w:t>
      </w:r>
      <w:r w:rsidR="2AE283F9">
        <w:t xml:space="preserve"> residential aged care will continue to live in </w:t>
      </w:r>
      <w:r w:rsidR="66B32E74">
        <w:t xml:space="preserve">residential aged care </w:t>
      </w:r>
      <w:r w:rsidR="6ED813D4">
        <w:t>homes</w:t>
      </w:r>
      <w:r w:rsidR="2AE283F9">
        <w:t xml:space="preserve"> with staffing levels lower than the Royal Commission considered necessary</w:t>
      </w:r>
      <w:r w:rsidR="7E9325CE">
        <w:t xml:space="preserve"> and</w:t>
      </w:r>
      <w:r w:rsidR="2AE283F9">
        <w:t xml:space="preserve"> that Government will continue to pay for a substantial amount of care that is not being delivered.</w:t>
      </w:r>
    </w:p>
    <w:p w14:paraId="01D78C2D" w14:textId="09827808" w:rsidR="002E2951" w:rsidRDefault="2AE283F9" w:rsidP="002E2951">
      <w:pPr>
        <w:pStyle w:val="Paragraphtext"/>
      </w:pPr>
      <w:r>
        <w:t>The objectives of</w:t>
      </w:r>
      <w:r w:rsidR="7E9325CE">
        <w:t xml:space="preserve"> any</w:t>
      </w:r>
      <w:r>
        <w:t xml:space="preserve"> Government </w:t>
      </w:r>
      <w:r w:rsidR="1997C608">
        <w:t>intervention</w:t>
      </w:r>
      <w:r w:rsidR="7E9325CE">
        <w:t xml:space="preserve"> to address this problem</w:t>
      </w:r>
      <w:r w:rsidR="1997C608">
        <w:t xml:space="preserve"> </w:t>
      </w:r>
      <w:r>
        <w:t xml:space="preserve">are to ensure </w:t>
      </w:r>
      <w:r w:rsidR="3B30E9DE">
        <w:t xml:space="preserve">residential </w:t>
      </w:r>
      <w:r>
        <w:t>aged</w:t>
      </w:r>
      <w:r w:rsidDel="2AE283F9">
        <w:t xml:space="preserve"> care </w:t>
      </w:r>
      <w:r w:rsidR="35815BD6">
        <w:t>homes</w:t>
      </w:r>
      <w:r>
        <w:t xml:space="preserve"> have adequate staffing to meet their residents’ personal and clinical care needs (through meeting care minutes </w:t>
      </w:r>
      <w:r w:rsidR="3FC27F4A">
        <w:t>targets</w:t>
      </w:r>
      <w:r>
        <w:t>) and to ensure Government funding for residential aged care is cost-effective by minimising the extent to which funding is provided for care that is not delivered.</w:t>
      </w:r>
    </w:p>
    <w:p w14:paraId="55811625" w14:textId="1C03144E" w:rsidR="002E2951" w:rsidRDefault="2AE283F9" w:rsidP="002E2951">
      <w:pPr>
        <w:pStyle w:val="Paragraphtext"/>
      </w:pPr>
      <w:r>
        <w:t xml:space="preserve">The levers Government has available to achieve these objectives are through transparency initiatives, strengthened regulation and/or changes to the way care minutes are funded. Further Government action around transparency is not expected to be effective given Government already publishes information about care minutes performance. Likewise, changes to the way care minutes are regulated are only expected to bring about incremental improvements. </w:t>
      </w:r>
      <w:r w:rsidR="005E1AEF">
        <w:t xml:space="preserve">Funding is considered a </w:t>
      </w:r>
      <w:r>
        <w:t xml:space="preserve">viable lever </w:t>
      </w:r>
      <w:r w:rsidR="1997C608">
        <w:t>to achieve these objectives</w:t>
      </w:r>
      <w:r w:rsidR="002A4ECA">
        <w:t xml:space="preserve"> given Government is the key funder of residential aged care, and has the legislative </w:t>
      </w:r>
      <w:r w:rsidR="00CC4520">
        <w:t xml:space="preserve">power to make funding changes, and </w:t>
      </w:r>
      <w:r w:rsidR="003D063F">
        <w:t xml:space="preserve">the </w:t>
      </w:r>
      <w:r w:rsidR="00EF7DE9">
        <w:t xml:space="preserve">Information </w:t>
      </w:r>
      <w:r w:rsidR="0079111F">
        <w:t>and Communication Technology (</w:t>
      </w:r>
      <w:r w:rsidR="00AD5030">
        <w:t>ICT</w:t>
      </w:r>
      <w:r w:rsidR="0079111F">
        <w:t>)</w:t>
      </w:r>
      <w:r w:rsidR="00832BBE">
        <w:t xml:space="preserve"> capability to </w:t>
      </w:r>
      <w:r w:rsidR="001E4319">
        <w:t>make system changes to operationalise these.</w:t>
      </w:r>
    </w:p>
    <w:p w14:paraId="35C3EAAC" w14:textId="7E0C40FF" w:rsidR="002E2951" w:rsidRDefault="2AE283F9" w:rsidP="002E2951">
      <w:pPr>
        <w:pStyle w:val="Paragraphtext"/>
      </w:pPr>
      <w:r>
        <w:t>This Impact Analysis considers the following policy option</w:t>
      </w:r>
      <w:r w:rsidR="1FA7ECBB">
        <w:t>s</w:t>
      </w:r>
      <w:r>
        <w:t xml:space="preserve"> to address the policy problem</w:t>
      </w:r>
      <w:r w:rsidR="11C6D482">
        <w:t xml:space="preserve"> of low care minutes compliance</w:t>
      </w:r>
      <w:r w:rsidR="00C39663">
        <w:t xml:space="preserve"> and the provision of Government </w:t>
      </w:r>
      <w:r w:rsidR="42E72B08">
        <w:t xml:space="preserve">funding </w:t>
      </w:r>
      <w:r w:rsidR="00C39663">
        <w:t>for care not being delivered</w:t>
      </w:r>
      <w:r>
        <w:t>:</w:t>
      </w:r>
    </w:p>
    <w:p w14:paraId="380E9669" w14:textId="77777777" w:rsidR="002E2951" w:rsidRDefault="2AE283F9" w:rsidP="00357BB0">
      <w:pPr>
        <w:pStyle w:val="Paragraphtext"/>
        <w:numPr>
          <w:ilvl w:val="0"/>
          <w:numId w:val="28"/>
        </w:numPr>
      </w:pPr>
      <w:r>
        <w:t>Option 1 – Status quo</w:t>
      </w:r>
    </w:p>
    <w:p w14:paraId="22AD1064" w14:textId="4C9C9663" w:rsidR="002E2951" w:rsidRDefault="2AE283F9" w:rsidP="00357BB0">
      <w:pPr>
        <w:pStyle w:val="Paragraphtext"/>
        <w:numPr>
          <w:ilvl w:val="0"/>
          <w:numId w:val="28"/>
        </w:numPr>
      </w:pPr>
      <w:r>
        <w:t xml:space="preserve">Option 2 </w:t>
      </w:r>
      <w:r w:rsidR="06DC827D">
        <w:t>–</w:t>
      </w:r>
      <w:r>
        <w:t xml:space="preserve"> </w:t>
      </w:r>
      <w:r w:rsidRPr="009F0955">
        <w:t>Linking</w:t>
      </w:r>
      <w:r w:rsidR="06DC827D">
        <w:t xml:space="preserve"> </w:t>
      </w:r>
      <w:r w:rsidRPr="009F0955">
        <w:t>care minutes funding to care minutes performance for non</w:t>
      </w:r>
      <w:r w:rsidR="002E2951">
        <w:noBreakHyphen/>
      </w:r>
      <w:r w:rsidRPr="009F0955">
        <w:t xml:space="preserve">specialised residential aged care </w:t>
      </w:r>
      <w:r w:rsidR="42CF3AB4" w:rsidRPr="009F0955">
        <w:t>homes</w:t>
      </w:r>
      <w:r w:rsidRPr="009F0955">
        <w:t xml:space="preserve"> </w:t>
      </w:r>
      <w:r>
        <w:t>located in metropolitan areas</w:t>
      </w:r>
      <w:r w:rsidRPr="009F0955">
        <w:t xml:space="preserve"> </w:t>
      </w:r>
      <w:r>
        <w:t xml:space="preserve">(i.e. </w:t>
      </w:r>
      <w:r w:rsidR="031AEFD2">
        <w:t>Modified Monash model [</w:t>
      </w:r>
      <w:r w:rsidRPr="009F0955">
        <w:t>MM</w:t>
      </w:r>
      <w:r w:rsidR="59C7F268">
        <w:t>]</w:t>
      </w:r>
      <w:r w:rsidRPr="009F0955">
        <w:t>1</w:t>
      </w:r>
      <w:r>
        <w:t xml:space="preserve"> areas) without additional assurance arrangements</w:t>
      </w:r>
    </w:p>
    <w:p w14:paraId="2A9FBD55" w14:textId="420E068E" w:rsidR="002E2951" w:rsidRDefault="2AE283F9" w:rsidP="00357BB0">
      <w:pPr>
        <w:pStyle w:val="Paragraphtext"/>
        <w:numPr>
          <w:ilvl w:val="0"/>
          <w:numId w:val="28"/>
        </w:numPr>
      </w:pPr>
      <w:r>
        <w:t xml:space="preserve">Option 3 – </w:t>
      </w:r>
      <w:r w:rsidRPr="009F0955">
        <w:t>Linking care minutes funding to care minutes performance for non</w:t>
      </w:r>
      <w:r w:rsidR="020BD20E" w:rsidRPr="009F0955">
        <w:t>-</w:t>
      </w:r>
      <w:r w:rsidRPr="009F0955">
        <w:t xml:space="preserve">specialised </w:t>
      </w:r>
      <w:r w:rsidR="6FA8C9F3" w:rsidRPr="009F0955">
        <w:t>homes</w:t>
      </w:r>
      <w:r w:rsidRPr="009F0955">
        <w:t xml:space="preserve"> </w:t>
      </w:r>
      <w:r>
        <w:t>located in metropolitan areas</w:t>
      </w:r>
      <w:r w:rsidRPr="009F0955">
        <w:t xml:space="preserve"> </w:t>
      </w:r>
      <w:r>
        <w:t xml:space="preserve">(i.e. </w:t>
      </w:r>
      <w:r w:rsidRPr="009F0955">
        <w:t>MM1</w:t>
      </w:r>
      <w:r>
        <w:t xml:space="preserve"> areas) with additional assurance arrangements to manage the risk that providers may misreport their care minutes</w:t>
      </w:r>
      <w:r w:rsidR="40ED0CAE">
        <w:t xml:space="preserve"> performance</w:t>
      </w:r>
      <w:r>
        <w:t>.</w:t>
      </w:r>
    </w:p>
    <w:p w14:paraId="1B0CC30E" w14:textId="2F1E3FC4" w:rsidR="002E2951" w:rsidRDefault="2AE283F9" w:rsidP="002E2951">
      <w:pPr>
        <w:pStyle w:val="Paragraphtext"/>
      </w:pPr>
      <w:r>
        <w:lastRenderedPageBreak/>
        <w:t>To identify the net benefit of each option</w:t>
      </w:r>
      <w:r w:rsidR="5D35DC4E">
        <w:t>,</w:t>
      </w:r>
      <w:r>
        <w:t xml:space="preserve"> a cost benefit analysis of each option </w:t>
      </w:r>
      <w:r w:rsidR="3102EF40">
        <w:t>was</w:t>
      </w:r>
      <w:r>
        <w:t xml:space="preserve"> undertaken. The cost benefit analysis </w:t>
      </w:r>
      <w:r w:rsidR="719C202A">
        <w:t>covers</w:t>
      </w:r>
      <w:r w:rsidR="5E77DCFA">
        <w:t xml:space="preserve"> a</w:t>
      </w:r>
      <w:r w:rsidR="719C202A">
        <w:t xml:space="preserve"> </w:t>
      </w:r>
      <w:r>
        <w:t>4</w:t>
      </w:r>
      <w:r w:rsidR="27AF5F9E">
        <w:t>-</w:t>
      </w:r>
      <w:r w:rsidR="5E77DCFA">
        <w:t>year</w:t>
      </w:r>
      <w:r w:rsidR="46936AB4">
        <w:t xml:space="preserve"> </w:t>
      </w:r>
      <w:r w:rsidR="7D4D7D3A">
        <w:t>period</w:t>
      </w:r>
      <w:r>
        <w:t xml:space="preserve"> from 2024-25 </w:t>
      </w:r>
      <w:r w:rsidR="7DC967D3">
        <w:t>and</w:t>
      </w:r>
      <w:r w:rsidR="45F119EF">
        <w:t xml:space="preserve"> is</w:t>
      </w:r>
      <w:r w:rsidR="7DC967D3">
        <w:t xml:space="preserve"> presented on a </w:t>
      </w:r>
      <w:r>
        <w:t>discounted cost</w:t>
      </w:r>
      <w:r w:rsidR="53557562">
        <w:t xml:space="preserve"> basis</w:t>
      </w:r>
      <w:r>
        <w:t xml:space="preserve">. </w:t>
      </w:r>
      <w:r w:rsidR="0B6C8E38">
        <w:t>A</w:t>
      </w:r>
      <w:r>
        <w:t xml:space="preserve">n estimate of regulatory burden of each of the </w:t>
      </w:r>
      <w:r w:rsidR="001C6BEC">
        <w:t>3</w:t>
      </w:r>
      <w:r w:rsidR="293A58F8">
        <w:t xml:space="preserve"> </w:t>
      </w:r>
      <w:r>
        <w:t xml:space="preserve">options </w:t>
      </w:r>
      <w:r w:rsidR="073B272A">
        <w:t>was</w:t>
      </w:r>
      <w:r>
        <w:t xml:space="preserve"> </w:t>
      </w:r>
      <w:r w:rsidR="5B7D3114">
        <w:t>also</w:t>
      </w:r>
      <w:r>
        <w:t xml:space="preserve"> completed.</w:t>
      </w:r>
    </w:p>
    <w:p w14:paraId="08892BEC" w14:textId="3CD82D91" w:rsidR="002E2951" w:rsidRDefault="2AE283F9" w:rsidP="00F30A72">
      <w:pPr>
        <w:pStyle w:val="Paragraphtext"/>
      </w:pPr>
      <w:r>
        <w:t xml:space="preserve">The analysis </w:t>
      </w:r>
      <w:r w:rsidR="06DC827D">
        <w:t xml:space="preserve">shows </w:t>
      </w:r>
      <w:r>
        <w:t>that the</w:t>
      </w:r>
      <w:r w:rsidR="06DC827D">
        <w:t xml:space="preserve"> net benefit is highest under </w:t>
      </w:r>
      <w:r w:rsidR="61F50D72">
        <w:t>O</w:t>
      </w:r>
      <w:r w:rsidR="06DC827D">
        <w:t xml:space="preserve">ption 3, </w:t>
      </w:r>
      <w:r w:rsidR="1510AF26">
        <w:t xml:space="preserve">with </w:t>
      </w:r>
      <w:r w:rsidR="261187AD">
        <w:t xml:space="preserve">residents in residential aged care homes </w:t>
      </w:r>
      <w:r w:rsidR="06DC827D">
        <w:t>that are not compliant with care minutes</w:t>
      </w:r>
      <w:r w:rsidR="1787C60F">
        <w:t xml:space="preserve"> targets</w:t>
      </w:r>
      <w:r w:rsidR="66D4DF1C">
        <w:t xml:space="preserve"> receiving more direct care</w:t>
      </w:r>
      <w:r w:rsidR="0CDEBFD9">
        <w:t xml:space="preserve"> and</w:t>
      </w:r>
      <w:r w:rsidR="06DC827D">
        <w:t xml:space="preserve"> </w:t>
      </w:r>
      <w:r w:rsidR="466D4C8C">
        <w:t xml:space="preserve">with a marginal benefit to </w:t>
      </w:r>
      <w:r w:rsidR="06DC827D">
        <w:t>Government through a reduction in subsidy payments for care that is not being delivered. Option</w:t>
      </w:r>
      <w:r w:rsidR="74F17694">
        <w:t> </w:t>
      </w:r>
      <w:r w:rsidR="06DC827D">
        <w:t xml:space="preserve">3 </w:t>
      </w:r>
      <w:r w:rsidR="6B52698A">
        <w:t xml:space="preserve">is the only option with additional regulatory burden with this </w:t>
      </w:r>
      <w:r w:rsidR="00C83C24">
        <w:t xml:space="preserve">small </w:t>
      </w:r>
      <w:r w:rsidR="6B52698A">
        <w:t>burden falling to providers.</w:t>
      </w:r>
    </w:p>
    <w:p w14:paraId="2BED3481" w14:textId="0A01799D" w:rsidR="002E2951" w:rsidRDefault="2AE283F9" w:rsidP="002E2951">
      <w:pPr>
        <w:pStyle w:val="Paragraphtext"/>
      </w:pPr>
      <w:r>
        <w:t xml:space="preserve">The </w:t>
      </w:r>
      <w:r w:rsidR="657D28C0">
        <w:t>Department of Health, Disability and Ageing (</w:t>
      </w:r>
      <w:r>
        <w:t>department</w:t>
      </w:r>
      <w:r w:rsidR="18AE6838">
        <w:t>)</w:t>
      </w:r>
      <w:r>
        <w:t xml:space="preserve"> </w:t>
      </w:r>
      <w:r w:rsidDel="2AE283F9">
        <w:t xml:space="preserve">has </w:t>
      </w:r>
      <w:r>
        <w:t>consulted directly with a range of stakeholders, including through the National Aged Care Advisory Co</w:t>
      </w:r>
      <w:r w:rsidR="009060F4">
        <w:t>uncil</w:t>
      </w:r>
      <w:r w:rsidR="3D01AEAF">
        <w:t xml:space="preserve"> (NACAC)</w:t>
      </w:r>
      <w:r w:rsidR="1CA21153">
        <w:t>,</w:t>
      </w:r>
      <w:r>
        <w:t xml:space="preserve"> on the low</w:t>
      </w:r>
      <w:r w:rsidR="6CF22D4C">
        <w:t xml:space="preserve"> levels of</w:t>
      </w:r>
      <w:r>
        <w:t xml:space="preserve"> care minute compliance across the sector and options to address th</w:t>
      </w:r>
      <w:r w:rsidR="3AC5C803">
        <w:t>is issue</w:t>
      </w:r>
      <w:r>
        <w:t>.</w:t>
      </w:r>
      <w:r w:rsidR="1F2045F4">
        <w:t xml:space="preserve"> </w:t>
      </w:r>
      <w:r>
        <w:t xml:space="preserve">This consultation identified a general recognition of the need to do more to ensure providers are doing all they can to deliver the care minutes that they have been funded to deliver, particularly among </w:t>
      </w:r>
      <w:r w:rsidR="2A97E8DF">
        <w:t xml:space="preserve">residents and their family members, </w:t>
      </w:r>
      <w:r>
        <w:t>representatives of workers and</w:t>
      </w:r>
      <w:r w:rsidDel="00CF351C">
        <w:t xml:space="preserve"> also among</w:t>
      </w:r>
      <w:r>
        <w:t xml:space="preserve"> some providers. </w:t>
      </w:r>
      <w:r w:rsidR="4B9DA92C">
        <w:t>M</w:t>
      </w:r>
      <w:r w:rsidR="1F2045F4">
        <w:t>ost</w:t>
      </w:r>
      <w:r>
        <w:t xml:space="preserve"> stakeholders </w:t>
      </w:r>
      <w:r w:rsidR="712CE8AD">
        <w:t xml:space="preserve">accepted </w:t>
      </w:r>
      <w:r>
        <w:t>that funding was the most effective lever available to Government to improve sector performance</w:t>
      </w:r>
      <w:r w:rsidR="6B52698A">
        <w:t xml:space="preserve"> with their care minutes </w:t>
      </w:r>
      <w:r w:rsidR="16EFD1D9">
        <w:t>targets</w:t>
      </w:r>
      <w:r w:rsidR="6B52698A">
        <w:t>.</w:t>
      </w:r>
    </w:p>
    <w:p w14:paraId="5451A8AE" w14:textId="2910E5B0" w:rsidR="002E2951" w:rsidRDefault="122AE750" w:rsidP="000F2245">
      <w:pPr>
        <w:pStyle w:val="Paragraphtext"/>
      </w:pPr>
      <w:r>
        <w:t xml:space="preserve">The </w:t>
      </w:r>
      <w:r w:rsidR="7062F0C8">
        <w:t>Government has agreed to implement Option 3</w:t>
      </w:r>
      <w:r w:rsidR="08C8BAAE">
        <w:t xml:space="preserve"> - Linking care minutes funding to care minutes performance for non</w:t>
      </w:r>
      <w:r w:rsidR="50976538">
        <w:t>-</w:t>
      </w:r>
      <w:r w:rsidR="08C8BAAE">
        <w:t xml:space="preserve">specialised </w:t>
      </w:r>
      <w:r w:rsidR="73B450CF">
        <w:t>homes</w:t>
      </w:r>
      <w:r w:rsidR="08C8BAAE">
        <w:t xml:space="preserve"> located in metropolitan areas (i.e. MM1 areas) with additional assurance arrangements to manage the risk that providers may misreport their care minutes</w:t>
      </w:r>
      <w:r w:rsidR="5366FB57">
        <w:t xml:space="preserve"> performance</w:t>
      </w:r>
      <w:r w:rsidR="6B52698A">
        <w:t>,</w:t>
      </w:r>
      <w:r w:rsidR="08C8BAAE">
        <w:t xml:space="preserve"> from October 2025. </w:t>
      </w:r>
      <w:r w:rsidR="36C40A72">
        <w:t>T</w:t>
      </w:r>
      <w:r w:rsidR="08C8BAAE">
        <w:t>he</w:t>
      </w:r>
      <w:r w:rsidR="2AE283F9">
        <w:t xml:space="preserve"> </w:t>
      </w:r>
      <w:r w:rsidR="7DAC3189">
        <w:t xml:space="preserve">department </w:t>
      </w:r>
      <w:r w:rsidR="2AE283F9">
        <w:t>and Services Australia</w:t>
      </w:r>
      <w:r w:rsidR="17336075">
        <w:t xml:space="preserve"> </w:t>
      </w:r>
      <w:r w:rsidR="426CBB26">
        <w:t xml:space="preserve">will jointly implement this option </w:t>
      </w:r>
      <w:r w:rsidR="2AE283F9">
        <w:t>as a Tier 2 project under the governance of the Residential Aged Care Funding Reform Project Board.</w:t>
      </w:r>
    </w:p>
    <w:p w14:paraId="3A1FE09F" w14:textId="08486B01" w:rsidR="003B566D" w:rsidRDefault="08C8BAAE" w:rsidP="003B566D">
      <w:pPr>
        <w:pStyle w:val="Paragraphtext"/>
      </w:pPr>
      <w:r>
        <w:t>This policy change</w:t>
      </w:r>
      <w:r w:rsidR="30D9FC88">
        <w:t xml:space="preserve"> will be incorporated into the </w:t>
      </w:r>
      <w:r w:rsidR="5A1FC89E">
        <w:t>department</w:t>
      </w:r>
      <w:r w:rsidR="3F664D6A">
        <w:t>’</w:t>
      </w:r>
      <w:r w:rsidR="5A1FC89E">
        <w:t>s</w:t>
      </w:r>
      <w:r w:rsidR="30D9FC88">
        <w:t xml:space="preserve"> existing care minutes and 24/7 </w:t>
      </w:r>
      <w:r w:rsidR="00993A99">
        <w:t>registered n</w:t>
      </w:r>
      <w:r w:rsidR="5A10BD51">
        <w:t>urse (</w:t>
      </w:r>
      <w:r w:rsidR="30D9FC88">
        <w:t>RN</w:t>
      </w:r>
      <w:r w:rsidR="5E6A6231">
        <w:t>)</w:t>
      </w:r>
      <w:r w:rsidR="30D9FC88">
        <w:t xml:space="preserve"> monitoring and evaluation plan. The success of the measure will be monitored quarterly through analysing the care minutes performance data collected through the </w:t>
      </w:r>
      <w:r w:rsidR="77189CED">
        <w:t>Quarterly Fina</w:t>
      </w:r>
      <w:r w:rsidR="4D4A386C">
        <w:t>n</w:t>
      </w:r>
      <w:r w:rsidR="77189CED">
        <w:t>cial Report (</w:t>
      </w:r>
      <w:r w:rsidR="30D9FC88">
        <w:t>QFR</w:t>
      </w:r>
      <w:r w:rsidR="06CC5D1E">
        <w:t>)</w:t>
      </w:r>
      <w:r w:rsidR="5BF08141">
        <w:t>.</w:t>
      </w:r>
      <w:r w:rsidR="30D9FC88">
        <w:t xml:space="preserve"> An evaluation of the care minutes and 24/7 RN responsibilities </w:t>
      </w:r>
      <w:r w:rsidR="6B52698A">
        <w:t xml:space="preserve">is planned to </w:t>
      </w:r>
      <w:r w:rsidR="30D9FC88">
        <w:t>commence in early 2026 and will include</w:t>
      </w:r>
      <w:r w:rsidR="6B52698A">
        <w:t xml:space="preserve"> early</w:t>
      </w:r>
      <w:r w:rsidR="30D9FC88">
        <w:t xml:space="preserve"> evaluation of the success of this policy change in achieving its objectives.</w:t>
      </w:r>
    </w:p>
    <w:p w14:paraId="1C4FE713" w14:textId="49EFB698" w:rsidR="00EF0CFA" w:rsidRDefault="00EF0CFA" w:rsidP="002E2951">
      <w:pPr>
        <w:pStyle w:val="Paragraphtext"/>
      </w:pPr>
      <w:r>
        <w:br w:type="page"/>
      </w:r>
    </w:p>
    <w:bookmarkStart w:id="9" w:name="_Toc207014397" w:displacedByCustomXml="next"/>
    <w:bookmarkStart w:id="10" w:name="_Toc203133276" w:displacedByCustomXml="next"/>
    <w:bookmarkStart w:id="11" w:name="_Toc178074420" w:displacedByCustomXml="next"/>
    <w:bookmarkStart w:id="12" w:name="_Toc183705470" w:displacedByCustomXml="next"/>
    <w:bookmarkStart w:id="13" w:name="_Toc205802669" w:displacedByCustomXml="next"/>
    <w:sdt>
      <w:sdtPr>
        <w:rPr>
          <w:rFonts w:cs="Times New Roman"/>
          <w:bCs w:val="0"/>
          <w:color w:val="auto"/>
          <w:kern w:val="0"/>
          <w:sz w:val="22"/>
          <w:szCs w:val="24"/>
        </w:rPr>
        <w:id w:val="918594379"/>
        <w:docPartObj>
          <w:docPartGallery w:val="Table of Contents"/>
          <w:docPartUnique/>
        </w:docPartObj>
      </w:sdtPr>
      <w:sdtEndPr>
        <w:rPr>
          <w:b/>
          <w:bCs/>
          <w:noProof/>
          <w:szCs w:val="22"/>
        </w:rPr>
      </w:sdtEndPr>
      <w:sdtContent>
        <w:p w14:paraId="4C8DFA0C" w14:textId="4F721EF9" w:rsidR="00E50091" w:rsidRDefault="00E50091" w:rsidP="00E50091">
          <w:pPr>
            <w:pStyle w:val="Heading1"/>
          </w:pPr>
          <w:r>
            <w:t>Contents</w:t>
          </w:r>
          <w:bookmarkEnd w:id="13"/>
          <w:bookmarkEnd w:id="12"/>
          <w:bookmarkEnd w:id="11"/>
          <w:bookmarkEnd w:id="10"/>
          <w:bookmarkEnd w:id="9"/>
        </w:p>
        <w:p w14:paraId="51C1A15E" w14:textId="564C4AFE" w:rsidR="00ED6021" w:rsidRDefault="00870694">
          <w:pPr>
            <w:pStyle w:val="TOC1"/>
            <w:tabs>
              <w:tab w:val="right" w:leader="dot" w:pos="9060"/>
            </w:tabs>
            <w:rPr>
              <w:rFonts w:asciiTheme="minorHAnsi" w:eastAsiaTheme="minorEastAsia" w:hAnsiTheme="minorHAnsi" w:cstheme="minorBidi"/>
              <w:noProof/>
              <w:kern w:val="2"/>
              <w:sz w:val="24"/>
              <w:lang w:val="en-US"/>
              <w14:ligatures w14:val="standardContextual"/>
            </w:rPr>
          </w:pPr>
          <w:r>
            <w:fldChar w:fldCharType="begin"/>
          </w:r>
          <w:r>
            <w:instrText xml:space="preserve"> TOC \o "1-2" \h \z \u </w:instrText>
          </w:r>
          <w:r>
            <w:fldChar w:fldCharType="separate"/>
          </w:r>
          <w:hyperlink w:anchor="_Toc207014396" w:history="1">
            <w:r w:rsidR="00ED6021" w:rsidRPr="00A53B89">
              <w:rPr>
                <w:rStyle w:val="Hyperlink"/>
                <w:noProof/>
              </w:rPr>
              <w:t>Executive summary</w:t>
            </w:r>
            <w:r w:rsidR="00ED6021">
              <w:rPr>
                <w:noProof/>
                <w:webHidden/>
              </w:rPr>
              <w:tab/>
            </w:r>
            <w:r w:rsidR="00ED6021">
              <w:rPr>
                <w:noProof/>
                <w:webHidden/>
              </w:rPr>
              <w:fldChar w:fldCharType="begin"/>
            </w:r>
            <w:r w:rsidR="00ED6021">
              <w:rPr>
                <w:noProof/>
                <w:webHidden/>
              </w:rPr>
              <w:instrText xml:space="preserve"> PAGEREF _Toc207014396 \h </w:instrText>
            </w:r>
            <w:r w:rsidR="00ED6021">
              <w:rPr>
                <w:noProof/>
                <w:webHidden/>
              </w:rPr>
            </w:r>
            <w:r w:rsidR="00ED6021">
              <w:rPr>
                <w:noProof/>
                <w:webHidden/>
              </w:rPr>
              <w:fldChar w:fldCharType="separate"/>
            </w:r>
            <w:r w:rsidR="00E53E34">
              <w:rPr>
                <w:noProof/>
                <w:webHidden/>
              </w:rPr>
              <w:t>2</w:t>
            </w:r>
            <w:r w:rsidR="00ED6021">
              <w:rPr>
                <w:noProof/>
                <w:webHidden/>
              </w:rPr>
              <w:fldChar w:fldCharType="end"/>
            </w:r>
          </w:hyperlink>
        </w:p>
        <w:p w14:paraId="0C5865CC" w14:textId="02644509" w:rsidR="00ED6021" w:rsidRDefault="003B49C8">
          <w:pPr>
            <w:pStyle w:val="TOC1"/>
            <w:tabs>
              <w:tab w:val="right" w:leader="dot" w:pos="9060"/>
            </w:tabs>
            <w:rPr>
              <w:rFonts w:asciiTheme="minorHAnsi" w:eastAsiaTheme="minorEastAsia" w:hAnsiTheme="minorHAnsi" w:cstheme="minorBidi"/>
              <w:noProof/>
              <w:kern w:val="2"/>
              <w:sz w:val="24"/>
              <w:lang w:val="en-US"/>
              <w14:ligatures w14:val="standardContextual"/>
            </w:rPr>
          </w:pPr>
          <w:hyperlink w:anchor="_Toc207014397" w:history="1">
            <w:r w:rsidR="00ED6021" w:rsidRPr="00A53B89">
              <w:rPr>
                <w:rStyle w:val="Hyperlink"/>
                <w:noProof/>
              </w:rPr>
              <w:t>Contents</w:t>
            </w:r>
            <w:r w:rsidR="00ED6021">
              <w:rPr>
                <w:noProof/>
                <w:webHidden/>
              </w:rPr>
              <w:tab/>
            </w:r>
            <w:r w:rsidR="00ED6021">
              <w:rPr>
                <w:noProof/>
                <w:webHidden/>
              </w:rPr>
              <w:fldChar w:fldCharType="begin"/>
            </w:r>
            <w:r w:rsidR="00ED6021">
              <w:rPr>
                <w:noProof/>
                <w:webHidden/>
              </w:rPr>
              <w:instrText xml:space="preserve"> PAGEREF _Toc207014397 \h </w:instrText>
            </w:r>
            <w:r w:rsidR="00ED6021">
              <w:rPr>
                <w:noProof/>
                <w:webHidden/>
              </w:rPr>
            </w:r>
            <w:r w:rsidR="00ED6021">
              <w:rPr>
                <w:noProof/>
                <w:webHidden/>
              </w:rPr>
              <w:fldChar w:fldCharType="separate"/>
            </w:r>
            <w:r w:rsidR="00E53E34">
              <w:rPr>
                <w:noProof/>
                <w:webHidden/>
              </w:rPr>
              <w:t>4</w:t>
            </w:r>
            <w:r w:rsidR="00ED6021">
              <w:rPr>
                <w:noProof/>
                <w:webHidden/>
              </w:rPr>
              <w:fldChar w:fldCharType="end"/>
            </w:r>
          </w:hyperlink>
        </w:p>
        <w:p w14:paraId="36460400" w14:textId="69EA60B6" w:rsidR="00ED6021" w:rsidRDefault="003B49C8">
          <w:pPr>
            <w:pStyle w:val="TOC1"/>
            <w:tabs>
              <w:tab w:val="right" w:leader="dot" w:pos="9060"/>
            </w:tabs>
            <w:rPr>
              <w:rFonts w:asciiTheme="minorHAnsi" w:eastAsiaTheme="minorEastAsia" w:hAnsiTheme="minorHAnsi" w:cstheme="minorBidi"/>
              <w:noProof/>
              <w:kern w:val="2"/>
              <w:sz w:val="24"/>
              <w:lang w:val="en-US"/>
              <w14:ligatures w14:val="standardContextual"/>
            </w:rPr>
          </w:pPr>
          <w:hyperlink w:anchor="_Toc207014398" w:history="1">
            <w:r w:rsidR="00ED6021" w:rsidRPr="00A53B89">
              <w:rPr>
                <w:rStyle w:val="Hyperlink"/>
                <w:noProof/>
              </w:rPr>
              <w:t>Background</w:t>
            </w:r>
            <w:r w:rsidR="00ED6021">
              <w:rPr>
                <w:noProof/>
                <w:webHidden/>
              </w:rPr>
              <w:tab/>
            </w:r>
            <w:r w:rsidR="00ED6021">
              <w:rPr>
                <w:noProof/>
                <w:webHidden/>
              </w:rPr>
              <w:fldChar w:fldCharType="begin"/>
            </w:r>
            <w:r w:rsidR="00ED6021">
              <w:rPr>
                <w:noProof/>
                <w:webHidden/>
              </w:rPr>
              <w:instrText xml:space="preserve"> PAGEREF _Toc207014398 \h </w:instrText>
            </w:r>
            <w:r w:rsidR="00ED6021">
              <w:rPr>
                <w:noProof/>
                <w:webHidden/>
              </w:rPr>
            </w:r>
            <w:r w:rsidR="00ED6021">
              <w:rPr>
                <w:noProof/>
                <w:webHidden/>
              </w:rPr>
              <w:fldChar w:fldCharType="separate"/>
            </w:r>
            <w:r w:rsidR="00E53E34">
              <w:rPr>
                <w:noProof/>
                <w:webHidden/>
              </w:rPr>
              <w:t>5</w:t>
            </w:r>
            <w:r w:rsidR="00ED6021">
              <w:rPr>
                <w:noProof/>
                <w:webHidden/>
              </w:rPr>
              <w:fldChar w:fldCharType="end"/>
            </w:r>
          </w:hyperlink>
        </w:p>
        <w:p w14:paraId="37143304" w14:textId="4254E85F" w:rsidR="00ED6021" w:rsidRDefault="003B49C8">
          <w:pPr>
            <w:pStyle w:val="TOC1"/>
            <w:tabs>
              <w:tab w:val="left" w:pos="440"/>
              <w:tab w:val="right" w:leader="dot" w:pos="9060"/>
            </w:tabs>
            <w:rPr>
              <w:rFonts w:asciiTheme="minorHAnsi" w:eastAsiaTheme="minorEastAsia" w:hAnsiTheme="minorHAnsi" w:cstheme="minorBidi"/>
              <w:noProof/>
              <w:kern w:val="2"/>
              <w:sz w:val="24"/>
              <w:lang w:val="en-US"/>
              <w14:ligatures w14:val="standardContextual"/>
            </w:rPr>
          </w:pPr>
          <w:hyperlink w:anchor="_Toc207014399" w:history="1">
            <w:r w:rsidR="00ED6021" w:rsidRPr="00A53B89">
              <w:rPr>
                <w:rStyle w:val="Hyperlink"/>
                <w:noProof/>
              </w:rPr>
              <w:t>1.</w:t>
            </w:r>
            <w:r w:rsidR="00ED6021">
              <w:rPr>
                <w:rFonts w:asciiTheme="minorHAnsi" w:eastAsiaTheme="minorEastAsia" w:hAnsiTheme="minorHAnsi" w:cstheme="minorBidi"/>
                <w:noProof/>
                <w:kern w:val="2"/>
                <w:sz w:val="24"/>
                <w:lang w:val="en-US"/>
                <w14:ligatures w14:val="standardContextual"/>
              </w:rPr>
              <w:tab/>
            </w:r>
            <w:r w:rsidR="00ED6021" w:rsidRPr="00A53B89">
              <w:rPr>
                <w:rStyle w:val="Hyperlink"/>
                <w:noProof/>
              </w:rPr>
              <w:t>Policy problem</w:t>
            </w:r>
            <w:r w:rsidR="00ED6021">
              <w:rPr>
                <w:noProof/>
                <w:webHidden/>
              </w:rPr>
              <w:tab/>
            </w:r>
            <w:r w:rsidR="00ED6021">
              <w:rPr>
                <w:noProof/>
                <w:webHidden/>
              </w:rPr>
              <w:fldChar w:fldCharType="begin"/>
            </w:r>
            <w:r w:rsidR="00ED6021">
              <w:rPr>
                <w:noProof/>
                <w:webHidden/>
              </w:rPr>
              <w:instrText xml:space="preserve"> PAGEREF _Toc207014399 \h </w:instrText>
            </w:r>
            <w:r w:rsidR="00ED6021">
              <w:rPr>
                <w:noProof/>
                <w:webHidden/>
              </w:rPr>
            </w:r>
            <w:r w:rsidR="00ED6021">
              <w:rPr>
                <w:noProof/>
                <w:webHidden/>
              </w:rPr>
              <w:fldChar w:fldCharType="separate"/>
            </w:r>
            <w:r w:rsidR="00E53E34">
              <w:rPr>
                <w:noProof/>
                <w:webHidden/>
              </w:rPr>
              <w:t>8</w:t>
            </w:r>
            <w:r w:rsidR="00ED6021">
              <w:rPr>
                <w:noProof/>
                <w:webHidden/>
              </w:rPr>
              <w:fldChar w:fldCharType="end"/>
            </w:r>
          </w:hyperlink>
        </w:p>
        <w:p w14:paraId="1CF5F114" w14:textId="53362ABD" w:rsidR="00ED6021" w:rsidRDefault="003B49C8">
          <w:pPr>
            <w:pStyle w:val="TOC1"/>
            <w:tabs>
              <w:tab w:val="left" w:pos="440"/>
              <w:tab w:val="right" w:leader="dot" w:pos="9060"/>
            </w:tabs>
            <w:rPr>
              <w:rFonts w:asciiTheme="minorHAnsi" w:eastAsiaTheme="minorEastAsia" w:hAnsiTheme="minorHAnsi" w:cstheme="minorBidi"/>
              <w:noProof/>
              <w:kern w:val="2"/>
              <w:sz w:val="24"/>
              <w:lang w:val="en-US"/>
              <w14:ligatures w14:val="standardContextual"/>
            </w:rPr>
          </w:pPr>
          <w:hyperlink w:anchor="_Toc207014400" w:history="1">
            <w:r w:rsidR="00ED6021" w:rsidRPr="00A53B89">
              <w:rPr>
                <w:rStyle w:val="Hyperlink"/>
                <w:noProof/>
              </w:rPr>
              <w:t>2.</w:t>
            </w:r>
            <w:r w:rsidR="00ED6021">
              <w:rPr>
                <w:rFonts w:asciiTheme="minorHAnsi" w:eastAsiaTheme="minorEastAsia" w:hAnsiTheme="minorHAnsi" w:cstheme="minorBidi"/>
                <w:noProof/>
                <w:kern w:val="2"/>
                <w:sz w:val="24"/>
                <w:lang w:val="en-US"/>
                <w14:ligatures w14:val="standardContextual"/>
              </w:rPr>
              <w:tab/>
            </w:r>
            <w:r w:rsidR="00ED6021" w:rsidRPr="00A53B89">
              <w:rPr>
                <w:rStyle w:val="Hyperlink"/>
                <w:noProof/>
              </w:rPr>
              <w:t>Need for Government action</w:t>
            </w:r>
            <w:r w:rsidR="00ED6021">
              <w:rPr>
                <w:noProof/>
                <w:webHidden/>
              </w:rPr>
              <w:tab/>
            </w:r>
            <w:r w:rsidR="00ED6021">
              <w:rPr>
                <w:noProof/>
                <w:webHidden/>
              </w:rPr>
              <w:fldChar w:fldCharType="begin"/>
            </w:r>
            <w:r w:rsidR="00ED6021">
              <w:rPr>
                <w:noProof/>
                <w:webHidden/>
              </w:rPr>
              <w:instrText xml:space="preserve"> PAGEREF _Toc207014400 \h </w:instrText>
            </w:r>
            <w:r w:rsidR="00ED6021">
              <w:rPr>
                <w:noProof/>
                <w:webHidden/>
              </w:rPr>
            </w:r>
            <w:r w:rsidR="00ED6021">
              <w:rPr>
                <w:noProof/>
                <w:webHidden/>
              </w:rPr>
              <w:fldChar w:fldCharType="separate"/>
            </w:r>
            <w:r w:rsidR="00E53E34">
              <w:rPr>
                <w:noProof/>
                <w:webHidden/>
              </w:rPr>
              <w:t>19</w:t>
            </w:r>
            <w:r w:rsidR="00ED6021">
              <w:rPr>
                <w:noProof/>
                <w:webHidden/>
              </w:rPr>
              <w:fldChar w:fldCharType="end"/>
            </w:r>
          </w:hyperlink>
        </w:p>
        <w:p w14:paraId="222E50D4" w14:textId="41703048" w:rsidR="00ED6021" w:rsidRDefault="003B49C8">
          <w:pPr>
            <w:pStyle w:val="TOC1"/>
            <w:tabs>
              <w:tab w:val="left" w:pos="440"/>
              <w:tab w:val="right" w:leader="dot" w:pos="9060"/>
            </w:tabs>
            <w:rPr>
              <w:rFonts w:asciiTheme="minorHAnsi" w:eastAsiaTheme="minorEastAsia" w:hAnsiTheme="minorHAnsi" w:cstheme="minorBidi"/>
              <w:noProof/>
              <w:kern w:val="2"/>
              <w:sz w:val="24"/>
              <w:lang w:val="en-US"/>
              <w14:ligatures w14:val="standardContextual"/>
            </w:rPr>
          </w:pPr>
          <w:hyperlink w:anchor="_Toc207014401" w:history="1">
            <w:r w:rsidR="00ED6021" w:rsidRPr="00A53B89">
              <w:rPr>
                <w:rStyle w:val="Hyperlink"/>
                <w:noProof/>
              </w:rPr>
              <w:t>3.</w:t>
            </w:r>
            <w:r w:rsidR="00ED6021">
              <w:rPr>
                <w:rFonts w:asciiTheme="minorHAnsi" w:eastAsiaTheme="minorEastAsia" w:hAnsiTheme="minorHAnsi" w:cstheme="minorBidi"/>
                <w:noProof/>
                <w:kern w:val="2"/>
                <w:sz w:val="24"/>
                <w:lang w:val="en-US"/>
                <w14:ligatures w14:val="standardContextual"/>
              </w:rPr>
              <w:tab/>
            </w:r>
            <w:r w:rsidR="00ED6021" w:rsidRPr="00A53B89">
              <w:rPr>
                <w:rStyle w:val="Hyperlink"/>
                <w:noProof/>
              </w:rPr>
              <w:t>Policy options considered</w:t>
            </w:r>
            <w:r w:rsidR="00ED6021">
              <w:rPr>
                <w:noProof/>
                <w:webHidden/>
              </w:rPr>
              <w:tab/>
            </w:r>
            <w:r w:rsidR="00ED6021">
              <w:rPr>
                <w:noProof/>
                <w:webHidden/>
              </w:rPr>
              <w:fldChar w:fldCharType="begin"/>
            </w:r>
            <w:r w:rsidR="00ED6021">
              <w:rPr>
                <w:noProof/>
                <w:webHidden/>
              </w:rPr>
              <w:instrText xml:space="preserve"> PAGEREF _Toc207014401 \h </w:instrText>
            </w:r>
            <w:r w:rsidR="00ED6021">
              <w:rPr>
                <w:noProof/>
                <w:webHidden/>
              </w:rPr>
            </w:r>
            <w:r w:rsidR="00ED6021">
              <w:rPr>
                <w:noProof/>
                <w:webHidden/>
              </w:rPr>
              <w:fldChar w:fldCharType="separate"/>
            </w:r>
            <w:r w:rsidR="00E53E34">
              <w:rPr>
                <w:noProof/>
                <w:webHidden/>
              </w:rPr>
              <w:t>26</w:t>
            </w:r>
            <w:r w:rsidR="00ED6021">
              <w:rPr>
                <w:noProof/>
                <w:webHidden/>
              </w:rPr>
              <w:fldChar w:fldCharType="end"/>
            </w:r>
          </w:hyperlink>
        </w:p>
        <w:p w14:paraId="65DF9035" w14:textId="76B52F82" w:rsidR="00ED6021" w:rsidRDefault="003B49C8">
          <w:pPr>
            <w:pStyle w:val="TOC1"/>
            <w:tabs>
              <w:tab w:val="left" w:pos="440"/>
              <w:tab w:val="right" w:leader="dot" w:pos="9060"/>
            </w:tabs>
            <w:rPr>
              <w:rFonts w:asciiTheme="minorHAnsi" w:eastAsiaTheme="minorEastAsia" w:hAnsiTheme="minorHAnsi" w:cstheme="minorBidi"/>
              <w:noProof/>
              <w:kern w:val="2"/>
              <w:sz w:val="24"/>
              <w:lang w:val="en-US"/>
              <w14:ligatures w14:val="standardContextual"/>
            </w:rPr>
          </w:pPr>
          <w:hyperlink w:anchor="_Toc207014402" w:history="1">
            <w:r w:rsidR="00ED6021" w:rsidRPr="00A53B89">
              <w:rPr>
                <w:rStyle w:val="Hyperlink"/>
                <w:noProof/>
              </w:rPr>
              <w:t>4.</w:t>
            </w:r>
            <w:r w:rsidR="00ED6021">
              <w:rPr>
                <w:rFonts w:asciiTheme="minorHAnsi" w:eastAsiaTheme="minorEastAsia" w:hAnsiTheme="minorHAnsi" w:cstheme="minorBidi"/>
                <w:noProof/>
                <w:kern w:val="2"/>
                <w:sz w:val="24"/>
                <w:lang w:val="en-US"/>
                <w14:ligatures w14:val="standardContextual"/>
              </w:rPr>
              <w:tab/>
            </w:r>
            <w:r w:rsidR="00ED6021" w:rsidRPr="00A53B89">
              <w:rPr>
                <w:rStyle w:val="Hyperlink"/>
                <w:noProof/>
              </w:rPr>
              <w:t>Net benefit of each option</w:t>
            </w:r>
            <w:r w:rsidR="00ED6021">
              <w:rPr>
                <w:noProof/>
                <w:webHidden/>
              </w:rPr>
              <w:tab/>
            </w:r>
            <w:r w:rsidR="00ED6021">
              <w:rPr>
                <w:noProof/>
                <w:webHidden/>
              </w:rPr>
              <w:fldChar w:fldCharType="begin"/>
            </w:r>
            <w:r w:rsidR="00ED6021">
              <w:rPr>
                <w:noProof/>
                <w:webHidden/>
              </w:rPr>
              <w:instrText xml:space="preserve"> PAGEREF _Toc207014402 \h </w:instrText>
            </w:r>
            <w:r w:rsidR="00ED6021">
              <w:rPr>
                <w:noProof/>
                <w:webHidden/>
              </w:rPr>
            </w:r>
            <w:r w:rsidR="00ED6021">
              <w:rPr>
                <w:noProof/>
                <w:webHidden/>
              </w:rPr>
              <w:fldChar w:fldCharType="separate"/>
            </w:r>
            <w:r w:rsidR="00E53E34">
              <w:rPr>
                <w:noProof/>
                <w:webHidden/>
              </w:rPr>
              <w:t>34</w:t>
            </w:r>
            <w:r w:rsidR="00ED6021">
              <w:rPr>
                <w:noProof/>
                <w:webHidden/>
              </w:rPr>
              <w:fldChar w:fldCharType="end"/>
            </w:r>
          </w:hyperlink>
        </w:p>
        <w:p w14:paraId="4CAC2E20" w14:textId="4F9CD517" w:rsidR="00ED6021" w:rsidRDefault="003B49C8">
          <w:pPr>
            <w:pStyle w:val="TOC1"/>
            <w:tabs>
              <w:tab w:val="left" w:pos="440"/>
              <w:tab w:val="right" w:leader="dot" w:pos="9060"/>
            </w:tabs>
            <w:rPr>
              <w:rFonts w:asciiTheme="minorHAnsi" w:eastAsiaTheme="minorEastAsia" w:hAnsiTheme="minorHAnsi" w:cstheme="minorBidi"/>
              <w:noProof/>
              <w:kern w:val="2"/>
              <w:sz w:val="24"/>
              <w:lang w:val="en-US"/>
              <w14:ligatures w14:val="standardContextual"/>
            </w:rPr>
          </w:pPr>
          <w:hyperlink w:anchor="_Toc207014403" w:history="1">
            <w:r w:rsidR="00ED6021" w:rsidRPr="00A53B89">
              <w:rPr>
                <w:rStyle w:val="Hyperlink"/>
                <w:noProof/>
              </w:rPr>
              <w:t>5.</w:t>
            </w:r>
            <w:r w:rsidR="00ED6021">
              <w:rPr>
                <w:rFonts w:asciiTheme="minorHAnsi" w:eastAsiaTheme="minorEastAsia" w:hAnsiTheme="minorHAnsi" w:cstheme="minorBidi"/>
                <w:noProof/>
                <w:kern w:val="2"/>
                <w:sz w:val="24"/>
                <w:lang w:val="en-US"/>
                <w14:ligatures w14:val="standardContextual"/>
              </w:rPr>
              <w:tab/>
            </w:r>
            <w:r w:rsidR="00ED6021" w:rsidRPr="00A53B89">
              <w:rPr>
                <w:rStyle w:val="Hyperlink"/>
                <w:noProof/>
              </w:rPr>
              <w:t>Consultation</w:t>
            </w:r>
            <w:r w:rsidR="00ED6021">
              <w:rPr>
                <w:noProof/>
                <w:webHidden/>
              </w:rPr>
              <w:tab/>
            </w:r>
            <w:r w:rsidR="00ED6021">
              <w:rPr>
                <w:noProof/>
                <w:webHidden/>
              </w:rPr>
              <w:fldChar w:fldCharType="begin"/>
            </w:r>
            <w:r w:rsidR="00ED6021">
              <w:rPr>
                <w:noProof/>
                <w:webHidden/>
              </w:rPr>
              <w:instrText xml:space="preserve"> PAGEREF _Toc207014403 \h </w:instrText>
            </w:r>
            <w:r w:rsidR="00ED6021">
              <w:rPr>
                <w:noProof/>
                <w:webHidden/>
              </w:rPr>
            </w:r>
            <w:r w:rsidR="00ED6021">
              <w:rPr>
                <w:noProof/>
                <w:webHidden/>
              </w:rPr>
              <w:fldChar w:fldCharType="separate"/>
            </w:r>
            <w:r w:rsidR="00E53E34">
              <w:rPr>
                <w:noProof/>
                <w:webHidden/>
              </w:rPr>
              <w:t>39</w:t>
            </w:r>
            <w:r w:rsidR="00ED6021">
              <w:rPr>
                <w:noProof/>
                <w:webHidden/>
              </w:rPr>
              <w:fldChar w:fldCharType="end"/>
            </w:r>
          </w:hyperlink>
        </w:p>
        <w:p w14:paraId="0472588C" w14:textId="147DA861" w:rsidR="00ED6021" w:rsidRDefault="003B49C8">
          <w:pPr>
            <w:pStyle w:val="TOC1"/>
            <w:tabs>
              <w:tab w:val="left" w:pos="440"/>
              <w:tab w:val="right" w:leader="dot" w:pos="9060"/>
            </w:tabs>
            <w:rPr>
              <w:rFonts w:asciiTheme="minorHAnsi" w:eastAsiaTheme="minorEastAsia" w:hAnsiTheme="minorHAnsi" w:cstheme="minorBidi"/>
              <w:noProof/>
              <w:kern w:val="2"/>
              <w:sz w:val="24"/>
              <w:lang w:val="en-US"/>
              <w14:ligatures w14:val="standardContextual"/>
            </w:rPr>
          </w:pPr>
          <w:hyperlink w:anchor="_Toc207014404" w:history="1">
            <w:r w:rsidR="00ED6021" w:rsidRPr="00A53B89">
              <w:rPr>
                <w:rStyle w:val="Hyperlink"/>
                <w:noProof/>
              </w:rPr>
              <w:t>6.</w:t>
            </w:r>
            <w:r w:rsidR="00ED6021">
              <w:rPr>
                <w:rFonts w:asciiTheme="minorHAnsi" w:eastAsiaTheme="minorEastAsia" w:hAnsiTheme="minorHAnsi" w:cstheme="minorBidi"/>
                <w:noProof/>
                <w:kern w:val="2"/>
                <w:sz w:val="24"/>
                <w:lang w:val="en-US"/>
                <w14:ligatures w14:val="standardContextual"/>
              </w:rPr>
              <w:tab/>
            </w:r>
            <w:r w:rsidR="00ED6021" w:rsidRPr="00A53B89">
              <w:rPr>
                <w:rStyle w:val="Hyperlink"/>
                <w:noProof/>
              </w:rPr>
              <w:t>Preferred option and implementation</w:t>
            </w:r>
            <w:r w:rsidR="00ED6021">
              <w:rPr>
                <w:noProof/>
                <w:webHidden/>
              </w:rPr>
              <w:tab/>
            </w:r>
            <w:r w:rsidR="00ED6021">
              <w:rPr>
                <w:noProof/>
                <w:webHidden/>
              </w:rPr>
              <w:fldChar w:fldCharType="begin"/>
            </w:r>
            <w:r w:rsidR="00ED6021">
              <w:rPr>
                <w:noProof/>
                <w:webHidden/>
              </w:rPr>
              <w:instrText xml:space="preserve"> PAGEREF _Toc207014404 \h </w:instrText>
            </w:r>
            <w:r w:rsidR="00ED6021">
              <w:rPr>
                <w:noProof/>
                <w:webHidden/>
              </w:rPr>
            </w:r>
            <w:r w:rsidR="00ED6021">
              <w:rPr>
                <w:noProof/>
                <w:webHidden/>
              </w:rPr>
              <w:fldChar w:fldCharType="separate"/>
            </w:r>
            <w:r w:rsidR="00E53E34">
              <w:rPr>
                <w:noProof/>
                <w:webHidden/>
              </w:rPr>
              <w:t>44</w:t>
            </w:r>
            <w:r w:rsidR="00ED6021">
              <w:rPr>
                <w:noProof/>
                <w:webHidden/>
              </w:rPr>
              <w:fldChar w:fldCharType="end"/>
            </w:r>
          </w:hyperlink>
        </w:p>
        <w:p w14:paraId="31BB9AF2" w14:textId="32CB5079" w:rsidR="00ED6021" w:rsidRDefault="003B49C8">
          <w:pPr>
            <w:pStyle w:val="TOC1"/>
            <w:tabs>
              <w:tab w:val="left" w:pos="440"/>
              <w:tab w:val="right" w:leader="dot" w:pos="9060"/>
            </w:tabs>
            <w:rPr>
              <w:rFonts w:asciiTheme="minorHAnsi" w:eastAsiaTheme="minorEastAsia" w:hAnsiTheme="minorHAnsi" w:cstheme="minorBidi"/>
              <w:noProof/>
              <w:kern w:val="2"/>
              <w:sz w:val="24"/>
              <w:lang w:val="en-US"/>
              <w14:ligatures w14:val="standardContextual"/>
            </w:rPr>
          </w:pPr>
          <w:hyperlink w:anchor="_Toc207014405" w:history="1">
            <w:r w:rsidR="00ED6021" w:rsidRPr="00A53B89">
              <w:rPr>
                <w:rStyle w:val="Hyperlink"/>
                <w:noProof/>
              </w:rPr>
              <w:t>7.</w:t>
            </w:r>
            <w:r w:rsidR="00ED6021">
              <w:rPr>
                <w:rFonts w:asciiTheme="minorHAnsi" w:eastAsiaTheme="minorEastAsia" w:hAnsiTheme="minorHAnsi" w:cstheme="minorBidi"/>
                <w:noProof/>
                <w:kern w:val="2"/>
                <w:sz w:val="24"/>
                <w:lang w:val="en-US"/>
                <w14:ligatures w14:val="standardContextual"/>
              </w:rPr>
              <w:tab/>
            </w:r>
            <w:r w:rsidR="00ED6021" w:rsidRPr="00A53B89">
              <w:rPr>
                <w:rStyle w:val="Hyperlink"/>
                <w:noProof/>
              </w:rPr>
              <w:t>Evaluation</w:t>
            </w:r>
            <w:r w:rsidR="00ED6021">
              <w:rPr>
                <w:noProof/>
                <w:webHidden/>
              </w:rPr>
              <w:tab/>
            </w:r>
            <w:r w:rsidR="00ED6021">
              <w:rPr>
                <w:noProof/>
                <w:webHidden/>
              </w:rPr>
              <w:fldChar w:fldCharType="begin"/>
            </w:r>
            <w:r w:rsidR="00ED6021">
              <w:rPr>
                <w:noProof/>
                <w:webHidden/>
              </w:rPr>
              <w:instrText xml:space="preserve"> PAGEREF _Toc207014405 \h </w:instrText>
            </w:r>
            <w:r w:rsidR="00ED6021">
              <w:rPr>
                <w:noProof/>
                <w:webHidden/>
              </w:rPr>
            </w:r>
            <w:r w:rsidR="00ED6021">
              <w:rPr>
                <w:noProof/>
                <w:webHidden/>
              </w:rPr>
              <w:fldChar w:fldCharType="separate"/>
            </w:r>
            <w:r w:rsidR="00E53E34">
              <w:rPr>
                <w:noProof/>
                <w:webHidden/>
              </w:rPr>
              <w:t>51</w:t>
            </w:r>
            <w:r w:rsidR="00ED6021">
              <w:rPr>
                <w:noProof/>
                <w:webHidden/>
              </w:rPr>
              <w:fldChar w:fldCharType="end"/>
            </w:r>
          </w:hyperlink>
        </w:p>
        <w:p w14:paraId="05341693" w14:textId="38079DD0" w:rsidR="00ED6021" w:rsidRDefault="003B49C8">
          <w:pPr>
            <w:pStyle w:val="TOC1"/>
            <w:tabs>
              <w:tab w:val="right" w:leader="dot" w:pos="9060"/>
            </w:tabs>
            <w:rPr>
              <w:rFonts w:asciiTheme="minorHAnsi" w:eastAsiaTheme="minorEastAsia" w:hAnsiTheme="minorHAnsi" w:cstheme="minorBidi"/>
              <w:noProof/>
              <w:kern w:val="2"/>
              <w:sz w:val="24"/>
              <w:lang w:val="en-US"/>
              <w14:ligatures w14:val="standardContextual"/>
            </w:rPr>
          </w:pPr>
          <w:hyperlink w:anchor="_Toc207014406" w:history="1">
            <w:r w:rsidR="00ED6021" w:rsidRPr="00A53B89">
              <w:rPr>
                <w:rStyle w:val="Hyperlink"/>
                <w:noProof/>
              </w:rPr>
              <w:t>Appendix A – Measuring the change in care minutes</w:t>
            </w:r>
            <w:r w:rsidR="00ED6021">
              <w:rPr>
                <w:noProof/>
                <w:webHidden/>
              </w:rPr>
              <w:tab/>
            </w:r>
            <w:r w:rsidR="00ED6021">
              <w:rPr>
                <w:noProof/>
                <w:webHidden/>
              </w:rPr>
              <w:fldChar w:fldCharType="begin"/>
            </w:r>
            <w:r w:rsidR="00ED6021">
              <w:rPr>
                <w:noProof/>
                <w:webHidden/>
              </w:rPr>
              <w:instrText xml:space="preserve"> PAGEREF _Toc207014406 \h </w:instrText>
            </w:r>
            <w:r w:rsidR="00ED6021">
              <w:rPr>
                <w:noProof/>
                <w:webHidden/>
              </w:rPr>
            </w:r>
            <w:r w:rsidR="00ED6021">
              <w:rPr>
                <w:noProof/>
                <w:webHidden/>
              </w:rPr>
              <w:fldChar w:fldCharType="separate"/>
            </w:r>
            <w:r w:rsidR="00E53E34">
              <w:rPr>
                <w:noProof/>
                <w:webHidden/>
              </w:rPr>
              <w:t>55</w:t>
            </w:r>
            <w:r w:rsidR="00ED6021">
              <w:rPr>
                <w:noProof/>
                <w:webHidden/>
              </w:rPr>
              <w:fldChar w:fldCharType="end"/>
            </w:r>
          </w:hyperlink>
        </w:p>
        <w:p w14:paraId="3A52C504" w14:textId="3F825C35" w:rsidR="00ED6021" w:rsidRDefault="003B49C8">
          <w:pPr>
            <w:pStyle w:val="TOC1"/>
            <w:tabs>
              <w:tab w:val="right" w:leader="dot" w:pos="9060"/>
            </w:tabs>
            <w:rPr>
              <w:rFonts w:asciiTheme="minorHAnsi" w:eastAsiaTheme="minorEastAsia" w:hAnsiTheme="minorHAnsi" w:cstheme="minorBidi"/>
              <w:noProof/>
              <w:kern w:val="2"/>
              <w:sz w:val="24"/>
              <w:lang w:val="en-US"/>
              <w14:ligatures w14:val="standardContextual"/>
            </w:rPr>
          </w:pPr>
          <w:hyperlink w:anchor="_Toc207014407" w:history="1">
            <w:r w:rsidR="00ED6021" w:rsidRPr="00A53B89">
              <w:rPr>
                <w:rStyle w:val="Hyperlink"/>
                <w:noProof/>
              </w:rPr>
              <w:t>Appendix B – Measuring the change in subsidy payments</w:t>
            </w:r>
            <w:r w:rsidR="00ED6021">
              <w:rPr>
                <w:noProof/>
                <w:webHidden/>
              </w:rPr>
              <w:tab/>
            </w:r>
            <w:r w:rsidR="00ED6021">
              <w:rPr>
                <w:noProof/>
                <w:webHidden/>
              </w:rPr>
              <w:fldChar w:fldCharType="begin"/>
            </w:r>
            <w:r w:rsidR="00ED6021">
              <w:rPr>
                <w:noProof/>
                <w:webHidden/>
              </w:rPr>
              <w:instrText xml:space="preserve"> PAGEREF _Toc207014407 \h </w:instrText>
            </w:r>
            <w:r w:rsidR="00ED6021">
              <w:rPr>
                <w:noProof/>
                <w:webHidden/>
              </w:rPr>
            </w:r>
            <w:r w:rsidR="00ED6021">
              <w:rPr>
                <w:noProof/>
                <w:webHidden/>
              </w:rPr>
              <w:fldChar w:fldCharType="separate"/>
            </w:r>
            <w:r w:rsidR="00E53E34">
              <w:rPr>
                <w:noProof/>
                <w:webHidden/>
              </w:rPr>
              <w:t>58</w:t>
            </w:r>
            <w:r w:rsidR="00ED6021">
              <w:rPr>
                <w:noProof/>
                <w:webHidden/>
              </w:rPr>
              <w:fldChar w:fldCharType="end"/>
            </w:r>
          </w:hyperlink>
        </w:p>
        <w:p w14:paraId="145D0C76" w14:textId="45FB116B" w:rsidR="00ED6021" w:rsidRDefault="003B49C8">
          <w:pPr>
            <w:pStyle w:val="TOC1"/>
            <w:tabs>
              <w:tab w:val="right" w:leader="dot" w:pos="9060"/>
            </w:tabs>
            <w:rPr>
              <w:rFonts w:asciiTheme="minorHAnsi" w:eastAsiaTheme="minorEastAsia" w:hAnsiTheme="minorHAnsi" w:cstheme="minorBidi"/>
              <w:noProof/>
              <w:kern w:val="2"/>
              <w:sz w:val="24"/>
              <w:lang w:val="en-US"/>
              <w14:ligatures w14:val="standardContextual"/>
            </w:rPr>
          </w:pPr>
          <w:hyperlink w:anchor="_Toc207014408" w:history="1">
            <w:r w:rsidR="00ED6021" w:rsidRPr="00A53B89">
              <w:rPr>
                <w:rStyle w:val="Hyperlink"/>
                <w:noProof/>
              </w:rPr>
              <w:t>Appendix C – Assurance costs</w:t>
            </w:r>
            <w:r w:rsidR="00ED6021">
              <w:rPr>
                <w:noProof/>
                <w:webHidden/>
              </w:rPr>
              <w:tab/>
            </w:r>
            <w:r w:rsidR="00ED6021">
              <w:rPr>
                <w:noProof/>
                <w:webHidden/>
              </w:rPr>
              <w:fldChar w:fldCharType="begin"/>
            </w:r>
            <w:r w:rsidR="00ED6021">
              <w:rPr>
                <w:noProof/>
                <w:webHidden/>
              </w:rPr>
              <w:instrText xml:space="preserve"> PAGEREF _Toc207014408 \h </w:instrText>
            </w:r>
            <w:r w:rsidR="00ED6021">
              <w:rPr>
                <w:noProof/>
                <w:webHidden/>
              </w:rPr>
            </w:r>
            <w:r w:rsidR="00ED6021">
              <w:rPr>
                <w:noProof/>
                <w:webHidden/>
              </w:rPr>
              <w:fldChar w:fldCharType="separate"/>
            </w:r>
            <w:r w:rsidR="00E53E34">
              <w:rPr>
                <w:noProof/>
                <w:webHidden/>
              </w:rPr>
              <w:t>61</w:t>
            </w:r>
            <w:r w:rsidR="00ED6021">
              <w:rPr>
                <w:noProof/>
                <w:webHidden/>
              </w:rPr>
              <w:fldChar w:fldCharType="end"/>
            </w:r>
          </w:hyperlink>
        </w:p>
        <w:p w14:paraId="50B3D4D2" w14:textId="3ABFEC36" w:rsidR="00ED6021" w:rsidRDefault="003B49C8">
          <w:pPr>
            <w:pStyle w:val="TOC1"/>
            <w:tabs>
              <w:tab w:val="right" w:leader="dot" w:pos="9060"/>
            </w:tabs>
            <w:rPr>
              <w:rFonts w:asciiTheme="minorHAnsi" w:eastAsiaTheme="minorEastAsia" w:hAnsiTheme="minorHAnsi" w:cstheme="minorBidi"/>
              <w:noProof/>
              <w:kern w:val="2"/>
              <w:sz w:val="24"/>
              <w:lang w:val="en-US"/>
              <w14:ligatures w14:val="standardContextual"/>
            </w:rPr>
          </w:pPr>
          <w:hyperlink w:anchor="_Toc207014409" w:history="1">
            <w:r w:rsidR="00ED6021" w:rsidRPr="00A53B89">
              <w:rPr>
                <w:rStyle w:val="Hyperlink"/>
                <w:noProof/>
              </w:rPr>
              <w:t>Appendix D – Glossary of terms</w:t>
            </w:r>
            <w:r w:rsidR="00ED6021">
              <w:rPr>
                <w:noProof/>
                <w:webHidden/>
              </w:rPr>
              <w:tab/>
            </w:r>
            <w:r w:rsidR="00ED6021">
              <w:rPr>
                <w:noProof/>
                <w:webHidden/>
              </w:rPr>
              <w:fldChar w:fldCharType="begin"/>
            </w:r>
            <w:r w:rsidR="00ED6021">
              <w:rPr>
                <w:noProof/>
                <w:webHidden/>
              </w:rPr>
              <w:instrText xml:space="preserve"> PAGEREF _Toc207014409 \h </w:instrText>
            </w:r>
            <w:r w:rsidR="00ED6021">
              <w:rPr>
                <w:noProof/>
                <w:webHidden/>
              </w:rPr>
            </w:r>
            <w:r w:rsidR="00ED6021">
              <w:rPr>
                <w:noProof/>
                <w:webHidden/>
              </w:rPr>
              <w:fldChar w:fldCharType="separate"/>
            </w:r>
            <w:r w:rsidR="00E53E34">
              <w:rPr>
                <w:noProof/>
                <w:webHidden/>
              </w:rPr>
              <w:t>64</w:t>
            </w:r>
            <w:r w:rsidR="00ED6021">
              <w:rPr>
                <w:noProof/>
                <w:webHidden/>
              </w:rPr>
              <w:fldChar w:fldCharType="end"/>
            </w:r>
          </w:hyperlink>
        </w:p>
        <w:p w14:paraId="1DF860D8" w14:textId="746647EC" w:rsidR="00ED6021" w:rsidRDefault="003B49C8">
          <w:pPr>
            <w:pStyle w:val="TOC1"/>
            <w:tabs>
              <w:tab w:val="right" w:leader="dot" w:pos="9060"/>
            </w:tabs>
            <w:rPr>
              <w:rFonts w:asciiTheme="minorHAnsi" w:eastAsiaTheme="minorEastAsia" w:hAnsiTheme="minorHAnsi" w:cstheme="minorBidi"/>
              <w:noProof/>
              <w:kern w:val="2"/>
              <w:sz w:val="24"/>
              <w:lang w:val="en-US"/>
              <w14:ligatures w14:val="standardContextual"/>
            </w:rPr>
          </w:pPr>
          <w:hyperlink w:anchor="_Toc207014410" w:history="1">
            <w:r w:rsidR="00ED6021" w:rsidRPr="00A53B89">
              <w:rPr>
                <w:rStyle w:val="Hyperlink"/>
                <w:noProof/>
              </w:rPr>
              <w:t>Appendix E – Abbreviations</w:t>
            </w:r>
            <w:r w:rsidR="00ED6021">
              <w:rPr>
                <w:noProof/>
                <w:webHidden/>
              </w:rPr>
              <w:tab/>
            </w:r>
            <w:r w:rsidR="00ED6021">
              <w:rPr>
                <w:noProof/>
                <w:webHidden/>
              </w:rPr>
              <w:fldChar w:fldCharType="begin"/>
            </w:r>
            <w:r w:rsidR="00ED6021">
              <w:rPr>
                <w:noProof/>
                <w:webHidden/>
              </w:rPr>
              <w:instrText xml:space="preserve"> PAGEREF _Toc207014410 \h </w:instrText>
            </w:r>
            <w:r w:rsidR="00ED6021">
              <w:rPr>
                <w:noProof/>
                <w:webHidden/>
              </w:rPr>
            </w:r>
            <w:r w:rsidR="00ED6021">
              <w:rPr>
                <w:noProof/>
                <w:webHidden/>
              </w:rPr>
              <w:fldChar w:fldCharType="separate"/>
            </w:r>
            <w:r w:rsidR="00E53E34">
              <w:rPr>
                <w:noProof/>
                <w:webHidden/>
              </w:rPr>
              <w:t>69</w:t>
            </w:r>
            <w:r w:rsidR="00ED6021">
              <w:rPr>
                <w:noProof/>
                <w:webHidden/>
              </w:rPr>
              <w:fldChar w:fldCharType="end"/>
            </w:r>
          </w:hyperlink>
        </w:p>
        <w:p w14:paraId="7DBE6F5A" w14:textId="5CA80F2A" w:rsidR="00E50091" w:rsidRDefault="00870694">
          <w:r>
            <w:fldChar w:fldCharType="end"/>
          </w:r>
        </w:p>
      </w:sdtContent>
    </w:sdt>
    <w:p w14:paraId="1C581321" w14:textId="77777777" w:rsidR="00053172" w:rsidRDefault="00E50091" w:rsidP="002427BD">
      <w:pPr>
        <w:pStyle w:val="Heading1"/>
      </w:pPr>
      <w:r>
        <w:br w:type="page"/>
      </w:r>
      <w:bookmarkStart w:id="14" w:name="_Toc178074421"/>
      <w:bookmarkStart w:id="15" w:name="_Toc183705471"/>
      <w:bookmarkStart w:id="16" w:name="_Toc203133279"/>
      <w:bookmarkStart w:id="17" w:name="_Toc200394432"/>
      <w:bookmarkStart w:id="18" w:name="_Toc205802670"/>
      <w:bookmarkStart w:id="19" w:name="_Toc203639520"/>
      <w:bookmarkStart w:id="20" w:name="_Toc207014398"/>
      <w:r w:rsidR="01E4A9C2">
        <w:lastRenderedPageBreak/>
        <w:t>Background</w:t>
      </w:r>
      <w:bookmarkEnd w:id="14"/>
      <w:bookmarkEnd w:id="15"/>
      <w:bookmarkEnd w:id="16"/>
      <w:bookmarkEnd w:id="17"/>
      <w:bookmarkEnd w:id="18"/>
      <w:bookmarkEnd w:id="19"/>
      <w:bookmarkEnd w:id="20"/>
    </w:p>
    <w:p w14:paraId="68C86DE1" w14:textId="47C7B62F" w:rsidR="00053172" w:rsidRPr="003E117A" w:rsidRDefault="01E4A9C2" w:rsidP="003E117A">
      <w:pPr>
        <w:pStyle w:val="Paragraphtext"/>
      </w:pPr>
      <w:r w:rsidRPr="51365D77">
        <w:t xml:space="preserve">The care minutes responsibility is a key Australian </w:t>
      </w:r>
      <w:r w:rsidRPr="00A553E4">
        <w:t xml:space="preserve">Government </w:t>
      </w:r>
      <w:r w:rsidR="26794970">
        <w:t xml:space="preserve">(Government) </w:t>
      </w:r>
      <w:r w:rsidRPr="00A553E4">
        <w:t xml:space="preserve">commitment to improve the quality of residential aged care. It responds to the findings from the Royal Commission into Aged Care Quality and Safety (Royal Commission) that the routine care of older people </w:t>
      </w:r>
      <w:r w:rsidR="3A9B1AD5">
        <w:t xml:space="preserve">living in </w:t>
      </w:r>
      <w:r>
        <w:t>residential</w:t>
      </w:r>
      <w:r w:rsidRPr="00A553E4">
        <w:t xml:space="preserve"> aged care </w:t>
      </w:r>
      <w:r w:rsidR="461A5E5F">
        <w:t xml:space="preserve">homes </w:t>
      </w:r>
      <w:r>
        <w:t>often</w:t>
      </w:r>
      <w:r w:rsidRPr="00A553E4">
        <w:t xml:space="preserve"> did not meet expectations for assistance with the activities of daily living, with many examples of substandard care in providing for the most basic</w:t>
      </w:r>
      <w:r w:rsidRPr="51365D77">
        <w:t xml:space="preserve"> of human needs.</w:t>
      </w:r>
    </w:p>
    <w:p w14:paraId="02AAB7FD" w14:textId="2DF375DE" w:rsidR="0011656E" w:rsidRDefault="01E4A9C2" w:rsidP="003E117A">
      <w:pPr>
        <w:pStyle w:val="Paragraphtext"/>
      </w:pPr>
      <w:r w:rsidRPr="51365D77">
        <w:t xml:space="preserve">In response, the Government introduced the care minutes responsibility on 1 October </w:t>
      </w:r>
      <w:r w:rsidR="1B5BB200" w:rsidRPr="51365D77">
        <w:t>2023</w:t>
      </w:r>
      <w:r w:rsidRPr="51365D77">
        <w:t xml:space="preserve">, established by amendments to the </w:t>
      </w:r>
      <w:r w:rsidR="006714E8" w:rsidRPr="334CC17B">
        <w:t>Quality of Care Principles 2014</w:t>
      </w:r>
      <w:r w:rsidR="00073C98">
        <w:rPr>
          <w:rStyle w:val="FootnoteReference"/>
        </w:rPr>
        <w:footnoteReference w:id="2"/>
      </w:r>
      <w:r w:rsidRPr="51365D77">
        <w:t xml:space="preserve"> made through the </w:t>
      </w:r>
      <w:r w:rsidR="00E912D0" w:rsidRPr="00FA61A5">
        <w:t>Aged Care Legislation Amendment (Care Minutes Responsibilities) Principles 2023</w:t>
      </w:r>
      <w:r w:rsidR="00C92ADF">
        <w:rPr>
          <w:rStyle w:val="FootnoteReference"/>
        </w:rPr>
        <w:footnoteReference w:id="3"/>
      </w:r>
      <w:r w:rsidR="4A2C6C8F" w:rsidRPr="00AB37EC">
        <w:t>.</w:t>
      </w:r>
      <w:r w:rsidRPr="00AB37EC">
        <w:t xml:space="preserve"> </w:t>
      </w:r>
    </w:p>
    <w:p w14:paraId="5B3E7F8B" w14:textId="3FB5E2C7" w:rsidR="0011656E" w:rsidRDefault="79BE910D" w:rsidP="003E117A">
      <w:pPr>
        <w:pStyle w:val="Paragraphtext"/>
      </w:pPr>
      <w:r>
        <w:t xml:space="preserve">Under the care minutes responsibility, </w:t>
      </w:r>
      <w:r w:rsidR="524669B9">
        <w:t>registered</w:t>
      </w:r>
      <w:r w:rsidR="7DE37E4C">
        <w:t xml:space="preserve"> residential aged care</w:t>
      </w:r>
      <w:r w:rsidR="67ADDE37">
        <w:t xml:space="preserve"> providers </w:t>
      </w:r>
      <w:r w:rsidR="0B9A5561">
        <w:t>(providers)</w:t>
      </w:r>
      <w:r w:rsidR="00063E92" w:rsidRPr="57D3DD48">
        <w:rPr>
          <w:rStyle w:val="FootnoteReference"/>
        </w:rPr>
        <w:footnoteReference w:id="4"/>
      </w:r>
      <w:r w:rsidR="54B0B6BB">
        <w:t xml:space="preserve"> </w:t>
      </w:r>
      <w:r w:rsidR="2D09091B">
        <w:t xml:space="preserve">are required </w:t>
      </w:r>
      <w:r w:rsidR="67ADDE37">
        <w:t xml:space="preserve">to provide a minimum amount of direct care time to residents by registered nurses (RNs), enrolled nurses (ENs), and personal care workers </w:t>
      </w:r>
      <w:r w:rsidR="007D4234">
        <w:t>(PCW</w:t>
      </w:r>
      <w:r w:rsidR="00C13F66">
        <w:t>s</w:t>
      </w:r>
      <w:r w:rsidR="007D4234">
        <w:t xml:space="preserve">) </w:t>
      </w:r>
      <w:r w:rsidR="67ADDE37">
        <w:t>and assistants in nursing</w:t>
      </w:r>
      <w:r w:rsidR="00C13F66">
        <w:t xml:space="preserve"> (AINs)</w:t>
      </w:r>
      <w:r w:rsidR="7F90F770">
        <w:t xml:space="preserve"> in their approved residential aged care homes (homes)</w:t>
      </w:r>
      <w:r w:rsidR="0B470D3A">
        <w:t>. This res</w:t>
      </w:r>
      <w:r w:rsidR="72FABC76">
        <w:t>ponsibility:</w:t>
      </w:r>
    </w:p>
    <w:p w14:paraId="184E0197" w14:textId="53BAF0E4" w:rsidR="0011656E" w:rsidRPr="0011656E" w:rsidRDefault="7E6D21E4" w:rsidP="00357BB0">
      <w:pPr>
        <w:pStyle w:val="Paragraphtext"/>
        <w:numPr>
          <w:ilvl w:val="0"/>
          <w:numId w:val="17"/>
        </w:numPr>
      </w:pPr>
      <w:r>
        <w:t>commenc</w:t>
      </w:r>
      <w:r w:rsidR="6E7B63E8">
        <w:t>ed</w:t>
      </w:r>
      <w:r>
        <w:t xml:space="preserve"> with a sector-wide average of 200 total care minutes, including a minimum of 40 minutes of RN time, per resident per day from 1 October 2023, and </w:t>
      </w:r>
    </w:p>
    <w:p w14:paraId="63D5D6DD" w14:textId="12E9B802" w:rsidR="00CF5F96" w:rsidRDefault="01E4A9C2" w:rsidP="00357BB0">
      <w:pPr>
        <w:pStyle w:val="Paragraphtext"/>
        <w:numPr>
          <w:ilvl w:val="0"/>
          <w:numId w:val="17"/>
        </w:numPr>
      </w:pPr>
      <w:r>
        <w:t>increas</w:t>
      </w:r>
      <w:r w:rsidR="00E26BFF">
        <w:t>ed</w:t>
      </w:r>
      <w:r>
        <w:t xml:space="preserve"> to a sector</w:t>
      </w:r>
      <w:r w:rsidR="3C39B414">
        <w:t>-</w:t>
      </w:r>
      <w:r>
        <w:t>wide average of 215 minutes per resident per day, including a minimum of 44 minutes of RN time per</w:t>
      </w:r>
      <w:r w:rsidR="00352A22">
        <w:t xml:space="preserve"> resident</w:t>
      </w:r>
      <w:r>
        <w:t xml:space="preserve"> day, from 1 October 2024.</w:t>
      </w:r>
      <w:r w:rsidR="00C7603C">
        <w:t xml:space="preserve"> From this time providers </w:t>
      </w:r>
      <w:r w:rsidR="00691C4D">
        <w:t>have been able to meet</w:t>
      </w:r>
      <w:r w:rsidR="00C7603C">
        <w:t xml:space="preserve"> up to 10% of their required RN targets with the use of an EN.</w:t>
      </w:r>
      <w:r w:rsidR="00CF5F96" w:rsidRPr="00CF5F96">
        <w:t xml:space="preserve"> </w:t>
      </w:r>
    </w:p>
    <w:p w14:paraId="43419888" w14:textId="3C0079B2" w:rsidR="00053172" w:rsidRPr="009319C8" w:rsidRDefault="00CF5F96" w:rsidP="00CF5F96">
      <w:pPr>
        <w:pStyle w:val="Paragraphtext"/>
      </w:pPr>
      <w:r>
        <w:t xml:space="preserve">The Government has been funding </w:t>
      </w:r>
      <w:r w:rsidR="7AA4E078">
        <w:t xml:space="preserve">providers </w:t>
      </w:r>
      <w:r>
        <w:t xml:space="preserve">to deliver care minutes through the </w:t>
      </w:r>
      <w:r w:rsidRPr="008A33BF">
        <w:t xml:space="preserve">Australian National Aged Care Classification (AN-ACC) </w:t>
      </w:r>
      <w:r w:rsidR="3E3F8862">
        <w:t xml:space="preserve">funding model </w:t>
      </w:r>
      <w:r w:rsidRPr="008A33BF">
        <w:t>since 1 October 2022</w:t>
      </w:r>
      <w:r>
        <w:t xml:space="preserve">, one year in advance of care minutes </w:t>
      </w:r>
      <w:r w:rsidR="00337D87">
        <w:t xml:space="preserve">targets </w:t>
      </w:r>
      <w:r>
        <w:t>becoming mandatory.</w:t>
      </w:r>
    </w:p>
    <w:p w14:paraId="1284B3DA" w14:textId="0A07A180" w:rsidR="00795B8E" w:rsidRDefault="33AAC2CD" w:rsidP="00ED0336">
      <w:pPr>
        <w:pStyle w:val="Heading4"/>
      </w:pPr>
      <w:r>
        <w:t>Home</w:t>
      </w:r>
      <w:r w:rsidR="00090220">
        <w:t xml:space="preserve"> level</w:t>
      </w:r>
      <w:r w:rsidR="00795B8E" w:rsidRPr="00795B8E">
        <w:t xml:space="preserve"> </w:t>
      </w:r>
      <w:r w:rsidR="00090220">
        <w:t>c</w:t>
      </w:r>
      <w:r w:rsidR="00795B8E" w:rsidRPr="00795B8E">
        <w:t xml:space="preserve">are </w:t>
      </w:r>
      <w:r w:rsidR="00090220">
        <w:t>m</w:t>
      </w:r>
      <w:r w:rsidR="00795B8E" w:rsidRPr="00795B8E">
        <w:t xml:space="preserve">inutes </w:t>
      </w:r>
      <w:r w:rsidR="00090220">
        <w:t>t</w:t>
      </w:r>
      <w:r w:rsidR="00795B8E" w:rsidRPr="00795B8E">
        <w:t>argets</w:t>
      </w:r>
    </w:p>
    <w:p w14:paraId="3DB2B80C" w14:textId="5B6ED12E" w:rsidR="00C03689" w:rsidRDefault="00090220" w:rsidP="003E117A">
      <w:pPr>
        <w:pStyle w:val="Paragraphtext"/>
      </w:pPr>
      <w:r>
        <w:t xml:space="preserve">While the sector average </w:t>
      </w:r>
      <w:r w:rsidR="004D6951">
        <w:t xml:space="preserve">care minute </w:t>
      </w:r>
      <w:r>
        <w:t xml:space="preserve">targets are set at 215 total minutes, including 44 RN minutes, </w:t>
      </w:r>
      <w:r w:rsidR="00C03689">
        <w:t xml:space="preserve">each </w:t>
      </w:r>
      <w:r w:rsidR="1E177979">
        <w:t xml:space="preserve">home </w:t>
      </w:r>
      <w:r w:rsidR="00C03689">
        <w:t>has its own targets based on its residents’ care needs</w:t>
      </w:r>
      <w:r w:rsidR="007E385B">
        <w:t>.</w:t>
      </w:r>
    </w:p>
    <w:p w14:paraId="59E497A4" w14:textId="10319C41" w:rsidR="00C13F1A" w:rsidRDefault="0ED2EEEE" w:rsidP="003E117A">
      <w:pPr>
        <w:pStyle w:val="Paragraphtext"/>
      </w:pPr>
      <w:r>
        <w:t>These targets are calculated</w:t>
      </w:r>
      <w:r w:rsidR="2D09091B" w:rsidRPr="51365D77">
        <w:t xml:space="preserve"> based on the assessed care needs of </w:t>
      </w:r>
      <w:r w:rsidR="1CE13148">
        <w:t>a home’s</w:t>
      </w:r>
      <w:r w:rsidR="2D09091B" w:rsidRPr="51365D77">
        <w:t xml:space="preserve"> residents. Under the </w:t>
      </w:r>
      <w:r w:rsidR="2C06606F" w:rsidRPr="00E81F10">
        <w:t>AN</w:t>
      </w:r>
      <w:r w:rsidR="22C6A4A4">
        <w:t>-</w:t>
      </w:r>
      <w:r w:rsidR="2C06606F" w:rsidRPr="00E81F10">
        <w:t>ACC</w:t>
      </w:r>
      <w:r w:rsidR="007F1F23">
        <w:rPr>
          <w:rStyle w:val="FootnoteReference"/>
        </w:rPr>
        <w:footnoteReference w:id="5"/>
      </w:r>
      <w:r w:rsidR="2D09091B" w:rsidRPr="51365D77">
        <w:t xml:space="preserve"> funding model, each resident receives an independent assessment </w:t>
      </w:r>
      <w:r w:rsidR="787D7FFE">
        <w:t>of their care needs for funding</w:t>
      </w:r>
      <w:r w:rsidR="7793412D">
        <w:t xml:space="preserve"> purposes</w:t>
      </w:r>
      <w:r w:rsidR="787D7FFE">
        <w:t xml:space="preserve"> </w:t>
      </w:r>
      <w:r w:rsidR="2D09091B" w:rsidRPr="51365D77">
        <w:t>and is assigned an AN</w:t>
      </w:r>
      <w:r w:rsidR="742C4893" w:rsidRPr="51365D77">
        <w:t>-</w:t>
      </w:r>
      <w:r w:rsidR="2D09091B" w:rsidRPr="51365D77">
        <w:t>ACC class or a respite class</w:t>
      </w:r>
      <w:r w:rsidR="206C9EFA">
        <w:t xml:space="preserve"> based on this assessment</w:t>
      </w:r>
      <w:r w:rsidR="2D09091B" w:rsidRPr="51365D77">
        <w:t xml:space="preserve">. Each class has </w:t>
      </w:r>
      <w:r w:rsidR="5F06793C">
        <w:t xml:space="preserve">a </w:t>
      </w:r>
      <w:r w:rsidR="2D09091B" w:rsidRPr="51365D77">
        <w:t xml:space="preserve">specific care minute allocation that </w:t>
      </w:r>
      <w:r w:rsidR="5C11EA92" w:rsidRPr="51365D77">
        <w:t>reflect</w:t>
      </w:r>
      <w:r w:rsidR="734BC053">
        <w:t>s</w:t>
      </w:r>
      <w:r w:rsidR="2D09091B" w:rsidRPr="51365D77">
        <w:t xml:space="preserve"> the care needs of residents in that class, which are matched to the level of funding </w:t>
      </w:r>
      <w:r w:rsidR="673E14D0">
        <w:t>for</w:t>
      </w:r>
      <w:r w:rsidR="0C7E24BA">
        <w:t xml:space="preserve"> each class</w:t>
      </w:r>
      <w:r w:rsidR="5C11EA92" w:rsidRPr="51365D77">
        <w:t xml:space="preserve"> </w:t>
      </w:r>
      <w:r w:rsidR="2D09091B" w:rsidRPr="51365D77">
        <w:t>provided under the AN-ACC funding model (based on</w:t>
      </w:r>
      <w:r w:rsidR="742C4893" w:rsidRPr="51365D77">
        <w:t xml:space="preserve"> costing study</w:t>
      </w:r>
      <w:r w:rsidR="2D09091B" w:rsidRPr="51365D77">
        <w:t xml:space="preserve"> data</w:t>
      </w:r>
      <w:r w:rsidR="742C4893" w:rsidRPr="51365D77">
        <w:t>).</w:t>
      </w:r>
      <w:r w:rsidR="3B374A32" w:rsidRPr="51365D77">
        <w:t xml:space="preserve"> Generally, a </w:t>
      </w:r>
      <w:r w:rsidR="4E74DA66">
        <w:t>home</w:t>
      </w:r>
      <w:r w:rsidR="3B374A32" w:rsidRPr="51365D77">
        <w:t xml:space="preserve"> with mainly higher needs residents will have higher care minutes targets than a </w:t>
      </w:r>
      <w:r w:rsidR="5B19C71C">
        <w:t>home</w:t>
      </w:r>
      <w:r w:rsidR="3B374A32" w:rsidRPr="51365D77">
        <w:t xml:space="preserve"> with mainly lower needs residents</w:t>
      </w:r>
      <w:r w:rsidR="10F1DF72" w:rsidRPr="51365D77">
        <w:t>.</w:t>
      </w:r>
    </w:p>
    <w:p w14:paraId="1A0EABE8" w14:textId="6E24B2D1" w:rsidR="00511D72" w:rsidRDefault="008A33BF" w:rsidP="003E117A">
      <w:pPr>
        <w:pStyle w:val="Paragraphtext"/>
      </w:pPr>
      <w:r>
        <w:t>The targets are calculated on the 15</w:t>
      </w:r>
      <w:r w:rsidRPr="007F7D7F">
        <w:t>th</w:t>
      </w:r>
      <w:r>
        <w:t xml:space="preserve"> of the month prior to the start of the quarter based on the residents in care in the three prior calendar months.</w:t>
      </w:r>
      <w:r w:rsidR="1B5BB200">
        <w:t xml:space="preserve"> Fo</w:t>
      </w:r>
      <w:r>
        <w:t>r example, for the 1 July to 30 </w:t>
      </w:r>
      <w:r w:rsidR="1B5BB200">
        <w:t>September quarter of 2024, care minutes targets were calculated using AN-ACC classification data from 1</w:t>
      </w:r>
      <w:r w:rsidR="00B83091">
        <w:t> </w:t>
      </w:r>
      <w:r w:rsidR="1B5BB200">
        <w:t>March to 31 May 2024.</w:t>
      </w:r>
    </w:p>
    <w:p w14:paraId="4F3C962C" w14:textId="493BA1C3" w:rsidR="16824615" w:rsidRPr="00DE49F8" w:rsidRDefault="00DB0DFD" w:rsidP="00ED0336">
      <w:pPr>
        <w:pStyle w:val="Heading4"/>
      </w:pPr>
      <w:bookmarkStart w:id="21" w:name="_Toc183705474"/>
      <w:r>
        <w:lastRenderedPageBreak/>
        <w:t>Reporting</w:t>
      </w:r>
      <w:bookmarkEnd w:id="21"/>
    </w:p>
    <w:p w14:paraId="2CBCA00C" w14:textId="5A442A80" w:rsidR="008A33BF" w:rsidRPr="003E117A" w:rsidRDefault="1B5BB200" w:rsidP="00A01F04">
      <w:pPr>
        <w:pStyle w:val="Paragraphtext"/>
      </w:pPr>
      <w:r w:rsidRPr="51365D77">
        <w:t xml:space="preserve">To monitor performance against care minutes targets, providers have been required to report care time delivered at the </w:t>
      </w:r>
      <w:r w:rsidR="003368A0">
        <w:t>home</w:t>
      </w:r>
      <w:r w:rsidR="003368A0" w:rsidRPr="51365D77">
        <w:t xml:space="preserve"> </w:t>
      </w:r>
      <w:r w:rsidRPr="51365D77">
        <w:t xml:space="preserve">level </w:t>
      </w:r>
      <w:r w:rsidR="00801863">
        <w:t>(i.e</w:t>
      </w:r>
      <w:r w:rsidR="00DA6525">
        <w:t xml:space="preserve">. </w:t>
      </w:r>
      <w:r w:rsidR="003368A0">
        <w:t>for each of the</w:t>
      </w:r>
      <w:r w:rsidR="00B2771F">
        <w:t xml:space="preserve"> homes </w:t>
      </w:r>
      <w:r w:rsidR="00E6285E">
        <w:t>in whic</w:t>
      </w:r>
      <w:r w:rsidR="00DA359A">
        <w:t xml:space="preserve">h </w:t>
      </w:r>
      <w:r w:rsidR="00724291">
        <w:t>they</w:t>
      </w:r>
      <w:r w:rsidR="00DA359A">
        <w:t xml:space="preserve"> operate)</w:t>
      </w:r>
      <w:r w:rsidR="00DA6525">
        <w:t xml:space="preserve"> </w:t>
      </w:r>
      <w:r w:rsidRPr="51365D77">
        <w:t xml:space="preserve">in the </w:t>
      </w:r>
      <w:r w:rsidR="4D7EC64D">
        <w:t>Q</w:t>
      </w:r>
      <w:r w:rsidR="37C418EC">
        <w:t xml:space="preserve">uarterly </w:t>
      </w:r>
      <w:r w:rsidR="3B393CEB">
        <w:t>F</w:t>
      </w:r>
      <w:r w:rsidR="37C418EC">
        <w:t xml:space="preserve">inancial </w:t>
      </w:r>
      <w:r w:rsidR="51BBA4CB">
        <w:t>R</w:t>
      </w:r>
      <w:r w:rsidR="37C418EC">
        <w:t>eport (</w:t>
      </w:r>
      <w:r w:rsidR="008A33BF" w:rsidRPr="51365D77">
        <w:t>QFR</w:t>
      </w:r>
      <w:r w:rsidR="1C64A45C">
        <w:t>)</w:t>
      </w:r>
      <w:r w:rsidR="008A33BF" w:rsidRPr="51365D77">
        <w:t xml:space="preserve"> since 1 July </w:t>
      </w:r>
      <w:r w:rsidRPr="51365D77">
        <w:t>2022.</w:t>
      </w:r>
      <w:r w:rsidRPr="007F7D7F">
        <w:t xml:space="preserve"> </w:t>
      </w:r>
    </w:p>
    <w:p w14:paraId="63AD8C16" w14:textId="19898F7A" w:rsidR="00FC2F44" w:rsidRPr="00AA5972" w:rsidRDefault="3B374A32" w:rsidP="00A01F04">
      <w:pPr>
        <w:pStyle w:val="Paragraphtext"/>
      </w:pPr>
      <w:r>
        <w:t>The</w:t>
      </w:r>
      <w:r w:rsidR="182231E7">
        <w:t xml:space="preserve"> </w:t>
      </w:r>
      <w:r>
        <w:t>department runs the</w:t>
      </w:r>
      <w:r w:rsidR="2D09091B">
        <w:t xml:space="preserve"> care time </w:t>
      </w:r>
      <w:r w:rsidR="288581EB" w:rsidRPr="00E81F10">
        <w:t>reporting assessment program</w:t>
      </w:r>
      <w:r w:rsidR="001F269E">
        <w:rPr>
          <w:rStyle w:val="FootnoteReference"/>
        </w:rPr>
        <w:footnoteReference w:id="6"/>
      </w:r>
      <w:r w:rsidR="2D09091B">
        <w:t xml:space="preserve"> </w:t>
      </w:r>
      <w:r>
        <w:t>to check</w:t>
      </w:r>
      <w:r w:rsidR="2D09091B">
        <w:t xml:space="preserve"> the accuracy </w:t>
      </w:r>
      <w:r w:rsidR="1733B13F">
        <w:t>of</w:t>
      </w:r>
      <w:r w:rsidR="1BE10465">
        <w:t xml:space="preserve"> </w:t>
      </w:r>
      <w:r w:rsidR="59F4DA24">
        <w:t>provider</w:t>
      </w:r>
      <w:r w:rsidR="1733B13F">
        <w:t xml:space="preserve"> reporting. </w:t>
      </w:r>
      <w:r w:rsidR="0379E9ED">
        <w:t>This assessment program</w:t>
      </w:r>
      <w:r w:rsidR="4C01BCC3">
        <w:t xml:space="preserve"> also</w:t>
      </w:r>
      <w:r w:rsidR="0379E9ED">
        <w:t xml:space="preserve"> helps </w:t>
      </w:r>
      <w:r w:rsidR="008523D6">
        <w:t>ensure the accuracy of</w:t>
      </w:r>
      <w:r w:rsidR="0379E9ED">
        <w:t xml:space="preserve"> data</w:t>
      </w:r>
      <w:r w:rsidR="00D5597F">
        <w:t xml:space="preserve"> used</w:t>
      </w:r>
      <w:r w:rsidR="0379E9ED">
        <w:t xml:space="preserve"> to inform </w:t>
      </w:r>
      <w:r w:rsidR="004608DF">
        <w:t>S</w:t>
      </w:r>
      <w:r w:rsidR="0379E9ED">
        <w:t xml:space="preserve">tar </w:t>
      </w:r>
      <w:r w:rsidR="004608DF">
        <w:t>R</w:t>
      </w:r>
      <w:r w:rsidR="0379E9ED">
        <w:t>atings, ensure</w:t>
      </w:r>
      <w:r w:rsidR="3434F366">
        <w:t>s</w:t>
      </w:r>
      <w:r w:rsidR="0379E9ED">
        <w:t xml:space="preserve"> the Aged Care Quality and Safety Commission (ACQSC) have accurate information for quality assurance </w:t>
      </w:r>
      <w:r w:rsidR="00202B99">
        <w:t xml:space="preserve">and regulatory </w:t>
      </w:r>
      <w:r w:rsidR="0379E9ED">
        <w:t>purposes, inform</w:t>
      </w:r>
      <w:r w:rsidR="7DDEC9C0">
        <w:t>s</w:t>
      </w:r>
      <w:r w:rsidR="0379E9ED">
        <w:t xml:space="preserve"> the </w:t>
      </w:r>
      <w:r w:rsidR="00550D1A">
        <w:t>Independent</w:t>
      </w:r>
      <w:r w:rsidR="0379E9ED">
        <w:t xml:space="preserve"> Health and Aged Care Pricing Authority’s (IHACPA) costing </w:t>
      </w:r>
      <w:r w:rsidR="00945039">
        <w:t xml:space="preserve">and pricing </w:t>
      </w:r>
      <w:r w:rsidR="0379E9ED">
        <w:t>studies, improve</w:t>
      </w:r>
      <w:r w:rsidR="58D8B1A1">
        <w:t>s</w:t>
      </w:r>
      <w:r w:rsidR="0379E9ED">
        <w:t xml:space="preserve"> the quality of aged care data overall and inform</w:t>
      </w:r>
      <w:r w:rsidR="60FCF49A">
        <w:t>s</w:t>
      </w:r>
      <w:r w:rsidR="0379E9ED">
        <w:t xml:space="preserve"> policy decisions.</w:t>
      </w:r>
    </w:p>
    <w:p w14:paraId="3ADC92AA" w14:textId="5A8AE20F" w:rsidR="00FC2F44" w:rsidRPr="00C7603C" w:rsidRDefault="00C7603C" w:rsidP="00A01F04">
      <w:pPr>
        <w:pStyle w:val="Paragraphtext"/>
      </w:pPr>
      <w:r>
        <w:t xml:space="preserve">These assessments are undertaken on </w:t>
      </w:r>
      <w:r w:rsidR="00A06DD0">
        <w:t>a sample of</w:t>
      </w:r>
      <w:r>
        <w:t xml:space="preserve"> </w:t>
      </w:r>
      <w:r w:rsidR="00371560">
        <w:t>homes</w:t>
      </w:r>
      <w:r>
        <w:t xml:space="preserve"> each quarter (using </w:t>
      </w:r>
      <w:r w:rsidR="00D84AD9">
        <w:t xml:space="preserve">both </w:t>
      </w:r>
      <w:r w:rsidR="7C95AFD4">
        <w:t xml:space="preserve">a random </w:t>
      </w:r>
      <w:r w:rsidR="00306B0A">
        <w:t xml:space="preserve">and </w:t>
      </w:r>
      <w:r>
        <w:t xml:space="preserve">a targeted </w:t>
      </w:r>
      <w:r w:rsidR="4FBF3BB7">
        <w:t xml:space="preserve">risk-based </w:t>
      </w:r>
      <w:r>
        <w:t>selection approach)</w:t>
      </w:r>
      <w:r w:rsidR="67EEE486">
        <w:t>. Providers are notified of the information and documents required</w:t>
      </w:r>
      <w:r w:rsidR="719D561C">
        <w:t xml:space="preserve"> for assessment</w:t>
      </w:r>
      <w:r>
        <w:t xml:space="preserve">. The intention is that all </w:t>
      </w:r>
      <w:r w:rsidR="004B54E0">
        <w:t>homes</w:t>
      </w:r>
      <w:r>
        <w:t xml:space="preserve"> w</w:t>
      </w:r>
      <w:r w:rsidR="00C45015">
        <w:t>ill</w:t>
      </w:r>
      <w:r>
        <w:t xml:space="preserve"> have their reporting checked at least once every </w:t>
      </w:r>
      <w:r w:rsidR="006F49D1">
        <w:t xml:space="preserve">3 </w:t>
      </w:r>
      <w:r>
        <w:t>years.</w:t>
      </w:r>
      <w:r w:rsidR="083CA83B">
        <w:t xml:space="preserve"> </w:t>
      </w:r>
    </w:p>
    <w:p w14:paraId="376CF747" w14:textId="014502AB" w:rsidR="006E4EED" w:rsidRDefault="006E4EED" w:rsidP="00A01F04">
      <w:pPr>
        <w:pStyle w:val="Paragraphtext"/>
      </w:pPr>
      <w:r>
        <w:t xml:space="preserve">Care time reporting assessments have been conducted since September 2023. When an assessment is being undertaken </w:t>
      </w:r>
      <w:r w:rsidR="006F49D1">
        <w:t>in a home</w:t>
      </w:r>
      <w:r w:rsidR="00215FE9">
        <w:t xml:space="preserve">, </w:t>
      </w:r>
      <w:r w:rsidR="00B85BD0">
        <w:t>providers</w:t>
      </w:r>
      <w:r w:rsidR="00215FE9">
        <w:t xml:space="preserve"> will need to provide </w:t>
      </w:r>
      <w:r w:rsidR="000C2AFB">
        <w:t>payroll</w:t>
      </w:r>
      <w:r w:rsidR="0006630F">
        <w:t xml:space="preserve"> data, rosters and </w:t>
      </w:r>
      <w:r w:rsidR="00D638B8">
        <w:t>information about each worker</w:t>
      </w:r>
      <w:r w:rsidR="00010D22">
        <w:t>’</w:t>
      </w:r>
      <w:r w:rsidR="00D638B8">
        <w:t xml:space="preserve">s role (e.g. a role description) to the </w:t>
      </w:r>
      <w:r w:rsidR="001F0C24">
        <w:t>department and respond to questions about any discrepancies in reporting and this source data</w:t>
      </w:r>
      <w:r w:rsidR="00BF46F0">
        <w:t xml:space="preserve">. This administrative task is </w:t>
      </w:r>
      <w:r w:rsidR="001F0C24">
        <w:t xml:space="preserve">not normally completed by </w:t>
      </w:r>
      <w:r w:rsidR="0007685F">
        <w:t>an RN</w:t>
      </w:r>
      <w:r w:rsidR="00606E31">
        <w:t xml:space="preserve">, EN </w:t>
      </w:r>
      <w:r w:rsidR="00036A09">
        <w:t xml:space="preserve">or </w:t>
      </w:r>
      <w:r w:rsidR="00606E31">
        <w:t>PCW/AIN, instead it is completed by</w:t>
      </w:r>
      <w:r w:rsidR="003442A1">
        <w:t xml:space="preserve"> a business manager, accountant</w:t>
      </w:r>
      <w:r w:rsidR="00AD635C">
        <w:t xml:space="preserve"> or administrative worker.</w:t>
      </w:r>
      <w:r w:rsidR="00355A46">
        <w:t xml:space="preserve"> Feedback from providers on the time taken to respond to reporting assessments varies, with reports of between 20-120 hours</w:t>
      </w:r>
      <w:r w:rsidR="00737A21">
        <w:t>. As the process has been refined</w:t>
      </w:r>
      <w:r w:rsidR="003B4B70">
        <w:t>,</w:t>
      </w:r>
      <w:r w:rsidR="00737A21">
        <w:t xml:space="preserve"> providers have generally </w:t>
      </w:r>
      <w:r w:rsidR="00967889">
        <w:t xml:space="preserve">improved </w:t>
      </w:r>
      <w:r w:rsidR="009E163C">
        <w:t>at responding to these requests</w:t>
      </w:r>
      <w:r w:rsidR="006E56EE">
        <w:t>.</w:t>
      </w:r>
    </w:p>
    <w:p w14:paraId="35948F7E" w14:textId="4D5EEC6B" w:rsidR="0082480B" w:rsidRDefault="1D393A01" w:rsidP="00602B42">
      <w:pPr>
        <w:pStyle w:val="Paragraphtext"/>
        <w:rPr>
          <w:szCs w:val="21"/>
        </w:rPr>
      </w:pPr>
      <w:r w:rsidRPr="00A01F04">
        <w:rPr>
          <w:szCs w:val="21"/>
        </w:rPr>
        <w:t xml:space="preserve">The department </w:t>
      </w:r>
      <w:r w:rsidR="683EE7E3" w:rsidRPr="00A01F04">
        <w:rPr>
          <w:szCs w:val="21"/>
        </w:rPr>
        <w:t>p</w:t>
      </w:r>
      <w:r w:rsidR="692D574C" w:rsidRPr="00A01F04">
        <w:rPr>
          <w:szCs w:val="21"/>
        </w:rPr>
        <w:t>ublishes</w:t>
      </w:r>
      <w:r w:rsidR="683EE7E3" w:rsidRPr="00A01F04">
        <w:rPr>
          <w:szCs w:val="21"/>
        </w:rPr>
        <w:t xml:space="preserve"> </w:t>
      </w:r>
      <w:r w:rsidR="2C377AA8" w:rsidRPr="00A01F04">
        <w:rPr>
          <w:szCs w:val="21"/>
        </w:rPr>
        <w:t xml:space="preserve">online support </w:t>
      </w:r>
      <w:r w:rsidR="4AB19580" w:rsidRPr="00A01F04">
        <w:rPr>
          <w:szCs w:val="21"/>
        </w:rPr>
        <w:t>to</w:t>
      </w:r>
      <w:r w:rsidR="2C377AA8" w:rsidRPr="00A01F04">
        <w:rPr>
          <w:szCs w:val="21"/>
        </w:rPr>
        <w:t xml:space="preserve"> assist with </w:t>
      </w:r>
      <w:r w:rsidR="74ECFA94" w:rsidRPr="00A01F04">
        <w:rPr>
          <w:szCs w:val="21"/>
        </w:rPr>
        <w:t>provider</w:t>
      </w:r>
      <w:r w:rsidR="2C377AA8" w:rsidRPr="00A01F04">
        <w:rPr>
          <w:szCs w:val="21"/>
        </w:rPr>
        <w:t xml:space="preserve"> reporting</w:t>
      </w:r>
      <w:r w:rsidR="34CFE659" w:rsidRPr="00A01F04">
        <w:rPr>
          <w:szCs w:val="21"/>
        </w:rPr>
        <w:t>,</w:t>
      </w:r>
      <w:r w:rsidR="31998D78" w:rsidRPr="00A01F04">
        <w:rPr>
          <w:szCs w:val="21"/>
        </w:rPr>
        <w:t xml:space="preserve"> including </w:t>
      </w:r>
      <w:r w:rsidR="15419A51" w:rsidRPr="00A01F04">
        <w:rPr>
          <w:szCs w:val="21"/>
        </w:rPr>
        <w:t>information on activities el</w:t>
      </w:r>
      <w:r w:rsidR="551BF946" w:rsidRPr="00A01F04">
        <w:rPr>
          <w:szCs w:val="21"/>
        </w:rPr>
        <w:t>i</w:t>
      </w:r>
      <w:r w:rsidR="15419A51" w:rsidRPr="00A01F04">
        <w:rPr>
          <w:szCs w:val="21"/>
        </w:rPr>
        <w:t>gible to be included as care minutes</w:t>
      </w:r>
      <w:r w:rsidR="6ED5B3E3" w:rsidRPr="00A01F04">
        <w:rPr>
          <w:szCs w:val="21"/>
        </w:rPr>
        <w:t xml:space="preserve"> and</w:t>
      </w:r>
      <w:r w:rsidR="15419A51" w:rsidRPr="00A01F04">
        <w:rPr>
          <w:szCs w:val="21"/>
        </w:rPr>
        <w:t xml:space="preserve"> </w:t>
      </w:r>
      <w:r w:rsidR="00306B0A">
        <w:rPr>
          <w:szCs w:val="21"/>
        </w:rPr>
        <w:t xml:space="preserve">the definition of </w:t>
      </w:r>
      <w:r w:rsidR="0033649D">
        <w:rPr>
          <w:szCs w:val="21"/>
        </w:rPr>
        <w:t>workers that can be included</w:t>
      </w:r>
      <w:r w:rsidR="0074596E" w:rsidRPr="006E2EE4">
        <w:rPr>
          <w:rStyle w:val="FootnoteReference"/>
        </w:rPr>
        <w:footnoteReference w:id="7"/>
      </w:r>
      <w:r w:rsidR="162A6F2F" w:rsidRPr="00A01F04">
        <w:rPr>
          <w:szCs w:val="21"/>
        </w:rPr>
        <w:t>.</w:t>
      </w:r>
      <w:r w:rsidR="4944D3C0" w:rsidRPr="00A01F04">
        <w:rPr>
          <w:szCs w:val="21"/>
        </w:rPr>
        <w:t xml:space="preserve"> </w:t>
      </w:r>
      <w:r w:rsidR="5A0892A0" w:rsidRPr="00A01F04">
        <w:rPr>
          <w:szCs w:val="21"/>
        </w:rPr>
        <w:t xml:space="preserve">The department also provides support for providers </w:t>
      </w:r>
      <w:r w:rsidR="6F0263F3" w:rsidRPr="00A01F04">
        <w:rPr>
          <w:szCs w:val="21"/>
        </w:rPr>
        <w:t>to comply with their care minute responsibility</w:t>
      </w:r>
      <w:r w:rsidR="002C1D9C" w:rsidRPr="005067F3">
        <w:rPr>
          <w:rStyle w:val="FootnoteReference"/>
        </w:rPr>
        <w:footnoteReference w:id="8"/>
      </w:r>
      <w:r w:rsidR="00602B42">
        <w:rPr>
          <w:szCs w:val="21"/>
        </w:rPr>
        <w:t>.</w:t>
      </w:r>
    </w:p>
    <w:p w14:paraId="272CC2B2" w14:textId="1664D6E3" w:rsidR="00DB0DFD" w:rsidRPr="0082480B" w:rsidRDefault="1AECA879" w:rsidP="0082480B">
      <w:pPr>
        <w:pStyle w:val="Heading4"/>
      </w:pPr>
      <w:r w:rsidRPr="0082480B">
        <w:t>R</w:t>
      </w:r>
      <w:r w:rsidR="003E117A" w:rsidRPr="0082480B">
        <w:t>egulation of care minutes</w:t>
      </w:r>
    </w:p>
    <w:p w14:paraId="2DE9ECAF" w14:textId="00CC5DCF" w:rsidR="00DB0DFD" w:rsidRPr="00357BB0" w:rsidRDefault="1DDD7785" w:rsidP="00AA5972">
      <w:pPr>
        <w:pStyle w:val="Paragraphtext"/>
      </w:pPr>
      <w:r w:rsidRPr="00357BB0">
        <w:t xml:space="preserve">The Aged Care Quality and Safety Commission (ACQSC) is responsible for regulating the care minutes responsibility. Information on their approach to regulating care minutes is outlined in their </w:t>
      </w:r>
      <w:hyperlink r:id="rId14" w:history="1">
        <w:r w:rsidR="6D598F47" w:rsidRPr="00357BB0">
          <w:t>regulatory bulletin</w:t>
        </w:r>
        <w:r w:rsidR="005D21E1">
          <w:rPr>
            <w:rStyle w:val="FootnoteReference"/>
          </w:rPr>
          <w:footnoteReference w:id="9"/>
        </w:r>
        <w:r w:rsidR="75A51E8A" w:rsidRPr="00357BB0">
          <w:t>.</w:t>
        </w:r>
      </w:hyperlink>
      <w:r w:rsidRPr="00357BB0">
        <w:t xml:space="preserve"> The department provides data on care minutes compliance to the ACQSC</w:t>
      </w:r>
      <w:r w:rsidR="5679D4CF" w:rsidRPr="00357BB0">
        <w:t xml:space="preserve"> </w:t>
      </w:r>
      <w:r w:rsidR="067D39BD" w:rsidRPr="00357BB0">
        <w:t>quarterly</w:t>
      </w:r>
      <w:r w:rsidRPr="00357BB0">
        <w:t xml:space="preserve"> to support its regulatory work.</w:t>
      </w:r>
    </w:p>
    <w:p w14:paraId="71F658F3" w14:textId="3A7AB24E" w:rsidR="00ED4C22" w:rsidRPr="00B864A6" w:rsidRDefault="1B5BB200" w:rsidP="00ED0336">
      <w:pPr>
        <w:pStyle w:val="Heading4"/>
        <w:rPr>
          <w:szCs w:val="26"/>
        </w:rPr>
      </w:pPr>
      <w:bookmarkStart w:id="22" w:name="_Toc183705476"/>
      <w:r w:rsidRPr="1B5BB200">
        <w:t xml:space="preserve">Care </w:t>
      </w:r>
      <w:r w:rsidR="00CB6BB1">
        <w:t>m</w:t>
      </w:r>
      <w:r w:rsidRPr="1B5BB200">
        <w:t xml:space="preserve">inutes </w:t>
      </w:r>
      <w:r w:rsidR="00CB6BB1">
        <w:t>t</w:t>
      </w:r>
      <w:r w:rsidRPr="1B5BB200">
        <w:t xml:space="preserve">ransparency </w:t>
      </w:r>
      <w:bookmarkEnd w:id="22"/>
    </w:p>
    <w:p w14:paraId="03183697" w14:textId="3376E755" w:rsidR="00DE49F8" w:rsidRPr="0051787F" w:rsidRDefault="2D09091B" w:rsidP="0051787F">
      <w:pPr>
        <w:pStyle w:val="Paragraphtext"/>
      </w:pPr>
      <w:r w:rsidRPr="0051787F" w:rsidDel="00F8597C">
        <w:t>S</w:t>
      </w:r>
      <w:r w:rsidR="74FB7E81" w:rsidRPr="0051787F">
        <w:t>tar Ratings</w:t>
      </w:r>
      <w:r w:rsidR="007D0E12" w:rsidRPr="007F7D7F">
        <w:rPr>
          <w:rStyle w:val="FootnoteReference"/>
        </w:rPr>
        <w:footnoteReference w:id="10"/>
      </w:r>
      <w:r w:rsidRPr="0051787F">
        <w:t xml:space="preserve"> provide information on residential aged care </w:t>
      </w:r>
      <w:r w:rsidR="00C8533C">
        <w:t>homes</w:t>
      </w:r>
      <w:r w:rsidR="00C8533C" w:rsidRPr="0051787F">
        <w:t xml:space="preserve"> </w:t>
      </w:r>
      <w:r w:rsidRPr="0051787F">
        <w:t>to</w:t>
      </w:r>
      <w:r w:rsidR="527AA2C5" w:rsidRPr="0051787F">
        <w:t xml:space="preserve"> empower older people </w:t>
      </w:r>
      <w:r w:rsidR="6BB6F122" w:rsidRPr="0051787F">
        <w:t>and their representatives with greater information to make choi</w:t>
      </w:r>
      <w:r w:rsidR="20B13CA7" w:rsidRPr="0051787F">
        <w:t>c</w:t>
      </w:r>
      <w:r w:rsidR="6BB6F122" w:rsidRPr="0051787F">
        <w:t>es about their aged care, in</w:t>
      </w:r>
      <w:r w:rsidR="79A84940" w:rsidRPr="0051787F">
        <w:t>centivise prov</w:t>
      </w:r>
      <w:r w:rsidR="20B13CA7" w:rsidRPr="0051787F">
        <w:t>i</w:t>
      </w:r>
      <w:r w:rsidR="79A84940" w:rsidRPr="0051787F">
        <w:t>der en</w:t>
      </w:r>
      <w:r w:rsidR="20B13CA7" w:rsidRPr="0051787F">
        <w:t>ga</w:t>
      </w:r>
      <w:r w:rsidR="79A84940" w:rsidRPr="0051787F">
        <w:t xml:space="preserve">gement in continuous quality improvement and delivery </w:t>
      </w:r>
      <w:r w:rsidR="703ECE74" w:rsidRPr="0051787F">
        <w:t xml:space="preserve">of </w:t>
      </w:r>
      <w:r w:rsidR="009A4BB3" w:rsidRPr="0051787F">
        <w:t>high</w:t>
      </w:r>
      <w:r w:rsidR="009A4BB3">
        <w:t>-</w:t>
      </w:r>
      <w:r w:rsidR="009A4BB3" w:rsidRPr="0051787F">
        <w:t>quality</w:t>
      </w:r>
      <w:r w:rsidR="703ECE74" w:rsidRPr="0051787F">
        <w:t xml:space="preserve"> care to older people</w:t>
      </w:r>
      <w:r w:rsidR="20B13CA7" w:rsidRPr="0051787F">
        <w:t>,</w:t>
      </w:r>
      <w:r w:rsidR="703ECE74" w:rsidRPr="0051787F">
        <w:t xml:space="preserve"> and to support Government to provide transparent information about the quality of </w:t>
      </w:r>
      <w:r w:rsidR="63B77750" w:rsidRPr="0051787F">
        <w:t xml:space="preserve">residential </w:t>
      </w:r>
      <w:r w:rsidR="20B13CA7" w:rsidRPr="0051787F">
        <w:t>a</w:t>
      </w:r>
      <w:r w:rsidR="703ECE74" w:rsidRPr="0051787F">
        <w:t xml:space="preserve">ged </w:t>
      </w:r>
      <w:r w:rsidR="20B13CA7" w:rsidRPr="0051787F">
        <w:t>care</w:t>
      </w:r>
      <w:r w:rsidR="26E1CDFC" w:rsidRPr="0051787F">
        <w:t xml:space="preserve"> a</w:t>
      </w:r>
      <w:r w:rsidR="20B13CA7" w:rsidRPr="0051787F">
        <w:t>t</w:t>
      </w:r>
      <w:r w:rsidR="26E1CDFC" w:rsidRPr="0051787F">
        <w:t xml:space="preserve"> </w:t>
      </w:r>
      <w:r w:rsidR="18381E41" w:rsidRPr="0051787F">
        <w:t xml:space="preserve">a </w:t>
      </w:r>
      <w:r w:rsidR="26E1CDFC" w:rsidRPr="0051787F">
        <w:t>syste</w:t>
      </w:r>
      <w:r w:rsidR="18381E41" w:rsidRPr="0051787F">
        <w:t>m</w:t>
      </w:r>
      <w:r w:rsidR="26E1CDFC" w:rsidRPr="0051787F">
        <w:t xml:space="preserve"> level</w:t>
      </w:r>
      <w:r w:rsidR="18381E41" w:rsidRPr="0051787F">
        <w:t>.</w:t>
      </w:r>
    </w:p>
    <w:p w14:paraId="4859D4AF" w14:textId="6CD1FAA1" w:rsidR="00DE49F8" w:rsidRDefault="27E85D55" w:rsidP="0051787F">
      <w:pPr>
        <w:pStyle w:val="Paragraphtext"/>
      </w:pPr>
      <w:r w:rsidRPr="0051787F">
        <w:t>The Staffing Rating is the key mechanism intended to support aged care residents and their family members, friends, and carers to see whether each home is meeting their care minutes</w:t>
      </w:r>
      <w:r>
        <w:t xml:space="preserve"> </w:t>
      </w:r>
      <w:r>
        <w:lastRenderedPageBreak/>
        <w:t>targets and for older Australians to consider when selecting a residential aged care home. Each home’s delivered care minutes are published alongside their targets.</w:t>
      </w:r>
    </w:p>
    <w:p w14:paraId="1875B333" w14:textId="73956937" w:rsidR="12DE205D" w:rsidRDefault="12DE205D" w:rsidP="007F7D7F">
      <w:pPr>
        <w:pStyle w:val="Paragraphtext"/>
      </w:pPr>
      <w:r>
        <w:t>Star Ratings are made up of an overall rating and 4 subcategory ratings, including staffing (based on care minutes). Staffing is displayed as a rating out of 5 stars. This provides a quick way to compare homes based on the amount of care they deliver.</w:t>
      </w:r>
      <w:r w:rsidR="00D62D19">
        <w:t xml:space="preserve"> The </w:t>
      </w:r>
      <w:r w:rsidR="07BF07C7">
        <w:t>S</w:t>
      </w:r>
      <w:r w:rsidR="00D62D19">
        <w:t xml:space="preserve">taffing </w:t>
      </w:r>
      <w:r w:rsidR="11E05AFB">
        <w:t>R</w:t>
      </w:r>
      <w:r w:rsidR="00D62D19">
        <w:t xml:space="preserve">ating </w:t>
      </w:r>
      <w:r w:rsidR="6D9E3E2A">
        <w:t>makes up 22%</w:t>
      </w:r>
      <w:r w:rsidR="00D62D19">
        <w:t xml:space="preserve"> of the </w:t>
      </w:r>
      <w:r w:rsidR="187C7538">
        <w:t>O</w:t>
      </w:r>
      <w:r w:rsidR="00D62D19">
        <w:t>verall</w:t>
      </w:r>
      <w:r w:rsidR="6B9E1066">
        <w:t xml:space="preserve"> Star</w:t>
      </w:r>
      <w:r w:rsidR="00D62D19">
        <w:t xml:space="preserve"> </w:t>
      </w:r>
      <w:r w:rsidR="67A47055">
        <w:t>R</w:t>
      </w:r>
      <w:r w:rsidR="000E499B">
        <w:t>ating, meaning that non-compliance with care minutes targets</w:t>
      </w:r>
      <w:r w:rsidR="40AB5863">
        <w:t>, in isolation, may</w:t>
      </w:r>
      <w:r w:rsidR="000E499B">
        <w:t xml:space="preserve"> not significantly reduce a home’s </w:t>
      </w:r>
      <w:r w:rsidR="00C53EDF">
        <w:t>O</w:t>
      </w:r>
      <w:r w:rsidR="000E499B">
        <w:t>verall Star Rating.</w:t>
      </w:r>
    </w:p>
    <w:p w14:paraId="65FE9014" w14:textId="6959806F" w:rsidR="00DE49F8" w:rsidRDefault="2D09091B" w:rsidP="002E0D09">
      <w:pPr>
        <w:pStyle w:val="Paragraphtext"/>
        <w:spacing w:line="259" w:lineRule="auto"/>
      </w:pPr>
      <w:r w:rsidDel="00FE3721">
        <w:t>S</w:t>
      </w:r>
      <w:r w:rsidR="075670DC" w:rsidRPr="51365D77">
        <w:t>tar Ratings</w:t>
      </w:r>
      <w:r w:rsidR="00D62D19">
        <w:t>, including the 4 subcategory ratings</w:t>
      </w:r>
      <w:r w:rsidR="075670DC" w:rsidRPr="51365D77">
        <w:t xml:space="preserve"> are published on the </w:t>
      </w:r>
      <w:r w:rsidR="2FAABEAC" w:rsidRPr="00BE7F68">
        <w:t>My Aged Care</w:t>
      </w:r>
      <w:r w:rsidR="00F824F0" w:rsidRPr="002E0D09">
        <w:rPr>
          <w:rStyle w:val="FootnoteReference"/>
          <w:color w:val="auto"/>
          <w:sz w:val="22"/>
          <w:szCs w:val="22"/>
        </w:rPr>
        <w:footnoteReference w:id="11"/>
      </w:r>
      <w:r w:rsidR="075670DC" w:rsidRPr="51365D77">
        <w:t xml:space="preserve"> website through the </w:t>
      </w:r>
      <w:r w:rsidR="7E7796B5" w:rsidRPr="0088489D">
        <w:t xml:space="preserve">Find a </w:t>
      </w:r>
      <w:r w:rsidR="5C8A0B59">
        <w:t>P</w:t>
      </w:r>
      <w:r w:rsidR="7E7796B5" w:rsidRPr="0088489D">
        <w:t>rovider</w:t>
      </w:r>
      <w:r w:rsidR="00707DDC" w:rsidRPr="002E0D09">
        <w:rPr>
          <w:rStyle w:val="FootnoteReference"/>
          <w:color w:val="auto"/>
          <w:sz w:val="22"/>
          <w:szCs w:val="22"/>
        </w:rPr>
        <w:footnoteReference w:id="12"/>
      </w:r>
      <w:r w:rsidR="075670DC" w:rsidRPr="51365D77">
        <w:t xml:space="preserve"> </w:t>
      </w:r>
      <w:r w:rsidR="44688275" w:rsidRPr="51365D77">
        <w:t>tool</w:t>
      </w:r>
      <w:r w:rsidR="075670DC" w:rsidRPr="51365D77">
        <w:t>.</w:t>
      </w:r>
    </w:p>
    <w:p w14:paraId="7582A923" w14:textId="22CDE836" w:rsidR="59028F8E" w:rsidRDefault="59028F8E" w:rsidP="0D410946">
      <w:pPr>
        <w:pStyle w:val="Paragraphtext"/>
      </w:pPr>
      <w:r>
        <w:t>Considerable effort has gone into ensuring that older people and their family members know about Star Ratings, including a national advertising campaign targeting older people and their support networks.</w:t>
      </w:r>
    </w:p>
    <w:p w14:paraId="598B7E75" w14:textId="3D7D5CAD" w:rsidR="004D47D3" w:rsidRDefault="763A8A7D" w:rsidP="27E85D55">
      <w:pPr>
        <w:pStyle w:val="Paragraphtext"/>
      </w:pPr>
      <w:r>
        <w:t xml:space="preserve">A </w:t>
      </w:r>
      <w:r w:rsidR="3EB8FE12">
        <w:t>2024 Star Ratings evaluation report</w:t>
      </w:r>
      <w:r w:rsidR="00017EFD" w:rsidRPr="27E85D55">
        <w:rPr>
          <w:rStyle w:val="FootnoteReference"/>
        </w:rPr>
        <w:footnoteReference w:id="13"/>
      </w:r>
      <w:r w:rsidR="3EB8FE12" w:rsidRPr="27E85D55">
        <w:rPr>
          <w:rStyle w:val="FootnoteReference"/>
        </w:rPr>
        <w:t xml:space="preserve"> </w:t>
      </w:r>
      <w:r w:rsidR="3EB8FE12">
        <w:t>commissioned by the department concluded that Star Ratings have promoted provider quality improvement and ‘may have incentivised higher standards of care…[and]…driven improvements in both the timeliness and accuracy of reporting by providers</w:t>
      </w:r>
      <w:r w:rsidR="00372E53">
        <w:t>’</w:t>
      </w:r>
      <w:r w:rsidR="3EB8FE12">
        <w:t xml:space="preserve"> (Allen and Clarke Consulting, 2024, p. 10). The report highlights that Star Ratings has increased the availability of information to older people and their representatives to make choices regarding their aged care, including the selection of residential aged care homes. However, the report noted that care minutes is only one consideration for the selection of residential aged care homes with others being cost, location, models of care, facilities, etc. Consequently, care minutes performance has limited impact on the demand for residential aged care homes particularly as the demand for residential aged care is</w:t>
      </w:r>
      <w:r w:rsidR="00187850">
        <w:t xml:space="preserve"> relatively</w:t>
      </w:r>
      <w:r w:rsidR="3EB8FE12">
        <w:t xml:space="preserve"> high</w:t>
      </w:r>
      <w:r w:rsidR="00AC4491">
        <w:t xml:space="preserve"> compared to the available beds in some locations</w:t>
      </w:r>
      <w:r w:rsidR="3EB8FE12">
        <w:t>.</w:t>
      </w:r>
    </w:p>
    <w:p w14:paraId="39BBA24A" w14:textId="6F769844" w:rsidR="00017EFD" w:rsidRDefault="3EB8FE12" w:rsidP="27E85D55">
      <w:pPr>
        <w:pStyle w:val="Paragraphtext"/>
      </w:pPr>
      <w:r>
        <w:t xml:space="preserve">The report also identified a lack of trust concerning how </w:t>
      </w:r>
      <w:r w:rsidR="002A7BA6">
        <w:t>S</w:t>
      </w:r>
      <w:r>
        <w:t xml:space="preserve">tar </w:t>
      </w:r>
      <w:r w:rsidR="002A7BA6">
        <w:t>R</w:t>
      </w:r>
      <w:r>
        <w:t>atings are determined and whether they reflect the care being provided.</w:t>
      </w:r>
    </w:p>
    <w:p w14:paraId="6AD21EC7" w14:textId="5A45C9BD" w:rsidR="00F071D4" w:rsidRPr="002C3F0E" w:rsidRDefault="00F071D4" w:rsidP="00F071D4">
      <w:pPr>
        <w:pStyle w:val="Paragraphtext"/>
      </w:pPr>
      <w:r>
        <w:t>In addition to information published through Star Ratings</w:t>
      </w:r>
      <w:r w:rsidR="006C2551">
        <w:t>,</w:t>
      </w:r>
      <w:r>
        <w:t xml:space="preserve"> </w:t>
      </w:r>
      <w:r w:rsidR="00822A64">
        <w:t>h</w:t>
      </w:r>
      <w:r>
        <w:t>ome</w:t>
      </w:r>
      <w:r w:rsidDel="21BFF9A6">
        <w:t xml:space="preserve"> (or service)</w:t>
      </w:r>
      <w:r>
        <w:t xml:space="preserve"> level care minutes performance </w:t>
      </w:r>
      <w:r w:rsidRPr="002557E9">
        <w:t>has</w:t>
      </w:r>
      <w:r>
        <w:t xml:space="preserve"> </w:t>
      </w:r>
      <w:r w:rsidRPr="51365D77">
        <w:t xml:space="preserve">been published on the department’s </w:t>
      </w:r>
      <w:r w:rsidRPr="004D443C">
        <w:t>website</w:t>
      </w:r>
      <w:r>
        <w:rPr>
          <w:rStyle w:val="FootnoteReference"/>
        </w:rPr>
        <w:footnoteReference w:id="14"/>
      </w:r>
      <w:r>
        <w:t xml:space="preserve"> since the commencement of the care minutes responsibility</w:t>
      </w:r>
      <w:r w:rsidRPr="51365D77">
        <w:t xml:space="preserve"> </w:t>
      </w:r>
      <w:r w:rsidRPr="004D443C">
        <w:t>and provider level care minutes metrics have also been published on the department’s website</w:t>
      </w:r>
      <w:r>
        <w:rPr>
          <w:rStyle w:val="FootnoteReference"/>
        </w:rPr>
        <w:footnoteReference w:id="15"/>
      </w:r>
      <w:r w:rsidRPr="0082480B">
        <w:rPr>
          <w:rStyle w:val="FootnoteReference"/>
        </w:rPr>
        <w:t xml:space="preserve"> </w:t>
      </w:r>
      <w:r w:rsidRPr="51365D77">
        <w:t>since October 2024. This allows the public to view and compare the collective performance of providers.</w:t>
      </w:r>
    </w:p>
    <w:p w14:paraId="19F3956E" w14:textId="77777777" w:rsidR="00F071D4" w:rsidRDefault="00F071D4" w:rsidP="00F071D4">
      <w:pPr>
        <w:pStyle w:val="Paragraphtext"/>
      </w:pPr>
      <w:r w:rsidRPr="51365D77">
        <w:t xml:space="preserve">A sector-level care minutes dashboard is published on the department’s </w:t>
      </w:r>
      <w:r w:rsidRPr="00AD7E35">
        <w:t>website</w:t>
      </w:r>
      <w:r>
        <w:rPr>
          <w:rStyle w:val="FootnoteReference"/>
        </w:rPr>
        <w:footnoteReference w:id="16"/>
      </w:r>
      <w:r w:rsidRPr="51365D77">
        <w:t xml:space="preserve"> and updated quarterly. The dashboard provides information on the residential aged care sector’s performance in relation to care minutes delivered compared to the sector average targets and </w:t>
      </w:r>
      <w:r>
        <w:t>the percentage of homes that meet their targets</w:t>
      </w:r>
      <w:r w:rsidRPr="51365D77">
        <w:t xml:space="preserve">. </w:t>
      </w:r>
      <w:r>
        <w:t>This dashboard also provides information on compliance in different regions and by providers of different ownership types.</w:t>
      </w:r>
    </w:p>
    <w:p w14:paraId="33D6BD16" w14:textId="137FA060" w:rsidR="00017EFD" w:rsidRDefault="00017EFD" w:rsidP="00F01BBF">
      <w:pPr>
        <w:rPr>
          <w:rFonts w:cs="Arial"/>
          <w:bCs/>
          <w:color w:val="3F4A75"/>
          <w:kern w:val="28"/>
          <w:sz w:val="36"/>
          <w:szCs w:val="36"/>
        </w:rPr>
      </w:pPr>
      <w:bookmarkStart w:id="23" w:name="_Toc178074423"/>
      <w:r w:rsidRPr="0082480B">
        <w:rPr>
          <w:color w:val="3F4A75" w:themeColor="accent1"/>
          <w:sz w:val="36"/>
        </w:rPr>
        <w:br w:type="page"/>
      </w:r>
    </w:p>
    <w:p w14:paraId="5B1AD2DE" w14:textId="56252FA2" w:rsidR="006F4428" w:rsidRDefault="0009070C" w:rsidP="00C87C89">
      <w:pPr>
        <w:pStyle w:val="OIAQuestion"/>
      </w:pPr>
      <w:bookmarkStart w:id="24" w:name="_Toc183705478"/>
      <w:bookmarkStart w:id="25" w:name="_Toc203133280"/>
      <w:bookmarkStart w:id="26" w:name="_Toc200394433"/>
      <w:bookmarkStart w:id="27" w:name="_Toc205802671"/>
      <w:bookmarkStart w:id="28" w:name="_Toc203639521"/>
      <w:bookmarkStart w:id="29" w:name="_Toc207014399"/>
      <w:bookmarkEnd w:id="23"/>
      <w:r w:rsidRPr="00C87C89">
        <w:lastRenderedPageBreak/>
        <w:t>Policy</w:t>
      </w:r>
      <w:r>
        <w:t xml:space="preserve"> problem</w:t>
      </w:r>
      <w:bookmarkEnd w:id="24"/>
      <w:bookmarkEnd w:id="25"/>
      <w:bookmarkEnd w:id="26"/>
      <w:bookmarkEnd w:id="27"/>
      <w:bookmarkEnd w:id="28"/>
      <w:bookmarkEnd w:id="29"/>
    </w:p>
    <w:p w14:paraId="35A520AE" w14:textId="1C3395C8" w:rsidR="00F86C58" w:rsidRPr="0082480B" w:rsidRDefault="1DFFDFA6" w:rsidP="0082480B">
      <w:pPr>
        <w:pBdr>
          <w:top w:val="single" w:sz="4" w:space="1" w:color="auto"/>
          <w:left w:val="single" w:sz="4" w:space="4" w:color="auto"/>
          <w:bottom w:val="single" w:sz="4" w:space="1" w:color="auto"/>
          <w:right w:val="single" w:sz="4" w:space="4" w:color="auto"/>
        </w:pBdr>
        <w:shd w:val="clear" w:color="auto" w:fill="D0EAED" w:themeFill="accent2" w:themeFillTint="33"/>
        <w:spacing w:before="120" w:after="60"/>
      </w:pPr>
      <w:r w:rsidRPr="4396B290">
        <w:rPr>
          <w:sz w:val="21"/>
          <w:szCs w:val="21"/>
        </w:rPr>
        <w:t xml:space="preserve">The Royal Commission </w:t>
      </w:r>
      <w:r w:rsidR="28142C81" w:rsidRPr="4396B290">
        <w:rPr>
          <w:sz w:val="21"/>
          <w:szCs w:val="21"/>
        </w:rPr>
        <w:t xml:space="preserve">found </w:t>
      </w:r>
      <w:r w:rsidR="34466BBA" w:rsidRPr="4396B290">
        <w:rPr>
          <w:sz w:val="21"/>
          <w:szCs w:val="21"/>
        </w:rPr>
        <w:t xml:space="preserve">that </w:t>
      </w:r>
      <w:r w:rsidR="03C13AFB" w:rsidRPr="4396B290">
        <w:rPr>
          <w:sz w:val="21"/>
          <w:szCs w:val="21"/>
        </w:rPr>
        <w:t xml:space="preserve">staffing levels across much of the residential aged care sector were inadequate </w:t>
      </w:r>
      <w:r w:rsidR="09C19879" w:rsidRPr="4396B290">
        <w:rPr>
          <w:sz w:val="21"/>
          <w:szCs w:val="21"/>
        </w:rPr>
        <w:t xml:space="preserve">to support high quality </w:t>
      </w:r>
      <w:r w:rsidR="4CC52028" w:rsidRPr="4DE75EC6">
        <w:rPr>
          <w:sz w:val="21"/>
          <w:szCs w:val="21"/>
        </w:rPr>
        <w:t xml:space="preserve">aged </w:t>
      </w:r>
      <w:r w:rsidR="09C19879" w:rsidRPr="4396B290">
        <w:rPr>
          <w:sz w:val="21"/>
          <w:szCs w:val="21"/>
        </w:rPr>
        <w:t xml:space="preserve">care </w:t>
      </w:r>
      <w:r w:rsidR="1BEFBBBA" w:rsidRPr="4396B290">
        <w:rPr>
          <w:sz w:val="21"/>
          <w:szCs w:val="21"/>
        </w:rPr>
        <w:t xml:space="preserve">and recommended that </w:t>
      </w:r>
      <w:r w:rsidR="00404E99" w:rsidRPr="3C3C4F3C">
        <w:rPr>
          <w:sz w:val="21"/>
          <w:szCs w:val="21"/>
        </w:rPr>
        <w:t>G</w:t>
      </w:r>
      <w:r w:rsidR="0301AB38" w:rsidRPr="4396B290">
        <w:rPr>
          <w:sz w:val="21"/>
          <w:szCs w:val="21"/>
        </w:rPr>
        <w:t>overnment adopt minimum care time requirements</w:t>
      </w:r>
      <w:r w:rsidR="1BEFBBBA" w:rsidRPr="4396B290">
        <w:rPr>
          <w:sz w:val="21"/>
          <w:szCs w:val="21"/>
        </w:rPr>
        <w:t xml:space="preserve"> to ensure </w:t>
      </w:r>
      <w:r w:rsidR="7B0B3A5A" w:rsidRPr="4396B290">
        <w:rPr>
          <w:sz w:val="21"/>
          <w:szCs w:val="21"/>
        </w:rPr>
        <w:t>consistent and adequate staffing</w:t>
      </w:r>
      <w:r w:rsidR="104A70DE" w:rsidRPr="4396B290">
        <w:rPr>
          <w:sz w:val="21"/>
          <w:szCs w:val="21"/>
        </w:rPr>
        <w:t xml:space="preserve"> across the sector</w:t>
      </w:r>
      <w:r w:rsidR="35A994D9" w:rsidRPr="4396B290">
        <w:rPr>
          <w:sz w:val="21"/>
          <w:szCs w:val="21"/>
        </w:rPr>
        <w:t>.</w:t>
      </w:r>
      <w:r w:rsidR="104A70DE" w:rsidRPr="4396B290">
        <w:rPr>
          <w:sz w:val="21"/>
          <w:szCs w:val="21"/>
        </w:rPr>
        <w:t xml:space="preserve"> </w:t>
      </w:r>
      <w:r w:rsidR="007F63CA">
        <w:rPr>
          <w:sz w:val="21"/>
          <w:szCs w:val="21"/>
        </w:rPr>
        <w:t xml:space="preserve">The </w:t>
      </w:r>
      <w:r w:rsidR="104A70DE" w:rsidRPr="4396B290">
        <w:rPr>
          <w:sz w:val="21"/>
          <w:szCs w:val="21"/>
        </w:rPr>
        <w:t>Government accepted this recommendation and implemented m</w:t>
      </w:r>
      <w:r w:rsidR="7B76001A" w:rsidRPr="4396B290">
        <w:rPr>
          <w:sz w:val="21"/>
          <w:szCs w:val="21"/>
        </w:rPr>
        <w:t xml:space="preserve">andatory care </w:t>
      </w:r>
      <w:r w:rsidR="104A70DE" w:rsidRPr="4396B290">
        <w:rPr>
          <w:sz w:val="21"/>
          <w:szCs w:val="21"/>
        </w:rPr>
        <w:t>minute requirements</w:t>
      </w:r>
      <w:r w:rsidR="24F56DD9" w:rsidRPr="4396B290">
        <w:rPr>
          <w:sz w:val="21"/>
          <w:szCs w:val="21"/>
        </w:rPr>
        <w:t xml:space="preserve"> </w:t>
      </w:r>
      <w:r w:rsidR="1E46348D" w:rsidRPr="4396B290">
        <w:rPr>
          <w:sz w:val="21"/>
          <w:szCs w:val="21"/>
        </w:rPr>
        <w:t xml:space="preserve">and </w:t>
      </w:r>
      <w:r w:rsidR="7C2C9464" w:rsidRPr="4396B290">
        <w:rPr>
          <w:sz w:val="21"/>
          <w:szCs w:val="21"/>
        </w:rPr>
        <w:t>provided</w:t>
      </w:r>
      <w:r w:rsidR="548BF603" w:rsidRPr="4396B290">
        <w:rPr>
          <w:sz w:val="21"/>
          <w:szCs w:val="21"/>
        </w:rPr>
        <w:t xml:space="preserve"> substantial funding uplift</w:t>
      </w:r>
      <w:r w:rsidR="7C2C9464" w:rsidRPr="4396B290">
        <w:rPr>
          <w:sz w:val="21"/>
          <w:szCs w:val="21"/>
        </w:rPr>
        <w:t>s</w:t>
      </w:r>
      <w:r w:rsidR="548BF603" w:rsidRPr="4396B290">
        <w:rPr>
          <w:sz w:val="21"/>
          <w:szCs w:val="21"/>
        </w:rPr>
        <w:t xml:space="preserve"> </w:t>
      </w:r>
      <w:r w:rsidR="1995611E" w:rsidRPr="4396B290">
        <w:rPr>
          <w:sz w:val="21"/>
          <w:szCs w:val="21"/>
        </w:rPr>
        <w:t>to fund the sector to deliver the</w:t>
      </w:r>
      <w:r w:rsidR="7EF712E2" w:rsidRPr="4396B290">
        <w:rPr>
          <w:sz w:val="21"/>
          <w:szCs w:val="21"/>
        </w:rPr>
        <w:t xml:space="preserve"> additional required care time</w:t>
      </w:r>
      <w:r w:rsidR="548BF603" w:rsidRPr="4396B290">
        <w:rPr>
          <w:sz w:val="21"/>
          <w:szCs w:val="21"/>
        </w:rPr>
        <w:t xml:space="preserve">. </w:t>
      </w:r>
      <w:r w:rsidR="24F56DD9" w:rsidRPr="4396B290">
        <w:rPr>
          <w:sz w:val="21"/>
          <w:szCs w:val="21"/>
        </w:rPr>
        <w:t>Despite this</w:t>
      </w:r>
      <w:r w:rsidR="6167A0C2" w:rsidRPr="4396B290">
        <w:rPr>
          <w:sz w:val="21"/>
          <w:szCs w:val="21"/>
        </w:rPr>
        <w:t>,</w:t>
      </w:r>
      <w:r w:rsidR="24F56DD9" w:rsidRPr="4396B290">
        <w:rPr>
          <w:sz w:val="21"/>
          <w:szCs w:val="21"/>
        </w:rPr>
        <w:t xml:space="preserve"> compliance with </w:t>
      </w:r>
      <w:r w:rsidR="7EF712E2" w:rsidRPr="4396B290">
        <w:rPr>
          <w:sz w:val="21"/>
          <w:szCs w:val="21"/>
        </w:rPr>
        <w:t xml:space="preserve">the </w:t>
      </w:r>
      <w:r w:rsidR="24F56DD9" w:rsidRPr="4396B290">
        <w:rPr>
          <w:sz w:val="21"/>
          <w:szCs w:val="21"/>
        </w:rPr>
        <w:t>care minutes</w:t>
      </w:r>
      <w:r w:rsidR="7EF712E2" w:rsidRPr="4396B290">
        <w:rPr>
          <w:sz w:val="21"/>
          <w:szCs w:val="21"/>
        </w:rPr>
        <w:t xml:space="preserve"> </w:t>
      </w:r>
      <w:r w:rsidR="008F5F86" w:rsidRPr="3C3C4F3C">
        <w:rPr>
          <w:sz w:val="21"/>
          <w:szCs w:val="21"/>
        </w:rPr>
        <w:t>targets</w:t>
      </w:r>
      <w:r w:rsidR="24F56DD9" w:rsidRPr="4396B290">
        <w:rPr>
          <w:sz w:val="21"/>
          <w:szCs w:val="21"/>
        </w:rPr>
        <w:t xml:space="preserve"> is low</w:t>
      </w:r>
      <w:r w:rsidR="3BD5230D" w:rsidRPr="4396B290">
        <w:rPr>
          <w:sz w:val="21"/>
          <w:szCs w:val="21"/>
        </w:rPr>
        <w:t xml:space="preserve"> with only 37.4% of </w:t>
      </w:r>
      <w:r w:rsidR="5624081E" w:rsidRPr="4DE75EC6">
        <w:rPr>
          <w:sz w:val="21"/>
          <w:szCs w:val="21"/>
        </w:rPr>
        <w:t xml:space="preserve">approved residential aged care </w:t>
      </w:r>
      <w:r w:rsidR="0736B7FA" w:rsidRPr="4396B290">
        <w:rPr>
          <w:sz w:val="21"/>
          <w:szCs w:val="21"/>
        </w:rPr>
        <w:t>homes</w:t>
      </w:r>
      <w:r w:rsidR="1DF796EF" w:rsidRPr="4396B290">
        <w:rPr>
          <w:sz w:val="21"/>
          <w:szCs w:val="21"/>
        </w:rPr>
        <w:t xml:space="preserve"> across the</w:t>
      </w:r>
      <w:r w:rsidR="3BD5230D" w:rsidRPr="4396B290">
        <w:rPr>
          <w:sz w:val="21"/>
          <w:szCs w:val="21"/>
        </w:rPr>
        <w:t xml:space="preserve"> sector </w:t>
      </w:r>
      <w:r w:rsidR="1DF796EF" w:rsidRPr="4396B290">
        <w:rPr>
          <w:sz w:val="21"/>
          <w:szCs w:val="21"/>
        </w:rPr>
        <w:t>meeting their required care minute targets</w:t>
      </w:r>
      <w:r w:rsidR="726949AD" w:rsidRPr="4396B290">
        <w:rPr>
          <w:sz w:val="21"/>
          <w:szCs w:val="21"/>
        </w:rPr>
        <w:t xml:space="preserve"> in the December quarter of 2024</w:t>
      </w:r>
      <w:r w:rsidR="5C71C66F" w:rsidRPr="4396B290">
        <w:rPr>
          <w:sz w:val="21"/>
          <w:szCs w:val="21"/>
        </w:rPr>
        <w:t xml:space="preserve">. This means that </w:t>
      </w:r>
      <w:r w:rsidR="61DE1829" w:rsidRPr="4396B290">
        <w:rPr>
          <w:sz w:val="21"/>
          <w:szCs w:val="21"/>
        </w:rPr>
        <w:t>most residents are not receiving the amount of care the Royal Commission consider</w:t>
      </w:r>
      <w:r w:rsidR="7782308C" w:rsidRPr="4396B290">
        <w:rPr>
          <w:sz w:val="21"/>
          <w:szCs w:val="21"/>
        </w:rPr>
        <w:t>ed</w:t>
      </w:r>
      <w:r w:rsidR="61DE1829" w:rsidRPr="4396B290">
        <w:rPr>
          <w:sz w:val="21"/>
          <w:szCs w:val="21"/>
        </w:rPr>
        <w:t xml:space="preserve"> </w:t>
      </w:r>
      <w:r w:rsidR="375BE08E" w:rsidRPr="4396B290">
        <w:rPr>
          <w:sz w:val="21"/>
          <w:szCs w:val="21"/>
        </w:rPr>
        <w:t>necessary t</w:t>
      </w:r>
      <w:r w:rsidR="53093C1A" w:rsidRPr="4396B290">
        <w:rPr>
          <w:sz w:val="21"/>
          <w:szCs w:val="21"/>
        </w:rPr>
        <w:t>o support quality care</w:t>
      </w:r>
      <w:r w:rsidR="6C9F1240" w:rsidRPr="4396B290">
        <w:rPr>
          <w:sz w:val="21"/>
          <w:szCs w:val="21"/>
        </w:rPr>
        <w:t xml:space="preserve"> and that Government is providing substantial additional funding to providers</w:t>
      </w:r>
      <w:r w:rsidR="65E9C1D5" w:rsidRPr="4396B290">
        <w:rPr>
          <w:sz w:val="21"/>
          <w:szCs w:val="21"/>
        </w:rPr>
        <w:t xml:space="preserve"> for care that is in many cases not being delivered.</w:t>
      </w:r>
      <w:r w:rsidR="008F5F86" w:rsidRPr="4396B290">
        <w:rPr>
          <w:sz w:val="21"/>
          <w:szCs w:val="21"/>
        </w:rPr>
        <w:t xml:space="preserve"> </w:t>
      </w:r>
    </w:p>
    <w:p w14:paraId="480B8DDE" w14:textId="7B52FC2B" w:rsidR="00F86C58" w:rsidRPr="0082480B" w:rsidRDefault="1BF5288D" w:rsidP="3C3C4F3C">
      <w:pPr>
        <w:pBdr>
          <w:top w:val="single" w:sz="4" w:space="1" w:color="auto"/>
          <w:left w:val="single" w:sz="4" w:space="4" w:color="auto"/>
          <w:bottom w:val="single" w:sz="4" w:space="1" w:color="auto"/>
          <w:right w:val="single" w:sz="4" w:space="4" w:color="auto"/>
        </w:pBdr>
        <w:shd w:val="clear" w:color="auto" w:fill="D0EAED" w:themeFill="accent2" w:themeFillTint="33"/>
        <w:spacing w:before="120" w:after="60"/>
      </w:pPr>
      <w:r w:rsidRPr="4396B290">
        <w:rPr>
          <w:sz w:val="21"/>
          <w:szCs w:val="21"/>
        </w:rPr>
        <w:t xml:space="preserve">Compliance rates between different provider types (for-profit providers perform far worse than not-for-profit providers) and across different locations (metropolitan </w:t>
      </w:r>
      <w:r w:rsidR="005420E5">
        <w:rPr>
          <w:sz w:val="21"/>
          <w:szCs w:val="21"/>
        </w:rPr>
        <w:t>hom</w:t>
      </w:r>
      <w:r w:rsidRPr="4396B290">
        <w:rPr>
          <w:sz w:val="21"/>
          <w:szCs w:val="21"/>
        </w:rPr>
        <w:t xml:space="preserve">es perform worse than regional, rural and remote </w:t>
      </w:r>
      <w:r w:rsidR="00F50A2C">
        <w:rPr>
          <w:sz w:val="21"/>
          <w:szCs w:val="21"/>
        </w:rPr>
        <w:t>hom</w:t>
      </w:r>
      <w:r w:rsidRPr="4396B290">
        <w:rPr>
          <w:sz w:val="21"/>
          <w:szCs w:val="21"/>
        </w:rPr>
        <w:t>es) indicate that some providers appear to be making business decisions to not comply with care minutes requirements. Analysis of care income and expenses data from homes that met and did not meet their care minutes targets also show that those that did not meet their care minutes targets recorded substantially higher care profits than those that did. This means that those providers not meeting care minutes targets are in many cases benefitting financially from not doing so</w:t>
      </w:r>
      <w:r w:rsidR="1FF2263B" w:rsidRPr="4396B290">
        <w:rPr>
          <w:sz w:val="21"/>
          <w:szCs w:val="21"/>
        </w:rPr>
        <w:t>.</w:t>
      </w:r>
    </w:p>
    <w:p w14:paraId="6BC3B354" w14:textId="6E678E4B" w:rsidR="007125C1" w:rsidRDefault="08505A3A" w:rsidP="00C543B2">
      <w:pPr>
        <w:pStyle w:val="Paragraphtext"/>
      </w:pPr>
      <w:r>
        <w:t xml:space="preserve">The Royal Commission’s </w:t>
      </w:r>
      <w:r w:rsidR="00563218">
        <w:t>F</w:t>
      </w:r>
      <w:r>
        <w:t xml:space="preserve">inal </w:t>
      </w:r>
      <w:r w:rsidR="00563218">
        <w:t>R</w:t>
      </w:r>
      <w:r>
        <w:t>eport found that staffing levels within many residential aged care homes fell well short of good or even acceptable practice compromising the quality</w:t>
      </w:r>
      <w:r w:rsidR="4FCDD507">
        <w:t>-</w:t>
      </w:r>
      <w:r>
        <w:t>of</w:t>
      </w:r>
      <w:r w:rsidR="4FCDD507">
        <w:t>-</w:t>
      </w:r>
      <w:r>
        <w:t xml:space="preserve">care people living in these homes receive. </w:t>
      </w:r>
    </w:p>
    <w:p w14:paraId="760A6035" w14:textId="380B1073" w:rsidR="08505A3A" w:rsidRPr="00AA5972" w:rsidRDefault="3B46B71F" w:rsidP="00C543B2">
      <w:pPr>
        <w:pStyle w:val="Paragraphtext"/>
      </w:pPr>
      <w:r>
        <w:t>The Royal Commission identified that ‘</w:t>
      </w:r>
      <w:r w:rsidR="025E60C2">
        <w:t>t</w:t>
      </w:r>
      <w:r>
        <w:t xml:space="preserve">he introduction of the Aged </w:t>
      </w:r>
      <w:r w:rsidR="006672A9">
        <w:t xml:space="preserve">Care </w:t>
      </w:r>
      <w:r>
        <w:t xml:space="preserve">Act in 1997 removed the obligation </w:t>
      </w:r>
      <w:r w:rsidR="16F7F04F">
        <w:t xml:space="preserve">of providers to spend a dedicated portion </w:t>
      </w:r>
      <w:r w:rsidR="6E2D7745">
        <w:t xml:space="preserve">of their </w:t>
      </w:r>
      <w:r w:rsidR="00C031B9">
        <w:t>G</w:t>
      </w:r>
      <w:r w:rsidR="1D4B97C8">
        <w:t>o</w:t>
      </w:r>
      <w:r w:rsidR="6E2D7745">
        <w:t>vernment funding on direct care staffing’</w:t>
      </w:r>
      <w:r w:rsidR="34BCB71B">
        <w:t xml:space="preserve"> (p.129)</w:t>
      </w:r>
      <w:r w:rsidR="6E2D7745">
        <w:t xml:space="preserve"> which</w:t>
      </w:r>
      <w:r w:rsidR="56799876">
        <w:t xml:space="preserve"> meant</w:t>
      </w:r>
      <w:r w:rsidR="6E2D7745">
        <w:t xml:space="preserve"> </w:t>
      </w:r>
      <w:r w:rsidR="00493B4C">
        <w:t>that</w:t>
      </w:r>
      <w:r w:rsidR="6E2D7745">
        <w:t xml:space="preserve"> providers</w:t>
      </w:r>
      <w:r w:rsidR="2FB0FCC4">
        <w:t xml:space="preserve"> were </w:t>
      </w:r>
      <w:r w:rsidR="6E2D7745">
        <w:t xml:space="preserve">free to </w:t>
      </w:r>
      <w:r w:rsidR="00005537">
        <w:t>determine</w:t>
      </w:r>
      <w:r w:rsidR="6E2D7745">
        <w:t xml:space="preserve"> for themselves what staffing n</w:t>
      </w:r>
      <w:r w:rsidR="2FB0FCC4">
        <w:t xml:space="preserve">umbers were adequate and what skill </w:t>
      </w:r>
      <w:r w:rsidR="2BA515C1">
        <w:t>levels</w:t>
      </w:r>
      <w:r w:rsidR="5B9D0773">
        <w:t xml:space="preserve"> are appropriate</w:t>
      </w:r>
      <w:r w:rsidR="7F6EF15A">
        <w:t xml:space="preserve"> (p.129).</w:t>
      </w:r>
      <w:r w:rsidR="09C76B54">
        <w:t xml:space="preserve"> </w:t>
      </w:r>
      <w:r w:rsidR="1334F721">
        <w:t>T</w:t>
      </w:r>
      <w:r w:rsidR="59C82C6E">
        <w:t xml:space="preserve">he Royal Commission </w:t>
      </w:r>
      <w:r w:rsidR="1E549629">
        <w:t>also identified that</w:t>
      </w:r>
      <w:r w:rsidR="5E9D64CA">
        <w:t xml:space="preserve"> th</w:t>
      </w:r>
      <w:r w:rsidR="252380E6">
        <w:t>is</w:t>
      </w:r>
      <w:r w:rsidR="5E9D64CA">
        <w:t xml:space="preserve"> lack </w:t>
      </w:r>
      <w:r w:rsidR="15283BA3">
        <w:t xml:space="preserve">of </w:t>
      </w:r>
      <w:r w:rsidR="59C82C6E">
        <w:t xml:space="preserve">regulation </w:t>
      </w:r>
      <w:r w:rsidR="66599659">
        <w:t xml:space="preserve">has </w:t>
      </w:r>
      <w:r w:rsidR="691FD779">
        <w:t>resulted</w:t>
      </w:r>
      <w:r w:rsidR="66599659">
        <w:t xml:space="preserve"> in </w:t>
      </w:r>
      <w:r w:rsidR="7963690C">
        <w:t>‘</w:t>
      </w:r>
      <w:r w:rsidR="66599659">
        <w:t xml:space="preserve">providers </w:t>
      </w:r>
      <w:r w:rsidR="083E2673">
        <w:t xml:space="preserve">replacing </w:t>
      </w:r>
      <w:r w:rsidR="66599659">
        <w:t xml:space="preserve">higher paid and skilled nurses with lower </w:t>
      </w:r>
      <w:r w:rsidR="392CA129">
        <w:t>p</w:t>
      </w:r>
      <w:r w:rsidR="66599659">
        <w:t>aid and semi-skilled personal care workers</w:t>
      </w:r>
      <w:r w:rsidR="293A0FF2">
        <w:t>’</w:t>
      </w:r>
      <w:r w:rsidR="66599659">
        <w:t xml:space="preserve"> who are </w:t>
      </w:r>
      <w:r w:rsidR="71EFC5F2">
        <w:t>required to care for residents with increasing levels of acuity</w:t>
      </w:r>
      <w:r w:rsidR="384F86E2">
        <w:t xml:space="preserve"> </w:t>
      </w:r>
      <w:r w:rsidR="1ABB5C3A">
        <w:t>(p.129)</w:t>
      </w:r>
      <w:r w:rsidR="08505A3A" w:rsidRPr="7083F0C8">
        <w:rPr>
          <w:rStyle w:val="FootnoteReference"/>
        </w:rPr>
        <w:footnoteReference w:id="17"/>
      </w:r>
      <w:r w:rsidR="00314A0E" w:rsidRPr="00314A0E">
        <w:t xml:space="preserve"> </w:t>
      </w:r>
      <w:r w:rsidR="00314A0E">
        <w:t>which also increases pressure for staff</w:t>
      </w:r>
      <w:r w:rsidR="659FA50F" w:rsidRPr="00802810">
        <w:t>.</w:t>
      </w:r>
    </w:p>
    <w:p w14:paraId="0E176D44" w14:textId="0F697F3F" w:rsidR="08505A3A" w:rsidRDefault="08505A3A" w:rsidP="00C543B2">
      <w:pPr>
        <w:pStyle w:val="Paragraphtext"/>
      </w:pPr>
      <w:r w:rsidRPr="0082480B">
        <w:t xml:space="preserve">The Royal Commission concluded that the </w:t>
      </w:r>
      <w:r w:rsidR="357E565B">
        <w:t xml:space="preserve">‘status quo is unacceptable’ (p. 129) and the </w:t>
      </w:r>
      <w:r w:rsidRPr="0082480B">
        <w:t xml:space="preserve">evidence is compelling that overall staffing levels in aged care are linked to quality of care and that </w:t>
      </w:r>
      <w:r w:rsidR="37B84865" w:rsidRPr="7083F0C8">
        <w:t>the</w:t>
      </w:r>
      <w:r w:rsidRPr="7083F0C8">
        <w:t xml:space="preserve"> number </w:t>
      </w:r>
      <w:r w:rsidR="67805863" w:rsidRPr="7083F0C8">
        <w:t xml:space="preserve">of </w:t>
      </w:r>
      <w:r w:rsidR="00A113B2">
        <w:t>RNs</w:t>
      </w:r>
      <w:r w:rsidR="25B71AA7" w:rsidRPr="0082480B">
        <w:t xml:space="preserve"> </w:t>
      </w:r>
      <w:r w:rsidRPr="0082480B">
        <w:t>are particularly important</w:t>
      </w:r>
      <w:r w:rsidRPr="0082480B">
        <w:rPr>
          <w:rStyle w:val="FootnoteReference"/>
          <w:color w:val="auto"/>
        </w:rPr>
        <w:footnoteReference w:id="18"/>
      </w:r>
      <w:r w:rsidRPr="008A4E73">
        <w:rPr>
          <w:szCs w:val="21"/>
        </w:rPr>
        <w:t>.</w:t>
      </w:r>
      <w:r w:rsidRPr="0082480B">
        <w:t xml:space="preserve"> </w:t>
      </w:r>
      <w:r>
        <w:t>This finding is also supported by academic evidence</w:t>
      </w:r>
      <w:r w:rsidR="00B22D9A">
        <w:t xml:space="preserve"> which concludes </w:t>
      </w:r>
      <w:r w:rsidR="00E0039C">
        <w:t xml:space="preserve">that higher </w:t>
      </w:r>
      <w:r w:rsidR="00C83DFB">
        <w:t>RN</w:t>
      </w:r>
      <w:r w:rsidR="00B2204E">
        <w:t xml:space="preserve"> staff</w:t>
      </w:r>
      <w:r w:rsidR="00A53369">
        <w:t>ing</w:t>
      </w:r>
      <w:r w:rsidR="4D9B1D00">
        <w:t xml:space="preserve"> results in better quality of care</w:t>
      </w:r>
      <w:r w:rsidRPr="3C3C4F3C">
        <w:rPr>
          <w:rStyle w:val="FootnoteReference"/>
        </w:rPr>
        <w:footnoteReference w:id="19"/>
      </w:r>
      <w:r w:rsidR="19F18597" w:rsidRPr="00FD5418">
        <w:t>.</w:t>
      </w:r>
      <w:r w:rsidRPr="0082480B">
        <w:t xml:space="preserve"> As a result, the Royal Commission, in recommendation 86, recommended that Government require</w:t>
      </w:r>
      <w:r w:rsidR="25545A81" w:rsidRPr="0082480B">
        <w:t xml:space="preserve"> </w:t>
      </w:r>
      <w:r w:rsidRPr="7083F0C8">
        <w:t xml:space="preserve">providers to meet minimum staffing standards for RNs, </w:t>
      </w:r>
      <w:r w:rsidRPr="4CD2B3A5">
        <w:t>ENs</w:t>
      </w:r>
      <w:r w:rsidRPr="7083F0C8">
        <w:t xml:space="preserve"> and </w:t>
      </w:r>
      <w:r w:rsidRPr="4CD2B3A5">
        <w:t>PCWs</w:t>
      </w:r>
      <w:r w:rsidRPr="0082480B">
        <w:t>,</w:t>
      </w:r>
      <w:r w:rsidRPr="7083F0C8">
        <w:t xml:space="preserve"> and that these standards should be linked to a case-mix adjusted activity-based funding model (that is, the specific requirement for each</w:t>
      </w:r>
      <w:r w:rsidR="7660098A" w:rsidRPr="0082480B">
        <w:t xml:space="preserve"> </w:t>
      </w:r>
      <w:r w:rsidRPr="0082480B">
        <w:t>home’s care provision be linked to their residents’ needs). The intention of this recommendation was to lift quality of care to a consistent and acceptable standard across the sector</w:t>
      </w:r>
      <w:r w:rsidR="328AA006">
        <w:t>.</w:t>
      </w:r>
    </w:p>
    <w:p w14:paraId="20E68B20" w14:textId="15CAC5E4" w:rsidR="002B038D" w:rsidRPr="00B67B8A" w:rsidRDefault="00F86C58" w:rsidP="00402E0F">
      <w:pPr>
        <w:pStyle w:val="Paragraphtext"/>
      </w:pPr>
      <w:r>
        <w:t xml:space="preserve">The Government accepted this recommendation and </w:t>
      </w:r>
      <w:r w:rsidR="00011720">
        <w:t xml:space="preserve">implemented </w:t>
      </w:r>
      <w:r>
        <w:t xml:space="preserve">care minutes requirements over </w:t>
      </w:r>
      <w:r w:rsidR="1EC8755B">
        <w:t>3</w:t>
      </w:r>
      <w:r>
        <w:t xml:space="preserve"> stages:</w:t>
      </w:r>
    </w:p>
    <w:p w14:paraId="149A56BC" w14:textId="32A14DAD" w:rsidR="00F86C58" w:rsidRPr="00402E0F" w:rsidRDefault="4FC909E0" w:rsidP="00357BB0">
      <w:pPr>
        <w:pStyle w:val="Paragraphtext"/>
        <w:numPr>
          <w:ilvl w:val="0"/>
          <w:numId w:val="16"/>
        </w:numPr>
      </w:pPr>
      <w:r w:rsidRPr="793722D6">
        <w:t xml:space="preserve">From </w:t>
      </w:r>
      <w:r w:rsidR="00AB479A">
        <w:t xml:space="preserve">1 </w:t>
      </w:r>
      <w:r w:rsidRPr="793722D6">
        <w:t>October 2022 providers received additional funding to help them deliver an average of 200 total care minutes, including 40 RN minutes</w:t>
      </w:r>
      <w:r w:rsidR="005A5081">
        <w:t xml:space="preserve"> per </w:t>
      </w:r>
      <w:r w:rsidR="006C6EF1">
        <w:t>resident per day</w:t>
      </w:r>
      <w:r w:rsidRPr="793722D6">
        <w:t>.</w:t>
      </w:r>
      <w:r w:rsidR="2339B0AE" w:rsidRPr="00402E0F">
        <w:rPr>
          <w:szCs w:val="21"/>
        </w:rPr>
        <w:t xml:space="preserve"> </w:t>
      </w:r>
      <w:r w:rsidR="2339B0AE" w:rsidRPr="793722D6">
        <w:t xml:space="preserve">Each </w:t>
      </w:r>
      <w:r w:rsidR="578A2EF2" w:rsidRPr="793722D6">
        <w:t>home</w:t>
      </w:r>
      <w:r w:rsidR="2339B0AE" w:rsidRPr="793722D6">
        <w:t xml:space="preserve"> also received </w:t>
      </w:r>
      <w:r w:rsidR="35EA6484" w:rsidRPr="793722D6">
        <w:t xml:space="preserve">a </w:t>
      </w:r>
      <w:r w:rsidR="2339B0AE" w:rsidRPr="793722D6">
        <w:t>non</w:t>
      </w:r>
      <w:r w:rsidR="00A57242" w:rsidRPr="00402E0F">
        <w:rPr>
          <w:szCs w:val="21"/>
        </w:rPr>
        <w:noBreakHyphen/>
      </w:r>
      <w:r w:rsidRPr="793722D6">
        <w:t>mandatory total and RN targets from this time</w:t>
      </w:r>
      <w:r w:rsidR="008C4DDD">
        <w:t xml:space="preserve"> and </w:t>
      </w:r>
      <w:r w:rsidR="008C4DDD" w:rsidRPr="4DE75EC6">
        <w:t>their</w:t>
      </w:r>
      <w:r w:rsidR="05658AFA" w:rsidRPr="793722D6">
        <w:t xml:space="preserve"> </w:t>
      </w:r>
      <w:r w:rsidR="05658AFA" w:rsidRPr="793722D6">
        <w:lastRenderedPageBreak/>
        <w:t xml:space="preserve">performance against their care minutes targets was measured and published as part of the </w:t>
      </w:r>
      <w:r w:rsidR="39998E9D" w:rsidRPr="793722D6">
        <w:t>S</w:t>
      </w:r>
      <w:r w:rsidR="05658AFA" w:rsidRPr="793722D6">
        <w:t>taffing</w:t>
      </w:r>
      <w:r w:rsidR="440248AB" w:rsidRPr="793722D6">
        <w:t xml:space="preserve"> Rating for</w:t>
      </w:r>
      <w:r w:rsidR="05658AFA" w:rsidRPr="793722D6">
        <w:t xml:space="preserve"> </w:t>
      </w:r>
      <w:r w:rsidR="00A86919">
        <w:t>S</w:t>
      </w:r>
      <w:r w:rsidR="05658AFA">
        <w:t xml:space="preserve">tar </w:t>
      </w:r>
      <w:r w:rsidR="00A86919">
        <w:t>R</w:t>
      </w:r>
      <w:r w:rsidR="05658AFA">
        <w:t>atings</w:t>
      </w:r>
      <w:r w:rsidR="05658AFA" w:rsidRPr="793722D6">
        <w:t>.</w:t>
      </w:r>
    </w:p>
    <w:p w14:paraId="214CE384" w14:textId="1F166C02" w:rsidR="00F86C58" w:rsidRPr="00402E0F" w:rsidRDefault="00F86C58" w:rsidP="007702DE">
      <w:pPr>
        <w:pStyle w:val="Paragraphtext"/>
        <w:numPr>
          <w:ilvl w:val="0"/>
          <w:numId w:val="16"/>
        </w:numPr>
      </w:pPr>
      <w:r w:rsidRPr="4DE75EC6">
        <w:t xml:space="preserve">From </w:t>
      </w:r>
      <w:r w:rsidR="00AB479A">
        <w:t xml:space="preserve">1 </w:t>
      </w:r>
      <w:r w:rsidRPr="4DE75EC6">
        <w:t xml:space="preserve">October 2023 </w:t>
      </w:r>
      <w:r w:rsidR="00897B18" w:rsidRPr="4DE75EC6">
        <w:t>t</w:t>
      </w:r>
      <w:r w:rsidR="00011720" w:rsidRPr="4DE75EC6">
        <w:t>he care minute</w:t>
      </w:r>
      <w:r w:rsidR="00897B18" w:rsidRPr="4DE75EC6">
        <w:t xml:space="preserve"> responsibility was legislated, with each </w:t>
      </w:r>
      <w:r w:rsidR="003D66FD" w:rsidRPr="4DE75EC6">
        <w:t>home</w:t>
      </w:r>
      <w:r w:rsidR="00897B18" w:rsidRPr="4DE75EC6">
        <w:t xml:space="preserve"> required by law to meet their</w:t>
      </w:r>
      <w:r w:rsidR="00011720" w:rsidRPr="4DE75EC6">
        <w:t xml:space="preserve"> specific</w:t>
      </w:r>
      <w:r w:rsidR="00897B18" w:rsidRPr="4DE75EC6">
        <w:t xml:space="preserve"> care minute</w:t>
      </w:r>
      <w:r w:rsidR="00FB29C1">
        <w:t>s</w:t>
      </w:r>
      <w:r w:rsidR="00897B18" w:rsidRPr="4DE75EC6">
        <w:t xml:space="preserve"> targets. </w:t>
      </w:r>
      <w:r w:rsidR="00011720" w:rsidRPr="4DE75EC6">
        <w:t xml:space="preserve">While these targets differ by </w:t>
      </w:r>
      <w:r w:rsidR="003C5E77" w:rsidRPr="4DE75EC6">
        <w:t>home</w:t>
      </w:r>
      <w:r w:rsidR="00011720" w:rsidRPr="4DE75EC6">
        <w:t xml:space="preserve"> based on residents</w:t>
      </w:r>
      <w:r w:rsidR="00187069">
        <w:t>’</w:t>
      </w:r>
      <w:r w:rsidR="00011720" w:rsidRPr="4DE75EC6">
        <w:t xml:space="preserve"> needs (as </w:t>
      </w:r>
      <w:r w:rsidR="006A74A3" w:rsidRPr="4DE75EC6">
        <w:t xml:space="preserve">determined </w:t>
      </w:r>
      <w:r w:rsidR="00011720" w:rsidRPr="4DE75EC6">
        <w:t>by AN</w:t>
      </w:r>
      <w:r w:rsidR="7A67D253" w:rsidRPr="4DE75EC6">
        <w:t>-</w:t>
      </w:r>
      <w:r w:rsidR="00011720" w:rsidRPr="4DE75EC6">
        <w:t xml:space="preserve">ACC classifications) they were based on a </w:t>
      </w:r>
      <w:r w:rsidR="00897B18" w:rsidRPr="4DE75EC6">
        <w:t>sector average of 200 total care minutes, including 40 RN minutes</w:t>
      </w:r>
      <w:r w:rsidR="002D6E6A">
        <w:t xml:space="preserve"> per resident per day</w:t>
      </w:r>
      <w:r w:rsidR="00011720" w:rsidRPr="007702DE">
        <w:rPr>
          <w:szCs w:val="21"/>
        </w:rPr>
        <w:t>.</w:t>
      </w:r>
    </w:p>
    <w:p w14:paraId="31AEFB65" w14:textId="14BD36AD" w:rsidR="00897B18" w:rsidRPr="00402E0F" w:rsidRDefault="12F609BE" w:rsidP="00357BB0">
      <w:pPr>
        <w:pStyle w:val="Paragraphtext"/>
        <w:numPr>
          <w:ilvl w:val="0"/>
          <w:numId w:val="16"/>
        </w:numPr>
        <w:ind w:left="714" w:hanging="357"/>
      </w:pPr>
      <w:r>
        <w:t xml:space="preserve">From October 2024 the legislated care minutes increased to a sector average of 215 total </w:t>
      </w:r>
      <w:r w:rsidR="1443292E">
        <w:t>m</w:t>
      </w:r>
      <w:r>
        <w:t xml:space="preserve">inutes including 44 RN minutes </w:t>
      </w:r>
      <w:r w:rsidR="006322EE">
        <w:t xml:space="preserve">per resident per day </w:t>
      </w:r>
      <w:r>
        <w:t>(of which up to 10% can be met by an EN</w:t>
      </w:r>
      <w:r w:rsidR="372574C9">
        <w:t>)</w:t>
      </w:r>
      <w:r w:rsidR="361A8098">
        <w:t>.</w:t>
      </w:r>
    </w:p>
    <w:p w14:paraId="0ABC2B5C" w14:textId="4168817E" w:rsidR="00826110" w:rsidRPr="003A5ADF" w:rsidRDefault="005E4373" w:rsidP="003A5ADF">
      <w:pPr>
        <w:pStyle w:val="Paragraphtext"/>
      </w:pPr>
      <w:r>
        <w:t xml:space="preserve">The </w:t>
      </w:r>
      <w:r w:rsidR="00897B18" w:rsidRPr="003A5ADF">
        <w:t>Government also recognised the need to increase the wages of aged care workers</w:t>
      </w:r>
      <w:r w:rsidR="00F92E33" w:rsidRPr="003A5ADF">
        <w:t xml:space="preserve"> to</w:t>
      </w:r>
      <w:r w:rsidR="00453506" w:rsidRPr="003A5ADF">
        <w:t xml:space="preserve"> attract more workers to the sector and</w:t>
      </w:r>
      <w:r w:rsidR="00897B18" w:rsidRPr="003A5ADF">
        <w:t xml:space="preserve"> </w:t>
      </w:r>
      <w:r w:rsidR="002D71AC" w:rsidRPr="003A5ADF">
        <w:t>supported and funded</w:t>
      </w:r>
      <w:r w:rsidR="00897B18" w:rsidRPr="003A5ADF">
        <w:t xml:space="preserve"> the</w:t>
      </w:r>
      <w:r w:rsidR="007879FA" w:rsidRPr="003A5ADF">
        <w:t xml:space="preserve"> </w:t>
      </w:r>
      <w:r w:rsidR="00B06888">
        <w:t>Fair Work Commission</w:t>
      </w:r>
      <w:r w:rsidR="000E116F">
        <w:t xml:space="preserve"> (</w:t>
      </w:r>
      <w:r w:rsidR="007879FA" w:rsidRPr="003A5ADF">
        <w:t>FWC</w:t>
      </w:r>
      <w:r w:rsidR="000E116F">
        <w:t>)</w:t>
      </w:r>
      <w:r w:rsidR="007879FA" w:rsidRPr="003A5ADF">
        <w:t xml:space="preserve"> </w:t>
      </w:r>
      <w:r w:rsidR="00897B18" w:rsidRPr="003A5ADF">
        <w:t xml:space="preserve">Aged Care Work Value </w:t>
      </w:r>
      <w:r w:rsidR="00865C50">
        <w:t>C</w:t>
      </w:r>
      <w:r w:rsidR="00897B18" w:rsidRPr="003A5ADF">
        <w:t>ase</w:t>
      </w:r>
      <w:r w:rsidR="000177CA" w:rsidRPr="003A5ADF">
        <w:t xml:space="preserve"> wage increases</w:t>
      </w:r>
      <w:r w:rsidR="0011662C" w:rsidRPr="003A5ADF">
        <w:t xml:space="preserve">. RNs, ENs and PCWs/AINs were awarded a 15% wage increase </w:t>
      </w:r>
      <w:r w:rsidR="00EC1830" w:rsidRPr="003A5ADF">
        <w:t>from</w:t>
      </w:r>
      <w:r w:rsidR="0011662C" w:rsidRPr="003A5ADF">
        <w:t xml:space="preserve"> 1 July 2023</w:t>
      </w:r>
      <w:r w:rsidR="00826110" w:rsidRPr="003A5ADF">
        <w:t>, with further increases</w:t>
      </w:r>
      <w:r w:rsidR="009C2344" w:rsidRPr="003A5ADF">
        <w:t xml:space="preserve"> for </w:t>
      </w:r>
      <w:r w:rsidR="00B95738" w:rsidRPr="003A5ADF">
        <w:t>PCWs</w:t>
      </w:r>
      <w:r w:rsidR="00F07C30" w:rsidRPr="003A5ADF">
        <w:t>/AINs</w:t>
      </w:r>
      <w:r w:rsidR="009D7D93" w:rsidRPr="003A5ADF">
        <w:t xml:space="preserve"> </w:t>
      </w:r>
      <w:r w:rsidR="009A4B15" w:rsidRPr="003A5ADF">
        <w:t>on</w:t>
      </w:r>
      <w:r w:rsidR="009D7D93" w:rsidRPr="003A5ADF">
        <w:t xml:space="preserve"> 1 January 2025</w:t>
      </w:r>
      <w:r w:rsidR="009A4B15" w:rsidRPr="003A5ADF">
        <w:t xml:space="preserve"> </w:t>
      </w:r>
      <w:r w:rsidR="00F07C30" w:rsidRPr="003A5ADF">
        <w:t xml:space="preserve">and </w:t>
      </w:r>
      <w:r w:rsidR="009A4B15" w:rsidRPr="003A5ADF">
        <w:t>1</w:t>
      </w:r>
      <w:r w:rsidR="00F70097" w:rsidRPr="003A5ADF">
        <w:t> </w:t>
      </w:r>
      <w:r w:rsidR="009A4B15" w:rsidRPr="003A5ADF">
        <w:t>October 2025</w:t>
      </w:r>
      <w:r w:rsidR="73266AEC">
        <w:t>,</w:t>
      </w:r>
      <w:r w:rsidR="00F07C30" w:rsidRPr="003A5ADF">
        <w:t xml:space="preserve"> and for RNs and ENs on 1 March 2025</w:t>
      </w:r>
      <w:r w:rsidR="002D0A8A" w:rsidRPr="003A5ADF">
        <w:t xml:space="preserve">, 1 </w:t>
      </w:r>
      <w:r w:rsidR="00D56909" w:rsidRPr="003A5ADF">
        <w:t>October</w:t>
      </w:r>
      <w:r w:rsidR="002D0A8A" w:rsidRPr="003A5ADF">
        <w:t xml:space="preserve"> 202</w:t>
      </w:r>
      <w:r w:rsidR="00D56909" w:rsidRPr="003A5ADF">
        <w:t>5 and 1 August 2026.</w:t>
      </w:r>
    </w:p>
    <w:p w14:paraId="6954B333" w14:textId="7032BB82" w:rsidR="00897B18" w:rsidRPr="003A5ADF" w:rsidRDefault="00826110" w:rsidP="003A5ADF">
      <w:pPr>
        <w:pStyle w:val="Paragraphtext"/>
      </w:pPr>
      <w:r w:rsidRPr="003A5ADF">
        <w:t xml:space="preserve">The funding of wage </w:t>
      </w:r>
      <w:r w:rsidR="001A7D78" w:rsidRPr="003A5ADF">
        <w:t>rises</w:t>
      </w:r>
      <w:r w:rsidRPr="003A5ADF">
        <w:t xml:space="preserve"> and increases in care minutes </w:t>
      </w:r>
      <w:r w:rsidR="00DB59CE">
        <w:t xml:space="preserve">requirements </w:t>
      </w:r>
      <w:r w:rsidRPr="003A5ADF">
        <w:t xml:space="preserve">has led to substantial </w:t>
      </w:r>
      <w:r w:rsidR="004D395B">
        <w:t xml:space="preserve">Government </w:t>
      </w:r>
      <w:r w:rsidRPr="003A5ADF">
        <w:t>funding increases each year, with</w:t>
      </w:r>
      <w:r w:rsidR="00054FBB">
        <w:t xml:space="preserve"> average per resident per day</w:t>
      </w:r>
      <w:r w:rsidRPr="003A5ADF">
        <w:t xml:space="preserve"> care funding now a</w:t>
      </w:r>
      <w:r w:rsidR="003572DE">
        <w:t>pproximately</w:t>
      </w:r>
      <w:r w:rsidRPr="003A5ADF">
        <w:t xml:space="preserve"> </w:t>
      </w:r>
      <w:r w:rsidR="009E4FA1">
        <w:t>60</w:t>
      </w:r>
      <w:r w:rsidRPr="003A5ADF">
        <w:t xml:space="preserve">% higher than it was in September 2022. Chart </w:t>
      </w:r>
      <w:r w:rsidR="00803775" w:rsidRPr="003A5ADF">
        <w:t>1</w:t>
      </w:r>
      <w:r w:rsidRPr="003A5ADF">
        <w:t xml:space="preserve"> below shows the progression of care funding in nominal dollars over recent years</w:t>
      </w:r>
      <w:r w:rsidR="00FA4DCE">
        <w:t>, with rapid funding increases commencing from 2022-</w:t>
      </w:r>
      <w:r w:rsidR="00CA44C2">
        <w:t>23.</w:t>
      </w:r>
    </w:p>
    <w:p w14:paraId="7CECF884" w14:textId="0F55EC12" w:rsidR="00E67CEC" w:rsidRDefault="00803775">
      <w:pPr>
        <w:pStyle w:val="TableTitle"/>
      </w:pPr>
      <w:r>
        <w:t xml:space="preserve">Chart </w:t>
      </w:r>
      <w:r w:rsidRPr="003A5B42">
        <w:t>1</w:t>
      </w:r>
      <w:r>
        <w:t xml:space="preserve">: </w:t>
      </w:r>
      <w:r w:rsidR="00431130">
        <w:t>Average per resident per day care funding</w:t>
      </w:r>
    </w:p>
    <w:p w14:paraId="32AA2076" w14:textId="07D0825B" w:rsidR="00027726" w:rsidRDefault="002A2BB9">
      <w:pPr>
        <w:pStyle w:val="TableTitle"/>
        <w:rPr>
          <w:sz w:val="16"/>
          <w:szCs w:val="16"/>
        </w:rPr>
      </w:pPr>
      <w:r w:rsidRPr="002A2BB9">
        <w:rPr>
          <w:noProof/>
          <w:sz w:val="16"/>
          <w:szCs w:val="16"/>
          <w:lang w:val="en-AU" w:eastAsia="en-AU"/>
        </w:rPr>
        <w:drawing>
          <wp:inline distT="0" distB="0" distL="0" distR="0" wp14:anchorId="65258BF6" wp14:editId="1FE2D655">
            <wp:extent cx="5759450" cy="2504440"/>
            <wp:effectExtent l="0" t="0" r="0" b="0"/>
            <wp:docPr id="1772350532" name="Picture 1" descr="Chart 1: Average per resident per day care funding from 2017-18 under the ACFI funding model until October 2024 under the AN-ACC funding model shows increased expenditur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50532" name="Picture 1" descr="Chart 1: Average per resident per day care funding from 2017-18 under the ACFI funding model until October 2024 under the AN-ACC funding model shows increased expenditure over time."/>
                    <pic:cNvPicPr/>
                  </pic:nvPicPr>
                  <pic:blipFill>
                    <a:blip r:embed="rId15"/>
                    <a:stretch>
                      <a:fillRect/>
                    </a:stretch>
                  </pic:blipFill>
                  <pic:spPr>
                    <a:xfrm>
                      <a:off x="0" y="0"/>
                      <a:ext cx="5759450" cy="2504440"/>
                    </a:xfrm>
                    <a:prstGeom prst="rect">
                      <a:avLst/>
                    </a:prstGeom>
                  </pic:spPr>
                </pic:pic>
              </a:graphicData>
            </a:graphic>
          </wp:inline>
        </w:drawing>
      </w:r>
    </w:p>
    <w:p w14:paraId="0CB45E94" w14:textId="03D08094" w:rsidR="00556E57" w:rsidRPr="001A7D78" w:rsidRDefault="00803775" w:rsidP="00150F04">
      <w:pPr>
        <w:pStyle w:val="Tabletextleft"/>
      </w:pPr>
      <w:r w:rsidRPr="001A7D78">
        <w:t>Source: Department of Health</w:t>
      </w:r>
      <w:r w:rsidR="008F4675">
        <w:t xml:space="preserve">, </w:t>
      </w:r>
      <w:r w:rsidR="00832227">
        <w:t>D</w:t>
      </w:r>
      <w:r w:rsidR="008F4675">
        <w:t>isability</w:t>
      </w:r>
      <w:r w:rsidRPr="001A7D78">
        <w:t xml:space="preserve"> and Ag</w:t>
      </w:r>
      <w:r w:rsidR="00832227">
        <w:t>ing</w:t>
      </w:r>
      <w:r w:rsidR="00E65EAC">
        <w:t xml:space="preserve"> (</w:t>
      </w:r>
      <w:r w:rsidR="00B348CA">
        <w:t>DoHDA)</w:t>
      </w:r>
      <w:r w:rsidR="00556E57" w:rsidRPr="001A7D78">
        <w:t>.</w:t>
      </w:r>
    </w:p>
    <w:p w14:paraId="012C3A8C" w14:textId="727BAD18" w:rsidR="006A4347" w:rsidRDefault="00556E57" w:rsidP="00017D22">
      <w:pPr>
        <w:pStyle w:val="Tabletextleft"/>
      </w:pPr>
      <w:r w:rsidRPr="193D1534">
        <w:t>Notes: Based on average Aged Care Funding Instrument</w:t>
      </w:r>
      <w:r w:rsidR="00DE47E5" w:rsidRPr="193D1534">
        <w:t xml:space="preserve"> (ACFI)</w:t>
      </w:r>
      <w:r w:rsidRPr="193D1534">
        <w:t xml:space="preserve"> funding until September 2022 and average AN-ACC funding from October 2022 onwards. October 2024 is an estimate</w:t>
      </w:r>
      <w:r w:rsidR="00762661" w:rsidRPr="193D1534">
        <w:t xml:space="preserve"> </w:t>
      </w:r>
      <w:r w:rsidR="005E17B4" w:rsidRPr="193D1534">
        <w:t xml:space="preserve">based </w:t>
      </w:r>
      <w:r w:rsidR="00400464" w:rsidRPr="193D1534">
        <w:t xml:space="preserve">on projected </w:t>
      </w:r>
      <w:r w:rsidR="00762661" w:rsidRPr="193D1534">
        <w:t xml:space="preserve">average </w:t>
      </w:r>
      <w:r w:rsidR="000750F4">
        <w:t>AN-ACC classifications</w:t>
      </w:r>
      <w:r w:rsidR="00725492" w:rsidRPr="193D1534">
        <w:t xml:space="preserve"> of </w:t>
      </w:r>
      <w:r w:rsidR="005E17B4" w:rsidRPr="193D1534">
        <w:t>residents in car</w:t>
      </w:r>
      <w:r w:rsidR="00400464" w:rsidRPr="193D1534">
        <w:t>e</w:t>
      </w:r>
      <w:r w:rsidRPr="193D1534">
        <w:t>.</w:t>
      </w:r>
    </w:p>
    <w:p w14:paraId="6CFC51E2" w14:textId="79A0CACE" w:rsidR="00963E4E" w:rsidRDefault="589C96C4" w:rsidP="003A5ADF">
      <w:pPr>
        <w:pStyle w:val="Paragraphtext"/>
      </w:pPr>
      <w:r w:rsidRPr="00CF48BA">
        <w:t>At the sector average level</w:t>
      </w:r>
      <w:r w:rsidR="6A1D330C" w:rsidRPr="00CF48BA">
        <w:t>,</w:t>
      </w:r>
      <w:r w:rsidR="580798ED">
        <w:t xml:space="preserve"> </w:t>
      </w:r>
      <w:r w:rsidRPr="00CF48BA">
        <w:t>care</w:t>
      </w:r>
      <w:r w:rsidRPr="51365D77">
        <w:t xml:space="preserve"> minutes increased </w:t>
      </w:r>
      <w:r w:rsidR="5F0932D9">
        <w:t>to 212.90</w:t>
      </w:r>
      <w:r w:rsidR="0088665F" w:rsidRPr="51365D77">
        <w:t xml:space="preserve"> total minutes </w:t>
      </w:r>
      <w:r w:rsidR="5F0932D9">
        <w:t>including</w:t>
      </w:r>
      <w:r w:rsidR="5F0932D9" w:rsidRPr="00AF5366">
        <w:t xml:space="preserve"> </w:t>
      </w:r>
      <w:r w:rsidR="0088665F" w:rsidRPr="00AF5366">
        <w:t>4</w:t>
      </w:r>
      <w:r w:rsidR="5F0932D9" w:rsidRPr="0012120B">
        <w:t>5.88</w:t>
      </w:r>
      <w:r w:rsidR="6C86EEB0">
        <w:t> </w:t>
      </w:r>
      <w:r w:rsidR="0088665F" w:rsidRPr="00AF5366">
        <w:t>RN minutes</w:t>
      </w:r>
      <w:r w:rsidR="5F0932D9">
        <w:t xml:space="preserve"> per resident per day</w:t>
      </w:r>
      <w:r w:rsidR="0088665F" w:rsidRPr="00AF5366">
        <w:t xml:space="preserve"> </w:t>
      </w:r>
      <w:r w:rsidR="007C7979">
        <w:t xml:space="preserve">by </w:t>
      </w:r>
      <w:r w:rsidR="2AA07457" w:rsidRPr="51365D77">
        <w:t>Q</w:t>
      </w:r>
      <w:r w:rsidR="5F0932D9">
        <w:t>2</w:t>
      </w:r>
      <w:r w:rsidR="007C7979">
        <w:t xml:space="preserve"> of</w:t>
      </w:r>
      <w:r w:rsidR="2AA07457" w:rsidRPr="51365D77">
        <w:t xml:space="preserve"> 2024-25</w:t>
      </w:r>
      <w:r w:rsidR="5F0932D9">
        <w:t xml:space="preserve"> compared to</w:t>
      </w:r>
      <w:r w:rsidR="455D64BF">
        <w:t xml:space="preserve"> sector average</w:t>
      </w:r>
      <w:r w:rsidR="5F0932D9">
        <w:t xml:space="preserve"> targets of 215 total minutes and 44 RN minutes</w:t>
      </w:r>
      <w:r w:rsidR="000713E3">
        <w:rPr>
          <w:rStyle w:val="FootnoteReference"/>
        </w:rPr>
        <w:footnoteReference w:id="20"/>
      </w:r>
      <w:r w:rsidR="001553A8">
        <w:t>.</w:t>
      </w:r>
    </w:p>
    <w:p w14:paraId="3C0BFE5A" w14:textId="3A3A5AB3" w:rsidR="00B70DFB" w:rsidRPr="00882AE4" w:rsidRDefault="0079550A" w:rsidP="00882AE4">
      <w:pPr>
        <w:pStyle w:val="Paragraphtext"/>
      </w:pPr>
      <w:r>
        <w:lastRenderedPageBreak/>
        <w:t xml:space="preserve">However, the </w:t>
      </w:r>
      <w:r w:rsidR="00F0087E">
        <w:t>sector average performance mask</w:t>
      </w:r>
      <w:r w:rsidR="00B82595">
        <w:t>s</w:t>
      </w:r>
      <w:r w:rsidR="00AF5366">
        <w:t xml:space="preserve"> low overall compliance with</w:t>
      </w:r>
      <w:r w:rsidR="00F45F97">
        <w:t xml:space="preserve"> the care minutes responsibility</w:t>
      </w:r>
      <w:r w:rsidR="00B82595">
        <w:t xml:space="preserve"> at the </w:t>
      </w:r>
      <w:r w:rsidR="004627FC">
        <w:t>home</w:t>
      </w:r>
      <w:r w:rsidR="00B82595">
        <w:t xml:space="preserve"> level.</w:t>
      </w:r>
      <w:r w:rsidR="00370234">
        <w:t xml:space="preserve"> In Q2 of 2024-25 o</w:t>
      </w:r>
      <w:r w:rsidR="0065115A">
        <w:t xml:space="preserve">nly </w:t>
      </w:r>
      <w:r w:rsidR="00F45F97">
        <w:t>37.4</w:t>
      </w:r>
      <w:r w:rsidR="0065115A">
        <w:t xml:space="preserve">% of </w:t>
      </w:r>
      <w:r w:rsidR="004627FC">
        <w:t>home</w:t>
      </w:r>
      <w:r w:rsidR="0065115A">
        <w:t>s me</w:t>
      </w:r>
      <w:r w:rsidR="00CF4D16">
        <w:t>t</w:t>
      </w:r>
      <w:r w:rsidR="0065115A">
        <w:t xml:space="preserve"> both their total </w:t>
      </w:r>
      <w:r w:rsidR="00A151F1">
        <w:t xml:space="preserve">care minutes </w:t>
      </w:r>
      <w:r w:rsidR="0065115A">
        <w:t>and RN targets</w:t>
      </w:r>
      <w:r w:rsidR="0060180C">
        <w:t xml:space="preserve">. </w:t>
      </w:r>
      <w:r w:rsidR="00FB3AAA">
        <w:t>Although t</w:t>
      </w:r>
      <w:r w:rsidR="0060180C">
        <w:t xml:space="preserve">hese figures were </w:t>
      </w:r>
      <w:r w:rsidR="00FB3AAA">
        <w:t xml:space="preserve">impacted </w:t>
      </w:r>
      <w:r w:rsidR="0060180C">
        <w:t>by the</w:t>
      </w:r>
      <w:r w:rsidR="0005234D">
        <w:t xml:space="preserve"> increased care minutes requirements introduced on </w:t>
      </w:r>
      <w:r w:rsidR="00A54303">
        <w:t>1 October 2024</w:t>
      </w:r>
      <w:r w:rsidR="0060180C">
        <w:t>, the previo</w:t>
      </w:r>
      <w:r w:rsidR="004D3851">
        <w:t>us quarter</w:t>
      </w:r>
      <w:r w:rsidR="00AD0B82">
        <w:t>’</w:t>
      </w:r>
      <w:r w:rsidR="004D3851">
        <w:t>s (</w:t>
      </w:r>
      <w:r w:rsidR="00B50C63">
        <w:t xml:space="preserve">Q1 of </w:t>
      </w:r>
      <w:r w:rsidR="004D3851">
        <w:t xml:space="preserve">2024-25) </w:t>
      </w:r>
      <w:r w:rsidR="00FB11E0">
        <w:t xml:space="preserve">compliance levels were </w:t>
      </w:r>
      <w:r w:rsidR="005010CB">
        <w:t xml:space="preserve">still unacceptably low with only 45% of </w:t>
      </w:r>
      <w:r w:rsidR="008240B1">
        <w:t>homes meeting both their care minutes and RN targets</w:t>
      </w:r>
      <w:r w:rsidR="00AB479A">
        <w:t xml:space="preserve"> </w:t>
      </w:r>
      <w:r w:rsidR="00BF52BA">
        <w:t>(see chart 2)</w:t>
      </w:r>
      <w:r w:rsidR="00122E9D">
        <w:t xml:space="preserve">. The </w:t>
      </w:r>
      <w:r w:rsidR="00A07AD5">
        <w:t>size</w:t>
      </w:r>
      <w:r w:rsidR="00122E9D">
        <w:t xml:space="preserve"> of this non</w:t>
      </w:r>
      <w:r w:rsidR="00CF4D16">
        <w:t>-</w:t>
      </w:r>
      <w:r w:rsidR="00122E9D">
        <w:t>compliance is also quite significant</w:t>
      </w:r>
      <w:r w:rsidR="00370234">
        <w:t xml:space="preserve"> with </w:t>
      </w:r>
      <w:r w:rsidR="004023D8">
        <w:t>a</w:t>
      </w:r>
      <w:r w:rsidR="16DC1B50">
        <w:t>pproximately</w:t>
      </w:r>
      <w:r w:rsidR="004023D8">
        <w:t xml:space="preserve"> </w:t>
      </w:r>
      <w:r w:rsidR="00A55247">
        <w:t>3</w:t>
      </w:r>
      <w:r w:rsidR="004023D8">
        <w:t>0</w:t>
      </w:r>
      <w:r w:rsidR="00122E9D">
        <w:t xml:space="preserve">% of </w:t>
      </w:r>
      <w:r w:rsidR="00902DDE">
        <w:t>homes</w:t>
      </w:r>
      <w:r w:rsidR="00122E9D">
        <w:t xml:space="preserve"> </w:t>
      </w:r>
      <w:r w:rsidR="7AA9935D">
        <w:t xml:space="preserve">being </w:t>
      </w:r>
      <w:r w:rsidR="5CA88047" w:rsidRPr="1971CDEF">
        <w:rPr>
          <w:rFonts w:eastAsia="Arial" w:cs="Arial"/>
          <w:sz w:val="22"/>
          <w:szCs w:val="22"/>
        </w:rPr>
        <w:t>between 5 and 10 minutes per resident per day away from their total care minutes target</w:t>
      </w:r>
      <w:r w:rsidR="5B79FC3A" w:rsidRPr="1971CDEF">
        <w:rPr>
          <w:rFonts w:eastAsia="Arial" w:cs="Arial"/>
          <w:sz w:val="22"/>
          <w:szCs w:val="22"/>
        </w:rPr>
        <w:t>s</w:t>
      </w:r>
      <w:r w:rsidR="5CA88047" w:rsidRPr="1971CDEF">
        <w:rPr>
          <w:rFonts w:eastAsia="Arial" w:cs="Arial"/>
          <w:sz w:val="22"/>
          <w:szCs w:val="22"/>
        </w:rPr>
        <w:t xml:space="preserve"> and 22% of homes </w:t>
      </w:r>
      <w:r w:rsidR="00122E9D">
        <w:t xml:space="preserve">more than 10 minutes per resident per day away </w:t>
      </w:r>
      <w:r w:rsidR="002A3BD4">
        <w:t xml:space="preserve">from achieving </w:t>
      </w:r>
      <w:r w:rsidR="00122E9D">
        <w:t xml:space="preserve">their </w:t>
      </w:r>
      <w:r w:rsidR="00692D35">
        <w:t>total care minutes</w:t>
      </w:r>
      <w:r w:rsidR="00122E9D">
        <w:t xml:space="preserve"> targets</w:t>
      </w:r>
      <w:r w:rsidR="73349CF9">
        <w:t>. In addition</w:t>
      </w:r>
      <w:r w:rsidR="57E2D647">
        <w:t>,</w:t>
      </w:r>
      <w:r w:rsidR="127C87BD">
        <w:t xml:space="preserve"> approximately</w:t>
      </w:r>
      <w:r w:rsidR="004023D8">
        <w:t xml:space="preserve"> 1</w:t>
      </w:r>
      <w:r w:rsidR="00B55E7D">
        <w:t>2</w:t>
      </w:r>
      <w:r w:rsidR="00A07AD5">
        <w:t xml:space="preserve">% of </w:t>
      </w:r>
      <w:r w:rsidR="00641672">
        <w:t>home</w:t>
      </w:r>
      <w:r w:rsidR="00A07AD5">
        <w:t>s are more than 5</w:t>
      </w:r>
      <w:r w:rsidR="000750F4">
        <w:t> </w:t>
      </w:r>
      <w:r w:rsidR="00A07AD5">
        <w:t xml:space="preserve">minutes per resident per day away from </w:t>
      </w:r>
      <w:r w:rsidR="002A3BD4">
        <w:t>achieving</w:t>
      </w:r>
      <w:r w:rsidR="00A07AD5">
        <w:t xml:space="preserve"> their RN target</w:t>
      </w:r>
      <w:r w:rsidR="00947828">
        <w:t xml:space="preserve">. </w:t>
      </w:r>
    </w:p>
    <w:p w14:paraId="486B6680" w14:textId="1E6811FE" w:rsidR="003D2166" w:rsidRPr="0055217A" w:rsidRDefault="00122E9D" w:rsidP="003A5ADF">
      <w:pPr>
        <w:pStyle w:val="Paragraphtext"/>
      </w:pPr>
      <w:r>
        <w:t>Th</w:t>
      </w:r>
      <w:r w:rsidR="006E5747">
        <w:t>ese figures</w:t>
      </w:r>
      <w:r>
        <w:t xml:space="preserve"> </w:t>
      </w:r>
      <w:r w:rsidR="002A3BD4">
        <w:t xml:space="preserve">mean </w:t>
      </w:r>
      <w:r>
        <w:t xml:space="preserve">that many aged care residents </w:t>
      </w:r>
      <w:r w:rsidR="00A07AD5">
        <w:t xml:space="preserve">are not receiving the </w:t>
      </w:r>
      <w:r w:rsidR="00564D9E">
        <w:t>amount of</w:t>
      </w:r>
      <w:r w:rsidR="000D3626">
        <w:t xml:space="preserve"> </w:t>
      </w:r>
      <w:r w:rsidR="6A8514AC">
        <w:t>care</w:t>
      </w:r>
      <w:r w:rsidR="002A3BD4">
        <w:t xml:space="preserve"> </w:t>
      </w:r>
      <w:r w:rsidR="005520F3">
        <w:t xml:space="preserve">recommended </w:t>
      </w:r>
      <w:r w:rsidR="00A07AD5">
        <w:t xml:space="preserve">by the Royal </w:t>
      </w:r>
      <w:r w:rsidR="00956759">
        <w:t>Commission and</w:t>
      </w:r>
      <w:r w:rsidR="00894A36">
        <w:t xml:space="preserve"> funded by </w:t>
      </w:r>
      <w:r w:rsidR="00F17894">
        <w:t xml:space="preserve">the </w:t>
      </w:r>
      <w:r w:rsidR="00894A36">
        <w:t>Government.</w:t>
      </w:r>
      <w:r w:rsidR="00C97DF1">
        <w:t xml:space="preserve"> </w:t>
      </w:r>
    </w:p>
    <w:p w14:paraId="2CA2FB0A" w14:textId="43A203E4" w:rsidR="00C108A8" w:rsidRPr="003A5ADF" w:rsidRDefault="00645FEC" w:rsidP="003A5ADF">
      <w:pPr>
        <w:pStyle w:val="Paragraphtext"/>
      </w:pPr>
      <w:r w:rsidRPr="0055217A">
        <w:t>T</w:t>
      </w:r>
      <w:r w:rsidR="005B7E5F" w:rsidRPr="0055217A">
        <w:t xml:space="preserve">he large scale of non-compliance </w:t>
      </w:r>
      <w:r w:rsidR="008F4E34">
        <w:t>indicates</w:t>
      </w:r>
      <w:r w:rsidR="005B7E5F" w:rsidRPr="0055217A">
        <w:t xml:space="preserve"> that</w:t>
      </w:r>
      <w:r w:rsidR="00E44A9F" w:rsidRPr="0055217A">
        <w:t xml:space="preserve"> current</w:t>
      </w:r>
      <w:r w:rsidR="005B7E5F" w:rsidRPr="0055217A">
        <w:t xml:space="preserve"> </w:t>
      </w:r>
      <w:r w:rsidR="00E44A9F" w:rsidRPr="0055217A">
        <w:t>regulat</w:t>
      </w:r>
      <w:r w:rsidR="00C453AB" w:rsidRPr="0055217A">
        <w:t>or</w:t>
      </w:r>
      <w:r w:rsidR="50EDC286" w:rsidRPr="0055217A">
        <w:t>y</w:t>
      </w:r>
      <w:r w:rsidR="00C453AB" w:rsidRPr="0055217A">
        <w:t xml:space="preserve"> levers</w:t>
      </w:r>
      <w:r w:rsidR="00C108A8">
        <w:t xml:space="preserve">, and the substantial </w:t>
      </w:r>
      <w:r w:rsidR="00C453AB" w:rsidRPr="0055217A">
        <w:t>increas</w:t>
      </w:r>
      <w:r w:rsidR="00C108A8">
        <w:t>e in</w:t>
      </w:r>
      <w:r w:rsidR="00C453AB" w:rsidRPr="0055217A">
        <w:t xml:space="preserve"> funding</w:t>
      </w:r>
      <w:r w:rsidR="00C108A8">
        <w:t>,</w:t>
      </w:r>
      <w:r w:rsidR="00E44A9F" w:rsidRPr="0055217A">
        <w:t xml:space="preserve"> </w:t>
      </w:r>
      <w:r w:rsidR="003225CC" w:rsidRPr="0055217A">
        <w:t>are</w:t>
      </w:r>
      <w:r w:rsidR="00E44A9F" w:rsidRPr="0055217A">
        <w:t xml:space="preserve"> not providing the required incentives </w:t>
      </w:r>
      <w:r w:rsidR="008E1F53" w:rsidRPr="0055217A">
        <w:t>to ensure provider compliance with their care minutes</w:t>
      </w:r>
      <w:r w:rsidR="005D5677" w:rsidRPr="0055217A">
        <w:t xml:space="preserve"> responsibilities</w:t>
      </w:r>
      <w:r w:rsidR="00C74D80" w:rsidRPr="0055217A">
        <w:t>.</w:t>
      </w:r>
      <w:r w:rsidR="00C74D80">
        <w:t xml:space="preserve"> </w:t>
      </w:r>
    </w:p>
    <w:p w14:paraId="0FDB2C8C" w14:textId="12F5C0B8" w:rsidR="007C6CE2" w:rsidRDefault="00894A36" w:rsidP="006B4632">
      <w:pPr>
        <w:pStyle w:val="TableTitle"/>
      </w:pPr>
      <w:r w:rsidRPr="000E171C">
        <w:t xml:space="preserve">Chart </w:t>
      </w:r>
      <w:r w:rsidR="00BF52BA" w:rsidRPr="000E171C">
        <w:t>2</w:t>
      </w:r>
      <w:r w:rsidRPr="000E171C">
        <w:t xml:space="preserve">: Percentage of </w:t>
      </w:r>
      <w:r w:rsidR="00EF5E71">
        <w:t>home</w:t>
      </w:r>
      <w:r w:rsidRPr="000E171C">
        <w:t>s that reported meeting their total</w:t>
      </w:r>
      <w:r w:rsidR="00754312">
        <w:t xml:space="preserve"> care</w:t>
      </w:r>
      <w:r w:rsidRPr="000E171C">
        <w:t>, RN &amp; both</w:t>
      </w:r>
      <w:r w:rsidR="00A45CDE">
        <w:t xml:space="preserve"> target</w:t>
      </w:r>
      <w:r w:rsidR="005A3494">
        <w:t>s</w:t>
      </w:r>
    </w:p>
    <w:p w14:paraId="2C652495" w14:textId="0BA6032A" w:rsidR="001756D7" w:rsidRDefault="00535DB8" w:rsidP="008A1A96">
      <w:pPr>
        <w:pStyle w:val="TableTitle"/>
        <w:rPr>
          <w:b w:val="0"/>
          <w:bCs/>
        </w:rPr>
      </w:pPr>
      <w:r w:rsidRPr="00535DB8">
        <w:rPr>
          <w:b w:val="0"/>
          <w:bCs/>
          <w:noProof/>
          <w:lang w:val="en-AU" w:eastAsia="en-AU"/>
        </w:rPr>
        <w:drawing>
          <wp:inline distT="0" distB="0" distL="0" distR="0" wp14:anchorId="2E0E01F1" wp14:editId="55C1E2B2">
            <wp:extent cx="5782368" cy="3000375"/>
            <wp:effectExtent l="0" t="0" r="8890" b="0"/>
            <wp:docPr id="168695688" name="Picture 1" descr="Chart 2: Percentage of homes that reported meeting their total care, RN &amp; both targets from Q2 2022-23 to Q2 2024-25 shows significant non compliance across all 3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5688" name="Picture 1" descr="Chart 2: Percentage of homes that reported meeting their total care, RN &amp; both targets from Q2 2022-23 to Q2 2024-25 shows significant non compliance across all 3 measures. "/>
                    <pic:cNvPicPr/>
                  </pic:nvPicPr>
                  <pic:blipFill>
                    <a:blip r:embed="rId16"/>
                    <a:stretch>
                      <a:fillRect/>
                    </a:stretch>
                  </pic:blipFill>
                  <pic:spPr>
                    <a:xfrm>
                      <a:off x="0" y="0"/>
                      <a:ext cx="5800063" cy="3009557"/>
                    </a:xfrm>
                    <a:prstGeom prst="rect">
                      <a:avLst/>
                    </a:prstGeom>
                  </pic:spPr>
                </pic:pic>
              </a:graphicData>
            </a:graphic>
          </wp:inline>
        </w:drawing>
      </w:r>
    </w:p>
    <w:p w14:paraId="51C0D318" w14:textId="4111F6E3" w:rsidR="00894A36" w:rsidRPr="00A57242" w:rsidRDefault="007C6CE2" w:rsidP="0012120B">
      <w:pPr>
        <w:rPr>
          <w:sz w:val="16"/>
          <w:szCs w:val="16"/>
        </w:rPr>
      </w:pPr>
      <w:r w:rsidRPr="007C6CE2">
        <w:rPr>
          <w:sz w:val="16"/>
          <w:szCs w:val="16"/>
        </w:rPr>
        <w:t xml:space="preserve">Source: </w:t>
      </w:r>
      <w:r w:rsidR="00A81B8A">
        <w:rPr>
          <w:sz w:val="16"/>
          <w:szCs w:val="16"/>
        </w:rPr>
        <w:t>DoHDA</w:t>
      </w:r>
      <w:r w:rsidR="00A57242">
        <w:rPr>
          <w:sz w:val="16"/>
          <w:szCs w:val="16"/>
        </w:rPr>
        <w:t xml:space="preserve"> calculations</w:t>
      </w:r>
      <w:r w:rsidR="006E6117" w:rsidRPr="00A57242">
        <w:t xml:space="preserve"> </w:t>
      </w:r>
      <w:r w:rsidR="006E6117" w:rsidRPr="00A57242">
        <w:rPr>
          <w:sz w:val="16"/>
          <w:szCs w:val="16"/>
        </w:rPr>
        <w:t xml:space="preserve">based on </w:t>
      </w:r>
      <w:r w:rsidR="00C61259">
        <w:rPr>
          <w:sz w:val="16"/>
          <w:szCs w:val="16"/>
        </w:rPr>
        <w:t>QFR</w:t>
      </w:r>
      <w:r w:rsidR="006E6117" w:rsidRPr="00A57242">
        <w:rPr>
          <w:sz w:val="16"/>
          <w:szCs w:val="16"/>
        </w:rPr>
        <w:t xml:space="preserve"> data, Services Australia claims, and AN-ACC assessment data</w:t>
      </w:r>
    </w:p>
    <w:p w14:paraId="307C48EC" w14:textId="53037EC9" w:rsidR="009E37C3" w:rsidRPr="00A57242" w:rsidRDefault="009E37C3" w:rsidP="00A57242">
      <w:pPr>
        <w:pStyle w:val="Tabletextleft"/>
      </w:pPr>
      <w:r w:rsidRPr="00A57242">
        <w:t>Notes: This is based on provider self-reported RN, EN &amp; PCW/AIN worked hours and occupied bed days data from the Q</w:t>
      </w:r>
      <w:r w:rsidR="00271AF1">
        <w:t>FR</w:t>
      </w:r>
      <w:r w:rsidRPr="00A57242">
        <w:t>.</w:t>
      </w:r>
      <w:r w:rsidR="001A5B75" w:rsidRPr="0082480B">
        <w:t xml:space="preserve"> </w:t>
      </w:r>
    </w:p>
    <w:p w14:paraId="0B147CBE" w14:textId="7A120F6A" w:rsidR="00402E0F" w:rsidRPr="000B15B3" w:rsidRDefault="00402E0F" w:rsidP="000B15B3">
      <w:pPr>
        <w:pStyle w:val="Heading4"/>
      </w:pPr>
      <w:r w:rsidRPr="000B15B3">
        <w:t>Workforce shortages</w:t>
      </w:r>
      <w:r w:rsidR="000A2BA4" w:rsidRPr="000B15B3">
        <w:t xml:space="preserve"> appear to be more significant </w:t>
      </w:r>
      <w:r w:rsidR="00D525DA" w:rsidRPr="000B15B3">
        <w:t>outside of metropolitan areas</w:t>
      </w:r>
      <w:r w:rsidR="00D236E5" w:rsidRPr="000B15B3">
        <w:t xml:space="preserve"> but care minutes compliance is lowest in metropolitan areas</w:t>
      </w:r>
    </w:p>
    <w:p w14:paraId="7BBC9E50" w14:textId="69393A21" w:rsidR="003C388C" w:rsidRDefault="005B4187" w:rsidP="003A5ADF">
      <w:pPr>
        <w:pStyle w:val="Paragraphtext"/>
      </w:pPr>
      <w:r>
        <w:t xml:space="preserve">Some of the non-compliance across the sector </w:t>
      </w:r>
      <w:r w:rsidR="00D97693">
        <w:t>may be</w:t>
      </w:r>
      <w:r w:rsidR="00356116">
        <w:t xml:space="preserve"> </w:t>
      </w:r>
      <w:r>
        <w:t>driven by workforce shortage</w:t>
      </w:r>
      <w:r w:rsidR="00356116">
        <w:t>s</w:t>
      </w:r>
      <w:r w:rsidR="003410D9">
        <w:t xml:space="preserve"> outside the control of providers</w:t>
      </w:r>
      <w:r w:rsidR="00027EFF">
        <w:t>.</w:t>
      </w:r>
    </w:p>
    <w:p w14:paraId="231E5D72" w14:textId="6BB653ED" w:rsidR="00793184" w:rsidRDefault="1C7B43F8" w:rsidP="003A5ADF">
      <w:pPr>
        <w:pStyle w:val="Paragraphtext"/>
      </w:pPr>
      <w:r>
        <w:t>The Care Workforce Labour Market Study</w:t>
      </w:r>
      <w:r w:rsidR="00D97693">
        <w:rPr>
          <w:rStyle w:val="FootnoteReference"/>
        </w:rPr>
        <w:footnoteReference w:id="21"/>
      </w:r>
      <w:r>
        <w:t xml:space="preserve"> found that </w:t>
      </w:r>
      <w:r w:rsidR="6D31223D">
        <w:t xml:space="preserve">currently </w:t>
      </w:r>
      <w:r w:rsidR="362E7F11">
        <w:t xml:space="preserve">there is limited evidence of a significant workforce shortage in the care and support </w:t>
      </w:r>
      <w:r w:rsidR="4F6F61EF">
        <w:t>sector at the national level, but there</w:t>
      </w:r>
      <w:r w:rsidR="6014FAAB">
        <w:t xml:space="preserve"> are</w:t>
      </w:r>
      <w:r w:rsidR="4F6F61EF">
        <w:t xml:space="preserve"> </w:t>
      </w:r>
      <w:r w:rsidR="6014FAAB">
        <w:t>skill</w:t>
      </w:r>
      <w:r w:rsidR="4F6F61EF">
        <w:t xml:space="preserve"> </w:t>
      </w:r>
      <w:r w:rsidR="7FC83663">
        <w:t>shortages</w:t>
      </w:r>
      <w:r w:rsidR="6014FAAB">
        <w:t xml:space="preserve"> and recruitment difficulties</w:t>
      </w:r>
      <w:r w:rsidR="7FC83663">
        <w:t xml:space="preserve"> in some </w:t>
      </w:r>
      <w:r w:rsidR="6264573F">
        <w:t xml:space="preserve">regions. </w:t>
      </w:r>
      <w:r w:rsidR="4761A039">
        <w:t>Th</w:t>
      </w:r>
      <w:r w:rsidR="79242BCC">
        <w:t>e</w:t>
      </w:r>
      <w:r w:rsidR="4761A039">
        <w:t xml:space="preserve"> </w:t>
      </w:r>
      <w:r w:rsidR="2A0953A6">
        <w:t>data analysed as part of this study indicate</w:t>
      </w:r>
      <w:r w:rsidR="014CB7E2">
        <w:t>s</w:t>
      </w:r>
      <w:r w:rsidR="2A0953A6">
        <w:t xml:space="preserve"> that </w:t>
      </w:r>
      <w:r w:rsidR="2072C8B5">
        <w:t xml:space="preserve">workforce challenges </w:t>
      </w:r>
      <w:r w:rsidR="45658D01">
        <w:t>are generally</w:t>
      </w:r>
      <w:r w:rsidR="2072C8B5">
        <w:t xml:space="preserve"> greater in the care and support economy</w:t>
      </w:r>
      <w:r w:rsidR="6260CFFB">
        <w:t xml:space="preserve"> in regional </w:t>
      </w:r>
      <w:r w:rsidR="000F0CE3">
        <w:t xml:space="preserve">and remote </w:t>
      </w:r>
      <w:r w:rsidR="6260CFFB">
        <w:t>areas</w:t>
      </w:r>
      <w:r w:rsidR="45658D01">
        <w:t xml:space="preserve"> </w:t>
      </w:r>
      <w:r w:rsidR="000F0CE3">
        <w:t xml:space="preserve">(i.e. </w:t>
      </w:r>
      <w:r w:rsidR="00BE6580">
        <w:t>M</w:t>
      </w:r>
      <w:r w:rsidR="000F0CE3">
        <w:t xml:space="preserve">odified Monash </w:t>
      </w:r>
      <w:r w:rsidR="00BE6580">
        <w:t>[MM]</w:t>
      </w:r>
      <w:r w:rsidR="009128A5">
        <w:t xml:space="preserve"> </w:t>
      </w:r>
      <w:r w:rsidR="000F0D2E">
        <w:t xml:space="preserve">model </w:t>
      </w:r>
      <w:r w:rsidR="00AE49E8">
        <w:t>area</w:t>
      </w:r>
      <w:r w:rsidR="002165E3">
        <w:t xml:space="preserve"> classification</w:t>
      </w:r>
      <w:r w:rsidR="00F244E8">
        <w:t>s</w:t>
      </w:r>
      <w:r w:rsidR="000F0CE3">
        <w:t xml:space="preserve"> 2-7) </w:t>
      </w:r>
      <w:r w:rsidR="45658D01">
        <w:t>than in capital cities</w:t>
      </w:r>
      <w:r w:rsidR="00BE6580">
        <w:t xml:space="preserve"> (i.</w:t>
      </w:r>
      <w:r w:rsidR="00B47F26">
        <w:t xml:space="preserve">e. MM </w:t>
      </w:r>
      <w:r w:rsidR="00AE49E8">
        <w:t>area</w:t>
      </w:r>
      <w:r w:rsidR="00B47F26">
        <w:t xml:space="preserve"> </w:t>
      </w:r>
      <w:r w:rsidR="00F244E8">
        <w:t xml:space="preserve">classification </w:t>
      </w:r>
      <w:r w:rsidR="00B47F26">
        <w:t>1)</w:t>
      </w:r>
      <w:r w:rsidR="699822A8">
        <w:t xml:space="preserve">. </w:t>
      </w:r>
      <w:r w:rsidR="2ABDB3EC">
        <w:t>This</w:t>
      </w:r>
      <w:r w:rsidR="699822A8">
        <w:t xml:space="preserve"> also</w:t>
      </w:r>
      <w:r w:rsidR="005B405B">
        <w:t xml:space="preserve"> align</w:t>
      </w:r>
      <w:r w:rsidR="760ED7C5">
        <w:t>s</w:t>
      </w:r>
      <w:r w:rsidR="005B405B">
        <w:t xml:space="preserve"> with the view of </w:t>
      </w:r>
      <w:r w:rsidR="691495E0">
        <w:t xml:space="preserve">stakeholders </w:t>
      </w:r>
      <w:r w:rsidR="691495E0">
        <w:lastRenderedPageBreak/>
        <w:t>consulted as part of the study</w:t>
      </w:r>
      <w:r w:rsidR="699822A8">
        <w:t>,</w:t>
      </w:r>
      <w:r w:rsidR="691495E0">
        <w:t xml:space="preserve"> who noted </w:t>
      </w:r>
      <w:r w:rsidR="72754ECC">
        <w:t xml:space="preserve">greater difficulties </w:t>
      </w:r>
      <w:r w:rsidR="04423CB2">
        <w:t xml:space="preserve">in recruiting for care and support workers in regional </w:t>
      </w:r>
      <w:r w:rsidR="004367E4">
        <w:t xml:space="preserve">and remote </w:t>
      </w:r>
      <w:r w:rsidR="04423CB2">
        <w:t>areas. It is also consistent with</w:t>
      </w:r>
      <w:r w:rsidR="30951CE0">
        <w:t xml:space="preserve"> feedback that the department has received</w:t>
      </w:r>
      <w:r w:rsidR="21DCCE5C">
        <w:t xml:space="preserve"> from </w:t>
      </w:r>
      <w:r w:rsidR="3A7D9818">
        <w:t>providers</w:t>
      </w:r>
      <w:r w:rsidR="55BE4B32">
        <w:t xml:space="preserve"> prior to and following the implementation of mandatory care minutes</w:t>
      </w:r>
      <w:r w:rsidR="4D789521">
        <w:t xml:space="preserve"> targets</w:t>
      </w:r>
      <w:r w:rsidR="21DCCE5C">
        <w:t xml:space="preserve">, that it is generally harder to recruit </w:t>
      </w:r>
      <w:r w:rsidR="23A2AD31">
        <w:t xml:space="preserve">and retain </w:t>
      </w:r>
      <w:r w:rsidR="796DD607">
        <w:t xml:space="preserve">staff, particularly </w:t>
      </w:r>
      <w:r w:rsidR="00107B39">
        <w:t>RNs</w:t>
      </w:r>
      <w:r w:rsidR="796DD607">
        <w:t xml:space="preserve">, </w:t>
      </w:r>
      <w:r w:rsidR="6DB9632B">
        <w:t>outside of metropolitan areas</w:t>
      </w:r>
      <w:r w:rsidR="001007DE">
        <w:t xml:space="preserve">. </w:t>
      </w:r>
      <w:r w:rsidR="56EAC551" w:rsidRPr="00117567">
        <w:t>T</w:t>
      </w:r>
      <w:r w:rsidR="42A0AB0C" w:rsidRPr="00117567">
        <w:t>he result is that providers incur more costs to ach</w:t>
      </w:r>
      <w:r w:rsidR="0CF22FB9" w:rsidRPr="00117567">
        <w:t>ieve</w:t>
      </w:r>
      <w:r w:rsidR="42A0AB0C" w:rsidRPr="00117567">
        <w:t xml:space="preserve"> care minutes </w:t>
      </w:r>
      <w:r w:rsidR="557ECEB5" w:rsidRPr="00117567">
        <w:t xml:space="preserve">compliance in these </w:t>
      </w:r>
      <w:r w:rsidR="00107B39" w:rsidRPr="00117567">
        <w:t>regional and remote</w:t>
      </w:r>
      <w:r w:rsidR="0014436E" w:rsidRPr="00117567">
        <w:t xml:space="preserve"> areas</w:t>
      </w:r>
      <w:r w:rsidR="7168437C" w:rsidRPr="00117567">
        <w:t>. For example, t</w:t>
      </w:r>
      <w:r w:rsidR="00DA263E" w:rsidRPr="00117567">
        <w:t xml:space="preserve">o make these areas more </w:t>
      </w:r>
      <w:r w:rsidR="0097723D" w:rsidRPr="00117567">
        <w:t>attractive</w:t>
      </w:r>
      <w:r w:rsidR="56978C81" w:rsidRPr="00117567">
        <w:t xml:space="preserve"> to potential workers</w:t>
      </w:r>
      <w:r w:rsidR="0097723D" w:rsidRPr="00117567">
        <w:t xml:space="preserve">, many providers offer higher wages, </w:t>
      </w:r>
      <w:r w:rsidR="005265AA" w:rsidRPr="00117567">
        <w:t>housing for staff and their families and b</w:t>
      </w:r>
      <w:r w:rsidR="00287A55" w:rsidRPr="00117567">
        <w:t>e</w:t>
      </w:r>
      <w:r w:rsidR="005265AA" w:rsidRPr="00117567">
        <w:t xml:space="preserve">tter working conditions such as </w:t>
      </w:r>
      <w:r w:rsidR="00287A55" w:rsidRPr="00117567">
        <w:t xml:space="preserve">increased holidays and </w:t>
      </w:r>
      <w:r w:rsidR="5478A6D4" w:rsidRPr="00117567">
        <w:t>additional</w:t>
      </w:r>
      <w:r w:rsidR="00241318" w:rsidRPr="00117567">
        <w:t xml:space="preserve"> </w:t>
      </w:r>
      <w:r w:rsidR="00287A55" w:rsidRPr="00117567">
        <w:t xml:space="preserve">travel </w:t>
      </w:r>
      <w:r w:rsidR="3C062625" w:rsidRPr="00117567">
        <w:t>benefits</w:t>
      </w:r>
      <w:r w:rsidR="008B7FF4" w:rsidRPr="00117567">
        <w:t xml:space="preserve">. Some providers elect to train </w:t>
      </w:r>
      <w:r w:rsidR="00232A26" w:rsidRPr="00117567">
        <w:t>local residents</w:t>
      </w:r>
      <w:r w:rsidR="008B7FF4" w:rsidRPr="00117567">
        <w:t xml:space="preserve"> and</w:t>
      </w:r>
      <w:r w:rsidR="00232A26" w:rsidRPr="00117567">
        <w:t>/or</w:t>
      </w:r>
      <w:r w:rsidR="008B7FF4" w:rsidRPr="00117567">
        <w:t xml:space="preserve"> use overseas staff </w:t>
      </w:r>
      <w:r w:rsidR="003B7061" w:rsidRPr="00117567">
        <w:t>including assisting them to integrate into the local communit</w:t>
      </w:r>
      <w:r w:rsidR="00D907F3" w:rsidRPr="00117567">
        <w:t>y</w:t>
      </w:r>
      <w:r w:rsidR="0014436E" w:rsidRPr="00117567">
        <w:t>.</w:t>
      </w:r>
      <w:r w:rsidR="2D9E9E9B" w:rsidRPr="00117567">
        <w:t xml:space="preserve"> Alternatively, they can use higher cost agency staff.</w:t>
      </w:r>
    </w:p>
    <w:p w14:paraId="5DD13600" w14:textId="66409603" w:rsidR="0006488A" w:rsidRDefault="796DD607" w:rsidP="003A5ADF">
      <w:pPr>
        <w:pStyle w:val="Paragraphtext"/>
      </w:pPr>
      <w:r>
        <w:t xml:space="preserve">This is also supported by the department’s data </w:t>
      </w:r>
      <w:r w:rsidR="004E324E">
        <w:t>the</w:t>
      </w:r>
      <w:r w:rsidR="00D373E5">
        <w:t xml:space="preserve"> on</w:t>
      </w:r>
      <w:r w:rsidR="004E324E">
        <w:t xml:space="preserve"> use </w:t>
      </w:r>
      <w:r>
        <w:t>of agency</w:t>
      </w:r>
      <w:r w:rsidR="5B6D7622">
        <w:t xml:space="preserve"> staff</w:t>
      </w:r>
      <w:r w:rsidR="02A36306">
        <w:t xml:space="preserve"> by </w:t>
      </w:r>
      <w:r w:rsidR="02A36306" w:rsidRPr="51365D77">
        <w:t>MM</w:t>
      </w:r>
      <w:r w:rsidR="02A36306">
        <w:t xml:space="preserve"> </w:t>
      </w:r>
      <w:r w:rsidR="75170057">
        <w:t>m</w:t>
      </w:r>
      <w:r w:rsidR="02A36306">
        <w:t>odel</w:t>
      </w:r>
      <w:r w:rsidR="00F31101">
        <w:rPr>
          <w:rStyle w:val="FootnoteReference"/>
        </w:rPr>
        <w:footnoteReference w:id="22"/>
      </w:r>
      <w:r w:rsidR="02A36306">
        <w:t xml:space="preserve"> </w:t>
      </w:r>
      <w:r w:rsidR="00107B80">
        <w:t>area</w:t>
      </w:r>
      <w:r w:rsidR="066D8E57">
        <w:t xml:space="preserve"> </w:t>
      </w:r>
      <w:r w:rsidR="02A36306">
        <w:t>classification</w:t>
      </w:r>
      <w:r w:rsidR="149FDEBA">
        <w:t>s</w:t>
      </w:r>
      <w:r w:rsidR="00C80492">
        <w:t xml:space="preserve"> (noting </w:t>
      </w:r>
      <w:r w:rsidR="00B97242">
        <w:t xml:space="preserve">that </w:t>
      </w:r>
      <w:r w:rsidR="00C80492">
        <w:t>care minutes can be delivered</w:t>
      </w:r>
      <w:r w:rsidR="0006488A">
        <w:t>,</w:t>
      </w:r>
      <w:r w:rsidR="00A85F5D">
        <w:t xml:space="preserve"> and count equally</w:t>
      </w:r>
      <w:r w:rsidR="0006488A">
        <w:t>,</w:t>
      </w:r>
      <w:r w:rsidR="00A85F5D">
        <w:t xml:space="preserve"> whether they </w:t>
      </w:r>
      <w:r w:rsidR="00891C87">
        <w:t xml:space="preserve">are delivered </w:t>
      </w:r>
      <w:r w:rsidR="00C80492">
        <w:t>by directly engaged or agency staff</w:t>
      </w:r>
      <w:r w:rsidR="00AD3411">
        <w:t xml:space="preserve">, so long as </w:t>
      </w:r>
      <w:r w:rsidR="00505069">
        <w:t>staff</w:t>
      </w:r>
      <w:r w:rsidR="00AD3411">
        <w:t xml:space="preserve"> are RNs, ENs or PCWs/AINs</w:t>
      </w:r>
      <w:r w:rsidR="00585F0D">
        <w:t>)</w:t>
      </w:r>
      <w:r w:rsidR="02A36306">
        <w:t>.</w:t>
      </w:r>
      <w:r w:rsidR="4B8B8B9F">
        <w:t xml:space="preserve"> As is shown in chart </w:t>
      </w:r>
      <w:r w:rsidR="4F962CBD">
        <w:t>3</w:t>
      </w:r>
      <w:r w:rsidR="4B8B8B9F">
        <w:t xml:space="preserve">, </w:t>
      </w:r>
      <w:r w:rsidR="282ECB13">
        <w:t xml:space="preserve">the use of </w:t>
      </w:r>
      <w:r w:rsidR="4B8B8B9F">
        <w:t xml:space="preserve">agency </w:t>
      </w:r>
      <w:r w:rsidR="086BFAD9">
        <w:t>staff</w:t>
      </w:r>
      <w:r w:rsidR="4B8B8B9F">
        <w:t xml:space="preserve"> increases </w:t>
      </w:r>
      <w:r w:rsidR="17C9C804">
        <w:t>by remoteness. In MM1</w:t>
      </w:r>
      <w:r w:rsidR="65A640F5">
        <w:t xml:space="preserve"> (metropolitan areas)</w:t>
      </w:r>
      <w:r w:rsidR="17C9C804">
        <w:t xml:space="preserve"> an average of </w:t>
      </w:r>
      <w:r w:rsidR="34B441FD">
        <w:t>8</w:t>
      </w:r>
      <w:r w:rsidR="4BE22FE8">
        <w:t xml:space="preserve"> minutes of care is delivered by agency staff per resident per day, </w:t>
      </w:r>
      <w:r w:rsidR="34B441FD">
        <w:t>while usage in MM2-4</w:t>
      </w:r>
      <w:r w:rsidR="65A640F5">
        <w:t xml:space="preserve"> (regional centres and large and medium rural towns)</w:t>
      </w:r>
      <w:r w:rsidR="34B441FD">
        <w:t xml:space="preserve"> is </w:t>
      </w:r>
      <w:r w:rsidR="21A80C04">
        <w:t>12-</w:t>
      </w:r>
      <w:r w:rsidR="34B441FD">
        <w:t>13 minutes</w:t>
      </w:r>
      <w:r w:rsidR="65A640F5">
        <w:t xml:space="preserve">. Usage in </w:t>
      </w:r>
      <w:r w:rsidR="34B441FD">
        <w:t>MM5</w:t>
      </w:r>
      <w:r w:rsidR="65A640F5">
        <w:t xml:space="preserve"> (small rural towns)</w:t>
      </w:r>
      <w:r w:rsidR="00426333">
        <w:t>,</w:t>
      </w:r>
      <w:r w:rsidR="34B441FD">
        <w:t xml:space="preserve"> </w:t>
      </w:r>
      <w:r w:rsidR="4D26AD8E">
        <w:t xml:space="preserve">MM6 (remote areas) and MM7 (very remote areas) </w:t>
      </w:r>
      <w:r w:rsidR="3DBDAA3A">
        <w:t xml:space="preserve">are </w:t>
      </w:r>
      <w:r w:rsidR="6F5D7108">
        <w:t>significantly higher</w:t>
      </w:r>
      <w:r w:rsidR="3DBDAA3A">
        <w:t xml:space="preserve"> at 21</w:t>
      </w:r>
      <w:r w:rsidR="6F5D7108">
        <w:t>, 44 and 60 minutes per resident per day respectively.</w:t>
      </w:r>
    </w:p>
    <w:p w14:paraId="01D3E2B3" w14:textId="4CBE8F34" w:rsidR="001B727A" w:rsidRDefault="2D30E3C4" w:rsidP="003A5ADF">
      <w:pPr>
        <w:pStyle w:val="Paragraphtext"/>
      </w:pPr>
      <w:r>
        <w:t>While agency staff usage is not a perfect measure of workforce shortage</w:t>
      </w:r>
      <w:r w:rsidR="6F5D7108">
        <w:t xml:space="preserve"> (</w:t>
      </w:r>
      <w:r w:rsidR="7A58D5B8">
        <w:t>because there are many reasons a provider might use agency staff</w:t>
      </w:r>
      <w:r w:rsidR="6F5D7108">
        <w:t>)</w:t>
      </w:r>
      <w:r w:rsidR="3577D944">
        <w:t xml:space="preserve"> </w:t>
      </w:r>
      <w:r w:rsidR="1D610345">
        <w:t>variation in usage between regions is a</w:t>
      </w:r>
      <w:r w:rsidR="6F5D7108">
        <w:t xml:space="preserve"> reasonable</w:t>
      </w:r>
      <w:r w:rsidR="1D610345">
        <w:t xml:space="preserve"> indicator </w:t>
      </w:r>
      <w:r w:rsidR="424FA56C">
        <w:t>of workforce shortages.</w:t>
      </w:r>
      <w:r w:rsidR="00AE4CBF">
        <w:t xml:space="preserve"> </w:t>
      </w:r>
      <w:r w:rsidR="3B9F964E">
        <w:t xml:space="preserve">Feedback from providers suggests that they </w:t>
      </w:r>
      <w:r w:rsidR="590E8924">
        <w:t xml:space="preserve">generally </w:t>
      </w:r>
      <w:r w:rsidR="3B9F964E">
        <w:t>try to employ staff directly where</w:t>
      </w:r>
      <w:r w:rsidR="30F68A79">
        <w:t>ver</w:t>
      </w:r>
      <w:r w:rsidR="3B9F964E">
        <w:t xml:space="preserve"> possible</w:t>
      </w:r>
      <w:r w:rsidR="424FA56C">
        <w:t xml:space="preserve"> because agency staff costs are </w:t>
      </w:r>
      <w:r w:rsidR="17E5D565">
        <w:t xml:space="preserve">significantly higher </w:t>
      </w:r>
      <w:r w:rsidR="7895CA77">
        <w:t xml:space="preserve">(around </w:t>
      </w:r>
      <w:r w:rsidR="3678CF9C">
        <w:t>2</w:t>
      </w:r>
      <w:r w:rsidR="0A329DA9">
        <w:t>2</w:t>
      </w:r>
      <w:r w:rsidR="34E46E03">
        <w:t>%</w:t>
      </w:r>
      <w:r w:rsidR="6DA0D6C8">
        <w:t xml:space="preserve"> higher per hour</w:t>
      </w:r>
      <w:r w:rsidR="34E46E03">
        <w:t xml:space="preserve"> in MM1</w:t>
      </w:r>
      <w:r w:rsidR="3678CF9C">
        <w:t xml:space="preserve"> for an RN based on Q2 2024-25</w:t>
      </w:r>
      <w:r w:rsidR="30F68A79">
        <w:t xml:space="preserve"> QFR</w:t>
      </w:r>
      <w:r w:rsidR="3678CF9C">
        <w:t xml:space="preserve"> reporting</w:t>
      </w:r>
      <w:r w:rsidR="34E46E03">
        <w:t xml:space="preserve">) </w:t>
      </w:r>
      <w:r w:rsidR="17E5D565">
        <w:t xml:space="preserve">than </w:t>
      </w:r>
      <w:r w:rsidR="217ACEEB">
        <w:t>directly employed staff</w:t>
      </w:r>
      <w:r w:rsidR="3B9F964E">
        <w:t>.</w:t>
      </w:r>
      <w:r w:rsidR="590E8924">
        <w:t xml:space="preserve"> </w:t>
      </w:r>
      <w:r w:rsidR="02EC6228">
        <w:t xml:space="preserve">Although agency staff </w:t>
      </w:r>
      <w:r w:rsidR="7B54A884">
        <w:t xml:space="preserve">must have the required qualifications and </w:t>
      </w:r>
      <w:r w:rsidR="57A632E1">
        <w:t>experience</w:t>
      </w:r>
      <w:r w:rsidR="21C51E24">
        <w:t>,</w:t>
      </w:r>
      <w:r w:rsidR="57A632E1">
        <w:t xml:space="preserve"> and</w:t>
      </w:r>
      <w:r w:rsidR="000D7DBC">
        <w:t xml:space="preserve"> can</w:t>
      </w:r>
      <w:r w:rsidR="2568DABC">
        <w:t xml:space="preserve"> provide comparable </w:t>
      </w:r>
      <w:r w:rsidR="269BF08E">
        <w:t xml:space="preserve">quality </w:t>
      </w:r>
      <w:r w:rsidR="0EC02A9A">
        <w:t>care</w:t>
      </w:r>
      <w:r w:rsidR="2568DABC">
        <w:t xml:space="preserve"> to permanent</w:t>
      </w:r>
      <w:r w:rsidR="070D852F">
        <w:t xml:space="preserve"> staff, they require</w:t>
      </w:r>
      <w:r w:rsidR="2568DABC">
        <w:t xml:space="preserve"> </w:t>
      </w:r>
      <w:r w:rsidR="247CB49A">
        <w:t>onboarding and time to become familiar with residents</w:t>
      </w:r>
      <w:r w:rsidR="64A68102">
        <w:t xml:space="preserve">, </w:t>
      </w:r>
      <w:r w:rsidR="760638C9">
        <w:t>staff and</w:t>
      </w:r>
      <w:r w:rsidR="64A68102">
        <w:t xml:space="preserve"> </w:t>
      </w:r>
      <w:r w:rsidR="3F0A260E">
        <w:t>working systems.</w:t>
      </w:r>
      <w:r w:rsidR="57A632E1">
        <w:t xml:space="preserve"> </w:t>
      </w:r>
      <w:r w:rsidR="00556455">
        <w:t>T</w:t>
      </w:r>
      <w:r w:rsidR="57A632E1">
        <w:t xml:space="preserve">hey may </w:t>
      </w:r>
      <w:r w:rsidR="00556455">
        <w:t xml:space="preserve">also </w:t>
      </w:r>
      <w:r w:rsidR="57A632E1">
        <w:t>bring additional</w:t>
      </w:r>
      <w:r w:rsidR="2B44B6C7">
        <w:t xml:space="preserve"> skills and knowledge to the care environment.</w:t>
      </w:r>
      <w:r w:rsidR="0FFFBC52">
        <w:t xml:space="preserve"> </w:t>
      </w:r>
      <w:r w:rsidR="00012CFA">
        <w:t>R</w:t>
      </w:r>
      <w:r w:rsidR="2F048D29">
        <w:t xml:space="preserve">easons to utilise agency staff include </w:t>
      </w:r>
      <w:r w:rsidR="62169C0D">
        <w:t>manag</w:t>
      </w:r>
      <w:r w:rsidR="7402994E">
        <w:t>ing</w:t>
      </w:r>
      <w:r w:rsidR="62169C0D">
        <w:t xml:space="preserve"> unexpected leave</w:t>
      </w:r>
      <w:r w:rsidR="00C131DD">
        <w:t xml:space="preserve"> and absenteeism</w:t>
      </w:r>
      <w:r w:rsidR="65476CAB">
        <w:t xml:space="preserve">, </w:t>
      </w:r>
      <w:r w:rsidR="0290FEE6">
        <w:t xml:space="preserve">dealing with </w:t>
      </w:r>
      <w:r w:rsidR="65476CAB">
        <w:t>infectious disease outbreaks</w:t>
      </w:r>
      <w:r w:rsidR="0031309C">
        <w:t xml:space="preserve">, </w:t>
      </w:r>
      <w:r w:rsidR="0006488A">
        <w:t>addressing</w:t>
      </w:r>
      <w:r w:rsidR="7B9F6178">
        <w:t xml:space="preserve"> </w:t>
      </w:r>
      <w:r w:rsidR="75F8A2C9">
        <w:t>short</w:t>
      </w:r>
      <w:r w:rsidR="2B3EBC7B">
        <w:t>-</w:t>
      </w:r>
      <w:r w:rsidR="00D373E5">
        <w:rPr>
          <w:vertAlign w:val="subscript"/>
        </w:rPr>
        <w:noBreakHyphen/>
      </w:r>
      <w:r w:rsidR="75F8A2C9">
        <w:t>term increases in staffing needs</w:t>
      </w:r>
      <w:r w:rsidR="001232D4">
        <w:t xml:space="preserve"> and </w:t>
      </w:r>
      <w:r w:rsidR="59614C95">
        <w:t>longer-term</w:t>
      </w:r>
      <w:r w:rsidR="001232D4">
        <w:t xml:space="preserve"> staff</w:t>
      </w:r>
      <w:r w:rsidR="3E20B4DD">
        <w:t>ing</w:t>
      </w:r>
      <w:r w:rsidR="001232D4">
        <w:t xml:space="preserve"> shortages</w:t>
      </w:r>
      <w:r w:rsidR="75F8A2C9">
        <w:t xml:space="preserve">. </w:t>
      </w:r>
    </w:p>
    <w:p w14:paraId="243B07A3" w14:textId="28897638" w:rsidR="001C624D" w:rsidRDefault="00D23907" w:rsidP="006B4632">
      <w:pPr>
        <w:pStyle w:val="TableTitle"/>
        <w:rPr>
          <w:rFonts w:eastAsia="Cambria"/>
        </w:rPr>
      </w:pPr>
      <w:r w:rsidRPr="000E171C">
        <w:rPr>
          <w:rFonts w:eastAsia="Cambria"/>
        </w:rPr>
        <w:t xml:space="preserve">Chart </w:t>
      </w:r>
      <w:r w:rsidR="00BF52BA" w:rsidRPr="000E171C">
        <w:rPr>
          <w:rFonts w:eastAsia="Cambria"/>
        </w:rPr>
        <w:t>3</w:t>
      </w:r>
      <w:r w:rsidRPr="000E171C">
        <w:rPr>
          <w:rFonts w:eastAsia="Cambria"/>
        </w:rPr>
        <w:t>: Agency RN, EN and PCW/AIN minutes</w:t>
      </w:r>
      <w:r w:rsidR="00FA026B" w:rsidRPr="000E171C">
        <w:rPr>
          <w:rFonts w:eastAsia="Cambria"/>
        </w:rPr>
        <w:t xml:space="preserve"> by MM classification (per resident per day)</w:t>
      </w:r>
    </w:p>
    <w:p w14:paraId="43C267A6" w14:textId="7BF0A9E6" w:rsidR="00855951" w:rsidRPr="000E171C" w:rsidRDefault="00855951" w:rsidP="006B4632">
      <w:pPr>
        <w:pStyle w:val="TableTitle"/>
        <w:rPr>
          <w:rFonts w:eastAsia="Cambria"/>
        </w:rPr>
      </w:pPr>
      <w:r w:rsidRPr="00855951">
        <w:rPr>
          <w:rFonts w:eastAsia="Cambria"/>
          <w:noProof/>
          <w:lang w:val="en-AU" w:eastAsia="en-AU"/>
        </w:rPr>
        <w:drawing>
          <wp:inline distT="0" distB="0" distL="0" distR="0" wp14:anchorId="5AB2CBAC" wp14:editId="5B677DAD">
            <wp:extent cx="5534025" cy="2143125"/>
            <wp:effectExtent l="0" t="0" r="9525" b="9525"/>
            <wp:docPr id="1227000333" name="Picture 1" descr="Chart 3: Agency RN, EN and PCW/AIN Minutes by MM classification (per resident per day) shows a trend towards increased agency usage with increased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00333" name="Picture 1" descr="Chart 3: Agency RN, EN and PCW/AIN Minutes by MM classification (per resident per day) shows a trend towards increased agency usage with increased remoteness."/>
                    <pic:cNvPicPr/>
                  </pic:nvPicPr>
                  <pic:blipFill>
                    <a:blip r:embed="rId17"/>
                    <a:stretch>
                      <a:fillRect/>
                    </a:stretch>
                  </pic:blipFill>
                  <pic:spPr>
                    <a:xfrm>
                      <a:off x="0" y="0"/>
                      <a:ext cx="5555145" cy="2151304"/>
                    </a:xfrm>
                    <a:prstGeom prst="rect">
                      <a:avLst/>
                    </a:prstGeom>
                  </pic:spPr>
                </pic:pic>
              </a:graphicData>
            </a:graphic>
          </wp:inline>
        </w:drawing>
      </w:r>
    </w:p>
    <w:p w14:paraId="4C7FA65A" w14:textId="06A38323" w:rsidR="00FA026B" w:rsidRDefault="00FA026B" w:rsidP="006B4632">
      <w:pPr>
        <w:rPr>
          <w:sz w:val="16"/>
          <w:szCs w:val="16"/>
        </w:rPr>
      </w:pPr>
      <w:r w:rsidRPr="00111BB1">
        <w:rPr>
          <w:sz w:val="16"/>
          <w:szCs w:val="16"/>
        </w:rPr>
        <w:t>Source: D</w:t>
      </w:r>
      <w:r w:rsidR="00570A47">
        <w:rPr>
          <w:sz w:val="16"/>
          <w:szCs w:val="16"/>
        </w:rPr>
        <w:t>oHDA</w:t>
      </w:r>
      <w:r>
        <w:rPr>
          <w:sz w:val="16"/>
          <w:szCs w:val="16"/>
        </w:rPr>
        <w:t xml:space="preserve">, </w:t>
      </w:r>
      <w:r w:rsidR="0032493E">
        <w:rPr>
          <w:sz w:val="16"/>
          <w:szCs w:val="16"/>
        </w:rPr>
        <w:t>Q</w:t>
      </w:r>
      <w:r w:rsidR="00570A47">
        <w:rPr>
          <w:sz w:val="16"/>
          <w:szCs w:val="16"/>
        </w:rPr>
        <w:t>FR</w:t>
      </w:r>
      <w:r>
        <w:rPr>
          <w:sz w:val="16"/>
          <w:szCs w:val="16"/>
        </w:rPr>
        <w:t xml:space="preserve"> Q2 2024-25</w:t>
      </w:r>
    </w:p>
    <w:p w14:paraId="0ACBF6F5" w14:textId="49FE4668" w:rsidR="002C0C50" w:rsidRPr="00866978" w:rsidRDefault="2B01DC1B" w:rsidP="006B4632">
      <w:pPr>
        <w:pStyle w:val="Paragraphtext"/>
      </w:pPr>
      <w:r>
        <w:lastRenderedPageBreak/>
        <w:t xml:space="preserve">The table below shows the location and ownership type of </w:t>
      </w:r>
      <w:r w:rsidR="0452838E">
        <w:t xml:space="preserve">residential </w:t>
      </w:r>
      <w:r>
        <w:t xml:space="preserve">aged care </w:t>
      </w:r>
      <w:r w:rsidR="1A639F8B">
        <w:t>homes</w:t>
      </w:r>
      <w:r w:rsidR="4A87F4BD">
        <w:t xml:space="preserve"> </w:t>
      </w:r>
      <w:r w:rsidR="2C5ABBBF">
        <w:t xml:space="preserve">across the country to put the data provided </w:t>
      </w:r>
      <w:r w:rsidR="7201F38C">
        <w:t xml:space="preserve">in this section in perspective. </w:t>
      </w:r>
      <w:r w:rsidR="75BD3606">
        <w:t>Overall</w:t>
      </w:r>
      <w:r w:rsidR="09EB14FE">
        <w:t>,</w:t>
      </w:r>
      <w:r w:rsidR="75BD3606">
        <w:t xml:space="preserve"> 63% of homes are in MM1 areas, </w:t>
      </w:r>
      <w:r w:rsidR="1A362C2C">
        <w:t>between 7</w:t>
      </w:r>
      <w:r w:rsidR="665D68BE">
        <w:t>-</w:t>
      </w:r>
      <w:r w:rsidR="3531AEE1">
        <w:t xml:space="preserve">12% of homes </w:t>
      </w:r>
      <w:r w:rsidR="41FB596C">
        <w:t>are in</w:t>
      </w:r>
      <w:r w:rsidR="3531AEE1">
        <w:t xml:space="preserve"> each of MM2-5, while </w:t>
      </w:r>
      <w:r w:rsidR="41FB596C">
        <w:t>in MM6 and 7 there only a very small number of homes.</w:t>
      </w:r>
    </w:p>
    <w:p w14:paraId="3843D174" w14:textId="503F2C04" w:rsidR="00D60936" w:rsidRDefault="00440D84" w:rsidP="006B4632">
      <w:pPr>
        <w:pStyle w:val="TableTitle"/>
      </w:pPr>
      <w:r w:rsidRPr="000E171C">
        <w:t>Table 1: Breakdown of services by location and ownership type (Q2 2024-25)</w:t>
      </w:r>
    </w:p>
    <w:p w14:paraId="65C0C7B7" w14:textId="72EBD5F2" w:rsidR="008B4F9D" w:rsidRPr="000E171C" w:rsidRDefault="008B4F9D" w:rsidP="006B4632">
      <w:pPr>
        <w:pStyle w:val="TableTitle"/>
      </w:pPr>
      <w:r w:rsidRPr="008B4F9D">
        <w:rPr>
          <w:noProof/>
          <w:lang w:val="en-AU" w:eastAsia="en-AU"/>
        </w:rPr>
        <w:drawing>
          <wp:inline distT="0" distB="0" distL="0" distR="0" wp14:anchorId="35EE7756" wp14:editId="10B8E541">
            <wp:extent cx="5573880" cy="1762125"/>
            <wp:effectExtent l="0" t="0" r="8255" b="0"/>
            <wp:docPr id="1992231091" name="Picture 1" descr="Table 1: Breakdown of services by location and ownership type as of Q2 2024-25 shows 63% of homes are in MM1 areas, between 7-12% of homes are in each of MM2-5, while in MM6 and 7 there only a very small number of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31091" name="Picture 1" descr="Table 1: Breakdown of services by location and ownership type as of Q2 2024-25 shows 63% of homes are in MM1 areas, between 7-12% of homes are in each of MM2-5, while in MM6 and 7 there only a very small number of homes."/>
                    <pic:cNvPicPr/>
                  </pic:nvPicPr>
                  <pic:blipFill>
                    <a:blip r:embed="rId18"/>
                    <a:stretch>
                      <a:fillRect/>
                    </a:stretch>
                  </pic:blipFill>
                  <pic:spPr>
                    <a:xfrm>
                      <a:off x="0" y="0"/>
                      <a:ext cx="5609055" cy="1773245"/>
                    </a:xfrm>
                    <a:prstGeom prst="rect">
                      <a:avLst/>
                    </a:prstGeom>
                  </pic:spPr>
                </pic:pic>
              </a:graphicData>
            </a:graphic>
          </wp:inline>
        </w:drawing>
      </w:r>
    </w:p>
    <w:p w14:paraId="7D463282" w14:textId="682ABCAF" w:rsidR="001606CB" w:rsidRPr="000E171C" w:rsidRDefault="001606CB" w:rsidP="006B4632">
      <w:pPr>
        <w:pStyle w:val="Tabletextleft"/>
      </w:pPr>
      <w:r w:rsidRPr="000E171C">
        <w:t>Source: D</w:t>
      </w:r>
      <w:r w:rsidR="00526BA8" w:rsidRPr="000E171C">
        <w:t>oHDA</w:t>
      </w:r>
    </w:p>
    <w:p w14:paraId="4A40E0C9" w14:textId="0363CFAD" w:rsidR="001606CB" w:rsidRPr="000E171C" w:rsidRDefault="001606CB" w:rsidP="006B4632">
      <w:pPr>
        <w:pStyle w:val="Tabletextleft"/>
      </w:pPr>
      <w:r w:rsidRPr="000E171C">
        <w:t xml:space="preserve">Note: </w:t>
      </w:r>
      <w:r w:rsidR="004D7532" w:rsidRPr="000E171C">
        <w:t xml:space="preserve">This table </w:t>
      </w:r>
      <w:r w:rsidR="001C49F2" w:rsidRPr="000E171C">
        <w:t>excludes a small number of services that</w:t>
      </w:r>
      <w:r w:rsidR="00A8765E" w:rsidRPr="000E171C">
        <w:t xml:space="preserve"> did not have their QFR data accepted</w:t>
      </w:r>
      <w:r w:rsidR="00706C18" w:rsidRPr="000E171C">
        <w:t xml:space="preserve"> (or submitted)</w:t>
      </w:r>
      <w:r w:rsidR="00A8765E" w:rsidRPr="000E171C">
        <w:t xml:space="preserve"> by the </w:t>
      </w:r>
      <w:r w:rsidR="00706C18" w:rsidRPr="000E171C">
        <w:t>Q2 2024</w:t>
      </w:r>
      <w:r w:rsidR="00706C18" w:rsidRPr="000E171C">
        <w:noBreakHyphen/>
        <w:t xml:space="preserve">25 </w:t>
      </w:r>
      <w:r w:rsidR="00A8765E" w:rsidRPr="000E171C">
        <w:t>care minutes dash</w:t>
      </w:r>
      <w:r w:rsidR="0056233A" w:rsidRPr="000E171C">
        <w:t xml:space="preserve">board </w:t>
      </w:r>
      <w:r w:rsidR="002A3361" w:rsidRPr="000E171C">
        <w:t>cutoff</w:t>
      </w:r>
      <w:r w:rsidR="0056233A" w:rsidRPr="000E171C">
        <w:t xml:space="preserve"> date.</w:t>
      </w:r>
      <w:r w:rsidR="004D7532" w:rsidRPr="000E171C">
        <w:t xml:space="preserve"> </w:t>
      </w:r>
    </w:p>
    <w:p w14:paraId="7FEFE12C" w14:textId="7668734B" w:rsidR="00F9048E" w:rsidRDefault="000A2BA4" w:rsidP="00BF2633">
      <w:pPr>
        <w:pStyle w:val="Paragraphtext"/>
      </w:pPr>
      <w:r w:rsidRPr="00E30936">
        <w:t>Chart</w:t>
      </w:r>
      <w:r w:rsidRPr="00E30936" w:rsidDel="00272C33">
        <w:t xml:space="preserve"> </w:t>
      </w:r>
      <w:r w:rsidR="00BF52BA">
        <w:t>4</w:t>
      </w:r>
      <w:r w:rsidRPr="00E30936">
        <w:t xml:space="preserve"> shows care minute’s compliance rates by MM </w:t>
      </w:r>
      <w:r w:rsidR="00E22A35">
        <w:t>classification</w:t>
      </w:r>
      <w:r w:rsidRPr="00E30936">
        <w:t xml:space="preserve"> in the latest quarter of available data</w:t>
      </w:r>
      <w:r>
        <w:t xml:space="preserve">. </w:t>
      </w:r>
      <w:r w:rsidR="00BF2633">
        <w:t>Counterintuitively</w:t>
      </w:r>
      <w:r w:rsidR="00062A93">
        <w:t>,</w:t>
      </w:r>
      <w:r w:rsidR="00BF2633">
        <w:t xml:space="preserve"> care minutes compliance rates are higher outside of metropolitan areas (MM2-7) than they are in metropolitan areas (MM1). While 33% of MM1 homes met both their </w:t>
      </w:r>
      <w:r w:rsidR="00C12285">
        <w:t xml:space="preserve">care minutes and RN </w:t>
      </w:r>
      <w:r w:rsidR="00BF2633">
        <w:t>targets, compliance rates in MM2-7 areas were between 37% (for MM3</w:t>
      </w:r>
      <w:r w:rsidR="00657024">
        <w:t>-</w:t>
      </w:r>
      <w:r w:rsidR="00BF2633">
        <w:t>4) and 100% (for MM7). This is despite the data and feedback indicating that workforce shortages are more significant outside of metropolitan areas.</w:t>
      </w:r>
      <w:r w:rsidR="00706C18">
        <w:t xml:space="preserve"> This </w:t>
      </w:r>
      <w:r w:rsidR="00BD3D5C">
        <w:t>indicates</w:t>
      </w:r>
      <w:r w:rsidR="00706C18">
        <w:t xml:space="preserve"> that </w:t>
      </w:r>
      <w:r w:rsidR="00450B23">
        <w:t>there are factors outside of workforce shortages impacting care minutes compliance across the sector.</w:t>
      </w:r>
    </w:p>
    <w:p w14:paraId="071956FB" w14:textId="6F60EEBF" w:rsidR="00385DD8" w:rsidRDefault="00385DD8" w:rsidP="006B4632">
      <w:pPr>
        <w:pStyle w:val="TableTitle"/>
      </w:pPr>
      <w:r w:rsidRPr="000E171C">
        <w:t xml:space="preserve">Chart </w:t>
      </w:r>
      <w:r w:rsidR="00BF52BA" w:rsidRPr="000E171C">
        <w:t>4</w:t>
      </w:r>
      <w:r w:rsidRPr="000E171C">
        <w:t>: Care minute compliance by location (Q2 2024-25)</w:t>
      </w:r>
    </w:p>
    <w:p w14:paraId="4B958EAF" w14:textId="3D83BA8A" w:rsidR="000D1706" w:rsidRPr="000E171C" w:rsidRDefault="0033710C" w:rsidP="006B4632">
      <w:pPr>
        <w:pStyle w:val="TableTitle"/>
      </w:pPr>
      <w:r w:rsidRPr="0033710C">
        <w:rPr>
          <w:noProof/>
          <w:lang w:val="en-AU" w:eastAsia="en-AU"/>
        </w:rPr>
        <w:drawing>
          <wp:inline distT="0" distB="0" distL="0" distR="0" wp14:anchorId="01980F1D" wp14:editId="451610A4">
            <wp:extent cx="5817038" cy="2543175"/>
            <wp:effectExtent l="0" t="0" r="0" b="0"/>
            <wp:docPr id="1165395792" name="Picture 1" descr="Chart 4: Care minute compliance by location (Q2 2024-25) shows care minutes compliance rates are higher outside of metropolitan areas (MM2-7) than they are in metropolitan areas (MM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95792" name="Picture 1" descr="Chart 4: Care minute compliance by location (Q2 2024-25) shows care minutes compliance rates are higher outside of metropolitan areas (MM2-7) than they are in metropolitan areas (MM1). "/>
                    <pic:cNvPicPr/>
                  </pic:nvPicPr>
                  <pic:blipFill>
                    <a:blip r:embed="rId19"/>
                    <a:stretch>
                      <a:fillRect/>
                    </a:stretch>
                  </pic:blipFill>
                  <pic:spPr>
                    <a:xfrm>
                      <a:off x="0" y="0"/>
                      <a:ext cx="5837808" cy="2552255"/>
                    </a:xfrm>
                    <a:prstGeom prst="rect">
                      <a:avLst/>
                    </a:prstGeom>
                  </pic:spPr>
                </pic:pic>
              </a:graphicData>
            </a:graphic>
          </wp:inline>
        </w:drawing>
      </w:r>
    </w:p>
    <w:p w14:paraId="64766929" w14:textId="7E30396C" w:rsidR="00385DD8" w:rsidRPr="00A57242" w:rsidRDefault="00385DD8" w:rsidP="00385DD8">
      <w:pPr>
        <w:keepNext/>
        <w:rPr>
          <w:sz w:val="16"/>
          <w:szCs w:val="16"/>
        </w:rPr>
      </w:pPr>
      <w:r w:rsidRPr="00D334F3">
        <w:rPr>
          <w:sz w:val="16"/>
          <w:szCs w:val="16"/>
        </w:rPr>
        <w:t>S</w:t>
      </w:r>
      <w:r w:rsidRPr="002071C9">
        <w:rPr>
          <w:sz w:val="16"/>
          <w:szCs w:val="16"/>
        </w:rPr>
        <w:t>ource:</w:t>
      </w:r>
      <w:r w:rsidRPr="00A57242">
        <w:rPr>
          <w:sz w:val="16"/>
          <w:szCs w:val="16"/>
        </w:rPr>
        <w:t xml:space="preserve"> D</w:t>
      </w:r>
      <w:r w:rsidR="00A24283">
        <w:rPr>
          <w:sz w:val="16"/>
          <w:szCs w:val="16"/>
        </w:rPr>
        <w:t>oHDA</w:t>
      </w:r>
      <w:r w:rsidRPr="00A57242">
        <w:rPr>
          <w:sz w:val="16"/>
          <w:szCs w:val="16"/>
        </w:rPr>
        <w:t>, Q</w:t>
      </w:r>
      <w:r w:rsidR="00A24283">
        <w:rPr>
          <w:sz w:val="16"/>
          <w:szCs w:val="16"/>
        </w:rPr>
        <w:t>FR</w:t>
      </w:r>
      <w:r w:rsidRPr="00A57242">
        <w:rPr>
          <w:sz w:val="16"/>
          <w:szCs w:val="16"/>
        </w:rPr>
        <w:t xml:space="preserve"> data</w:t>
      </w:r>
    </w:p>
    <w:p w14:paraId="3967DBA8" w14:textId="25DF8883" w:rsidR="00153993" w:rsidRDefault="00385DD8" w:rsidP="00C91A08">
      <w:pPr>
        <w:pStyle w:val="Tabletextleft"/>
      </w:pPr>
      <w:r w:rsidRPr="00A57242">
        <w:t>Notes: This is based on provider self-reported RN, EN &amp; PCW/AIN worked hours and occupied bed days data from the Q</w:t>
      </w:r>
      <w:r w:rsidR="00A24283">
        <w:t>FR</w:t>
      </w:r>
      <w:r w:rsidRPr="00A57242">
        <w:t xml:space="preserve">. </w:t>
      </w:r>
    </w:p>
    <w:p w14:paraId="10292305" w14:textId="6D1A3ADD" w:rsidR="00894A36" w:rsidRPr="00894A36" w:rsidRDefault="00D731E5" w:rsidP="00C91A08">
      <w:pPr>
        <w:pStyle w:val="Heading4"/>
      </w:pPr>
      <w:r>
        <w:t>For</w:t>
      </w:r>
      <w:r w:rsidR="003C43DA">
        <w:t>-</w:t>
      </w:r>
      <w:r w:rsidR="008B7DCA">
        <w:t>profit providers generally perform</w:t>
      </w:r>
      <w:r w:rsidR="00E730DF">
        <w:t xml:space="preserve"> far worse than other provider types</w:t>
      </w:r>
    </w:p>
    <w:p w14:paraId="0573B5A0" w14:textId="45888B24" w:rsidR="00BF6082" w:rsidRDefault="64AF505C" w:rsidP="003A5ADF">
      <w:pPr>
        <w:pStyle w:val="Paragraphtext"/>
      </w:pPr>
      <w:r w:rsidRPr="51365D77">
        <w:t xml:space="preserve">For-profit </w:t>
      </w:r>
      <w:r w:rsidR="095B648C">
        <w:t>homes</w:t>
      </w:r>
      <w:r>
        <w:t xml:space="preserve"> (comprising around 36% of all homes)</w:t>
      </w:r>
      <w:r w:rsidRPr="51365D77">
        <w:t xml:space="preserve"> are disproportionally located in metropolitan areas, with around 81% of for-profit </w:t>
      </w:r>
      <w:r w:rsidR="3044E9C2">
        <w:t>homes</w:t>
      </w:r>
      <w:r w:rsidRPr="51365D77">
        <w:t xml:space="preserve"> located in MM1 </w:t>
      </w:r>
      <w:r w:rsidR="002F78DB">
        <w:t>areas</w:t>
      </w:r>
      <w:r w:rsidRPr="51365D77">
        <w:t xml:space="preserve">s, compared to </w:t>
      </w:r>
      <w:r w:rsidRPr="51365D77">
        <w:lastRenderedPageBreak/>
        <w:t xml:space="preserve">around </w:t>
      </w:r>
      <w:r>
        <w:t>59</w:t>
      </w:r>
      <w:r w:rsidRPr="51365D77">
        <w:t>% of not-for-profit homes</w:t>
      </w:r>
      <w:r>
        <w:t xml:space="preserve"> (</w:t>
      </w:r>
      <w:r w:rsidR="6765C76B">
        <w:t>not-for-profit</w:t>
      </w:r>
      <w:r w:rsidR="309D800A">
        <w:t xml:space="preserve"> homes</w:t>
      </w:r>
      <w:r>
        <w:t xml:space="preserve"> comprise around 56% of all homes)</w:t>
      </w:r>
      <w:r w:rsidR="00EB434A">
        <w:rPr>
          <w:rStyle w:val="FootnoteReference"/>
        </w:rPr>
        <w:footnoteReference w:id="23"/>
      </w:r>
      <w:r w:rsidRPr="51365D77">
        <w:t xml:space="preserve">. Rural and remote </w:t>
      </w:r>
      <w:r w:rsidR="62B0AD80">
        <w:t>homes</w:t>
      </w:r>
      <w:r w:rsidRPr="51365D77">
        <w:t xml:space="preserve"> are largely run by not-for-profit </w:t>
      </w:r>
      <w:r w:rsidR="351F2634" w:rsidRPr="51365D77">
        <w:t>or</w:t>
      </w:r>
      <w:r w:rsidRPr="51365D77">
        <w:t xml:space="preserve"> state and local government owned providers.</w:t>
      </w:r>
    </w:p>
    <w:p w14:paraId="7C5CBCC0" w14:textId="10E85D20" w:rsidR="00D77C45" w:rsidRPr="00BF6082" w:rsidRDefault="00D77C45" w:rsidP="003A5ADF">
      <w:pPr>
        <w:pStyle w:val="Paragraphtext"/>
      </w:pPr>
      <w:r>
        <w:t xml:space="preserve">As </w:t>
      </w:r>
      <w:r w:rsidR="0006488A">
        <w:t xml:space="preserve">is </w:t>
      </w:r>
      <w:r w:rsidR="00924558">
        <w:t>evident</w:t>
      </w:r>
      <w:r>
        <w:t xml:space="preserve"> in chart </w:t>
      </w:r>
      <w:r w:rsidR="00322662">
        <w:t>5</w:t>
      </w:r>
      <w:r>
        <w:t>, for</w:t>
      </w:r>
      <w:r w:rsidR="00B35D0D">
        <w:t>-</w:t>
      </w:r>
      <w:r>
        <w:t xml:space="preserve">profit homes have far lower compliance rates than not-for-profit homes. While 43% of not-for-profit homes met both their care minutes targets in the December quarter of 2024, only 19% of for-profit homes </w:t>
      </w:r>
      <w:r w:rsidR="00E72733">
        <w:t>di</w:t>
      </w:r>
      <w:r w:rsidR="003575A9">
        <w:t>d</w:t>
      </w:r>
      <w:r>
        <w:t>. Looking only at total care minutes</w:t>
      </w:r>
      <w:r w:rsidR="007F009A">
        <w:t>,</w:t>
      </w:r>
      <w:r>
        <w:t xml:space="preserve"> </w:t>
      </w:r>
      <w:r w:rsidR="00C62389">
        <w:t>24% of for</w:t>
      </w:r>
      <w:r w:rsidR="1090BDF1">
        <w:t>-</w:t>
      </w:r>
      <w:r w:rsidR="00806677">
        <w:noBreakHyphen/>
      </w:r>
      <w:r w:rsidR="00C62389">
        <w:t xml:space="preserve">profit homes met their targets compared to 56% of </w:t>
      </w:r>
      <w:r w:rsidR="00E47825">
        <w:t>no</w:t>
      </w:r>
      <w:r w:rsidR="007F009A">
        <w:t>t</w:t>
      </w:r>
      <w:r w:rsidR="00E47825">
        <w:t xml:space="preserve">-for-profit homes. The difference is less stark for RN targets, with 55% of for-profit </w:t>
      </w:r>
      <w:r w:rsidR="003575A9">
        <w:t>homes</w:t>
      </w:r>
      <w:r w:rsidR="00E47825">
        <w:t xml:space="preserve"> meeting their targets compared to </w:t>
      </w:r>
      <w:r w:rsidR="000345DD">
        <w:t>66</w:t>
      </w:r>
      <w:r w:rsidR="00E47825">
        <w:t>%</w:t>
      </w:r>
      <w:r w:rsidR="000345DD">
        <w:t xml:space="preserve"> of not</w:t>
      </w:r>
      <w:r w:rsidR="518053F0">
        <w:t>-</w:t>
      </w:r>
      <w:r w:rsidR="003016A3">
        <w:noBreakHyphen/>
      </w:r>
      <w:r w:rsidR="000345DD">
        <w:t>for-profit</w:t>
      </w:r>
      <w:r w:rsidR="00F223D9">
        <w:t xml:space="preserve"> </w:t>
      </w:r>
      <w:r w:rsidR="003575A9">
        <w:t>homes</w:t>
      </w:r>
      <w:r w:rsidR="000345DD">
        <w:t>.</w:t>
      </w:r>
    </w:p>
    <w:p w14:paraId="2E7B8BE4" w14:textId="4FA20542" w:rsidR="00025B5F" w:rsidRDefault="01E4A9C2" w:rsidP="000345DD">
      <w:pPr>
        <w:pStyle w:val="FigureTitle"/>
        <w:keepNext/>
      </w:pPr>
      <w:r w:rsidRPr="0012120B">
        <w:t xml:space="preserve">Chart </w:t>
      </w:r>
      <w:r w:rsidR="00322662">
        <w:t>5</w:t>
      </w:r>
      <w:r w:rsidRPr="0012120B">
        <w:t xml:space="preserve">: </w:t>
      </w:r>
      <w:r w:rsidR="00431130" w:rsidRPr="0012120B">
        <w:t xml:space="preserve">Percentage of </w:t>
      </w:r>
      <w:r w:rsidR="00F61A75">
        <w:t>home</w:t>
      </w:r>
      <w:r w:rsidR="00431130" w:rsidRPr="0012120B">
        <w:t xml:space="preserve">s that met their targets by </w:t>
      </w:r>
      <w:r w:rsidR="00960B2E" w:rsidRPr="0012120B">
        <w:t>provider</w:t>
      </w:r>
      <w:r w:rsidR="004305B1" w:rsidRPr="0012120B">
        <w:t xml:space="preserve"> type (Q</w:t>
      </w:r>
      <w:r w:rsidR="00254243" w:rsidRPr="0012120B">
        <w:t>2</w:t>
      </w:r>
      <w:r w:rsidR="004305B1" w:rsidRPr="0012120B">
        <w:t xml:space="preserve"> 2024-25)</w:t>
      </w:r>
    </w:p>
    <w:p w14:paraId="2778B27D" w14:textId="379D986E" w:rsidR="00E5716C" w:rsidRDefault="00E06FF7" w:rsidP="00E5716C">
      <w:pPr>
        <w:pStyle w:val="Paragraphtext"/>
      </w:pPr>
      <w:r w:rsidRPr="00E06FF7">
        <w:rPr>
          <w:noProof/>
          <w:lang w:eastAsia="en-AU"/>
        </w:rPr>
        <w:drawing>
          <wp:inline distT="0" distB="0" distL="0" distR="0" wp14:anchorId="33ED779F" wp14:editId="29FD6723">
            <wp:extent cx="5785502" cy="2066925"/>
            <wp:effectExtent l="0" t="0" r="5715" b="0"/>
            <wp:docPr id="333054959" name="Picture 1" descr="Chart 5: Percentage of homes that met their targets by provider type (Q2 2024-25) shows for-profit homes have far lower compliance rates than not-for-profit h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54959" name="Picture 1" descr="Chart 5: Percentage of homes that met their targets by provider type (Q2 2024-25) shows for-profit homes have far lower compliance rates than not-for-profit homes. "/>
                    <pic:cNvPicPr/>
                  </pic:nvPicPr>
                  <pic:blipFill>
                    <a:blip r:embed="rId20"/>
                    <a:stretch>
                      <a:fillRect/>
                    </a:stretch>
                  </pic:blipFill>
                  <pic:spPr>
                    <a:xfrm>
                      <a:off x="0" y="0"/>
                      <a:ext cx="5829538" cy="2082657"/>
                    </a:xfrm>
                    <a:prstGeom prst="rect">
                      <a:avLst/>
                    </a:prstGeom>
                  </pic:spPr>
                </pic:pic>
              </a:graphicData>
            </a:graphic>
          </wp:inline>
        </w:drawing>
      </w:r>
    </w:p>
    <w:p w14:paraId="745CA698" w14:textId="07E9AA42" w:rsidR="004305B1" w:rsidRPr="00A57242" w:rsidRDefault="00693E55" w:rsidP="00150F04">
      <w:pPr>
        <w:pStyle w:val="Tabletextleft"/>
        <w:rPr>
          <w:rStyle w:val="Hyperlink"/>
        </w:rPr>
      </w:pPr>
      <w:r>
        <w:t>S</w:t>
      </w:r>
      <w:r w:rsidR="2C3989BA" w:rsidRPr="00E30936">
        <w:t xml:space="preserve">ource: </w:t>
      </w:r>
      <w:r w:rsidR="2C3989BA" w:rsidRPr="00A57242">
        <w:t>D</w:t>
      </w:r>
      <w:r w:rsidR="2693DAE3">
        <w:t>oHDA</w:t>
      </w:r>
      <w:r w:rsidR="7F5D9FFF" w:rsidRPr="00A57242">
        <w:t>,</w:t>
      </w:r>
      <w:r w:rsidR="2C3989BA" w:rsidRPr="00A57242">
        <w:t xml:space="preserve"> </w:t>
      </w:r>
      <w:r w:rsidR="232E507D" w:rsidRPr="00F82A37">
        <w:t>Care minutes dashboard - Quarter 2 2024-25</w:t>
      </w:r>
      <w:r w:rsidR="00367B08">
        <w:rPr>
          <w:rStyle w:val="FootnoteReference"/>
        </w:rPr>
        <w:footnoteReference w:id="24"/>
      </w:r>
    </w:p>
    <w:p w14:paraId="22DEB276" w14:textId="66004803" w:rsidR="008B6AFE" w:rsidRDefault="009E37C3" w:rsidP="000345DD">
      <w:pPr>
        <w:pStyle w:val="Tabletextleft"/>
      </w:pPr>
      <w:r w:rsidRPr="00A57242">
        <w:t>Notes: This is based on provider self-reported RN, EN &amp; PCW/AIN worked hours and occupied bed days data from the Q</w:t>
      </w:r>
      <w:r w:rsidR="001F0C22">
        <w:t>FR</w:t>
      </w:r>
      <w:r w:rsidRPr="00A57242">
        <w:t>.</w:t>
      </w:r>
      <w:r w:rsidRPr="00EB36FB">
        <w:t xml:space="preserve"> </w:t>
      </w:r>
    </w:p>
    <w:p w14:paraId="5DE6D0BE" w14:textId="4359A7C8" w:rsidR="00F022CB" w:rsidRPr="00424FB0" w:rsidRDefault="00F16EA6" w:rsidP="00424FB0">
      <w:pPr>
        <w:pStyle w:val="Paragraphtext"/>
      </w:pPr>
      <w:r w:rsidRPr="51365D77">
        <w:t xml:space="preserve">Of the </w:t>
      </w:r>
      <w:r w:rsidR="00F022CB" w:rsidRPr="51365D77">
        <w:t xml:space="preserve">for-profit </w:t>
      </w:r>
      <w:r w:rsidR="00515CCB">
        <w:t>home</w:t>
      </w:r>
      <w:r w:rsidR="00F022CB" w:rsidRPr="51365D77">
        <w:t>s not meeting their care minutes</w:t>
      </w:r>
      <w:r w:rsidR="00F24172">
        <w:t xml:space="preserve"> responsibilities</w:t>
      </w:r>
      <w:r w:rsidR="00F022CB" w:rsidRPr="51365D77">
        <w:t>, a large proportion have a significant gap between their targets and actual care time delivered</w:t>
      </w:r>
      <w:r w:rsidR="006B65DD" w:rsidRPr="51365D77">
        <w:t xml:space="preserve">, </w:t>
      </w:r>
      <w:r w:rsidR="00831C90">
        <w:t>that is,</w:t>
      </w:r>
      <w:r w:rsidR="006B65DD" w:rsidRPr="51365D77">
        <w:t xml:space="preserve"> they are not even close to </w:t>
      </w:r>
      <w:r w:rsidR="00966964">
        <w:t xml:space="preserve">being </w:t>
      </w:r>
      <w:r w:rsidR="006B65DD" w:rsidRPr="51365D77">
        <w:t>compliant</w:t>
      </w:r>
      <w:r w:rsidR="00F022CB" w:rsidRPr="51365D77">
        <w:t xml:space="preserve"> (see chart </w:t>
      </w:r>
      <w:r w:rsidR="00444C76">
        <w:t>6</w:t>
      </w:r>
      <w:r w:rsidR="006B65DD" w:rsidRPr="51365D77">
        <w:t>).</w:t>
      </w:r>
      <w:r w:rsidRPr="51365D77">
        <w:t xml:space="preserve"> For example, </w:t>
      </w:r>
      <w:r w:rsidR="0005797F">
        <w:t>8</w:t>
      </w:r>
      <w:r w:rsidR="00F022CB" w:rsidRPr="51365D77">
        <w:t xml:space="preserve">% of all for-profit </w:t>
      </w:r>
      <w:r w:rsidR="00515CCB">
        <w:t>home</w:t>
      </w:r>
      <w:r w:rsidR="00F022CB" w:rsidRPr="51365D77">
        <w:t>s were more than 30</w:t>
      </w:r>
      <w:r w:rsidR="000345DD">
        <w:t> </w:t>
      </w:r>
      <w:r w:rsidR="00F022CB" w:rsidRPr="51365D77">
        <w:t xml:space="preserve">minutes off meeting their total care minute targets and a further </w:t>
      </w:r>
      <w:r w:rsidRPr="51365D77">
        <w:t>1</w:t>
      </w:r>
      <w:r w:rsidR="006676AB">
        <w:t>4</w:t>
      </w:r>
      <w:r w:rsidR="00F022CB" w:rsidRPr="51365D77">
        <w:t>% had a gap of 20</w:t>
      </w:r>
      <w:r w:rsidR="007F7E3D" w:rsidRPr="51365D77">
        <w:t> </w:t>
      </w:r>
      <w:r w:rsidRPr="51365D77">
        <w:t>to 30</w:t>
      </w:r>
      <w:r w:rsidR="000345DD">
        <w:t> </w:t>
      </w:r>
      <w:r w:rsidRPr="51365D77">
        <w:t>minutes. By comparison</w:t>
      </w:r>
      <w:r w:rsidR="00526B67">
        <w:t>,</w:t>
      </w:r>
      <w:r w:rsidRPr="51365D77">
        <w:t xml:space="preserve"> only </w:t>
      </w:r>
      <w:r w:rsidR="005576B4">
        <w:t>2</w:t>
      </w:r>
      <w:r w:rsidRPr="51365D77">
        <w:t xml:space="preserve">% of not-for-profit </w:t>
      </w:r>
      <w:r w:rsidR="00930234">
        <w:t>homes</w:t>
      </w:r>
      <w:r w:rsidRPr="51365D77">
        <w:t xml:space="preserve"> had a gap of more than 30</w:t>
      </w:r>
      <w:r w:rsidR="007F7E3D" w:rsidRPr="51365D77">
        <w:t> </w:t>
      </w:r>
      <w:r w:rsidRPr="51365D77">
        <w:t>minutes</w:t>
      </w:r>
      <w:r w:rsidR="00F505BD">
        <w:t xml:space="preserve"> and 6% had a gap of 20-30 </w:t>
      </w:r>
      <w:r w:rsidR="00B85F22">
        <w:t>minutes</w:t>
      </w:r>
      <w:r w:rsidRPr="51365D77">
        <w:t>.</w:t>
      </w:r>
      <w:r w:rsidR="006B65DD" w:rsidRPr="51365D77">
        <w:t xml:space="preserve"> </w:t>
      </w:r>
    </w:p>
    <w:p w14:paraId="5F32EFFE" w14:textId="672AEFAF" w:rsidR="00F022CB" w:rsidRDefault="00F022CB" w:rsidP="006B4632">
      <w:pPr>
        <w:pStyle w:val="FigureTitle"/>
        <w:keepNext/>
      </w:pPr>
      <w:r w:rsidRPr="000345DD">
        <w:lastRenderedPageBreak/>
        <w:t xml:space="preserve">Chart </w:t>
      </w:r>
      <w:r w:rsidR="00444C76">
        <w:t>6</w:t>
      </w:r>
      <w:r w:rsidRPr="000345DD">
        <w:t xml:space="preserve">: </w:t>
      </w:r>
      <w:r w:rsidR="00F16EA6" w:rsidRPr="000345DD">
        <w:t xml:space="preserve">Gap from meeting total care minutes targets </w:t>
      </w:r>
      <w:r w:rsidR="001250BD" w:rsidRPr="000345DD">
        <w:t>(</w:t>
      </w:r>
      <w:r w:rsidR="007C30A4" w:rsidRPr="000345DD">
        <w:t>Q</w:t>
      </w:r>
      <w:r w:rsidR="00421360" w:rsidRPr="000345DD">
        <w:t>2</w:t>
      </w:r>
      <w:r w:rsidR="007C30A4" w:rsidRPr="000345DD">
        <w:t xml:space="preserve"> 2024-25</w:t>
      </w:r>
      <w:r w:rsidR="001250BD" w:rsidRPr="000345DD">
        <w:t>)</w:t>
      </w:r>
    </w:p>
    <w:p w14:paraId="14FBC09A" w14:textId="0ED3CD4F" w:rsidR="006B730C" w:rsidRDefault="009F4FC2" w:rsidP="006B730C">
      <w:pPr>
        <w:pStyle w:val="Paragraphtext"/>
      </w:pPr>
      <w:r w:rsidRPr="009F4FC2">
        <w:rPr>
          <w:noProof/>
          <w:lang w:eastAsia="en-AU"/>
        </w:rPr>
        <w:drawing>
          <wp:inline distT="0" distB="0" distL="0" distR="0" wp14:anchorId="6E780F29" wp14:editId="243A8FB5">
            <wp:extent cx="5762998" cy="2171700"/>
            <wp:effectExtent l="0" t="0" r="9525" b="0"/>
            <wp:docPr id="2092950933" name="Picture 1" descr="Chart 6: Gap from meeting total care minutes targets (Q2 2024-25) shows of the for-profit homes not meeting their care minutes responsibilities, a large proportion have a significant gap between their targets and actual care time delivered, that is, they are not even close to being compli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50933" name="Picture 1" descr="Chart 6: Gap from meeting total care minutes targets (Q2 2024-25) shows of the for-profit homes not meeting their care minutes responsibilities, a large proportion have a significant gap between their targets and actual care time delivered, that is, they are not even close to being compliant "/>
                    <pic:cNvPicPr/>
                  </pic:nvPicPr>
                  <pic:blipFill>
                    <a:blip r:embed="rId21"/>
                    <a:stretch>
                      <a:fillRect/>
                    </a:stretch>
                  </pic:blipFill>
                  <pic:spPr>
                    <a:xfrm>
                      <a:off x="0" y="0"/>
                      <a:ext cx="5818779" cy="2192720"/>
                    </a:xfrm>
                    <a:prstGeom prst="rect">
                      <a:avLst/>
                    </a:prstGeom>
                  </pic:spPr>
                </pic:pic>
              </a:graphicData>
            </a:graphic>
          </wp:inline>
        </w:drawing>
      </w:r>
    </w:p>
    <w:p w14:paraId="4876C957" w14:textId="4FF8F159" w:rsidR="00150F04" w:rsidRPr="000E171C" w:rsidRDefault="00150F04" w:rsidP="006B4632">
      <w:pPr>
        <w:pStyle w:val="Tabletextleft"/>
      </w:pPr>
      <w:r w:rsidRPr="000E171C">
        <w:t>Source: D</w:t>
      </w:r>
      <w:r w:rsidR="00930234" w:rsidRPr="000E171C">
        <w:t>oHDA</w:t>
      </w:r>
      <w:r w:rsidRPr="000E171C">
        <w:t>, Q</w:t>
      </w:r>
      <w:r w:rsidR="00930234" w:rsidRPr="000E171C">
        <w:t>FR</w:t>
      </w:r>
      <w:r w:rsidRPr="000E171C">
        <w:t xml:space="preserve"> data</w:t>
      </w:r>
    </w:p>
    <w:p w14:paraId="148E5DF7" w14:textId="2677B8B0" w:rsidR="009E37C3" w:rsidRDefault="009E37C3" w:rsidP="00A57242">
      <w:pPr>
        <w:pStyle w:val="Tabletextleft"/>
      </w:pPr>
      <w:r w:rsidRPr="00A57242">
        <w:t>Notes: This is based on provider self-reported RN, EN &amp; PCW/AIN worked hours and occupied bed days data from the Q</w:t>
      </w:r>
      <w:r w:rsidR="00C70D31">
        <w:t>FR</w:t>
      </w:r>
      <w:r w:rsidRPr="00A57242">
        <w:t xml:space="preserve">. </w:t>
      </w:r>
    </w:p>
    <w:p w14:paraId="7196B391" w14:textId="25B7F002" w:rsidR="00866978" w:rsidRDefault="00CD5F5C" w:rsidP="00CD5F5C">
      <w:pPr>
        <w:pStyle w:val="Paragraphtext"/>
      </w:pPr>
      <w:r w:rsidRPr="006B16A4">
        <w:t>When looking at the data split by location and ownership type in chart 9, for</w:t>
      </w:r>
      <w:r w:rsidR="4D8FF597">
        <w:t>-</w:t>
      </w:r>
      <w:r w:rsidRPr="006B16A4">
        <w:t xml:space="preserve">profit </w:t>
      </w:r>
      <w:r w:rsidR="000345DD" w:rsidRPr="006B16A4">
        <w:t>services</w:t>
      </w:r>
      <w:r w:rsidRPr="006B16A4">
        <w:t xml:space="preserve"> are performing far worse in terms of care minutes compliance across all regions except MM5 (noting that there are </w:t>
      </w:r>
      <w:r w:rsidR="00E4666F" w:rsidRPr="006B16A4">
        <w:t>relatively</w:t>
      </w:r>
      <w:r w:rsidRPr="006B16A4">
        <w:t xml:space="preserve"> few for-profit homes in MM5). For example, in MM1 only </w:t>
      </w:r>
      <w:r w:rsidR="006B16A4" w:rsidRPr="006B16A4">
        <w:t>18</w:t>
      </w:r>
      <w:r w:rsidRPr="006B16A4">
        <w:t>% of for</w:t>
      </w:r>
      <w:r w:rsidR="00783160">
        <w:t>-</w:t>
      </w:r>
      <w:r w:rsidRPr="006B16A4">
        <w:t xml:space="preserve">profit </w:t>
      </w:r>
      <w:r w:rsidR="00783160">
        <w:t xml:space="preserve">homes </w:t>
      </w:r>
      <w:r w:rsidRPr="006B16A4">
        <w:t xml:space="preserve">met both their </w:t>
      </w:r>
      <w:r w:rsidR="00B419EF">
        <w:t xml:space="preserve">care minutes and RN </w:t>
      </w:r>
      <w:r w:rsidRPr="006B16A4">
        <w:t xml:space="preserve">targets </w:t>
      </w:r>
      <w:r w:rsidR="00B419EF">
        <w:t xml:space="preserve">as </w:t>
      </w:r>
      <w:r w:rsidRPr="006B16A4">
        <w:t xml:space="preserve">compared to </w:t>
      </w:r>
      <w:r w:rsidR="006B16A4" w:rsidRPr="006B16A4">
        <w:t>45</w:t>
      </w:r>
      <w:r w:rsidRPr="006B16A4">
        <w:t xml:space="preserve">% of not-for-profit </w:t>
      </w:r>
      <w:r w:rsidR="00783160">
        <w:t>home</w:t>
      </w:r>
      <w:r w:rsidRPr="006B16A4">
        <w:t>s.</w:t>
      </w:r>
    </w:p>
    <w:p w14:paraId="250EFE37" w14:textId="0B5BBAF7" w:rsidR="00CD5F5C" w:rsidRDefault="00CD5F5C" w:rsidP="006B4632">
      <w:pPr>
        <w:pStyle w:val="TableTitle"/>
      </w:pPr>
      <w:r w:rsidRPr="000E171C">
        <w:t xml:space="preserve">Chart </w:t>
      </w:r>
      <w:r w:rsidR="00EA282C" w:rsidRPr="000E171C">
        <w:t>7</w:t>
      </w:r>
      <w:r w:rsidRPr="000E171C">
        <w:t>: Care minutes compliance by location and provider type (Q2 2024-25)</w:t>
      </w:r>
    </w:p>
    <w:p w14:paraId="57494279" w14:textId="562B4D8B" w:rsidR="00D7524B" w:rsidRPr="000E171C" w:rsidRDefault="00C3279C" w:rsidP="006B4632">
      <w:pPr>
        <w:pStyle w:val="TableTitle"/>
      </w:pPr>
      <w:r w:rsidRPr="00C3279C">
        <w:rPr>
          <w:noProof/>
          <w:lang w:val="en-AU" w:eastAsia="en-AU"/>
        </w:rPr>
        <w:drawing>
          <wp:inline distT="0" distB="0" distL="0" distR="0" wp14:anchorId="564AA6A9" wp14:editId="494EB63A">
            <wp:extent cx="5714607" cy="3286125"/>
            <wp:effectExtent l="0" t="0" r="635" b="0"/>
            <wp:docPr id="1320490439" name="Picture 1" descr="Chart 7: Care minutes compliance by location (MM1-5) and provider type (for-profit and not-for-profit) (Q2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90439" name="Picture 1" descr="Chart 7: Care minutes compliance by location (MM1-5) and provider type (for-profit and not-for-profit) (Q2 2024-25) "/>
                    <pic:cNvPicPr/>
                  </pic:nvPicPr>
                  <pic:blipFill>
                    <a:blip r:embed="rId22"/>
                    <a:stretch>
                      <a:fillRect/>
                    </a:stretch>
                  </pic:blipFill>
                  <pic:spPr>
                    <a:xfrm>
                      <a:off x="0" y="0"/>
                      <a:ext cx="5735110" cy="3297915"/>
                    </a:xfrm>
                    <a:prstGeom prst="rect">
                      <a:avLst/>
                    </a:prstGeom>
                  </pic:spPr>
                </pic:pic>
              </a:graphicData>
            </a:graphic>
          </wp:inline>
        </w:drawing>
      </w:r>
    </w:p>
    <w:p w14:paraId="3C3DF8FC" w14:textId="65287A6E" w:rsidR="00CD5F5C" w:rsidRPr="000E171C" w:rsidRDefault="00CD5F5C" w:rsidP="006B4632">
      <w:pPr>
        <w:pStyle w:val="Tabletextleft"/>
      </w:pPr>
      <w:r w:rsidRPr="000E171C">
        <w:t>Source: D</w:t>
      </w:r>
      <w:r w:rsidR="00CB1BD1" w:rsidRPr="000E171C">
        <w:t>oH</w:t>
      </w:r>
      <w:r w:rsidR="00CC3C47" w:rsidRPr="000E171C">
        <w:t>DA</w:t>
      </w:r>
      <w:r w:rsidRPr="000E171C">
        <w:t>, Q</w:t>
      </w:r>
      <w:r w:rsidR="00CB1BD1" w:rsidRPr="000E171C">
        <w:t>FR</w:t>
      </w:r>
      <w:r w:rsidRPr="000E171C">
        <w:t xml:space="preserve"> data</w:t>
      </w:r>
    </w:p>
    <w:p w14:paraId="3085A4E7" w14:textId="4E8D103C" w:rsidR="00CD5F5C" w:rsidRDefault="00CD5F5C" w:rsidP="006B4632">
      <w:pPr>
        <w:pStyle w:val="Tabletextleft"/>
      </w:pPr>
      <w:r w:rsidRPr="00F54C0F">
        <w:t>Notes: This is based on provider self-reported RN, EN &amp; PCW/AIN worked hours and occupied bed days data from the Q</w:t>
      </w:r>
      <w:r w:rsidR="00CB1BD1">
        <w:t>FR</w:t>
      </w:r>
      <w:r w:rsidRPr="00F54C0F">
        <w:t>. MM6-7 are not shown because there are no for-profit homes</w:t>
      </w:r>
      <w:r w:rsidRPr="00111BB1">
        <w:t xml:space="preserve"> in MM6-7</w:t>
      </w:r>
      <w:r>
        <w:t xml:space="preserve">. </w:t>
      </w:r>
    </w:p>
    <w:p w14:paraId="24223F53" w14:textId="348DA4CE" w:rsidR="00CD5F5C" w:rsidRDefault="37B816D5" w:rsidP="00424FB0">
      <w:pPr>
        <w:pStyle w:val="Paragraphtext"/>
      </w:pPr>
      <w:r>
        <w:t xml:space="preserve">It is evident from chart </w:t>
      </w:r>
      <w:r w:rsidR="358838CC">
        <w:t>7</w:t>
      </w:r>
      <w:r>
        <w:t xml:space="preserve">, lower </w:t>
      </w:r>
      <w:r w:rsidR="006021BA">
        <w:t xml:space="preserve">care minute compliance </w:t>
      </w:r>
      <w:r>
        <w:t>in metropolitan areas</w:t>
      </w:r>
      <w:r w:rsidR="00B4375F">
        <w:t xml:space="preserve"> </w:t>
      </w:r>
      <w:r w:rsidR="00A96004">
        <w:t>compared to</w:t>
      </w:r>
      <w:r>
        <w:t xml:space="preserve"> regional and rural areas is </w:t>
      </w:r>
      <w:r w:rsidR="737B6EF9">
        <w:t>largely</w:t>
      </w:r>
      <w:r w:rsidR="00205B7A">
        <w:t xml:space="preserve"> </w:t>
      </w:r>
      <w:r>
        <w:t>driven</w:t>
      </w:r>
      <w:r w:rsidDel="00205B7A">
        <w:t xml:space="preserve"> </w:t>
      </w:r>
      <w:r>
        <w:t>by the distribution of homes by provider type across the regions, specifically the relatively high proportion of for-profit</w:t>
      </w:r>
      <w:r w:rsidR="44D1A0DB">
        <w:t xml:space="preserve"> homes</w:t>
      </w:r>
      <w:r>
        <w:t xml:space="preserve"> in MM1 </w:t>
      </w:r>
      <w:r w:rsidR="21635124">
        <w:t>regions</w:t>
      </w:r>
      <w:r>
        <w:t xml:space="preserve"> compared to all other MM</w:t>
      </w:r>
      <w:r w:rsidR="66501456">
        <w:t xml:space="preserve"> regions</w:t>
      </w:r>
      <w:r w:rsidR="54ACFE40">
        <w:t>. For example, the compliance rate</w:t>
      </w:r>
      <w:r w:rsidR="0613BF21">
        <w:t>s</w:t>
      </w:r>
      <w:r w:rsidR="2EC8A0D1">
        <w:t xml:space="preserve"> </w:t>
      </w:r>
      <w:r w:rsidR="02968326">
        <w:t>for not-for-profit</w:t>
      </w:r>
      <w:r w:rsidR="1CD02D30">
        <w:t xml:space="preserve"> homes</w:t>
      </w:r>
      <w:r w:rsidR="1EF55688">
        <w:t xml:space="preserve"> </w:t>
      </w:r>
      <w:r w:rsidR="006A82F2">
        <w:t xml:space="preserve">generally decrease </w:t>
      </w:r>
      <w:r w:rsidR="3ED21732">
        <w:t>with remoteness between MM1</w:t>
      </w:r>
      <w:r w:rsidR="24664A81">
        <w:t xml:space="preserve"> (where 45% meet both targets)</w:t>
      </w:r>
      <w:r w:rsidR="3ED21732">
        <w:t xml:space="preserve"> and MM4</w:t>
      </w:r>
      <w:r w:rsidR="24664A81">
        <w:t xml:space="preserve"> (where </w:t>
      </w:r>
      <w:r w:rsidR="58FD2C61">
        <w:t xml:space="preserve">32% of </w:t>
      </w:r>
      <w:r w:rsidR="1CD02D30">
        <w:t>homes</w:t>
      </w:r>
      <w:r w:rsidR="58FD2C61">
        <w:t xml:space="preserve"> meet both targets)</w:t>
      </w:r>
      <w:r w:rsidR="1356D83C">
        <w:t xml:space="preserve">. </w:t>
      </w:r>
    </w:p>
    <w:p w14:paraId="13B6D720" w14:textId="0913F85E" w:rsidR="004C78A3" w:rsidRDefault="2F3F7637" w:rsidP="00424FB0">
      <w:pPr>
        <w:pStyle w:val="Paragraphtext"/>
      </w:pPr>
      <w:r>
        <w:lastRenderedPageBreak/>
        <w:t xml:space="preserve">The department has had discussions with various </w:t>
      </w:r>
      <w:r w:rsidR="00677485">
        <w:t xml:space="preserve">residential aged care </w:t>
      </w:r>
      <w:r>
        <w:t>advisory and consultation bodies to try and understand what kinds of legitimate reasons might be driving</w:t>
      </w:r>
      <w:r w:rsidR="004465F0">
        <w:t xml:space="preserve"> the </w:t>
      </w:r>
      <w:r>
        <w:t xml:space="preserve">differences in performance between for-profit and not-for-profit providers (noting that residential </w:t>
      </w:r>
      <w:r w:rsidR="5C0964D4">
        <w:t xml:space="preserve">aged </w:t>
      </w:r>
      <w:r>
        <w:t xml:space="preserve">care funding arrangements are identical across the sector). </w:t>
      </w:r>
      <w:r w:rsidR="783C9A4B">
        <w:t>Reasons identified</w:t>
      </w:r>
      <w:r>
        <w:t xml:space="preserve"> include that not-for-profit</w:t>
      </w:r>
      <w:r w:rsidR="40F39116">
        <w:t xml:space="preserve"> providers</w:t>
      </w:r>
      <w:r>
        <w:t xml:space="preserve"> may be </w:t>
      </w:r>
      <w:r w:rsidR="38A73500">
        <w:t>using</w:t>
      </w:r>
      <w:r>
        <w:t xml:space="preserve"> income from other parts of their organisation to support meeting their care minutes</w:t>
      </w:r>
      <w:r w:rsidR="033A641E">
        <w:t xml:space="preserve"> responsibilities</w:t>
      </w:r>
      <w:r>
        <w:t>, and that potentially</w:t>
      </w:r>
      <w:r w:rsidR="1A87B9E4">
        <w:t>,</w:t>
      </w:r>
      <w:r>
        <w:t xml:space="preserve"> for-profit</w:t>
      </w:r>
      <w:r w:rsidR="559A32B9">
        <w:t xml:space="preserve"> providers</w:t>
      </w:r>
      <w:r>
        <w:t xml:space="preserve"> could not afford to meet their care minutes </w:t>
      </w:r>
      <w:r w:rsidR="033A641E">
        <w:t xml:space="preserve">targets </w:t>
      </w:r>
      <w:r>
        <w:t>because they (unlike not-for-profit</w:t>
      </w:r>
      <w:r w:rsidR="1A87B9E4">
        <w:t xml:space="preserve"> providers</w:t>
      </w:r>
      <w:r>
        <w:t>) are required to pay state-based payroll tax.</w:t>
      </w:r>
    </w:p>
    <w:p w14:paraId="2CF0BD6B" w14:textId="5E2BD63C" w:rsidR="00D43064" w:rsidRDefault="004C78A3" w:rsidP="00D43064">
      <w:pPr>
        <w:pStyle w:val="Paragraphtext"/>
      </w:pPr>
      <w:r>
        <w:t xml:space="preserve">The department investigated these </w:t>
      </w:r>
      <w:r w:rsidR="00F97F64">
        <w:t xml:space="preserve">explanations </w:t>
      </w:r>
      <w:r w:rsidR="00522799">
        <w:t>using</w:t>
      </w:r>
      <w:r w:rsidR="00F97F64">
        <w:t xml:space="preserve"> available financial reporting from th</w:t>
      </w:r>
      <w:r w:rsidR="00555322">
        <w:t>e sector</w:t>
      </w:r>
      <w:r w:rsidR="00B52A2C">
        <w:t xml:space="preserve">. </w:t>
      </w:r>
      <w:r w:rsidR="00442F65">
        <w:t>When investigated</w:t>
      </w:r>
      <w:r w:rsidR="00B5084B">
        <w:t xml:space="preserve"> for 2023-24</w:t>
      </w:r>
      <w:r w:rsidR="00442F65">
        <w:t xml:space="preserve">, there was </w:t>
      </w:r>
      <w:r w:rsidR="00FD1892">
        <w:t>no</w:t>
      </w:r>
      <w:r w:rsidR="00442F65">
        <w:t xml:space="preserve"> evidence </w:t>
      </w:r>
      <w:r w:rsidR="000A25B9">
        <w:t xml:space="preserve">that </w:t>
      </w:r>
      <w:r w:rsidR="006A7320">
        <w:t>a lack of care funding</w:t>
      </w:r>
      <w:r w:rsidR="00CE3076">
        <w:t xml:space="preserve"> </w:t>
      </w:r>
      <w:r w:rsidR="00464CAB">
        <w:t>was</w:t>
      </w:r>
      <w:r w:rsidR="006A7320">
        <w:t xml:space="preserve"> driving</w:t>
      </w:r>
      <w:r w:rsidR="00116901">
        <w:t xml:space="preserve"> the difference in care minutes performance</w:t>
      </w:r>
      <w:r w:rsidR="0070601F">
        <w:t xml:space="preserve"> between provider types. While </w:t>
      </w:r>
      <w:r w:rsidR="00A35EB8">
        <w:t>for-profit</w:t>
      </w:r>
      <w:r w:rsidR="00436F0A">
        <w:t xml:space="preserve"> providers</w:t>
      </w:r>
      <w:r w:rsidR="00A35EB8">
        <w:t xml:space="preserve"> are liable for</w:t>
      </w:r>
      <w:r w:rsidR="00FD1892">
        <w:t xml:space="preserve"> state</w:t>
      </w:r>
      <w:r w:rsidR="5ADCF702">
        <w:t>-</w:t>
      </w:r>
      <w:r w:rsidR="00FD1892">
        <w:t>based</w:t>
      </w:r>
      <w:r w:rsidR="00D06545">
        <w:t xml:space="preserve"> payroll tax, and not-for-profit</w:t>
      </w:r>
      <w:r w:rsidR="007B1AFB">
        <w:t xml:space="preserve"> providers</w:t>
      </w:r>
      <w:r w:rsidR="00D06545">
        <w:t xml:space="preserve"> are not, care profit</w:t>
      </w:r>
      <w:r w:rsidR="00221D4C">
        <w:t>s</w:t>
      </w:r>
      <w:r w:rsidR="00D06545">
        <w:t xml:space="preserve"> </w:t>
      </w:r>
      <w:r w:rsidR="00221D4C">
        <w:t xml:space="preserve">by provider type are on average substantially higher </w:t>
      </w:r>
      <w:r w:rsidR="00CE3076">
        <w:t xml:space="preserve">for for-profit providers. </w:t>
      </w:r>
      <w:r w:rsidR="00D575C3">
        <w:t>For example, as is show</w:t>
      </w:r>
      <w:r w:rsidR="00477E48">
        <w:t>n in chart</w:t>
      </w:r>
      <w:r w:rsidR="00B5084B">
        <w:t> </w:t>
      </w:r>
      <w:r w:rsidR="00EA282C">
        <w:t>8</w:t>
      </w:r>
      <w:r w:rsidR="00477E48">
        <w:t xml:space="preserve">, for-profit homes that met their total care minutes targets </w:t>
      </w:r>
      <w:r w:rsidR="00B5084B">
        <w:t xml:space="preserve">for each quarter </w:t>
      </w:r>
      <w:r w:rsidR="007A41DC">
        <w:t>recorded a $20.23 per resident per day care profit</w:t>
      </w:r>
      <w:r w:rsidR="00312219">
        <w:t xml:space="preserve"> on average</w:t>
      </w:r>
      <w:r w:rsidR="004D4AD0">
        <w:t>, while</w:t>
      </w:r>
      <w:r w:rsidR="005940A3">
        <w:t xml:space="preserve"> not-for-profit</w:t>
      </w:r>
      <w:r w:rsidR="00655E05">
        <w:t xml:space="preserve"> homes</w:t>
      </w:r>
      <w:r w:rsidR="005940A3">
        <w:t xml:space="preserve"> recorded a</w:t>
      </w:r>
      <w:r w:rsidR="00EC0906">
        <w:t xml:space="preserve"> care profit of</w:t>
      </w:r>
      <w:r w:rsidR="005940A3">
        <w:t xml:space="preserve"> </w:t>
      </w:r>
      <w:r w:rsidR="00C96EC7">
        <w:t>$6.80 pe</w:t>
      </w:r>
      <w:r w:rsidR="00EC0906">
        <w:t>r resident per day on average.</w:t>
      </w:r>
      <w:r w:rsidR="00D97564">
        <w:t xml:space="preserve"> This is explored further in the section below.</w:t>
      </w:r>
    </w:p>
    <w:p w14:paraId="6C8E6B97" w14:textId="274FD364" w:rsidR="00F55793" w:rsidRPr="00D43064" w:rsidRDefault="00F55793" w:rsidP="00D43064">
      <w:pPr>
        <w:pStyle w:val="Paragraphtext"/>
      </w:pPr>
      <w:r w:rsidRPr="00F55793">
        <w:t xml:space="preserve">The fact that on average for-profit providers have </w:t>
      </w:r>
      <w:r w:rsidR="00FD1892">
        <w:t>systemically</w:t>
      </w:r>
      <w:r w:rsidRPr="00F55793">
        <w:t xml:space="preserve"> lower compliance rates than not</w:t>
      </w:r>
      <w:r w:rsidR="00CE0741">
        <w:noBreakHyphen/>
      </w:r>
      <w:r w:rsidRPr="00F55793">
        <w:t>for-profit</w:t>
      </w:r>
      <w:r w:rsidR="00655E05">
        <w:t xml:space="preserve"> providers</w:t>
      </w:r>
      <w:r w:rsidRPr="00F55793">
        <w:t xml:space="preserve"> is further indication that some of the sector’s non-compliance</w:t>
      </w:r>
      <w:r>
        <w:t xml:space="preserve"> with care minutes</w:t>
      </w:r>
      <w:r w:rsidRPr="00F55793">
        <w:t xml:space="preserve"> is driven by business decisions rather than factors outside the provider</w:t>
      </w:r>
      <w:r w:rsidR="00B3376C">
        <w:t>’</w:t>
      </w:r>
      <w:r w:rsidRPr="00F55793">
        <w:t>s control such as workforce shortages.</w:t>
      </w:r>
      <w:r>
        <w:t xml:space="preserve"> </w:t>
      </w:r>
    </w:p>
    <w:p w14:paraId="7EF29964" w14:textId="3882CC17" w:rsidR="007701F3" w:rsidRPr="00031987" w:rsidRDefault="00F004F0" w:rsidP="005569C5">
      <w:pPr>
        <w:pStyle w:val="Heading4"/>
      </w:pPr>
      <w:r w:rsidRPr="005569C5">
        <w:t xml:space="preserve">Not </w:t>
      </w:r>
      <w:r w:rsidR="00D43064" w:rsidRPr="005569C5">
        <w:t xml:space="preserve">delivering care minutes </w:t>
      </w:r>
      <w:r w:rsidR="0098724E" w:rsidRPr="005569C5">
        <w:t>is financially advantageous to provider</w:t>
      </w:r>
      <w:r w:rsidR="002135A0" w:rsidRPr="005569C5">
        <w:t>s</w:t>
      </w:r>
    </w:p>
    <w:p w14:paraId="55272393" w14:textId="5130D001" w:rsidR="00836C7B" w:rsidRDefault="00DD0729" w:rsidP="003A5ADF">
      <w:pPr>
        <w:pStyle w:val="Paragraphtext"/>
      </w:pPr>
      <w:r>
        <w:t>Under current funding arrangements</w:t>
      </w:r>
      <w:r w:rsidR="00057608">
        <w:t xml:space="preserve">, the amount of care funding a provider receives depends </w:t>
      </w:r>
      <w:r w:rsidR="00C83B0A">
        <w:t xml:space="preserve">on the </w:t>
      </w:r>
      <w:r w:rsidR="00C83B0A" w:rsidRPr="00204AB4">
        <w:t xml:space="preserve">number of residents they have in care and the </w:t>
      </w:r>
      <w:r w:rsidR="00A263F4" w:rsidRPr="00204AB4">
        <w:t>AN</w:t>
      </w:r>
      <w:r w:rsidR="6001572B">
        <w:t>-</w:t>
      </w:r>
      <w:r w:rsidR="00A263F4" w:rsidRPr="00204AB4">
        <w:t xml:space="preserve">ACC classification of these residents. </w:t>
      </w:r>
      <w:r w:rsidR="00E6618A">
        <w:t>P</w:t>
      </w:r>
      <w:r w:rsidR="00836C7B">
        <w:t>roviders are</w:t>
      </w:r>
      <w:r w:rsidR="00E211F1">
        <w:t xml:space="preserve"> also</w:t>
      </w:r>
      <w:r w:rsidR="00836C7B">
        <w:t xml:space="preserve"> not able to charge residents additional fees for care that</w:t>
      </w:r>
      <w:r w:rsidR="00A13C49">
        <w:t xml:space="preserve"> they are required to provide under the </w:t>
      </w:r>
      <w:r w:rsidR="00A13C49" w:rsidRPr="0012120B">
        <w:rPr>
          <w:i/>
          <w:iCs/>
        </w:rPr>
        <w:t>Aged Care Act 1997</w:t>
      </w:r>
      <w:r w:rsidR="00A13C49">
        <w:t xml:space="preserve"> (</w:t>
      </w:r>
      <w:r w:rsidR="00581EF6">
        <w:t xml:space="preserve">this </w:t>
      </w:r>
      <w:r w:rsidR="0016259C">
        <w:t>remains</w:t>
      </w:r>
      <w:r w:rsidR="00581EF6">
        <w:t xml:space="preserve"> the case once the </w:t>
      </w:r>
      <w:r w:rsidR="00581EF6" w:rsidRPr="009F1210">
        <w:rPr>
          <w:i/>
          <w:iCs/>
        </w:rPr>
        <w:t>Aged Care Act 2024</w:t>
      </w:r>
      <w:r w:rsidR="00581EF6">
        <w:t xml:space="preserve"> commences).</w:t>
      </w:r>
    </w:p>
    <w:p w14:paraId="79016925" w14:textId="433A0D59" w:rsidR="009A0F68" w:rsidRDefault="00E806FD" w:rsidP="003A5ADF">
      <w:pPr>
        <w:pStyle w:val="Paragraphtext"/>
      </w:pPr>
      <w:r>
        <w:t>F</w:t>
      </w:r>
      <w:r w:rsidR="008B12FB">
        <w:t xml:space="preserve">ull funding is provided </w:t>
      </w:r>
      <w:r w:rsidR="1D4C48CB">
        <w:t>regardless of whether a</w:t>
      </w:r>
      <w:r w:rsidR="008B12FB">
        <w:t xml:space="preserve"> </w:t>
      </w:r>
      <w:r w:rsidR="00974931">
        <w:t xml:space="preserve">provider </w:t>
      </w:r>
      <w:r w:rsidR="2C51BA4C">
        <w:t>meets</w:t>
      </w:r>
      <w:r w:rsidR="00974931">
        <w:t xml:space="preserve"> their legislative obligations</w:t>
      </w:r>
      <w:r w:rsidR="0038560C">
        <w:t xml:space="preserve"> such as the</w:t>
      </w:r>
      <w:r w:rsidR="0056654A">
        <w:t xml:space="preserve"> care minutes responsibility</w:t>
      </w:r>
      <w:r w:rsidR="00B025C1">
        <w:t>.</w:t>
      </w:r>
      <w:r w:rsidR="00B472EA">
        <w:t xml:space="preserve"> </w:t>
      </w:r>
      <w:r w:rsidR="00275294">
        <w:t>As a result</w:t>
      </w:r>
      <w:r w:rsidR="0003624D">
        <w:t>,</w:t>
      </w:r>
      <w:r w:rsidR="00275294">
        <w:t xml:space="preserve"> p</w:t>
      </w:r>
      <w:r w:rsidR="0008444C">
        <w:t>roviders may benefit financially from not meeting their required care minute</w:t>
      </w:r>
      <w:r w:rsidR="00E941C7">
        <w:t xml:space="preserve"> ta</w:t>
      </w:r>
      <w:r w:rsidR="002534D8">
        <w:t>rgets</w:t>
      </w:r>
      <w:r w:rsidR="00D70778">
        <w:t xml:space="preserve"> </w:t>
      </w:r>
      <w:r w:rsidR="00F50417">
        <w:t>because of</w:t>
      </w:r>
      <w:r w:rsidR="00D70778">
        <w:t xml:space="preserve"> their lower</w:t>
      </w:r>
      <w:r w:rsidR="0003624D">
        <w:t xml:space="preserve"> wage cost</w:t>
      </w:r>
      <w:r w:rsidR="00414834">
        <w:t>. For example, assuming a care worker costs</w:t>
      </w:r>
      <w:r w:rsidR="007A6E20">
        <w:t xml:space="preserve"> approximately</w:t>
      </w:r>
      <w:r w:rsidR="00414834">
        <w:t xml:space="preserve"> </w:t>
      </w:r>
      <w:r w:rsidR="007E5C92">
        <w:t>$</w:t>
      </w:r>
      <w:r w:rsidR="00BB0067">
        <w:t>6</w:t>
      </w:r>
      <w:r w:rsidR="007E5C92">
        <w:t xml:space="preserve">0 per hour, a </w:t>
      </w:r>
      <w:r w:rsidR="002534D8">
        <w:t>home</w:t>
      </w:r>
      <w:r w:rsidR="007E5C92">
        <w:t xml:space="preserve"> </w:t>
      </w:r>
      <w:r w:rsidR="002534D8">
        <w:t>with</w:t>
      </w:r>
      <w:r w:rsidR="007E5C92">
        <w:t xml:space="preserve"> 100 residents</w:t>
      </w:r>
      <w:r w:rsidR="008C13FF">
        <w:t>, can save around $</w:t>
      </w:r>
      <w:r w:rsidR="00E46C29">
        <w:t>0.</w:t>
      </w:r>
      <w:r w:rsidR="008D1B31">
        <w:t>7</w:t>
      </w:r>
      <w:r w:rsidR="00443285">
        <w:t>3</w:t>
      </w:r>
      <w:r w:rsidR="00E46C29">
        <w:t xml:space="preserve"> million</w:t>
      </w:r>
      <w:r w:rsidR="008C13FF">
        <w:t xml:space="preserve"> per </w:t>
      </w:r>
      <w:r w:rsidR="00BF274F">
        <w:t>year by delivering 20</w:t>
      </w:r>
      <w:r w:rsidR="00A22A02">
        <w:t> </w:t>
      </w:r>
      <w:r w:rsidR="00BF274F">
        <w:t xml:space="preserve">less </w:t>
      </w:r>
      <w:r w:rsidR="00A22A02">
        <w:t>care minutes per resident per day than</w:t>
      </w:r>
      <w:r w:rsidR="00BF274F">
        <w:t xml:space="preserve"> they</w:t>
      </w:r>
      <w:r w:rsidR="00E46C29">
        <w:t xml:space="preserve"> are required to deliver.</w:t>
      </w:r>
      <w:r w:rsidR="00F16609">
        <w:t xml:space="preserve"> A provider with 50 homes like this would save </w:t>
      </w:r>
      <w:r w:rsidR="00590AF1">
        <w:t>$36.5 million per year.</w:t>
      </w:r>
    </w:p>
    <w:p w14:paraId="30D13F7C" w14:textId="286CF41F" w:rsidR="002F5391" w:rsidRDefault="1DE915DF" w:rsidP="003A5ADF">
      <w:pPr>
        <w:pStyle w:val="Paragraphtext"/>
      </w:pPr>
      <w:r>
        <w:t xml:space="preserve">The </w:t>
      </w:r>
      <w:r w:rsidR="21A3D229">
        <w:t>department collects annual fin</w:t>
      </w:r>
      <w:r w:rsidR="064C9DEB">
        <w:t>ancial expense and revenue data from providers in respect of each of their</w:t>
      </w:r>
      <w:r w:rsidR="29288416">
        <w:t xml:space="preserve"> services</w:t>
      </w:r>
      <w:r w:rsidR="387AC26B">
        <w:t xml:space="preserve"> through the Aged Care Financial Report</w:t>
      </w:r>
      <w:r w:rsidR="14441D44">
        <w:t xml:space="preserve"> (ACFR)</w:t>
      </w:r>
      <w:r w:rsidR="00EC046D">
        <w:rPr>
          <w:rStyle w:val="FootnoteReference"/>
        </w:rPr>
        <w:footnoteReference w:id="25"/>
      </w:r>
      <w:r w:rsidR="092AA51F">
        <w:t xml:space="preserve">. </w:t>
      </w:r>
      <w:r w:rsidR="523E7730">
        <w:t xml:space="preserve">The latest ACFR data (from 2023-24) </w:t>
      </w:r>
      <w:r w:rsidR="0A07DC24">
        <w:t xml:space="preserve">shows that </w:t>
      </w:r>
      <w:r w:rsidR="276093F7">
        <w:t>on averag</w:t>
      </w:r>
      <w:r w:rsidR="7D0DF765">
        <w:t>e care spending</w:t>
      </w:r>
      <w:r w:rsidR="00C63AE6" w:rsidRPr="00691BD2">
        <w:rPr>
          <w:vertAlign w:val="superscript"/>
        </w:rPr>
        <w:footnoteReference w:id="26"/>
      </w:r>
      <w:r w:rsidR="7D0DF765">
        <w:t xml:space="preserve"> was </w:t>
      </w:r>
      <w:r w:rsidR="6C449687">
        <w:t>significantly lower than care costs, with the sector</w:t>
      </w:r>
      <w:r w:rsidR="7B4A985F">
        <w:t xml:space="preserve"> having a positive care result</w:t>
      </w:r>
      <w:r w:rsidR="186E4923">
        <w:t xml:space="preserve"> (or margin)</w:t>
      </w:r>
      <w:r w:rsidR="7B4A985F">
        <w:t xml:space="preserve"> of </w:t>
      </w:r>
      <w:r w:rsidR="7B4A985F" w:rsidRPr="000F568B">
        <w:t>$</w:t>
      </w:r>
      <w:r w:rsidR="6CD678C0">
        <w:t xml:space="preserve">22.03 </w:t>
      </w:r>
      <w:r w:rsidR="7B4A985F">
        <w:t>per resident per day.</w:t>
      </w:r>
    </w:p>
    <w:p w14:paraId="3E2804BA" w14:textId="76DE04E7" w:rsidR="00237F77" w:rsidRDefault="1E5606F0" w:rsidP="003A5ADF">
      <w:pPr>
        <w:pStyle w:val="Paragraphtext"/>
      </w:pPr>
      <w:r>
        <w:t>StewartBrown</w:t>
      </w:r>
      <w:r w:rsidR="650946B6">
        <w:t xml:space="preserve">, a </w:t>
      </w:r>
      <w:r w:rsidR="5021C2A8">
        <w:t>significant</w:t>
      </w:r>
      <w:r w:rsidR="650946B6">
        <w:t xml:space="preserve"> provider of professional services to the aged care sector,</w:t>
      </w:r>
      <w:r>
        <w:t xml:space="preserve"> also</w:t>
      </w:r>
      <w:r w:rsidR="1A63F984">
        <w:t xml:space="preserve"> collects similar financial data from a sub-set of providers</w:t>
      </w:r>
      <w:r w:rsidR="25F2CC40">
        <w:t xml:space="preserve"> that </w:t>
      </w:r>
      <w:r w:rsidR="39E63E1A">
        <w:t>subscribe</w:t>
      </w:r>
      <w:r w:rsidR="25F2CC40">
        <w:t xml:space="preserve"> to their</w:t>
      </w:r>
      <w:r w:rsidR="39E63E1A">
        <w:t xml:space="preserve"> benchmarking services</w:t>
      </w:r>
      <w:r w:rsidR="0090104F">
        <w:rPr>
          <w:rStyle w:val="FootnoteReference"/>
        </w:rPr>
        <w:footnoteReference w:id="27"/>
      </w:r>
      <w:r w:rsidR="405A5BB4">
        <w:t>.</w:t>
      </w:r>
      <w:r w:rsidR="1A63F984">
        <w:t xml:space="preserve"> StewartBrown’s </w:t>
      </w:r>
      <w:r w:rsidR="4BBBCA93">
        <w:t xml:space="preserve">published </w:t>
      </w:r>
      <w:r w:rsidR="1A63F984">
        <w:t xml:space="preserve">data </w:t>
      </w:r>
      <w:r w:rsidR="22E06D9C">
        <w:t xml:space="preserve">for the 2023-24 financial year </w:t>
      </w:r>
      <w:r w:rsidR="5E088342">
        <w:t>show</w:t>
      </w:r>
      <w:r w:rsidR="1DE12011">
        <w:t>s</w:t>
      </w:r>
      <w:r w:rsidR="5E088342">
        <w:t xml:space="preserve"> a care surplus</w:t>
      </w:r>
      <w:r w:rsidR="29ED6EEB">
        <w:t>/profit</w:t>
      </w:r>
      <w:r w:rsidR="5E088342">
        <w:t xml:space="preserve"> of $15.25 per resident per day</w:t>
      </w:r>
      <w:r w:rsidR="68CF166D">
        <w:t xml:space="preserve"> and that th</w:t>
      </w:r>
      <w:r w:rsidR="0CF31FEE">
        <w:t>is surplus is lower outside of MM1 areas</w:t>
      </w:r>
      <w:r w:rsidR="29ED6EEB">
        <w:t xml:space="preserve"> (MM1 had a </w:t>
      </w:r>
      <w:r w:rsidR="4401DA85">
        <w:lastRenderedPageBreak/>
        <w:t>surplus</w:t>
      </w:r>
      <w:r w:rsidR="29ED6EEB">
        <w:t xml:space="preserve"> of </w:t>
      </w:r>
      <w:r w:rsidR="4401DA85">
        <w:t xml:space="preserve">$17.00 per </w:t>
      </w:r>
      <w:r w:rsidR="5E7EE8B2">
        <w:t>resident</w:t>
      </w:r>
      <w:r w:rsidR="4401DA85">
        <w:t xml:space="preserve"> per day, while </w:t>
      </w:r>
      <w:r w:rsidR="53380FC3">
        <w:t xml:space="preserve">average surpluses in MM2-5 were between </w:t>
      </w:r>
      <w:r w:rsidR="78041525">
        <w:t>$5.62 and $</w:t>
      </w:r>
      <w:r w:rsidR="0F853015">
        <w:t>11.89</w:t>
      </w:r>
      <w:r w:rsidR="0F853015" w:rsidRPr="00F131D7">
        <w:t xml:space="preserve"> </w:t>
      </w:r>
      <w:r w:rsidR="0F853015">
        <w:t>per resident per day</w:t>
      </w:r>
      <w:r w:rsidR="4BBBCA93">
        <w:t>)</w:t>
      </w:r>
      <w:r w:rsidR="00896B99">
        <w:rPr>
          <w:rStyle w:val="FootnoteReference"/>
        </w:rPr>
        <w:footnoteReference w:id="28"/>
      </w:r>
      <w:r w:rsidR="405A5BB4">
        <w:t>.</w:t>
      </w:r>
    </w:p>
    <w:p w14:paraId="28CB3A53" w14:textId="224EC856" w:rsidR="00960E68" w:rsidRDefault="0061794C" w:rsidP="003A5ADF">
      <w:pPr>
        <w:pStyle w:val="Paragraphtext"/>
      </w:pPr>
      <w:r w:rsidRPr="5F61B9B1">
        <w:t xml:space="preserve">Further analysis </w:t>
      </w:r>
      <w:r w:rsidR="00DB360C" w:rsidRPr="5F61B9B1">
        <w:t>of care</w:t>
      </w:r>
      <w:r w:rsidR="00DB360C">
        <w:t xml:space="preserve"> income and</w:t>
      </w:r>
      <w:r w:rsidR="00DB360C" w:rsidRPr="5F61B9B1">
        <w:t xml:space="preserve"> expense data </w:t>
      </w:r>
      <w:r w:rsidRPr="5F61B9B1">
        <w:t xml:space="preserve">by the department shows that </w:t>
      </w:r>
      <w:r w:rsidR="00A80787">
        <w:t xml:space="preserve">care </w:t>
      </w:r>
      <w:r w:rsidR="004573A9">
        <w:t>profits</w:t>
      </w:r>
      <w:r w:rsidR="00A80787">
        <w:t xml:space="preserve"> </w:t>
      </w:r>
      <w:r w:rsidRPr="5F61B9B1">
        <w:t xml:space="preserve">are significantly higher for </w:t>
      </w:r>
      <w:r w:rsidR="003C2E41">
        <w:t>home</w:t>
      </w:r>
      <w:r w:rsidRPr="5F61B9B1">
        <w:t xml:space="preserve">s not meeting their care minutes targets than those meeting or exceeding their targets. </w:t>
      </w:r>
    </w:p>
    <w:p w14:paraId="4FC00E54" w14:textId="71A381C2" w:rsidR="00E0623D" w:rsidRDefault="00E0623D" w:rsidP="00E0623D">
      <w:pPr>
        <w:pStyle w:val="Paragraphtext"/>
      </w:pPr>
      <w:r>
        <w:t xml:space="preserve">Chart 8 shows average care profits by provider type split by how many times a </w:t>
      </w:r>
      <w:r w:rsidR="003C2E41">
        <w:t>home</w:t>
      </w:r>
      <w:r>
        <w:t xml:space="preserve"> met their care minutes targets in 2023-24. Average care margins are positive, even where homes meet their total target in every quarter, indicating that care funding is sufficient for providers to deliver their required </w:t>
      </w:r>
      <w:r w:rsidR="00EC1D55">
        <w:t xml:space="preserve">residential aged care </w:t>
      </w:r>
      <w:r>
        <w:t>services</w:t>
      </w:r>
      <w:r w:rsidR="3FCBB10C">
        <w:t xml:space="preserve"> (including care minutes delivery)</w:t>
      </w:r>
      <w:r>
        <w:t>.</w:t>
      </w:r>
    </w:p>
    <w:p w14:paraId="00776490" w14:textId="4FCC8F1D" w:rsidR="00F9048E" w:rsidRDefault="00E0623D" w:rsidP="003A5ADF">
      <w:pPr>
        <w:pStyle w:val="Paragraphtext"/>
      </w:pPr>
      <w:r w:rsidRPr="006A7DA6">
        <w:t xml:space="preserve">Further, chart </w:t>
      </w:r>
      <w:r>
        <w:t>8</w:t>
      </w:r>
      <w:r w:rsidRPr="006A7DA6">
        <w:t xml:space="preserve"> shows that care profits are far higher where </w:t>
      </w:r>
      <w:r w:rsidR="7C993378">
        <w:t>providers</w:t>
      </w:r>
      <w:r w:rsidRPr="006A7DA6">
        <w:t xml:space="preserve"> have not met their total care minutes targets. For example, for</w:t>
      </w:r>
      <w:r w:rsidR="00EC1D55">
        <w:t>-</w:t>
      </w:r>
      <w:r w:rsidRPr="006A7DA6">
        <w:t xml:space="preserve">profit </w:t>
      </w:r>
      <w:r w:rsidR="65099BAD">
        <w:t>providers</w:t>
      </w:r>
      <w:r w:rsidRPr="006A7DA6">
        <w:t xml:space="preserve"> that met their total care </w:t>
      </w:r>
      <w:r>
        <w:t>minute</w:t>
      </w:r>
      <w:r w:rsidR="3E68121C">
        <w:t>s</w:t>
      </w:r>
      <w:r w:rsidRPr="006A7DA6">
        <w:t xml:space="preserve"> targets for every quarter recorded a $20.23 per resident per day care profit on average, while those that did not meet it for any of the 4 quarters reported an average care profit of more than double this at $46.72 per resident per day. This holds true when looking at not-for-profit </w:t>
      </w:r>
      <w:r w:rsidR="50594EC0">
        <w:t>providers</w:t>
      </w:r>
      <w:r w:rsidRPr="006A7DA6">
        <w:t xml:space="preserve"> as well, although the overall care profits are on average lower than for-profit</w:t>
      </w:r>
      <w:r w:rsidR="00FA7E67">
        <w:t xml:space="preserve"> </w:t>
      </w:r>
      <w:r w:rsidR="36B53434">
        <w:t>providers</w:t>
      </w:r>
      <w:r w:rsidRPr="006A7DA6">
        <w:t xml:space="preserve"> as mentioned </w:t>
      </w:r>
      <w:r w:rsidR="76F63648">
        <w:t>above</w:t>
      </w:r>
      <w:r w:rsidRPr="006A7DA6">
        <w:t>.</w:t>
      </w:r>
    </w:p>
    <w:p w14:paraId="5CA80F91" w14:textId="76846E0F" w:rsidR="004573A9" w:rsidRDefault="004573A9" w:rsidP="006B4632">
      <w:pPr>
        <w:pStyle w:val="TableTitle"/>
      </w:pPr>
      <w:r w:rsidRPr="00F004F0">
        <w:t xml:space="preserve">Chart </w:t>
      </w:r>
      <w:r w:rsidR="00EA282C">
        <w:t>8</w:t>
      </w:r>
      <w:r w:rsidRPr="00F004F0">
        <w:t>: Care</w:t>
      </w:r>
      <w:r w:rsidRPr="006532D9">
        <w:t xml:space="preserve"> profit of providers against their quarterly care minutes results per resident per day</w:t>
      </w:r>
      <w:r>
        <w:t xml:space="preserve"> </w:t>
      </w:r>
      <w:r w:rsidRPr="00EF3880">
        <w:t>(number of providers in parentheses)</w:t>
      </w:r>
      <w:r w:rsidRPr="006532D9">
        <w:t>, by ownership type, 2023-24</w:t>
      </w:r>
    </w:p>
    <w:p w14:paraId="42E4CAE3" w14:textId="5DF7FFF3" w:rsidR="002941DD" w:rsidRDefault="002744DF" w:rsidP="006B4632">
      <w:pPr>
        <w:pStyle w:val="TableTitle"/>
      </w:pPr>
      <w:r w:rsidRPr="002744DF">
        <w:rPr>
          <w:noProof/>
          <w:lang w:val="en-AU" w:eastAsia="en-AU"/>
        </w:rPr>
        <w:drawing>
          <wp:inline distT="0" distB="0" distL="0" distR="0" wp14:anchorId="0E22E3AC" wp14:editId="2E67F4B1">
            <wp:extent cx="5524500" cy="2485570"/>
            <wp:effectExtent l="0" t="0" r="0" b="0"/>
            <wp:docPr id="140459093" name="Picture 1" descr="Chart 8: Care profit of providers against their quarterly care minutes results per resident per day (number of providers in parentheses), by ownership type, (2023-24) shows that care profits are far higher where providers have not met their total care minutes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9093" name="Picture 1" descr="Chart 8: Care profit of providers against their quarterly care minutes results per resident per day (number of providers in parentheses), by ownership type, (2023-24) shows that care profits are far higher where providers have not met their total care minutes targets"/>
                    <pic:cNvPicPr/>
                  </pic:nvPicPr>
                  <pic:blipFill>
                    <a:blip r:embed="rId23"/>
                    <a:stretch>
                      <a:fillRect/>
                    </a:stretch>
                  </pic:blipFill>
                  <pic:spPr>
                    <a:xfrm>
                      <a:off x="0" y="0"/>
                      <a:ext cx="5533202" cy="2489485"/>
                    </a:xfrm>
                    <a:prstGeom prst="rect">
                      <a:avLst/>
                    </a:prstGeom>
                  </pic:spPr>
                </pic:pic>
              </a:graphicData>
            </a:graphic>
          </wp:inline>
        </w:drawing>
      </w:r>
    </w:p>
    <w:p w14:paraId="566B598A" w14:textId="2426FCF1" w:rsidR="00BA7E0E" w:rsidRPr="000E171C" w:rsidRDefault="00BA7E0E" w:rsidP="006B4632">
      <w:pPr>
        <w:pStyle w:val="Tabletextleft"/>
      </w:pPr>
      <w:r w:rsidRPr="000E171C">
        <w:t>Source: D</w:t>
      </w:r>
      <w:r w:rsidR="00860516" w:rsidRPr="000E171C">
        <w:t>oHDA</w:t>
      </w:r>
      <w:r w:rsidRPr="000E171C">
        <w:t xml:space="preserve"> analysis based on QFR (Q1-4 of 2023-24) and ACFR (2023-24) data</w:t>
      </w:r>
      <w:r w:rsidR="00604D04">
        <w:t>. This chart was also published in the</w:t>
      </w:r>
      <w:r w:rsidR="00D53EAC">
        <w:t xml:space="preserve"> </w:t>
      </w:r>
      <w:hyperlink r:id="rId24" w:history="1">
        <w:r w:rsidR="00D53EAC" w:rsidRPr="00D53EAC">
          <w:rPr>
            <w:rStyle w:val="Hyperlink"/>
          </w:rPr>
          <w:t xml:space="preserve">Financial Report on the Australian Aged Care Sector 2023-24 </w:t>
        </w:r>
      </w:hyperlink>
      <w:r w:rsidR="00D53EAC">
        <w:t>on page</w:t>
      </w:r>
      <w:r w:rsidR="001A02F6">
        <w:t xml:space="preserve"> 21.</w:t>
      </w:r>
    </w:p>
    <w:p w14:paraId="6F56E489" w14:textId="6B21CD1C" w:rsidR="00BA7E0E" w:rsidRPr="000E171C" w:rsidRDefault="00BA7E0E" w:rsidP="006B4632">
      <w:pPr>
        <w:pStyle w:val="Tabletextleft"/>
      </w:pPr>
      <w:r w:rsidRPr="000E171C">
        <w:t xml:space="preserve">Note: This excludes </w:t>
      </w:r>
      <w:r w:rsidR="003E785C">
        <w:t>homes</w:t>
      </w:r>
      <w:r w:rsidRPr="000E171C">
        <w:t xml:space="preserve"> that did not have care minutes targets and reporting for all quarters of 2023 24, such as new </w:t>
      </w:r>
      <w:r w:rsidR="00744A74" w:rsidRPr="000E171C">
        <w:t>homes</w:t>
      </w:r>
      <w:r w:rsidRPr="000E171C">
        <w:t xml:space="preserve">, </w:t>
      </w:r>
      <w:r w:rsidR="00744A74" w:rsidRPr="000E171C">
        <w:t>homes</w:t>
      </w:r>
      <w:r w:rsidRPr="000E171C">
        <w:t xml:space="preserve"> transferred between providers, and </w:t>
      </w:r>
      <w:r w:rsidR="00744A74" w:rsidRPr="000E171C">
        <w:t>homes</w:t>
      </w:r>
      <w:r w:rsidRPr="000E171C">
        <w:t xml:space="preserve"> that went offline in 2023-24.</w:t>
      </w:r>
    </w:p>
    <w:p w14:paraId="7467F2BD" w14:textId="063EBAA9" w:rsidR="00335439" w:rsidRPr="006A7DA6" w:rsidRDefault="5699D52F" w:rsidP="006A7DA6">
      <w:pPr>
        <w:pStyle w:val="Paragraphtext"/>
      </w:pPr>
      <w:r>
        <w:t xml:space="preserve">The department’s findings are </w:t>
      </w:r>
      <w:r w:rsidR="3B8A2429">
        <w:t xml:space="preserve">also </w:t>
      </w:r>
      <w:r>
        <w:t xml:space="preserve">consistent with the </w:t>
      </w:r>
      <w:r w:rsidR="4564393C" w:rsidRPr="193D1534">
        <w:t>University of Technology Sydney (UTS) Ageing Research Collaborative (UARC) report</w:t>
      </w:r>
      <w:r w:rsidR="00DD6B36">
        <w:t>,</w:t>
      </w:r>
      <w:r w:rsidR="4564393C" w:rsidRPr="193D1534">
        <w:t xml:space="preserve"> the Aged Care Sector Mid-Year Report 2023</w:t>
      </w:r>
      <w:r w:rsidR="3CE1A563" w:rsidRPr="193D1534">
        <w:t>-</w:t>
      </w:r>
      <w:r w:rsidR="4564393C" w:rsidRPr="193D1534">
        <w:t>24</w:t>
      </w:r>
      <w:r w:rsidR="00576013" w:rsidRPr="00A06EFD">
        <w:rPr>
          <w:rStyle w:val="FootnoteReference"/>
        </w:rPr>
        <w:footnoteReference w:id="29"/>
      </w:r>
      <w:r w:rsidR="0068047B" w:rsidRPr="00854B63">
        <w:t>.</w:t>
      </w:r>
      <w:r>
        <w:t>This report</w:t>
      </w:r>
      <w:r w:rsidR="4564393C" w:rsidRPr="193D1534">
        <w:t xml:space="preserve"> incorporated analysis of StewartBrown survey data from July to December 2023</w:t>
      </w:r>
      <w:r w:rsidR="006A7DA6" w:rsidRPr="00A06EFD">
        <w:rPr>
          <w:rStyle w:val="FootnoteReference"/>
        </w:rPr>
        <w:footnoteReference w:id="30"/>
      </w:r>
      <w:r w:rsidR="4564393C" w:rsidRPr="00A06EFD">
        <w:t xml:space="preserve"> </w:t>
      </w:r>
      <w:r w:rsidR="4564393C" w:rsidRPr="193D1534">
        <w:t xml:space="preserve">that looks at operating result by quartile. UARC found that the most profitable </w:t>
      </w:r>
      <w:r w:rsidR="0D92D6D3">
        <w:t>homes</w:t>
      </w:r>
      <w:r w:rsidR="0EE123D3">
        <w:t xml:space="preserve"> (this is looking at overall profitability </w:t>
      </w:r>
      <w:r w:rsidR="28B86EEA">
        <w:t>including</w:t>
      </w:r>
      <w:r w:rsidR="0EE123D3">
        <w:t xml:space="preserve"> </w:t>
      </w:r>
      <w:r w:rsidR="6F8583B0">
        <w:t xml:space="preserve">hotelling and accommodation in addition to just care, </w:t>
      </w:r>
      <w:r w:rsidR="6F8583B0">
        <w:lastRenderedPageBreak/>
        <w:t>which is what is reflected in chart 9)</w:t>
      </w:r>
      <w:r w:rsidR="4564393C" w:rsidRPr="193D1534">
        <w:t xml:space="preserve"> are those that are furthest from meeting their care minute targets. </w:t>
      </w:r>
    </w:p>
    <w:p w14:paraId="6199A0AC" w14:textId="2A69B0EB" w:rsidR="003234F6" w:rsidRPr="006A7DA6" w:rsidRDefault="004B2802" w:rsidP="00A60C85">
      <w:pPr>
        <w:pStyle w:val="Paragraphtext"/>
      </w:pPr>
      <w:r w:rsidRPr="006A7DA6">
        <w:t>The UARC report summarised the problem in their report, noting:</w:t>
      </w:r>
    </w:p>
    <w:p w14:paraId="3A6A54CB" w14:textId="02CAE0E0" w:rsidR="001D0027" w:rsidRPr="00A60C85" w:rsidRDefault="001D0027" w:rsidP="00A60C85">
      <w:pPr>
        <w:pStyle w:val="Paragraphtext"/>
        <w:ind w:left="720"/>
        <w:rPr>
          <w:i/>
          <w:iCs/>
        </w:rPr>
      </w:pPr>
      <w:r w:rsidRPr="006A7DA6">
        <w:rPr>
          <w:i/>
          <w:iCs/>
        </w:rPr>
        <w:t>Even though care minute targets became a mandatory legal requirement on 1 October 2023, the mismatch between funding and spending on direct care staff has persisted. This mismatch</w:t>
      </w:r>
      <w:r w:rsidRPr="00A60C85">
        <w:rPr>
          <w:i/>
          <w:iCs/>
        </w:rPr>
        <w:t xml:space="preserve"> occurs because AN-ACC funding – the primary mechanism the Government uses to fund additional staff or award wage increases – is tied to the number and acuity of residents (i.e. paid per occupied or operational bed day). Thus, a home’s direct care funding is not tied to its staffing levels. Put another way, since October 2022, most homes have received substantial increases in additional direct care funding to pay for staff they do not have.</w:t>
      </w:r>
    </w:p>
    <w:p w14:paraId="6E24BB9B" w14:textId="183DC78F" w:rsidR="000B3620" w:rsidRPr="00134EC7" w:rsidRDefault="4B2D8FD7" w:rsidP="001719FB">
      <w:pPr>
        <w:pStyle w:val="Paragraphtext"/>
      </w:pPr>
      <w:r w:rsidRPr="00C821A5">
        <w:t>The UTS UARC Aged Care Sector Full Year Report 2023-24</w:t>
      </w:r>
      <w:r w:rsidR="00804748" w:rsidRPr="0012120B">
        <w:rPr>
          <w:rStyle w:val="FootnoteReference"/>
        </w:rPr>
        <w:footnoteReference w:id="31"/>
      </w:r>
      <w:r w:rsidR="0ED0B6DC">
        <w:t xml:space="preserve"> </w:t>
      </w:r>
      <w:r w:rsidR="01916604">
        <w:t>note</w:t>
      </w:r>
      <w:r w:rsidR="018698D7">
        <w:t>s</w:t>
      </w:r>
      <w:r w:rsidR="0ED0B6DC">
        <w:t xml:space="preserve"> that while they had predicted in their </w:t>
      </w:r>
      <w:r w:rsidR="01916604" w:rsidRPr="000B3620">
        <w:t xml:space="preserve">2023-24 Mid-Year Report </w:t>
      </w:r>
      <w:r w:rsidR="0ED0B6DC">
        <w:t>that</w:t>
      </w:r>
      <w:r w:rsidR="01916604" w:rsidRPr="000B3620">
        <w:t xml:space="preserve"> staffing shortfalls </w:t>
      </w:r>
      <w:r w:rsidR="24F053A7">
        <w:t xml:space="preserve">would </w:t>
      </w:r>
      <w:r w:rsidR="124923CF">
        <w:t>be</w:t>
      </w:r>
      <w:r w:rsidR="01916604" w:rsidRPr="000B3620">
        <w:t xml:space="preserve"> a temporary</w:t>
      </w:r>
      <w:r w:rsidR="0ED0B6DC">
        <w:t xml:space="preserve"> issue</w:t>
      </w:r>
      <w:r w:rsidR="01916604" w:rsidRPr="000B3620">
        <w:t xml:space="preserve"> and that the surpluses gained from direct care would reduce over the following months</w:t>
      </w:r>
      <w:r w:rsidR="28B86EEA">
        <w:t>,</w:t>
      </w:r>
      <w:r w:rsidR="01916604" w:rsidRPr="000B3620">
        <w:t xml:space="preserve"> this </w:t>
      </w:r>
      <w:r w:rsidR="124923CF">
        <w:t>was not</w:t>
      </w:r>
      <w:r w:rsidR="01916604" w:rsidRPr="000B3620">
        <w:t xml:space="preserve"> the case</w:t>
      </w:r>
      <w:r w:rsidR="0ED0B6DC">
        <w:t>. These issues have persisted</w:t>
      </w:r>
      <w:r w:rsidR="01916604" w:rsidRPr="000B3620">
        <w:t xml:space="preserve"> despite </w:t>
      </w:r>
      <w:r w:rsidR="1FDF3C02">
        <w:t>the Hon</w:t>
      </w:r>
      <w:r w:rsidR="4B4BDE09">
        <w:t>.</w:t>
      </w:r>
      <w:r w:rsidR="1FDF3C02">
        <w:t xml:space="preserve"> </w:t>
      </w:r>
      <w:r w:rsidR="645C1BB7">
        <w:t>Anika</w:t>
      </w:r>
      <w:r w:rsidR="0ED0B6DC">
        <w:t xml:space="preserve"> Wells </w:t>
      </w:r>
      <w:r w:rsidR="0E14B3C0">
        <w:t>MP</w:t>
      </w:r>
      <w:r w:rsidR="318E800F">
        <w:t>,</w:t>
      </w:r>
      <w:r w:rsidR="0E14B3C0">
        <w:t xml:space="preserve"> former</w:t>
      </w:r>
      <w:r w:rsidR="318E800F">
        <w:t xml:space="preserve"> Mini</w:t>
      </w:r>
      <w:r w:rsidR="5733FAF1">
        <w:t>s</w:t>
      </w:r>
      <w:r w:rsidR="318E800F">
        <w:t xml:space="preserve">ter </w:t>
      </w:r>
      <w:r w:rsidR="5733FAF1">
        <w:t>for Aged Care,</w:t>
      </w:r>
      <w:r w:rsidR="0E14B3C0">
        <w:t xml:space="preserve"> </w:t>
      </w:r>
      <w:r w:rsidR="0ED0B6DC">
        <w:t>reiterating expectations on providers in relation to care minutes delivery through an open letter to the sector</w:t>
      </w:r>
      <w:r w:rsidR="00773C42">
        <w:rPr>
          <w:rStyle w:val="FootnoteReference"/>
        </w:rPr>
        <w:footnoteReference w:id="32"/>
      </w:r>
      <w:r w:rsidR="0ED0B6DC">
        <w:t xml:space="preserve"> published 1 October 2024</w:t>
      </w:r>
      <w:r w:rsidR="1FE3089E">
        <w:t>,</w:t>
      </w:r>
      <w:r w:rsidR="0ED0B6DC">
        <w:t xml:space="preserve"> the ACQSC </w:t>
      </w:r>
      <w:r w:rsidR="03F538A1">
        <w:t xml:space="preserve">updating its regulatory bulletin and hosting a webinar in November 2024, and </w:t>
      </w:r>
      <w:r w:rsidR="0ED0B6DC">
        <w:t xml:space="preserve">providing an update through </w:t>
      </w:r>
      <w:r w:rsidR="1E9FBA01">
        <w:t>its</w:t>
      </w:r>
      <w:r w:rsidR="0ED0B6DC">
        <w:t xml:space="preserve"> 13 January 2025 </w:t>
      </w:r>
      <w:r w:rsidR="0AD86D5E" w:rsidRPr="00731E5C">
        <w:t>media release</w:t>
      </w:r>
      <w:r w:rsidR="00420B81">
        <w:rPr>
          <w:rStyle w:val="FootnoteReference"/>
        </w:rPr>
        <w:footnoteReference w:id="33"/>
      </w:r>
      <w:r w:rsidR="0ED0B6DC">
        <w:t xml:space="preserve"> on the regulatory action that is being taken to address ongoing </w:t>
      </w:r>
      <w:r w:rsidR="2FEC55FE">
        <w:t xml:space="preserve">care minute </w:t>
      </w:r>
      <w:r w:rsidR="0ED0B6DC">
        <w:t>non-compliance.</w:t>
      </w:r>
    </w:p>
    <w:p w14:paraId="1106E1B6" w14:textId="6F3D7B72" w:rsidR="002947B2" w:rsidRPr="00357BB0" w:rsidRDefault="00447D9C" w:rsidP="00031987">
      <w:pPr>
        <w:pStyle w:val="Heading4"/>
      </w:pPr>
      <w:r w:rsidRPr="00357BB0">
        <w:t xml:space="preserve">Who is </w:t>
      </w:r>
      <w:r w:rsidR="003F0C75" w:rsidRPr="00357BB0">
        <w:t>impacted</w:t>
      </w:r>
      <w:r w:rsidR="00F77D97" w:rsidRPr="00357BB0">
        <w:t xml:space="preserve"> by providers not meeting their</w:t>
      </w:r>
      <w:r w:rsidR="0065470E" w:rsidRPr="00357BB0">
        <w:t xml:space="preserve"> mandatory</w:t>
      </w:r>
      <w:r w:rsidR="00F77D97" w:rsidRPr="00357BB0">
        <w:t xml:space="preserve"> care minutes</w:t>
      </w:r>
      <w:r w:rsidR="00070093" w:rsidRPr="00357BB0">
        <w:t>?</w:t>
      </w:r>
      <w:r w:rsidRPr="00357BB0">
        <w:t xml:space="preserve"> </w:t>
      </w:r>
    </w:p>
    <w:p w14:paraId="0C4D6EC9" w14:textId="0383315E" w:rsidR="00A56CD7" w:rsidRDefault="00486A49" w:rsidP="00F26B4C">
      <w:pPr>
        <w:pStyle w:val="Paragraphtext"/>
      </w:pPr>
      <w:r w:rsidRPr="51365D77">
        <w:t xml:space="preserve">The approximately 190,000 older people living in </w:t>
      </w:r>
      <w:r>
        <w:t>a</w:t>
      </w:r>
      <w:r w:rsidR="22401F91">
        <w:t>n approved</w:t>
      </w:r>
      <w:r w:rsidRPr="51365D77">
        <w:t xml:space="preserve"> residential aged care </w:t>
      </w:r>
      <w:r w:rsidR="006147C9">
        <w:t>home</w:t>
      </w:r>
      <w:r w:rsidRPr="51365D77">
        <w:t xml:space="preserve"> </w:t>
      </w:r>
      <w:r w:rsidR="00447D9C" w:rsidRPr="51365D77">
        <w:t>are directly impacted by</w:t>
      </w:r>
      <w:r w:rsidR="003F0C75" w:rsidRPr="51365D77">
        <w:t xml:space="preserve"> providers not meeting their mandatory care minute</w:t>
      </w:r>
      <w:r w:rsidR="00416150">
        <w:t xml:space="preserve"> targets</w:t>
      </w:r>
      <w:r w:rsidR="00251BB2" w:rsidRPr="51365D77">
        <w:t>.</w:t>
      </w:r>
      <w:r w:rsidR="003F0C75" w:rsidRPr="51365D77">
        <w:t xml:space="preserve"> </w:t>
      </w:r>
      <w:r w:rsidR="0031274E">
        <w:t xml:space="preserve">In </w:t>
      </w:r>
      <w:r w:rsidR="00E0623D">
        <w:t xml:space="preserve">the December quarter of </w:t>
      </w:r>
      <w:r w:rsidR="0031274E">
        <w:t>2024-25</w:t>
      </w:r>
      <w:r w:rsidR="003B3EC1">
        <w:t xml:space="preserve"> approximately </w:t>
      </w:r>
      <w:r w:rsidR="00C35C86" w:rsidRPr="006E1310">
        <w:t>6</w:t>
      </w:r>
      <w:r w:rsidR="006E1310" w:rsidRPr="006E1310">
        <w:t>8</w:t>
      </w:r>
      <w:r w:rsidR="003B3EC1" w:rsidRPr="006E1310">
        <w:t>%</w:t>
      </w:r>
      <w:r w:rsidR="003B3EC1">
        <w:t xml:space="preserve"> of these older people lived in homes that did not meet</w:t>
      </w:r>
      <w:r w:rsidR="007D1EB3">
        <w:t xml:space="preserve"> both</w:t>
      </w:r>
      <w:r w:rsidR="003B3EC1">
        <w:t xml:space="preserve"> their care minutes </w:t>
      </w:r>
      <w:r w:rsidR="00C35C86">
        <w:t>targets and</w:t>
      </w:r>
      <w:r w:rsidR="003B3EC1">
        <w:t xml:space="preserve"> therefore</w:t>
      </w:r>
      <w:r w:rsidR="00A45A25">
        <w:t>,</w:t>
      </w:r>
      <w:r w:rsidR="003B3EC1">
        <w:t xml:space="preserve"> have staffing levels below what </w:t>
      </w:r>
      <w:r w:rsidR="00B15A4E">
        <w:t>the Royal Commission</w:t>
      </w:r>
      <w:r w:rsidR="003B3EC1">
        <w:t xml:space="preserve"> considered necessary to deliver </w:t>
      </w:r>
      <w:r w:rsidR="00983177">
        <w:t>appropriate</w:t>
      </w:r>
      <w:r w:rsidR="003B3EC1">
        <w:t xml:space="preserve"> care</w:t>
      </w:r>
      <w:r w:rsidR="00C35C86">
        <w:t>.</w:t>
      </w:r>
    </w:p>
    <w:p w14:paraId="01E5FB6A" w14:textId="11B3CDAE" w:rsidR="003B5615" w:rsidRDefault="001D4E57" w:rsidP="00F26B4C">
      <w:pPr>
        <w:pStyle w:val="Paragraphtext"/>
      </w:pPr>
      <w:r>
        <w:t>Older people</w:t>
      </w:r>
      <w:r w:rsidR="003B5615">
        <w:t xml:space="preserve"> living in</w:t>
      </w:r>
      <w:r>
        <w:t xml:space="preserve"> </w:t>
      </w:r>
      <w:r w:rsidR="008E36C1">
        <w:t xml:space="preserve">residential </w:t>
      </w:r>
      <w:r>
        <w:t>aged care</w:t>
      </w:r>
      <w:r w:rsidR="003B5615">
        <w:t xml:space="preserve"> </w:t>
      </w:r>
      <w:r w:rsidR="0082758A">
        <w:t>home</w:t>
      </w:r>
      <w:r w:rsidR="00E0623D">
        <w:t>s</w:t>
      </w:r>
      <w:r w:rsidR="003B5615">
        <w:t xml:space="preserve"> in metropolitan (MM1) areas </w:t>
      </w:r>
      <w:r>
        <w:t>are</w:t>
      </w:r>
      <w:r w:rsidR="00F9297D">
        <w:t xml:space="preserve"> more likely than those outside of metropolitan areas to</w:t>
      </w:r>
      <w:r w:rsidR="00B87C96">
        <w:t xml:space="preserve"> live in a </w:t>
      </w:r>
      <w:r w:rsidR="0082758A">
        <w:t>home</w:t>
      </w:r>
      <w:r w:rsidR="00B87C96">
        <w:t xml:space="preserve"> not meeting their care minutes </w:t>
      </w:r>
      <w:r w:rsidR="51DB587D">
        <w:t>targe</w:t>
      </w:r>
      <w:r w:rsidR="00B87C96">
        <w:t>ts</w:t>
      </w:r>
      <w:r w:rsidR="00E0623D">
        <w:t xml:space="preserve"> than those living in regional, rural and remote areas</w:t>
      </w:r>
      <w:r w:rsidR="00B87C96">
        <w:t xml:space="preserve"> (in line with the information in chart 4).</w:t>
      </w:r>
    </w:p>
    <w:p w14:paraId="268D41EC" w14:textId="43684011" w:rsidR="2EF8A325" w:rsidRDefault="0944FF71" w:rsidP="00F26B4C">
      <w:pPr>
        <w:pStyle w:val="Paragraphtext"/>
      </w:pPr>
      <w:r w:rsidRPr="51365D77">
        <w:t xml:space="preserve">Workers are also impacted by </w:t>
      </w:r>
      <w:r w:rsidR="51423339" w:rsidRPr="51365D77">
        <w:t>providers not having sufficient staffing to meet their care minutes</w:t>
      </w:r>
      <w:r w:rsidR="213B72DB">
        <w:t xml:space="preserve"> responsibilities</w:t>
      </w:r>
      <w:r w:rsidR="51423339" w:rsidRPr="51365D77">
        <w:t>. The Royal Commission identified that high workloads and time</w:t>
      </w:r>
      <w:r w:rsidR="28CC2590">
        <w:t xml:space="preserve"> </w:t>
      </w:r>
      <w:r w:rsidR="51423339" w:rsidRPr="51365D77">
        <w:t>pressures are key factors behind job dissatisfaction and intentions to leave the aged care sector</w:t>
      </w:r>
      <w:r w:rsidR="00D112A6" w:rsidRPr="51365D77">
        <w:rPr>
          <w:rStyle w:val="FootnoteReference"/>
        </w:rPr>
        <w:footnoteReference w:id="34"/>
      </w:r>
      <w:r w:rsidR="51423339" w:rsidRPr="51365D77">
        <w:t xml:space="preserve">. </w:t>
      </w:r>
      <w:r w:rsidR="6710E8BB" w:rsidRPr="51365D77">
        <w:t xml:space="preserve">Where providers </w:t>
      </w:r>
      <w:r w:rsidR="271490D8">
        <w:t>i</w:t>
      </w:r>
      <w:r w:rsidR="1CCEF10F" w:rsidRPr="51365D77">
        <w:t>ncreas</w:t>
      </w:r>
      <w:r w:rsidR="44A2217E" w:rsidRPr="51365D77">
        <w:t>e</w:t>
      </w:r>
      <w:r w:rsidR="1CCEF10F" w:rsidRPr="51365D77">
        <w:t xml:space="preserve"> staffing </w:t>
      </w:r>
      <w:r w:rsidR="0A96105E">
        <w:t>to the level required to meet</w:t>
      </w:r>
      <w:r w:rsidR="1CCEF10F" w:rsidRPr="51365D77">
        <w:t xml:space="preserve"> care minutes </w:t>
      </w:r>
      <w:r w:rsidR="3D9E8A8D">
        <w:t>targets</w:t>
      </w:r>
      <w:r w:rsidR="1C4FF554">
        <w:t>,</w:t>
      </w:r>
      <w:r w:rsidR="3D9E8A8D">
        <w:t xml:space="preserve"> </w:t>
      </w:r>
      <w:r w:rsidR="20F2D11E" w:rsidRPr="51365D77">
        <w:t>there is likely to be a benefit to staff with these identified pressure points bein</w:t>
      </w:r>
      <w:r w:rsidR="32BEB8B8" w:rsidRPr="51365D77">
        <w:t>g eased.</w:t>
      </w:r>
      <w:r w:rsidR="20F2D11E" w:rsidRPr="51365D77">
        <w:t xml:space="preserve"> </w:t>
      </w:r>
      <w:r w:rsidR="0A1D72DC">
        <w:t>Based on the</w:t>
      </w:r>
      <w:r w:rsidR="07C5CB2F">
        <w:t xml:space="preserve"> </w:t>
      </w:r>
      <w:r w:rsidR="046C302D">
        <w:t>2023 Aged Care Provider Workforce Survey</w:t>
      </w:r>
      <w:r w:rsidR="0A1D72DC">
        <w:t xml:space="preserve"> there are around </w:t>
      </w:r>
      <w:r w:rsidR="01CEE564">
        <w:t xml:space="preserve">217,000 direct care workers </w:t>
      </w:r>
      <w:r w:rsidR="4F2E8CC2">
        <w:t xml:space="preserve">that work in a residential </w:t>
      </w:r>
      <w:r w:rsidR="2E005309">
        <w:t xml:space="preserve">aged </w:t>
      </w:r>
      <w:r w:rsidR="4F2E8CC2">
        <w:t>care setting</w:t>
      </w:r>
      <w:r w:rsidR="00F81B8F">
        <w:rPr>
          <w:rStyle w:val="FootnoteReference"/>
        </w:rPr>
        <w:footnoteReference w:id="35"/>
      </w:r>
      <w:r w:rsidR="11688128">
        <w:t>.</w:t>
      </w:r>
      <w:r w:rsidR="4F2E8CC2">
        <w:t xml:space="preserve"> </w:t>
      </w:r>
      <w:r w:rsidR="5699D52F">
        <w:t xml:space="preserve">The </w:t>
      </w:r>
      <w:r w:rsidR="0DA96EDB">
        <w:t xml:space="preserve">Government does not collect </w:t>
      </w:r>
      <w:r w:rsidR="2696D1CC">
        <w:t xml:space="preserve">data on the </w:t>
      </w:r>
      <w:r w:rsidR="5699D52F">
        <w:t xml:space="preserve">proportion of these workers that work in </w:t>
      </w:r>
      <w:r w:rsidR="08A2CAB7">
        <w:t>home</w:t>
      </w:r>
      <w:r w:rsidR="6A86E184">
        <w:t>s that are not meeting their care minute</w:t>
      </w:r>
      <w:r w:rsidR="08A2CAB7">
        <w:t xml:space="preserve"> targets</w:t>
      </w:r>
      <w:r w:rsidR="531C6643">
        <w:t xml:space="preserve">, </w:t>
      </w:r>
      <w:r w:rsidR="2A315A6D">
        <w:t>however</w:t>
      </w:r>
      <w:r w:rsidR="743AAEE5">
        <w:t>,</w:t>
      </w:r>
      <w:r w:rsidR="531C6643">
        <w:t xml:space="preserve"> it is likely that it broadly </w:t>
      </w:r>
      <w:r w:rsidR="2A315A6D">
        <w:t>reflects</w:t>
      </w:r>
      <w:r w:rsidR="531C6643">
        <w:t xml:space="preserve"> the percentage of residents</w:t>
      </w:r>
      <w:r w:rsidR="5B13CA52">
        <w:t xml:space="preserve"> </w:t>
      </w:r>
      <w:r w:rsidR="4DA5002B">
        <w:t xml:space="preserve">living </w:t>
      </w:r>
      <w:r w:rsidR="005270F4">
        <w:t xml:space="preserve">in </w:t>
      </w:r>
      <w:r w:rsidR="743AAEE5">
        <w:t>homes</w:t>
      </w:r>
      <w:r w:rsidR="5B13CA52">
        <w:t xml:space="preserve"> not meeting their care minutes</w:t>
      </w:r>
      <w:r w:rsidR="271490D8">
        <w:t xml:space="preserve"> </w:t>
      </w:r>
      <w:r w:rsidR="743AAEE5">
        <w:t>targets</w:t>
      </w:r>
      <w:r w:rsidR="271490D8">
        <w:t xml:space="preserve"> (i.e.</w:t>
      </w:r>
      <w:r w:rsidR="26B445A9">
        <w:t xml:space="preserve"> in Q2 2024-25</w:t>
      </w:r>
      <w:r w:rsidR="005A193A">
        <w:t>,</w:t>
      </w:r>
      <w:r w:rsidR="26B445A9">
        <w:t xml:space="preserve"> 62.6% of homes did not meet their</w:t>
      </w:r>
      <w:r w:rsidR="76FAE846">
        <w:t xml:space="preserve"> care minute targets</w:t>
      </w:r>
      <w:r w:rsidR="271490D8">
        <w:t>)</w:t>
      </w:r>
      <w:r w:rsidR="5B13CA52">
        <w:t>.</w:t>
      </w:r>
      <w:r w:rsidR="00BC7CF5">
        <w:t xml:space="preserve"> </w:t>
      </w:r>
    </w:p>
    <w:p w14:paraId="392DA1A4" w14:textId="35C30249" w:rsidR="004B7C71" w:rsidRDefault="004B7C71" w:rsidP="004B7C71">
      <w:pPr>
        <w:pStyle w:val="Heading4"/>
      </w:pPr>
      <w:r>
        <w:lastRenderedPageBreak/>
        <w:t xml:space="preserve">Data gaps </w:t>
      </w:r>
    </w:p>
    <w:p w14:paraId="08494F7A" w14:textId="5D371560" w:rsidR="004B7C71" w:rsidRDefault="004B7C71" w:rsidP="4CD2B3A5">
      <w:pPr>
        <w:pStyle w:val="Paragraphtext"/>
      </w:pPr>
      <w:r>
        <w:t>Other data measures could be used to</w:t>
      </w:r>
      <w:r w:rsidR="009D6EAD">
        <w:t xml:space="preserve"> more clearly</w:t>
      </w:r>
      <w:r>
        <w:t xml:space="preserve"> identify reasons for non-compliance with care minutes targets </w:t>
      </w:r>
      <w:r w:rsidR="000A55D0">
        <w:t>and</w:t>
      </w:r>
      <w:r w:rsidR="00CA1290">
        <w:t xml:space="preserve"> </w:t>
      </w:r>
      <w:r w:rsidR="00532151">
        <w:t xml:space="preserve">to assess </w:t>
      </w:r>
      <w:r w:rsidR="00CA1290">
        <w:t xml:space="preserve">strategies used by providers to become </w:t>
      </w:r>
      <w:r w:rsidR="00532151">
        <w:t xml:space="preserve">compliant </w:t>
      </w:r>
      <w:r>
        <w:t>including collecting data on worker origin and/or nationality, or the number and progress of staff working towards</w:t>
      </w:r>
      <w:r w:rsidR="003518CF">
        <w:t xml:space="preserve"> further qualifications such as </w:t>
      </w:r>
      <w:r>
        <w:t>an aged care certification</w:t>
      </w:r>
      <w:r w:rsidR="00235B01">
        <w:t xml:space="preserve"> or a formal nursing qualificatio</w:t>
      </w:r>
      <w:r w:rsidR="00534BC4">
        <w:t>n.</w:t>
      </w:r>
    </w:p>
    <w:p w14:paraId="71EEF78D" w14:textId="642D65FE" w:rsidR="004B7C71" w:rsidRDefault="004B7C71" w:rsidP="004B7C71">
      <w:pPr>
        <w:pStyle w:val="Paragraphtext"/>
      </w:pPr>
      <w:r>
        <w:t>Collecting this workforce data could help Government develop policy that supports staff training and</w:t>
      </w:r>
      <w:r w:rsidR="001A650F">
        <w:t xml:space="preserve"> builds</w:t>
      </w:r>
      <w:r>
        <w:t xml:space="preserve"> on existing employment and workforce relocation programs (such as the Pacific Australia Labour Mobility [PALM] program) to import suitably qualified staff </w:t>
      </w:r>
      <w:r w:rsidR="00326888">
        <w:t xml:space="preserve">to work in the sector </w:t>
      </w:r>
      <w:r>
        <w:t xml:space="preserve">and/or support their training towards </w:t>
      </w:r>
      <w:r w:rsidR="6F5633BF">
        <w:t xml:space="preserve">Australian </w:t>
      </w:r>
      <w:r>
        <w:t>aged care qualifications.</w:t>
      </w:r>
    </w:p>
    <w:p w14:paraId="20266DA2" w14:textId="0EBF8FB1" w:rsidR="7FE15100" w:rsidRDefault="7FE15100" w:rsidP="4CD2B3A5">
      <w:pPr>
        <w:pStyle w:val="Paragraphtext"/>
      </w:pPr>
      <w:r>
        <w:t xml:space="preserve">The department’s existing reporting mechanisms such as the </w:t>
      </w:r>
      <w:r w:rsidR="009D71DB">
        <w:t xml:space="preserve">quarterly </w:t>
      </w:r>
      <w:r>
        <w:t>QFR</w:t>
      </w:r>
      <w:r w:rsidR="009D71DB">
        <w:t xml:space="preserve">, </w:t>
      </w:r>
      <w:r>
        <w:t xml:space="preserve">the monthly 24/7 RN report </w:t>
      </w:r>
      <w:r w:rsidR="009D71DB">
        <w:t xml:space="preserve">and the annual ACFR </w:t>
      </w:r>
      <w:r>
        <w:t xml:space="preserve">do not collect information relating to these workforce strategies and therefore cannot measure the benefits they offer in the short and long term, including how quickly they could </w:t>
      </w:r>
      <w:r w:rsidR="00EA11C9">
        <w:t>improve</w:t>
      </w:r>
      <w:r>
        <w:t xml:space="preserve"> </w:t>
      </w:r>
      <w:r w:rsidR="00277AF1">
        <w:t xml:space="preserve">care </w:t>
      </w:r>
      <w:r>
        <w:t xml:space="preserve">minute compliance. Amending these reports to include this data could be problematic, expensive and increase the reporting burden for providers. </w:t>
      </w:r>
      <w:r w:rsidR="6FCA1AFE">
        <w:t xml:space="preserve">In addition, these </w:t>
      </w:r>
      <w:r w:rsidR="00975C97">
        <w:t xml:space="preserve">initiatives </w:t>
      </w:r>
      <w:r w:rsidR="6FCA1AFE">
        <w:t xml:space="preserve">would take time to implement and positively impact care minutes compliance and therefore, were not included as a policy lever available to </w:t>
      </w:r>
      <w:r w:rsidR="00C84457">
        <w:t>G</w:t>
      </w:r>
      <w:r w:rsidR="6FCA1AFE">
        <w:t xml:space="preserve">overnment </w:t>
      </w:r>
      <w:r w:rsidR="7CF043BC">
        <w:t>(</w:t>
      </w:r>
      <w:r w:rsidR="6FCA1AFE">
        <w:t>outlined in Chapter 2</w:t>
      </w:r>
      <w:r w:rsidR="4D51BDE9">
        <w:t>)</w:t>
      </w:r>
      <w:r w:rsidR="6FCA1AFE">
        <w:t xml:space="preserve"> or in the policy proposals </w:t>
      </w:r>
      <w:r w:rsidR="750988EA">
        <w:t xml:space="preserve">presented in </w:t>
      </w:r>
      <w:r w:rsidR="6FCA1AFE">
        <w:t xml:space="preserve">Chapters </w:t>
      </w:r>
      <w:r w:rsidR="1ADC388F">
        <w:t xml:space="preserve">3, </w:t>
      </w:r>
      <w:r w:rsidR="6FCA1AFE">
        <w:t xml:space="preserve">4 and </w:t>
      </w:r>
      <w:r w:rsidR="7F3FD649">
        <w:t>6</w:t>
      </w:r>
      <w:r w:rsidR="6FCA1AFE">
        <w:t>.</w:t>
      </w:r>
    </w:p>
    <w:p w14:paraId="7D343D23" w14:textId="30B76771" w:rsidR="7FE15100" w:rsidRDefault="7FE15100" w:rsidP="4CD2B3A5">
      <w:pPr>
        <w:pStyle w:val="Paragraphtext"/>
      </w:pPr>
      <w:r>
        <w:t>Collecting this type of information may be better suited to a more qualitative or mixed method study that targets a sample of aged care providers before proposing further reporting changes beyond those proposed later in this impact analysis.</w:t>
      </w:r>
    </w:p>
    <w:p w14:paraId="7A82111B" w14:textId="1ECA0E60" w:rsidR="00443A82" w:rsidRPr="0026758E" w:rsidRDefault="008570FA" w:rsidP="00EB41C1">
      <w:pPr>
        <w:pStyle w:val="Heading4"/>
      </w:pPr>
      <w:r>
        <w:t>Policy Problem</w:t>
      </w:r>
    </w:p>
    <w:p w14:paraId="0D2EE68F" w14:textId="4477411D" w:rsidR="00DF788C" w:rsidRDefault="00525251" w:rsidP="00DF788C">
      <w:pPr>
        <w:pStyle w:val="Paragraphtext"/>
      </w:pPr>
      <w:r>
        <w:t xml:space="preserve">This chapter </w:t>
      </w:r>
      <w:r w:rsidR="004A12D3">
        <w:t>showed</w:t>
      </w:r>
      <w:r w:rsidR="001232E0">
        <w:t xml:space="preserve"> </w:t>
      </w:r>
      <w:r w:rsidR="004402BF">
        <w:t xml:space="preserve">that </w:t>
      </w:r>
      <w:r w:rsidR="001232E0">
        <w:t xml:space="preserve">the Royal Commission identified that </w:t>
      </w:r>
      <w:r w:rsidR="00CD4C95">
        <w:t>providers</w:t>
      </w:r>
      <w:r w:rsidR="003372B5">
        <w:t xml:space="preserve"> </w:t>
      </w:r>
      <w:r w:rsidR="00CD4C95">
        <w:t>were not delivering the required amount of quality care to aged care residents</w:t>
      </w:r>
      <w:r w:rsidR="00E52492">
        <w:t xml:space="preserve"> and recommended the introduc</w:t>
      </w:r>
      <w:r w:rsidR="004402BF">
        <w:t>tion</w:t>
      </w:r>
      <w:r w:rsidR="00E52492">
        <w:t xml:space="preserve"> o</w:t>
      </w:r>
      <w:r w:rsidR="008B0072">
        <w:t xml:space="preserve">f mandatory care minutes targets including prescribing the amount or care minutes that should be delivered to each resident per day. </w:t>
      </w:r>
    </w:p>
    <w:p w14:paraId="36CABBBC" w14:textId="4F73DBEA" w:rsidR="00BD37D6" w:rsidRDefault="008B0072" w:rsidP="00DF788C">
      <w:pPr>
        <w:pStyle w:val="Paragraphtext"/>
      </w:pPr>
      <w:r>
        <w:t>In response to the Royal Commission</w:t>
      </w:r>
      <w:r w:rsidR="00331D8D">
        <w:t>’</w:t>
      </w:r>
      <w:r>
        <w:t>s recommendations</w:t>
      </w:r>
      <w:r w:rsidR="00331D8D">
        <w:t xml:space="preserve">, </w:t>
      </w:r>
      <w:r w:rsidR="00CD4C95">
        <w:t xml:space="preserve">the </w:t>
      </w:r>
      <w:r w:rsidR="003933B5">
        <w:t>Government</w:t>
      </w:r>
      <w:r w:rsidR="00CD4C95">
        <w:t xml:space="preserve"> introduced </w:t>
      </w:r>
      <w:r w:rsidR="009D231E">
        <w:t>care minutes targets for providers</w:t>
      </w:r>
      <w:r w:rsidR="00331D8D">
        <w:t xml:space="preserve"> and increased AN-ACC funding </w:t>
      </w:r>
      <w:r w:rsidR="00E01E01">
        <w:t>for</w:t>
      </w:r>
      <w:r w:rsidR="00BD37D6">
        <w:t xml:space="preserve"> providers to</w:t>
      </w:r>
      <w:r w:rsidR="00331D8D">
        <w:t xml:space="preserve"> deliver care minutes. However, </w:t>
      </w:r>
      <w:r w:rsidR="00A8551B">
        <w:t>many</w:t>
      </w:r>
      <w:r w:rsidR="00465938">
        <w:t xml:space="preserve"> providers are not </w:t>
      </w:r>
      <w:r w:rsidR="00B530E6">
        <w:t xml:space="preserve">engaging sufficient </w:t>
      </w:r>
      <w:r w:rsidR="009250F3">
        <w:t xml:space="preserve">nurses and carers </w:t>
      </w:r>
      <w:r w:rsidR="006C5B93">
        <w:t xml:space="preserve">to </w:t>
      </w:r>
      <w:r w:rsidR="00465938">
        <w:t>comply with the</w:t>
      </w:r>
      <w:r w:rsidR="00E01E01">
        <w:t xml:space="preserve">ir care minute </w:t>
      </w:r>
      <w:r w:rsidR="004A12D3">
        <w:t>targets</w:t>
      </w:r>
      <w:r w:rsidR="00C71100">
        <w:t xml:space="preserve"> </w:t>
      </w:r>
      <w:r w:rsidR="00465938">
        <w:t>r</w:t>
      </w:r>
      <w:r w:rsidR="001825B3">
        <w:t>egardless</w:t>
      </w:r>
      <w:r w:rsidR="00465938">
        <w:t xml:space="preserve"> of </w:t>
      </w:r>
      <w:r w:rsidR="001825B3">
        <w:t>receiving Government funding to do so</w:t>
      </w:r>
      <w:r w:rsidR="006C5B93">
        <w:t>. A</w:t>
      </w:r>
      <w:r w:rsidR="00BD37D6">
        <w:t xml:space="preserve">s a </w:t>
      </w:r>
      <w:r w:rsidR="00387E6E">
        <w:t>result</w:t>
      </w:r>
      <w:r w:rsidR="006C5B93">
        <w:t>,</w:t>
      </w:r>
      <w:r w:rsidR="00387E6E">
        <w:t xml:space="preserve"> aged care residents are not receiving the required amount of quality care and </w:t>
      </w:r>
      <w:r w:rsidR="00FE75F2">
        <w:t>Government</w:t>
      </w:r>
      <w:r w:rsidR="00387E6E">
        <w:t xml:space="preserve"> funding to deliver care is not being used as intende</w:t>
      </w:r>
      <w:r w:rsidR="00FE75F2">
        <w:t>d</w:t>
      </w:r>
      <w:r w:rsidR="001825B3">
        <w:t>.</w:t>
      </w:r>
    </w:p>
    <w:p w14:paraId="3511DD2A" w14:textId="77777777" w:rsidR="00884B5C" w:rsidRDefault="00BD37D6" w:rsidP="00DF788C">
      <w:pPr>
        <w:pStyle w:val="Paragraphtext"/>
      </w:pPr>
      <w:r>
        <w:t>Consequently</w:t>
      </w:r>
      <w:r w:rsidR="00884B5C">
        <w:t>,</w:t>
      </w:r>
      <w:r>
        <w:t xml:space="preserve"> the policy problem</w:t>
      </w:r>
      <w:r w:rsidR="00884B5C">
        <w:t xml:space="preserve"> is:</w:t>
      </w:r>
    </w:p>
    <w:p w14:paraId="70CFE8EB" w14:textId="02CCCA80" w:rsidR="008C2284" w:rsidRDefault="0084070F" w:rsidP="000C513E">
      <w:pPr>
        <w:pStyle w:val="Paragraphtext"/>
        <w:ind w:left="720"/>
      </w:pPr>
      <w:r>
        <w:t xml:space="preserve">A </w:t>
      </w:r>
      <w:r w:rsidR="00666741">
        <w:t>significant</w:t>
      </w:r>
      <w:r>
        <w:t xml:space="preserve"> </w:t>
      </w:r>
      <w:r w:rsidR="009A6FDE">
        <w:t>number</w:t>
      </w:r>
      <w:r>
        <w:t xml:space="preserve"> of providers are not </w:t>
      </w:r>
      <w:r w:rsidR="00666741">
        <w:t>delivering</w:t>
      </w:r>
      <w:r>
        <w:t xml:space="preserve"> the required amount of care minutes that </w:t>
      </w:r>
      <w:r w:rsidR="008C7FF9">
        <w:t>Government funds them to deliver</w:t>
      </w:r>
      <w:r w:rsidR="009250F3">
        <w:t>,</w:t>
      </w:r>
      <w:r w:rsidR="008C7FF9">
        <w:t xml:space="preserve"> which results in </w:t>
      </w:r>
      <w:r w:rsidR="002E42C2">
        <w:t xml:space="preserve">the misallocation of </w:t>
      </w:r>
      <w:r w:rsidR="00A91161">
        <w:t>G</w:t>
      </w:r>
      <w:r w:rsidR="00890060">
        <w:t xml:space="preserve">overnment </w:t>
      </w:r>
      <w:r w:rsidR="002E42C2">
        <w:t xml:space="preserve">funding and </w:t>
      </w:r>
      <w:r w:rsidR="008D2168">
        <w:t>residents not receiving the recommended amount of quality care</w:t>
      </w:r>
      <w:r w:rsidR="004F294E">
        <w:t xml:space="preserve"> to meet their personal and clinical care needs</w:t>
      </w:r>
      <w:r w:rsidR="00C95190">
        <w:t>.</w:t>
      </w:r>
      <w:r w:rsidR="00666741">
        <w:t xml:space="preserve"> </w:t>
      </w:r>
    </w:p>
    <w:p w14:paraId="4C8F0971" w14:textId="3F7045AC" w:rsidR="00F61986" w:rsidRDefault="00023569" w:rsidP="00DF788C">
      <w:pPr>
        <w:pStyle w:val="Paragraphtext"/>
        <w:rPr>
          <w:rFonts w:cs="Arial"/>
          <w:bCs/>
          <w:color w:val="3F4A75"/>
          <w:kern w:val="28"/>
          <w:sz w:val="36"/>
          <w:szCs w:val="36"/>
        </w:rPr>
      </w:pPr>
      <w:bookmarkStart w:id="30" w:name="_Toc178074424"/>
      <w:r>
        <w:t xml:space="preserve">The next chapter will identify the objectives of </w:t>
      </w:r>
      <w:r w:rsidR="00CA6B43">
        <w:t>Government action to address this policy problem and</w:t>
      </w:r>
      <w:r w:rsidR="00661A00">
        <w:t xml:space="preserve"> the government interventions available to achieve these objectives</w:t>
      </w:r>
      <w:r w:rsidR="00E86DFA">
        <w:t xml:space="preserve">. </w:t>
      </w:r>
      <w:r w:rsidR="00661A00">
        <w:t xml:space="preserve">  </w:t>
      </w:r>
      <w:r w:rsidR="00CA6B43">
        <w:t xml:space="preserve"> </w:t>
      </w:r>
      <w:r w:rsidR="00F61986">
        <w:br w:type="page"/>
      </w:r>
    </w:p>
    <w:p w14:paraId="7924CDD1" w14:textId="150A8CD6" w:rsidR="00832A41" w:rsidRDefault="2E167058" w:rsidP="00C87C89">
      <w:pPr>
        <w:pStyle w:val="OIAQuestion"/>
      </w:pPr>
      <w:bookmarkStart w:id="31" w:name="_Toc183705480"/>
      <w:bookmarkStart w:id="32" w:name="_Toc200394434"/>
      <w:bookmarkStart w:id="33" w:name="_Toc203133281"/>
      <w:bookmarkStart w:id="34" w:name="_Toc205802672"/>
      <w:bookmarkStart w:id="35" w:name="_Toc203639522"/>
      <w:bookmarkStart w:id="36" w:name="_Toc207014400"/>
      <w:bookmarkEnd w:id="30"/>
      <w:r>
        <w:lastRenderedPageBreak/>
        <w:t>Need for Government action</w:t>
      </w:r>
      <w:bookmarkEnd w:id="31"/>
      <w:bookmarkEnd w:id="32"/>
      <w:bookmarkEnd w:id="33"/>
      <w:bookmarkEnd w:id="34"/>
      <w:bookmarkEnd w:id="35"/>
      <w:bookmarkEnd w:id="36"/>
    </w:p>
    <w:p w14:paraId="3B958FCB" w14:textId="43F871E2" w:rsidR="00203C8C" w:rsidRDefault="3628B0FC" w:rsidP="00304578">
      <w:pPr>
        <w:pStyle w:val="Paragraphtext"/>
        <w:pBdr>
          <w:top w:val="single" w:sz="8" w:space="0" w:color="auto"/>
          <w:left w:val="single" w:sz="8" w:space="4" w:color="auto"/>
          <w:bottom w:val="single" w:sz="8" w:space="1" w:color="auto"/>
          <w:right w:val="single" w:sz="8" w:space="4" w:color="auto"/>
        </w:pBdr>
        <w:shd w:val="clear" w:color="auto" w:fill="D0EAED" w:themeFill="accent2" w:themeFillTint="33"/>
      </w:pPr>
      <w:bookmarkStart w:id="37" w:name="_Toc183705481"/>
      <w:r>
        <w:t xml:space="preserve">Government intervention is needed because without it, it is expected that compliance with care minutes </w:t>
      </w:r>
      <w:r w:rsidR="52C48C0E">
        <w:t xml:space="preserve">targets </w:t>
      </w:r>
      <w:r w:rsidR="2A7CFD53">
        <w:t xml:space="preserve">will continue to </w:t>
      </w:r>
      <w:r w:rsidR="09D9AEC0">
        <w:t xml:space="preserve">be </w:t>
      </w:r>
      <w:r w:rsidR="2A7CFD53">
        <w:t>low</w:t>
      </w:r>
      <w:r>
        <w:t xml:space="preserve">. This means that a significant proportion of older people living in residential aged care will continue to live in </w:t>
      </w:r>
      <w:r w:rsidR="3810101A">
        <w:t>home</w:t>
      </w:r>
      <w:r>
        <w:t>s with staffing levels lower than the Royal Commission considered necessary to deliver quality care</w:t>
      </w:r>
      <w:r w:rsidR="382FFE7B">
        <w:t xml:space="preserve"> and that Government will continue to pay for </w:t>
      </w:r>
      <w:r w:rsidR="72B629C5">
        <w:t>a substantial amount of care that is not being delivered.</w:t>
      </w:r>
    </w:p>
    <w:p w14:paraId="7E68DE98" w14:textId="76F011D3" w:rsidR="00F77D97" w:rsidRDefault="00C55813" w:rsidP="00304578">
      <w:pPr>
        <w:pStyle w:val="Paragraphtext"/>
        <w:pBdr>
          <w:top w:val="single" w:sz="8" w:space="0" w:color="auto"/>
          <w:left w:val="single" w:sz="8" w:space="4" w:color="auto"/>
          <w:bottom w:val="single" w:sz="8" w:space="1" w:color="auto"/>
          <w:right w:val="single" w:sz="8" w:space="4" w:color="auto"/>
        </w:pBdr>
        <w:shd w:val="clear" w:color="auto" w:fill="D0EAED" w:themeFill="accent2" w:themeFillTint="33"/>
      </w:pPr>
      <w:r>
        <w:t xml:space="preserve">The objectives of Government action are to ensure </w:t>
      </w:r>
      <w:r w:rsidR="3C974636">
        <w:t xml:space="preserve">residential </w:t>
      </w:r>
      <w:r w:rsidR="00696A2F">
        <w:t xml:space="preserve">aged care </w:t>
      </w:r>
      <w:r w:rsidR="00313C4C">
        <w:t>home</w:t>
      </w:r>
      <w:r w:rsidR="00696A2F">
        <w:t>s have adequate staffing levels to meet their residents’ personal and clinical care needs</w:t>
      </w:r>
      <w:r w:rsidR="008D41E1">
        <w:t xml:space="preserve"> (through meeting care minutes requirements) and to ensure Government funding </w:t>
      </w:r>
      <w:r w:rsidR="00DA7EDC">
        <w:t>for residential aged care is cost</w:t>
      </w:r>
      <w:r w:rsidR="003257CB">
        <w:noBreakHyphen/>
      </w:r>
      <w:r w:rsidR="00DA7EDC">
        <w:t xml:space="preserve">effective by minimising the extent to which funding </w:t>
      </w:r>
      <w:r w:rsidR="00B41168">
        <w:t>is provided for care that is not delivered</w:t>
      </w:r>
      <w:r w:rsidR="003366DF">
        <w:t>.</w:t>
      </w:r>
    </w:p>
    <w:p w14:paraId="6B0E881C" w14:textId="52CE1568" w:rsidR="003366DF" w:rsidRDefault="003366DF" w:rsidP="00304578">
      <w:pPr>
        <w:pStyle w:val="Paragraphtext"/>
        <w:pBdr>
          <w:top w:val="single" w:sz="8" w:space="0" w:color="auto"/>
          <w:left w:val="single" w:sz="8" w:space="4" w:color="auto"/>
          <w:bottom w:val="single" w:sz="8" w:space="1" w:color="auto"/>
          <w:right w:val="single" w:sz="8" w:space="4" w:color="auto"/>
        </w:pBdr>
        <w:shd w:val="clear" w:color="auto" w:fill="D0EAED" w:themeFill="accent2" w:themeFillTint="33"/>
      </w:pPr>
      <w:r>
        <w:t>Th</w:t>
      </w:r>
      <w:r w:rsidR="00FE643D">
        <w:t>e</w:t>
      </w:r>
      <w:r>
        <w:t xml:space="preserve"> levers Government has available to achieve these objectives are through transparency initiatives, </w:t>
      </w:r>
      <w:r w:rsidR="00B62A14">
        <w:t xml:space="preserve">strengthened regulation </w:t>
      </w:r>
      <w:r w:rsidR="005545A9">
        <w:t>and</w:t>
      </w:r>
      <w:r w:rsidR="00B62A14">
        <w:t>/or</w:t>
      </w:r>
      <w:r w:rsidR="005545A9">
        <w:t xml:space="preserve"> changes to the way care minutes are funded</w:t>
      </w:r>
      <w:r w:rsidR="00C62F4E">
        <w:t xml:space="preserve">. </w:t>
      </w:r>
      <w:r w:rsidR="00CF5D9C">
        <w:t>Further Government action around transparency is not expected to</w:t>
      </w:r>
      <w:r w:rsidR="002879CE">
        <w:t xml:space="preserve"> be effective given </w:t>
      </w:r>
      <w:r w:rsidR="550781C9">
        <w:t xml:space="preserve">the </w:t>
      </w:r>
      <w:r w:rsidR="00FB7B22">
        <w:t xml:space="preserve">Government already </w:t>
      </w:r>
      <w:r w:rsidR="007F0F6E">
        <w:t>publishes information about care minutes performance</w:t>
      </w:r>
      <w:r w:rsidR="00A505BB">
        <w:t xml:space="preserve">. Likewise, changes to </w:t>
      </w:r>
      <w:r w:rsidR="002067E8">
        <w:t>the way care minutes are regulated are only expected to bring about incremental improvements</w:t>
      </w:r>
      <w:r w:rsidR="00203846">
        <w:t xml:space="preserve">. </w:t>
      </w:r>
      <w:r w:rsidR="00056B2D">
        <w:t xml:space="preserve">Funding changes are a viable lever that falls within </w:t>
      </w:r>
      <w:r w:rsidR="15389E5B">
        <w:t xml:space="preserve">the </w:t>
      </w:r>
      <w:r w:rsidR="00056B2D">
        <w:t xml:space="preserve">Government’s control as the funder of residential </w:t>
      </w:r>
      <w:r w:rsidR="005A25C0">
        <w:t>aged care</w:t>
      </w:r>
      <w:r w:rsidR="00AA3216">
        <w:t>.</w:t>
      </w:r>
    </w:p>
    <w:p w14:paraId="49AE66EE" w14:textId="651D28A9" w:rsidR="00A25879" w:rsidRPr="0080025E" w:rsidRDefault="00A25879" w:rsidP="0080025E">
      <w:pPr>
        <w:pStyle w:val="Heading4"/>
      </w:pPr>
      <w:bookmarkStart w:id="38" w:name="_Toc183705482"/>
      <w:r w:rsidRPr="0080025E">
        <w:t>Objectives of Government action</w:t>
      </w:r>
    </w:p>
    <w:p w14:paraId="6C549B75" w14:textId="46846652" w:rsidR="0052565F" w:rsidRDefault="003356CA" w:rsidP="00980BFB">
      <w:pPr>
        <w:pStyle w:val="Paragraphtext"/>
      </w:pPr>
      <w:r>
        <w:t>The objectives of Government action are:</w:t>
      </w:r>
    </w:p>
    <w:p w14:paraId="1E8E1D67" w14:textId="03FAAF90" w:rsidR="00D62855" w:rsidRDefault="735EFE6A" w:rsidP="00357BB0">
      <w:pPr>
        <w:pStyle w:val="Paragraphtext"/>
        <w:numPr>
          <w:ilvl w:val="0"/>
          <w:numId w:val="18"/>
        </w:numPr>
      </w:pPr>
      <w:r>
        <w:t>For all</w:t>
      </w:r>
      <w:r w:rsidR="3CFB3509">
        <w:t xml:space="preserve"> </w:t>
      </w:r>
      <w:r w:rsidR="03FC1DA3">
        <w:t xml:space="preserve">residential aged care </w:t>
      </w:r>
      <w:r w:rsidR="10891461">
        <w:t>homes</w:t>
      </w:r>
      <w:r w:rsidR="39DB6535">
        <w:t xml:space="preserve"> to have adequate </w:t>
      </w:r>
      <w:r w:rsidR="3049611A">
        <w:t xml:space="preserve">staffing levels to </w:t>
      </w:r>
      <w:r w:rsidR="7965B7C5">
        <w:t>meet their residents</w:t>
      </w:r>
      <w:r w:rsidR="4765025F">
        <w:t>’</w:t>
      </w:r>
      <w:r w:rsidR="7965B7C5">
        <w:t xml:space="preserve"> personal and clinical care needs</w:t>
      </w:r>
      <w:r w:rsidR="3049611A">
        <w:t>.</w:t>
      </w:r>
      <w:r w:rsidR="54206B19">
        <w:t xml:space="preserve"> A</w:t>
      </w:r>
      <w:r w:rsidR="73181B09">
        <w:t>s was outlined in the previous section</w:t>
      </w:r>
      <w:r w:rsidR="6E20FF12">
        <w:t>,</w:t>
      </w:r>
      <w:r w:rsidR="73181B09">
        <w:t xml:space="preserve"> a</w:t>
      </w:r>
      <w:r w:rsidR="54206B19">
        <w:t xml:space="preserve">dequate staffing levels were established by the </w:t>
      </w:r>
      <w:r w:rsidR="70B01A89">
        <w:t>Royal Commission</w:t>
      </w:r>
      <w:r w:rsidR="054E5322">
        <w:t xml:space="preserve"> </w:t>
      </w:r>
      <w:r w:rsidR="54206B19">
        <w:t>to be a case</w:t>
      </w:r>
      <w:r w:rsidR="77048F55">
        <w:t>-</w:t>
      </w:r>
      <w:r w:rsidR="54206B19">
        <w:t>mix adjusted</w:t>
      </w:r>
      <w:r w:rsidR="7ED5AE37">
        <w:t xml:space="preserve"> (based on the </w:t>
      </w:r>
      <w:r w:rsidR="493CADAF">
        <w:t xml:space="preserve">care </w:t>
      </w:r>
      <w:r w:rsidR="7ED5AE37">
        <w:t>needs of residents)</w:t>
      </w:r>
      <w:r w:rsidR="54206B19">
        <w:t xml:space="preserve"> average</w:t>
      </w:r>
      <w:r w:rsidR="007D138F">
        <w:t xml:space="preserve"> care minute target which is </w:t>
      </w:r>
      <w:r w:rsidR="00624473">
        <w:t>currently</w:t>
      </w:r>
      <w:r w:rsidR="168986AC">
        <w:t xml:space="preserve"> </w:t>
      </w:r>
      <w:r w:rsidR="054E5322">
        <w:t>215 minutes of total care time</w:t>
      </w:r>
      <w:r w:rsidR="3BF041D1">
        <w:t xml:space="preserve"> including 44 minutes of RN time</w:t>
      </w:r>
      <w:r w:rsidR="1EDD694C">
        <w:t xml:space="preserve"> per resident per day</w:t>
      </w:r>
      <w:r w:rsidR="1753E53C">
        <w:t>. This objective is therefore</w:t>
      </w:r>
      <w:r w:rsidR="4765025F">
        <w:t xml:space="preserve"> measured in practice by</w:t>
      </w:r>
      <w:r w:rsidR="3482FA9E">
        <w:t xml:space="preserve"> compliance with service level care minutes </w:t>
      </w:r>
      <w:r w:rsidR="1753E53C">
        <w:t>targets</w:t>
      </w:r>
      <w:r w:rsidR="73D35431">
        <w:t>.</w:t>
      </w:r>
    </w:p>
    <w:p w14:paraId="3690B59B" w14:textId="37244D23" w:rsidR="00A73CBF" w:rsidRDefault="00A3B6EE" w:rsidP="00357BB0">
      <w:pPr>
        <w:pStyle w:val="Paragraphtext"/>
        <w:numPr>
          <w:ilvl w:val="0"/>
          <w:numId w:val="18"/>
        </w:numPr>
      </w:pPr>
      <w:r>
        <w:t>T</w:t>
      </w:r>
      <w:r w:rsidR="543F2569">
        <w:t>o</w:t>
      </w:r>
      <w:r w:rsidR="3482FA9E">
        <w:t xml:space="preserve"> ensure that Government funding for residential aged care is cost-</w:t>
      </w:r>
      <w:r w:rsidR="506665D7">
        <w:t>effective and sustainable</w:t>
      </w:r>
      <w:r w:rsidR="500C5EBD">
        <w:t xml:space="preserve"> by minimising the extent to which funding is provided for care</w:t>
      </w:r>
      <w:r w:rsidR="6FB56E29">
        <w:t xml:space="preserve"> minutes</w:t>
      </w:r>
      <w:r w:rsidR="500C5EBD">
        <w:t xml:space="preserve"> that </w:t>
      </w:r>
      <w:r w:rsidR="6FB56E29">
        <w:t xml:space="preserve">are </w:t>
      </w:r>
      <w:r w:rsidR="500C5EBD">
        <w:t>not delivered.</w:t>
      </w:r>
    </w:p>
    <w:p w14:paraId="09DDEB04" w14:textId="47D01740" w:rsidR="007A68B4" w:rsidRPr="0080025E" w:rsidRDefault="43709EB8" w:rsidP="0080025E">
      <w:pPr>
        <w:pStyle w:val="Heading4"/>
      </w:pPr>
      <w:r w:rsidRPr="0080025E">
        <w:t>What levers does Government have to achieve these objectives</w:t>
      </w:r>
      <w:r w:rsidR="519E76D8" w:rsidRPr="0080025E">
        <w:t>?</w:t>
      </w:r>
    </w:p>
    <w:p w14:paraId="5D05E333" w14:textId="72E8B047" w:rsidR="000C1635" w:rsidRDefault="00447F57" w:rsidP="00CD0302">
      <w:pPr>
        <w:pStyle w:val="Paragraphtext"/>
      </w:pPr>
      <w:r>
        <w:t xml:space="preserve">Government has </w:t>
      </w:r>
      <w:r w:rsidR="001B589F">
        <w:t xml:space="preserve">3 key levers available to </w:t>
      </w:r>
      <w:r w:rsidR="00A85D20">
        <w:t>achieve the objectives. These are</w:t>
      </w:r>
      <w:r w:rsidR="000C1635">
        <w:t>:</w:t>
      </w:r>
    </w:p>
    <w:p w14:paraId="3BD38378" w14:textId="474CF301" w:rsidR="000C1635" w:rsidRDefault="000C1635" w:rsidP="00A06EFD">
      <w:pPr>
        <w:pStyle w:val="Paragraphtext"/>
        <w:numPr>
          <w:ilvl w:val="0"/>
          <w:numId w:val="1"/>
        </w:numPr>
      </w:pPr>
      <w:r>
        <w:t>T</w:t>
      </w:r>
      <w:r w:rsidR="00A85D20">
        <w:t>ransparency measures</w:t>
      </w:r>
      <w:r w:rsidR="007309A8">
        <w:t xml:space="preserve"> aimed at </w:t>
      </w:r>
      <w:r w:rsidR="00036C8F">
        <w:t>highlighting</w:t>
      </w:r>
      <w:r w:rsidR="00632589">
        <w:t xml:space="preserve"> providers</w:t>
      </w:r>
      <w:r w:rsidR="2C63FED2">
        <w:t>’</w:t>
      </w:r>
      <w:r w:rsidR="00632589">
        <w:t xml:space="preserve"> performance with their care minutes</w:t>
      </w:r>
      <w:r w:rsidR="00605FDD">
        <w:t xml:space="preserve"> </w:t>
      </w:r>
      <w:r w:rsidR="009F45EC">
        <w:t xml:space="preserve">targets </w:t>
      </w:r>
      <w:r w:rsidR="00605FDD">
        <w:t>to incentivise better performance</w:t>
      </w:r>
      <w:r>
        <w:t>.</w:t>
      </w:r>
    </w:p>
    <w:p w14:paraId="59270A5D" w14:textId="27F2431E" w:rsidR="007A68B4" w:rsidRDefault="00AF40AB" w:rsidP="00A06EFD">
      <w:pPr>
        <w:pStyle w:val="Paragraphtext"/>
        <w:numPr>
          <w:ilvl w:val="0"/>
          <w:numId w:val="1"/>
        </w:numPr>
      </w:pPr>
      <w:r>
        <w:t>The way in which care minutes are regulated by the ACQSC</w:t>
      </w:r>
      <w:r w:rsidR="003E27F3">
        <w:t>. This</w:t>
      </w:r>
      <w:r w:rsidR="0043322D">
        <w:t xml:space="preserve"> includ</w:t>
      </w:r>
      <w:r w:rsidR="003E27F3">
        <w:t>es</w:t>
      </w:r>
      <w:r w:rsidR="004B5DE1">
        <w:t xml:space="preserve"> the ACQSC</w:t>
      </w:r>
      <w:r w:rsidR="00A475F8">
        <w:t>’s response</w:t>
      </w:r>
      <w:r w:rsidR="004B5DE1">
        <w:t xml:space="preserve"> to non-compliance</w:t>
      </w:r>
      <w:r w:rsidR="006B5287">
        <w:t xml:space="preserve"> (</w:t>
      </w:r>
      <w:r w:rsidR="000E63F0">
        <w:t>for example</w:t>
      </w:r>
      <w:r w:rsidR="003E27F3">
        <w:t>,</w:t>
      </w:r>
      <w:r w:rsidR="000E63F0">
        <w:t xml:space="preserve"> whether </w:t>
      </w:r>
      <w:r w:rsidR="00471C03">
        <w:t xml:space="preserve">not meeting care minutes leads to further </w:t>
      </w:r>
      <w:r w:rsidR="004330E7">
        <w:t xml:space="preserve">monitoring, formal action such as </w:t>
      </w:r>
      <w:r w:rsidR="00C70ADB">
        <w:t>enforceable</w:t>
      </w:r>
      <w:r w:rsidR="004330E7">
        <w:t xml:space="preserve"> undertakings or non-compliance </w:t>
      </w:r>
      <w:r w:rsidR="2FC71178">
        <w:t>notice</w:t>
      </w:r>
      <w:r w:rsidR="1771D2B5">
        <w:t>s</w:t>
      </w:r>
      <w:r w:rsidR="2FC71178">
        <w:t xml:space="preserve"> </w:t>
      </w:r>
      <w:r w:rsidR="004330E7">
        <w:t>or</w:t>
      </w:r>
      <w:r w:rsidR="00C70ADB">
        <w:t xml:space="preserve"> sanctions</w:t>
      </w:r>
      <w:r w:rsidR="00222630">
        <w:t>)</w:t>
      </w:r>
      <w:r w:rsidR="004B5DE1">
        <w:t>, the factors that the ACQSC consider when determining their regulatory response and</w:t>
      </w:r>
      <w:r w:rsidR="00F01DA5">
        <w:t xml:space="preserve"> the </w:t>
      </w:r>
      <w:r w:rsidR="00DD762D">
        <w:t xml:space="preserve">resources of the ACQSC </w:t>
      </w:r>
      <w:r w:rsidR="004B5DE1">
        <w:t>available to</w:t>
      </w:r>
      <w:r w:rsidR="00380C78">
        <w:t xml:space="preserve"> respond to</w:t>
      </w:r>
      <w:r w:rsidR="002F2407">
        <w:t xml:space="preserve"> </w:t>
      </w:r>
      <w:r w:rsidR="59E3B07E">
        <w:t xml:space="preserve">widespread sector </w:t>
      </w:r>
      <w:r w:rsidR="002F2407">
        <w:t>non-compliance with care minutes</w:t>
      </w:r>
      <w:r w:rsidR="00BF3094">
        <w:t xml:space="preserve"> targets</w:t>
      </w:r>
      <w:r w:rsidR="002F2407">
        <w:t>.</w:t>
      </w:r>
      <w:r w:rsidR="005F1EB7">
        <w:t xml:space="preserve"> </w:t>
      </w:r>
    </w:p>
    <w:p w14:paraId="422475FD" w14:textId="2B5230F0" w:rsidR="004728FE" w:rsidRDefault="19931D94" w:rsidP="00A06EFD">
      <w:pPr>
        <w:pStyle w:val="Paragraphtext"/>
        <w:numPr>
          <w:ilvl w:val="0"/>
          <w:numId w:val="1"/>
        </w:numPr>
      </w:pPr>
      <w:r>
        <w:t>The way in which providers are funded to deliver their care minutes</w:t>
      </w:r>
      <w:r w:rsidR="0ED805AF">
        <w:t xml:space="preserve"> targets</w:t>
      </w:r>
      <w:r w:rsidR="180D8C6C">
        <w:t>.</w:t>
      </w:r>
    </w:p>
    <w:p w14:paraId="455A7918" w14:textId="3CB3FE7D" w:rsidR="5F59CE83" w:rsidRPr="00065CE8" w:rsidRDefault="5F59CE83" w:rsidP="00065CE8">
      <w:pPr>
        <w:pStyle w:val="Paragraphtext"/>
        <w:spacing w:line="259" w:lineRule="auto"/>
        <w:rPr>
          <w:b/>
        </w:rPr>
      </w:pPr>
      <w:r w:rsidRPr="00065CE8">
        <w:rPr>
          <w:b/>
        </w:rPr>
        <w:t>Transparency measures</w:t>
      </w:r>
    </w:p>
    <w:p w14:paraId="56956DC0" w14:textId="72D2D314" w:rsidR="00F722A3" w:rsidRDefault="5C562FAD" w:rsidP="00CD0302">
      <w:pPr>
        <w:pStyle w:val="Paragraphtext"/>
      </w:pPr>
      <w:r>
        <w:t xml:space="preserve">As noted earlier in this report, </w:t>
      </w:r>
      <w:r w:rsidR="06DD9905">
        <w:t>the</w:t>
      </w:r>
      <w:r w:rsidR="42D8A916">
        <w:t xml:space="preserve">re is already </w:t>
      </w:r>
      <w:r w:rsidR="6764E24F">
        <w:t>considerable</w:t>
      </w:r>
      <w:r w:rsidR="42D8A916">
        <w:t xml:space="preserve"> transparency around </w:t>
      </w:r>
      <w:r w:rsidR="62D346B5">
        <w:t xml:space="preserve">care minutes delivery with care minutes </w:t>
      </w:r>
      <w:r w:rsidR="59A49970">
        <w:t>performance</w:t>
      </w:r>
      <w:r w:rsidR="62D346B5">
        <w:t xml:space="preserve"> published on the My Aged Care ‘Find a Provider’ </w:t>
      </w:r>
      <w:r w:rsidR="4305FEF8">
        <w:t>webpage</w:t>
      </w:r>
      <w:r w:rsidR="62D346B5">
        <w:t xml:space="preserve"> </w:t>
      </w:r>
      <w:r w:rsidR="086D440B">
        <w:t xml:space="preserve">as part of the </w:t>
      </w:r>
      <w:r>
        <w:t>S</w:t>
      </w:r>
      <w:r w:rsidR="086D440B">
        <w:t xml:space="preserve">taffing </w:t>
      </w:r>
      <w:r>
        <w:t>R</w:t>
      </w:r>
      <w:r w:rsidR="086D440B">
        <w:t>ating</w:t>
      </w:r>
      <w:r w:rsidR="7DC2506F">
        <w:t xml:space="preserve"> </w:t>
      </w:r>
      <w:r w:rsidR="086D440B">
        <w:t xml:space="preserve">and </w:t>
      </w:r>
      <w:r w:rsidR="7DC2506F">
        <w:t xml:space="preserve">forming a component of each </w:t>
      </w:r>
      <w:r w:rsidR="59A49970">
        <w:t>home</w:t>
      </w:r>
      <w:r w:rsidR="2A8EB8C9">
        <w:t>’</w:t>
      </w:r>
      <w:r w:rsidR="7DC2506F">
        <w:t xml:space="preserve">s </w:t>
      </w:r>
      <w:r w:rsidR="71F5F17C">
        <w:t>O</w:t>
      </w:r>
      <w:r w:rsidR="7DC2506F">
        <w:t xml:space="preserve">verall </w:t>
      </w:r>
      <w:r w:rsidR="259CAF5F">
        <w:t>S</w:t>
      </w:r>
      <w:r w:rsidR="7DC2506F">
        <w:t xml:space="preserve">tar </w:t>
      </w:r>
      <w:r>
        <w:t>R</w:t>
      </w:r>
      <w:r w:rsidR="7DC2506F">
        <w:t>ating each quarter.</w:t>
      </w:r>
      <w:r w:rsidR="001107AC">
        <w:t xml:space="preserve"> This </w:t>
      </w:r>
      <w:r w:rsidR="00746432">
        <w:t xml:space="preserve">care minutes and Staffing Rating information published on My Aged Care is </w:t>
      </w:r>
      <w:r w:rsidR="00384D72">
        <w:t>specifically</w:t>
      </w:r>
      <w:r w:rsidR="00746432">
        <w:t xml:space="preserve"> targeted at older people and their family members and </w:t>
      </w:r>
      <w:r w:rsidR="6E4C5E1A">
        <w:t>was</w:t>
      </w:r>
      <w:r w:rsidR="00E47646">
        <w:t xml:space="preserve"> designed </w:t>
      </w:r>
      <w:r w:rsidR="00C0649D">
        <w:t>using</w:t>
      </w:r>
      <w:r w:rsidR="00B94BBA">
        <w:t xml:space="preserve"> target audience</w:t>
      </w:r>
      <w:r w:rsidR="00E47646">
        <w:t xml:space="preserve"> </w:t>
      </w:r>
      <w:r w:rsidR="00CA6C16">
        <w:t>user testing</w:t>
      </w:r>
      <w:r w:rsidR="003C3787">
        <w:t>.</w:t>
      </w:r>
      <w:r w:rsidR="00746432">
        <w:t xml:space="preserve"> </w:t>
      </w:r>
      <w:r w:rsidR="1E831C32">
        <w:t xml:space="preserve">Also noted earlier </w:t>
      </w:r>
      <w:r w:rsidR="750CA8F3">
        <w:t xml:space="preserve">in this report </w:t>
      </w:r>
      <w:r w:rsidR="1E831C32">
        <w:t>was the c</w:t>
      </w:r>
      <w:r w:rsidR="2A95B67D">
        <w:t>onsiderable effort</w:t>
      </w:r>
      <w:r w:rsidR="00934990">
        <w:t xml:space="preserve"> that has</w:t>
      </w:r>
      <w:r w:rsidR="2A95B67D">
        <w:t xml:space="preserve"> gone into ensuring that </w:t>
      </w:r>
      <w:r w:rsidR="51694B4D">
        <w:t xml:space="preserve">older people and their family members know about </w:t>
      </w:r>
      <w:r w:rsidR="1F4FDA94">
        <w:t>S</w:t>
      </w:r>
      <w:r w:rsidR="51694B4D">
        <w:t xml:space="preserve">tar </w:t>
      </w:r>
      <w:r>
        <w:t>R</w:t>
      </w:r>
      <w:r w:rsidR="51694B4D">
        <w:t>atings</w:t>
      </w:r>
      <w:r w:rsidR="16C25A71">
        <w:t xml:space="preserve">, including </w:t>
      </w:r>
      <w:r w:rsidR="16C25A71">
        <w:lastRenderedPageBreak/>
        <w:t>a</w:t>
      </w:r>
      <w:r w:rsidR="371C4499">
        <w:t xml:space="preserve"> national</w:t>
      </w:r>
      <w:r w:rsidR="16C25A71">
        <w:t xml:space="preserve"> advertising campaign</w:t>
      </w:r>
      <w:r w:rsidR="6897B27C">
        <w:t xml:space="preserve"> </w:t>
      </w:r>
      <w:r w:rsidR="371C4499">
        <w:t>target</w:t>
      </w:r>
      <w:r w:rsidR="2751EBAA">
        <w:t>ing older people and their support networks</w:t>
      </w:r>
      <w:r w:rsidR="6897B27C">
        <w:t xml:space="preserve">. </w:t>
      </w:r>
      <w:r w:rsidR="00D441FA">
        <w:t xml:space="preserve">An evaluation survey undertaken as part of the recent Star Ratings evaluation found that approximately 60% of prospective consumer survey respondents indicated they had accessed the Find a Provider tool to learn about the Star Ratings of a home (of which the </w:t>
      </w:r>
      <w:r w:rsidR="16753FA6">
        <w:t>S</w:t>
      </w:r>
      <w:r w:rsidR="00D441FA">
        <w:t xml:space="preserve">taffing </w:t>
      </w:r>
      <w:r w:rsidR="2FE54A85">
        <w:t>R</w:t>
      </w:r>
      <w:r w:rsidR="00D441FA">
        <w:t>ating, which is based on care minutes</w:t>
      </w:r>
      <w:r w:rsidR="009A5118">
        <w:t>,</w:t>
      </w:r>
      <w:r w:rsidR="00D441FA">
        <w:t xml:space="preserve"> is a component). </w:t>
      </w:r>
    </w:p>
    <w:p w14:paraId="7D1824C1" w14:textId="6A6A45C7" w:rsidR="00080D3E" w:rsidRDefault="7DC2506F" w:rsidP="00CD0302">
      <w:pPr>
        <w:pStyle w:val="Paragraphtext"/>
      </w:pPr>
      <w:r>
        <w:t xml:space="preserve">In </w:t>
      </w:r>
      <w:r w:rsidR="6C96A031">
        <w:t>addition,</w:t>
      </w:r>
      <w:r>
        <w:t xml:space="preserve"> </w:t>
      </w:r>
      <w:r w:rsidR="501EC2E7">
        <w:t>tabulated data showing</w:t>
      </w:r>
      <w:r>
        <w:t xml:space="preserve"> </w:t>
      </w:r>
      <w:r w:rsidR="494460C2">
        <w:t>home</w:t>
      </w:r>
      <w:r>
        <w:t xml:space="preserve"> and provider level </w:t>
      </w:r>
      <w:r w:rsidR="6C96A031">
        <w:t xml:space="preserve">care minutes </w:t>
      </w:r>
      <w:r w:rsidR="00934990">
        <w:t>performance</w:t>
      </w:r>
      <w:r w:rsidR="6C96A031">
        <w:t xml:space="preserve"> is readily</w:t>
      </w:r>
      <w:r>
        <w:t xml:space="preserve"> available on the department's website</w:t>
      </w:r>
      <w:r w:rsidR="007D73EF">
        <w:rPr>
          <w:rStyle w:val="FootnoteReference"/>
        </w:rPr>
        <w:footnoteReference w:id="36"/>
      </w:r>
      <w:r w:rsidR="00AA1CFD">
        <w:t>. Th</w:t>
      </w:r>
      <w:r w:rsidR="00A744CE">
        <w:t>is</w:t>
      </w:r>
      <w:r w:rsidR="00934990">
        <w:t xml:space="preserve"> is</w:t>
      </w:r>
      <w:r w:rsidR="00A744CE">
        <w:t xml:space="preserve"> published in spreadsheet form</w:t>
      </w:r>
      <w:r w:rsidR="00827657">
        <w:t xml:space="preserve">, allowing </w:t>
      </w:r>
      <w:r w:rsidR="00DD29C7">
        <w:t xml:space="preserve">stakeholders to easily compare performance </w:t>
      </w:r>
      <w:r w:rsidR="006B63B9">
        <w:t xml:space="preserve">across the sector. </w:t>
      </w:r>
      <w:r w:rsidR="0022051D">
        <w:t xml:space="preserve">While it is available to </w:t>
      </w:r>
      <w:r w:rsidR="001F12DB">
        <w:t>all, it is</w:t>
      </w:r>
      <w:r w:rsidR="00934990">
        <w:t xml:space="preserve"> not designed </w:t>
      </w:r>
      <w:r w:rsidR="0022051D">
        <w:t xml:space="preserve">to be </w:t>
      </w:r>
      <w:r w:rsidR="009A337D">
        <w:t xml:space="preserve">readily </w:t>
      </w:r>
      <w:r w:rsidR="0022051D">
        <w:t>accessible</w:t>
      </w:r>
      <w:r w:rsidR="009F68CF">
        <w:t xml:space="preserve"> to older p</w:t>
      </w:r>
      <w:r w:rsidR="00155179">
        <w:t>eople</w:t>
      </w:r>
      <w:r w:rsidR="00936797">
        <w:t xml:space="preserve">, </w:t>
      </w:r>
      <w:r w:rsidR="00155179">
        <w:t xml:space="preserve">who are directed </w:t>
      </w:r>
      <w:r w:rsidR="00310F61">
        <w:t>to the accessible information published through Star Ratings on My Aged Care</w:t>
      </w:r>
      <w:r w:rsidR="00936797">
        <w:t xml:space="preserve">. Instead, it is </w:t>
      </w:r>
      <w:r w:rsidR="00B25BFF">
        <w:t xml:space="preserve">aimed at </w:t>
      </w:r>
      <w:r w:rsidR="00936797">
        <w:t>groups such as sector peaks,</w:t>
      </w:r>
      <w:r w:rsidR="00052BB5">
        <w:t xml:space="preserve"> media</w:t>
      </w:r>
      <w:r w:rsidR="00D620F5">
        <w:t>, academics</w:t>
      </w:r>
      <w:r w:rsidR="00E71400">
        <w:t>, unions</w:t>
      </w:r>
      <w:r w:rsidR="00B25BFF">
        <w:t xml:space="preserve"> and individuals</w:t>
      </w:r>
      <w:r w:rsidR="0066724F">
        <w:t xml:space="preserve"> with some</w:t>
      </w:r>
      <w:r w:rsidR="00B25BFF">
        <w:t xml:space="preserve"> </w:t>
      </w:r>
      <w:r w:rsidR="009A337D">
        <w:t xml:space="preserve">ability to navigate a spreadsheet </w:t>
      </w:r>
      <w:r w:rsidR="0079256D">
        <w:t xml:space="preserve">and </w:t>
      </w:r>
      <w:r w:rsidR="00B25BFF">
        <w:t xml:space="preserve">who want </w:t>
      </w:r>
      <w:r w:rsidR="00C215A8">
        <w:t>to do a deeper dive into care minutes delivery across particular homes and providers.</w:t>
      </w:r>
      <w:r w:rsidR="00684EBA">
        <w:t xml:space="preserve"> T</w:t>
      </w:r>
      <w:r w:rsidR="00CF0AAB">
        <w:t xml:space="preserve">hese spreadsheets have been accessed </w:t>
      </w:r>
      <w:r w:rsidR="007F6588">
        <w:t>on 889 occasions from 31 July to 30 November 2024.</w:t>
      </w:r>
    </w:p>
    <w:p w14:paraId="0B8ABADB" w14:textId="39643920" w:rsidR="00080D3E" w:rsidRDefault="00343983" w:rsidP="007E180D">
      <w:pPr>
        <w:pStyle w:val="Paragraphtext"/>
        <w:spacing w:line="259" w:lineRule="auto"/>
      </w:pPr>
      <w:r>
        <w:t xml:space="preserve">The department also publishes sector level performance through the </w:t>
      </w:r>
      <w:r w:rsidR="2C111F4D">
        <w:t>care minutes dashboard</w:t>
      </w:r>
      <w:r w:rsidR="00525C5E">
        <w:t xml:space="preserve"> which was </w:t>
      </w:r>
      <w:r w:rsidR="0093116C">
        <w:t>accessed</w:t>
      </w:r>
      <w:r w:rsidR="00924BD5">
        <w:t xml:space="preserve"> on 5,774 occasions from 11 April to 30 November 2024.</w:t>
      </w:r>
      <w:r w:rsidR="2C111F4D">
        <w:t xml:space="preserve"> </w:t>
      </w:r>
      <w:r w:rsidR="22737FF3">
        <w:t>It is not clear which stakeholders accessed this information.</w:t>
      </w:r>
    </w:p>
    <w:p w14:paraId="670C0FBF" w14:textId="18691022" w:rsidR="00BF3614" w:rsidRDefault="3564AC7D" w:rsidP="00CD0302">
      <w:pPr>
        <w:pStyle w:val="Paragraphtext"/>
      </w:pPr>
      <w:r>
        <w:t>Given</w:t>
      </w:r>
      <w:r w:rsidR="5C8E167C">
        <w:t xml:space="preserve"> the already high degree of </w:t>
      </w:r>
      <w:r w:rsidR="1F5B38E9">
        <w:t xml:space="preserve">transparency around </w:t>
      </w:r>
      <w:r w:rsidR="1FBED87A">
        <w:t>care minutes performance</w:t>
      </w:r>
      <w:r w:rsidR="00343983">
        <w:t xml:space="preserve"> and promotion of Star Ratings</w:t>
      </w:r>
      <w:r w:rsidR="26011E38">
        <w:t>,</w:t>
      </w:r>
      <w:r w:rsidR="1FBED87A">
        <w:t xml:space="preserve"> it is unlikely that</w:t>
      </w:r>
      <w:r w:rsidR="1B43909B">
        <w:t xml:space="preserve"> further transparency measures will </w:t>
      </w:r>
      <w:r w:rsidR="2C78DEA7">
        <w:t>significantly</w:t>
      </w:r>
      <w:r w:rsidR="7F21E3FB">
        <w:t xml:space="preserve"> improve </w:t>
      </w:r>
      <w:r w:rsidR="5746C2EE">
        <w:t>compliance with care minutes</w:t>
      </w:r>
      <w:r w:rsidR="0292597E">
        <w:t xml:space="preserve"> targets</w:t>
      </w:r>
      <w:r w:rsidR="5746C2EE">
        <w:t>.</w:t>
      </w:r>
      <w:r w:rsidR="5F3B7A1A">
        <w:t xml:space="preserve"> The department will continue to use i</w:t>
      </w:r>
      <w:r w:rsidR="3E4764F9">
        <w:t>ts resources to ensure this level of transparency continues</w:t>
      </w:r>
      <w:r w:rsidR="0E30EE39">
        <w:t>.</w:t>
      </w:r>
    </w:p>
    <w:p w14:paraId="001AF324" w14:textId="68657405" w:rsidR="219FC352" w:rsidRPr="00587DD5" w:rsidRDefault="219FC352" w:rsidP="00587DD5">
      <w:pPr>
        <w:pStyle w:val="Paragraphtext"/>
        <w:spacing w:line="259" w:lineRule="auto"/>
        <w:rPr>
          <w:b/>
        </w:rPr>
      </w:pPr>
      <w:r w:rsidRPr="00587DD5">
        <w:rPr>
          <w:b/>
        </w:rPr>
        <w:t>The way in which care minutes are regulated by the ACQSC</w:t>
      </w:r>
    </w:p>
    <w:p w14:paraId="7921A5E0" w14:textId="595A901D" w:rsidR="00D1496C" w:rsidRDefault="41A6A9ED" w:rsidP="001F1A49">
      <w:pPr>
        <w:pStyle w:val="Paragraphtext"/>
      </w:pPr>
      <w:r>
        <w:t>It is expected that incremental improvements to care minutes performance will</w:t>
      </w:r>
      <w:r w:rsidR="3BF3EC4D">
        <w:t xml:space="preserve"> continue to</w:t>
      </w:r>
      <w:r>
        <w:t xml:space="preserve"> be driven by the ACQSC’s </w:t>
      </w:r>
      <w:r w:rsidR="2BFC775C">
        <w:t>risk-based</w:t>
      </w:r>
      <w:r w:rsidR="7E74A52C">
        <w:t xml:space="preserve"> regulat</w:t>
      </w:r>
      <w:r w:rsidR="2A240B7E">
        <w:t>ory response to</w:t>
      </w:r>
      <w:r w:rsidR="7E74A52C">
        <w:t xml:space="preserve"> care minutes</w:t>
      </w:r>
      <w:r w:rsidR="1FF1E72A">
        <w:t xml:space="preserve"> </w:t>
      </w:r>
      <w:r w:rsidR="6CD8240C">
        <w:t>non-</w:t>
      </w:r>
      <w:r w:rsidR="00815630">
        <w:t>compliance</w:t>
      </w:r>
      <w:r w:rsidR="55A717B1">
        <w:t>. This approach is</w:t>
      </w:r>
      <w:r w:rsidR="47203722">
        <w:t xml:space="preserve"> outlined in th</w:t>
      </w:r>
      <w:r w:rsidR="549CDF1D">
        <w:t>e ACQSC’s</w:t>
      </w:r>
      <w:r w:rsidR="47203722">
        <w:t xml:space="preserve"> regulatory st</w:t>
      </w:r>
      <w:r w:rsidR="1A2D688C">
        <w:t>rategy</w:t>
      </w:r>
      <w:r w:rsidR="1D318A07" w:rsidRPr="591C2DF4">
        <w:rPr>
          <w:rStyle w:val="FootnoteReference"/>
        </w:rPr>
        <w:footnoteReference w:id="37"/>
      </w:r>
      <w:r w:rsidR="6FB3276D">
        <w:t xml:space="preserve"> and regulatory bulletin concerning workforce-related responsibilities</w:t>
      </w:r>
      <w:r w:rsidR="1D318A07" w:rsidRPr="591C2DF4">
        <w:rPr>
          <w:rStyle w:val="FootnoteReference"/>
        </w:rPr>
        <w:footnoteReference w:id="38"/>
      </w:r>
      <w:r w:rsidR="00766D82">
        <w:t>,</w:t>
      </w:r>
      <w:r w:rsidR="67DD8529" w:rsidRPr="37D7CD41">
        <w:rPr>
          <w:rStyle w:val="FootnoteReference"/>
        </w:rPr>
        <w:t xml:space="preserve"> </w:t>
      </w:r>
      <w:r w:rsidR="67DD8529" w:rsidRPr="00ED6021">
        <w:t>and</w:t>
      </w:r>
      <w:r w:rsidR="5033EADF">
        <w:t xml:space="preserve"> continually refined based on insights from monitoring and evaluation strategies</w:t>
      </w:r>
      <w:r w:rsidR="476F6099">
        <w:t>.</w:t>
      </w:r>
      <w:r w:rsidR="30C894D0">
        <w:t xml:space="preserve"> </w:t>
      </w:r>
    </w:p>
    <w:p w14:paraId="105AE8A9" w14:textId="3B6C9B4A" w:rsidR="00FC51DE" w:rsidRDefault="540964FD" w:rsidP="001F1A49">
      <w:pPr>
        <w:pStyle w:val="Paragraphtext"/>
      </w:pPr>
      <w:r>
        <w:t>A</w:t>
      </w:r>
      <w:r w:rsidR="613393F9">
        <w:t xml:space="preserve">CQSC’s initial regulatory response </w:t>
      </w:r>
      <w:r w:rsidR="699A8CFF">
        <w:t xml:space="preserve">to </w:t>
      </w:r>
      <w:r w:rsidR="589C1210">
        <w:t xml:space="preserve">provider </w:t>
      </w:r>
      <w:r w:rsidR="699A8CFF">
        <w:t xml:space="preserve">non-compliance </w:t>
      </w:r>
      <w:r w:rsidR="27577354">
        <w:t>with care minutes</w:t>
      </w:r>
      <w:r w:rsidR="497C43E7">
        <w:t xml:space="preserve"> targets</w:t>
      </w:r>
      <w:r w:rsidR="27577354">
        <w:t xml:space="preserve"> </w:t>
      </w:r>
      <w:r w:rsidR="4CBC3A25">
        <w:t xml:space="preserve">(as reported for the Q2 2023-24 period) </w:t>
      </w:r>
      <w:r w:rsidR="613393F9">
        <w:t xml:space="preserve">was to engage with </w:t>
      </w:r>
      <w:r w:rsidR="410E83DC">
        <w:t xml:space="preserve">the worst performing </w:t>
      </w:r>
      <w:r w:rsidR="2102A185">
        <w:t>providers</w:t>
      </w:r>
      <w:r w:rsidR="56B8DEA4">
        <w:t xml:space="preserve"> to understand barriers to compliance</w:t>
      </w:r>
      <w:r w:rsidR="2102A185">
        <w:t xml:space="preserve"> and </w:t>
      </w:r>
      <w:r w:rsidR="31D432D4">
        <w:t xml:space="preserve">encourage them </w:t>
      </w:r>
      <w:r w:rsidR="03AA59F7">
        <w:t xml:space="preserve">to </w:t>
      </w:r>
      <w:r w:rsidR="1339D033">
        <w:t xml:space="preserve">take </w:t>
      </w:r>
      <w:r w:rsidR="25845AAF">
        <w:t>act</w:t>
      </w:r>
      <w:r w:rsidR="1339D033">
        <w:t>ion</w:t>
      </w:r>
      <w:r w:rsidR="47625554">
        <w:t xml:space="preserve"> </w:t>
      </w:r>
      <w:r w:rsidR="132C04A7">
        <w:t xml:space="preserve">towards </w:t>
      </w:r>
      <w:r w:rsidR="5C14900E">
        <w:t>achieving</w:t>
      </w:r>
      <w:r w:rsidR="47625554">
        <w:t xml:space="preserve"> </w:t>
      </w:r>
      <w:r w:rsidR="132C04A7">
        <w:t>compliance</w:t>
      </w:r>
      <w:r w:rsidR="25845AAF">
        <w:t xml:space="preserve">. </w:t>
      </w:r>
      <w:r w:rsidR="7F1668AE">
        <w:t>The ACQSC sent a letter to the providers o</w:t>
      </w:r>
      <w:r w:rsidR="5A3149C3">
        <w:t>f</w:t>
      </w:r>
      <w:r w:rsidR="7F1668AE">
        <w:t xml:space="preserve"> all other non-compliant homes</w:t>
      </w:r>
      <w:r w:rsidR="4B911939">
        <w:t xml:space="preserve"> which </w:t>
      </w:r>
      <w:r w:rsidR="4738EED8">
        <w:t>set out their expectation that prov</w:t>
      </w:r>
      <w:r w:rsidR="2E17D8FC">
        <w:t>i</w:t>
      </w:r>
      <w:r w:rsidR="4738EED8">
        <w:t>ders are required to remedy non-</w:t>
      </w:r>
      <w:r w:rsidR="479757FC">
        <w:t>compliance</w:t>
      </w:r>
      <w:r w:rsidR="4738EED8">
        <w:t xml:space="preserve"> in a timely man</w:t>
      </w:r>
      <w:r w:rsidR="3200A2B3">
        <w:t>ner.</w:t>
      </w:r>
      <w:r w:rsidR="0FCE20A3">
        <w:t xml:space="preserve"> </w:t>
      </w:r>
      <w:r w:rsidR="3200A2B3">
        <w:t xml:space="preserve">These letters also included information about </w:t>
      </w:r>
      <w:r w:rsidR="6DA32971">
        <w:t xml:space="preserve">department </w:t>
      </w:r>
      <w:r w:rsidR="3200A2B3">
        <w:t xml:space="preserve">supports </w:t>
      </w:r>
      <w:r w:rsidR="5228FFA1">
        <w:t>a</w:t>
      </w:r>
      <w:r w:rsidR="0BA97F2E">
        <w:t>vailable</w:t>
      </w:r>
      <w:r w:rsidR="3200A2B3">
        <w:t xml:space="preserve"> </w:t>
      </w:r>
      <w:r w:rsidR="30796818">
        <w:t>to them</w:t>
      </w:r>
      <w:r w:rsidR="34491F00">
        <w:t>.</w:t>
      </w:r>
      <w:r w:rsidR="7F1668AE">
        <w:t xml:space="preserve"> </w:t>
      </w:r>
    </w:p>
    <w:p w14:paraId="598A4CF7" w14:textId="1677B6EB" w:rsidR="00FC51DE" w:rsidRDefault="00F33EAB" w:rsidP="001F1A49">
      <w:pPr>
        <w:pStyle w:val="Paragraphtext"/>
      </w:pPr>
      <w:r>
        <w:t xml:space="preserve">Acting on concerns </w:t>
      </w:r>
      <w:r w:rsidR="00D5507C">
        <w:t>from residential aged care sector stakeholders</w:t>
      </w:r>
      <w:r w:rsidR="004952A2">
        <w:t xml:space="preserve"> </w:t>
      </w:r>
      <w:r w:rsidR="00B27269">
        <w:t xml:space="preserve">about </w:t>
      </w:r>
      <w:r w:rsidR="003359F7">
        <w:t>care minutes non-compliance</w:t>
      </w:r>
      <w:r w:rsidR="0CE5E53E">
        <w:t>,</w:t>
      </w:r>
      <w:r w:rsidR="7729DA71">
        <w:t xml:space="preserve"> </w:t>
      </w:r>
      <w:r w:rsidR="001D07CD">
        <w:t>o</w:t>
      </w:r>
      <w:r w:rsidR="00560747">
        <w:t xml:space="preserve">n the 1 October 2024 </w:t>
      </w:r>
      <w:r w:rsidR="5C14900E">
        <w:t>the</w:t>
      </w:r>
      <w:r w:rsidR="59792FE7">
        <w:t xml:space="preserve"> Hon. An</w:t>
      </w:r>
      <w:r w:rsidR="5C14900E">
        <w:t>i</w:t>
      </w:r>
      <w:r w:rsidR="59792FE7">
        <w:t xml:space="preserve">ka Wells, </w:t>
      </w:r>
      <w:r w:rsidR="5C14900E">
        <w:t>t</w:t>
      </w:r>
      <w:r w:rsidR="59792FE7">
        <w:t xml:space="preserve">he </w:t>
      </w:r>
      <w:r w:rsidR="4AAD8204">
        <w:t xml:space="preserve">then </w:t>
      </w:r>
      <w:r w:rsidR="59792FE7">
        <w:t>Mini</w:t>
      </w:r>
      <w:r w:rsidR="5C14900E">
        <w:t>s</w:t>
      </w:r>
      <w:r w:rsidR="59792FE7">
        <w:t>ter</w:t>
      </w:r>
      <w:r w:rsidR="5C14900E">
        <w:t xml:space="preserve"> for </w:t>
      </w:r>
      <w:r w:rsidR="7AA86D5E">
        <w:t>Aged Care</w:t>
      </w:r>
      <w:r w:rsidR="5EF9D818">
        <w:t>,</w:t>
      </w:r>
      <w:r w:rsidR="7AA86D5E">
        <w:t xml:space="preserve"> </w:t>
      </w:r>
      <w:r w:rsidR="4AAD8204">
        <w:t>publish</w:t>
      </w:r>
      <w:r w:rsidR="00560747">
        <w:t>ed</w:t>
      </w:r>
      <w:r w:rsidR="4AAD8204">
        <w:t xml:space="preserve"> a letter to the </w:t>
      </w:r>
      <w:r w:rsidR="5EF9D818">
        <w:t xml:space="preserve">residential aged care sector </w:t>
      </w:r>
      <w:r w:rsidR="7AA86D5E">
        <w:t xml:space="preserve">noting her ‘disappointment’ with the failure of some </w:t>
      </w:r>
      <w:r w:rsidR="6C579F3D">
        <w:t>providers</w:t>
      </w:r>
      <w:r w:rsidR="7AA86D5E">
        <w:t>, mainly for-profit</w:t>
      </w:r>
      <w:r w:rsidR="63B9CE0C">
        <w:t xml:space="preserve"> providers</w:t>
      </w:r>
      <w:r w:rsidR="7AA86D5E">
        <w:t xml:space="preserve">, to meet care minute </w:t>
      </w:r>
      <w:r w:rsidR="63B9CE0C">
        <w:t>targets</w:t>
      </w:r>
      <w:r w:rsidR="7AA86D5E">
        <w:t xml:space="preserve"> despite increased funding over the past </w:t>
      </w:r>
      <w:r w:rsidR="339BE835">
        <w:t>2</w:t>
      </w:r>
      <w:r w:rsidR="7AA86D5E">
        <w:t xml:space="preserve"> years</w:t>
      </w:r>
      <w:r w:rsidR="3C108F4C">
        <w:t>,</w:t>
      </w:r>
      <w:r w:rsidR="7AA86D5E">
        <w:t xml:space="preserve"> and warning providers that the ASQSC would take increased</w:t>
      </w:r>
      <w:r w:rsidR="08CBC93F">
        <w:t xml:space="preserve"> action against non-compliance</w:t>
      </w:r>
      <w:r w:rsidR="3658CC7F" w:rsidRPr="0977FC7A">
        <w:rPr>
          <w:rStyle w:val="FootnoteReference"/>
        </w:rPr>
        <w:footnoteReference w:id="39"/>
      </w:r>
      <w:r w:rsidR="08CBC93F">
        <w:t>.</w:t>
      </w:r>
      <w:r w:rsidR="4A6D38D0">
        <w:t xml:space="preserve"> </w:t>
      </w:r>
    </w:p>
    <w:p w14:paraId="015FFFAF" w14:textId="210DE5D9" w:rsidR="00F26F60" w:rsidRDefault="4FECB7CA" w:rsidP="001F1A49">
      <w:pPr>
        <w:pStyle w:val="Paragraphtext"/>
      </w:pPr>
      <w:r>
        <w:t xml:space="preserve">With additional data providing insights into trends of non-compliance, </w:t>
      </w:r>
      <w:r w:rsidR="4D8D98EC">
        <w:t xml:space="preserve">in December 2024, </w:t>
      </w:r>
      <w:r w:rsidR="4A6D38D0">
        <w:t>the ASCQC commenced regulatory action against provider</w:t>
      </w:r>
      <w:r w:rsidR="2B3EABEA">
        <w:t>s</w:t>
      </w:r>
      <w:r w:rsidR="4A6D38D0">
        <w:t xml:space="preserve"> with the </w:t>
      </w:r>
      <w:r w:rsidR="3DAD5B6A">
        <w:t>persist</w:t>
      </w:r>
      <w:r w:rsidR="0303653F">
        <w:t>e</w:t>
      </w:r>
      <w:r w:rsidR="3DAD5B6A">
        <w:t xml:space="preserve">ntly </w:t>
      </w:r>
      <w:r w:rsidR="4A6D38D0">
        <w:t xml:space="preserve">highest </w:t>
      </w:r>
      <w:r w:rsidR="617F658E">
        <w:t>rates o</w:t>
      </w:r>
      <w:r w:rsidR="66AA65AB">
        <w:t xml:space="preserve">f non-compliance </w:t>
      </w:r>
      <w:r w:rsidR="33F64EAB">
        <w:t xml:space="preserve">(i.e. over </w:t>
      </w:r>
      <w:r w:rsidR="1E2DBA2E">
        <w:t>3</w:t>
      </w:r>
      <w:r w:rsidR="33F64EAB">
        <w:t xml:space="preserve"> conse</w:t>
      </w:r>
      <w:r w:rsidR="06EE7D10">
        <w:t xml:space="preserve">cutive </w:t>
      </w:r>
      <w:r w:rsidR="33F64EAB">
        <w:t>qua</w:t>
      </w:r>
      <w:r w:rsidR="782D154D">
        <w:t>r</w:t>
      </w:r>
      <w:r w:rsidR="33F64EAB">
        <w:t>ters)</w:t>
      </w:r>
      <w:r w:rsidR="5C59E655">
        <w:t>.</w:t>
      </w:r>
      <w:r w:rsidR="33F64EAB">
        <w:t xml:space="preserve"> </w:t>
      </w:r>
      <w:r w:rsidR="7C314DA6">
        <w:t xml:space="preserve">It accepted </w:t>
      </w:r>
      <w:r w:rsidR="5FD3741A">
        <w:t xml:space="preserve">enforceable undertakings from the worst performing providers </w:t>
      </w:r>
      <w:r w:rsidR="54B76B5A">
        <w:t>for 36 homes. The ACQSC’s acceptance of the undertakings</w:t>
      </w:r>
      <w:r w:rsidR="5FF8E624">
        <w:t xml:space="preserve"> enables </w:t>
      </w:r>
      <w:r w:rsidR="5FF8E624">
        <w:lastRenderedPageBreak/>
        <w:t>the A</w:t>
      </w:r>
      <w:r w:rsidR="7ADB0520">
        <w:t>C</w:t>
      </w:r>
      <w:r w:rsidR="5FF8E624">
        <w:t>QSC to monitor the provider</w:t>
      </w:r>
      <w:r w:rsidR="04FDE83C">
        <w:t>’</w:t>
      </w:r>
      <w:r w:rsidR="5FF8E624">
        <w:t>s progress to remedy non-</w:t>
      </w:r>
      <w:r w:rsidR="539F1585">
        <w:t>compliance</w:t>
      </w:r>
      <w:r w:rsidR="5FF8E624">
        <w:t xml:space="preserve"> and</w:t>
      </w:r>
      <w:r w:rsidR="338D144F">
        <w:t xml:space="preserve"> i</w:t>
      </w:r>
      <w:r w:rsidR="5F99ECE0">
        <w:t>mprove</w:t>
      </w:r>
      <w:r w:rsidR="338D144F">
        <w:t xml:space="preserve"> their </w:t>
      </w:r>
      <w:r w:rsidR="686E3756">
        <w:t xml:space="preserve">performance </w:t>
      </w:r>
      <w:r w:rsidR="338D144F">
        <w:t>with their car</w:t>
      </w:r>
      <w:r w:rsidR="3E4B2E1A">
        <w:t xml:space="preserve">e minute </w:t>
      </w:r>
      <w:r w:rsidR="133758FD">
        <w:t>targets</w:t>
      </w:r>
      <w:r w:rsidR="65B5DCD7">
        <w:t xml:space="preserve">. </w:t>
      </w:r>
      <w:r w:rsidR="5349307E">
        <w:t xml:space="preserve">For those providers that </w:t>
      </w:r>
      <w:r w:rsidR="71FBCD03">
        <w:t>continue to have high levels of non</w:t>
      </w:r>
      <w:r w:rsidR="11C7D0BE">
        <w:t>-</w:t>
      </w:r>
      <w:r w:rsidR="71FBCD03">
        <w:t>compl</w:t>
      </w:r>
      <w:r w:rsidR="364617AB">
        <w:t>iance with the</w:t>
      </w:r>
      <w:r w:rsidR="3C5906CD">
        <w:t>i</w:t>
      </w:r>
      <w:r w:rsidR="364617AB">
        <w:t>r care minute targets</w:t>
      </w:r>
      <w:r w:rsidR="572D0A13">
        <w:t>,</w:t>
      </w:r>
      <w:r w:rsidR="364617AB">
        <w:t xml:space="preserve"> the ACQSC </w:t>
      </w:r>
      <w:r w:rsidR="39526AED">
        <w:t>may</w:t>
      </w:r>
      <w:r w:rsidR="41E33969">
        <w:t xml:space="preserve"> </w:t>
      </w:r>
      <w:r w:rsidR="28AB59EA">
        <w:t>take fu</w:t>
      </w:r>
      <w:r w:rsidR="7725658D">
        <w:t>r</w:t>
      </w:r>
      <w:r w:rsidR="28AB59EA">
        <w:t>ther action including</w:t>
      </w:r>
      <w:r w:rsidR="41E33969">
        <w:t xml:space="preserve">: </w:t>
      </w:r>
      <w:r w:rsidR="71FBCD03">
        <w:t xml:space="preserve"> </w:t>
      </w:r>
    </w:p>
    <w:p w14:paraId="65668A1E" w14:textId="0337F4B3" w:rsidR="00F26F60" w:rsidRDefault="73BB7002" w:rsidP="00B12ED9">
      <w:pPr>
        <w:pStyle w:val="Paragraphtext"/>
        <w:numPr>
          <w:ilvl w:val="0"/>
          <w:numId w:val="3"/>
        </w:numPr>
        <w:spacing w:line="259" w:lineRule="auto"/>
      </w:pPr>
      <w:r>
        <w:t>Commence proceeding in court to enforce an undertaking</w:t>
      </w:r>
    </w:p>
    <w:p w14:paraId="4321F955" w14:textId="4F72C0FD" w:rsidR="00F26F60" w:rsidRDefault="5000C648" w:rsidP="00B12ED9">
      <w:pPr>
        <w:pStyle w:val="Paragraphtext"/>
        <w:numPr>
          <w:ilvl w:val="0"/>
          <w:numId w:val="3"/>
        </w:numPr>
        <w:spacing w:line="259" w:lineRule="auto"/>
      </w:pPr>
      <w:r>
        <w:t>impos</w:t>
      </w:r>
      <w:r w:rsidR="16922544">
        <w:t>e</w:t>
      </w:r>
      <w:r>
        <w:t xml:space="preserve"> sanctions on a provider that </w:t>
      </w:r>
      <w:r w:rsidR="573FFBBD">
        <w:t>restricts</w:t>
      </w:r>
      <w:r>
        <w:t xml:space="preserve"> receipt of </w:t>
      </w:r>
      <w:r w:rsidR="3F958101">
        <w:t>Australian Government subsidy for new residents at a home</w:t>
      </w:r>
    </w:p>
    <w:p w14:paraId="1503F15C" w14:textId="5DB8B62E" w:rsidR="00F26F60" w:rsidRDefault="5000C648" w:rsidP="00B12ED9">
      <w:pPr>
        <w:pStyle w:val="Paragraphtext"/>
        <w:numPr>
          <w:ilvl w:val="0"/>
          <w:numId w:val="3"/>
        </w:numPr>
        <w:spacing w:line="259" w:lineRule="auto"/>
      </w:pPr>
      <w:r>
        <w:t>revok</w:t>
      </w:r>
      <w:r w:rsidR="1B4B5E98">
        <w:t>e</w:t>
      </w:r>
      <w:r>
        <w:t xml:space="preserve"> a provider’s approval to deliver aged care</w:t>
      </w:r>
      <w:r w:rsidR="26898738">
        <w:t>.</w:t>
      </w:r>
    </w:p>
    <w:p w14:paraId="066B1298" w14:textId="1AA8AA61" w:rsidR="00F26F60" w:rsidRDefault="7445A6CD" w:rsidP="00A06EFD">
      <w:pPr>
        <w:pStyle w:val="Paragraphtext"/>
      </w:pPr>
      <w:r w:rsidRPr="591C2DF4">
        <w:t xml:space="preserve">ACQSC’s regulatory response and the application of these measures are outlined in </w:t>
      </w:r>
      <w:r w:rsidR="2E6B7231" w:rsidRPr="591C2DF4">
        <w:t>S</w:t>
      </w:r>
      <w:r w:rsidRPr="591C2DF4">
        <w:t>ection 3</w:t>
      </w:r>
      <w:r w:rsidR="05A2A748" w:rsidRPr="591C2DF4">
        <w:t xml:space="preserve"> </w:t>
      </w:r>
      <w:r w:rsidR="507064CD" w:rsidRPr="591C2DF4">
        <w:t xml:space="preserve">of this report </w:t>
      </w:r>
      <w:r w:rsidR="05A2A748" w:rsidRPr="591C2DF4">
        <w:t>which shows that the measur</w:t>
      </w:r>
      <w:r w:rsidR="3282BAEA" w:rsidRPr="591C2DF4">
        <w:t>es have had some success in improving care minute compliance</w:t>
      </w:r>
      <w:r w:rsidR="71314452" w:rsidRPr="591C2DF4">
        <w:t xml:space="preserve">. </w:t>
      </w:r>
      <w:r w:rsidR="5FAD89CE">
        <w:t>However, given the scale of the non</w:t>
      </w:r>
      <w:r w:rsidR="193E7BC1">
        <w:t>-</w:t>
      </w:r>
      <w:r w:rsidR="5FAD89CE">
        <w:t xml:space="preserve">compliance across the sector </w:t>
      </w:r>
      <w:r w:rsidR="2E465E48">
        <w:t>(</w:t>
      </w:r>
      <w:r w:rsidR="678C729E">
        <w:t xml:space="preserve">1156 </w:t>
      </w:r>
      <w:r w:rsidR="5E0D2C2E">
        <w:t xml:space="preserve">of </w:t>
      </w:r>
      <w:r w:rsidR="7DDB35CB">
        <w:t>2457</w:t>
      </w:r>
      <w:r w:rsidR="5E0D2C2E">
        <w:t xml:space="preserve"> </w:t>
      </w:r>
      <w:r w:rsidR="4F5C76D7">
        <w:t>home</w:t>
      </w:r>
      <w:r w:rsidR="678C729E">
        <w:t xml:space="preserve">s did not meet their care minutes </w:t>
      </w:r>
      <w:r w:rsidR="4F5C76D7">
        <w:t xml:space="preserve">target </w:t>
      </w:r>
      <w:r w:rsidR="678C729E">
        <w:t xml:space="preserve">in the </w:t>
      </w:r>
      <w:r w:rsidR="46D3944B">
        <w:t>October – December 2024 quarter</w:t>
      </w:r>
      <w:r w:rsidR="2E465E48">
        <w:t>)</w:t>
      </w:r>
      <w:r w:rsidR="740AD792">
        <w:t xml:space="preserve"> and the resources required to </w:t>
      </w:r>
      <w:r w:rsidR="591C8784">
        <w:t>thoroughly</w:t>
      </w:r>
      <w:r w:rsidR="740AD792">
        <w:t xml:space="preserve"> investigate </w:t>
      </w:r>
      <w:r w:rsidR="2EDD12AE">
        <w:t>the reasons</w:t>
      </w:r>
      <w:r w:rsidR="26011E38">
        <w:t xml:space="preserve"> for</w:t>
      </w:r>
      <w:r w:rsidR="2EDD12AE">
        <w:t xml:space="preserve"> </w:t>
      </w:r>
      <w:r w:rsidR="20988387">
        <w:t xml:space="preserve">non-compliance </w:t>
      </w:r>
      <w:r w:rsidR="2E465E48">
        <w:t>in each home</w:t>
      </w:r>
      <w:r w:rsidR="4A5A7485">
        <w:t xml:space="preserve"> and to take </w:t>
      </w:r>
      <w:r w:rsidR="7A856D5F">
        <w:t xml:space="preserve">regulatory </w:t>
      </w:r>
      <w:r w:rsidR="19BD695D">
        <w:t>action</w:t>
      </w:r>
      <w:r w:rsidR="00C74A63">
        <w:t>,</w:t>
      </w:r>
      <w:r w:rsidR="2E465E48" w:rsidDel="486BB9F5">
        <w:t xml:space="preserve"> </w:t>
      </w:r>
      <w:r w:rsidR="44EA59EA">
        <w:t>it is not expected that</w:t>
      </w:r>
      <w:r w:rsidR="731CA5C4">
        <w:t xml:space="preserve"> </w:t>
      </w:r>
      <w:r w:rsidR="17263386">
        <w:t>altering ACQSC’s</w:t>
      </w:r>
      <w:r w:rsidR="223F2D90" w:rsidDel="486BB9F5">
        <w:t xml:space="preserve"> </w:t>
      </w:r>
      <w:r w:rsidR="731CA5C4">
        <w:t xml:space="preserve">regulatory stance </w:t>
      </w:r>
      <w:r w:rsidR="7EC280C3">
        <w:t xml:space="preserve">or approach will </w:t>
      </w:r>
      <w:r w:rsidR="26011E38">
        <w:t xml:space="preserve">bring about a substantial </w:t>
      </w:r>
      <w:r w:rsidR="7A3C7C51">
        <w:t xml:space="preserve">and </w:t>
      </w:r>
      <w:r w:rsidR="09346CAF">
        <w:t>swift</w:t>
      </w:r>
      <w:r w:rsidR="36D00563">
        <w:t xml:space="preserve"> </w:t>
      </w:r>
      <w:r w:rsidR="26011E38">
        <w:t>improvement</w:t>
      </w:r>
      <w:r w:rsidR="55ACF112">
        <w:t xml:space="preserve"> in care minute compliance</w:t>
      </w:r>
      <w:r w:rsidR="25D6F1A4">
        <w:t xml:space="preserve"> without applying further policy levers</w:t>
      </w:r>
      <w:r w:rsidR="749A51EF">
        <w:t>.</w:t>
      </w:r>
    </w:p>
    <w:p w14:paraId="5B1B4430" w14:textId="20DEB961" w:rsidR="00BF3614" w:rsidRPr="00AB5309" w:rsidRDefault="15353D5B" w:rsidP="00AB5309">
      <w:pPr>
        <w:pStyle w:val="Paragraphtext"/>
        <w:spacing w:line="259" w:lineRule="auto"/>
        <w:rPr>
          <w:b/>
        </w:rPr>
      </w:pPr>
      <w:r w:rsidRPr="00AB5309">
        <w:rPr>
          <w:b/>
        </w:rPr>
        <w:t>The way in which providers are funded to deliver their care minutes targets</w:t>
      </w:r>
    </w:p>
    <w:p w14:paraId="7B63DA23" w14:textId="372B0FE0" w:rsidR="008D5695" w:rsidRDefault="24873D7D" w:rsidP="00941551">
      <w:pPr>
        <w:pStyle w:val="Paragraphtext"/>
      </w:pPr>
      <w:r>
        <w:t>Funding is a viable lever</w:t>
      </w:r>
      <w:r w:rsidR="22F056F4">
        <w:t xml:space="preserve"> to generate both improvements in care minutes compliance</w:t>
      </w:r>
      <w:r w:rsidDel="41073715">
        <w:t xml:space="preserve"> </w:t>
      </w:r>
      <w:r w:rsidR="22F056F4">
        <w:t>(</w:t>
      </w:r>
      <w:r w:rsidR="00A74D7F">
        <w:t>O</w:t>
      </w:r>
      <w:r w:rsidR="22F056F4">
        <w:t>bjective</w:t>
      </w:r>
      <w:r w:rsidR="654A4DAC">
        <w:t> </w:t>
      </w:r>
      <w:r w:rsidR="08E901E7">
        <w:t>1</w:t>
      </w:r>
      <w:r w:rsidR="1B8A55C1">
        <w:t>) and to minimise the extent to which funding is provided for care minutes that are not delivered</w:t>
      </w:r>
      <w:r w:rsidR="39B71C9F">
        <w:t xml:space="preserve"> </w:t>
      </w:r>
      <w:r w:rsidR="47F5824B">
        <w:t>(</w:t>
      </w:r>
      <w:r w:rsidR="00A74D7F">
        <w:t>O</w:t>
      </w:r>
      <w:r w:rsidR="47F5824B">
        <w:t>bjective 2)</w:t>
      </w:r>
      <w:r w:rsidR="39B71C9F">
        <w:t xml:space="preserve">. </w:t>
      </w:r>
      <w:r w:rsidR="00905266">
        <w:t>Government has clear capacity to intervene with funding changes</w:t>
      </w:r>
      <w:r w:rsidR="00E5699C">
        <w:t xml:space="preserve"> as the funder of the care component of residential aged care</w:t>
      </w:r>
      <w:r w:rsidR="00900042">
        <w:t xml:space="preserve"> (</w:t>
      </w:r>
      <w:r w:rsidR="008D5695">
        <w:t>through</w:t>
      </w:r>
      <w:r w:rsidR="00E5699C">
        <w:t xml:space="preserve"> the AN-ACC funding model</w:t>
      </w:r>
      <w:r w:rsidR="00900042">
        <w:t>)</w:t>
      </w:r>
      <w:r w:rsidR="008326CE">
        <w:t xml:space="preserve"> </w:t>
      </w:r>
      <w:r w:rsidR="00900042">
        <w:t xml:space="preserve">and administrator of the aged care </w:t>
      </w:r>
      <w:r w:rsidR="008326CE">
        <w:t xml:space="preserve">payment system </w:t>
      </w:r>
      <w:r w:rsidR="00900042">
        <w:t xml:space="preserve">(through </w:t>
      </w:r>
      <w:r w:rsidR="008326CE">
        <w:t>Services Australia</w:t>
      </w:r>
      <w:r w:rsidR="00900042">
        <w:t>)</w:t>
      </w:r>
      <w:r w:rsidR="008326CE">
        <w:t>.</w:t>
      </w:r>
    </w:p>
    <w:p w14:paraId="17127D6F" w14:textId="3EC6EA51" w:rsidR="00431D62" w:rsidRDefault="5C041898" w:rsidP="00674318">
      <w:pPr>
        <w:pStyle w:val="Paragraphtext"/>
        <w:widowControl w:val="0"/>
      </w:pPr>
      <w:r>
        <w:t xml:space="preserve">As has been outlined </w:t>
      </w:r>
      <w:r w:rsidR="00900042">
        <w:t xml:space="preserve">in </w:t>
      </w:r>
      <w:r w:rsidR="00683255">
        <w:t>S</w:t>
      </w:r>
      <w:r w:rsidR="00900042">
        <w:t>ection</w:t>
      </w:r>
      <w:r w:rsidR="009157D2">
        <w:t xml:space="preserve"> 2</w:t>
      </w:r>
      <w:r w:rsidR="00DE7FE0">
        <w:t>,</w:t>
      </w:r>
      <w:r w:rsidR="009157D2">
        <w:t xml:space="preserve"> care minutes are funded through the</w:t>
      </w:r>
      <w:r>
        <w:t xml:space="preserve"> </w:t>
      </w:r>
      <w:r w:rsidR="5280CD21">
        <w:t>AN-ACC funding</w:t>
      </w:r>
      <w:r w:rsidR="00DE7FE0">
        <w:t xml:space="preserve"> model</w:t>
      </w:r>
      <w:r w:rsidR="00AE3337">
        <w:t>. AN-ACC funding</w:t>
      </w:r>
      <w:r w:rsidR="5280CD21">
        <w:t xml:space="preserve"> </w:t>
      </w:r>
      <w:r>
        <w:t xml:space="preserve">is not currently based on services </w:t>
      </w:r>
      <w:r w:rsidR="63BF7FE2">
        <w:t>delivered and</w:t>
      </w:r>
      <w:r>
        <w:t xml:space="preserve"> is instead based solely on </w:t>
      </w:r>
      <w:r w:rsidR="1B0EBAA1">
        <w:t xml:space="preserve">the number of residents in care, and their </w:t>
      </w:r>
      <w:r w:rsidR="6D93BEF7">
        <w:t xml:space="preserve">AN-ACC </w:t>
      </w:r>
      <w:r w:rsidR="1B0EBAA1">
        <w:t>funding classification (</w:t>
      </w:r>
      <w:r w:rsidR="739B3FE3">
        <w:t xml:space="preserve">which represents their care needs). </w:t>
      </w:r>
      <w:r w:rsidR="00AE3337">
        <w:t xml:space="preserve">Government has capacity to make </w:t>
      </w:r>
      <w:r w:rsidR="005E2CFE">
        <w:t xml:space="preserve">the amount of </w:t>
      </w:r>
      <w:r w:rsidR="00AE3337">
        <w:t xml:space="preserve">funding conditional on </w:t>
      </w:r>
      <w:r w:rsidR="005E2CFE">
        <w:t>meeting certain conditions (like delivering care minutes in a particular period</w:t>
      </w:r>
      <w:r w:rsidR="000F669A">
        <w:t>)</w:t>
      </w:r>
      <w:r w:rsidR="00431D62">
        <w:t>.</w:t>
      </w:r>
    </w:p>
    <w:p w14:paraId="072726D1" w14:textId="2618D5F7" w:rsidR="00D44670" w:rsidRPr="00674318" w:rsidRDefault="5280CD21" w:rsidP="00031987">
      <w:pPr>
        <w:pStyle w:val="Paragraphtext"/>
        <w:widowControl w:val="0"/>
      </w:pPr>
      <w:r w:rsidRPr="00674318">
        <w:t xml:space="preserve">A recent example of Government using funding as a lever to support </w:t>
      </w:r>
      <w:r w:rsidR="1B603EB2" w:rsidRPr="00674318">
        <w:t>outcomes</w:t>
      </w:r>
      <w:r w:rsidR="0FE80D90" w:rsidRPr="00674318">
        <w:t xml:space="preserve"> in residential aged care</w:t>
      </w:r>
      <w:r w:rsidR="002D58D4" w:rsidRPr="00674318">
        <w:t>, which demonstrates that Government has capacity to intervene</w:t>
      </w:r>
      <w:r w:rsidR="00941551" w:rsidRPr="00674318">
        <w:t xml:space="preserve">, and </w:t>
      </w:r>
      <w:r w:rsidR="008952D6" w:rsidRPr="00674318">
        <w:t>that linking funding to outcomes can have positive results,</w:t>
      </w:r>
      <w:r w:rsidR="0FE80D90" w:rsidRPr="00674318">
        <w:t xml:space="preserve"> is the</w:t>
      </w:r>
      <w:r w:rsidR="008952D6" w:rsidRPr="00674318">
        <w:t xml:space="preserve"> relatively recent</w:t>
      </w:r>
      <w:r w:rsidR="0FE80D90" w:rsidRPr="00674318">
        <w:t xml:space="preserve"> introduction of the 24/7 RN supp</w:t>
      </w:r>
      <w:r w:rsidR="30FF5FE4" w:rsidRPr="00674318">
        <w:t>lement. This supplement</w:t>
      </w:r>
      <w:r w:rsidR="008952D6" w:rsidRPr="00674318">
        <w:t xml:space="preserve"> was introduced in </w:t>
      </w:r>
      <w:r w:rsidR="00DC79C3" w:rsidRPr="00674318">
        <w:t>July 2023 to</w:t>
      </w:r>
      <w:r w:rsidR="30FF5FE4" w:rsidRPr="00674318">
        <w:t xml:space="preserve"> provide</w:t>
      </w:r>
      <w:r w:rsidR="00DC79C3" w:rsidRPr="00674318">
        <w:t xml:space="preserve"> additional</w:t>
      </w:r>
      <w:r w:rsidR="30FF5FE4" w:rsidRPr="00674318">
        <w:t xml:space="preserve"> funding to small residential aged care homes</w:t>
      </w:r>
      <w:r w:rsidR="67602747" w:rsidRPr="00674318">
        <w:t xml:space="preserve"> to support the provision of 24/7 RN care and is only provided where a home has an RN on-site and on duty fo</w:t>
      </w:r>
      <w:r w:rsidR="690F770C" w:rsidRPr="00674318">
        <w:t>r at least 87.5% of the hours in the month</w:t>
      </w:r>
      <w:r w:rsidR="1B603EB2" w:rsidRPr="00674318">
        <w:t xml:space="preserve">. </w:t>
      </w:r>
      <w:r w:rsidR="172DFD30" w:rsidRPr="00674318">
        <w:t xml:space="preserve">Overall compliance with the 24/7 RN responsibility </w:t>
      </w:r>
      <w:r w:rsidR="00DC79C3" w:rsidRPr="00674318">
        <w:t>has been</w:t>
      </w:r>
      <w:r w:rsidR="00274E66" w:rsidRPr="00674318">
        <w:t xml:space="preserve"> high</w:t>
      </w:r>
      <w:r w:rsidR="08359FCA" w:rsidRPr="00674318">
        <w:t xml:space="preserve"> </w:t>
      </w:r>
      <w:r w:rsidR="4461F556" w:rsidRPr="00674318">
        <w:t xml:space="preserve">with </w:t>
      </w:r>
      <w:r w:rsidR="00B242AC" w:rsidRPr="00674318">
        <w:t xml:space="preserve">around </w:t>
      </w:r>
      <w:r w:rsidR="4461F556" w:rsidRPr="00674318">
        <w:t>9</w:t>
      </w:r>
      <w:r w:rsidR="00B242AC" w:rsidRPr="00674318">
        <w:t>4</w:t>
      </w:r>
      <w:r w:rsidR="4461F556" w:rsidRPr="00674318">
        <w:t>% of homes</w:t>
      </w:r>
      <w:r w:rsidR="005F13B3" w:rsidRPr="00674318">
        <w:t xml:space="preserve"> that meet the 50 residents </w:t>
      </w:r>
      <w:r w:rsidR="002803F4" w:rsidRPr="00674318">
        <w:t>or fewer size criteria for the supplement</w:t>
      </w:r>
      <w:r w:rsidR="00CF08C8" w:rsidRPr="00674318">
        <w:t xml:space="preserve"> also</w:t>
      </w:r>
      <w:r w:rsidR="005E1311" w:rsidRPr="00674318">
        <w:t xml:space="preserve"> meeting the 87.5% RN coverage threshold criteria</w:t>
      </w:r>
      <w:r w:rsidR="002803F4" w:rsidRPr="00674318">
        <w:t xml:space="preserve"> </w:t>
      </w:r>
      <w:r w:rsidR="00CF08C8" w:rsidRPr="00674318">
        <w:t xml:space="preserve">in May </w:t>
      </w:r>
      <w:r w:rsidR="4461F556" w:rsidRPr="00674318">
        <w:t>2025</w:t>
      </w:r>
      <w:r w:rsidR="00242C7A">
        <w:t>.O</w:t>
      </w:r>
      <w:r w:rsidR="009C3F4B" w:rsidRPr="00674318">
        <w:t>verall compliance with the</w:t>
      </w:r>
      <w:r w:rsidR="002B7BEB" w:rsidRPr="00674318">
        <w:t xml:space="preserve"> 24/7 RN responsibility</w:t>
      </w:r>
      <w:r w:rsidR="00242C7A">
        <w:t xml:space="preserve"> is</w:t>
      </w:r>
      <w:r w:rsidR="002B7BEB" w:rsidRPr="00674318">
        <w:t xml:space="preserve"> relatively high at around 95% of all homes</w:t>
      </w:r>
      <w:r w:rsidR="00641463" w:rsidRPr="00674318">
        <w:rPr>
          <w:vertAlign w:val="superscript"/>
        </w:rPr>
        <w:footnoteReference w:id="40"/>
      </w:r>
      <w:r w:rsidR="002D58D4" w:rsidRPr="00674318">
        <w:t>.</w:t>
      </w:r>
    </w:p>
    <w:p w14:paraId="79FB5C0B" w14:textId="0F8B662A" w:rsidR="00046F52" w:rsidRPr="00D92A91" w:rsidRDefault="2ABD96D7" w:rsidP="00D92A91">
      <w:pPr>
        <w:pStyle w:val="Heading4"/>
      </w:pPr>
      <w:r>
        <w:t xml:space="preserve">Why is </w:t>
      </w:r>
      <w:r w:rsidR="516F2E65">
        <w:t>G</w:t>
      </w:r>
      <w:r>
        <w:t>overnment intervention necessary?</w:t>
      </w:r>
      <w:bookmarkEnd w:id="38"/>
    </w:p>
    <w:p w14:paraId="4A97BD38" w14:textId="57261234" w:rsidR="00CF2A53" w:rsidRDefault="002754C8" w:rsidP="005E3770">
      <w:pPr>
        <w:pStyle w:val="Paragraphtext"/>
      </w:pPr>
      <w:r w:rsidRPr="2CE222D4">
        <w:t xml:space="preserve">Government intervention </w:t>
      </w:r>
      <w:r w:rsidR="008B721B" w:rsidRPr="2CE222D4">
        <w:t>is needed</w:t>
      </w:r>
      <w:r w:rsidR="006C3CC0" w:rsidRPr="2CE222D4">
        <w:t xml:space="preserve"> because without it, it is expected that</w:t>
      </w:r>
      <w:r w:rsidR="004915B7" w:rsidRPr="2CE222D4">
        <w:t xml:space="preserve"> compliance with care minutes will continue to</w:t>
      </w:r>
      <w:r w:rsidR="007B099C" w:rsidRPr="2CE222D4">
        <w:t xml:space="preserve"> be </w:t>
      </w:r>
      <w:r w:rsidR="27F159C1" w:rsidRPr="2CE222D4">
        <w:t>low</w:t>
      </w:r>
      <w:r w:rsidR="00F86AFA">
        <w:t xml:space="preserve">. It will remain low as existing </w:t>
      </w:r>
      <w:r w:rsidR="00FF1AB8">
        <w:t xml:space="preserve">Government initiatives and </w:t>
      </w:r>
      <w:r w:rsidR="00790156">
        <w:t xml:space="preserve">alternatives to </w:t>
      </w:r>
      <w:r w:rsidR="00F86AFA">
        <w:t>Government interventions</w:t>
      </w:r>
      <w:r w:rsidR="00790156">
        <w:t xml:space="preserve"> are inadequately</w:t>
      </w:r>
      <w:r w:rsidR="00F86AFA">
        <w:t xml:space="preserve"> addressing the policy problem and</w:t>
      </w:r>
      <w:r w:rsidR="00E77133">
        <w:t xml:space="preserve"> are not</w:t>
      </w:r>
      <w:r w:rsidR="00B431FB">
        <w:t xml:space="preserve"> increasing care minute compliance </w:t>
      </w:r>
      <w:r w:rsidR="00575355">
        <w:t>quickly</w:t>
      </w:r>
      <w:r w:rsidR="008C0F32">
        <w:t xml:space="preserve"> </w:t>
      </w:r>
      <w:r w:rsidR="00A9102D">
        <w:t>enough</w:t>
      </w:r>
      <w:r w:rsidR="00575355">
        <w:t xml:space="preserve"> </w:t>
      </w:r>
      <w:r w:rsidR="00B431FB">
        <w:t>and ensuring G</w:t>
      </w:r>
      <w:r w:rsidR="00C31B3F">
        <w:t>o</w:t>
      </w:r>
      <w:r w:rsidR="00B431FB">
        <w:t xml:space="preserve">vernment funding for care is being used </w:t>
      </w:r>
      <w:r w:rsidR="002B2698">
        <w:t xml:space="preserve">for </w:t>
      </w:r>
      <w:r w:rsidR="00AB41AE">
        <w:t>that purpose</w:t>
      </w:r>
      <w:r w:rsidR="00C31B3F">
        <w:t xml:space="preserve">. </w:t>
      </w:r>
      <w:r w:rsidR="004915B7" w:rsidRPr="2CE222D4">
        <w:t xml:space="preserve">This means </w:t>
      </w:r>
      <w:r w:rsidR="00E70C56" w:rsidRPr="2CE222D4">
        <w:t>that a significant proportion</w:t>
      </w:r>
      <w:r w:rsidR="004915B7" w:rsidRPr="2CE222D4">
        <w:t xml:space="preserve"> </w:t>
      </w:r>
      <w:r w:rsidR="006E526D" w:rsidRPr="2CE222D4">
        <w:t xml:space="preserve">of older people living in residential aged care will continue to live in </w:t>
      </w:r>
      <w:r w:rsidR="007B099C" w:rsidRPr="2CE222D4">
        <w:t>home</w:t>
      </w:r>
      <w:r w:rsidR="006E526D" w:rsidRPr="2CE222D4">
        <w:t xml:space="preserve">s with staffing levels lower than the Royal Commission </w:t>
      </w:r>
      <w:r w:rsidR="00E51700" w:rsidRPr="2CE222D4">
        <w:t>considered necessary to deliver</w:t>
      </w:r>
      <w:r w:rsidR="00D02CB8" w:rsidRPr="2CE222D4">
        <w:t xml:space="preserve"> </w:t>
      </w:r>
      <w:r w:rsidR="00E3569B" w:rsidRPr="2CE222D4">
        <w:t>quality care</w:t>
      </w:r>
      <w:r w:rsidR="006F09F7">
        <w:t xml:space="preserve"> and</w:t>
      </w:r>
      <w:r w:rsidR="009676A9">
        <w:t xml:space="preserve"> that </w:t>
      </w:r>
      <w:r w:rsidR="00E77133">
        <w:t>G</w:t>
      </w:r>
      <w:r w:rsidR="009676A9">
        <w:t xml:space="preserve">overnment funding for care is </w:t>
      </w:r>
      <w:r w:rsidR="004B1CFB">
        <w:t xml:space="preserve">not being used </w:t>
      </w:r>
      <w:r w:rsidR="00613768">
        <w:t>to deliver care</w:t>
      </w:r>
      <w:r w:rsidR="004B1CFB">
        <w:t>.</w:t>
      </w:r>
    </w:p>
    <w:p w14:paraId="789E2BB1" w14:textId="77777777" w:rsidR="000D64DE" w:rsidRDefault="000D64DE" w:rsidP="00ED6E3D">
      <w:pPr>
        <w:pStyle w:val="Paragraphtext"/>
        <w:rPr>
          <w:b/>
          <w:bCs/>
        </w:rPr>
      </w:pPr>
    </w:p>
    <w:p w14:paraId="700CF1FC" w14:textId="3F94DB80" w:rsidR="791A597F" w:rsidRPr="00ED6E3D" w:rsidRDefault="00DB38AC" w:rsidP="00ED6E3D">
      <w:pPr>
        <w:pStyle w:val="Paragraphtext"/>
        <w:rPr>
          <w:b/>
          <w:bCs/>
        </w:rPr>
      </w:pPr>
      <w:r>
        <w:rPr>
          <w:b/>
          <w:bCs/>
        </w:rPr>
        <w:lastRenderedPageBreak/>
        <w:t>Alternatives to Government intervention</w:t>
      </w:r>
    </w:p>
    <w:p w14:paraId="0296944C" w14:textId="275C81CF" w:rsidR="00AA56E4" w:rsidRDefault="003804B5" w:rsidP="003804B5">
      <w:pPr>
        <w:pStyle w:val="Paragraphtext"/>
      </w:pPr>
      <w:r>
        <w:t xml:space="preserve">Alternatives to Government intervention could include education and advertising campaigns, however these have already been undertaken through the Star Ratings promotion work, as have attempts to drive up compliance through raising the profile of the issue through the </w:t>
      </w:r>
      <w:r w:rsidRPr="001A7902">
        <w:t>release of the</w:t>
      </w:r>
      <w:r>
        <w:t xml:space="preserve"> publication and distribution of an open letter to providers from the Minister for Aged Care</w:t>
      </w:r>
      <w:r>
        <w:rPr>
          <w:rStyle w:val="FootnoteReference"/>
        </w:rPr>
        <w:footnoteReference w:id="41"/>
      </w:r>
      <w:r>
        <w:t xml:space="preserve">. </w:t>
      </w:r>
    </w:p>
    <w:p w14:paraId="6A9E61C3" w14:textId="252451D2" w:rsidR="007B149B" w:rsidRDefault="00263822" w:rsidP="003804B5">
      <w:pPr>
        <w:pStyle w:val="Paragraphtext"/>
      </w:pPr>
      <w:r>
        <w:t xml:space="preserve">Like care minutes requirements, </w:t>
      </w:r>
      <w:r w:rsidR="00742CBC">
        <w:t>S</w:t>
      </w:r>
      <w:r w:rsidR="00026836">
        <w:t xml:space="preserve">tar </w:t>
      </w:r>
      <w:r w:rsidR="00742CBC">
        <w:t>R</w:t>
      </w:r>
      <w:r w:rsidR="00026836">
        <w:t>ating</w:t>
      </w:r>
      <w:r w:rsidR="00742CBC">
        <w:t>s</w:t>
      </w:r>
      <w:r w:rsidR="003B302E">
        <w:rPr>
          <w:rStyle w:val="FootnoteReference"/>
        </w:rPr>
        <w:footnoteReference w:id="42"/>
      </w:r>
      <w:r w:rsidR="00742CBC">
        <w:t xml:space="preserve"> were introduced</w:t>
      </w:r>
      <w:r>
        <w:t xml:space="preserve"> as a </w:t>
      </w:r>
      <w:r w:rsidR="006C3E0C">
        <w:t xml:space="preserve">recommendation of the Royal Commission and are designed to </w:t>
      </w:r>
      <w:r w:rsidR="3A5FD8A9">
        <w:t xml:space="preserve">inform consumer choice by </w:t>
      </w:r>
      <w:r w:rsidR="006C3E0C">
        <w:t>provid</w:t>
      </w:r>
      <w:r w:rsidR="75C49E1E">
        <w:t>ing</w:t>
      </w:r>
      <w:r w:rsidR="006C3E0C">
        <w:t xml:space="preserve"> </w:t>
      </w:r>
      <w:r w:rsidR="00355630">
        <w:t>transparency</w:t>
      </w:r>
      <w:r w:rsidR="006C3E0C">
        <w:t xml:space="preserve"> </w:t>
      </w:r>
      <w:r w:rsidR="00355630">
        <w:t>about care quality, safety and services of residential care homes</w:t>
      </w:r>
      <w:r w:rsidR="00E133FE">
        <w:t xml:space="preserve">. </w:t>
      </w:r>
      <w:r w:rsidR="00955008">
        <w:t xml:space="preserve">As mentioned earlier in this Impact Analysis, </w:t>
      </w:r>
      <w:r w:rsidR="00E133FE">
        <w:t>Star Rating</w:t>
      </w:r>
      <w:r w:rsidR="00FB5939">
        <w:t xml:space="preserve">s help people to compare homes with an </w:t>
      </w:r>
      <w:r w:rsidR="00C96488">
        <w:t>O</w:t>
      </w:r>
      <w:r w:rsidR="00FB5939">
        <w:t xml:space="preserve">verall </w:t>
      </w:r>
      <w:r w:rsidR="5FB29675">
        <w:t>Star</w:t>
      </w:r>
      <w:r w:rsidR="00FB5939">
        <w:t xml:space="preserve"> </w:t>
      </w:r>
      <w:r w:rsidR="0BC2C68C">
        <w:t>R</w:t>
      </w:r>
      <w:r w:rsidR="00FB5939">
        <w:t xml:space="preserve">ating and </w:t>
      </w:r>
      <w:r w:rsidR="009244C8">
        <w:t xml:space="preserve">across 4 subcategories </w:t>
      </w:r>
      <w:r w:rsidR="00C006B2">
        <w:t xml:space="preserve">(including </w:t>
      </w:r>
      <w:r w:rsidR="00AF3B5C">
        <w:t xml:space="preserve">resident experience, </w:t>
      </w:r>
      <w:r w:rsidR="00C006B2">
        <w:t>complian</w:t>
      </w:r>
      <w:r w:rsidR="00AF3B5C">
        <w:t>ce</w:t>
      </w:r>
      <w:r w:rsidR="00C006B2">
        <w:t>, staffing</w:t>
      </w:r>
      <w:r w:rsidR="00AF3B5C">
        <w:t>, quality measures</w:t>
      </w:r>
      <w:r w:rsidR="00D51A02">
        <w:t>)</w:t>
      </w:r>
      <w:r w:rsidR="00AF3B5C">
        <w:t xml:space="preserve"> </w:t>
      </w:r>
      <w:r w:rsidR="009244C8">
        <w:t>and help pr</w:t>
      </w:r>
      <w:r w:rsidR="00475310">
        <w:t>o</w:t>
      </w:r>
      <w:r w:rsidR="009244C8">
        <w:t xml:space="preserve">viders to </w:t>
      </w:r>
      <w:r w:rsidR="00475310">
        <w:t>monitor</w:t>
      </w:r>
      <w:r w:rsidR="009244C8">
        <w:t xml:space="preserve">, compare and </w:t>
      </w:r>
      <w:r w:rsidR="00475310">
        <w:t xml:space="preserve">improve the quality of their aged care service. </w:t>
      </w:r>
      <w:r w:rsidR="00C006B2">
        <w:t>Although this</w:t>
      </w:r>
      <w:r w:rsidR="00D51A02">
        <w:t xml:space="preserve"> information is transparent and easily accessible</w:t>
      </w:r>
      <w:r w:rsidR="0002470E">
        <w:t>,</w:t>
      </w:r>
      <w:r w:rsidR="00D51A02">
        <w:t xml:space="preserve"> it has not </w:t>
      </w:r>
      <w:r w:rsidR="00102FB2">
        <w:t xml:space="preserve">resulted in </w:t>
      </w:r>
      <w:r w:rsidR="00C33A41">
        <w:t xml:space="preserve">high </w:t>
      </w:r>
      <w:r w:rsidR="008807D3">
        <w:t xml:space="preserve">levels of </w:t>
      </w:r>
      <w:r w:rsidR="00102FB2">
        <w:t>provider compliance with their care minutes targets</w:t>
      </w:r>
      <w:r w:rsidR="008D2FAD">
        <w:t xml:space="preserve"> regardless of the </w:t>
      </w:r>
      <w:r w:rsidR="69774C78">
        <w:t>S</w:t>
      </w:r>
      <w:r w:rsidR="008D2FAD">
        <w:t xml:space="preserve">taffing </w:t>
      </w:r>
      <w:r w:rsidR="61AE32C0">
        <w:t>Rating</w:t>
      </w:r>
      <w:r w:rsidR="008D2FAD">
        <w:t xml:space="preserve"> </w:t>
      </w:r>
      <w:r w:rsidR="00E04234">
        <w:t xml:space="preserve">making up 22% of the </w:t>
      </w:r>
      <w:r w:rsidR="2D1A02EE">
        <w:t>O</w:t>
      </w:r>
      <w:r w:rsidR="00E04234">
        <w:t xml:space="preserve">verall </w:t>
      </w:r>
      <w:r w:rsidR="45F0A353">
        <w:t>S</w:t>
      </w:r>
      <w:r w:rsidR="00E04234">
        <w:t xml:space="preserve">taff </w:t>
      </w:r>
      <w:r w:rsidR="3881746E">
        <w:t>R</w:t>
      </w:r>
      <w:r w:rsidR="00E04234">
        <w:t>ating</w:t>
      </w:r>
      <w:r w:rsidR="00DD5542">
        <w:t>.</w:t>
      </w:r>
      <w:r w:rsidR="002A157D">
        <w:t xml:space="preserve"> </w:t>
      </w:r>
      <w:r w:rsidR="008011DF">
        <w:t>Consequently, t</w:t>
      </w:r>
      <w:r w:rsidR="00FB31E4">
        <w:t>he</w:t>
      </w:r>
      <w:r w:rsidR="00AD4ADB">
        <w:t xml:space="preserve"> department considers that</w:t>
      </w:r>
      <w:r w:rsidR="00FB31E4">
        <w:t xml:space="preserve"> Star Rating</w:t>
      </w:r>
      <w:r w:rsidR="00AD4ADB">
        <w:t xml:space="preserve">s are effective in supporting </w:t>
      </w:r>
      <w:r w:rsidR="00FB3C4A">
        <w:t xml:space="preserve">the proposed options </w:t>
      </w:r>
      <w:r w:rsidR="005F1AAF">
        <w:t xml:space="preserve">presented in this Impact Analysis rather than </w:t>
      </w:r>
      <w:r w:rsidR="00A13BBF">
        <w:t xml:space="preserve">being likely to solve the policy </w:t>
      </w:r>
      <w:r w:rsidR="00742EE4">
        <w:t xml:space="preserve">problem of low care minutes compliance. </w:t>
      </w:r>
    </w:p>
    <w:p w14:paraId="2EC77918" w14:textId="4FB48447" w:rsidR="00026836" w:rsidRDefault="00127999" w:rsidP="003804B5">
      <w:pPr>
        <w:pStyle w:val="Paragraphtext"/>
      </w:pPr>
      <w:r>
        <w:t>The</w:t>
      </w:r>
      <w:r w:rsidR="003B456E">
        <w:t xml:space="preserve"> open letter f</w:t>
      </w:r>
      <w:r w:rsidR="00DD2BA7">
        <w:t>ro</w:t>
      </w:r>
      <w:r w:rsidR="003B456E">
        <w:t xml:space="preserve">m </w:t>
      </w:r>
      <w:r w:rsidR="00466BF6">
        <w:t>the Minister to the aged care sect</w:t>
      </w:r>
      <w:r w:rsidR="007871BF">
        <w:t>or</w:t>
      </w:r>
      <w:r w:rsidR="00466BF6">
        <w:t xml:space="preserve"> </w:t>
      </w:r>
      <w:r w:rsidR="00BE4732">
        <w:t>reinforce</w:t>
      </w:r>
      <w:r w:rsidR="00CB7A5E">
        <w:t>s</w:t>
      </w:r>
      <w:r w:rsidR="00BE4732">
        <w:t xml:space="preserve"> </w:t>
      </w:r>
      <w:r w:rsidR="009A05F3">
        <w:t>Go</w:t>
      </w:r>
      <w:r w:rsidR="00BE4732">
        <w:t>vernment</w:t>
      </w:r>
      <w:r w:rsidR="009A05F3">
        <w:t>’s</w:t>
      </w:r>
      <w:r w:rsidR="00DD2BA7">
        <w:t xml:space="preserve"> expectation that providers comply with their care minutes requirements</w:t>
      </w:r>
      <w:r w:rsidR="009A5AD7">
        <w:t xml:space="preserve"> and</w:t>
      </w:r>
      <w:r w:rsidR="00E12262">
        <w:t xml:space="preserve"> </w:t>
      </w:r>
      <w:r w:rsidR="00D924CB">
        <w:t>hi</w:t>
      </w:r>
      <w:r w:rsidR="00BD1EE1">
        <w:t>ghlight</w:t>
      </w:r>
      <w:r w:rsidR="001E0D5E">
        <w:t>s</w:t>
      </w:r>
      <w:r w:rsidR="00BD1EE1">
        <w:t xml:space="preserve"> the leve</w:t>
      </w:r>
      <w:r w:rsidR="00E12262">
        <w:t>l of non</w:t>
      </w:r>
      <w:r w:rsidR="00742EE4">
        <w:noBreakHyphen/>
      </w:r>
      <w:r w:rsidR="00E12262">
        <w:t xml:space="preserve">compliance and the </w:t>
      </w:r>
      <w:r w:rsidR="009A5AD7">
        <w:t>amount</w:t>
      </w:r>
      <w:r w:rsidR="00E12262">
        <w:t xml:space="preserve"> of </w:t>
      </w:r>
      <w:r w:rsidR="00883E81">
        <w:t>G</w:t>
      </w:r>
      <w:r w:rsidR="00E12262">
        <w:t>overnment f</w:t>
      </w:r>
      <w:r w:rsidR="005A24F2">
        <w:t>u</w:t>
      </w:r>
      <w:r w:rsidR="00E12262">
        <w:t xml:space="preserve">nding </w:t>
      </w:r>
      <w:r w:rsidR="009A5AD7">
        <w:t>given</w:t>
      </w:r>
      <w:r w:rsidR="00A97F6F">
        <w:t xml:space="preserve"> to providers to achieve care minutes compliance.</w:t>
      </w:r>
      <w:r w:rsidR="009A5AD7">
        <w:t xml:space="preserve"> The letter also highlight</w:t>
      </w:r>
      <w:r w:rsidR="00715398">
        <w:t xml:space="preserve">s </w:t>
      </w:r>
      <w:r w:rsidR="00955F80">
        <w:t>the ASQSC</w:t>
      </w:r>
      <w:r w:rsidR="00810F74">
        <w:t>’s regulatory power to take action against providers who are non-compliant with their care minutes responsibilities.</w:t>
      </w:r>
      <w:r w:rsidR="00052F84">
        <w:t xml:space="preserve"> </w:t>
      </w:r>
      <w:r w:rsidR="00F50F63">
        <w:t>However</w:t>
      </w:r>
      <w:r w:rsidR="00AC486B">
        <w:t>, unacceptabl</w:t>
      </w:r>
      <w:r w:rsidR="0032085F">
        <w:t>y</w:t>
      </w:r>
      <w:r w:rsidR="00AC486B">
        <w:t xml:space="preserve"> high levels of non</w:t>
      </w:r>
      <w:r w:rsidR="00E4115F">
        <w:t>-</w:t>
      </w:r>
      <w:r w:rsidR="00AC486B">
        <w:t>complian</w:t>
      </w:r>
      <w:r w:rsidR="00E4115F">
        <w:t>ce remain.</w:t>
      </w:r>
      <w:r w:rsidR="001B1DC0">
        <w:t xml:space="preserve"> Consequently</w:t>
      </w:r>
      <w:r w:rsidR="00DB2C9D">
        <w:t xml:space="preserve">, </w:t>
      </w:r>
      <w:r w:rsidR="002619C0">
        <w:t>in isolation</w:t>
      </w:r>
      <w:r w:rsidR="00CA3485">
        <w:t xml:space="preserve"> this letter</w:t>
      </w:r>
      <w:r w:rsidR="002619C0">
        <w:t xml:space="preserve"> </w:t>
      </w:r>
      <w:r w:rsidR="00C41ADA">
        <w:t>insufficiently address</w:t>
      </w:r>
      <w:r w:rsidR="00957E92">
        <w:t>es</w:t>
      </w:r>
      <w:r w:rsidR="00C41ADA">
        <w:t xml:space="preserve"> non</w:t>
      </w:r>
      <w:r w:rsidR="00957E92">
        <w:t>-</w:t>
      </w:r>
      <w:r w:rsidR="00C41ADA">
        <w:t>compl</w:t>
      </w:r>
      <w:r w:rsidR="00957E92">
        <w:t xml:space="preserve">iance and the misallocation of Government </w:t>
      </w:r>
      <w:r w:rsidR="004C16F0">
        <w:t>care funding</w:t>
      </w:r>
      <w:r w:rsidR="00235A4F">
        <w:t xml:space="preserve"> particularly as the ACQSC </w:t>
      </w:r>
      <w:r w:rsidR="005F6D95">
        <w:t>does not have the</w:t>
      </w:r>
      <w:r w:rsidR="00235A4F">
        <w:t xml:space="preserve"> resources to take </w:t>
      </w:r>
      <w:r w:rsidR="4476D799">
        <w:t xml:space="preserve">regulatory action </w:t>
      </w:r>
      <w:r w:rsidR="00235A4F">
        <w:t xml:space="preserve">against </w:t>
      </w:r>
      <w:r w:rsidR="005F6D95">
        <w:t xml:space="preserve">all </w:t>
      </w:r>
      <w:r w:rsidR="00C16694">
        <w:t>non-compliant providers</w:t>
      </w:r>
      <w:r w:rsidR="4B4F2E86">
        <w:t xml:space="preserve"> nor would this be a proportionate response to providers that are close to achieving their targets</w:t>
      </w:r>
      <w:r w:rsidR="004C16F0">
        <w:t>.</w:t>
      </w:r>
    </w:p>
    <w:p w14:paraId="305671C3" w14:textId="2AC32B70" w:rsidR="003804B5" w:rsidRDefault="003804B5" w:rsidP="003804B5">
      <w:pPr>
        <w:pStyle w:val="Paragraphtext"/>
      </w:pPr>
      <w:r>
        <w:t xml:space="preserve">Other alternatives to Government action such as seeking to get providers to voluntarily sign up to an agreement to deliver care minutes are not appropriate for what is already a legislated </w:t>
      </w:r>
      <w:r w:rsidR="00B47EE0">
        <w:t xml:space="preserve">obligation on </w:t>
      </w:r>
      <w:r w:rsidR="005923CC">
        <w:t>providers</w:t>
      </w:r>
      <w:r>
        <w:t>.</w:t>
      </w:r>
      <w:r w:rsidR="005D1818">
        <w:t xml:space="preserve"> </w:t>
      </w:r>
      <w:r w:rsidR="00902EB3">
        <w:t xml:space="preserve">Additionally, </w:t>
      </w:r>
      <w:r w:rsidR="006567F9">
        <w:t>it</w:t>
      </w:r>
      <w:r w:rsidR="00336ACC">
        <w:t xml:space="preserve"> is</w:t>
      </w:r>
      <w:r w:rsidR="006567F9">
        <w:t xml:space="preserve"> unlikely </w:t>
      </w:r>
      <w:r w:rsidR="00F25321">
        <w:t xml:space="preserve">that providers would </w:t>
      </w:r>
      <w:r w:rsidR="00FE619B">
        <w:t>agree to or adhere to such standards</w:t>
      </w:r>
      <w:r w:rsidR="00C36B7D">
        <w:t xml:space="preserve"> (especially those not adhering to the legally required </w:t>
      </w:r>
      <w:r w:rsidR="002068F8">
        <w:t>care minutes)</w:t>
      </w:r>
      <w:r w:rsidR="00FE619B">
        <w:t xml:space="preserve"> which would take time to establish</w:t>
      </w:r>
      <w:r w:rsidR="00096D9C">
        <w:t xml:space="preserve">, </w:t>
      </w:r>
      <w:r w:rsidR="00FE619B">
        <w:t xml:space="preserve">garner industry </w:t>
      </w:r>
      <w:r w:rsidR="00096D9C">
        <w:t>support and implement</w:t>
      </w:r>
      <w:r w:rsidR="00FE619B">
        <w:t>.</w:t>
      </w:r>
      <w:r w:rsidR="00614FEA">
        <w:t xml:space="preserve"> </w:t>
      </w:r>
    </w:p>
    <w:p w14:paraId="2A0789DF" w14:textId="71AE543A" w:rsidR="009159ED" w:rsidRDefault="005923CC" w:rsidP="005923CC">
      <w:pPr>
        <w:pStyle w:val="Paragraphtext"/>
      </w:pPr>
      <w:r>
        <w:t>As such there are not any clear unexplored</w:t>
      </w:r>
      <w:r w:rsidR="00273DAC">
        <w:t xml:space="preserve"> alternatives to Government intervention to address the problem of low compliance with care minutes</w:t>
      </w:r>
      <w:r w:rsidR="00F7781D">
        <w:t xml:space="preserve"> beyond</w:t>
      </w:r>
      <w:r w:rsidR="00FC5BD8">
        <w:t xml:space="preserve"> relying on market forces</w:t>
      </w:r>
      <w:r w:rsidR="001418F6">
        <w:t xml:space="preserve"> </w:t>
      </w:r>
      <w:r w:rsidR="000909B1">
        <w:t xml:space="preserve">to </w:t>
      </w:r>
      <w:r w:rsidR="001418F6">
        <w:t>gradually driv</w:t>
      </w:r>
      <w:r w:rsidR="000909B1">
        <w:t>e</w:t>
      </w:r>
      <w:r w:rsidR="001418F6">
        <w:t xml:space="preserve"> increased care minutes performance, supported by</w:t>
      </w:r>
      <w:r w:rsidR="002127EE">
        <w:t xml:space="preserve"> the transparency measures described earlier in this section (and in the background section of this report). </w:t>
      </w:r>
    </w:p>
    <w:p w14:paraId="200B9FE3" w14:textId="28B4950F" w:rsidR="00EF4993" w:rsidRPr="00C03090" w:rsidDel="008C1290" w:rsidRDefault="005923CC" w:rsidP="00674318">
      <w:pPr>
        <w:pStyle w:val="Paragraphtext"/>
      </w:pPr>
      <w:r>
        <w:t>It is unlikely that re</w:t>
      </w:r>
      <w:r w:rsidR="00093B57">
        <w:t xml:space="preserve">lying on </w:t>
      </w:r>
      <w:r w:rsidR="3D99312B" w:rsidRPr="00C03090">
        <w:t xml:space="preserve">external market forces would provide the required incentives </w:t>
      </w:r>
      <w:r w:rsidR="71FEF03E" w:rsidRPr="3FB7C7F5">
        <w:t>for</w:t>
      </w:r>
      <w:r w:rsidR="3D99312B" w:rsidRPr="00C03090">
        <w:t xml:space="preserve"> </w:t>
      </w:r>
      <w:r w:rsidR="145D6FA6" w:rsidRPr="00C03090">
        <w:t>provider</w:t>
      </w:r>
      <w:r w:rsidR="2406E3A9" w:rsidRPr="540B081F">
        <w:t>s to</w:t>
      </w:r>
      <w:r w:rsidR="003B0A2A">
        <w:t xml:space="preserve"> si</w:t>
      </w:r>
      <w:r w:rsidR="00EF4993">
        <w:t>gnificantly</w:t>
      </w:r>
      <w:r w:rsidR="2406E3A9" w:rsidRPr="540B081F">
        <w:t xml:space="preserve"> </w:t>
      </w:r>
      <w:r w:rsidR="2406E3A9" w:rsidRPr="51EC83AD">
        <w:t>improve their</w:t>
      </w:r>
      <w:r w:rsidR="66DB04ED" w:rsidRPr="00C03090">
        <w:t xml:space="preserve"> compliance with </w:t>
      </w:r>
      <w:r w:rsidR="5C3F714C" w:rsidRPr="00C03090">
        <w:t xml:space="preserve">their </w:t>
      </w:r>
      <w:r w:rsidR="66DB04ED" w:rsidRPr="00C03090">
        <w:t>care minute targets</w:t>
      </w:r>
      <w:r w:rsidR="51635251" w:rsidRPr="00C03090">
        <w:t xml:space="preserve">. </w:t>
      </w:r>
      <w:r w:rsidR="000E6E67">
        <w:t xml:space="preserve">Increasing </w:t>
      </w:r>
      <w:r w:rsidR="00DB369B">
        <w:t xml:space="preserve">occupancy across the </w:t>
      </w:r>
      <w:r w:rsidR="003C7739">
        <w:t xml:space="preserve">sector (noting StewartBrown reported occupancy at </w:t>
      </w:r>
      <w:r w:rsidR="005464FB">
        <w:t>94.0% in their latest report</w:t>
      </w:r>
      <w:r w:rsidR="00433906">
        <w:t>, higher than</w:t>
      </w:r>
      <w:r w:rsidR="00F82CCF">
        <w:t xml:space="preserve"> pre-COVID 2020 levels</w:t>
      </w:r>
      <w:r w:rsidR="00F82CCF">
        <w:rPr>
          <w:rStyle w:val="FootnoteReference"/>
        </w:rPr>
        <w:footnoteReference w:id="43"/>
      </w:r>
      <w:r w:rsidR="00DB523D">
        <w:t>, and the department also report</w:t>
      </w:r>
      <w:r w:rsidR="001E0336">
        <w:t>ing a trend of increasing occupancy in the Quarte</w:t>
      </w:r>
      <w:r w:rsidR="00F34E3E">
        <w:t>r</w:t>
      </w:r>
      <w:r w:rsidR="00F55F11">
        <w:t xml:space="preserve">ly </w:t>
      </w:r>
      <w:r w:rsidR="00087266">
        <w:t>Financial Snapshots</w:t>
      </w:r>
      <w:r w:rsidR="00CB2322">
        <w:rPr>
          <w:rStyle w:val="FootnoteReference"/>
        </w:rPr>
        <w:footnoteReference w:id="44"/>
      </w:r>
      <w:r w:rsidR="005C4A6C">
        <w:t>)</w:t>
      </w:r>
      <w:r w:rsidR="00F82CCF">
        <w:t xml:space="preserve"> </w:t>
      </w:r>
      <w:r w:rsidR="6B6FD67E" w:rsidRPr="00C03090">
        <w:t xml:space="preserve">reduces the </w:t>
      </w:r>
      <w:r w:rsidR="00DD28DA">
        <w:t>ability of</w:t>
      </w:r>
      <w:r w:rsidR="6B6FD67E" w:rsidRPr="00C03090">
        <w:t xml:space="preserve"> older Australians </w:t>
      </w:r>
      <w:r w:rsidR="00DD28DA">
        <w:t xml:space="preserve">entering residential aged care </w:t>
      </w:r>
      <w:r w:rsidR="00050B6F">
        <w:t xml:space="preserve">to </w:t>
      </w:r>
      <w:r w:rsidR="000B26A7">
        <w:t>select</w:t>
      </w:r>
      <w:r w:rsidR="009573BC">
        <w:t xml:space="preserve"> a home</w:t>
      </w:r>
      <w:r w:rsidR="00050B6F">
        <w:t xml:space="preserve"> on </w:t>
      </w:r>
      <w:r w:rsidR="00047757">
        <w:t>factors</w:t>
      </w:r>
      <w:r w:rsidR="00050B6F">
        <w:t xml:space="preserve"> like care minutes performance</w:t>
      </w:r>
      <w:r w:rsidR="00C62399">
        <w:t xml:space="preserve"> and quality rat</w:t>
      </w:r>
      <w:r w:rsidR="009F3C4A">
        <w:t>ings</w:t>
      </w:r>
      <w:r w:rsidR="009573BC">
        <w:t>.</w:t>
      </w:r>
      <w:r w:rsidR="00442F2F">
        <w:t xml:space="preserve"> </w:t>
      </w:r>
      <w:r w:rsidR="009F3C4A">
        <w:t>These f</w:t>
      </w:r>
      <w:r w:rsidR="00442F2F">
        <w:t>actors also need to be considered alongside</w:t>
      </w:r>
      <w:r w:rsidR="0083143C">
        <w:t xml:space="preserve"> </w:t>
      </w:r>
      <w:r w:rsidR="288813BE" w:rsidRPr="00C03090">
        <w:t xml:space="preserve">other factors such as </w:t>
      </w:r>
      <w:r w:rsidR="62DA3B41" w:rsidRPr="00C03090">
        <w:t xml:space="preserve">location, </w:t>
      </w:r>
      <w:r w:rsidR="51E5E296" w:rsidRPr="00C03090">
        <w:t>building</w:t>
      </w:r>
      <w:r w:rsidR="62DA3B41" w:rsidRPr="00C03090">
        <w:t xml:space="preserve"> de</w:t>
      </w:r>
      <w:r w:rsidR="50C6A87A" w:rsidRPr="00C03090">
        <w:t>s</w:t>
      </w:r>
      <w:r w:rsidR="62DA3B41" w:rsidRPr="00C03090">
        <w:t xml:space="preserve">ign, </w:t>
      </w:r>
      <w:r w:rsidR="0083143C">
        <w:t xml:space="preserve">and room </w:t>
      </w:r>
      <w:r w:rsidR="62DA3B41" w:rsidRPr="00C03090">
        <w:t>price</w:t>
      </w:r>
      <w:r w:rsidR="664EBF5B" w:rsidRPr="00C03090">
        <w:t>.</w:t>
      </w:r>
    </w:p>
    <w:p w14:paraId="40915708" w14:textId="5697BCAD" w:rsidR="00912E11" w:rsidRPr="00EF4993" w:rsidDel="008C1290" w:rsidRDefault="741EA9BD" w:rsidP="00EF4993">
      <w:pPr>
        <w:pStyle w:val="Paragraphtext"/>
      </w:pPr>
      <w:r>
        <w:lastRenderedPageBreak/>
        <w:t>Providers are also unlikely to increase their care minutes compliance without Government intervention</w:t>
      </w:r>
      <w:r w:rsidR="380FA344">
        <w:t xml:space="preserve"> because </w:t>
      </w:r>
      <w:r w:rsidR="57797C5A">
        <w:t>the policy settings and regulatory oversight, for many providers, compete directly with the desire to avoid</w:t>
      </w:r>
      <w:r w:rsidR="44766DA4">
        <w:t xml:space="preserve"> a competi</w:t>
      </w:r>
      <w:r w:rsidR="75DB8EBF">
        <w:t>ti</w:t>
      </w:r>
      <w:r w:rsidR="44766DA4">
        <w:t xml:space="preserve">ve </w:t>
      </w:r>
      <w:r w:rsidR="2962884F">
        <w:t>disadvantage</w:t>
      </w:r>
      <w:r w:rsidR="44766DA4">
        <w:t xml:space="preserve"> </w:t>
      </w:r>
      <w:r w:rsidR="0F0AD0C9">
        <w:t>by incurring</w:t>
      </w:r>
      <w:r w:rsidR="5187E05B">
        <w:t xml:space="preserve"> increased workforce costs of complying with their care minutes targets.</w:t>
      </w:r>
    </w:p>
    <w:p w14:paraId="11C68176" w14:textId="0283F093" w:rsidR="00EF4993" w:rsidRPr="00EF4993" w:rsidRDefault="1159DD4F" w:rsidP="00EF4993">
      <w:pPr>
        <w:pStyle w:val="Paragraphtext"/>
      </w:pPr>
      <w:r>
        <w:t xml:space="preserve">With </w:t>
      </w:r>
      <w:r w:rsidR="2DD0B226">
        <w:t xml:space="preserve">the </w:t>
      </w:r>
      <w:r w:rsidR="7383ADC3">
        <w:t>ACQSC</w:t>
      </w:r>
      <w:r w:rsidR="2F30F6C7">
        <w:t xml:space="preserve"> targeting providers with high levels of non-compliance with their care minutes targets </w:t>
      </w:r>
      <w:r w:rsidR="7383ADC3">
        <w:t xml:space="preserve">for </w:t>
      </w:r>
      <w:r w:rsidR="63BE413D">
        <w:t>further</w:t>
      </w:r>
      <w:r w:rsidR="1CB41998">
        <w:t xml:space="preserve"> </w:t>
      </w:r>
      <w:r w:rsidR="7383ADC3">
        <w:t>regulatory action</w:t>
      </w:r>
      <w:r w:rsidR="450A00F1">
        <w:t xml:space="preserve"> (e.g</w:t>
      </w:r>
      <w:r w:rsidR="6B929EE8">
        <w:t>.</w:t>
      </w:r>
      <w:r w:rsidR="450A00F1">
        <w:t xml:space="preserve"> </w:t>
      </w:r>
      <w:r w:rsidR="3D810DE7">
        <w:t>enforceable undertaking, sanctions)</w:t>
      </w:r>
      <w:r w:rsidR="7383ADC3">
        <w:t>, the</w:t>
      </w:r>
      <w:r w:rsidR="65A846CA">
        <w:t xml:space="preserve">re is </w:t>
      </w:r>
      <w:r w:rsidR="78504091">
        <w:t xml:space="preserve">a </w:t>
      </w:r>
      <w:r w:rsidR="65A846CA">
        <w:t xml:space="preserve">reduced </w:t>
      </w:r>
      <w:r w:rsidR="6C1E6CD6">
        <w:t>need</w:t>
      </w:r>
      <w:r w:rsidR="65A846CA">
        <w:t xml:space="preserve"> for providers </w:t>
      </w:r>
      <w:r w:rsidR="4929F273">
        <w:t xml:space="preserve">with low to medium </w:t>
      </w:r>
      <w:r w:rsidR="5D5B16C5">
        <w:t>levels of non-compliance</w:t>
      </w:r>
      <w:r w:rsidR="61D39E52">
        <w:t xml:space="preserve"> to act</w:t>
      </w:r>
      <w:r w:rsidR="073CE2EF">
        <w:t xml:space="preserve">. </w:t>
      </w:r>
      <w:r w:rsidR="04C8DB25">
        <w:t>This has</w:t>
      </w:r>
      <w:r w:rsidR="5CB01F3F">
        <w:t xml:space="preserve"> resulted in</w:t>
      </w:r>
      <w:r w:rsidR="0063127C">
        <w:t xml:space="preserve"> a</w:t>
      </w:r>
      <w:r w:rsidR="5CB01F3F">
        <w:t xml:space="preserve"> culture acr</w:t>
      </w:r>
      <w:r w:rsidR="7C215C1F">
        <w:t>oss</w:t>
      </w:r>
      <w:r w:rsidR="00DB38AC">
        <w:t xml:space="preserve"> some parts of</w:t>
      </w:r>
      <w:r w:rsidR="5CB01F3F">
        <w:t xml:space="preserve"> the sector of acceptable levels of non-complian</w:t>
      </w:r>
      <w:r w:rsidR="54E81319">
        <w:t>ce</w:t>
      </w:r>
      <w:r w:rsidR="0051283A">
        <w:t xml:space="preserve"> with care minutes targets</w:t>
      </w:r>
      <w:r w:rsidR="69180E4C">
        <w:t>.</w:t>
      </w:r>
    </w:p>
    <w:p w14:paraId="2349CCF8" w14:textId="31553982" w:rsidR="524F9CD1" w:rsidRDefault="524F9CD1" w:rsidP="37D7CD41">
      <w:pPr>
        <w:pStyle w:val="Paragraphtext"/>
      </w:pPr>
      <w:r>
        <w:t>The ACQSC regulates this provider responsibility at the provider level. It targete</w:t>
      </w:r>
      <w:r w:rsidR="21E92A46">
        <w:t>d providers of homes with the largest levels of care minutes non-compliance</w:t>
      </w:r>
      <w:r w:rsidR="722DCFDE">
        <w:t xml:space="preserve"> (the worst performers) while at the same time </w:t>
      </w:r>
      <w:r w:rsidR="3D0DA51B">
        <w:t>engaging</w:t>
      </w:r>
      <w:r w:rsidR="722DCFDE">
        <w:t xml:space="preserve"> with these providers about all their homes that have failed to meet targ</w:t>
      </w:r>
      <w:r w:rsidR="7ABE0AC1">
        <w:t>e</w:t>
      </w:r>
      <w:r w:rsidR="722DCFDE">
        <w:t xml:space="preserve">ts, regardless of </w:t>
      </w:r>
      <w:r w:rsidR="46412070">
        <w:t>t</w:t>
      </w:r>
      <w:r w:rsidR="722DCFDE">
        <w:t>he</w:t>
      </w:r>
      <w:r w:rsidR="6E8E2454">
        <w:t xml:space="preserve"> extent of the sh</w:t>
      </w:r>
      <w:r w:rsidR="781C7679">
        <w:t>ortfall</w:t>
      </w:r>
      <w:r w:rsidR="6E8E2454">
        <w:t>. These engagements demonstrate that for most providers, the a</w:t>
      </w:r>
      <w:r w:rsidR="3C67E2A9">
        <w:t>c</w:t>
      </w:r>
      <w:r w:rsidR="6E8E2454">
        <w:t>tions they ne</w:t>
      </w:r>
      <w:r w:rsidR="0D6ED419">
        <w:t>e</w:t>
      </w:r>
      <w:r w:rsidR="6E8E2454">
        <w:t>d to tak</w:t>
      </w:r>
      <w:r w:rsidR="45E89DB0">
        <w:t xml:space="preserve">e </w:t>
      </w:r>
      <w:r w:rsidR="6E8E2454">
        <w:t>to improve performan</w:t>
      </w:r>
      <w:r w:rsidR="4CA76CD8">
        <w:t>ce</w:t>
      </w:r>
      <w:r w:rsidR="6E8E2454">
        <w:t xml:space="preserve"> against their care minutes </w:t>
      </w:r>
      <w:r w:rsidR="3FF37482">
        <w:t>targets</w:t>
      </w:r>
      <w:r w:rsidR="6E8E2454">
        <w:t xml:space="preserve"> takes time, and s</w:t>
      </w:r>
      <w:r w:rsidR="1CCB7F0A">
        <w:t>ome providers la</w:t>
      </w:r>
      <w:r w:rsidR="301DE065">
        <w:t>c</w:t>
      </w:r>
      <w:r w:rsidR="1CCB7F0A">
        <w:t xml:space="preserve">k the capability to make rapid changes to their workforce in order to comply. </w:t>
      </w:r>
    </w:p>
    <w:p w14:paraId="052A0A4D" w14:textId="68EBEB2D" w:rsidR="00912E11" w:rsidDel="008C1290" w:rsidRDefault="00A7339C" w:rsidP="00674318">
      <w:pPr>
        <w:pStyle w:val="Paragraphtext"/>
      </w:pPr>
      <w:r>
        <w:t>The option of not intervening further to improve care minutes compliance is further explored in the next section under the status quo option.</w:t>
      </w:r>
    </w:p>
    <w:p w14:paraId="59ED3510" w14:textId="60C61ED1" w:rsidR="3403DD55" w:rsidRPr="0092272E" w:rsidRDefault="671B9162" w:rsidP="0092272E">
      <w:pPr>
        <w:pStyle w:val="Paragraphtext"/>
        <w:rPr>
          <w:b/>
          <w:bCs/>
        </w:rPr>
      </w:pPr>
      <w:r w:rsidRPr="0092272E">
        <w:rPr>
          <w:b/>
          <w:bCs/>
        </w:rPr>
        <w:t>Why Government intervention is appropriate</w:t>
      </w:r>
    </w:p>
    <w:p w14:paraId="231574C0" w14:textId="46EF0832" w:rsidR="3403DD55" w:rsidRDefault="12FB17BC" w:rsidP="3403DD55">
      <w:pPr>
        <w:pStyle w:val="Paragraphtext"/>
      </w:pPr>
      <w:r>
        <w:t>G</w:t>
      </w:r>
      <w:r w:rsidR="3279857E">
        <w:t xml:space="preserve">overnment intervention is </w:t>
      </w:r>
      <w:r w:rsidR="44F91EB1">
        <w:t>required</w:t>
      </w:r>
      <w:r w:rsidR="3279857E">
        <w:t xml:space="preserve"> to </w:t>
      </w:r>
      <w:r w:rsidR="74E04E46">
        <w:t xml:space="preserve">ensure </w:t>
      </w:r>
      <w:r w:rsidR="7B85AEC5">
        <w:t>homes have adequate staffing to meet their residents’ personal and clinical care needs</w:t>
      </w:r>
      <w:r w:rsidR="1D207A1C">
        <w:t xml:space="preserve"> and t</w:t>
      </w:r>
      <w:r w:rsidR="7B85AEC5">
        <w:t>o ensure that Government funding for residential aged care is cost-effective and sustainable by minimising the extent to which funding is provided for care minutes that are not delivered.</w:t>
      </w:r>
    </w:p>
    <w:p w14:paraId="57292380" w14:textId="17C0276D" w:rsidR="3403DD55" w:rsidRDefault="4B22529A" w:rsidP="3403DD55">
      <w:pPr>
        <w:pStyle w:val="Paragraphtext"/>
      </w:pPr>
      <w:r>
        <w:t>Government</w:t>
      </w:r>
      <w:r w:rsidR="23F2A086">
        <w:t xml:space="preserve"> is the primary source of </w:t>
      </w:r>
      <w:r w:rsidR="749D21BD">
        <w:t xml:space="preserve">care </w:t>
      </w:r>
      <w:r w:rsidR="23F2A086">
        <w:t xml:space="preserve">funding for </w:t>
      </w:r>
      <w:r w:rsidR="3C90BF7A">
        <w:t xml:space="preserve">residential aged </w:t>
      </w:r>
      <w:r w:rsidR="23F2A086">
        <w:t xml:space="preserve">care </w:t>
      </w:r>
      <w:r w:rsidR="149064D0">
        <w:t>delivery</w:t>
      </w:r>
      <w:r w:rsidR="32E79340">
        <w:t xml:space="preserve"> which is the </w:t>
      </w:r>
      <w:r w:rsidR="72588397">
        <w:t>main</w:t>
      </w:r>
      <w:r w:rsidR="32E79340">
        <w:t xml:space="preserve"> source of </w:t>
      </w:r>
      <w:r w:rsidR="55541FD7">
        <w:t>income</w:t>
      </w:r>
      <w:r w:rsidR="32E79340">
        <w:t xml:space="preserve"> for provi</w:t>
      </w:r>
      <w:r w:rsidR="59099C3C">
        <w:t>der</w:t>
      </w:r>
      <w:r w:rsidR="584D04A8">
        <w:t xml:space="preserve">s. Under </w:t>
      </w:r>
      <w:r w:rsidR="00777DC6">
        <w:t xml:space="preserve">arrangements set out in the </w:t>
      </w:r>
      <w:r w:rsidR="584D04A8" w:rsidRPr="0078513B">
        <w:rPr>
          <w:i/>
          <w:iCs/>
        </w:rPr>
        <w:t xml:space="preserve">Aged Care Act </w:t>
      </w:r>
      <w:r w:rsidR="00385C51">
        <w:rPr>
          <w:i/>
          <w:iCs/>
        </w:rPr>
        <w:t>1997 (</w:t>
      </w:r>
      <w:r w:rsidR="00385C51" w:rsidRPr="00674318">
        <w:t xml:space="preserve">and </w:t>
      </w:r>
      <w:r w:rsidR="00385C51">
        <w:t xml:space="preserve">from November 2025 the </w:t>
      </w:r>
      <w:r w:rsidR="00385C51" w:rsidRPr="0078513B">
        <w:rPr>
          <w:i/>
          <w:iCs/>
        </w:rPr>
        <w:t xml:space="preserve">Aged Care Act </w:t>
      </w:r>
      <w:r w:rsidR="00385C51">
        <w:rPr>
          <w:i/>
          <w:iCs/>
        </w:rPr>
        <w:t>2024)</w:t>
      </w:r>
      <w:r w:rsidR="584D04A8">
        <w:t xml:space="preserve">, the Government distributes this funding </w:t>
      </w:r>
      <w:r w:rsidR="6305FA97">
        <w:t xml:space="preserve">based on the AN-ACC </w:t>
      </w:r>
      <w:r w:rsidR="00385C51">
        <w:t>funding model</w:t>
      </w:r>
      <w:r w:rsidR="6305FA97">
        <w:t xml:space="preserve">. </w:t>
      </w:r>
      <w:r w:rsidR="035B427A">
        <w:t xml:space="preserve">Consequently, Government has </w:t>
      </w:r>
      <w:r w:rsidR="1DD98587">
        <w:t xml:space="preserve">the legislative ability </w:t>
      </w:r>
      <w:r w:rsidR="00D24DFD">
        <w:t xml:space="preserve">to </w:t>
      </w:r>
      <w:r w:rsidR="1DD98587">
        <w:t xml:space="preserve">alter how </w:t>
      </w:r>
      <w:r w:rsidR="1AD8AB16">
        <w:t>Government</w:t>
      </w:r>
      <w:r w:rsidR="1DD98587">
        <w:t xml:space="preserve"> funding is distr</w:t>
      </w:r>
      <w:r w:rsidR="55F231C2">
        <w:t>ibuted including it being based on compliance with care minutes targets. In doing so</w:t>
      </w:r>
      <w:r w:rsidR="71414F67">
        <w:t>,</w:t>
      </w:r>
      <w:r w:rsidR="55F231C2">
        <w:t xml:space="preserve"> </w:t>
      </w:r>
      <w:r w:rsidR="02775E4E">
        <w:t>Government</w:t>
      </w:r>
      <w:r w:rsidR="04B614AC">
        <w:t xml:space="preserve"> </w:t>
      </w:r>
      <w:r w:rsidR="1741FA68">
        <w:t xml:space="preserve">can </w:t>
      </w:r>
      <w:r w:rsidR="325F7182">
        <w:t>also take advantage of</w:t>
      </w:r>
      <w:r w:rsidR="67B45C2E">
        <w:t xml:space="preserve"> the commercial priorities of providers</w:t>
      </w:r>
      <w:r w:rsidR="3D948F51">
        <w:t xml:space="preserve"> </w:t>
      </w:r>
      <w:r w:rsidR="16DCEA7A">
        <w:t xml:space="preserve">to </w:t>
      </w:r>
      <w:r w:rsidR="3D948F51">
        <w:t>ensur</w:t>
      </w:r>
      <w:r w:rsidR="23A79A1A">
        <w:t>e</w:t>
      </w:r>
      <w:r w:rsidR="1323AC15">
        <w:t xml:space="preserve"> </w:t>
      </w:r>
      <w:r w:rsidR="5869F57F">
        <w:t>they</w:t>
      </w:r>
      <w:r w:rsidR="1323AC15">
        <w:t xml:space="preserve"> deliver their care minutes </w:t>
      </w:r>
      <w:r w:rsidR="434A675F">
        <w:t>targets</w:t>
      </w:r>
      <w:r w:rsidR="7F72A914">
        <w:t>.</w:t>
      </w:r>
    </w:p>
    <w:p w14:paraId="70F2BAF8" w14:textId="41B551AC" w:rsidR="3403DD55" w:rsidRDefault="1A04E793" w:rsidP="3403DD55">
      <w:pPr>
        <w:pStyle w:val="Paragraphtext"/>
      </w:pPr>
      <w:r>
        <w:t>Government can also use it</w:t>
      </w:r>
      <w:r w:rsidR="3258F644">
        <w:t>s</w:t>
      </w:r>
      <w:r>
        <w:t xml:space="preserve"> legislative powers to</w:t>
      </w:r>
      <w:r w:rsidR="3E4B5287">
        <w:t xml:space="preserve"> </w:t>
      </w:r>
      <w:r w:rsidR="00866C88">
        <w:t>ensure</w:t>
      </w:r>
      <w:r w:rsidR="3E4B5287">
        <w:t xml:space="preserve"> providers</w:t>
      </w:r>
      <w:r w:rsidR="64961E30">
        <w:t xml:space="preserve"> </w:t>
      </w:r>
      <w:r w:rsidR="00866C88">
        <w:t>are</w:t>
      </w:r>
      <w:r w:rsidR="64961E30">
        <w:t xml:space="preserve"> responsible for</w:t>
      </w:r>
      <w:r w:rsidR="3E4B5287">
        <w:t xml:space="preserve"> provid</w:t>
      </w:r>
      <w:r w:rsidR="65516B56">
        <w:t>ing</w:t>
      </w:r>
      <w:r w:rsidR="3E4B5287">
        <w:t xml:space="preserve"> accurate reporting of </w:t>
      </w:r>
      <w:r w:rsidR="32075102">
        <w:t xml:space="preserve">their care minute </w:t>
      </w:r>
      <w:r w:rsidR="069E2C32">
        <w:t xml:space="preserve">performance </w:t>
      </w:r>
      <w:r w:rsidR="6CA5E85F">
        <w:t>and</w:t>
      </w:r>
      <w:r w:rsidR="554870A1">
        <w:t xml:space="preserve"> has the resources to undertake </w:t>
      </w:r>
      <w:r w:rsidR="4D6D707A">
        <w:t xml:space="preserve">reporting </w:t>
      </w:r>
      <w:r w:rsidR="554870A1">
        <w:t>assuran</w:t>
      </w:r>
      <w:r w:rsidR="793C2B07">
        <w:t>ce activities</w:t>
      </w:r>
      <w:r w:rsidR="74E8D9A1">
        <w:t>.</w:t>
      </w:r>
    </w:p>
    <w:p w14:paraId="1A033642" w14:textId="7EACF1B9" w:rsidR="00A7339C" w:rsidRDefault="67432EA0" w:rsidP="00A7339C">
      <w:pPr>
        <w:pStyle w:val="Paragraphtext"/>
      </w:pPr>
      <w:r w:rsidRPr="00A7339C">
        <w:t>In conclusion, w</w:t>
      </w:r>
      <w:r w:rsidR="3E6E2765" w:rsidRPr="00A878D6">
        <w:rPr>
          <w:szCs w:val="21"/>
        </w:rPr>
        <w:t>ithout Government intervention, n</w:t>
      </w:r>
      <w:r w:rsidR="7776113D" w:rsidRPr="00A878D6">
        <w:rPr>
          <w:szCs w:val="21"/>
        </w:rPr>
        <w:t>ot only will</w:t>
      </w:r>
      <w:r w:rsidR="3F35E787" w:rsidRPr="00A878D6">
        <w:rPr>
          <w:szCs w:val="21"/>
        </w:rPr>
        <w:t xml:space="preserve"> some</w:t>
      </w:r>
      <w:r w:rsidR="7776113D" w:rsidRPr="00A878D6">
        <w:rPr>
          <w:szCs w:val="21"/>
        </w:rPr>
        <w:t xml:space="preserve"> residents </w:t>
      </w:r>
      <w:r w:rsidR="7776113D" w:rsidRPr="2CE222D4">
        <w:rPr>
          <w:szCs w:val="21"/>
        </w:rPr>
        <w:t xml:space="preserve">miss out on the </w:t>
      </w:r>
      <w:r w:rsidR="15B88C27" w:rsidRPr="742A7CFC">
        <w:rPr>
          <w:szCs w:val="21"/>
        </w:rPr>
        <w:t>quality-of-care</w:t>
      </w:r>
      <w:r w:rsidR="7776113D" w:rsidRPr="2CE222D4">
        <w:rPr>
          <w:szCs w:val="21"/>
        </w:rPr>
        <w:t xml:space="preserve"> benefits </w:t>
      </w:r>
      <w:r w:rsidR="33B39B39" w:rsidRPr="2CE222D4">
        <w:rPr>
          <w:szCs w:val="21"/>
        </w:rPr>
        <w:t xml:space="preserve">of increased staffing, </w:t>
      </w:r>
      <w:r w:rsidR="2CB116A6" w:rsidRPr="2CE222D4">
        <w:rPr>
          <w:szCs w:val="21"/>
        </w:rPr>
        <w:t>but the Government will also</w:t>
      </w:r>
      <w:r w:rsidR="3F35E787" w:rsidRPr="2CE222D4">
        <w:rPr>
          <w:szCs w:val="21"/>
        </w:rPr>
        <w:t xml:space="preserve"> continue to </w:t>
      </w:r>
      <w:r w:rsidR="2CB116A6" w:rsidRPr="2CE222D4">
        <w:rPr>
          <w:szCs w:val="21"/>
        </w:rPr>
        <w:t xml:space="preserve">fund </w:t>
      </w:r>
      <w:r w:rsidR="5BCFA71F" w:rsidRPr="2CE222D4">
        <w:rPr>
          <w:szCs w:val="21"/>
        </w:rPr>
        <w:t xml:space="preserve">all aged care </w:t>
      </w:r>
      <w:r w:rsidR="38C4BBE3" w:rsidRPr="2CE222D4">
        <w:rPr>
          <w:szCs w:val="21"/>
        </w:rPr>
        <w:t>homes</w:t>
      </w:r>
      <w:r w:rsidR="2CB116A6" w:rsidRPr="2CE222D4">
        <w:rPr>
          <w:szCs w:val="21"/>
        </w:rPr>
        <w:t xml:space="preserve"> </w:t>
      </w:r>
      <w:r w:rsidR="70545B1F" w:rsidRPr="2CE222D4">
        <w:rPr>
          <w:szCs w:val="21"/>
        </w:rPr>
        <w:t xml:space="preserve">in full </w:t>
      </w:r>
      <w:r w:rsidR="4F58EB8C" w:rsidRPr="2CE222D4">
        <w:rPr>
          <w:szCs w:val="21"/>
        </w:rPr>
        <w:t xml:space="preserve">regardless of </w:t>
      </w:r>
      <w:r w:rsidR="170EB330" w:rsidRPr="2CE222D4">
        <w:rPr>
          <w:szCs w:val="21"/>
        </w:rPr>
        <w:t>whether they are</w:t>
      </w:r>
      <w:r w:rsidR="1FAF7161" w:rsidRPr="2CE222D4">
        <w:rPr>
          <w:szCs w:val="21"/>
        </w:rPr>
        <w:t xml:space="preserve"> </w:t>
      </w:r>
      <w:r w:rsidR="1E4B971A" w:rsidRPr="2CE222D4">
        <w:rPr>
          <w:szCs w:val="21"/>
        </w:rPr>
        <w:t>complian</w:t>
      </w:r>
      <w:r w:rsidR="170EB330" w:rsidRPr="2CE222D4">
        <w:rPr>
          <w:szCs w:val="21"/>
        </w:rPr>
        <w:t>t</w:t>
      </w:r>
      <w:r w:rsidR="1E4B971A" w:rsidRPr="2CE222D4">
        <w:rPr>
          <w:szCs w:val="21"/>
        </w:rPr>
        <w:t xml:space="preserve"> with their</w:t>
      </w:r>
      <w:r w:rsidR="170EB330" w:rsidRPr="2CE222D4">
        <w:rPr>
          <w:szCs w:val="21"/>
        </w:rPr>
        <w:t xml:space="preserve"> </w:t>
      </w:r>
      <w:r w:rsidR="15F485F1" w:rsidRPr="2CE222D4">
        <w:rPr>
          <w:szCs w:val="21"/>
        </w:rPr>
        <w:t>care minutes targets</w:t>
      </w:r>
      <w:r w:rsidR="170EB330" w:rsidRPr="2CE222D4">
        <w:rPr>
          <w:szCs w:val="21"/>
        </w:rPr>
        <w:t xml:space="preserve"> or not</w:t>
      </w:r>
      <w:r w:rsidR="15F485F1" w:rsidRPr="2CE222D4">
        <w:rPr>
          <w:szCs w:val="21"/>
        </w:rPr>
        <w:t xml:space="preserve">. That </w:t>
      </w:r>
      <w:r w:rsidR="68AFFAE8" w:rsidRPr="2CE222D4">
        <w:rPr>
          <w:szCs w:val="21"/>
        </w:rPr>
        <w:t>means that the</w:t>
      </w:r>
      <w:r w:rsidR="15F485F1" w:rsidRPr="2CE222D4">
        <w:rPr>
          <w:szCs w:val="21"/>
        </w:rPr>
        <w:t xml:space="preserve"> Government will spend a considerable amount of money paying providers to deliver care that is not being delivered</w:t>
      </w:r>
      <w:r w:rsidR="15F485F1" w:rsidRPr="0078513B">
        <w:rPr>
          <w:szCs w:val="21"/>
        </w:rPr>
        <w:t>.</w:t>
      </w:r>
      <w:r w:rsidR="3E6E2765" w:rsidRPr="0078513B" w:rsidDel="3E6E2765">
        <w:rPr>
          <w:szCs w:val="21"/>
        </w:rPr>
        <w:t xml:space="preserve"> </w:t>
      </w:r>
      <w:r w:rsidR="0078513B" w:rsidRPr="0078513B">
        <w:rPr>
          <w:szCs w:val="21"/>
        </w:rPr>
        <w:t>Additionall</w:t>
      </w:r>
      <w:r w:rsidR="0078513B">
        <w:rPr>
          <w:szCs w:val="21"/>
        </w:rPr>
        <w:t>y,</w:t>
      </w:r>
      <w:r w:rsidR="24708454" w:rsidRPr="00A878D6">
        <w:rPr>
          <w:szCs w:val="21"/>
        </w:rPr>
        <w:t xml:space="preserve"> </w:t>
      </w:r>
      <w:r w:rsidR="04EFFAA3" w:rsidRPr="0078513B">
        <w:rPr>
          <w:szCs w:val="21"/>
        </w:rPr>
        <w:t xml:space="preserve">providers who are compliant with their care minutes targets </w:t>
      </w:r>
      <w:r w:rsidR="457FB3CE" w:rsidRPr="2CE222D4">
        <w:rPr>
          <w:szCs w:val="21"/>
        </w:rPr>
        <w:t xml:space="preserve">may be </w:t>
      </w:r>
      <w:r w:rsidR="04EFFAA3" w:rsidRPr="0078513B">
        <w:rPr>
          <w:szCs w:val="21"/>
        </w:rPr>
        <w:t>unfairly operating at a competitive and commercial disadvantage as compared to providers who are not</w:t>
      </w:r>
      <w:r w:rsidR="502ACCA0" w:rsidRPr="2CE222D4">
        <w:rPr>
          <w:szCs w:val="21"/>
        </w:rPr>
        <w:t xml:space="preserve"> </w:t>
      </w:r>
      <w:r w:rsidR="5831FEFA" w:rsidRPr="7BE01C1B">
        <w:rPr>
          <w:szCs w:val="21"/>
        </w:rPr>
        <w:t xml:space="preserve">compliant </w:t>
      </w:r>
      <w:r w:rsidR="0085162C">
        <w:rPr>
          <w:szCs w:val="21"/>
        </w:rPr>
        <w:t xml:space="preserve">and </w:t>
      </w:r>
      <w:r w:rsidR="4009AF96" w:rsidRPr="7BE01C1B">
        <w:rPr>
          <w:szCs w:val="21"/>
        </w:rPr>
        <w:t>who</w:t>
      </w:r>
      <w:r w:rsidR="4009AF96" w:rsidRPr="2CE222D4">
        <w:rPr>
          <w:szCs w:val="21"/>
        </w:rPr>
        <w:t xml:space="preserve"> may have</w:t>
      </w:r>
      <w:r w:rsidR="502ACCA0" w:rsidRPr="2CE222D4">
        <w:rPr>
          <w:szCs w:val="21"/>
        </w:rPr>
        <w:t xml:space="preserve"> lower wage costs and </w:t>
      </w:r>
      <w:r w:rsidR="7F8E12C4" w:rsidRPr="2CE222D4">
        <w:rPr>
          <w:szCs w:val="21"/>
        </w:rPr>
        <w:t xml:space="preserve">are allocating care funding to other areas of their business </w:t>
      </w:r>
      <w:r w:rsidR="502ACCA0" w:rsidRPr="2CE222D4">
        <w:rPr>
          <w:szCs w:val="21"/>
        </w:rPr>
        <w:t>and/or profiteering</w:t>
      </w:r>
      <w:r w:rsidR="04EFFAA3" w:rsidRPr="0078513B">
        <w:rPr>
          <w:szCs w:val="21"/>
        </w:rPr>
        <w:t>.</w:t>
      </w:r>
    </w:p>
    <w:bookmarkEnd w:id="37"/>
    <w:p w14:paraId="678071A2" w14:textId="2E2C307E" w:rsidR="3C050D21" w:rsidRPr="00031987" w:rsidRDefault="01E4A9C2" w:rsidP="00031987">
      <w:pPr>
        <w:pStyle w:val="Heading4"/>
        <w:spacing w:line="259" w:lineRule="auto"/>
        <w:rPr>
          <w:b w:val="0"/>
          <w:i w:val="0"/>
        </w:rPr>
      </w:pPr>
      <w:r w:rsidRPr="00357BB0">
        <w:t>How will success be measured?</w:t>
      </w:r>
    </w:p>
    <w:p w14:paraId="25B00587" w14:textId="5EC94789" w:rsidR="000D5E79" w:rsidRPr="00103EF3" w:rsidRDefault="01E4A9C2" w:rsidP="00103EF3">
      <w:pPr>
        <w:pStyle w:val="Paragraphtext"/>
      </w:pPr>
      <w:r w:rsidRPr="00103EF3">
        <w:t xml:space="preserve">Success </w:t>
      </w:r>
      <w:r w:rsidR="00181E18" w:rsidRPr="00103EF3">
        <w:t xml:space="preserve">of Government intervention </w:t>
      </w:r>
      <w:r w:rsidR="00103EF3" w:rsidRPr="00103EF3">
        <w:t xml:space="preserve">at meeting </w:t>
      </w:r>
      <w:r w:rsidR="00027781">
        <w:t>O</w:t>
      </w:r>
      <w:r w:rsidR="00103EF3" w:rsidRPr="00103EF3">
        <w:t xml:space="preserve">bjective 1 </w:t>
      </w:r>
      <w:r w:rsidR="00181E18" w:rsidRPr="00103EF3">
        <w:t>will be</w:t>
      </w:r>
      <w:r w:rsidRPr="00103EF3">
        <w:t xml:space="preserve"> determined by observing</w:t>
      </w:r>
      <w:r w:rsidR="00D33A56" w:rsidRPr="00103EF3">
        <w:t xml:space="preserve"> the quarterly care time data reported by providers through the </w:t>
      </w:r>
      <w:r w:rsidR="00D33A56">
        <w:t>QFR</w:t>
      </w:r>
      <w:r w:rsidR="004C69B5">
        <w:t xml:space="preserve"> and</w:t>
      </w:r>
      <w:r w:rsidR="00D33A56" w:rsidRPr="00103EF3">
        <w:t xml:space="preserve"> specifically</w:t>
      </w:r>
      <w:r w:rsidR="00E64BD4">
        <w:t>,</w:t>
      </w:r>
      <w:r w:rsidR="00D33A56" w:rsidRPr="00103EF3">
        <w:t xml:space="preserve"> the following metrics</w:t>
      </w:r>
      <w:r w:rsidR="000438DD" w:rsidRPr="00103EF3">
        <w:t>:</w:t>
      </w:r>
    </w:p>
    <w:p w14:paraId="1B3D49DE" w14:textId="770BD51F" w:rsidR="00D33A56" w:rsidRPr="00103EF3" w:rsidRDefault="20B58211" w:rsidP="00357BB0">
      <w:pPr>
        <w:pStyle w:val="Paragraphtext"/>
        <w:numPr>
          <w:ilvl w:val="0"/>
          <w:numId w:val="20"/>
        </w:numPr>
      </w:pPr>
      <w:r>
        <w:t xml:space="preserve">Increase in the </w:t>
      </w:r>
      <w:r w:rsidR="7448875C">
        <w:t>p</w:t>
      </w:r>
      <w:r w:rsidR="00F86AEF">
        <w:t>ercentage</w:t>
      </w:r>
      <w:r w:rsidR="00D33A56">
        <w:t xml:space="preserve"> of </w:t>
      </w:r>
      <w:r w:rsidR="00405E47">
        <w:t>home</w:t>
      </w:r>
      <w:r w:rsidR="00D33A56">
        <w:t>s that me</w:t>
      </w:r>
      <w:r w:rsidR="0EFB2E35">
        <w:t>e</w:t>
      </w:r>
      <w:r w:rsidR="00D33A56">
        <w:t>t their total care minute targets</w:t>
      </w:r>
      <w:r w:rsidR="000438DD">
        <w:t xml:space="preserve"> </w:t>
      </w:r>
      <w:r w:rsidR="00FA0C17">
        <w:t>by</w:t>
      </w:r>
      <w:r w:rsidR="00FB7B5B">
        <w:t xml:space="preserve"> </w:t>
      </w:r>
      <w:r w:rsidR="00802CED">
        <w:t>5</w:t>
      </w:r>
      <w:r w:rsidR="004F54D7">
        <w:t> </w:t>
      </w:r>
      <w:r w:rsidR="00FB7B5B">
        <w:t xml:space="preserve">percentage </w:t>
      </w:r>
      <w:r w:rsidR="004F54D7">
        <w:t>points or more each quarter</w:t>
      </w:r>
      <w:r w:rsidR="00DE5292">
        <w:t xml:space="preserve"> in</w:t>
      </w:r>
      <w:r w:rsidR="0092572C">
        <w:t xml:space="preserve"> the</w:t>
      </w:r>
      <w:r w:rsidR="00DE5292">
        <w:t xml:space="preserve"> first year </w:t>
      </w:r>
      <w:r w:rsidR="004A303F">
        <w:t>following G</w:t>
      </w:r>
      <w:r w:rsidR="00B1200F">
        <w:t>overnment intervention</w:t>
      </w:r>
      <w:r w:rsidR="0092572C">
        <w:t>.</w:t>
      </w:r>
    </w:p>
    <w:p w14:paraId="62F3EA38" w14:textId="0EB61F5F" w:rsidR="0092572C" w:rsidRPr="00103EF3" w:rsidRDefault="65451483" w:rsidP="00357BB0">
      <w:pPr>
        <w:pStyle w:val="Paragraphtext"/>
        <w:numPr>
          <w:ilvl w:val="0"/>
          <w:numId w:val="20"/>
        </w:numPr>
      </w:pPr>
      <w:r>
        <w:lastRenderedPageBreak/>
        <w:t xml:space="preserve">Increase in the </w:t>
      </w:r>
      <w:r w:rsidR="5D583CB6">
        <w:t>p</w:t>
      </w:r>
      <w:r w:rsidR="00F86AEF">
        <w:t>ercentage</w:t>
      </w:r>
      <w:r w:rsidR="00D33A56">
        <w:t xml:space="preserve"> of </w:t>
      </w:r>
      <w:r w:rsidR="00ED39D3">
        <w:t>home</w:t>
      </w:r>
      <w:r w:rsidR="00D33A56">
        <w:t>s that me</w:t>
      </w:r>
      <w:r w:rsidR="5C6B5438">
        <w:t>e</w:t>
      </w:r>
      <w:r w:rsidR="00D33A56">
        <w:t>t their RN care minutes targets</w:t>
      </w:r>
      <w:r w:rsidR="004F54D7">
        <w:t xml:space="preserve"> by</w:t>
      </w:r>
      <w:r w:rsidR="004F3A3C">
        <w:t xml:space="preserve"> an average of</w:t>
      </w:r>
      <w:r w:rsidR="004F54D7">
        <w:t xml:space="preserve"> </w:t>
      </w:r>
      <w:r w:rsidR="00802CED">
        <w:t>5</w:t>
      </w:r>
      <w:r w:rsidR="006376DE">
        <w:t xml:space="preserve"> percentage points or more each quarter in </w:t>
      </w:r>
      <w:r w:rsidR="0092572C">
        <w:t>the first year following Government intervention.</w:t>
      </w:r>
    </w:p>
    <w:p w14:paraId="526AC1A8" w14:textId="21615C26" w:rsidR="00D33A56" w:rsidRPr="00103EF3" w:rsidRDefault="530F0543" w:rsidP="00357BB0">
      <w:pPr>
        <w:pStyle w:val="Paragraphtext"/>
        <w:numPr>
          <w:ilvl w:val="0"/>
          <w:numId w:val="20"/>
        </w:numPr>
      </w:pPr>
      <w:r>
        <w:t xml:space="preserve">Increase in the </w:t>
      </w:r>
      <w:r w:rsidR="2DAF19EE">
        <w:t>p</w:t>
      </w:r>
      <w:r w:rsidR="003B69F6">
        <w:t xml:space="preserve">ercentage of </w:t>
      </w:r>
      <w:r w:rsidR="005151FF">
        <w:t>home</w:t>
      </w:r>
      <w:r w:rsidR="003B69F6">
        <w:t>s that me</w:t>
      </w:r>
      <w:r w:rsidR="5949CB95">
        <w:t>e</w:t>
      </w:r>
      <w:r w:rsidR="003B69F6">
        <w:t xml:space="preserve">t </w:t>
      </w:r>
      <w:r w:rsidR="00D33A56">
        <w:t>both their targets</w:t>
      </w:r>
      <w:r w:rsidR="004F3A3C">
        <w:t xml:space="preserve"> by </w:t>
      </w:r>
      <w:r w:rsidR="001A0E3E">
        <w:t>an average of</w:t>
      </w:r>
      <w:r w:rsidR="004F3A3C">
        <w:t xml:space="preserve"> </w:t>
      </w:r>
      <w:r w:rsidR="00802CED">
        <w:t>5</w:t>
      </w:r>
      <w:r w:rsidR="00C803ED">
        <w:t> </w:t>
      </w:r>
      <w:r w:rsidR="004F3A3C">
        <w:t>percentage points</w:t>
      </w:r>
      <w:r w:rsidR="001A0E3E">
        <w:t xml:space="preserve"> or more</w:t>
      </w:r>
      <w:r w:rsidR="004F3A3C">
        <w:t xml:space="preserve"> each quarter </w:t>
      </w:r>
      <w:r w:rsidR="00611F36">
        <w:t>in the first year following Government intervention</w:t>
      </w:r>
      <w:r w:rsidR="009E33B7">
        <w:t>.</w:t>
      </w:r>
    </w:p>
    <w:p w14:paraId="7F71798C" w14:textId="77777777" w:rsidR="00A35FFA" w:rsidRPr="00103EF3" w:rsidRDefault="00A35FFA" w:rsidP="00A35FFA">
      <w:pPr>
        <w:pStyle w:val="Paragraphtext"/>
        <w:numPr>
          <w:ilvl w:val="0"/>
          <w:numId w:val="20"/>
        </w:numPr>
      </w:pPr>
      <w:r>
        <w:t>Reduction in the percentage of homes that were more than 10 minutes per resident per day from meeting their RN targets to below 1% of all homes in the first year following Government intervention.</w:t>
      </w:r>
    </w:p>
    <w:p w14:paraId="7AD60F30" w14:textId="4E25AF7B" w:rsidR="00D33A56" w:rsidRPr="00103EF3" w:rsidRDefault="20D4CFE1" w:rsidP="00357BB0">
      <w:pPr>
        <w:pStyle w:val="Paragraphtext"/>
        <w:numPr>
          <w:ilvl w:val="0"/>
          <w:numId w:val="20"/>
        </w:numPr>
      </w:pPr>
      <w:r>
        <w:t xml:space="preserve">Reduction in the </w:t>
      </w:r>
      <w:r w:rsidR="78FEC286">
        <w:t>p</w:t>
      </w:r>
      <w:r w:rsidR="00D33A56">
        <w:t xml:space="preserve">ercentage of </w:t>
      </w:r>
      <w:r w:rsidR="005151FF">
        <w:t>home</w:t>
      </w:r>
      <w:r w:rsidR="00D33A56">
        <w:t xml:space="preserve">s </w:t>
      </w:r>
      <w:r w:rsidR="000438DD">
        <w:t>that were more than 20 minutes per resident per day from their total care minute targets</w:t>
      </w:r>
      <w:r w:rsidR="005E491E">
        <w:t xml:space="preserve"> </w:t>
      </w:r>
      <w:r w:rsidR="00225125">
        <w:t xml:space="preserve">to below </w:t>
      </w:r>
      <w:r w:rsidR="007F2FF5">
        <w:t xml:space="preserve">5% of all </w:t>
      </w:r>
      <w:r w:rsidR="005621D5">
        <w:t>home</w:t>
      </w:r>
      <w:r w:rsidR="007F2FF5">
        <w:t>s</w:t>
      </w:r>
      <w:r w:rsidR="00225125">
        <w:t xml:space="preserve"> </w:t>
      </w:r>
      <w:r w:rsidR="00A82B1E">
        <w:t>in the first year following Government intervention.</w:t>
      </w:r>
    </w:p>
    <w:p w14:paraId="3A22F67A" w14:textId="10E7413F" w:rsidR="00BB019C" w:rsidRDefault="000438DD" w:rsidP="00103EF3">
      <w:pPr>
        <w:pStyle w:val="Paragraphtext"/>
      </w:pPr>
      <w:r>
        <w:t xml:space="preserve">Success against </w:t>
      </w:r>
      <w:r w:rsidR="00772AE1">
        <w:t>O</w:t>
      </w:r>
      <w:r>
        <w:t xml:space="preserve">bjective </w:t>
      </w:r>
      <w:r w:rsidR="00F46DCA">
        <w:t>2</w:t>
      </w:r>
      <w:r>
        <w:t xml:space="preserve"> will be measured by looking at the </w:t>
      </w:r>
      <w:r w:rsidR="42F439D6">
        <w:t>monetary</w:t>
      </w:r>
      <w:r>
        <w:t xml:space="preserve"> value of</w:t>
      </w:r>
      <w:r w:rsidR="00BB1207">
        <w:t xml:space="preserve"> funded but</w:t>
      </w:r>
      <w:r>
        <w:t xml:space="preserve"> undelivered care minutes each quarter</w:t>
      </w:r>
      <w:r w:rsidR="002E408D">
        <w:t xml:space="preserve"> across the sector</w:t>
      </w:r>
      <w:r w:rsidR="00BB1207">
        <w:t xml:space="preserve"> (the care underspend)</w:t>
      </w:r>
      <w:r w:rsidR="002E408D">
        <w:t xml:space="preserve">. Specifically, for each </w:t>
      </w:r>
      <w:r w:rsidR="00C628F0">
        <w:t>home</w:t>
      </w:r>
      <w:r w:rsidR="002E408D">
        <w:t xml:space="preserve"> their undelivered care minutes will be multiplied by average RN, and PCW/AIN expenses in their MM cohort, then the results from all </w:t>
      </w:r>
      <w:r w:rsidR="00846DE1">
        <w:t>hom</w:t>
      </w:r>
      <w:r w:rsidR="002E408D">
        <w:t xml:space="preserve">es will be summed together to establish a </w:t>
      </w:r>
      <w:r w:rsidR="00235988">
        <w:t xml:space="preserve">residential aged care </w:t>
      </w:r>
      <w:r w:rsidR="002E408D">
        <w:t xml:space="preserve">sector level measure. </w:t>
      </w:r>
      <w:r w:rsidR="006C66AA">
        <w:t xml:space="preserve">Success would </w:t>
      </w:r>
      <w:r w:rsidR="003505E4">
        <w:t>be</w:t>
      </w:r>
      <w:r w:rsidR="00BB1207">
        <w:t xml:space="preserve"> a </w:t>
      </w:r>
      <w:r w:rsidR="006F42A9">
        <w:t xml:space="preserve">50% </w:t>
      </w:r>
      <w:r w:rsidR="00BB1207">
        <w:t>reduction in the</w:t>
      </w:r>
      <w:r w:rsidR="00832CC4">
        <w:t xml:space="preserve"> quarterly</w:t>
      </w:r>
      <w:r w:rsidR="00BB1207">
        <w:t xml:space="preserve"> dollar value of this care underspend</w:t>
      </w:r>
      <w:r w:rsidR="006F42A9">
        <w:t xml:space="preserve"> within a year of </w:t>
      </w:r>
      <w:r w:rsidR="73C9B76E">
        <w:t>G</w:t>
      </w:r>
      <w:r w:rsidR="00641463">
        <w:t>overnment intervention.</w:t>
      </w:r>
    </w:p>
    <w:p w14:paraId="61DB1753" w14:textId="77777777" w:rsidR="00A15D3D" w:rsidRDefault="002E3942" w:rsidP="00103EF3">
      <w:pPr>
        <w:pStyle w:val="Paragraphtext"/>
      </w:pPr>
      <w:r>
        <w:t>Due to the current high rates of non-compliance across the sector, these fi</w:t>
      </w:r>
      <w:r w:rsidR="009D6A72">
        <w:t>gures are considered achievable</w:t>
      </w:r>
      <w:r w:rsidR="00016041">
        <w:t xml:space="preserve">. </w:t>
      </w:r>
    </w:p>
    <w:p w14:paraId="2D59EC48" w14:textId="26CD9727" w:rsidR="006912B7" w:rsidRDefault="006912B7" w:rsidP="00103EF3">
      <w:pPr>
        <w:pStyle w:val="Paragraphtext"/>
      </w:pPr>
      <w:r>
        <w:t>In addition to the metrics above</w:t>
      </w:r>
      <w:r w:rsidR="009A2F69">
        <w:t>,</w:t>
      </w:r>
      <w:r>
        <w:t xml:space="preserve"> the department will evaluat</w:t>
      </w:r>
      <w:r w:rsidR="00EB6741">
        <w:t>e</w:t>
      </w:r>
      <w:r w:rsidR="009A2F69">
        <w:t xml:space="preserve"> </w:t>
      </w:r>
      <w:r w:rsidR="00EB6741">
        <w:t xml:space="preserve">the policy of </w:t>
      </w:r>
      <w:r w:rsidR="009B18C1">
        <w:t>linking funding to care minut</w:t>
      </w:r>
      <w:r w:rsidR="00330E08">
        <w:t>es</w:t>
      </w:r>
      <w:r w:rsidR="00EB6741">
        <w:t xml:space="preserve"> compliance</w:t>
      </w:r>
      <w:r w:rsidR="00330E08">
        <w:t xml:space="preserve"> </w:t>
      </w:r>
      <w:r w:rsidR="00FA7898">
        <w:t>(refer to chapter 7</w:t>
      </w:r>
      <w:r w:rsidR="008A4C66">
        <w:t xml:space="preserve"> Evaluation)</w:t>
      </w:r>
      <w:r w:rsidR="00542631">
        <w:t>. This program will include engagement with providers and other industry stakeholder</w:t>
      </w:r>
      <w:r w:rsidR="00330E08">
        <w:t xml:space="preserve">s to collect qualitative </w:t>
      </w:r>
      <w:r w:rsidR="00B4592C">
        <w:t>data</w:t>
      </w:r>
      <w:r w:rsidR="00330E08">
        <w:t xml:space="preserve"> to give context and deeper meaning to the </w:t>
      </w:r>
      <w:r w:rsidR="005B58A9">
        <w:t xml:space="preserve">metrics outlined above. For example, evaluation will identify </w:t>
      </w:r>
      <w:r w:rsidR="00BF2737">
        <w:t xml:space="preserve">and examine </w:t>
      </w:r>
      <w:r w:rsidR="00B4592C">
        <w:t xml:space="preserve">factors that are impacting care minutes compliance and </w:t>
      </w:r>
      <w:r w:rsidR="00BB046F">
        <w:t>the</w:t>
      </w:r>
      <w:r w:rsidR="007C61B2">
        <w:t xml:space="preserve"> impact of care minutes compliance on care qualit</w:t>
      </w:r>
      <w:r w:rsidR="00BB046F">
        <w:t>y</w:t>
      </w:r>
      <w:r w:rsidR="00465550">
        <w:t>.</w:t>
      </w:r>
    </w:p>
    <w:p w14:paraId="1EF33F7B" w14:textId="11ED9EA2" w:rsidR="001702B2" w:rsidRDefault="001702B2" w:rsidP="000C4F30">
      <w:pPr>
        <w:pStyle w:val="Heading4"/>
      </w:pPr>
      <w:bookmarkStart w:id="39" w:name="_Toc183705483"/>
      <w:r>
        <w:t>Barriers to achieving objectives</w:t>
      </w:r>
      <w:bookmarkEnd w:id="39"/>
    </w:p>
    <w:p w14:paraId="6E674DB2" w14:textId="21FBCD33" w:rsidR="00104EEE" w:rsidRDefault="00AA632F" w:rsidP="000C4F30">
      <w:pPr>
        <w:pStyle w:val="Paragraphtext"/>
        <w:keepNext/>
      </w:pPr>
      <w:r>
        <w:t xml:space="preserve">Barriers to </w:t>
      </w:r>
      <w:r w:rsidR="007F6303">
        <w:t>i</w:t>
      </w:r>
      <w:r w:rsidR="165D7717">
        <w:t>ncreas</w:t>
      </w:r>
      <w:r w:rsidR="34A40665">
        <w:t>ing</w:t>
      </w:r>
      <w:r w:rsidR="165D7717">
        <w:t xml:space="preserve"> care minutes compliance and minimising the</w:t>
      </w:r>
      <w:r w:rsidR="474FA124">
        <w:t xml:space="preserve"> extent to which funding is provided for care minutes that are not delivered </w:t>
      </w:r>
      <w:r w:rsidR="00B07EE5">
        <w:t>primarily relate</w:t>
      </w:r>
      <w:r w:rsidR="27AF0668">
        <w:t>s</w:t>
      </w:r>
      <w:r w:rsidR="00B07EE5">
        <w:t xml:space="preserve"> to providers a</w:t>
      </w:r>
      <w:r w:rsidR="00470F62">
        <w:t>s</w:t>
      </w:r>
      <w:r w:rsidR="00B07EE5">
        <w:t xml:space="preserve"> they </w:t>
      </w:r>
      <w:r w:rsidR="00470F62">
        <w:t>are responsible for</w:t>
      </w:r>
      <w:r w:rsidR="00104EEE">
        <w:t>:</w:t>
      </w:r>
    </w:p>
    <w:p w14:paraId="7F5372F8" w14:textId="27E3DD6B" w:rsidR="00104EEE" w:rsidRDefault="00166ADC" w:rsidP="00104EEE">
      <w:pPr>
        <w:pStyle w:val="Paragraphtext"/>
        <w:keepNext/>
        <w:numPr>
          <w:ilvl w:val="0"/>
          <w:numId w:val="35"/>
        </w:numPr>
      </w:pPr>
      <w:r>
        <w:t>recruiting, retaining</w:t>
      </w:r>
      <w:r w:rsidR="003B3677">
        <w:t xml:space="preserve"> and managing the</w:t>
      </w:r>
      <w:r w:rsidR="002E64A2">
        <w:t>i</w:t>
      </w:r>
      <w:r w:rsidR="003B3677">
        <w:t xml:space="preserve">r workforce </w:t>
      </w:r>
      <w:r w:rsidR="00F80A37">
        <w:t>to</w:t>
      </w:r>
      <w:r w:rsidR="003B3677">
        <w:t xml:space="preserve"> be </w:t>
      </w:r>
      <w:r w:rsidR="006C410E">
        <w:t>compliant</w:t>
      </w:r>
      <w:r w:rsidR="003B3677">
        <w:t xml:space="preserve"> with their care minutes </w:t>
      </w:r>
      <w:r w:rsidR="00312FFA">
        <w:t>targets</w:t>
      </w:r>
      <w:r w:rsidR="003B3677">
        <w:t xml:space="preserve"> and the </w:t>
      </w:r>
      <w:r w:rsidR="006C410E">
        <w:t xml:space="preserve">Aged Care Quality </w:t>
      </w:r>
      <w:r w:rsidR="002E64A2">
        <w:t>Standards</w:t>
      </w:r>
      <w:r w:rsidR="00C060BB">
        <w:t>,</w:t>
      </w:r>
      <w:r w:rsidR="006C410E">
        <w:t xml:space="preserve"> </w:t>
      </w:r>
      <w:r w:rsidR="002E64A2">
        <w:t>and</w:t>
      </w:r>
    </w:p>
    <w:p w14:paraId="62EE1554" w14:textId="77777777" w:rsidR="00D71B62" w:rsidRDefault="00042BD7" w:rsidP="00104EEE">
      <w:pPr>
        <w:pStyle w:val="Paragraphtext"/>
        <w:keepNext/>
        <w:numPr>
          <w:ilvl w:val="0"/>
          <w:numId w:val="35"/>
        </w:numPr>
      </w:pPr>
      <w:r>
        <w:t xml:space="preserve">accurately reporting their levels care minutes compliance. </w:t>
      </w:r>
    </w:p>
    <w:p w14:paraId="3F8A62BA" w14:textId="2D06DCAC" w:rsidR="00FC08B3" w:rsidRDefault="001702B2" w:rsidP="000C4F30">
      <w:pPr>
        <w:pStyle w:val="Paragraphtext"/>
        <w:keepNext/>
      </w:pPr>
      <w:r>
        <w:t>The key risks associated with meeting the objectives are:</w:t>
      </w:r>
    </w:p>
    <w:p w14:paraId="10274402" w14:textId="7B4C6CB3" w:rsidR="001702B2" w:rsidRDefault="001702B2" w:rsidP="00357BB0">
      <w:pPr>
        <w:pStyle w:val="Paragraphtext"/>
        <w:numPr>
          <w:ilvl w:val="0"/>
          <w:numId w:val="21"/>
        </w:numPr>
      </w:pPr>
      <w:r>
        <w:t xml:space="preserve">Ongoing workforce shortages, which may mean that in some regions </w:t>
      </w:r>
      <w:r w:rsidR="00283580">
        <w:t xml:space="preserve">providers are </w:t>
      </w:r>
      <w:r w:rsidR="00B3159D">
        <w:t>genuinely</w:t>
      </w:r>
      <w:r w:rsidR="00283580">
        <w:t xml:space="preserve"> unable to meet their care minutes</w:t>
      </w:r>
      <w:r>
        <w:t xml:space="preserve"> targets</w:t>
      </w:r>
      <w:r w:rsidR="00B3159D">
        <w:t xml:space="preserve"> with the </w:t>
      </w:r>
      <w:r w:rsidR="005243A2">
        <w:t>funding available to them</w:t>
      </w:r>
      <w:r w:rsidR="4C0D0F93">
        <w:t>. For example, the viabi</w:t>
      </w:r>
      <w:r w:rsidR="23FA6987">
        <w:t xml:space="preserve">lity of homes may be at risk </w:t>
      </w:r>
      <w:r w:rsidR="3A9D9B7D">
        <w:t xml:space="preserve">if they need to </w:t>
      </w:r>
      <w:r w:rsidR="005243A2">
        <w:t>pa</w:t>
      </w:r>
      <w:r w:rsidR="256B3A53">
        <w:t>y</w:t>
      </w:r>
      <w:r w:rsidR="005243A2">
        <w:t xml:space="preserve"> excessively high wages</w:t>
      </w:r>
      <w:r w:rsidR="00641463">
        <w:t xml:space="preserve"> to attract </w:t>
      </w:r>
      <w:r w:rsidR="4C4C59A2">
        <w:t xml:space="preserve">and retain </w:t>
      </w:r>
      <w:r w:rsidR="00641463">
        <w:t>workers</w:t>
      </w:r>
      <w:r w:rsidR="00894893">
        <w:t xml:space="preserve">. </w:t>
      </w:r>
      <w:r w:rsidR="00EC1090">
        <w:t xml:space="preserve">As has been identified </w:t>
      </w:r>
      <w:r w:rsidR="003B3D79">
        <w:t>in the previous section of this report</w:t>
      </w:r>
      <w:r w:rsidR="009D0379">
        <w:t>, this risk is more likely to be an issue in regional, rural and remote areas than in metropolitan areas.</w:t>
      </w:r>
      <w:r w:rsidR="002B74A1">
        <w:t xml:space="preserve"> </w:t>
      </w:r>
      <w:r w:rsidR="005439FA">
        <w:t>Some p</w:t>
      </w:r>
      <w:r w:rsidR="004207EB">
        <w:t xml:space="preserve">roviders are successfully overcoming this risk by </w:t>
      </w:r>
      <w:r w:rsidR="00F95205">
        <w:t xml:space="preserve">adopting more efficient </w:t>
      </w:r>
      <w:r w:rsidR="007B22F7">
        <w:t xml:space="preserve">and effective </w:t>
      </w:r>
      <w:r w:rsidR="00C2043C">
        <w:t xml:space="preserve">computerised </w:t>
      </w:r>
      <w:r w:rsidR="002A514B">
        <w:t>rostering technology (</w:t>
      </w:r>
      <w:r w:rsidR="00C2043C">
        <w:t>to</w:t>
      </w:r>
      <w:r w:rsidR="002C471C">
        <w:t xml:space="preserve"> align rostering and care minutes requirements</w:t>
      </w:r>
      <w:r w:rsidR="00BD1E5B">
        <w:t xml:space="preserve"> and to reduce the </w:t>
      </w:r>
      <w:r w:rsidR="00BA3901">
        <w:t>use of agency staff</w:t>
      </w:r>
      <w:r w:rsidR="002C471C">
        <w:t xml:space="preserve">) </w:t>
      </w:r>
      <w:r w:rsidR="00226210">
        <w:t>and innovative</w:t>
      </w:r>
      <w:r w:rsidR="002A514B">
        <w:t xml:space="preserve"> workforce recruitment and retention strategies </w:t>
      </w:r>
      <w:r w:rsidR="007B22F7">
        <w:t>such as training local</w:t>
      </w:r>
      <w:r w:rsidR="00BD1E5B">
        <w:t xml:space="preserve"> community members and recruiting international workers. </w:t>
      </w:r>
      <w:r w:rsidR="3320F29D">
        <w:t>This shows</w:t>
      </w:r>
      <w:r w:rsidR="002A3161">
        <w:t xml:space="preserve"> </w:t>
      </w:r>
      <w:r w:rsidR="22DD9856">
        <w:t>provider</w:t>
      </w:r>
      <w:r w:rsidR="3320F29D">
        <w:t xml:space="preserve"> willingness </w:t>
      </w:r>
      <w:r w:rsidR="002A3161">
        <w:t xml:space="preserve">and ability </w:t>
      </w:r>
      <w:r w:rsidR="3320F29D">
        <w:t>to improve their business process</w:t>
      </w:r>
      <w:r w:rsidR="008A5EBE">
        <w:t>es</w:t>
      </w:r>
      <w:r w:rsidR="3320F29D">
        <w:t xml:space="preserve"> to more effectively and </w:t>
      </w:r>
      <w:r w:rsidR="39753C4A">
        <w:t>efficiently</w:t>
      </w:r>
      <w:r w:rsidR="3320F29D">
        <w:t xml:space="preserve"> deliver care </w:t>
      </w:r>
      <w:r w:rsidR="59F888E1">
        <w:t xml:space="preserve">within an evolving regulatory context. </w:t>
      </w:r>
    </w:p>
    <w:p w14:paraId="5410B2A6" w14:textId="3DF31466" w:rsidR="001702B2" w:rsidRPr="000C4F30" w:rsidRDefault="4249F41E" w:rsidP="00357BB0">
      <w:pPr>
        <w:pStyle w:val="Paragraphtext"/>
        <w:numPr>
          <w:ilvl w:val="0"/>
          <w:numId w:val="21"/>
        </w:numPr>
      </w:pPr>
      <w:r>
        <w:t xml:space="preserve">Providers may misreport </w:t>
      </w:r>
      <w:r w:rsidR="115442E9">
        <w:t xml:space="preserve">the amount of </w:t>
      </w:r>
      <w:r>
        <w:t>care minutes</w:t>
      </w:r>
      <w:r w:rsidR="115442E9">
        <w:t xml:space="preserve"> they deliver</w:t>
      </w:r>
      <w:r w:rsidR="40EFC55F">
        <w:t xml:space="preserve"> rather than increase the amount of care minutes they deliver. Currently around 10% of reporting that is checked</w:t>
      </w:r>
      <w:r w:rsidR="6AA04CB8">
        <w:t xml:space="preserve"> </w:t>
      </w:r>
      <w:r w:rsidR="7A13D544">
        <w:t xml:space="preserve">by the department </w:t>
      </w:r>
      <w:r w:rsidR="6AA04CB8">
        <w:t xml:space="preserve">through reporting </w:t>
      </w:r>
      <w:r w:rsidR="4F870690">
        <w:t xml:space="preserve">assurance </w:t>
      </w:r>
      <w:r w:rsidR="6AA04CB8">
        <w:t>assessments</w:t>
      </w:r>
      <w:r w:rsidR="40EFC55F">
        <w:t xml:space="preserve"> is re</w:t>
      </w:r>
      <w:r w:rsidR="6AA04CB8">
        <w:t xml:space="preserve">quired to be re-reported </w:t>
      </w:r>
      <w:r w:rsidR="6AA04CB8">
        <w:lastRenderedPageBreak/>
        <w:t>because it is inaccurate</w:t>
      </w:r>
      <w:r w:rsidR="003B3718">
        <w:rPr>
          <w:rStyle w:val="FootnoteReference"/>
        </w:rPr>
        <w:footnoteReference w:id="45"/>
      </w:r>
      <w:r w:rsidR="00B61A28">
        <w:t>.</w:t>
      </w:r>
      <w:r w:rsidR="6AA04CB8">
        <w:t xml:space="preserve"> </w:t>
      </w:r>
      <w:r w:rsidR="758FD84B">
        <w:t xml:space="preserve">The department does not </w:t>
      </w:r>
      <w:r w:rsidR="58BCEF47">
        <w:t xml:space="preserve">currently </w:t>
      </w:r>
      <w:r w:rsidR="758FD84B">
        <w:t>disclose which provider</w:t>
      </w:r>
      <w:r w:rsidR="58BCEF47">
        <w:t>s have submitted incorrect data</w:t>
      </w:r>
      <w:r w:rsidR="2746AF88">
        <w:t xml:space="preserve">. </w:t>
      </w:r>
      <w:r w:rsidR="6AA04CB8">
        <w:t xml:space="preserve">Any Government intervention that </w:t>
      </w:r>
      <w:r w:rsidR="5577D11C">
        <w:t>increases the onus on providers to improve their care minutes performance will also increase</w:t>
      </w:r>
      <w:r w:rsidR="3D985A91">
        <w:t xml:space="preserve"> the likelihood of providers over-reporting</w:t>
      </w:r>
      <w:r w:rsidR="286CB170">
        <w:t xml:space="preserve"> care minute</w:t>
      </w:r>
      <w:r w:rsidR="5AD5CF90">
        <w:t>s delivered</w:t>
      </w:r>
      <w:r w:rsidR="7955CF00">
        <w:t>.</w:t>
      </w:r>
      <w:r w:rsidR="4B01EF65">
        <w:t xml:space="preserve"> </w:t>
      </w:r>
      <w:r w:rsidR="00682469">
        <w:t xml:space="preserve">The </w:t>
      </w:r>
      <w:r w:rsidR="00595F2A">
        <w:t xml:space="preserve">proposed policy </w:t>
      </w:r>
      <w:r w:rsidR="544F9CBC">
        <w:t>O</w:t>
      </w:r>
      <w:r w:rsidR="00595F2A">
        <w:t xml:space="preserve">ption 3 outlined later in this </w:t>
      </w:r>
      <w:r w:rsidR="00184525">
        <w:t>impact analysis</w:t>
      </w:r>
      <w:r w:rsidR="00595F2A">
        <w:t xml:space="preserve"> </w:t>
      </w:r>
      <w:r w:rsidR="008F12DF">
        <w:t>consider</w:t>
      </w:r>
      <w:r w:rsidR="00F2183A">
        <w:t>s</w:t>
      </w:r>
      <w:r w:rsidR="008F12DF">
        <w:t xml:space="preserve"> </w:t>
      </w:r>
      <w:r w:rsidR="00316657">
        <w:t>strengthened</w:t>
      </w:r>
      <w:r w:rsidR="008F12DF">
        <w:t xml:space="preserve"> data assurance </w:t>
      </w:r>
      <w:r w:rsidR="00B70845">
        <w:t xml:space="preserve">processes </w:t>
      </w:r>
      <w:r w:rsidR="008F12DF">
        <w:t xml:space="preserve">to ensure </w:t>
      </w:r>
      <w:r w:rsidR="00EE0E43">
        <w:t xml:space="preserve">care minute </w:t>
      </w:r>
      <w:r w:rsidR="00F2183A">
        <w:t xml:space="preserve">reporting </w:t>
      </w:r>
      <w:r w:rsidR="00EE0E43">
        <w:t xml:space="preserve">is </w:t>
      </w:r>
      <w:r w:rsidR="00FF797D">
        <w:t>accurate</w:t>
      </w:r>
      <w:r w:rsidR="3BC3DDB3">
        <w:t>.</w:t>
      </w:r>
      <w:r w:rsidR="00F2183A">
        <w:t xml:space="preserve"> </w:t>
      </w:r>
    </w:p>
    <w:p w14:paraId="6A066F6A" w14:textId="6DB3ECFB" w:rsidR="009A3426" w:rsidRDefault="2C429AB4" w:rsidP="00357BB0">
      <w:pPr>
        <w:pStyle w:val="Paragraphtext"/>
        <w:numPr>
          <w:ilvl w:val="0"/>
          <w:numId w:val="21"/>
        </w:numPr>
      </w:pPr>
      <w:r>
        <w:t xml:space="preserve">Providers having </w:t>
      </w:r>
      <w:r w:rsidR="5BEA7D94">
        <w:t>financial difficulties in reaching their care minutes targets</w:t>
      </w:r>
      <w:r w:rsidR="63A2A579">
        <w:t>.</w:t>
      </w:r>
      <w:r w:rsidR="00777576">
        <w:t xml:space="preserve"> </w:t>
      </w:r>
      <w:r w:rsidR="2DF07851">
        <w:t xml:space="preserve">This risk is mitigated through annual funding adjustments to the </w:t>
      </w:r>
      <w:r w:rsidR="52F8E8DC">
        <w:t>AN-ACC funding model</w:t>
      </w:r>
      <w:r w:rsidR="002C10BC">
        <w:t xml:space="preserve"> and funding weights</w:t>
      </w:r>
      <w:r w:rsidR="52F8E8DC">
        <w:t xml:space="preserve"> which</w:t>
      </w:r>
      <w:r w:rsidR="00525083">
        <w:t xml:space="preserve"> are determined by Government following</w:t>
      </w:r>
      <w:r w:rsidR="52F8E8DC">
        <w:t xml:space="preserve"> consider</w:t>
      </w:r>
      <w:r w:rsidR="00525083">
        <w:t xml:space="preserve">ation of </w:t>
      </w:r>
      <w:r w:rsidR="52F8E8DC">
        <w:t>pricing advi</w:t>
      </w:r>
      <w:r w:rsidR="00E10B59">
        <w:t>c</w:t>
      </w:r>
      <w:r w:rsidR="52F8E8DC">
        <w:t xml:space="preserve">e from the </w:t>
      </w:r>
      <w:r w:rsidR="00F0768B">
        <w:t>Independent</w:t>
      </w:r>
      <w:r w:rsidR="2E3F59E9">
        <w:t xml:space="preserve"> Health and </w:t>
      </w:r>
      <w:r w:rsidR="52F8E8DC">
        <w:t xml:space="preserve">Aged </w:t>
      </w:r>
      <w:r w:rsidR="64F73C58">
        <w:t>C</w:t>
      </w:r>
      <w:r w:rsidR="52F8E8DC">
        <w:t xml:space="preserve">are </w:t>
      </w:r>
      <w:r w:rsidR="24026DBC">
        <w:t>P</w:t>
      </w:r>
      <w:r w:rsidR="52F8E8DC">
        <w:t>r</w:t>
      </w:r>
      <w:r w:rsidR="47DDF504">
        <w:t>i</w:t>
      </w:r>
      <w:r w:rsidR="52F8E8DC">
        <w:t>cing Au</w:t>
      </w:r>
      <w:r w:rsidR="074BE7D8">
        <w:t>thority (IHACPA).</w:t>
      </w:r>
      <w:r w:rsidR="00525083">
        <w:t xml:space="preserve"> IHACPA</w:t>
      </w:r>
      <w:r w:rsidR="0028647F">
        <w:t xml:space="preserve"> through their pricing methodology, recommend </w:t>
      </w:r>
      <w:r w:rsidR="00E13706">
        <w:t>a price based on ensuring providers are funded to meet mandatory care minutes targets, plus other required care and services.</w:t>
      </w:r>
      <w:r w:rsidR="0028647F">
        <w:t xml:space="preserve"> </w:t>
      </w:r>
    </w:p>
    <w:p w14:paraId="157855DC" w14:textId="19D37693" w:rsidR="00C2311A" w:rsidRDefault="0025027D" w:rsidP="00357BB0">
      <w:pPr>
        <w:pStyle w:val="Paragraphtext"/>
        <w:numPr>
          <w:ilvl w:val="0"/>
          <w:numId w:val="21"/>
        </w:numPr>
      </w:pPr>
      <w:r>
        <w:t xml:space="preserve">Providers may intentionally resist </w:t>
      </w:r>
      <w:r w:rsidR="0083663B">
        <w:t>Government efforts to increase care min</w:t>
      </w:r>
      <w:r w:rsidR="009B2E08">
        <w:t>utes</w:t>
      </w:r>
      <w:r w:rsidR="0083663B">
        <w:t xml:space="preserve"> compliance</w:t>
      </w:r>
      <w:r w:rsidR="002326D5">
        <w:t xml:space="preserve">. </w:t>
      </w:r>
      <w:r w:rsidR="0008433B">
        <w:t>Several</w:t>
      </w:r>
      <w:r w:rsidR="009B2E08">
        <w:t xml:space="preserve"> providers disagree with the concept of </w:t>
      </w:r>
      <w:r w:rsidR="0083200E">
        <w:t xml:space="preserve">Government </w:t>
      </w:r>
      <w:r w:rsidR="009B2E08">
        <w:t>prescribing how t</w:t>
      </w:r>
      <w:r w:rsidR="00193152">
        <w:t>o</w:t>
      </w:r>
      <w:r w:rsidR="009B2E08">
        <w:t xml:space="preserve"> deliver quality care </w:t>
      </w:r>
      <w:r w:rsidR="002326D5">
        <w:t xml:space="preserve">particularly when they are compliant with the Aged Care Quality </w:t>
      </w:r>
      <w:r w:rsidR="0074340F">
        <w:t>S</w:t>
      </w:r>
      <w:r w:rsidR="002326D5">
        <w:t xml:space="preserve">tandards. </w:t>
      </w:r>
      <w:r w:rsidR="00BD1CF0">
        <w:t xml:space="preserve">These providers </w:t>
      </w:r>
      <w:r w:rsidR="00BA5BBB">
        <w:t>advocate</w:t>
      </w:r>
      <w:r w:rsidR="00B54422">
        <w:t xml:space="preserve"> that </w:t>
      </w:r>
      <w:r w:rsidR="006F0F69">
        <w:t xml:space="preserve">prescribed care minutes targets </w:t>
      </w:r>
      <w:r w:rsidR="008B53A1">
        <w:t xml:space="preserve">involving care </w:t>
      </w:r>
      <w:r w:rsidR="00660797">
        <w:t>delivered by RNs, E</w:t>
      </w:r>
      <w:r w:rsidR="00C94C81">
        <w:t>N</w:t>
      </w:r>
      <w:r w:rsidR="00660797">
        <w:t xml:space="preserve">s and PCWs </w:t>
      </w:r>
      <w:r w:rsidR="00C94C81">
        <w:t xml:space="preserve">does not align with their care models that may include </w:t>
      </w:r>
      <w:r w:rsidR="0083200E">
        <w:t>a higher proportion</w:t>
      </w:r>
      <w:r w:rsidR="00193152">
        <w:t xml:space="preserve"> </w:t>
      </w:r>
      <w:r w:rsidR="0083200E">
        <w:t>of care delivered by allied health profession</w:t>
      </w:r>
      <w:r w:rsidR="00A21C1E">
        <w:t>als</w:t>
      </w:r>
      <w:r w:rsidR="0083200E">
        <w:t xml:space="preserve"> and recreational staff that are excluded from being counted as care minutes</w:t>
      </w:r>
      <w:r w:rsidR="00FE191A">
        <w:t xml:space="preserve"> for compliance purposes</w:t>
      </w:r>
      <w:r w:rsidR="00193152">
        <w:t xml:space="preserve">. </w:t>
      </w:r>
      <w:r w:rsidR="00A64A8E">
        <w:t>T</w:t>
      </w:r>
      <w:r w:rsidR="00193152">
        <w:t xml:space="preserve">hese providers advocate that </w:t>
      </w:r>
      <w:r w:rsidR="00A64A8E">
        <w:t xml:space="preserve">care minutes requirements stifle innovation </w:t>
      </w:r>
      <w:r w:rsidR="00C73D13">
        <w:t xml:space="preserve">in care delivery resulting in </w:t>
      </w:r>
      <w:r w:rsidR="00820DF0">
        <w:t xml:space="preserve">poorer care outcomes for residents. </w:t>
      </w:r>
      <w:r w:rsidR="00D414C8">
        <w:t>These views contrast with the findings and recommendations of the Royal Commission</w:t>
      </w:r>
      <w:r w:rsidR="00C85D08">
        <w:t>.</w:t>
      </w:r>
    </w:p>
    <w:p w14:paraId="5B8E120B" w14:textId="28704AF3" w:rsidR="778430A8" w:rsidRPr="003B0A23" w:rsidRDefault="778430A8" w:rsidP="0EE422AE">
      <w:pPr>
        <w:pStyle w:val="Paragraphtext"/>
      </w:pPr>
      <w:r>
        <w:t xml:space="preserve">These risks have been considered </w:t>
      </w:r>
      <w:r w:rsidR="00BC21AA">
        <w:t xml:space="preserve">further </w:t>
      </w:r>
      <w:r>
        <w:t>in the design of the policy options</w:t>
      </w:r>
      <w:r w:rsidR="54A1C2E2">
        <w:t xml:space="preserve"> outlined in</w:t>
      </w:r>
      <w:r>
        <w:t xml:space="preserve"> </w:t>
      </w:r>
      <w:r w:rsidR="1A055A7F">
        <w:t xml:space="preserve">the next </w:t>
      </w:r>
      <w:r w:rsidR="00181FF8">
        <w:t>chapter</w:t>
      </w:r>
      <w:r w:rsidR="382ABFB1">
        <w:t xml:space="preserve"> of this </w:t>
      </w:r>
      <w:r w:rsidR="004D4851">
        <w:t>I</w:t>
      </w:r>
      <w:r w:rsidR="382ABFB1">
        <w:t xml:space="preserve">mpact </w:t>
      </w:r>
      <w:r w:rsidR="004D4851">
        <w:t>A</w:t>
      </w:r>
      <w:r w:rsidR="382ABFB1">
        <w:t>nalysis</w:t>
      </w:r>
      <w:r w:rsidR="1A055A7F">
        <w:t>.</w:t>
      </w:r>
    </w:p>
    <w:p w14:paraId="46DD0C6C" w14:textId="3AB04483" w:rsidR="0EE422AE" w:rsidRDefault="0EE422AE">
      <w:r>
        <w:br w:type="page"/>
      </w:r>
    </w:p>
    <w:p w14:paraId="6F0EDED6" w14:textId="7CD6DE32" w:rsidR="00A61B61" w:rsidRDefault="0098516C" w:rsidP="00C87C89">
      <w:pPr>
        <w:pStyle w:val="OIAQuestion"/>
      </w:pPr>
      <w:bookmarkStart w:id="40" w:name="_Toc206058877"/>
      <w:bookmarkStart w:id="41" w:name="_Toc183705484"/>
      <w:bookmarkStart w:id="42" w:name="_Toc203133282"/>
      <w:bookmarkStart w:id="43" w:name="_Toc200394435"/>
      <w:bookmarkStart w:id="44" w:name="_Toc205802673"/>
      <w:bookmarkStart w:id="45" w:name="_Toc203639523"/>
      <w:bookmarkStart w:id="46" w:name="_Toc207014401"/>
      <w:bookmarkEnd w:id="40"/>
      <w:r>
        <w:lastRenderedPageBreak/>
        <w:t>Policy options considered</w:t>
      </w:r>
      <w:bookmarkStart w:id="47" w:name="_Toc178074425"/>
      <w:bookmarkStart w:id="48" w:name="_Toc183705485"/>
      <w:bookmarkEnd w:id="41"/>
      <w:bookmarkEnd w:id="42"/>
      <w:bookmarkEnd w:id="43"/>
      <w:bookmarkEnd w:id="44"/>
      <w:bookmarkEnd w:id="45"/>
      <w:bookmarkEnd w:id="46"/>
    </w:p>
    <w:tbl>
      <w:tblPr>
        <w:tblStyle w:val="TableGrid"/>
        <w:tblW w:w="0" w:type="auto"/>
        <w:shd w:val="clear" w:color="auto" w:fill="D5EBF2" w:themeFill="accent5" w:themeFillTint="33"/>
        <w:tblLook w:val="04A0" w:firstRow="1" w:lastRow="0" w:firstColumn="1" w:lastColumn="0" w:noHBand="0" w:noVBand="1"/>
      </w:tblPr>
      <w:tblGrid>
        <w:gridCol w:w="9060"/>
      </w:tblGrid>
      <w:tr w:rsidR="00247492" w14:paraId="6683952A" w14:textId="77777777" w:rsidTr="001B160C">
        <w:tc>
          <w:tcPr>
            <w:tcW w:w="9060" w:type="dxa"/>
            <w:shd w:val="clear" w:color="auto" w:fill="D5EBF2" w:themeFill="accent5" w:themeFillTint="33"/>
          </w:tcPr>
          <w:p w14:paraId="2C44A4E7" w14:textId="03DAF3D9" w:rsidR="00247492" w:rsidRDefault="00247492" w:rsidP="0059678C">
            <w:pPr>
              <w:pStyle w:val="Paragraphtext"/>
              <w:shd w:val="clear" w:color="auto" w:fill="D0EAED" w:themeFill="accent2" w:themeFillTint="33"/>
            </w:pPr>
            <w:r>
              <w:t>This I</w:t>
            </w:r>
            <w:r w:rsidR="004A18D6">
              <w:t xml:space="preserve">mpact </w:t>
            </w:r>
            <w:r>
              <w:t>A</w:t>
            </w:r>
            <w:r w:rsidR="001B2F7E">
              <w:t>nalysis</w:t>
            </w:r>
            <w:r>
              <w:t xml:space="preserve"> considers the following policy </w:t>
            </w:r>
            <w:r w:rsidR="7EF84D97">
              <w:t>option</w:t>
            </w:r>
            <w:r w:rsidR="7B68D27E">
              <w:t>s</w:t>
            </w:r>
            <w:r>
              <w:t xml:space="preserve"> to address the policy </w:t>
            </w:r>
            <w:r w:rsidR="7EF84D97">
              <w:t>problem</w:t>
            </w:r>
            <w:r w:rsidR="165D6FD8">
              <w:t>s</w:t>
            </w:r>
            <w:r w:rsidR="4902573C">
              <w:t xml:space="preserve"> of low care minutes compliance and </w:t>
            </w:r>
            <w:r w:rsidR="62EEE7BA">
              <w:t>G</w:t>
            </w:r>
            <w:r w:rsidR="10AE8222">
              <w:t>o</w:t>
            </w:r>
            <w:r w:rsidR="4902573C">
              <w:t xml:space="preserve">vernment funding for care not being used for </w:t>
            </w:r>
            <w:r w:rsidR="7016124D">
              <w:t>the</w:t>
            </w:r>
            <w:r w:rsidR="4902573C">
              <w:t xml:space="preserve"> provision</w:t>
            </w:r>
            <w:r w:rsidR="7016124D">
              <w:t xml:space="preserve"> of </w:t>
            </w:r>
            <w:r w:rsidR="4902573C">
              <w:t>care</w:t>
            </w:r>
            <w:r>
              <w:t>:</w:t>
            </w:r>
          </w:p>
          <w:p w14:paraId="60770C34" w14:textId="77777777" w:rsidR="00247492" w:rsidRDefault="00247492" w:rsidP="00357BB0">
            <w:pPr>
              <w:pStyle w:val="Paragraphtext"/>
              <w:numPr>
                <w:ilvl w:val="0"/>
                <w:numId w:val="10"/>
              </w:numPr>
              <w:shd w:val="clear" w:color="auto" w:fill="D0EAED" w:themeFill="accent2" w:themeFillTint="33"/>
            </w:pPr>
            <w:r>
              <w:t>Option 1 – Status quo</w:t>
            </w:r>
          </w:p>
          <w:p w14:paraId="521C225F" w14:textId="76F814E1" w:rsidR="00247492" w:rsidRDefault="00247492" w:rsidP="00357BB0">
            <w:pPr>
              <w:pStyle w:val="Paragraphtext"/>
              <w:numPr>
                <w:ilvl w:val="0"/>
                <w:numId w:val="10"/>
              </w:numPr>
              <w:shd w:val="clear" w:color="auto" w:fill="D0EAED" w:themeFill="accent2" w:themeFillTint="33"/>
            </w:pPr>
            <w:r>
              <w:t xml:space="preserve">Option </w:t>
            </w:r>
            <w:r w:rsidR="00F20C8A">
              <w:t>2</w:t>
            </w:r>
            <w:r>
              <w:t xml:space="preserve"> </w:t>
            </w:r>
            <w:r w:rsidR="00D05DF2">
              <w:t>–</w:t>
            </w:r>
            <w:r>
              <w:t xml:space="preserve"> </w:t>
            </w:r>
            <w:r w:rsidR="007637F0" w:rsidRPr="009F0955">
              <w:t>Linking care minutes funding to care minutes performance for non</w:t>
            </w:r>
            <w:r w:rsidR="007637F0">
              <w:noBreakHyphen/>
            </w:r>
            <w:r w:rsidR="007637F0" w:rsidRPr="009F0955">
              <w:t xml:space="preserve">specialised residential aged care </w:t>
            </w:r>
            <w:r w:rsidR="00992874">
              <w:t>hom</w:t>
            </w:r>
            <w:r w:rsidR="007637F0" w:rsidRPr="009F0955">
              <w:t xml:space="preserve">es </w:t>
            </w:r>
            <w:r w:rsidR="007637F0">
              <w:t>located in metropolitan areas</w:t>
            </w:r>
            <w:r w:rsidR="007637F0" w:rsidRPr="009F0955">
              <w:t xml:space="preserve"> </w:t>
            </w:r>
            <w:r w:rsidR="007637F0">
              <w:t xml:space="preserve">(i.e. </w:t>
            </w:r>
            <w:r w:rsidR="007637F0" w:rsidRPr="009F0955">
              <w:t>MM1</w:t>
            </w:r>
            <w:r w:rsidR="007637F0">
              <w:t xml:space="preserve"> areas) without additional assurance arrangements.</w:t>
            </w:r>
          </w:p>
          <w:p w14:paraId="66766167" w14:textId="28E99BA8" w:rsidR="00247492" w:rsidRPr="0012120B" w:rsidRDefault="00247492" w:rsidP="00357BB0">
            <w:pPr>
              <w:pStyle w:val="Paragraphtext"/>
              <w:numPr>
                <w:ilvl w:val="0"/>
                <w:numId w:val="10"/>
              </w:numPr>
              <w:shd w:val="clear" w:color="auto" w:fill="D0EAED" w:themeFill="accent2" w:themeFillTint="33"/>
            </w:pPr>
            <w:r>
              <w:t xml:space="preserve">Option </w:t>
            </w:r>
            <w:r w:rsidR="00F20C8A">
              <w:t>3</w:t>
            </w:r>
            <w:r>
              <w:t xml:space="preserve"> – </w:t>
            </w:r>
            <w:r w:rsidR="007637F0" w:rsidRPr="009F0955">
              <w:t>Linking care minutes funding to care minutes performance for non</w:t>
            </w:r>
            <w:r w:rsidR="007637F0">
              <w:noBreakHyphen/>
            </w:r>
            <w:r w:rsidR="007637F0" w:rsidRPr="009F0955">
              <w:t xml:space="preserve">specialised residential aged care </w:t>
            </w:r>
            <w:r w:rsidR="00992874">
              <w:t>hom</w:t>
            </w:r>
            <w:r w:rsidR="007637F0" w:rsidRPr="009F0955">
              <w:t xml:space="preserve">es </w:t>
            </w:r>
            <w:r w:rsidR="007637F0">
              <w:t>located in metropolitan areas</w:t>
            </w:r>
            <w:r w:rsidR="007637F0" w:rsidRPr="009F0955">
              <w:t xml:space="preserve"> </w:t>
            </w:r>
            <w:r w:rsidR="007637F0">
              <w:t xml:space="preserve">(i.e. </w:t>
            </w:r>
            <w:r w:rsidR="007637F0" w:rsidRPr="009F0955">
              <w:t>MM1</w:t>
            </w:r>
            <w:r w:rsidR="007637F0">
              <w:t xml:space="preserve"> areas) with additional assurance arrangements to manage the risk that providers may miss-report their care minutes</w:t>
            </w:r>
            <w:r w:rsidR="00992874">
              <w:t xml:space="preserve"> </w:t>
            </w:r>
            <w:r w:rsidR="000847EC">
              <w:t>delivered</w:t>
            </w:r>
            <w:r w:rsidR="007637F0">
              <w:t>.</w:t>
            </w:r>
          </w:p>
        </w:tc>
      </w:tr>
    </w:tbl>
    <w:p w14:paraId="0C59A05C" w14:textId="2645FC51" w:rsidR="3C40494A" w:rsidRDefault="2C8FA6C8" w:rsidP="009A1733">
      <w:pPr>
        <w:pStyle w:val="Paragraphtext"/>
      </w:pPr>
      <w:r>
        <w:t xml:space="preserve">This </w:t>
      </w:r>
      <w:r w:rsidR="00170D3F">
        <w:t>chapter</w:t>
      </w:r>
      <w:r>
        <w:t xml:space="preserve"> considers the </w:t>
      </w:r>
      <w:r w:rsidR="1EB88873">
        <w:t>3</w:t>
      </w:r>
      <w:r>
        <w:t xml:space="preserve"> policy options proposed to ad</w:t>
      </w:r>
      <w:r w:rsidR="62F9C0E6">
        <w:t>d</w:t>
      </w:r>
      <w:r>
        <w:t>ress policy problem of low care minutes compliance and Government funding for care not being used for the provision of care</w:t>
      </w:r>
      <w:r w:rsidR="40B0E038">
        <w:t>.</w:t>
      </w:r>
    </w:p>
    <w:p w14:paraId="41A0FD08" w14:textId="5B928B49" w:rsidR="00052FF6" w:rsidRDefault="01E4A9C2" w:rsidP="00222D3D">
      <w:pPr>
        <w:pStyle w:val="Heading4"/>
      </w:pPr>
      <w:r>
        <w:t>Option 1: Status quo</w:t>
      </w:r>
      <w:bookmarkEnd w:id="47"/>
      <w:bookmarkEnd w:id="48"/>
    </w:p>
    <w:p w14:paraId="10992858" w14:textId="684C29A7" w:rsidR="0084686A" w:rsidRDefault="01E4A9C2" w:rsidP="0012120B">
      <w:pPr>
        <w:pStyle w:val="Paragraphtext"/>
      </w:pPr>
      <w:r w:rsidRPr="51365D77">
        <w:t>Under this option</w:t>
      </w:r>
      <w:r w:rsidR="00C117BC">
        <w:t>,</w:t>
      </w:r>
      <w:r w:rsidRPr="51365D77">
        <w:t xml:space="preserve"> Government would make no changes to improve provider compliance with the care minutes responsibility. There would be no changes to funding for providers not meeting their care minutes responsibility</w:t>
      </w:r>
      <w:r w:rsidR="00EC1D9B">
        <w:t>.</w:t>
      </w:r>
    </w:p>
    <w:p w14:paraId="29E5C3F7" w14:textId="73BB6786" w:rsidR="00915BAB" w:rsidRDefault="000559FB" w:rsidP="0012120B">
      <w:pPr>
        <w:pStyle w:val="Paragraphtext"/>
      </w:pPr>
      <w:r>
        <w:t>Under this option, t</w:t>
      </w:r>
      <w:r w:rsidR="1033B208">
        <w:t>he</w:t>
      </w:r>
      <w:r w:rsidR="1033B208" w:rsidRPr="51365D77">
        <w:t xml:space="preserve"> </w:t>
      </w:r>
      <w:r w:rsidR="033619D7">
        <w:t>ACQSC</w:t>
      </w:r>
      <w:r w:rsidR="1033B208" w:rsidRPr="51365D77">
        <w:t xml:space="preserve"> would continue to regulate </w:t>
      </w:r>
      <w:r w:rsidR="00BA5D53">
        <w:t xml:space="preserve">provider </w:t>
      </w:r>
      <w:r w:rsidR="00F22458">
        <w:t xml:space="preserve">compliance </w:t>
      </w:r>
      <w:r w:rsidR="00BA5D53">
        <w:t xml:space="preserve">with their care minute </w:t>
      </w:r>
      <w:r w:rsidR="1033B208" w:rsidRPr="51365D77">
        <w:t xml:space="preserve">responsibility in line with the approach outlined in their </w:t>
      </w:r>
      <w:r w:rsidR="1E1FFFB1" w:rsidRPr="00927314">
        <w:t>regulatory bulletin</w:t>
      </w:r>
      <w:r w:rsidR="002329D4">
        <w:rPr>
          <w:rStyle w:val="FootnoteReference"/>
        </w:rPr>
        <w:footnoteReference w:id="46"/>
      </w:r>
      <w:r w:rsidR="2F38039B" w:rsidRPr="70E51EFD">
        <w:rPr>
          <w:rStyle w:val="FootnoteReference"/>
        </w:rPr>
        <w:t xml:space="preserve"> </w:t>
      </w:r>
      <w:r w:rsidR="2F38039B">
        <w:t>and in the previous section</w:t>
      </w:r>
      <w:r w:rsidR="37581563">
        <w:t xml:space="preserve"> of this report</w:t>
      </w:r>
      <w:r w:rsidR="2F38039B">
        <w:t>.</w:t>
      </w:r>
      <w:r w:rsidR="1033B208">
        <w:t xml:space="preserve"> </w:t>
      </w:r>
      <w:r w:rsidR="1570ED7B">
        <w:t>In</w:t>
      </w:r>
      <w:r w:rsidR="07FA5B2A">
        <w:t xml:space="preserve"> short, the ACQSC </w:t>
      </w:r>
      <w:r w:rsidR="3F4B1786">
        <w:t xml:space="preserve">may </w:t>
      </w:r>
      <w:r w:rsidR="4DDBB276">
        <w:t>act</w:t>
      </w:r>
      <w:r w:rsidR="07FA5B2A">
        <w:t xml:space="preserve"> </w:t>
      </w:r>
      <w:r w:rsidR="2A243C5F">
        <w:t>against providers</w:t>
      </w:r>
      <w:r w:rsidR="33FA88D1">
        <w:t xml:space="preserve"> that are</w:t>
      </w:r>
      <w:r w:rsidR="3297781C">
        <w:t>:</w:t>
      </w:r>
      <w:r w:rsidR="1570ED7B">
        <w:t xml:space="preserve"> </w:t>
      </w:r>
    </w:p>
    <w:p w14:paraId="16E783D1" w14:textId="4CE6DC23" w:rsidR="00915BAB" w:rsidRPr="0012120B" w:rsidRDefault="01E4A9C2" w:rsidP="00357BB0">
      <w:pPr>
        <w:pStyle w:val="ListBullet"/>
        <w:numPr>
          <w:ilvl w:val="0"/>
          <w:numId w:val="9"/>
        </w:numPr>
        <w:rPr>
          <w:szCs w:val="21"/>
        </w:rPr>
      </w:pPr>
      <w:r w:rsidRPr="0012120B">
        <w:rPr>
          <w:szCs w:val="21"/>
        </w:rPr>
        <w:t>not complying with the</w:t>
      </w:r>
      <w:r w:rsidR="005D6A0B">
        <w:rPr>
          <w:szCs w:val="21"/>
        </w:rPr>
        <w:t>ir</w:t>
      </w:r>
      <w:r w:rsidRPr="0012120B">
        <w:rPr>
          <w:szCs w:val="21"/>
        </w:rPr>
        <w:t xml:space="preserve"> care minutes targets principally because of their workforce strategy or business decision</w:t>
      </w:r>
      <w:r w:rsidR="00481C35">
        <w:rPr>
          <w:szCs w:val="21"/>
        </w:rPr>
        <w:t>s</w:t>
      </w:r>
      <w:r w:rsidRPr="0012120B">
        <w:rPr>
          <w:szCs w:val="21"/>
        </w:rPr>
        <w:t>; and</w:t>
      </w:r>
    </w:p>
    <w:p w14:paraId="38C7953E" w14:textId="70C179C6" w:rsidR="002060B8" w:rsidRPr="0012120B" w:rsidRDefault="01E4A9C2" w:rsidP="00357BB0">
      <w:pPr>
        <w:pStyle w:val="ListBullet"/>
        <w:numPr>
          <w:ilvl w:val="0"/>
          <w:numId w:val="9"/>
        </w:numPr>
        <w:spacing w:after="0"/>
        <w:rPr>
          <w:sz w:val="22"/>
          <w:szCs w:val="22"/>
        </w:rPr>
      </w:pPr>
      <w:r w:rsidRPr="6C1F7EE8">
        <w:t xml:space="preserve">have not taken reasonable steps to mitigate risk </w:t>
      </w:r>
      <w:r w:rsidR="07A55F1A" w:rsidRPr="6C1F7EE8">
        <w:t>for</w:t>
      </w:r>
      <w:r w:rsidRPr="6C1F7EE8">
        <w:t xml:space="preserve"> people receiving </w:t>
      </w:r>
      <w:r w:rsidR="1CE1FA70" w:rsidRPr="6C1F7EE8">
        <w:t xml:space="preserve">an insufficient amount of </w:t>
      </w:r>
      <w:r w:rsidRPr="6C1F7EE8">
        <w:t xml:space="preserve">care caused by </w:t>
      </w:r>
      <w:r w:rsidR="00F45696">
        <w:t>provider</w:t>
      </w:r>
      <w:r w:rsidRPr="6C1F7EE8">
        <w:t xml:space="preserve"> non</w:t>
      </w:r>
      <w:r w:rsidR="00635DB5" w:rsidRPr="0012120B">
        <w:rPr>
          <w:szCs w:val="21"/>
        </w:rPr>
        <w:noBreakHyphen/>
      </w:r>
      <w:r w:rsidRPr="6C1F7EE8">
        <w:t>compliance</w:t>
      </w:r>
      <w:r w:rsidR="00F45696">
        <w:t xml:space="preserve"> with their workforce respon</w:t>
      </w:r>
      <w:r w:rsidR="00034ACB">
        <w:t>sibilities, including their care minutes responsib</w:t>
      </w:r>
      <w:r w:rsidR="009C5174">
        <w:t>ility</w:t>
      </w:r>
      <w:r w:rsidRPr="6C1F7EE8">
        <w:t>.</w:t>
      </w:r>
    </w:p>
    <w:p w14:paraId="49E5A763" w14:textId="4F97F6D7" w:rsidR="006A3BA4" w:rsidRDefault="007F114A" w:rsidP="0012120B">
      <w:pPr>
        <w:pStyle w:val="Paragraphtext"/>
        <w:rPr>
          <w:color w:val="auto"/>
          <w:sz w:val="22"/>
          <w:szCs w:val="22"/>
        </w:rPr>
      </w:pPr>
      <w:r>
        <w:t>The</w:t>
      </w:r>
      <w:r w:rsidR="00CF3D5F">
        <w:t xml:space="preserve"> </w:t>
      </w:r>
      <w:r>
        <w:t>high levels of non-compliance across the sector mean</w:t>
      </w:r>
      <w:r w:rsidR="00E37871">
        <w:t>s</w:t>
      </w:r>
      <w:r>
        <w:t xml:space="preserve"> that the ACQSC</w:t>
      </w:r>
      <w:r w:rsidR="00AD5386">
        <w:t xml:space="preserve"> </w:t>
      </w:r>
      <w:r w:rsidR="007478EF">
        <w:t xml:space="preserve">has been </w:t>
      </w:r>
      <w:r w:rsidR="00AD5386">
        <w:t xml:space="preserve">primarily focused on </w:t>
      </w:r>
      <w:r w:rsidR="00306E86">
        <w:t>hom</w:t>
      </w:r>
      <w:r w:rsidR="00AD5386">
        <w:t>es with a gap o</w:t>
      </w:r>
      <w:r w:rsidR="00972375">
        <w:t>f</w:t>
      </w:r>
      <w:r w:rsidR="00AD5386">
        <w:t xml:space="preserve"> 30 minutes or more in total care minutes, and/or</w:t>
      </w:r>
      <w:r w:rsidR="0001061D">
        <w:t xml:space="preserve"> </w:t>
      </w:r>
      <w:r w:rsidR="00AD5386">
        <w:t>15 minutes or more in RN minutes</w:t>
      </w:r>
      <w:r w:rsidR="00D960E5">
        <w:t xml:space="preserve"> (around</w:t>
      </w:r>
      <w:r w:rsidR="008533FB">
        <w:t xml:space="preserve"> </w:t>
      </w:r>
      <w:r w:rsidR="00025307">
        <w:t>1</w:t>
      </w:r>
      <w:r w:rsidR="00D960E5">
        <w:t xml:space="preserve">5% </w:t>
      </w:r>
      <w:r w:rsidR="00063FDE">
        <w:t xml:space="preserve">all </w:t>
      </w:r>
      <w:r w:rsidR="00025307">
        <w:t xml:space="preserve">non-compliant </w:t>
      </w:r>
      <w:r w:rsidR="00306E86">
        <w:t>hom</w:t>
      </w:r>
      <w:r w:rsidR="00D960E5">
        <w:t>es</w:t>
      </w:r>
      <w:r w:rsidR="00661C53">
        <w:t xml:space="preserve"> in </w:t>
      </w:r>
      <w:r w:rsidR="006E0F5E">
        <w:t>Q2 of 2024-25</w:t>
      </w:r>
      <w:r w:rsidR="00D960E5">
        <w:t>)</w:t>
      </w:r>
      <w:r w:rsidR="00AD5386">
        <w:t xml:space="preserve">. This is because </w:t>
      </w:r>
      <w:r w:rsidR="747B52D0">
        <w:t>the ASQSC is a risk-based regulator and directs its finite resources towards the highest and most direct risks</w:t>
      </w:r>
      <w:r w:rsidR="59ABCBAF">
        <w:t xml:space="preserve">. Furthermore, </w:t>
      </w:r>
      <w:r w:rsidR="00AD5386">
        <w:t xml:space="preserve">assessing the specific arrangements </w:t>
      </w:r>
      <w:r w:rsidR="00D960E5">
        <w:t xml:space="preserve">and circumstances </w:t>
      </w:r>
      <w:r w:rsidR="00AD5386">
        <w:t xml:space="preserve">in each </w:t>
      </w:r>
      <w:r w:rsidR="00306E86">
        <w:t>hom</w:t>
      </w:r>
      <w:r w:rsidR="00D960E5">
        <w:t>e</w:t>
      </w:r>
      <w:r w:rsidR="00AD5386">
        <w:t xml:space="preserve">, and why they are not meeting their care minutes </w:t>
      </w:r>
      <w:r w:rsidR="00D17AB6">
        <w:t xml:space="preserve">targets </w:t>
      </w:r>
      <w:r w:rsidR="00AD5386">
        <w:t>(e.g. is</w:t>
      </w:r>
      <w:r w:rsidR="00747B68">
        <w:t xml:space="preserve"> it</w:t>
      </w:r>
      <w:r w:rsidR="00AD5386">
        <w:t xml:space="preserve"> because of factors outside of their control, or because of a business deci</w:t>
      </w:r>
      <w:r w:rsidR="00D960E5">
        <w:t>sion or workforce strategy that is within their control) is very resource intensive</w:t>
      </w:r>
      <w:r w:rsidR="166BD511">
        <w:t>, particularly with the large amount of non-compliance across the sector</w:t>
      </w:r>
      <w:r w:rsidR="00320C66">
        <w:t>.</w:t>
      </w:r>
    </w:p>
    <w:p w14:paraId="7D3E2BE2" w14:textId="69AF5C05" w:rsidR="0021207A" w:rsidRDefault="3FB3D4BA" w:rsidP="0012120B">
      <w:pPr>
        <w:pStyle w:val="Paragraphtext"/>
      </w:pPr>
      <w:r>
        <w:t>In December 2024, t</w:t>
      </w:r>
      <w:r w:rsidR="31AAF2F1">
        <w:t>he ACQSC</w:t>
      </w:r>
      <w:r w:rsidR="6CAF40D9">
        <w:t xml:space="preserve"> </w:t>
      </w:r>
      <w:r w:rsidR="78054ABD">
        <w:t>commenced</w:t>
      </w:r>
      <w:r w:rsidR="402D0994" w:rsidRPr="37D7CD41">
        <w:rPr>
          <w:color w:val="auto"/>
          <w:sz w:val="22"/>
          <w:szCs w:val="22"/>
        </w:rPr>
        <w:t xml:space="preserve"> </w:t>
      </w:r>
      <w:r w:rsidR="31AAF2F1">
        <w:t>taking</w:t>
      </w:r>
      <w:r w:rsidR="6D1744FE">
        <w:t xml:space="preserve"> formal</w:t>
      </w:r>
      <w:r w:rsidR="31AAF2F1">
        <w:t xml:space="preserve"> regulatory action</w:t>
      </w:r>
      <w:r w:rsidR="793F9267">
        <w:t xml:space="preserve"> </w:t>
      </w:r>
      <w:r w:rsidR="385CFA1A">
        <w:t xml:space="preserve">in the form of </w:t>
      </w:r>
      <w:r w:rsidR="27EA3301">
        <w:t>enforceable</w:t>
      </w:r>
      <w:r w:rsidR="385CFA1A">
        <w:t xml:space="preserve"> undertaking</w:t>
      </w:r>
      <w:r w:rsidR="5E2339BF">
        <w:t>s</w:t>
      </w:r>
      <w:r w:rsidR="385CFA1A">
        <w:t xml:space="preserve"> </w:t>
      </w:r>
      <w:r w:rsidR="4625A845">
        <w:t>or non-compliance notices for</w:t>
      </w:r>
      <w:r w:rsidR="31AAF2F1">
        <w:t xml:space="preserve"> providers </w:t>
      </w:r>
      <w:r w:rsidR="04E09FAC">
        <w:t xml:space="preserve">who </w:t>
      </w:r>
      <w:r w:rsidR="70A1189E">
        <w:t xml:space="preserve">failed to </w:t>
      </w:r>
      <w:r w:rsidR="3FEBD0BF">
        <w:t xml:space="preserve">meet </w:t>
      </w:r>
      <w:r w:rsidR="3BF7EE26">
        <w:t>either</w:t>
      </w:r>
      <w:r w:rsidR="3FEBD0BF">
        <w:t xml:space="preserve"> care minutes targets </w:t>
      </w:r>
      <w:r w:rsidR="07CB3B8B">
        <w:t xml:space="preserve">(by 30 minutes or more in total care minutes and/or 15 minutes or more in RN minutes) </w:t>
      </w:r>
      <w:r w:rsidR="3FEBD0BF">
        <w:t xml:space="preserve">over </w:t>
      </w:r>
      <w:r w:rsidR="3DF82529">
        <w:t>3</w:t>
      </w:r>
      <w:r w:rsidR="00CF1450">
        <w:t> </w:t>
      </w:r>
      <w:r w:rsidR="43DDDD56">
        <w:t>consecutive quarters</w:t>
      </w:r>
      <w:r w:rsidR="50AB5FE0">
        <w:t xml:space="preserve">. </w:t>
      </w:r>
      <w:r w:rsidR="05964A66">
        <w:t>To date the ACQSC has entered</w:t>
      </w:r>
      <w:r w:rsidR="13D94F82">
        <w:t xml:space="preserve"> </w:t>
      </w:r>
      <w:r w:rsidR="6E5197D7">
        <w:t xml:space="preserve">into </w:t>
      </w:r>
      <w:r w:rsidR="54D8EA5E">
        <w:t xml:space="preserve">28 </w:t>
      </w:r>
      <w:r w:rsidR="2A1C76C1">
        <w:t xml:space="preserve">enforceable undertakings </w:t>
      </w:r>
      <w:r w:rsidR="6E5197D7">
        <w:t xml:space="preserve">with </w:t>
      </w:r>
      <w:r w:rsidR="31AAF2F1">
        <w:t xml:space="preserve">providers </w:t>
      </w:r>
      <w:r w:rsidR="6C8E6811">
        <w:t>covering</w:t>
      </w:r>
      <w:r w:rsidR="31AAF2F1">
        <w:t xml:space="preserve"> </w:t>
      </w:r>
      <w:r w:rsidR="6C8E6811">
        <w:t>3</w:t>
      </w:r>
      <w:r w:rsidR="0BC6D752">
        <w:t>6</w:t>
      </w:r>
      <w:r w:rsidR="31AAF2F1">
        <w:t xml:space="preserve"> </w:t>
      </w:r>
      <w:r w:rsidR="6E5197D7">
        <w:t>hom</w:t>
      </w:r>
      <w:r w:rsidR="6C8E6811">
        <w:t>es</w:t>
      </w:r>
      <w:r w:rsidR="31AAF2F1">
        <w:t xml:space="preserve"> </w:t>
      </w:r>
      <w:r w:rsidR="00088A1B">
        <w:t xml:space="preserve">and issued 7 non-compliance notices to providers </w:t>
      </w:r>
      <w:r w:rsidR="31AAF2F1">
        <w:t>that have fallen well short of delivering their individual care minutes targets across successive quarters</w:t>
      </w:r>
      <w:r w:rsidR="1D174604">
        <w:t>.</w:t>
      </w:r>
      <w:r w:rsidR="33889775">
        <w:t xml:space="preserve"> </w:t>
      </w:r>
    </w:p>
    <w:p w14:paraId="6DB4ECB8" w14:textId="47A10860" w:rsidR="00474D70" w:rsidRPr="0012120B" w:rsidRDefault="41B90A5D" w:rsidP="0012120B">
      <w:pPr>
        <w:pStyle w:val="Paragraphtext"/>
      </w:pPr>
      <w:r>
        <w:t>The ACQSC’s compliance a</w:t>
      </w:r>
      <w:r w:rsidR="6ABAE195">
        <w:t>ction has to date successful</w:t>
      </w:r>
      <w:r w:rsidR="7C3DD7E6">
        <w:t>ly</w:t>
      </w:r>
      <w:r w:rsidR="6ABAE195">
        <w:t xml:space="preserve"> </w:t>
      </w:r>
      <w:r w:rsidR="298AD3E1">
        <w:t>supported</w:t>
      </w:r>
      <w:r w:rsidR="6ABAE195">
        <w:t xml:space="preserve"> providers on a pathway to compliance</w:t>
      </w:r>
      <w:r w:rsidR="6C8E6811">
        <w:t xml:space="preserve">, with </w:t>
      </w:r>
      <w:r w:rsidR="147E07E9">
        <w:t>most</w:t>
      </w:r>
      <w:r w:rsidR="6C8E6811">
        <w:t xml:space="preserve"> of the enforceable undertakings</w:t>
      </w:r>
      <w:r w:rsidR="7B45A8BC">
        <w:t xml:space="preserve"> and non-compliance notices</w:t>
      </w:r>
      <w:r w:rsidR="6C8E6811">
        <w:t xml:space="preserve"> now closed</w:t>
      </w:r>
      <w:r w:rsidR="1A3E522F">
        <w:t xml:space="preserve"> and many of the remainder expected to be closed in the coming months</w:t>
      </w:r>
      <w:r w:rsidR="2C9581D1">
        <w:t xml:space="preserve">. </w:t>
      </w:r>
      <w:r w:rsidR="00B81261">
        <w:t>T</w:t>
      </w:r>
      <w:r w:rsidR="7F43A1AE">
        <w:t xml:space="preserve">he ACQSC’s approach has incentivised providers to uplift their </w:t>
      </w:r>
      <w:r w:rsidR="3515E6F1">
        <w:t>performance</w:t>
      </w:r>
      <w:r w:rsidR="7F43A1AE">
        <w:t xml:space="preserve"> </w:t>
      </w:r>
      <w:r w:rsidR="562F5055">
        <w:t>a</w:t>
      </w:r>
      <w:r w:rsidR="7F43A1AE">
        <w:t>nd th</w:t>
      </w:r>
      <w:r w:rsidR="4B19AD81">
        <w:t>e</w:t>
      </w:r>
      <w:r w:rsidR="7F43A1AE">
        <w:t xml:space="preserve"> number of homes meeting their </w:t>
      </w:r>
      <w:r w:rsidR="7F43A1AE">
        <w:lastRenderedPageBreak/>
        <w:t>t</w:t>
      </w:r>
      <w:r w:rsidR="34F7FFFD">
        <w:t>ar</w:t>
      </w:r>
      <w:r w:rsidR="7F43A1AE">
        <w:t>gets has increased</w:t>
      </w:r>
      <w:r w:rsidR="6EBAA368">
        <w:t xml:space="preserve">, </w:t>
      </w:r>
      <w:r w:rsidR="2C9581D1">
        <w:t>However</w:t>
      </w:r>
      <w:r w:rsidR="6357C109">
        <w:t>,</w:t>
      </w:r>
      <w:r w:rsidR="4D9BC68E">
        <w:t xml:space="preserve"> </w:t>
      </w:r>
      <w:r w:rsidR="2D2FA437">
        <w:t xml:space="preserve">as </w:t>
      </w:r>
      <w:r w:rsidR="32C2C15C">
        <w:t>this regulatory action</w:t>
      </w:r>
      <w:r w:rsidR="2D2FA437">
        <w:t xml:space="preserve"> has focussed on only a small number of providers</w:t>
      </w:r>
      <w:r w:rsidR="2EE20320">
        <w:t>,</w:t>
      </w:r>
      <w:r w:rsidR="2D2FA437">
        <w:t xml:space="preserve"> it </w:t>
      </w:r>
      <w:r w:rsidR="7C60F34A">
        <w:t xml:space="preserve">has not </w:t>
      </w:r>
      <w:r w:rsidR="1A3E522F">
        <w:t>substantially</w:t>
      </w:r>
      <w:r w:rsidR="7C60F34A">
        <w:t xml:space="preserve"> improved compliance rates at the sector level.</w:t>
      </w:r>
    </w:p>
    <w:p w14:paraId="2D25172A" w14:textId="13E584ED" w:rsidR="427CA8A8" w:rsidRDefault="427CA8A8" w:rsidP="66E87E8A">
      <w:pPr>
        <w:pStyle w:val="Paragraphtext"/>
      </w:pPr>
      <w:r>
        <w:t xml:space="preserve">More extreme regulatory enforcement action may not be the optimum use of limited Government resources and may not align with the ACQSC’s risk-based approach noting that some providers may have persistent low levels of non-compliance with their care minutes targets but comply with the Aged Care Quality Standards. </w:t>
      </w:r>
      <w:r w:rsidR="2FA6ADD5">
        <w:t xml:space="preserve">In addition, </w:t>
      </w:r>
      <w:r w:rsidR="0ED6C1F5">
        <w:t>taking</w:t>
      </w:r>
      <w:r w:rsidR="00BA1591">
        <w:t xml:space="preserve"> </w:t>
      </w:r>
      <w:r w:rsidR="2FA6ADD5">
        <w:t>action against providers who are making efforts</w:t>
      </w:r>
      <w:r w:rsidR="44E51F15">
        <w:t xml:space="preserve"> to achieve compliance may be </w:t>
      </w:r>
      <w:r w:rsidR="28FF3245">
        <w:t xml:space="preserve">perceived as </w:t>
      </w:r>
      <w:r w:rsidR="44E51F15">
        <w:t>counterproductive</w:t>
      </w:r>
      <w:r w:rsidR="253A9CDA">
        <w:t xml:space="preserve"> by some industry </w:t>
      </w:r>
      <w:r w:rsidR="67D260A6">
        <w:t>stakeholders.</w:t>
      </w:r>
    </w:p>
    <w:p w14:paraId="23ED3C0F" w14:textId="2B5375D8" w:rsidR="3AF6A343" w:rsidRDefault="007E7A76" w:rsidP="0EEC2482">
      <w:pPr>
        <w:pStyle w:val="Paragraphtext"/>
      </w:pPr>
      <w:r>
        <w:t xml:space="preserve">The ACQSC will continue to </w:t>
      </w:r>
      <w:r w:rsidR="00886A63">
        <w:t xml:space="preserve">monitor </w:t>
      </w:r>
      <w:r w:rsidR="001778C0">
        <w:t>and target sub</w:t>
      </w:r>
      <w:r w:rsidR="002041A1">
        <w:t>-</w:t>
      </w:r>
      <w:r w:rsidR="001778C0">
        <w:t xml:space="preserve">groups of providers and </w:t>
      </w:r>
      <w:r w:rsidR="00A3104E">
        <w:t>hom</w:t>
      </w:r>
      <w:r w:rsidR="001778C0">
        <w:t xml:space="preserve">es as part of a rolling regulatory strategy designed to sustain regulatory pressure on providers with </w:t>
      </w:r>
      <w:r w:rsidR="00A3104E">
        <w:t>hom</w:t>
      </w:r>
      <w:r w:rsidR="001778C0">
        <w:t>es</w:t>
      </w:r>
      <w:r w:rsidR="3CAB40B5">
        <w:t xml:space="preserve"> with large gaps and </w:t>
      </w:r>
      <w:r w:rsidR="001778C0">
        <w:t>appear to have no reasonable excuse for not meeting the</w:t>
      </w:r>
      <w:r w:rsidR="00A3104E">
        <w:t>ir care minute</w:t>
      </w:r>
      <w:r w:rsidR="001778C0">
        <w:t xml:space="preserve"> targets.</w:t>
      </w:r>
      <w:r w:rsidR="002041A1">
        <w:t xml:space="preserve"> </w:t>
      </w:r>
      <w:r w:rsidR="216C0587">
        <w:t>The methodology used to target these providers will continue evolving as p</w:t>
      </w:r>
      <w:r w:rsidR="33F49270">
        <w:t>a</w:t>
      </w:r>
      <w:r w:rsidR="216C0587">
        <w:t>tter</w:t>
      </w:r>
      <w:r w:rsidR="087D8EB5">
        <w:t>n</w:t>
      </w:r>
      <w:r w:rsidR="216C0587">
        <w:t xml:space="preserve">s and trends emerge and as insights into the barriers to </w:t>
      </w:r>
      <w:r w:rsidR="62A96856">
        <w:t>compliance</w:t>
      </w:r>
      <w:r w:rsidR="62FFF727">
        <w:t xml:space="preserve"> develop</w:t>
      </w:r>
      <w:r w:rsidR="73B26EA0">
        <w:t>.</w:t>
      </w:r>
      <w:r w:rsidR="7DE8B083">
        <w:t xml:space="preserve"> </w:t>
      </w:r>
      <w:r w:rsidR="73B26EA0">
        <w:t>As a risk</w:t>
      </w:r>
      <w:r w:rsidR="73CA526D">
        <w:t>-</w:t>
      </w:r>
      <w:r w:rsidR="73B26EA0">
        <w:t xml:space="preserve">based regulator, the ACQSC directs its finite </w:t>
      </w:r>
      <w:r w:rsidR="50559D0E">
        <w:t>resources to where they matter most in responding to prov</w:t>
      </w:r>
      <w:r w:rsidR="3ED1BCDD">
        <w:t>i</w:t>
      </w:r>
      <w:r w:rsidR="50559D0E">
        <w:t>der non-</w:t>
      </w:r>
      <w:r w:rsidR="3CFC37E8">
        <w:t>compliance</w:t>
      </w:r>
      <w:r w:rsidR="50559D0E">
        <w:t xml:space="preserve"> and</w:t>
      </w:r>
      <w:r w:rsidR="05F0E2D6">
        <w:t xml:space="preserve"> </w:t>
      </w:r>
      <w:r w:rsidR="50559D0E">
        <w:t xml:space="preserve">in communicating their </w:t>
      </w:r>
      <w:r w:rsidR="4CA3BBA8">
        <w:t>expectations</w:t>
      </w:r>
      <w:r w:rsidR="50559D0E">
        <w:t xml:space="preserve"> that providers m</w:t>
      </w:r>
      <w:r w:rsidR="009B04F7">
        <w:t>e</w:t>
      </w:r>
      <w:r w:rsidR="50559D0E">
        <w:t xml:space="preserve">et </w:t>
      </w:r>
      <w:r w:rsidR="59550C2D">
        <w:t>all their obligations incl</w:t>
      </w:r>
      <w:r w:rsidR="240FC93D">
        <w:t>u</w:t>
      </w:r>
      <w:r w:rsidR="59550C2D">
        <w:t xml:space="preserve">ding those </w:t>
      </w:r>
      <w:r w:rsidR="45C1F64F">
        <w:t>related</w:t>
      </w:r>
      <w:r w:rsidR="59550C2D">
        <w:t xml:space="preserve"> to workforce. </w:t>
      </w:r>
      <w:r w:rsidR="73B26EA0">
        <w:t xml:space="preserve"> </w:t>
      </w:r>
    </w:p>
    <w:p w14:paraId="32BCD1C4" w14:textId="2AAD33AF" w:rsidR="00342659" w:rsidRDefault="1033B208" w:rsidP="0012120B">
      <w:pPr>
        <w:pStyle w:val="Paragraphtext"/>
      </w:pPr>
      <w:r>
        <w:t>In addition</w:t>
      </w:r>
      <w:r w:rsidR="10F3DAB6">
        <w:t xml:space="preserve"> to </w:t>
      </w:r>
      <w:r w:rsidR="6F2971B6">
        <w:t>t</w:t>
      </w:r>
      <w:r w:rsidR="0C6370FC">
        <w:t>h</w:t>
      </w:r>
      <w:r w:rsidR="6F2971B6">
        <w:t xml:space="preserve">e </w:t>
      </w:r>
      <w:r w:rsidR="10F3DAB6">
        <w:t>ACQSC</w:t>
      </w:r>
      <w:r w:rsidR="60636FE9">
        <w:t>’s</w:t>
      </w:r>
      <w:r w:rsidR="10F3DAB6">
        <w:t xml:space="preserve"> regulatory action</w:t>
      </w:r>
      <w:r>
        <w:t>,</w:t>
      </w:r>
      <w:r w:rsidR="0A96ED66">
        <w:t xml:space="preserve"> the</w:t>
      </w:r>
      <w:r>
        <w:t xml:space="preserve"> Government will continue to transparently publish </w:t>
      </w:r>
      <w:r w:rsidR="15B6E49B">
        <w:t>home</w:t>
      </w:r>
      <w:r>
        <w:t>-level care minutes performance on the My Aged Care ‘</w:t>
      </w:r>
      <w:r w:rsidR="43EDC6DF" w:rsidRPr="0031004D">
        <w:t>Find a Provider</w:t>
      </w:r>
      <w:r>
        <w:t>’</w:t>
      </w:r>
      <w:r w:rsidR="00977F97">
        <w:rPr>
          <w:rStyle w:val="FootnoteReference"/>
        </w:rPr>
        <w:footnoteReference w:id="47"/>
      </w:r>
      <w:r>
        <w:t xml:space="preserve"> </w:t>
      </w:r>
      <w:r w:rsidR="006666F5">
        <w:t>web</w:t>
      </w:r>
      <w:r w:rsidR="002119C7">
        <w:t>site</w:t>
      </w:r>
      <w:r w:rsidR="00B930E3">
        <w:t xml:space="preserve"> </w:t>
      </w:r>
      <w:r w:rsidR="620892F8">
        <w:t xml:space="preserve">as part of </w:t>
      </w:r>
      <w:r w:rsidR="3D601682">
        <w:t>S</w:t>
      </w:r>
      <w:r w:rsidR="620892F8">
        <w:t>tar</w:t>
      </w:r>
      <w:r w:rsidR="46ABA4BF">
        <w:t xml:space="preserve"> </w:t>
      </w:r>
      <w:r w:rsidR="44DC23EB">
        <w:t>R</w:t>
      </w:r>
      <w:r w:rsidR="46ABA4BF">
        <w:t xml:space="preserve">atings </w:t>
      </w:r>
      <w:r>
        <w:t xml:space="preserve">to support current and future residents and </w:t>
      </w:r>
      <w:r w:rsidR="12BB7CD0">
        <w:t xml:space="preserve">their advocates </w:t>
      </w:r>
      <w:r>
        <w:t xml:space="preserve">to understand the care provided in each </w:t>
      </w:r>
      <w:r w:rsidR="534BD20B">
        <w:t xml:space="preserve">residential aged care </w:t>
      </w:r>
      <w:r>
        <w:t xml:space="preserve">home. This information will also continue to be published in a </w:t>
      </w:r>
      <w:r w:rsidR="2B149EC5" w:rsidRPr="00513649">
        <w:t>spreadsheet</w:t>
      </w:r>
      <w:r w:rsidR="004C7E75">
        <w:rPr>
          <w:rStyle w:val="FootnoteReference"/>
        </w:rPr>
        <w:footnoteReference w:id="48"/>
      </w:r>
      <w:r>
        <w:t xml:space="preserve"> </w:t>
      </w:r>
      <w:r w:rsidR="0BAAC188">
        <w:t xml:space="preserve">(viewed on 889 occasions from 31 July to 30 November 2024) </w:t>
      </w:r>
      <w:r>
        <w:t xml:space="preserve">on the department’s website alongside </w:t>
      </w:r>
      <w:r w:rsidR="0BAAC188">
        <w:t>the care minutes</w:t>
      </w:r>
      <w:r>
        <w:t xml:space="preserve"> </w:t>
      </w:r>
      <w:r w:rsidR="4E3C5159" w:rsidRPr="00513649">
        <w:t>dashboard</w:t>
      </w:r>
      <w:r w:rsidR="00C478D5">
        <w:rPr>
          <w:rStyle w:val="FootnoteReference"/>
        </w:rPr>
        <w:footnoteReference w:id="49"/>
      </w:r>
      <w:r>
        <w:t xml:space="preserve"> of sector level performance</w:t>
      </w:r>
      <w:r w:rsidR="0BAAC188">
        <w:t xml:space="preserve"> (viewed on 5,774 occasions from 11 April to 30 November 2024)</w:t>
      </w:r>
      <w:r>
        <w:t>.</w:t>
      </w:r>
      <w:r w:rsidR="20B0765B">
        <w:t xml:space="preserve"> </w:t>
      </w:r>
      <w:r w:rsidR="0D4B0073">
        <w:t>Regardless</w:t>
      </w:r>
      <w:r w:rsidR="72AF6FE1">
        <w:t xml:space="preserve"> o</w:t>
      </w:r>
      <w:r w:rsidR="00A86045">
        <w:t>f</w:t>
      </w:r>
      <w:r w:rsidR="72AF6FE1">
        <w:t xml:space="preserve"> not being able to determine who accesses this information, it is a valuable source of information </w:t>
      </w:r>
      <w:r w:rsidR="190B4C5A">
        <w:t>(along with the other care minutes guidance documents) to</w:t>
      </w:r>
      <w:r w:rsidR="1CE7B447">
        <w:t xml:space="preserve"> </w:t>
      </w:r>
      <w:r w:rsidR="3A3FB9AB">
        <w:t>increase the transparency of residential aged care delivery</w:t>
      </w:r>
      <w:r w:rsidR="6633C92D">
        <w:t>.</w:t>
      </w:r>
    </w:p>
    <w:p w14:paraId="2CD4BBFD" w14:textId="221FC467" w:rsidR="005869A4" w:rsidRDefault="799A5F18" w:rsidP="0012120B">
      <w:pPr>
        <w:pStyle w:val="Paragraphtext"/>
      </w:pPr>
      <w:r>
        <w:t>A</w:t>
      </w:r>
      <w:r w:rsidR="09AB977E">
        <w:t>n</w:t>
      </w:r>
      <w:r>
        <w:t xml:space="preserve"> </w:t>
      </w:r>
      <w:r w:rsidR="1D70C31B">
        <w:t>evaluation</w:t>
      </w:r>
      <w:r>
        <w:t xml:space="preserve"> survey undertaken as part of the recent Star </w:t>
      </w:r>
      <w:r w:rsidDel="35B814DA">
        <w:t>R</w:t>
      </w:r>
      <w:r>
        <w:t xml:space="preserve">atings evaluation found that approximately 60% of prospective consumer survey respondents indicated they had accessed the Find a Provider tool to learn about the </w:t>
      </w:r>
      <w:r w:rsidDel="35B814DA">
        <w:t>S</w:t>
      </w:r>
      <w:r>
        <w:t xml:space="preserve">tar </w:t>
      </w:r>
      <w:r w:rsidDel="35B814DA">
        <w:t>R</w:t>
      </w:r>
      <w:r>
        <w:t>atings of a home (of which the staffing rating, which is based on care minutes is a component). The focus groups for this evaluation also highlighted that many prospective residents formed their views on an aged care home’s quality and staffing based on their direct observation</w:t>
      </w:r>
      <w:r w:rsidR="445E7267">
        <w:t>s</w:t>
      </w:r>
      <w:r>
        <w:t xml:space="preserve"> </w:t>
      </w:r>
      <w:r w:rsidR="445E7267">
        <w:t>(e.g</w:t>
      </w:r>
      <w:r w:rsidR="4A580472">
        <w:t>.</w:t>
      </w:r>
      <w:r w:rsidR="445E7267">
        <w:t xml:space="preserve"> building layout, fittings</w:t>
      </w:r>
      <w:r w:rsidR="009E4992">
        <w:t>,</w:t>
      </w:r>
      <w:r w:rsidR="445E7267">
        <w:t xml:space="preserve"> etc.)</w:t>
      </w:r>
      <w:r>
        <w:t xml:space="preserve"> </w:t>
      </w:r>
      <w:r w:rsidR="6BDD8B62">
        <w:t xml:space="preserve">and location </w:t>
      </w:r>
      <w:r>
        <w:t>of the home</w:t>
      </w:r>
      <w:r w:rsidR="02C0306B">
        <w:t xml:space="preserve"> and </w:t>
      </w:r>
      <w:r w:rsidR="7587BCA8">
        <w:t>service</w:t>
      </w:r>
      <w:r w:rsidR="02C0306B">
        <w:t xml:space="preserve"> costs</w:t>
      </w:r>
      <w:r>
        <w:t xml:space="preserve"> rather than through their published ratings</w:t>
      </w:r>
      <w:r w:rsidR="005869A4">
        <w:rPr>
          <w:rStyle w:val="FootnoteReference"/>
        </w:rPr>
        <w:footnoteReference w:id="50"/>
      </w:r>
      <w:r w:rsidR="73E1F44D" w:rsidRPr="00A71723">
        <w:rPr>
          <w:szCs w:val="21"/>
        </w:rPr>
        <w:t>.</w:t>
      </w:r>
      <w:r>
        <w:t xml:space="preserve"> This is an indication that</w:t>
      </w:r>
      <w:r w:rsidR="0A8B0AF2">
        <w:t>,</w:t>
      </w:r>
      <w:r>
        <w:t xml:space="preserve"> while these transparency measures are helpful</w:t>
      </w:r>
      <w:r w:rsidR="0A91F293">
        <w:t xml:space="preserve"> for prospective residents</w:t>
      </w:r>
      <w:r>
        <w:t xml:space="preserve"> in choosing their aged care home, they are not a key driver</w:t>
      </w:r>
      <w:r w:rsidR="5DDC9CB4">
        <w:t>.</w:t>
      </w:r>
      <w:r w:rsidR="39DA8845">
        <w:t xml:space="preserve"> </w:t>
      </w:r>
    </w:p>
    <w:p w14:paraId="0BAFC7D6" w14:textId="4040727D" w:rsidR="005869A4" w:rsidRDefault="4503687D" w:rsidP="023EC61B">
      <w:pPr>
        <w:pStyle w:val="Paragraphtext"/>
        <w:rPr>
          <w:lang w:val="en-US"/>
        </w:rPr>
      </w:pPr>
      <w:r>
        <w:t xml:space="preserve">In terms of improving the </w:t>
      </w:r>
      <w:r w:rsidR="1C3FC9C4">
        <w:t>q</w:t>
      </w:r>
      <w:r>
        <w:t xml:space="preserve">uality </w:t>
      </w:r>
      <w:r w:rsidR="418FFE38">
        <w:t>of care</w:t>
      </w:r>
      <w:r w:rsidR="39EEC0B4">
        <w:t>,</w:t>
      </w:r>
      <w:r w:rsidR="2CDDE754">
        <w:t xml:space="preserve"> over </w:t>
      </w:r>
      <w:r w:rsidR="099738DC">
        <w:t xml:space="preserve">80% </w:t>
      </w:r>
      <w:r w:rsidR="4FD1A16F">
        <w:t xml:space="preserve">of the </w:t>
      </w:r>
      <w:r w:rsidR="099738DC">
        <w:t>sector survey re</w:t>
      </w:r>
      <w:r w:rsidR="69E20B38">
        <w:t>s</w:t>
      </w:r>
      <w:r w:rsidR="099738DC">
        <w:t>pond</w:t>
      </w:r>
      <w:r w:rsidR="0C2D77DF">
        <w:t>e</w:t>
      </w:r>
      <w:r w:rsidR="099738DC">
        <w:t>nts</w:t>
      </w:r>
      <w:r w:rsidR="4BD32151">
        <w:t xml:space="preserve"> (of which</w:t>
      </w:r>
      <w:r w:rsidR="414765B8">
        <w:t xml:space="preserve"> </w:t>
      </w:r>
      <w:r w:rsidR="61053DBD">
        <w:t xml:space="preserve">only </w:t>
      </w:r>
      <w:r w:rsidR="414765B8">
        <w:t xml:space="preserve">56 of the 381 </w:t>
      </w:r>
      <w:r w:rsidR="1B461164">
        <w:t xml:space="preserve">respondents </w:t>
      </w:r>
      <w:r w:rsidR="414765B8">
        <w:t>were resident</w:t>
      </w:r>
      <w:r w:rsidR="4291C489">
        <w:t>ia</w:t>
      </w:r>
      <w:r w:rsidR="414765B8">
        <w:t xml:space="preserve">l aged care </w:t>
      </w:r>
      <w:r w:rsidR="32F3B5BC">
        <w:t>residents</w:t>
      </w:r>
      <w:r w:rsidR="1B12D578">
        <w:t xml:space="preserve">) </w:t>
      </w:r>
      <w:r w:rsidR="099738DC" w:rsidRPr="66E87E8A">
        <w:rPr>
          <w:lang w:val="en-US"/>
        </w:rPr>
        <w:t xml:space="preserve">believed that </w:t>
      </w:r>
      <w:r w:rsidR="009C64CF">
        <w:rPr>
          <w:lang w:val="en-US"/>
        </w:rPr>
        <w:t>S</w:t>
      </w:r>
      <w:r w:rsidR="099738DC" w:rsidRPr="66E87E8A">
        <w:rPr>
          <w:lang w:val="en-US"/>
        </w:rPr>
        <w:t xml:space="preserve">tar </w:t>
      </w:r>
      <w:r w:rsidR="009C64CF">
        <w:rPr>
          <w:lang w:val="en-US"/>
        </w:rPr>
        <w:t>R</w:t>
      </w:r>
      <w:r w:rsidR="099738DC" w:rsidRPr="66E87E8A">
        <w:rPr>
          <w:lang w:val="en-US"/>
        </w:rPr>
        <w:t xml:space="preserve">atings had either no impact or only a ‘limited impact’ on </w:t>
      </w:r>
      <w:r w:rsidR="2AA4B241" w:rsidRPr="66E87E8A">
        <w:rPr>
          <w:lang w:val="en-US"/>
        </w:rPr>
        <w:t xml:space="preserve">improving </w:t>
      </w:r>
      <w:r w:rsidR="099738DC" w:rsidRPr="66E87E8A">
        <w:rPr>
          <w:lang w:val="en-US"/>
        </w:rPr>
        <w:t xml:space="preserve">care quality </w:t>
      </w:r>
      <w:r w:rsidR="5A41EED3" w:rsidRPr="66E87E8A">
        <w:rPr>
          <w:lang w:val="en-US"/>
        </w:rPr>
        <w:t>and</w:t>
      </w:r>
      <w:r w:rsidR="099738DC" w:rsidRPr="66E87E8A">
        <w:rPr>
          <w:lang w:val="en-US"/>
        </w:rPr>
        <w:t xml:space="preserve"> 13% felt that </w:t>
      </w:r>
      <w:r w:rsidR="003E5A9A">
        <w:rPr>
          <w:lang w:val="en-US"/>
        </w:rPr>
        <w:t>S</w:t>
      </w:r>
      <w:r w:rsidR="099738DC" w:rsidRPr="66E87E8A">
        <w:rPr>
          <w:lang w:val="en-US"/>
        </w:rPr>
        <w:t xml:space="preserve">tar </w:t>
      </w:r>
      <w:r w:rsidR="003E5A9A">
        <w:rPr>
          <w:lang w:val="en-US"/>
        </w:rPr>
        <w:t>R</w:t>
      </w:r>
      <w:r w:rsidR="099738DC" w:rsidRPr="66E87E8A">
        <w:rPr>
          <w:lang w:val="en-US"/>
        </w:rPr>
        <w:t>atings had, ‘to some extent’ or ‘to a great extent’, prompted improvements in care</w:t>
      </w:r>
      <w:r w:rsidR="16E41F30" w:rsidRPr="66E87E8A">
        <w:rPr>
          <w:lang w:val="en-US"/>
        </w:rPr>
        <w:t xml:space="preserve"> quality</w:t>
      </w:r>
      <w:r w:rsidR="3763B545" w:rsidRPr="66E87E8A">
        <w:rPr>
          <w:lang w:val="en-US"/>
        </w:rPr>
        <w:t>.</w:t>
      </w:r>
    </w:p>
    <w:p w14:paraId="5B4EDBD8" w14:textId="037506E5" w:rsidR="00AC579F" w:rsidRDefault="67885D99" w:rsidP="00AC579F">
      <w:pPr>
        <w:pStyle w:val="Paragraphtext"/>
      </w:pPr>
      <w:r>
        <w:t xml:space="preserve">Consequently, </w:t>
      </w:r>
      <w:r w:rsidR="003E5A9A">
        <w:t>S</w:t>
      </w:r>
      <w:r>
        <w:t xml:space="preserve">tar </w:t>
      </w:r>
      <w:r w:rsidR="003E5A9A">
        <w:t>R</w:t>
      </w:r>
      <w:r>
        <w:t xml:space="preserve">atings </w:t>
      </w:r>
      <w:r w:rsidR="76AD507C">
        <w:t xml:space="preserve">and increased transparency </w:t>
      </w:r>
      <w:r w:rsidR="5FDCB3FB">
        <w:t>are limited in how much of an incentive they place on providers to improve their care minutes performance.</w:t>
      </w:r>
      <w:r w:rsidR="00255ECC">
        <w:t xml:space="preserve"> </w:t>
      </w:r>
    </w:p>
    <w:p w14:paraId="39C7FD11" w14:textId="5C579E3C" w:rsidR="0026366F" w:rsidRPr="00B70D05" w:rsidRDefault="0026366F" w:rsidP="00AC579F">
      <w:pPr>
        <w:pStyle w:val="Heading4"/>
      </w:pPr>
      <w:r>
        <w:lastRenderedPageBreak/>
        <w:t xml:space="preserve">Option </w:t>
      </w:r>
      <w:r w:rsidR="00A9356F">
        <w:t>2</w:t>
      </w:r>
      <w:r>
        <w:t xml:space="preserve">: </w:t>
      </w:r>
      <w:r w:rsidR="00D224DC" w:rsidRPr="009F0955">
        <w:t>Linking care minutes funding to care minutes performance for non</w:t>
      </w:r>
      <w:r w:rsidR="003E7BE3">
        <w:noBreakHyphen/>
      </w:r>
      <w:r w:rsidR="00D224DC" w:rsidRPr="009F0955">
        <w:t xml:space="preserve">specialised services </w:t>
      </w:r>
      <w:r w:rsidR="00D224DC">
        <w:t>located in metropolitan areas</w:t>
      </w:r>
      <w:r w:rsidR="00D224DC" w:rsidRPr="009F0955">
        <w:t xml:space="preserve"> </w:t>
      </w:r>
      <w:r w:rsidR="00D224DC">
        <w:t>with</w:t>
      </w:r>
      <w:r w:rsidR="0023480C">
        <w:t>out</w:t>
      </w:r>
      <w:r w:rsidR="00D224DC">
        <w:t xml:space="preserve"> additional assurance arrangements </w:t>
      </w:r>
    </w:p>
    <w:p w14:paraId="202C18C4" w14:textId="0DF166FA" w:rsidR="008C0BC6" w:rsidRPr="00D74778" w:rsidRDefault="3A5002DE" w:rsidP="0012120B">
      <w:pPr>
        <w:pStyle w:val="Paragraphtext"/>
      </w:pPr>
      <w:r w:rsidRPr="193D1534">
        <w:t xml:space="preserve">Option </w:t>
      </w:r>
      <w:r w:rsidR="7D5719FA">
        <w:t>2</w:t>
      </w:r>
      <w:r w:rsidRPr="193D1534">
        <w:t xml:space="preserve"> would see funding for care minutes linked to a </w:t>
      </w:r>
      <w:r w:rsidR="5FC0B5E0">
        <w:t>hom</w:t>
      </w:r>
      <w:r w:rsidRPr="193D1534">
        <w:t>e</w:t>
      </w:r>
      <w:r w:rsidR="7DE59FC2">
        <w:t>’</w:t>
      </w:r>
      <w:r w:rsidRPr="193D1534">
        <w:t>s performance</w:t>
      </w:r>
      <w:r w:rsidR="61D510D1">
        <w:t xml:space="preserve"> </w:t>
      </w:r>
      <w:r w:rsidRPr="193D1534">
        <w:t xml:space="preserve">for </w:t>
      </w:r>
      <w:r w:rsidR="6B842F13" w:rsidRPr="193D1534">
        <w:t>non</w:t>
      </w:r>
      <w:r w:rsidR="00C9772C">
        <w:noBreakHyphen/>
      </w:r>
      <w:r w:rsidR="6B842F13" w:rsidRPr="193D1534">
        <w:t xml:space="preserve">specialised </w:t>
      </w:r>
      <w:r w:rsidRPr="193D1534">
        <w:t>services located in MM1 areas</w:t>
      </w:r>
      <w:r w:rsidR="5108C321" w:rsidRPr="193D1534">
        <w:t xml:space="preserve"> only</w:t>
      </w:r>
      <w:r w:rsidR="64D60D3B">
        <w:t>.</w:t>
      </w:r>
      <w:r w:rsidR="5108C321" w:rsidRPr="193D1534">
        <w:t xml:space="preserve"> </w:t>
      </w:r>
      <w:r w:rsidR="61D510D1">
        <w:t xml:space="preserve">This </w:t>
      </w:r>
      <w:r w:rsidR="00E87B05">
        <w:t xml:space="preserve">option </w:t>
      </w:r>
      <w:r w:rsidR="61D510D1">
        <w:t>is intended to lift care minutes performance</w:t>
      </w:r>
      <w:r w:rsidR="1D64BF11">
        <w:t xml:space="preserve"> </w:t>
      </w:r>
      <w:r w:rsidR="69816CE1">
        <w:t>through the</w:t>
      </w:r>
      <w:r w:rsidR="05269C23">
        <w:t>re</w:t>
      </w:r>
      <w:r w:rsidR="69816CE1">
        <w:t xml:space="preserve"> being financial implications of not delivering</w:t>
      </w:r>
      <w:r w:rsidR="0E83ABF7">
        <w:t xml:space="preserve"> on required staffing levels</w:t>
      </w:r>
      <w:r w:rsidR="0447344F">
        <w:t xml:space="preserve"> required to comply with care minutes targets.</w:t>
      </w:r>
      <w:r w:rsidR="69816CE1">
        <w:t xml:space="preserve"> It is also intended to </w:t>
      </w:r>
      <w:r w:rsidR="6E0F7353">
        <w:t xml:space="preserve">reduce the extent that </w:t>
      </w:r>
      <w:r w:rsidR="69816CE1">
        <w:t>Govern</w:t>
      </w:r>
      <w:r w:rsidR="6F1E53BB">
        <w:t xml:space="preserve">ment is funding </w:t>
      </w:r>
      <w:r w:rsidR="6E0F7353" w:rsidRPr="00D74778">
        <w:t xml:space="preserve">providers </w:t>
      </w:r>
      <w:r w:rsidR="719137AA" w:rsidRPr="00D74778">
        <w:t>for care time that is not being delivered.</w:t>
      </w:r>
    </w:p>
    <w:p w14:paraId="2DF0D7BA" w14:textId="3ED891F9" w:rsidR="00960C95" w:rsidRPr="00031987" w:rsidRDefault="6E692F11" w:rsidP="00031987">
      <w:pPr>
        <w:spacing w:line="259" w:lineRule="auto"/>
        <w:rPr>
          <w:b/>
        </w:rPr>
      </w:pPr>
      <w:r w:rsidRPr="7083F0C8">
        <w:rPr>
          <w:sz w:val="21"/>
          <w:szCs w:val="21"/>
        </w:rPr>
        <w:t xml:space="preserve">Linking funding to care minutes </w:t>
      </w:r>
      <w:r w:rsidR="2C521B4A" w:rsidRPr="7083F0C8">
        <w:rPr>
          <w:sz w:val="21"/>
          <w:szCs w:val="21"/>
        </w:rPr>
        <w:t>performance</w:t>
      </w:r>
      <w:r w:rsidRPr="7083F0C8">
        <w:rPr>
          <w:sz w:val="21"/>
          <w:szCs w:val="21"/>
        </w:rPr>
        <w:t xml:space="preserve"> would</w:t>
      </w:r>
      <w:r w:rsidR="341D273C" w:rsidRPr="7083F0C8">
        <w:rPr>
          <w:sz w:val="21"/>
          <w:szCs w:val="21"/>
        </w:rPr>
        <w:t xml:space="preserve"> be achieved by establishing a ‘care minutes supplement’ by setting aside a small proportion</w:t>
      </w:r>
      <w:r w:rsidR="1C7A222C" w:rsidRPr="7083F0C8">
        <w:rPr>
          <w:sz w:val="21"/>
          <w:szCs w:val="21"/>
        </w:rPr>
        <w:t xml:space="preserve"> (equivalent to </w:t>
      </w:r>
      <w:r w:rsidR="51FE5700" w:rsidRPr="7083F0C8">
        <w:rPr>
          <w:sz w:val="21"/>
          <w:szCs w:val="21"/>
        </w:rPr>
        <w:t xml:space="preserve">0.113 </w:t>
      </w:r>
      <w:r w:rsidR="751D2FDE" w:rsidRPr="00D74778">
        <w:rPr>
          <w:sz w:val="21"/>
          <w:szCs w:val="21"/>
        </w:rPr>
        <w:t xml:space="preserve">of the </w:t>
      </w:r>
      <w:r w:rsidR="51FE5700" w:rsidRPr="7083F0C8">
        <w:rPr>
          <w:sz w:val="21"/>
          <w:szCs w:val="21"/>
        </w:rPr>
        <w:t xml:space="preserve">national weighted activity </w:t>
      </w:r>
      <w:r w:rsidR="51FE5700" w:rsidRPr="00D74778">
        <w:rPr>
          <w:sz w:val="21"/>
          <w:szCs w:val="21"/>
        </w:rPr>
        <w:t>unit</w:t>
      </w:r>
      <w:r w:rsidR="51FE5700" w:rsidRPr="7083F0C8">
        <w:rPr>
          <w:sz w:val="21"/>
          <w:szCs w:val="21"/>
        </w:rPr>
        <w:t xml:space="preserve"> or NWAU</w:t>
      </w:r>
      <w:r w:rsidR="006A5A9C" w:rsidRPr="7083F0C8">
        <w:rPr>
          <w:rStyle w:val="FootnoteReference"/>
          <w:sz w:val="21"/>
          <w:szCs w:val="21"/>
        </w:rPr>
        <w:footnoteReference w:id="51"/>
      </w:r>
      <w:r w:rsidR="77ACBC2C" w:rsidRPr="7083F0C8">
        <w:rPr>
          <w:sz w:val="21"/>
          <w:szCs w:val="21"/>
        </w:rPr>
        <w:t xml:space="preserve"> or $</w:t>
      </w:r>
      <w:r w:rsidR="00640632" w:rsidRPr="00D74778">
        <w:rPr>
          <w:sz w:val="21"/>
          <w:szCs w:val="21"/>
        </w:rPr>
        <w:t>33.41</w:t>
      </w:r>
      <w:r w:rsidR="77ACBC2C" w:rsidRPr="7083F0C8">
        <w:rPr>
          <w:sz w:val="21"/>
          <w:szCs w:val="21"/>
        </w:rPr>
        <w:t xml:space="preserve"> based on the</w:t>
      </w:r>
      <w:r w:rsidR="004760A7" w:rsidRPr="7083F0C8">
        <w:rPr>
          <w:sz w:val="21"/>
          <w:szCs w:val="21"/>
        </w:rPr>
        <w:t xml:space="preserve"> </w:t>
      </w:r>
      <w:r w:rsidR="004760A7" w:rsidRPr="00D74778">
        <w:rPr>
          <w:sz w:val="21"/>
          <w:szCs w:val="21"/>
        </w:rPr>
        <w:t>proposed</w:t>
      </w:r>
      <w:r w:rsidR="004760A7" w:rsidRPr="7083F0C8">
        <w:rPr>
          <w:sz w:val="21"/>
          <w:szCs w:val="21"/>
        </w:rPr>
        <w:t xml:space="preserve"> AN-ACC price </w:t>
      </w:r>
      <w:r w:rsidR="004760A7" w:rsidRPr="00D74778">
        <w:rPr>
          <w:sz w:val="21"/>
          <w:szCs w:val="21"/>
        </w:rPr>
        <w:t xml:space="preserve">from 1 October </w:t>
      </w:r>
      <w:r w:rsidR="3E17A179" w:rsidRPr="00D74778">
        <w:rPr>
          <w:sz w:val="21"/>
          <w:szCs w:val="21"/>
        </w:rPr>
        <w:t xml:space="preserve">2025 </w:t>
      </w:r>
      <w:r w:rsidR="004760A7" w:rsidRPr="7083F0C8">
        <w:rPr>
          <w:sz w:val="21"/>
          <w:szCs w:val="21"/>
        </w:rPr>
        <w:t xml:space="preserve">of </w:t>
      </w:r>
      <w:r w:rsidR="77ACBC2C" w:rsidRPr="7083F0C8">
        <w:rPr>
          <w:sz w:val="21"/>
          <w:szCs w:val="21"/>
        </w:rPr>
        <w:t>$</w:t>
      </w:r>
      <w:r w:rsidR="004760A7" w:rsidRPr="00D74778">
        <w:rPr>
          <w:sz w:val="21"/>
          <w:szCs w:val="21"/>
        </w:rPr>
        <w:t>295.64</w:t>
      </w:r>
      <w:r w:rsidR="77ACBC2C" w:rsidRPr="7083F0C8">
        <w:rPr>
          <w:sz w:val="21"/>
          <w:szCs w:val="21"/>
        </w:rPr>
        <w:t>)</w:t>
      </w:r>
      <w:r w:rsidR="31B416FA" w:rsidRPr="7083F0C8">
        <w:rPr>
          <w:sz w:val="21"/>
          <w:szCs w:val="21"/>
        </w:rPr>
        <w:t xml:space="preserve"> of </w:t>
      </w:r>
      <w:r w:rsidR="341D273C" w:rsidRPr="7083F0C8">
        <w:rPr>
          <w:sz w:val="21"/>
          <w:szCs w:val="21"/>
        </w:rPr>
        <w:t>the provider’s AN-ACC funding</w:t>
      </w:r>
      <w:r w:rsidR="341D273C" w:rsidRPr="00D74778">
        <w:rPr>
          <w:sz w:val="21"/>
          <w:szCs w:val="21"/>
        </w:rPr>
        <w:t xml:space="preserve"> </w:t>
      </w:r>
      <w:r w:rsidR="0032DEEB" w:rsidRPr="00D74778">
        <w:rPr>
          <w:sz w:val="21"/>
          <w:szCs w:val="21"/>
        </w:rPr>
        <w:t>(i.e. per resident per day)</w:t>
      </w:r>
      <w:r w:rsidR="0032DEEB" w:rsidRPr="7083F0C8">
        <w:rPr>
          <w:sz w:val="21"/>
          <w:szCs w:val="21"/>
        </w:rPr>
        <w:t xml:space="preserve"> </w:t>
      </w:r>
      <w:r w:rsidR="341D273C" w:rsidRPr="7083F0C8">
        <w:rPr>
          <w:sz w:val="21"/>
          <w:szCs w:val="21"/>
        </w:rPr>
        <w:t xml:space="preserve">which will be </w:t>
      </w:r>
      <w:r w:rsidR="527E1442" w:rsidRPr="7083F0C8">
        <w:rPr>
          <w:sz w:val="21"/>
          <w:szCs w:val="21"/>
        </w:rPr>
        <w:t xml:space="preserve">paid at different rates based on a </w:t>
      </w:r>
      <w:r w:rsidR="1238EACC" w:rsidRPr="7083F0C8">
        <w:rPr>
          <w:sz w:val="21"/>
          <w:szCs w:val="21"/>
        </w:rPr>
        <w:t>home</w:t>
      </w:r>
      <w:r w:rsidR="527E1442" w:rsidRPr="7083F0C8">
        <w:rPr>
          <w:sz w:val="21"/>
          <w:szCs w:val="21"/>
        </w:rPr>
        <w:t>’s care minutes performance</w:t>
      </w:r>
      <w:r w:rsidR="00E27580" w:rsidRPr="7083F0C8">
        <w:rPr>
          <w:sz w:val="21"/>
          <w:szCs w:val="21"/>
        </w:rPr>
        <w:t>.</w:t>
      </w:r>
    </w:p>
    <w:p w14:paraId="487351D2" w14:textId="6729445F" w:rsidR="002C58CB" w:rsidRPr="00D74778" w:rsidRDefault="341D273C" w:rsidP="001E3258">
      <w:pPr>
        <w:pStyle w:val="Paragraphtext"/>
        <w:widowControl w:val="0"/>
      </w:pPr>
      <w:r w:rsidRPr="00D74778">
        <w:t xml:space="preserve">The AN-ACC funding withheld would be drawn from the </w:t>
      </w:r>
      <w:r w:rsidR="0CE85C1D" w:rsidRPr="00D74778">
        <w:t>base care tariff</w:t>
      </w:r>
      <w:r w:rsidR="00B91871" w:rsidRPr="00D74778">
        <w:rPr>
          <w:rStyle w:val="FootnoteReference"/>
        </w:rPr>
        <w:footnoteReference w:id="52"/>
      </w:r>
      <w:r w:rsidR="0CE85C1D" w:rsidRPr="00D74778">
        <w:t xml:space="preserve"> (</w:t>
      </w:r>
      <w:r w:rsidR="23881E6A" w:rsidRPr="00D74778">
        <w:t>BCT</w:t>
      </w:r>
      <w:r w:rsidR="0CE85C1D" w:rsidRPr="00D74778">
        <w:t>)</w:t>
      </w:r>
      <w:r w:rsidRPr="00D74778">
        <w:t xml:space="preserve"> component</w:t>
      </w:r>
      <w:r w:rsidR="71D3CBB3" w:rsidRPr="00D74778">
        <w:t xml:space="preserve"> </w:t>
      </w:r>
      <w:r w:rsidR="721F668C" w:rsidRPr="00D74778">
        <w:t xml:space="preserve">as this </w:t>
      </w:r>
      <w:r w:rsidR="71D3CBB3" w:rsidRPr="00D74778">
        <w:t xml:space="preserve">allows the </w:t>
      </w:r>
      <w:r w:rsidR="4CED7350" w:rsidRPr="00D74778">
        <w:t xml:space="preserve">funding change to be targeted </w:t>
      </w:r>
      <w:r w:rsidR="721F668C" w:rsidRPr="00D74778">
        <w:t>at only MM1</w:t>
      </w:r>
      <w:r w:rsidR="3D6A8254" w:rsidRPr="00D74778">
        <w:t xml:space="preserve"> non-specialised</w:t>
      </w:r>
      <w:r w:rsidR="721F668C" w:rsidRPr="00D74778">
        <w:t xml:space="preserve"> </w:t>
      </w:r>
      <w:r w:rsidR="00D67206">
        <w:t>hom</w:t>
      </w:r>
      <w:r w:rsidR="721F668C" w:rsidRPr="00D74778">
        <w:t>es</w:t>
      </w:r>
      <w:r w:rsidR="00CC3ADA" w:rsidRPr="00D74778">
        <w:rPr>
          <w:rStyle w:val="FootnoteReference"/>
        </w:rPr>
        <w:footnoteReference w:id="53"/>
      </w:r>
      <w:r w:rsidR="527E1442" w:rsidRPr="00D74778">
        <w:t xml:space="preserve"> without</w:t>
      </w:r>
      <w:r w:rsidR="17B48BA9" w:rsidRPr="00D74778">
        <w:t xml:space="preserve"> undertaking major aged care payment system changes.</w:t>
      </w:r>
      <w:r w:rsidR="221E8E5F" w:rsidRPr="00D74778">
        <w:t xml:space="preserve"> </w:t>
      </w:r>
    </w:p>
    <w:p w14:paraId="5E4C910D" w14:textId="6DC85C47" w:rsidR="00981670" w:rsidRPr="00AA5972" w:rsidRDefault="00395E1C" w:rsidP="004D0A70">
      <w:pPr>
        <w:pStyle w:val="Paragraphtext"/>
        <w:rPr>
          <w:color w:val="auto"/>
        </w:rPr>
      </w:pPr>
      <w:r w:rsidRPr="00D74778">
        <w:t>Under this option</w:t>
      </w:r>
      <w:r w:rsidR="1FD58E5B" w:rsidRPr="00D74778">
        <w:t>,</w:t>
      </w:r>
      <w:r w:rsidRPr="00D74778">
        <w:t xml:space="preserve"> the care minute supplement</w:t>
      </w:r>
      <w:r w:rsidR="000B4437" w:rsidRPr="00D74778">
        <w:t xml:space="preserve"> would be linked to </w:t>
      </w:r>
      <w:r w:rsidR="01E4A9C2" w:rsidRPr="00D74778">
        <w:t>provider performance</w:t>
      </w:r>
      <w:r w:rsidR="001364C7" w:rsidRPr="00D74778">
        <w:t xml:space="preserve"> as measured by the percentage of total </w:t>
      </w:r>
      <w:r w:rsidR="001B7846" w:rsidRPr="00D74778">
        <w:t xml:space="preserve">care </w:t>
      </w:r>
      <w:r w:rsidR="001364C7" w:rsidRPr="00D74778">
        <w:t>and RN minutes</w:t>
      </w:r>
      <w:r w:rsidR="002F0AC1" w:rsidRPr="00D74778">
        <w:t xml:space="preserve"> targets</w:t>
      </w:r>
      <w:r w:rsidR="001364C7" w:rsidRPr="00D74778">
        <w:t xml:space="preserve"> </w:t>
      </w:r>
      <w:r w:rsidR="002F0AC1" w:rsidRPr="00D74778">
        <w:t>delivered</w:t>
      </w:r>
      <w:r w:rsidR="00A921B5" w:rsidRPr="00D74778">
        <w:t xml:space="preserve"> </w:t>
      </w:r>
      <w:r w:rsidR="01E4A9C2" w:rsidRPr="00D74778">
        <w:t>in the latest period of care minute reporting. A detailed supplement schedule</w:t>
      </w:r>
      <w:r w:rsidR="008C0BC6" w:rsidRPr="00D74778">
        <w:t xml:space="preserve"> for this option</w:t>
      </w:r>
      <w:r w:rsidR="01E4A9C2" w:rsidRPr="00D74778">
        <w:t xml:space="preserve"> is outlined in table </w:t>
      </w:r>
      <w:r w:rsidR="00574BC0" w:rsidRPr="00D74778">
        <w:t>2</w:t>
      </w:r>
      <w:r w:rsidR="01E4A9C2" w:rsidRPr="00D74778">
        <w:t xml:space="preserve"> below. This table is based on the</w:t>
      </w:r>
      <w:r w:rsidR="004760A7" w:rsidRPr="00D74778">
        <w:t xml:space="preserve"> proposed October </w:t>
      </w:r>
      <w:r w:rsidR="006E6D1E" w:rsidRPr="00D74778">
        <w:t>2025</w:t>
      </w:r>
      <w:r w:rsidR="01E4A9C2" w:rsidRPr="00D74778">
        <w:t xml:space="preserve"> AN-ACC price of $2</w:t>
      </w:r>
      <w:r w:rsidR="004760A7" w:rsidRPr="00D74778">
        <w:t>95.64</w:t>
      </w:r>
      <w:r w:rsidR="00E3624F" w:rsidRPr="00D74778">
        <w:t xml:space="preserve"> </w:t>
      </w:r>
      <w:r w:rsidR="01E4A9C2" w:rsidRPr="00D74778">
        <w:t xml:space="preserve">per </w:t>
      </w:r>
      <w:r w:rsidR="00E56DCC" w:rsidRPr="00D74778">
        <w:t>NWAU</w:t>
      </w:r>
      <w:r w:rsidR="00D12EFC" w:rsidRPr="00D74778">
        <w:t xml:space="preserve">, noting that any change in </w:t>
      </w:r>
      <w:r w:rsidR="007B6D2E" w:rsidRPr="00D74778">
        <w:t xml:space="preserve">the AN-ACC </w:t>
      </w:r>
      <w:r w:rsidR="00D12EFC" w:rsidRPr="00D74778">
        <w:t>price wo</w:t>
      </w:r>
      <w:r w:rsidR="007B6D2E" w:rsidRPr="00D74778">
        <w:t>uld see the dollar amounts in this rates table updated</w:t>
      </w:r>
      <w:r w:rsidR="00E56DCC" w:rsidRPr="00D74778">
        <w:t>.</w:t>
      </w:r>
      <w:r w:rsidR="00981670" w:rsidRPr="00D74778">
        <w:t xml:space="preserve"> </w:t>
      </w:r>
    </w:p>
    <w:p w14:paraId="63DE5569" w14:textId="49816D93" w:rsidR="007C4B02" w:rsidRDefault="74F24163" w:rsidP="0012120B">
      <w:pPr>
        <w:pStyle w:val="Paragraphtext"/>
      </w:pPr>
      <w:r w:rsidRPr="00D74778">
        <w:t>The supplement is tapered so that 100% compliance gets providers the</w:t>
      </w:r>
      <w:r w:rsidR="0E11AB73" w:rsidRPr="00D74778">
        <w:t>ir</w:t>
      </w:r>
      <w:r>
        <w:t xml:space="preserve"> full care minute funding, and then the funding reduces for each compliance bracket. Providers delivering less than 85% of both their targets would not get any care minute supplement funding (but they still receive around 85% of their care minutes funding through their remaining AN-ACC funding).</w:t>
      </w:r>
      <w:r w:rsidR="207056AB">
        <w:t xml:space="preserve"> </w:t>
      </w:r>
      <w:r w:rsidR="2DE44FAA">
        <w:t xml:space="preserve">85% was </w:t>
      </w:r>
      <w:r w:rsidR="487D0C57">
        <w:t>selected</w:t>
      </w:r>
      <w:r w:rsidR="2DE44FAA">
        <w:t xml:space="preserve"> as the threshold for </w:t>
      </w:r>
      <w:r w:rsidR="4053F705">
        <w:t>the supplement because</w:t>
      </w:r>
      <w:r w:rsidR="72BFD911">
        <w:t xml:space="preserve"> only a</w:t>
      </w:r>
      <w:r w:rsidR="71B09E80">
        <w:t xml:space="preserve"> relatively</w:t>
      </w:r>
      <w:r w:rsidR="72BFD911">
        <w:t xml:space="preserve"> small number of </w:t>
      </w:r>
      <w:r w:rsidR="649C7266">
        <w:t>hom</w:t>
      </w:r>
      <w:r w:rsidR="0DBCF52C">
        <w:t>es</w:t>
      </w:r>
      <w:r w:rsidR="0CE2B0F7">
        <w:t xml:space="preserve"> </w:t>
      </w:r>
      <w:r w:rsidR="0C5D4CD9">
        <w:t xml:space="preserve">are </w:t>
      </w:r>
      <w:r w:rsidR="71B09E80">
        <w:t>delivering less than 85% of their targets. Specifically</w:t>
      </w:r>
      <w:r w:rsidR="7B786967">
        <w:t>,</w:t>
      </w:r>
      <w:r w:rsidR="71B09E80">
        <w:t xml:space="preserve"> in Q</w:t>
      </w:r>
      <w:r w:rsidR="32BA7C10">
        <w:t>1 of 202</w:t>
      </w:r>
      <w:r w:rsidR="037A9045">
        <w:t>4-25</w:t>
      </w:r>
      <w:r w:rsidR="32BA7C10">
        <w:t xml:space="preserve">, there were </w:t>
      </w:r>
      <w:r w:rsidR="29E41962">
        <w:t>approximately</w:t>
      </w:r>
      <w:r w:rsidR="32BA7C10">
        <w:t xml:space="preserve"> 2% of </w:t>
      </w:r>
      <w:r w:rsidR="6557FFB3">
        <w:t>hom</w:t>
      </w:r>
      <w:r w:rsidR="32BA7C10">
        <w:t xml:space="preserve">es </w:t>
      </w:r>
      <w:r w:rsidR="37C65A0B">
        <w:t xml:space="preserve">delivering less than 85% of their total </w:t>
      </w:r>
      <w:r w:rsidR="49936620">
        <w:t xml:space="preserve">care minutes </w:t>
      </w:r>
      <w:r w:rsidR="37C65A0B">
        <w:t xml:space="preserve">targets, and around 9% of </w:t>
      </w:r>
      <w:r w:rsidR="782A6478">
        <w:t>hom</w:t>
      </w:r>
      <w:r w:rsidR="37C65A0B">
        <w:t>es delivering less than</w:t>
      </w:r>
      <w:r w:rsidR="7B786967">
        <w:t xml:space="preserve"> 85% of their RN targets.</w:t>
      </w:r>
      <w:r w:rsidR="0C5D4CD9">
        <w:t xml:space="preserve"> </w:t>
      </w:r>
    </w:p>
    <w:p w14:paraId="1B97321D" w14:textId="01082C89" w:rsidR="00C00EDC" w:rsidRDefault="361A76A0" w:rsidP="0012120B">
      <w:pPr>
        <w:pStyle w:val="Paragraphtext"/>
      </w:pPr>
      <w:r>
        <w:t xml:space="preserve">Under this option, the ACQSC would remain responsible for regulating care minutes, and </w:t>
      </w:r>
      <w:r w:rsidR="415B5B97">
        <w:t xml:space="preserve">would </w:t>
      </w:r>
      <w:r w:rsidR="037A9045">
        <w:t>be particularly</w:t>
      </w:r>
      <w:r w:rsidR="415B5B97">
        <w:t xml:space="preserve"> focused on the worst performing </w:t>
      </w:r>
      <w:r w:rsidR="5A8BA471">
        <w:t>hom</w:t>
      </w:r>
      <w:r w:rsidR="415B5B97">
        <w:t>es, including those delivering less than 85%</w:t>
      </w:r>
      <w:r w:rsidR="7FDF7F46">
        <w:t xml:space="preserve"> of both their targets</w:t>
      </w:r>
      <w:r w:rsidR="01E59771">
        <w:t xml:space="preserve"> (ensuring that providers cannot maximise their relative funding versus costs by delivering below 85% of their targets)</w:t>
      </w:r>
      <w:r w:rsidR="7FDF7F46">
        <w:t>.</w:t>
      </w:r>
    </w:p>
    <w:p w14:paraId="625D8F1C" w14:textId="77777777" w:rsidR="00FF708F" w:rsidRDefault="11B24EB3" w:rsidP="00FF708F">
      <w:pPr>
        <w:pStyle w:val="TableHeader"/>
        <w:keepNext/>
        <w:rPr>
          <w:color w:val="000000" w:themeColor="text1"/>
        </w:rPr>
      </w:pPr>
      <w:r w:rsidRPr="793722D6">
        <w:rPr>
          <w:color w:val="000000" w:themeColor="text1"/>
        </w:rPr>
        <w:lastRenderedPageBreak/>
        <w:t>Table 2: Proposed care minute supplement rates per resident per day</w:t>
      </w:r>
      <w:r w:rsidRPr="793722D6">
        <w:rPr>
          <w:color w:val="000000" w:themeColor="text1"/>
          <w:vertAlign w:val="superscript"/>
        </w:rPr>
        <w:t>+</w:t>
      </w:r>
      <w:r w:rsidRPr="793722D6">
        <w:rPr>
          <w:color w:val="000000" w:themeColor="text1"/>
        </w:rPr>
        <w:t xml:space="preserve"> </w:t>
      </w:r>
    </w:p>
    <w:p w14:paraId="006CDCC4" w14:textId="4846C3C8" w:rsidR="00E21BF7" w:rsidRPr="00E21BF7" w:rsidRDefault="00E21BF7" w:rsidP="00E21BF7">
      <w:pPr>
        <w:pStyle w:val="Tabletextleft"/>
        <w:rPr>
          <w:lang w:val="en-US"/>
        </w:rPr>
      </w:pPr>
      <w:r w:rsidRPr="00E21BF7">
        <w:rPr>
          <w:noProof/>
          <w:lang w:eastAsia="en-AU"/>
        </w:rPr>
        <w:drawing>
          <wp:inline distT="0" distB="0" distL="0" distR="0" wp14:anchorId="5DD1BAE1" wp14:editId="1D86AB9F">
            <wp:extent cx="5762625" cy="2361732"/>
            <wp:effectExtent l="0" t="0" r="0" b="635"/>
            <wp:docPr id="1104156146" name="Picture 1" descr="Table 2: Proposed care minute supplement rates per resident per day+ shows supplement funding rates are designed to fund homes for the care minutes they delivered and provide funding to enable them to reach the next bracket of comp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56146" name="Picture 1" descr="Table 2: Proposed care minute supplement rates per resident per day+ shows supplement funding rates are designed to fund homes for the care minutes they delivered and provide funding to enable them to reach the next bracket of compliance. "/>
                    <pic:cNvPicPr/>
                  </pic:nvPicPr>
                  <pic:blipFill>
                    <a:blip r:embed="rId25"/>
                    <a:stretch>
                      <a:fillRect/>
                    </a:stretch>
                  </pic:blipFill>
                  <pic:spPr>
                    <a:xfrm>
                      <a:off x="0" y="0"/>
                      <a:ext cx="5762923" cy="2361854"/>
                    </a:xfrm>
                    <a:prstGeom prst="rect">
                      <a:avLst/>
                    </a:prstGeom>
                  </pic:spPr>
                </pic:pic>
              </a:graphicData>
            </a:graphic>
          </wp:inline>
        </w:drawing>
      </w:r>
    </w:p>
    <w:p w14:paraId="0049FE8F" w14:textId="1F35D018" w:rsidR="00FF708F" w:rsidRPr="00FA0941" w:rsidRDefault="00FF708F" w:rsidP="00FA0941">
      <w:pPr>
        <w:pStyle w:val="Tabletextleft"/>
      </w:pPr>
      <w:r w:rsidRPr="000E171C">
        <w:t>*</w:t>
      </w:r>
      <w:r w:rsidRPr="00FA0941">
        <w:t>Rate applicable until care minute performance is first assessed</w:t>
      </w:r>
    </w:p>
    <w:p w14:paraId="188AB0C4" w14:textId="64423367" w:rsidR="007C4B02" w:rsidRPr="00FA0941" w:rsidRDefault="00E56DCC" w:rsidP="00FA0941">
      <w:pPr>
        <w:pStyle w:val="Tabletextleft"/>
      </w:pPr>
      <w:r w:rsidRPr="00FA0941">
        <w:t xml:space="preserve">This table is based </w:t>
      </w:r>
      <w:r w:rsidR="00CD69F8" w:rsidRPr="00FA0941">
        <w:t>a proposed 1 October 2025</w:t>
      </w:r>
      <w:r w:rsidRPr="00FA0941">
        <w:t xml:space="preserve"> AN-ACC price of $</w:t>
      </w:r>
      <w:r w:rsidR="00CD69F8" w:rsidRPr="00FA0941">
        <w:t>295.64</w:t>
      </w:r>
      <w:r w:rsidRPr="00FA0941">
        <w:t xml:space="preserve"> per NWAU.</w:t>
      </w:r>
    </w:p>
    <w:p w14:paraId="20A02DA5" w14:textId="4DA030F5" w:rsidR="004360B3" w:rsidRDefault="7E6D21E4" w:rsidP="0012120B">
      <w:pPr>
        <w:pStyle w:val="Paragraphtext"/>
      </w:pPr>
      <w:r>
        <w:t>The supplement funding rates</w:t>
      </w:r>
      <w:r w:rsidR="45A69CF5">
        <w:t xml:space="preserve"> (in table 2)</w:t>
      </w:r>
      <w:r>
        <w:t xml:space="preserve"> </w:t>
      </w:r>
      <w:r w:rsidR="7FDF7F46">
        <w:t>are designed to</w:t>
      </w:r>
      <w:r>
        <w:t xml:space="preserve"> fund </w:t>
      </w:r>
      <w:r w:rsidR="1F1BB14C">
        <w:t>hom</w:t>
      </w:r>
      <w:r>
        <w:t xml:space="preserve">es for the care minutes they delivered and </w:t>
      </w:r>
      <w:r w:rsidR="4F405F2C">
        <w:t>provide funding to enable them to reach the next bracket of compliance.</w:t>
      </w:r>
      <w:r w:rsidR="3865B5F4">
        <w:t xml:space="preserve"> </w:t>
      </w:r>
      <w:r w:rsidR="16C85127">
        <w:t>That is</w:t>
      </w:r>
      <w:r w:rsidR="445E1382">
        <w:t xml:space="preserve">, </w:t>
      </w:r>
      <w:r w:rsidR="111E1FFA">
        <w:t>under the design of the supplement table</w:t>
      </w:r>
      <w:r w:rsidR="18F9A5C5">
        <w:t>,</w:t>
      </w:r>
      <w:r w:rsidR="111E1FFA">
        <w:t xml:space="preserve"> </w:t>
      </w:r>
      <w:r w:rsidR="445E1382">
        <w:t xml:space="preserve">a </w:t>
      </w:r>
      <w:r w:rsidR="0896170D">
        <w:t>hom</w:t>
      </w:r>
      <w:r w:rsidR="445E1382">
        <w:t xml:space="preserve">e </w:t>
      </w:r>
      <w:r w:rsidR="111E1FFA">
        <w:t xml:space="preserve">is </w:t>
      </w:r>
      <w:r w:rsidR="63F92F2B">
        <w:t xml:space="preserve">generally </w:t>
      </w:r>
      <w:r w:rsidR="445E1382">
        <w:t xml:space="preserve">funded for one compliance (or funding </w:t>
      </w:r>
      <w:r w:rsidR="111E1FFA">
        <w:t>bracket</w:t>
      </w:r>
      <w:r w:rsidR="63F92F2B">
        <w:t xml:space="preserve">) higher than they </w:t>
      </w:r>
      <w:r w:rsidR="01E59771">
        <w:t>perform</w:t>
      </w:r>
      <w:r w:rsidR="79B527AD">
        <w:t>.</w:t>
      </w:r>
      <w:r w:rsidR="63F92F2B">
        <w:t xml:space="preserve"> </w:t>
      </w:r>
      <w:r>
        <w:t xml:space="preserve">For example, if a </w:t>
      </w:r>
      <w:r w:rsidR="2C76481E">
        <w:t>hom</w:t>
      </w:r>
      <w:r>
        <w:t>e was delivering care minutes at 85</w:t>
      </w:r>
      <w:r w:rsidR="71177F6E">
        <w:t>-</w:t>
      </w:r>
      <w:r w:rsidR="3CB8A04F">
        <w:t>87.5</w:t>
      </w:r>
      <w:r>
        <w:t>% of their targets</w:t>
      </w:r>
      <w:r w:rsidR="44B649B6">
        <w:t>,</w:t>
      </w:r>
      <w:r>
        <w:t xml:space="preserve"> the </w:t>
      </w:r>
      <w:r w:rsidR="79B527AD">
        <w:t xml:space="preserve">supplement table is designed to </w:t>
      </w:r>
      <w:r>
        <w:t>fund</w:t>
      </w:r>
      <w:r w:rsidR="488CEC42">
        <w:t xml:space="preserve"> them</w:t>
      </w:r>
      <w:r>
        <w:t xml:space="preserve"> as though they were delivering </w:t>
      </w:r>
      <w:r w:rsidR="6D31F913">
        <w:t>87.5</w:t>
      </w:r>
      <w:r w:rsidR="3A9FAE69">
        <w:t>-90</w:t>
      </w:r>
      <w:r>
        <w:t xml:space="preserve">%. In effect, this provides a funding ladder for </w:t>
      </w:r>
      <w:r w:rsidR="6822F732">
        <w:t>hom</w:t>
      </w:r>
      <w:r>
        <w:t>es to increase their care minutes delivered to achieve full compliance.</w:t>
      </w:r>
    </w:p>
    <w:p w14:paraId="6CAE3329" w14:textId="43DEC336" w:rsidR="004360B3" w:rsidRDefault="269F09DC" w:rsidP="0012120B">
      <w:pPr>
        <w:pStyle w:val="Paragraphtext"/>
      </w:pPr>
      <w:r>
        <w:t xml:space="preserve">If </w:t>
      </w:r>
      <w:r w:rsidR="07757984">
        <w:t xml:space="preserve">providers elect </w:t>
      </w:r>
      <w:r w:rsidR="48A562A7">
        <w:t xml:space="preserve">for their homes </w:t>
      </w:r>
      <w:r w:rsidR="07757984">
        <w:t xml:space="preserve">to remain in </w:t>
      </w:r>
      <w:r w:rsidR="5BBC87A5">
        <w:t>a low compliance</w:t>
      </w:r>
      <w:r w:rsidR="07757984">
        <w:t xml:space="preserve"> funding bracket through a lack of action to improve thei</w:t>
      </w:r>
      <w:r w:rsidR="0C8B03EB">
        <w:t>r care minute compliance</w:t>
      </w:r>
      <w:r w:rsidR="717E01D4">
        <w:t>,</w:t>
      </w:r>
      <w:r w:rsidR="50D985E1">
        <w:t xml:space="preserve"> they </w:t>
      </w:r>
      <w:r w:rsidR="7E3544FB">
        <w:t>may</w:t>
      </w:r>
      <w:r w:rsidR="50D985E1">
        <w:t xml:space="preserve"> be</w:t>
      </w:r>
      <w:r w:rsidR="576253EE">
        <w:t>come</w:t>
      </w:r>
      <w:r w:rsidR="50D985E1">
        <w:t xml:space="preserve"> subject to </w:t>
      </w:r>
      <w:r w:rsidR="0BCF93E6">
        <w:t>ACQS</w:t>
      </w:r>
      <w:r w:rsidR="2BD3450D">
        <w:t>C</w:t>
      </w:r>
      <w:r w:rsidR="48451016">
        <w:t xml:space="preserve">’s regulatory action. </w:t>
      </w:r>
      <w:r w:rsidR="1B6FF410">
        <w:t xml:space="preserve">Low compliance would also </w:t>
      </w:r>
      <w:r w:rsidR="1FC18545">
        <w:t>result</w:t>
      </w:r>
      <w:r w:rsidR="1B6FF410">
        <w:t xml:space="preserve"> in low </w:t>
      </w:r>
      <w:r w:rsidR="1234C52B">
        <w:t>S</w:t>
      </w:r>
      <w:r w:rsidR="1B6FF410">
        <w:t>ta</w:t>
      </w:r>
      <w:r w:rsidR="2493C721">
        <w:t>ffing</w:t>
      </w:r>
      <w:r w:rsidR="1B6FF410">
        <w:t xml:space="preserve"> </w:t>
      </w:r>
      <w:r w:rsidR="0158E8F8">
        <w:t>R</w:t>
      </w:r>
      <w:r w:rsidR="1B6FF410">
        <w:t>atings</w:t>
      </w:r>
      <w:r w:rsidR="460D4294">
        <w:t xml:space="preserve"> for the provider</w:t>
      </w:r>
      <w:r w:rsidR="05C56BFD">
        <w:t xml:space="preserve"> </w:t>
      </w:r>
      <w:r w:rsidR="423CD62F">
        <w:t xml:space="preserve">and the home </w:t>
      </w:r>
      <w:r w:rsidR="05C56BFD">
        <w:t>a</w:t>
      </w:r>
      <w:r w:rsidR="460D4294">
        <w:t>nd</w:t>
      </w:r>
      <w:r w:rsidR="79AB348C">
        <w:t xml:space="preserve"> </w:t>
      </w:r>
      <w:r w:rsidR="05C56BFD">
        <w:t xml:space="preserve">ultimately </w:t>
      </w:r>
      <w:r w:rsidR="156F640E">
        <w:t xml:space="preserve">lower </w:t>
      </w:r>
      <w:r w:rsidR="7E4ED939">
        <w:t>O</w:t>
      </w:r>
      <w:r w:rsidR="05C56BFD">
        <w:t xml:space="preserve">verall </w:t>
      </w:r>
      <w:r w:rsidR="00A17182">
        <w:t>S</w:t>
      </w:r>
      <w:r w:rsidR="05C56BFD">
        <w:t xml:space="preserve">tar </w:t>
      </w:r>
      <w:r w:rsidR="00A17182">
        <w:t>R</w:t>
      </w:r>
      <w:r w:rsidR="05C56BFD">
        <w:t>atings</w:t>
      </w:r>
      <w:r w:rsidR="2B38106E">
        <w:t xml:space="preserve">. </w:t>
      </w:r>
      <w:r w:rsidR="65ADBBD0">
        <w:t xml:space="preserve">Furthermore, the provider would not get the additional funding </w:t>
      </w:r>
      <w:r w:rsidR="1CB1352D">
        <w:t>from being in a higher compliance bracket</w:t>
      </w:r>
      <w:r w:rsidR="5CFB920A">
        <w:t>.</w:t>
      </w:r>
    </w:p>
    <w:p w14:paraId="36807C3F" w14:textId="64FAA0EC" w:rsidR="00DA034F" w:rsidRDefault="23F5C443" w:rsidP="00C14E12">
      <w:pPr>
        <w:pStyle w:val="Paragraphtext"/>
      </w:pPr>
      <w:r>
        <w:t xml:space="preserve">While the supplement generally provides funding to support a 2.5 percentage point improvement in care minutes </w:t>
      </w:r>
      <w:r w:rsidR="4D31813B">
        <w:t>compliance</w:t>
      </w:r>
      <w:r>
        <w:t xml:space="preserve">, once compliance gets close to 100% (above 95%) the additional funding is wound back or the </w:t>
      </w:r>
      <w:r w:rsidRPr="00DF6C26">
        <w:t>financial impact of not meeting the care minutes target is reduced. For example, moving from</w:t>
      </w:r>
      <w:r w:rsidR="00461EDB" w:rsidRPr="00DF6C26">
        <w:t xml:space="preserve"> just above</w:t>
      </w:r>
      <w:r w:rsidRPr="00DF6C26">
        <w:t xml:space="preserve"> 100% to </w:t>
      </w:r>
      <w:r w:rsidR="00461EDB" w:rsidRPr="00674318">
        <w:t xml:space="preserve">just above </w:t>
      </w:r>
      <w:r w:rsidRPr="00DF6C26">
        <w:t xml:space="preserve">97.5% compliance would see a </w:t>
      </w:r>
      <w:r w:rsidRPr="00F6003D">
        <w:t>provider’s funding reduce by $2.</w:t>
      </w:r>
      <w:r w:rsidR="00296AF3">
        <w:t>37</w:t>
      </w:r>
      <w:r w:rsidR="00296AF3" w:rsidRPr="00F6003D">
        <w:t xml:space="preserve"> </w:t>
      </w:r>
      <w:r w:rsidRPr="00F6003D">
        <w:t>per resident per day ($</w:t>
      </w:r>
      <w:r w:rsidR="00DF6C26" w:rsidRPr="00F6003D">
        <w:t>33.41 to $3</w:t>
      </w:r>
      <w:r w:rsidR="00BB2CC1">
        <w:t>1.04</w:t>
      </w:r>
      <w:r w:rsidRPr="00F6003D">
        <w:t>), while moving from 92.5% to 90.0% compliance would see funding reduce by around $5.</w:t>
      </w:r>
      <w:r w:rsidR="00F6003D" w:rsidRPr="00F6003D">
        <w:t>91</w:t>
      </w:r>
      <w:r w:rsidRPr="00F6003D">
        <w:t xml:space="preserve"> per resident per day ($</w:t>
      </w:r>
      <w:r w:rsidR="00B706E5" w:rsidRPr="00674318">
        <w:t>24.24</w:t>
      </w:r>
      <w:r w:rsidRPr="00F6003D">
        <w:t>-$</w:t>
      </w:r>
      <w:r w:rsidR="00B706E5" w:rsidRPr="00F6003D">
        <w:t>18.33</w:t>
      </w:r>
      <w:r w:rsidRPr="00F6003D">
        <w:t>).</w:t>
      </w:r>
      <w:r w:rsidR="00451EC8">
        <w:t xml:space="preserve"> </w:t>
      </w:r>
      <w:r w:rsidR="72621F94" w:rsidRPr="00F6003D">
        <w:t xml:space="preserve">This recognises the efforts of providers </w:t>
      </w:r>
      <w:r w:rsidR="7B930BF7" w:rsidRPr="00F6003D">
        <w:t xml:space="preserve">with homes </w:t>
      </w:r>
      <w:r w:rsidR="72621F94" w:rsidRPr="00F6003D">
        <w:t xml:space="preserve">who are close to their </w:t>
      </w:r>
      <w:r w:rsidR="1BB5CA86" w:rsidRPr="00F6003D">
        <w:t xml:space="preserve">care minutes </w:t>
      </w:r>
      <w:r w:rsidR="72621F94" w:rsidRPr="00F6003D">
        <w:t>targets and may</w:t>
      </w:r>
      <w:r w:rsidR="72621F94">
        <w:t xml:space="preserve"> for one reason or another fall just short</w:t>
      </w:r>
      <w:r w:rsidR="766116B5">
        <w:t>, possibly due to a time-limited event</w:t>
      </w:r>
      <w:r w:rsidR="72621F94">
        <w:t>. Conversely, it also gives a greater financial incentive to those that are far away from meeting their targets. In addition, it ensures that the same amount of funding removed from the MM1 areas BCT is provided for 100% compliance</w:t>
      </w:r>
      <w:r w:rsidR="005178C6">
        <w:t xml:space="preserve"> (that is, any home that meets both their target</w:t>
      </w:r>
      <w:r w:rsidR="002362AA">
        <w:t>s</w:t>
      </w:r>
      <w:r w:rsidR="005178C6">
        <w:t xml:space="preserve"> will not experience any funding change under this option)</w:t>
      </w:r>
      <w:r w:rsidR="72621F94">
        <w:t>.</w:t>
      </w:r>
    </w:p>
    <w:p w14:paraId="78FF96C3" w14:textId="71A5B1F5" w:rsidR="00A604B2" w:rsidRDefault="7048C00C" w:rsidP="0012120B">
      <w:pPr>
        <w:pStyle w:val="Paragraphtext"/>
      </w:pPr>
      <w:r>
        <w:t>The size of the funding brackets</w:t>
      </w:r>
      <w:r w:rsidR="51DDCDEF">
        <w:t xml:space="preserve"> in table 2</w:t>
      </w:r>
      <w:r>
        <w:t xml:space="preserve"> is a balance between ensuring there is sufficient funding for providers to continue to deliver more care minutes (creating the funding ladder</w:t>
      </w:r>
      <w:r w:rsidR="76D26D86">
        <w:t xml:space="preserve"> mentioned above)</w:t>
      </w:r>
      <w:r w:rsidR="266CC942">
        <w:t>,</w:t>
      </w:r>
      <w:r>
        <w:t xml:space="preserve"> </w:t>
      </w:r>
      <w:r w:rsidR="5E9F658D">
        <w:t xml:space="preserve">and </w:t>
      </w:r>
      <w:r w:rsidR="5FC230B3">
        <w:t>the size of the</w:t>
      </w:r>
      <w:r>
        <w:t xml:space="preserve"> financial </w:t>
      </w:r>
      <w:r w:rsidR="5FC230B3">
        <w:t>impact</w:t>
      </w:r>
      <w:r>
        <w:t xml:space="preserve"> for not delivering their targets</w:t>
      </w:r>
      <w:r w:rsidR="08AB9098">
        <w:t xml:space="preserve"> and usability of each bracket</w:t>
      </w:r>
      <w:r>
        <w:t xml:space="preserve">. </w:t>
      </w:r>
      <w:r w:rsidR="5FC230B3">
        <w:t>For example, a</w:t>
      </w:r>
      <w:r>
        <w:t xml:space="preserve"> smaller funding bracket of 1% would not create a sufficient funding ladder to support providers to deliver more care minutes each quarter</w:t>
      </w:r>
      <w:r w:rsidR="40F04F3D">
        <w:t xml:space="preserve"> while also complicating the policy</w:t>
      </w:r>
      <w:r>
        <w:t xml:space="preserve">, and a funding bracket of 5% would impose a significant financial </w:t>
      </w:r>
      <w:r w:rsidR="23F5C443">
        <w:t>impact</w:t>
      </w:r>
      <w:r>
        <w:t xml:space="preserve"> of falling just short. The funding bracket of 2.5% aims to strike an appropriate balance</w:t>
      </w:r>
      <w:r w:rsidR="51DDCDEF">
        <w:t xml:space="preserve"> in this respect.</w:t>
      </w:r>
    </w:p>
    <w:p w14:paraId="16F4D870" w14:textId="7A5A6852" w:rsidR="005D6445" w:rsidRDefault="01E4A9C2" w:rsidP="0012120B">
      <w:pPr>
        <w:pStyle w:val="Paragraphtext"/>
      </w:pPr>
      <w:r>
        <w:t>The</w:t>
      </w:r>
      <w:r w:rsidR="00E51B21">
        <w:t xml:space="preserve"> care minutes </w:t>
      </w:r>
      <w:r>
        <w:t>supplement would be payable monthly, based on the latest available care minute quarterly performance data. For example, the April, May and June 2026 supplement payments would be based on care minute performance in October-December 2025</w:t>
      </w:r>
      <w:r w:rsidR="0006445E">
        <w:t xml:space="preserve"> (in line with </w:t>
      </w:r>
      <w:r w:rsidR="00C87AA4">
        <w:lastRenderedPageBreak/>
        <w:t>Figure</w:t>
      </w:r>
      <w:r w:rsidR="002916E3">
        <w:t xml:space="preserve"> 1 below</w:t>
      </w:r>
      <w:r w:rsidR="0006445E">
        <w:t>)</w:t>
      </w:r>
      <w:r>
        <w:t>.</w:t>
      </w:r>
      <w:r w:rsidR="00F7639B">
        <w:t xml:space="preserve"> In effect, providers will continue to receive their AN-ACC funding in full until March 2024</w:t>
      </w:r>
      <w:r w:rsidR="00634832">
        <w:t xml:space="preserve">, ensuring that there are no funding gaps. </w:t>
      </w:r>
    </w:p>
    <w:p w14:paraId="1FDB84C9" w14:textId="2E54D6E0" w:rsidR="008549A4" w:rsidRDefault="7E080834" w:rsidP="0012120B">
      <w:pPr>
        <w:pStyle w:val="Paragraphtext"/>
      </w:pPr>
      <w:r>
        <w:t xml:space="preserve">The delay between the </w:t>
      </w:r>
      <w:r w:rsidR="676B9EB8">
        <w:t>delivery of care minutes and the impacts on funding described above</w:t>
      </w:r>
      <w:r w:rsidR="5DA1CEDB">
        <w:t>, and show</w:t>
      </w:r>
      <w:r w:rsidR="72621F94">
        <w:t>n in Figure 1 below</w:t>
      </w:r>
      <w:r w:rsidR="408C2E24">
        <w:t>,</w:t>
      </w:r>
      <w:r w:rsidR="676B9EB8">
        <w:t xml:space="preserve"> </w:t>
      </w:r>
      <w:r w:rsidR="2EC40953">
        <w:t>is necessary because of</w:t>
      </w:r>
      <w:r w:rsidR="5DA1CEDB">
        <w:t xml:space="preserve"> the current </w:t>
      </w:r>
      <w:r w:rsidR="6726F964">
        <w:t xml:space="preserve">quarterly </w:t>
      </w:r>
      <w:r w:rsidR="5DA1CEDB">
        <w:t>care minutes reporting timeframes</w:t>
      </w:r>
      <w:r w:rsidR="09A57C74">
        <w:t>, with reporting not submitted until around 6 weeks after the end of the quarter</w:t>
      </w:r>
      <w:r w:rsidR="1ACFA65E">
        <w:t>.</w:t>
      </w:r>
      <w:r w:rsidR="295827E0">
        <w:t xml:space="preserve"> </w:t>
      </w:r>
      <w:r w:rsidR="1ACFA65E">
        <w:t xml:space="preserve">Shifting to monthly care minute reporting was considered </w:t>
      </w:r>
      <w:r w:rsidR="275F2872">
        <w:t>but</w:t>
      </w:r>
      <w:r w:rsidR="1ACFA65E">
        <w:t xml:space="preserve"> it was </w:t>
      </w:r>
      <w:r w:rsidR="434BD22D">
        <w:t>determined</w:t>
      </w:r>
      <w:r w:rsidR="1ACFA65E">
        <w:t xml:space="preserve"> to </w:t>
      </w:r>
      <w:r w:rsidR="607386B4">
        <w:t xml:space="preserve">place too much additional administrative burden on providers. </w:t>
      </w:r>
      <w:r w:rsidR="12D6395C">
        <w:t>Monthly</w:t>
      </w:r>
      <w:r w:rsidR="22875D5A">
        <w:t xml:space="preserve"> reporting</w:t>
      </w:r>
      <w:r w:rsidR="607386B4">
        <w:t xml:space="preserve"> is</w:t>
      </w:r>
      <w:r w:rsidR="1C17F0D4">
        <w:t xml:space="preserve"> </w:t>
      </w:r>
      <w:r w:rsidR="607386B4">
        <w:t>something that could be considered in the future</w:t>
      </w:r>
      <w:r w:rsidR="57B12CC6">
        <w:t xml:space="preserve"> when business to government </w:t>
      </w:r>
      <w:r w:rsidR="27C4221F">
        <w:t xml:space="preserve">reporting solutions are </w:t>
      </w:r>
      <w:r w:rsidR="3DE336B0">
        <w:t>further</w:t>
      </w:r>
      <w:r w:rsidR="27C4221F">
        <w:t xml:space="preserve"> developed. </w:t>
      </w:r>
    </w:p>
    <w:p w14:paraId="32AA104E" w14:textId="15A9BCAF" w:rsidR="005D6445" w:rsidRDefault="005D6445" w:rsidP="00CE23B4"/>
    <w:p w14:paraId="7CCB8EC8" w14:textId="10574655" w:rsidR="0006445E" w:rsidRPr="0012120B" w:rsidRDefault="008549A4" w:rsidP="00CE23B4">
      <w:pPr>
        <w:rPr>
          <w:rFonts w:eastAsia="Cambria"/>
          <w:b/>
          <w:color w:val="000000" w:themeColor="text1"/>
          <w:szCs w:val="22"/>
          <w:lang w:val="en-US"/>
        </w:rPr>
      </w:pPr>
      <w:r w:rsidRPr="0012120B">
        <w:rPr>
          <w:rFonts w:eastAsia="Cambria"/>
          <w:b/>
          <w:color w:val="000000" w:themeColor="text1"/>
          <w:szCs w:val="22"/>
          <w:lang w:val="en-US"/>
        </w:rPr>
        <w:t>Figure 1</w:t>
      </w:r>
      <w:r>
        <w:rPr>
          <w:rFonts w:eastAsia="Cambria"/>
          <w:b/>
          <w:color w:val="000000" w:themeColor="text1"/>
          <w:szCs w:val="22"/>
          <w:lang w:val="en-US"/>
        </w:rPr>
        <w:t xml:space="preserve">: </w:t>
      </w:r>
      <w:r w:rsidR="008569D4">
        <w:rPr>
          <w:rFonts w:eastAsia="Cambria"/>
          <w:b/>
          <w:color w:val="000000" w:themeColor="text1"/>
          <w:szCs w:val="22"/>
          <w:lang w:val="en-US"/>
        </w:rPr>
        <w:t>Timing of linking funding to care minutes</w:t>
      </w:r>
    </w:p>
    <w:p w14:paraId="76C92519" w14:textId="239405E2" w:rsidR="0006445E" w:rsidRDefault="0006445E" w:rsidP="00CE23B4">
      <w:r>
        <w:rPr>
          <w:noProof/>
          <w:lang w:eastAsia="en-AU"/>
        </w:rPr>
        <w:drawing>
          <wp:inline distT="0" distB="0" distL="0" distR="0" wp14:anchorId="00B272EA" wp14:editId="0F94905D">
            <wp:extent cx="5759450" cy="2762885"/>
            <wp:effectExtent l="0" t="0" r="0" b="0"/>
            <wp:docPr id="4" name="Picture 4" descr="Figure 1: Timing of linking funding to care minutes shows that April, May and June 2026 supplement payments would be based on care minute performance in October-December 2025.&#10;"/>
            <wp:cNvGraphicFramePr/>
            <a:graphic xmlns:a="http://schemas.openxmlformats.org/drawingml/2006/main">
              <a:graphicData uri="http://schemas.openxmlformats.org/drawingml/2006/picture">
                <pic:pic xmlns:pic="http://schemas.openxmlformats.org/drawingml/2006/picture">
                  <pic:nvPicPr>
                    <pic:cNvPr id="4" name="Picture 4" descr="Figure 1: Timing of linking funding to care minutes shows that April, May and June 2026 supplement payments would be based on care minute performance in October-December 2025.&#10;"/>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59450" cy="2762885"/>
                    </a:xfrm>
                    <a:prstGeom prst="rect">
                      <a:avLst/>
                    </a:prstGeom>
                    <a:noFill/>
                    <a:ln>
                      <a:noFill/>
                    </a:ln>
                  </pic:spPr>
                </pic:pic>
              </a:graphicData>
            </a:graphic>
          </wp:inline>
        </w:drawing>
      </w:r>
    </w:p>
    <w:p w14:paraId="4ED981EC" w14:textId="5A7D7D30" w:rsidR="00A21275" w:rsidRPr="001E5835" w:rsidRDefault="00A21275" w:rsidP="001E5835">
      <w:pPr>
        <w:pStyle w:val="Paragraphtext"/>
        <w:spacing w:line="259" w:lineRule="auto"/>
        <w:rPr>
          <w:b/>
        </w:rPr>
      </w:pPr>
      <w:r w:rsidRPr="001E5835">
        <w:rPr>
          <w:b/>
        </w:rPr>
        <w:t>Restricting</w:t>
      </w:r>
      <w:r w:rsidR="001E5835">
        <w:rPr>
          <w:b/>
        </w:rPr>
        <w:t xml:space="preserve"> care </w:t>
      </w:r>
      <w:r w:rsidR="001E5835" w:rsidRPr="00905770">
        <w:rPr>
          <w:b/>
        </w:rPr>
        <w:t xml:space="preserve">funding to </w:t>
      </w:r>
      <w:r w:rsidR="001E5835">
        <w:rPr>
          <w:b/>
        </w:rPr>
        <w:t xml:space="preserve">care compliance to metropolitan areas </w:t>
      </w:r>
      <w:r w:rsidRPr="001E5835">
        <w:rPr>
          <w:b/>
        </w:rPr>
        <w:t xml:space="preserve"> </w:t>
      </w:r>
    </w:p>
    <w:p w14:paraId="483880DA" w14:textId="5FE5B88F" w:rsidR="00C076E9" w:rsidRDefault="00682DAE" w:rsidP="0012120B">
      <w:pPr>
        <w:pStyle w:val="Paragraphtext"/>
      </w:pPr>
      <w:r>
        <w:t>Option 2</w:t>
      </w:r>
      <w:r w:rsidR="00483BDB">
        <w:t xml:space="preserve"> proposes to </w:t>
      </w:r>
      <w:r>
        <w:t xml:space="preserve">link funding to care minutes </w:t>
      </w:r>
      <w:r w:rsidR="00AB36EF">
        <w:t xml:space="preserve">compliance </w:t>
      </w:r>
      <w:r w:rsidR="009F4F38">
        <w:t>in</w:t>
      </w:r>
      <w:r w:rsidR="00AB36EF">
        <w:t xml:space="preserve"> homes operating in metropolitan areas </w:t>
      </w:r>
      <w:r w:rsidR="00B445E3">
        <w:t>(MM</w:t>
      </w:r>
      <w:r w:rsidR="00FB4429">
        <w:t xml:space="preserve">1) which is </w:t>
      </w:r>
      <w:r w:rsidR="00B55E87">
        <w:t>the majority</w:t>
      </w:r>
      <w:r w:rsidR="00C42936">
        <w:t xml:space="preserve"> (</w:t>
      </w:r>
      <w:r w:rsidR="00B8125F">
        <w:t xml:space="preserve">around </w:t>
      </w:r>
      <w:r w:rsidR="00FA037C">
        <w:t>64</w:t>
      </w:r>
      <w:r w:rsidR="00C42936">
        <w:t>%)</w:t>
      </w:r>
      <w:r w:rsidR="00B55E87">
        <w:t xml:space="preserve"> of</w:t>
      </w:r>
      <w:r w:rsidR="00251370">
        <w:t xml:space="preserve"> </w:t>
      </w:r>
      <w:r w:rsidR="00666DA3">
        <w:t>all aged care home</w:t>
      </w:r>
      <w:r w:rsidR="00C42936">
        <w:t>s</w:t>
      </w:r>
      <w:r w:rsidR="00B55E87">
        <w:t>.</w:t>
      </w:r>
      <w:r w:rsidR="00E11EE7">
        <w:t xml:space="preserve"> As was </w:t>
      </w:r>
      <w:r w:rsidR="00C26349">
        <w:t xml:space="preserve">shown in </w:t>
      </w:r>
      <w:r w:rsidR="003B6024">
        <w:t>C</w:t>
      </w:r>
      <w:r w:rsidR="00C26349">
        <w:t xml:space="preserve">hart </w:t>
      </w:r>
      <w:r w:rsidR="007F086A">
        <w:t>4</w:t>
      </w:r>
      <w:r w:rsidR="00E11EE7">
        <w:t xml:space="preserve">, </w:t>
      </w:r>
      <w:r w:rsidR="395F6108">
        <w:t>hom</w:t>
      </w:r>
      <w:r w:rsidR="00A8622A">
        <w:t xml:space="preserve">es in MM1 areas </w:t>
      </w:r>
      <w:r w:rsidR="00271FC6">
        <w:t xml:space="preserve">also </w:t>
      </w:r>
      <w:r w:rsidR="00A8622A">
        <w:t>have the lowest compliance rate with the</w:t>
      </w:r>
      <w:r w:rsidR="7CFBBABB">
        <w:t>ir</w:t>
      </w:r>
      <w:r w:rsidR="00A8622A">
        <w:t xml:space="preserve"> care minutes </w:t>
      </w:r>
      <w:r w:rsidR="4880D1DF">
        <w:t>target</w:t>
      </w:r>
      <w:r w:rsidR="00C076E9">
        <w:t xml:space="preserve">. </w:t>
      </w:r>
    </w:p>
    <w:p w14:paraId="4861FF21" w14:textId="78DD0A78" w:rsidR="00FD3C86" w:rsidRDefault="00E7151E" w:rsidP="0012120B">
      <w:pPr>
        <w:pStyle w:val="Paragraphtext"/>
      </w:pPr>
      <w:r>
        <w:t>By t</w:t>
      </w:r>
      <w:r w:rsidR="00871102">
        <w:t xml:space="preserve">argeting </w:t>
      </w:r>
      <w:r w:rsidR="001F246F">
        <w:t xml:space="preserve">homes operating in MM1, </w:t>
      </w:r>
      <w:r w:rsidR="009A7200">
        <w:t xml:space="preserve">this option </w:t>
      </w:r>
      <w:r w:rsidR="000B57EA">
        <w:t xml:space="preserve">will impact the largest </w:t>
      </w:r>
      <w:r w:rsidR="00F33D21">
        <w:t>number</w:t>
      </w:r>
      <w:r w:rsidR="009D1937">
        <w:t xml:space="preserve"> of homes (by geographical grouping) and </w:t>
      </w:r>
      <w:r w:rsidR="00D71F22">
        <w:t>those that have the highest levels of non-compliance with their care minutes targets.</w:t>
      </w:r>
      <w:r w:rsidR="009D4402">
        <w:t xml:space="preserve"> Furthermore, homes operating in MM1 also include </w:t>
      </w:r>
      <w:r w:rsidR="00204257">
        <w:t xml:space="preserve">the highest proportion of for-profit homes which have </w:t>
      </w:r>
      <w:r w:rsidR="006F4FF1">
        <w:t xml:space="preserve">higher levels of care minute non-compliance as compared to </w:t>
      </w:r>
      <w:r w:rsidR="000134C7">
        <w:t xml:space="preserve">homes with </w:t>
      </w:r>
      <w:r w:rsidR="006F4FF1">
        <w:t xml:space="preserve">other </w:t>
      </w:r>
      <w:r w:rsidR="005B04CB">
        <w:t>ownership types</w:t>
      </w:r>
      <w:r w:rsidR="00BC4A37">
        <w:t>.</w:t>
      </w:r>
    </w:p>
    <w:p w14:paraId="2A11C8D8" w14:textId="744507DA" w:rsidR="00FC4479" w:rsidRDefault="000806A1" w:rsidP="0012120B">
      <w:pPr>
        <w:pStyle w:val="Paragraphtext"/>
      </w:pPr>
      <w:r>
        <w:t xml:space="preserve">Consideration was given to also linking funding to homes outside of </w:t>
      </w:r>
      <w:r w:rsidR="004A1EB2">
        <w:t>MM1</w:t>
      </w:r>
      <w:r w:rsidR="000A6A37">
        <w:t>.</w:t>
      </w:r>
      <w:r w:rsidR="00094E5F">
        <w:t xml:space="preserve"> </w:t>
      </w:r>
      <w:r w:rsidR="00995565">
        <w:t xml:space="preserve">This was ruled out because of sector feedback around </w:t>
      </w:r>
      <w:r w:rsidR="0081321D">
        <w:t xml:space="preserve">workforce shortages in these locations </w:t>
      </w:r>
      <w:r w:rsidR="00D11585">
        <w:t xml:space="preserve">and </w:t>
      </w:r>
      <w:r w:rsidR="00995565">
        <w:t xml:space="preserve">viability concerns (refer section </w:t>
      </w:r>
      <w:r w:rsidR="00C563E7">
        <w:t>5 of this report</w:t>
      </w:r>
      <w:r w:rsidR="00995565">
        <w:t xml:space="preserve">) </w:t>
      </w:r>
      <w:r w:rsidR="00D11585">
        <w:t>if they were subject to reduced funding due to non-compliance with care minutes tar</w:t>
      </w:r>
      <w:r w:rsidR="00B302A0">
        <w:t>gets</w:t>
      </w:r>
      <w:r w:rsidR="00AE7C16">
        <w:t xml:space="preserve">. </w:t>
      </w:r>
      <w:r w:rsidR="00064BAC">
        <w:t>This concern</w:t>
      </w:r>
      <w:r w:rsidR="00B302A0">
        <w:t xml:space="preserve"> is</w:t>
      </w:r>
      <w:r w:rsidR="00DB643B">
        <w:t xml:space="preserve"> supported by</w:t>
      </w:r>
      <w:r w:rsidR="00C2157A">
        <w:t xml:space="preserve"> QFR data showing</w:t>
      </w:r>
      <w:r w:rsidR="00C15309">
        <w:t xml:space="preserve"> relatively high</w:t>
      </w:r>
      <w:r w:rsidR="005A233E">
        <w:t>er</w:t>
      </w:r>
      <w:r w:rsidR="00C15309">
        <w:t xml:space="preserve"> labour cost </w:t>
      </w:r>
      <w:r w:rsidR="0006531E">
        <w:t>variability outside of metropolitan areas</w:t>
      </w:r>
      <w:r w:rsidR="00140564">
        <w:t>.</w:t>
      </w:r>
      <w:r w:rsidR="008832B3">
        <w:t xml:space="preserve"> This variability in costs means that there is a risk that some </w:t>
      </w:r>
      <w:r w:rsidR="2D9BC139">
        <w:t>provider</w:t>
      </w:r>
      <w:r w:rsidR="008832B3">
        <w:t>s are not</w:t>
      </w:r>
      <w:r w:rsidR="005A233E">
        <w:t xml:space="preserve"> currently</w:t>
      </w:r>
      <w:r w:rsidR="008832B3">
        <w:t xml:space="preserve"> meeting their care minutes </w:t>
      </w:r>
      <w:r w:rsidR="00F3062B">
        <w:t xml:space="preserve">targets </w:t>
      </w:r>
      <w:r w:rsidR="008832B3">
        <w:t>because they have significantly higher labour costs than their BCT average</w:t>
      </w:r>
      <w:r w:rsidR="00DB643B">
        <w:t>,</w:t>
      </w:r>
      <w:r w:rsidR="008832B3">
        <w:t xml:space="preserve"> driven by factors unique to the location</w:t>
      </w:r>
      <w:r w:rsidR="40134FEF">
        <w:t xml:space="preserve"> of their homes</w:t>
      </w:r>
      <w:r w:rsidR="008832B3">
        <w:t>, such as local workforce availability</w:t>
      </w:r>
      <w:r w:rsidR="17838BBE">
        <w:t xml:space="preserve">, </w:t>
      </w:r>
      <w:r w:rsidR="008832B3">
        <w:t>housing costs</w:t>
      </w:r>
      <w:r w:rsidR="13A6288F">
        <w:t>, travel costs,</w:t>
      </w:r>
      <w:r w:rsidR="008832B3">
        <w:t xml:space="preserve"> etc</w:t>
      </w:r>
      <w:r w:rsidR="15E62127">
        <w:t>.</w:t>
      </w:r>
      <w:r w:rsidR="005A233E">
        <w:t xml:space="preserve"> that are </w:t>
      </w:r>
      <w:r w:rsidR="00F66674">
        <w:t>outside of their control</w:t>
      </w:r>
      <w:r w:rsidR="008832B3">
        <w:t xml:space="preserve">. In this context, reducing funding because a provider did not meet their care minutes </w:t>
      </w:r>
      <w:r w:rsidR="2B4974BF">
        <w:t xml:space="preserve">targets </w:t>
      </w:r>
      <w:r w:rsidR="008832B3">
        <w:t>will further limit the provider</w:t>
      </w:r>
      <w:r w:rsidR="00884A53">
        <w:t>’</w:t>
      </w:r>
      <w:r w:rsidR="008832B3">
        <w:t xml:space="preserve">s ability to meet their </w:t>
      </w:r>
      <w:r w:rsidR="00884A53">
        <w:t>targets</w:t>
      </w:r>
      <w:r w:rsidR="00B4791B">
        <w:t>, and</w:t>
      </w:r>
      <w:r w:rsidR="00C14771">
        <w:t xml:space="preserve"> potentially impact </w:t>
      </w:r>
      <w:r w:rsidR="7A4294FB">
        <w:t xml:space="preserve">their </w:t>
      </w:r>
      <w:r w:rsidR="0592E4E6">
        <w:t xml:space="preserve">financial </w:t>
      </w:r>
      <w:r w:rsidR="00C14771">
        <w:t>viability.</w:t>
      </w:r>
    </w:p>
    <w:p w14:paraId="4C432107" w14:textId="46F843F5" w:rsidR="00C14771" w:rsidRDefault="00C14771" w:rsidP="0012120B">
      <w:pPr>
        <w:pStyle w:val="Paragraphtext"/>
      </w:pPr>
      <w:r>
        <w:t xml:space="preserve">Chart </w:t>
      </w:r>
      <w:r w:rsidR="00AD18AB">
        <w:t>9</w:t>
      </w:r>
      <w:r w:rsidR="00412499">
        <w:t xml:space="preserve"> highlights labour cost variability across the sector</w:t>
      </w:r>
      <w:r w:rsidR="00140300">
        <w:t xml:space="preserve"> and shows that it </w:t>
      </w:r>
      <w:r w:rsidR="00D46733">
        <w:t>is generally higher outside of MM1 areas</w:t>
      </w:r>
      <w:r w:rsidR="002A0C1C">
        <w:t>.</w:t>
      </w:r>
      <w:r w:rsidR="00412499">
        <w:t xml:space="preserve"> </w:t>
      </w:r>
      <w:r>
        <w:t xml:space="preserve">For example, the middle 50% of services in MM1 have an average cost </w:t>
      </w:r>
      <w:r w:rsidR="00F96EA2">
        <w:t>for</w:t>
      </w:r>
      <w:r>
        <w:t xml:space="preserve"> each hour of direct care </w:t>
      </w:r>
      <w:r w:rsidR="00B379D6">
        <w:t xml:space="preserve">of </w:t>
      </w:r>
      <w:r>
        <w:t xml:space="preserve">between $58 and $64 (a variance of $6/hour), compared to a variance of $10/hour in MM4-5 and a variance of around $17/hour in MM6-7. The variance is even greater when considering the </w:t>
      </w:r>
      <w:r w:rsidR="005A25C0">
        <w:t>outer qua</w:t>
      </w:r>
      <w:r w:rsidR="007320AA">
        <w:t>rtiles</w:t>
      </w:r>
      <w:r>
        <w:t xml:space="preserve"> of labour expenses from all </w:t>
      </w:r>
      <w:r w:rsidR="00547649">
        <w:t>home</w:t>
      </w:r>
      <w:r>
        <w:t>s</w:t>
      </w:r>
      <w:r w:rsidR="002A0C1C">
        <w:t xml:space="preserve"> (shown by the</w:t>
      </w:r>
      <w:r w:rsidR="00334F3F">
        <w:t xml:space="preserve"> length of the</w:t>
      </w:r>
      <w:r w:rsidR="002A0C1C">
        <w:t xml:space="preserve"> ‘whiskers</w:t>
      </w:r>
      <w:r w:rsidR="00334F3F">
        <w:t xml:space="preserve">’ in the </w:t>
      </w:r>
      <w:r w:rsidR="00AD18AB">
        <w:t xml:space="preserve">chart 9 </w:t>
      </w:r>
      <w:r w:rsidR="00334F3F">
        <w:t>below.</w:t>
      </w:r>
      <w:r>
        <w:t xml:space="preserve"> </w:t>
      </w:r>
    </w:p>
    <w:p w14:paraId="0B55DA03" w14:textId="31BDCBA5" w:rsidR="00DA034F" w:rsidRDefault="00071426" w:rsidP="00905770">
      <w:pPr>
        <w:pStyle w:val="TableTitle"/>
        <w:keepNext/>
      </w:pPr>
      <w:r w:rsidRPr="000E171C">
        <w:lastRenderedPageBreak/>
        <w:t xml:space="preserve">Chart </w:t>
      </w:r>
      <w:r w:rsidR="00AD18AB" w:rsidRPr="000E171C">
        <w:t>9</w:t>
      </w:r>
      <w:r w:rsidR="00F7734B" w:rsidRPr="000E171C">
        <w:t xml:space="preserve">: </w:t>
      </w:r>
      <w:r w:rsidR="009B3EEE" w:rsidRPr="000E171C">
        <w:t xml:space="preserve">Labour costs </w:t>
      </w:r>
      <w:r w:rsidR="0030200A" w:rsidRPr="000E171C">
        <w:t>per direct care hour by BCT categories</w:t>
      </w:r>
    </w:p>
    <w:p w14:paraId="4AA0C3D4" w14:textId="60E4557B" w:rsidR="00071426" w:rsidRDefault="00E5464D" w:rsidP="001D65B8">
      <w:pPr>
        <w:pStyle w:val="TableTitle"/>
        <w:keepNext/>
      </w:pPr>
      <w:r w:rsidRPr="00E5464D">
        <w:rPr>
          <w:noProof/>
          <w:lang w:val="en-AU" w:eastAsia="en-AU"/>
        </w:rPr>
        <w:drawing>
          <wp:inline distT="0" distB="0" distL="0" distR="0" wp14:anchorId="4FD0ABBD" wp14:editId="29D9AE40">
            <wp:extent cx="5715000" cy="3400893"/>
            <wp:effectExtent l="0" t="0" r="0" b="9525"/>
            <wp:docPr id="1573040417" name="Picture 1" descr="Chart 9: Labour costs per direct care hour by BCT categories shows labour cost variability across the sector and shows that it is generally higher outside of MM1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40417" name="Picture 1" descr="Chart 9: Labour costs per direct care hour by BCT categories shows labour cost variability across the sector and shows that it is generally higher outside of MM1 areas. "/>
                    <pic:cNvPicPr/>
                  </pic:nvPicPr>
                  <pic:blipFill>
                    <a:blip r:embed="rId28"/>
                    <a:stretch>
                      <a:fillRect/>
                    </a:stretch>
                  </pic:blipFill>
                  <pic:spPr>
                    <a:xfrm>
                      <a:off x="0" y="0"/>
                      <a:ext cx="5731756" cy="3410864"/>
                    </a:xfrm>
                    <a:prstGeom prst="rect">
                      <a:avLst/>
                    </a:prstGeom>
                  </pic:spPr>
                </pic:pic>
              </a:graphicData>
            </a:graphic>
          </wp:inline>
        </w:drawing>
      </w:r>
    </w:p>
    <w:p w14:paraId="7F33CAEB" w14:textId="2CCEBD2C" w:rsidR="00CB03EA" w:rsidRPr="00A57242" w:rsidRDefault="32588AB7" w:rsidP="00CB03EA">
      <w:pPr>
        <w:pStyle w:val="Tabletextleft"/>
        <w:rPr>
          <w:rStyle w:val="Hyperlink"/>
        </w:rPr>
      </w:pPr>
      <w:r>
        <w:t>Source: D</w:t>
      </w:r>
      <w:r w:rsidR="7A4F60E1">
        <w:t>oHDA</w:t>
      </w:r>
      <w:r w:rsidR="4107C620">
        <w:t xml:space="preserve"> </w:t>
      </w:r>
      <w:r w:rsidR="763386FF">
        <w:t>using</w:t>
      </w:r>
      <w:r w:rsidR="21E1A9DE">
        <w:t xml:space="preserve"> calculations based on </w:t>
      </w:r>
      <w:r w:rsidR="0DB0E36A">
        <w:t xml:space="preserve">Q2 2024-25 </w:t>
      </w:r>
      <w:r w:rsidR="2FA5056F">
        <w:t>Q</w:t>
      </w:r>
      <w:r w:rsidR="763386FF">
        <w:t>FR</w:t>
      </w:r>
      <w:r w:rsidR="0DB0E36A">
        <w:t xml:space="preserve"> data.</w:t>
      </w:r>
      <w:r w:rsidR="0DB0E36A" w:rsidRPr="06D89531">
        <w:rPr>
          <w:rStyle w:val="Hyperlink"/>
        </w:rPr>
        <w:t xml:space="preserve"> </w:t>
      </w:r>
    </w:p>
    <w:p w14:paraId="3C630BA1" w14:textId="77777777" w:rsidR="008C4FCC" w:rsidRDefault="00CB03EA" w:rsidP="00854B63">
      <w:pPr>
        <w:pStyle w:val="Tabletextleft"/>
      </w:pPr>
      <w:r>
        <w:t>Notes: This is based on provider self-reported RN, EN &amp; PCW/AIN worked hours</w:t>
      </w:r>
      <w:r w:rsidR="0061789E">
        <w:t>, labour expenses</w:t>
      </w:r>
      <w:r>
        <w:t xml:space="preserve"> and occupied bed days data from the Q</w:t>
      </w:r>
      <w:r w:rsidR="00931E80">
        <w:t>FR</w:t>
      </w:r>
      <w:r>
        <w:t xml:space="preserve">. </w:t>
      </w:r>
    </w:p>
    <w:p w14:paraId="4185F113" w14:textId="1C387166" w:rsidR="00743811" w:rsidRDefault="00743811" w:rsidP="00373990">
      <w:pPr>
        <w:pStyle w:val="Paragraphtext"/>
      </w:pPr>
      <w:r>
        <w:t>Restricting the linking of care funding to care minutes to homes operating in MM1 means that residents in metropolitan areas will directly benefit from this option whilst those living in homes operating in regional and remote areas (MM2</w:t>
      </w:r>
      <w:r w:rsidR="00D0616B">
        <w:noBreakHyphen/>
      </w:r>
      <w:r>
        <w:t xml:space="preserve">7) will not. Although residents in regional and remote areas will not initially benefit from linking care minute compliance to funding, </w:t>
      </w:r>
      <w:r w:rsidR="07D5F81D">
        <w:t>the ACQSC will have greater capability to target non</w:t>
      </w:r>
      <w:r w:rsidR="00660640">
        <w:noBreakHyphen/>
      </w:r>
      <w:r w:rsidR="07D5F81D">
        <w:t>compliant homes operating outside metropolitan areas</w:t>
      </w:r>
      <w:r w:rsidR="727595C9">
        <w:t xml:space="preserve"> as homes in metropolitan areas become more compliant under this option</w:t>
      </w:r>
      <w:r w:rsidR="07D5F81D">
        <w:t>.</w:t>
      </w:r>
      <w:r>
        <w:t xml:space="preserve"> </w:t>
      </w:r>
    </w:p>
    <w:p w14:paraId="6AA9E5B6" w14:textId="6E5D40F7" w:rsidR="00743811" w:rsidRPr="00373990" w:rsidRDefault="00743811" w:rsidP="00746005">
      <w:pPr>
        <w:pStyle w:val="Paragraphtext"/>
      </w:pPr>
      <w:r w:rsidRPr="00373990">
        <w:t>Women will not be unfairly disadvantaged by linking care funding to care minute compliance as the ratio of women to men across MM locations is constant. Similarly, there is no significant variation of ages and AN-ACC classifications for residents across different geographical locations. Residents with CALD backgrounds and homes that provide aged care to these residents are more commonly located in metropolitan rather than regional and remote areas and therefore</w:t>
      </w:r>
      <w:r w:rsidR="0093658F">
        <w:t>,</w:t>
      </w:r>
      <w:r w:rsidRPr="00373990">
        <w:t xml:space="preserve"> will benefit</w:t>
      </w:r>
      <w:r w:rsidR="00373990">
        <w:t xml:space="preserve"> directly</w:t>
      </w:r>
      <w:r w:rsidRPr="00373990">
        <w:t xml:space="preserve"> under this option.</w:t>
      </w:r>
    </w:p>
    <w:p w14:paraId="23218C5E" w14:textId="6795A35E" w:rsidR="003F2AF3" w:rsidRPr="00905770" w:rsidRDefault="003F2AF3" w:rsidP="00905770">
      <w:pPr>
        <w:pStyle w:val="Paragraphtext"/>
        <w:spacing w:line="259" w:lineRule="auto"/>
        <w:rPr>
          <w:b/>
        </w:rPr>
      </w:pPr>
      <w:r>
        <w:rPr>
          <w:b/>
        </w:rPr>
        <w:t>Ex</w:t>
      </w:r>
      <w:r w:rsidR="006D76EE">
        <w:rPr>
          <w:b/>
        </w:rPr>
        <w:t>cluding specialised homeless services</w:t>
      </w:r>
      <w:r>
        <w:rPr>
          <w:b/>
        </w:rPr>
        <w:t xml:space="preserve"> </w:t>
      </w:r>
      <w:r w:rsidRPr="001E5835">
        <w:rPr>
          <w:b/>
        </w:rPr>
        <w:t xml:space="preserve"> </w:t>
      </w:r>
    </w:p>
    <w:p w14:paraId="6F78CB9C" w14:textId="12682482" w:rsidR="00497A4F" w:rsidRDefault="00497A4F" w:rsidP="0012120B">
      <w:pPr>
        <w:pStyle w:val="Paragraphtext"/>
      </w:pPr>
      <w:r>
        <w:t>It is</w:t>
      </w:r>
      <w:r w:rsidR="00487B36">
        <w:t xml:space="preserve"> also</w:t>
      </w:r>
      <w:r>
        <w:t xml:space="preserve"> not proposed that </w:t>
      </w:r>
      <w:r w:rsidR="61DBAD7C">
        <w:t xml:space="preserve">homes providing </w:t>
      </w:r>
      <w:r>
        <w:t>specialised</w:t>
      </w:r>
      <w:r w:rsidR="004E5AC1">
        <w:t xml:space="preserve"> homeless</w:t>
      </w:r>
      <w:r w:rsidR="69DC6EB2">
        <w:t xml:space="preserve"> </w:t>
      </w:r>
      <w:r w:rsidR="004E5AC1">
        <w:t>services</w:t>
      </w:r>
      <w:r>
        <w:t xml:space="preserve"> are included in this option because of the ongoing work being undertaken by Government on whether an alternative skills mix should be incorporated into care minutes </w:t>
      </w:r>
      <w:r w:rsidR="00E00EE1">
        <w:t xml:space="preserve">requirements </w:t>
      </w:r>
      <w:r>
        <w:t>in</w:t>
      </w:r>
      <w:r w:rsidR="004E5AC1">
        <w:t xml:space="preserve"> these</w:t>
      </w:r>
      <w:r>
        <w:t xml:space="preserve"> </w:t>
      </w:r>
      <w:r w:rsidR="3AAD3724">
        <w:t>homes</w:t>
      </w:r>
      <w:r>
        <w:t xml:space="preserve"> to better meet the </w:t>
      </w:r>
      <w:r w:rsidR="00861401">
        <w:t xml:space="preserve">distinct </w:t>
      </w:r>
      <w:r>
        <w:t xml:space="preserve">needs of their </w:t>
      </w:r>
      <w:r w:rsidR="00E90450">
        <w:t>residents</w:t>
      </w:r>
      <w:r>
        <w:t xml:space="preserve">. </w:t>
      </w:r>
    </w:p>
    <w:p w14:paraId="48DA4D8C" w14:textId="3530ED45" w:rsidR="000A3030" w:rsidRDefault="0AF89F5A" w:rsidP="0012120B">
      <w:pPr>
        <w:pStyle w:val="Paragraphtext"/>
      </w:pPr>
      <w:r>
        <w:t>T</w:t>
      </w:r>
      <w:r w:rsidR="46BACE23">
        <w:t xml:space="preserve">his </w:t>
      </w:r>
      <w:r w:rsidR="55E9A2C6">
        <w:t>funding change</w:t>
      </w:r>
      <w:r w:rsidR="46BACE23">
        <w:t xml:space="preserve"> </w:t>
      </w:r>
      <w:r w:rsidR="5DF03022">
        <w:t>propose</w:t>
      </w:r>
      <w:r w:rsidR="00E802CC">
        <w:t>d</w:t>
      </w:r>
      <w:r w:rsidR="5DF03022">
        <w:t xml:space="preserve"> </w:t>
      </w:r>
      <w:r w:rsidR="00E802CC">
        <w:t>i</w:t>
      </w:r>
      <w:r w:rsidR="5DF03022">
        <w:t xml:space="preserve">n Option 2 </w:t>
      </w:r>
      <w:r w:rsidR="46BACE23">
        <w:t>is</w:t>
      </w:r>
      <w:r w:rsidR="00621648">
        <w:t xml:space="preserve"> broadly</w:t>
      </w:r>
      <w:r w:rsidR="46BACE23">
        <w:t xml:space="preserve"> consistent with recommendations of the </w:t>
      </w:r>
      <w:r w:rsidR="08EA7BF2">
        <w:t xml:space="preserve">UTS </w:t>
      </w:r>
      <w:r w:rsidR="46BACE23">
        <w:t xml:space="preserve">UARC Aged Care Sector Full Year 2023-24 report </w:t>
      </w:r>
      <w:r w:rsidR="77D05F6D">
        <w:t xml:space="preserve">which </w:t>
      </w:r>
      <w:r w:rsidR="46BACE23">
        <w:t>suggest</w:t>
      </w:r>
      <w:r w:rsidR="005C534B">
        <w:t>s</w:t>
      </w:r>
      <w:r w:rsidR="46BACE23">
        <w:t xml:space="preserve"> that </w:t>
      </w:r>
      <w:r w:rsidR="46BACE23" w:rsidRPr="006C649A">
        <w:t>more explicit conditions that require homes to meet their mandatory direct care staffing obligations</w:t>
      </w:r>
      <w:r w:rsidR="46BACE23">
        <w:t xml:space="preserve"> are needed, </w:t>
      </w:r>
      <w:r w:rsidR="25920B28">
        <w:t xml:space="preserve">but that </w:t>
      </w:r>
      <w:r w:rsidR="5B1613FE">
        <w:t>G</w:t>
      </w:r>
      <w:r w:rsidR="46BACE23">
        <w:t xml:space="preserve">overnment should be </w:t>
      </w:r>
      <w:r w:rsidR="46BACE23" w:rsidRPr="006C649A">
        <w:t>cautio</w:t>
      </w:r>
      <w:r w:rsidR="46BACE23">
        <w:t>us of</w:t>
      </w:r>
      <w:r w:rsidR="46BACE23" w:rsidRPr="006C649A">
        <w:t xml:space="preserve"> </w:t>
      </w:r>
      <w:r w:rsidR="46BACE23">
        <w:t xml:space="preserve">implementing </w:t>
      </w:r>
      <w:r w:rsidR="46BACE23" w:rsidRPr="006C649A">
        <w:t>any policy response</w:t>
      </w:r>
      <w:r w:rsidR="46BACE23">
        <w:t xml:space="preserve"> to care minutes non-compliance</w:t>
      </w:r>
      <w:r w:rsidR="46BACE23" w:rsidRPr="006C649A">
        <w:t xml:space="preserve"> that adopts a blunt approach (e.g. adjustment of the AN-ACC price</w:t>
      </w:r>
      <w:r w:rsidR="0C341236">
        <w:t xml:space="preserve">, which would </w:t>
      </w:r>
      <w:r w:rsidR="0C341236">
        <w:lastRenderedPageBreak/>
        <w:t>simply result in less funding for the whole sector</w:t>
      </w:r>
      <w:r w:rsidR="46BACE23" w:rsidRPr="006C649A">
        <w:t>) that unfairly and unintentionally penalises homes that are meeting or exceeding their staffing obligations</w:t>
      </w:r>
      <w:r w:rsidR="00CD77B4">
        <w:rPr>
          <w:rStyle w:val="FootnoteReference"/>
        </w:rPr>
        <w:footnoteReference w:id="54"/>
      </w:r>
      <w:r w:rsidR="54618274" w:rsidRPr="009A1733">
        <w:rPr>
          <w:szCs w:val="21"/>
        </w:rPr>
        <w:t>.</w:t>
      </w:r>
    </w:p>
    <w:p w14:paraId="5BAD6D90" w14:textId="3C0DB03D" w:rsidR="00C05F94" w:rsidRPr="00C05F94" w:rsidRDefault="350CDFD4" w:rsidP="00C05F94">
      <w:pPr>
        <w:pStyle w:val="Paragraphtext"/>
      </w:pPr>
      <w:r>
        <w:t>Under this option</w:t>
      </w:r>
      <w:r w:rsidR="589A131B">
        <w:t>,</w:t>
      </w:r>
      <w:r>
        <w:t xml:space="preserve"> the risk that providers </w:t>
      </w:r>
      <w:r w:rsidR="7D3BE1E4">
        <w:t xml:space="preserve">over </w:t>
      </w:r>
      <w:r>
        <w:t>report</w:t>
      </w:r>
      <w:r w:rsidR="7D3BE1E4">
        <w:t xml:space="preserve"> their care minutes</w:t>
      </w:r>
      <w:r w:rsidR="0B8E730F">
        <w:t xml:space="preserve"> (to gain access to higher levels of funding) </w:t>
      </w:r>
      <w:r w:rsidR="5AD4703B">
        <w:t xml:space="preserve">rather than </w:t>
      </w:r>
      <w:r w:rsidR="0B8E730F">
        <w:t>deliver</w:t>
      </w:r>
      <w:r w:rsidR="5AD4703B">
        <w:t xml:space="preserve"> increased </w:t>
      </w:r>
      <w:r w:rsidR="7CC4440C">
        <w:t xml:space="preserve">minutes </w:t>
      </w:r>
      <w:r>
        <w:t xml:space="preserve">would be managed by the department’s </w:t>
      </w:r>
      <w:r w:rsidR="4D4F7E14">
        <w:t xml:space="preserve">existing </w:t>
      </w:r>
      <w:r>
        <w:t>reporting assessment program</w:t>
      </w:r>
      <w:r w:rsidR="7CC4440C">
        <w:t xml:space="preserve">, which </w:t>
      </w:r>
      <w:r w:rsidR="0DC0CB35">
        <w:t>aims</w:t>
      </w:r>
      <w:r w:rsidR="7CC4440C">
        <w:t xml:space="preserve"> to</w:t>
      </w:r>
      <w:r>
        <w:t xml:space="preserve"> check the accuracy of </w:t>
      </w:r>
      <w:r w:rsidR="4D4F7E14">
        <w:t xml:space="preserve">one quarter of </w:t>
      </w:r>
      <w:r w:rsidR="0DD4E923">
        <w:t xml:space="preserve">the care minute </w:t>
      </w:r>
      <w:r w:rsidR="4D4F7E14">
        <w:t xml:space="preserve">reporting from </w:t>
      </w:r>
      <w:r>
        <w:t xml:space="preserve">around one third of </w:t>
      </w:r>
      <w:r w:rsidR="7CC4440C">
        <w:t xml:space="preserve">all </w:t>
      </w:r>
      <w:r w:rsidR="40296C38">
        <w:t>homes</w:t>
      </w:r>
      <w:r w:rsidR="7CC4440C">
        <w:t xml:space="preserve"> </w:t>
      </w:r>
      <w:r>
        <w:t>each year.</w:t>
      </w:r>
    </w:p>
    <w:p w14:paraId="1CCEF6EC" w14:textId="7254BEE9" w:rsidR="00771057" w:rsidRDefault="64B30820" w:rsidP="00773746">
      <w:pPr>
        <w:pStyle w:val="Heading4"/>
      </w:pPr>
      <w:r>
        <w:t xml:space="preserve">Option 3: </w:t>
      </w:r>
      <w:r w:rsidRPr="009F0955">
        <w:t>Linking care minutes funding to care minutes performance for non</w:t>
      </w:r>
      <w:r w:rsidR="00D0119D">
        <w:noBreakHyphen/>
      </w:r>
      <w:r w:rsidRPr="009F0955">
        <w:t xml:space="preserve">specialised services </w:t>
      </w:r>
      <w:r>
        <w:t>located in metropolitan areas</w:t>
      </w:r>
      <w:r w:rsidRPr="009F0955">
        <w:t xml:space="preserve"> </w:t>
      </w:r>
      <w:r>
        <w:t xml:space="preserve">with additional assurance arrangements </w:t>
      </w:r>
    </w:p>
    <w:p w14:paraId="186BFB4F" w14:textId="382CD5F3" w:rsidR="00A70CC4" w:rsidRDefault="00AA087B" w:rsidP="002132AD">
      <w:pPr>
        <w:pStyle w:val="Paragraphtext"/>
      </w:pPr>
      <w:r>
        <w:t xml:space="preserve">Under this option, funding for care minutes would be linked to care minutes delivery in all </w:t>
      </w:r>
      <w:r w:rsidR="007371E4">
        <w:t>non</w:t>
      </w:r>
      <w:r w:rsidR="00373990">
        <w:rPr>
          <w:vertAlign w:val="subscript"/>
        </w:rPr>
        <w:noBreakHyphen/>
      </w:r>
      <w:r w:rsidR="007371E4">
        <w:t xml:space="preserve">specialised metropolitan </w:t>
      </w:r>
      <w:r>
        <w:t xml:space="preserve">aged care </w:t>
      </w:r>
      <w:r w:rsidR="1DEE47A8">
        <w:t>hom</w:t>
      </w:r>
      <w:r>
        <w:t xml:space="preserve">es consistent with the approach described under </w:t>
      </w:r>
      <w:r w:rsidR="00714848">
        <w:t>O</w:t>
      </w:r>
      <w:r>
        <w:t>ption 2</w:t>
      </w:r>
      <w:r w:rsidR="00803CDF">
        <w:t xml:space="preserve">, but with additional assurance </w:t>
      </w:r>
      <w:r w:rsidR="00226142">
        <w:t>arrangements.</w:t>
      </w:r>
    </w:p>
    <w:p w14:paraId="49CF2A13" w14:textId="30002A3F" w:rsidR="002132AD" w:rsidRDefault="541B527C" w:rsidP="002132AD">
      <w:pPr>
        <w:pStyle w:val="Paragraphtext"/>
      </w:pPr>
      <w:r>
        <w:t>Linking funding to the delivery of care minutes increases incentive</w:t>
      </w:r>
      <w:r w:rsidR="6C89A8FD">
        <w:t>s</w:t>
      </w:r>
      <w:r>
        <w:t xml:space="preserve"> </w:t>
      </w:r>
      <w:r w:rsidR="005005F5">
        <w:t>for</w:t>
      </w:r>
      <w:r>
        <w:t xml:space="preserve"> providers to over report their care minutes</w:t>
      </w:r>
      <w:r w:rsidR="1320FA9F">
        <w:t xml:space="preserve"> delivery</w:t>
      </w:r>
      <w:r>
        <w:t xml:space="preserve">. While this incentive already exists because care minutes reporting is used for Star </w:t>
      </w:r>
      <w:r w:rsidR="002132AD">
        <w:t>R</w:t>
      </w:r>
      <w:r>
        <w:t>atings and to support the ACQSC’s regulation of care minutes, this option substantially increases the incentive on providers to over report</w:t>
      </w:r>
      <w:r w:rsidR="2E4D90D5">
        <w:t xml:space="preserve"> because </w:t>
      </w:r>
      <w:r w:rsidR="2BE95B8E">
        <w:t>they can directly benefit financially from doing so.</w:t>
      </w:r>
    </w:p>
    <w:p w14:paraId="2B8DE4C9" w14:textId="77777777" w:rsidR="002132AD" w:rsidRDefault="002132AD" w:rsidP="002132AD">
      <w:pPr>
        <w:pStyle w:val="Paragraphtext"/>
      </w:pPr>
      <w:r>
        <w:t>To manage this risk, this option includes new assurance and fraud control arrangements. These include:</w:t>
      </w:r>
    </w:p>
    <w:p w14:paraId="21362368" w14:textId="6E165814" w:rsidR="00A26B41" w:rsidRPr="00AE7DD1" w:rsidRDefault="002132AD" w:rsidP="00AE7DD1">
      <w:pPr>
        <w:pStyle w:val="ListBullet"/>
        <w:numPr>
          <w:ilvl w:val="0"/>
          <w:numId w:val="13"/>
        </w:numPr>
      </w:pPr>
      <w:r w:rsidRPr="00AE7DD1">
        <w:t xml:space="preserve">Introducing a new requirement for providers to submit a Care Minutes Performance Statement annually as part of their </w:t>
      </w:r>
      <w:r w:rsidR="00A26B41" w:rsidRPr="00AE7DD1">
        <w:t>A</w:t>
      </w:r>
      <w:r w:rsidR="00742D7C" w:rsidRPr="00AE7DD1">
        <w:t>CFR</w:t>
      </w:r>
      <w:r w:rsidRPr="00AE7DD1">
        <w:t>. Through this statement</w:t>
      </w:r>
      <w:r w:rsidR="00742D7C" w:rsidRPr="00AE7DD1">
        <w:t>,</w:t>
      </w:r>
      <w:r w:rsidRPr="00AE7DD1">
        <w:t xml:space="preserve"> providers </w:t>
      </w:r>
      <w:r w:rsidR="00A26B41" w:rsidRPr="00AE7DD1">
        <w:t>would be required</w:t>
      </w:r>
      <w:r w:rsidRPr="00AE7DD1">
        <w:t xml:space="preserve"> to resubmit their care time and expense reporting for each quarter over the financial year. This allows providers to correct any errors in their reporting that are discovered through end-of-financial-year </w:t>
      </w:r>
      <w:r w:rsidR="00753B1B" w:rsidRPr="00AE7DD1">
        <w:t>processes and</w:t>
      </w:r>
      <w:r w:rsidRPr="00AE7DD1">
        <w:t xml:space="preserve"> consolidates 4</w:t>
      </w:r>
      <w:r w:rsidR="5CAE1DEA" w:rsidRPr="00AE7DD1">
        <w:t xml:space="preserve"> </w:t>
      </w:r>
      <w:r w:rsidRPr="00AE7DD1">
        <w:t>quarters of reporting for audit purposes (see next point)</w:t>
      </w:r>
      <w:r w:rsidR="00997BAB" w:rsidRPr="00AE7DD1">
        <w:t>.</w:t>
      </w:r>
    </w:p>
    <w:p w14:paraId="640D3893" w14:textId="3DB662D8" w:rsidR="00A26B41" w:rsidRPr="00AE7DD1" w:rsidRDefault="002132AD" w:rsidP="00AE7DD1">
      <w:pPr>
        <w:pStyle w:val="ListBullet"/>
        <w:numPr>
          <w:ilvl w:val="0"/>
          <w:numId w:val="13"/>
        </w:numPr>
      </w:pPr>
      <w:r w:rsidRPr="00AE7DD1">
        <w:t>Introducing a requirement for providers to have their Care Minutes Performance Statement audited annually by an auditor under assurance standard ASAE 3000.</w:t>
      </w:r>
      <w:r w:rsidR="00D95EE2" w:rsidRPr="00AE7DD1">
        <w:t xml:space="preserve"> </w:t>
      </w:r>
    </w:p>
    <w:p w14:paraId="7942B81E" w14:textId="310B341A" w:rsidR="002132AD" w:rsidRPr="00AE7DD1" w:rsidRDefault="002132AD" w:rsidP="00AE7DD1">
      <w:pPr>
        <w:pStyle w:val="ListBullet"/>
        <w:numPr>
          <w:ilvl w:val="0"/>
          <w:numId w:val="13"/>
        </w:numPr>
      </w:pPr>
      <w:r w:rsidRPr="00AE7DD1">
        <w:t xml:space="preserve">Continuation of the department’s existing reporting assessment program, which checks the accuracy of </w:t>
      </w:r>
      <w:r w:rsidR="0071ED00" w:rsidRPr="00AE7DD1">
        <w:t>hom</w:t>
      </w:r>
      <w:r w:rsidRPr="00AE7DD1">
        <w:t>es care minutes reporting</w:t>
      </w:r>
      <w:r w:rsidR="60C5F406" w:rsidRPr="00AE7DD1">
        <w:t>. However,</w:t>
      </w:r>
      <w:r w:rsidRPr="00AE7DD1">
        <w:t xml:space="preserve"> coverage</w:t>
      </w:r>
      <w:r w:rsidR="52576502" w:rsidRPr="00AE7DD1">
        <w:t xml:space="preserve"> </w:t>
      </w:r>
      <w:r w:rsidR="5AC8FC99" w:rsidRPr="00AE7DD1">
        <w:t>will b</w:t>
      </w:r>
      <w:r w:rsidR="52576502" w:rsidRPr="00AE7DD1">
        <w:t>e</w:t>
      </w:r>
      <w:r w:rsidRPr="00AE7DD1">
        <w:t xml:space="preserve"> reduced from around 33% to 10% of </w:t>
      </w:r>
      <w:r w:rsidR="6BCB2924" w:rsidRPr="00AE7DD1">
        <w:t>hom</w:t>
      </w:r>
      <w:r w:rsidRPr="00AE7DD1">
        <w:t xml:space="preserve">es each year, recognising that this is appropriate given the annual audits being introduced. The continuation of this program is to manage the risk of </w:t>
      </w:r>
      <w:r w:rsidR="2B875C4F" w:rsidRPr="00AE7DD1">
        <w:t>poor-quality</w:t>
      </w:r>
      <w:r w:rsidRPr="00AE7DD1">
        <w:t xml:space="preserve"> audits, and collusion between auditors and approved providers (consistent with functions the Australian Tax Office undertake to check audited tax returns). Where the external audit opinion, or the department’s assurance checks lead to revised care minutes in previous quarters, funding for this period would be recalculated and retrospectively adjusted as part of Services Australia’s established monthly adjustment process.</w:t>
      </w:r>
    </w:p>
    <w:p w14:paraId="6FFF4450" w14:textId="15DAA097" w:rsidR="002132AD" w:rsidRDefault="541B527C" w:rsidP="00AA087B">
      <w:pPr>
        <w:pStyle w:val="Paragraphtext"/>
      </w:pPr>
      <w:r>
        <w:t xml:space="preserve">These new assurance and fraud controls would apply to all </w:t>
      </w:r>
      <w:r w:rsidR="0A97AC51">
        <w:t>hom</w:t>
      </w:r>
      <w:r>
        <w:t xml:space="preserve">es, not just non-specialised </w:t>
      </w:r>
      <w:r w:rsidR="0FF32D51">
        <w:t>hom</w:t>
      </w:r>
      <w:r>
        <w:t>es in MM1 that are in-scope for the funding changes, to ensure reporting consistency across the sector</w:t>
      </w:r>
      <w:r w:rsidR="6C89A8FD">
        <w:t xml:space="preserve"> (noting m</w:t>
      </w:r>
      <w:r w:rsidR="33C460A6">
        <w:t xml:space="preserve">any providers operate </w:t>
      </w:r>
      <w:r w:rsidR="55063CDC">
        <w:t>hom</w:t>
      </w:r>
      <w:r w:rsidR="33C460A6">
        <w:t>es across different MM locations)</w:t>
      </w:r>
      <w:r>
        <w:t xml:space="preserve"> and because accuracy of reporting is also important across all </w:t>
      </w:r>
      <w:r w:rsidR="67D0A3AA">
        <w:t>hom</w:t>
      </w:r>
      <w:r>
        <w:t>es for supporting the provision of accurate care minute reporting to the ACQSC</w:t>
      </w:r>
      <w:r w:rsidR="2E04DA8D">
        <w:t xml:space="preserve">, for </w:t>
      </w:r>
      <w:r w:rsidR="002132AD">
        <w:t>S</w:t>
      </w:r>
      <w:r>
        <w:t xml:space="preserve">tar </w:t>
      </w:r>
      <w:r w:rsidR="002132AD" w:rsidDel="541B527C">
        <w:t>R</w:t>
      </w:r>
      <w:r>
        <w:t>atings</w:t>
      </w:r>
      <w:r w:rsidR="2E04DA8D">
        <w:t xml:space="preserve"> and for the department’s performance statement audits.</w:t>
      </w:r>
      <w:r w:rsidR="004B2ABD">
        <w:t xml:space="preserve"> It also enable</w:t>
      </w:r>
      <w:r w:rsidR="00F75B0E">
        <w:t>s</w:t>
      </w:r>
      <w:r w:rsidR="004B2ABD">
        <w:t xml:space="preserve"> </w:t>
      </w:r>
      <w:r w:rsidR="00F75B0E">
        <w:t>the</w:t>
      </w:r>
      <w:r w:rsidR="004B2ABD">
        <w:t xml:space="preserve"> </w:t>
      </w:r>
      <w:r w:rsidR="00686422">
        <w:t>Government</w:t>
      </w:r>
      <w:r w:rsidR="004B2ABD">
        <w:t xml:space="preserve"> to consider an exp</w:t>
      </w:r>
      <w:r w:rsidR="00F75B0E">
        <w:t>an</w:t>
      </w:r>
      <w:r w:rsidR="004B2ABD">
        <w:t>sion of the policy</w:t>
      </w:r>
      <w:r w:rsidR="00851C96">
        <w:t xml:space="preserve"> to include MM2-7 in future. </w:t>
      </w:r>
      <w:r w:rsidR="004B2ABD">
        <w:t xml:space="preserve"> </w:t>
      </w:r>
    </w:p>
    <w:p w14:paraId="7267245E" w14:textId="0AF8788F" w:rsidR="00161F11" w:rsidRDefault="001644D2" w:rsidP="00AA087B">
      <w:pPr>
        <w:pStyle w:val="Paragraphtext"/>
      </w:pPr>
      <w:r>
        <w:t xml:space="preserve">There are some expected </w:t>
      </w:r>
      <w:r w:rsidR="004934F7">
        <w:t>limitations</w:t>
      </w:r>
      <w:r>
        <w:t xml:space="preserve"> of </w:t>
      </w:r>
      <w:r w:rsidR="00C35A9B">
        <w:t>O</w:t>
      </w:r>
      <w:r>
        <w:t xml:space="preserve">ption 3 based on the </w:t>
      </w:r>
      <w:r w:rsidR="004934F7">
        <w:t>requirement for additional assurance and reporting requirements.</w:t>
      </w:r>
      <w:r w:rsidR="00161F11">
        <w:t xml:space="preserve"> </w:t>
      </w:r>
    </w:p>
    <w:p w14:paraId="3205E66E" w14:textId="7F4F7DD8" w:rsidR="00C35A9B" w:rsidRDefault="00C35A9B" w:rsidP="003722FB">
      <w:pPr>
        <w:pStyle w:val="Paragraphtext"/>
      </w:pPr>
      <w:r>
        <w:lastRenderedPageBreak/>
        <w:t>P</w:t>
      </w:r>
      <w:r w:rsidR="00312DA8">
        <w:t xml:space="preserve">roviders are required to complete additional reporting </w:t>
      </w:r>
      <w:r w:rsidR="002D5987">
        <w:t xml:space="preserve">on their care minutes compliance </w:t>
      </w:r>
      <w:r w:rsidR="00312DA8">
        <w:t xml:space="preserve">and </w:t>
      </w:r>
      <w:r w:rsidR="00C3691D">
        <w:t xml:space="preserve">procure an external auditor to </w:t>
      </w:r>
      <w:r w:rsidR="00401955">
        <w:t xml:space="preserve">complete an annual Care Minutes Performance Statement </w:t>
      </w:r>
      <w:r w:rsidR="00686422">
        <w:t xml:space="preserve">which comes at a cost to providers (explored in the next </w:t>
      </w:r>
      <w:r w:rsidR="00095BFA">
        <w:t>chapter</w:t>
      </w:r>
      <w:r w:rsidR="00686422">
        <w:t xml:space="preserve"> of this Impact Analysis)</w:t>
      </w:r>
      <w:r w:rsidR="00401955">
        <w:t xml:space="preserve">. </w:t>
      </w:r>
      <w:r w:rsidR="00A87A69">
        <w:t>Th</w:t>
      </w:r>
      <w:r w:rsidR="00307FC8">
        <w:t>is</w:t>
      </w:r>
      <w:r w:rsidR="00DC1BB8">
        <w:t xml:space="preserve"> additional reporting is</w:t>
      </w:r>
      <w:r w:rsidR="00307FC8">
        <w:t xml:space="preserve"> partially</w:t>
      </w:r>
      <w:r w:rsidR="00DC1BB8">
        <w:t xml:space="preserve"> offset </w:t>
      </w:r>
      <w:r w:rsidR="00871180">
        <w:t xml:space="preserve">by </w:t>
      </w:r>
      <w:r w:rsidR="008278F0">
        <w:t>the reduced frequency of reporting assessments checks by the department</w:t>
      </w:r>
      <w:r w:rsidR="00C80648">
        <w:t xml:space="preserve">. </w:t>
      </w:r>
    </w:p>
    <w:p w14:paraId="10984F94" w14:textId="696612E9" w:rsidR="00551FE9" w:rsidRDefault="00110F00" w:rsidP="00533EC1">
      <w:pPr>
        <w:pStyle w:val="Paragraphtext"/>
      </w:pPr>
      <w:r>
        <w:t>R</w:t>
      </w:r>
      <w:r w:rsidR="00704503">
        <w:t xml:space="preserve">educed </w:t>
      </w:r>
      <w:r w:rsidR="009232C7">
        <w:t>department</w:t>
      </w:r>
      <w:r w:rsidR="00711917">
        <w:t>al</w:t>
      </w:r>
      <w:r w:rsidR="009232C7">
        <w:t xml:space="preserve"> oversight </w:t>
      </w:r>
      <w:r w:rsidR="00602247">
        <w:t>over provider</w:t>
      </w:r>
      <w:r w:rsidR="00711917">
        <w:t xml:space="preserve"> reporting</w:t>
      </w:r>
      <w:r w:rsidR="004F6BEC">
        <w:t>, through the reporting assessment program</w:t>
      </w:r>
      <w:r w:rsidR="00602247">
        <w:t xml:space="preserve"> from 33% to 10%</w:t>
      </w:r>
      <w:r w:rsidR="00A84197">
        <w:t xml:space="preserve"> and</w:t>
      </w:r>
      <w:r w:rsidR="00675D56">
        <w:t xml:space="preserve"> </w:t>
      </w:r>
      <w:r w:rsidR="00C712EB">
        <w:t xml:space="preserve">with increased </w:t>
      </w:r>
      <w:r w:rsidR="00711917">
        <w:t xml:space="preserve">reliance on external auditors </w:t>
      </w:r>
      <w:r w:rsidR="00C712EB">
        <w:t>c</w:t>
      </w:r>
      <w:r w:rsidR="004F6BEC">
        <w:t>ould also</w:t>
      </w:r>
      <w:r w:rsidR="00C712EB">
        <w:t xml:space="preserve"> be considered a </w:t>
      </w:r>
      <w:r w:rsidR="0058687F">
        <w:t>potential</w:t>
      </w:r>
      <w:r w:rsidR="00C712EB">
        <w:t xml:space="preserve"> limitation o</w:t>
      </w:r>
      <w:r w:rsidR="00711917">
        <w:t xml:space="preserve">f </w:t>
      </w:r>
      <w:r w:rsidR="00E45B42">
        <w:t>O</w:t>
      </w:r>
      <w:r w:rsidR="00711917">
        <w:t>ption 3. However,</w:t>
      </w:r>
      <w:r w:rsidR="004A7F1F">
        <w:t xml:space="preserve"> maintaining 10% coverage will enable close monitoring of the effectiveness of the </w:t>
      </w:r>
      <w:r w:rsidR="00E67156">
        <w:t xml:space="preserve">external audits in raising the </w:t>
      </w:r>
      <w:r w:rsidR="003314E1">
        <w:t>standard and accuracy of provider reporting</w:t>
      </w:r>
      <w:r w:rsidR="00E67156">
        <w:t xml:space="preserve">. If </w:t>
      </w:r>
      <w:r w:rsidR="00583610">
        <w:t>they do not prove effective</w:t>
      </w:r>
      <w:r w:rsidR="0098252D">
        <w:t>,</w:t>
      </w:r>
      <w:r w:rsidR="00583610">
        <w:t xml:space="preserve"> Government could consider future increases to the coverage of the reporting assessment program</w:t>
      </w:r>
      <w:r w:rsidR="00533EC1">
        <w:t xml:space="preserve"> to have more direct oversight over provider reporting.</w:t>
      </w:r>
    </w:p>
    <w:p w14:paraId="37A8EB1E" w14:textId="4AE37248" w:rsidR="00E12A85" w:rsidRDefault="00E12A85" w:rsidP="00222D3D">
      <w:pPr>
        <w:pStyle w:val="Heading4"/>
      </w:pPr>
      <w:r>
        <w:t>Other options</w:t>
      </w:r>
    </w:p>
    <w:p w14:paraId="155F3EF0" w14:textId="0021DE52" w:rsidR="00E12A85" w:rsidRPr="00BD2397" w:rsidRDefault="00E12A85" w:rsidP="0012120B">
      <w:pPr>
        <w:pStyle w:val="Paragraphtext"/>
      </w:pPr>
      <w:r>
        <w:t xml:space="preserve">In addition to the </w:t>
      </w:r>
      <w:r w:rsidR="33F71FD7">
        <w:t>3</w:t>
      </w:r>
      <w:r>
        <w:t xml:space="preserve"> options outlined above</w:t>
      </w:r>
      <w:r w:rsidR="09C501D3">
        <w:t>,</w:t>
      </w:r>
      <w:r>
        <w:t xml:space="preserve"> the department also considered options designed to further enhance </w:t>
      </w:r>
      <w:r w:rsidR="005466EB">
        <w:t xml:space="preserve">care minutes </w:t>
      </w:r>
      <w:r>
        <w:t xml:space="preserve">performance transparency measures. This included the possibility of requiring all </w:t>
      </w:r>
      <w:r w:rsidR="007B0ACB">
        <w:t>providers</w:t>
      </w:r>
      <w:r>
        <w:t xml:space="preserve"> to display a poster with basic information about their care minutes performance (such as care minutes targets and care minutes delivered in the latest quarter) in a prominent position within their </w:t>
      </w:r>
      <w:r w:rsidR="00BF663C">
        <w:t>hom</w:t>
      </w:r>
      <w:r>
        <w:t>e(s) in a standard form and size.</w:t>
      </w:r>
    </w:p>
    <w:p w14:paraId="01FE43C6" w14:textId="64EE881E" w:rsidR="00E12A85" w:rsidRDefault="00E12A85" w:rsidP="00FF5A29">
      <w:pPr>
        <w:pStyle w:val="Paragraphtext"/>
      </w:pPr>
      <w:r>
        <w:t xml:space="preserve">This option could allow workers, prospective </w:t>
      </w:r>
      <w:r w:rsidR="7003065A">
        <w:t xml:space="preserve">and existing </w:t>
      </w:r>
      <w:r>
        <w:t>residents</w:t>
      </w:r>
      <w:r w:rsidR="7E8B75C6">
        <w:t xml:space="preserve"> </w:t>
      </w:r>
      <w:r>
        <w:t xml:space="preserve">and their family members </w:t>
      </w:r>
      <w:r w:rsidR="00D87679">
        <w:t>and friends</w:t>
      </w:r>
      <w:r>
        <w:t xml:space="preserve"> that do not use the My Aged Care ‘Find a Provider’ tool, to see how the service is performing against their mandatory care minutes </w:t>
      </w:r>
      <w:r w:rsidR="00EB284C">
        <w:t>targets</w:t>
      </w:r>
      <w:r>
        <w:t xml:space="preserve"> as a mechanism to incentivise improved performance. This option was discarded as this information would only replicate the information already available online via the My</w:t>
      </w:r>
      <w:r w:rsidR="5477EA85">
        <w:t xml:space="preserve"> </w:t>
      </w:r>
      <w:r>
        <w:t>Aged</w:t>
      </w:r>
      <w:r w:rsidR="328CD2B6">
        <w:t xml:space="preserve"> </w:t>
      </w:r>
      <w:r>
        <w:t xml:space="preserve">Care and </w:t>
      </w:r>
      <w:r w:rsidR="00FD7F58">
        <w:t>the department’s</w:t>
      </w:r>
      <w:r>
        <w:t xml:space="preserve"> website (updated quarterly), so would only be expected to have a marginal impact in terms of incentivising improved </w:t>
      </w:r>
      <w:r w:rsidR="4041FBDF">
        <w:t xml:space="preserve">care minute </w:t>
      </w:r>
      <w:r>
        <w:t>performance from providers</w:t>
      </w:r>
      <w:r w:rsidR="00127E89">
        <w:t>.</w:t>
      </w:r>
    </w:p>
    <w:p w14:paraId="127ABA74" w14:textId="1D732CCE" w:rsidR="00E12A85" w:rsidRDefault="75F1D475" w:rsidP="00FF5A29">
      <w:pPr>
        <w:pStyle w:val="Paragraphtext"/>
      </w:pPr>
      <w:r>
        <w:t>A</w:t>
      </w:r>
      <w:r w:rsidR="00576FE3">
        <w:t>nother</w:t>
      </w:r>
      <w:r>
        <w:t xml:space="preserve"> option considered as part of the policy development process was to s</w:t>
      </w:r>
      <w:r w:rsidR="2C89A753">
        <w:t>ignif</w:t>
      </w:r>
      <w:r w:rsidR="00C6621B">
        <w:t>i</w:t>
      </w:r>
      <w:r w:rsidR="2C89A753">
        <w:t>cantly</w:t>
      </w:r>
      <w:r>
        <w:t xml:space="preserve"> increase</w:t>
      </w:r>
      <w:r w:rsidR="2E04DA8D">
        <w:t xml:space="preserve"> the</w:t>
      </w:r>
      <w:r>
        <w:t xml:space="preserve"> regulatory resources of the ACQSC to allow them to engage substantively with every </w:t>
      </w:r>
      <w:r w:rsidR="002670F4">
        <w:t>home</w:t>
      </w:r>
      <w:r>
        <w:t xml:space="preserve"> that is not meeting their care minutes targets to determine the cause of this non</w:t>
      </w:r>
      <w:r w:rsidR="3C6CAAA6">
        <w:t>-</w:t>
      </w:r>
      <w:r>
        <w:t xml:space="preserve">compliance and where appropriate take regulatory action against </w:t>
      </w:r>
      <w:r w:rsidR="40F3A1C3">
        <w:t>the</w:t>
      </w:r>
      <w:r w:rsidR="00607B2A">
        <w:t xml:space="preserve"> relevant</w:t>
      </w:r>
      <w:r w:rsidR="40F3A1C3">
        <w:t xml:space="preserve"> </w:t>
      </w:r>
      <w:r>
        <w:t>providers. This option was discarded because it was considered too resource intensive given</w:t>
      </w:r>
      <w:r w:rsidR="350A2083">
        <w:t xml:space="preserve"> the current scale of non-compliance across the sector.</w:t>
      </w:r>
    </w:p>
    <w:p w14:paraId="51770D8A" w14:textId="668A92E1" w:rsidR="007E46BC" w:rsidRPr="000C513E" w:rsidRDefault="007E46BC" w:rsidP="000C513E">
      <w:pPr>
        <w:pStyle w:val="Paragraphtext"/>
      </w:pPr>
      <w:r>
        <w:t xml:space="preserve">As mentioned </w:t>
      </w:r>
      <w:r w:rsidR="004117E0">
        <w:t>earlier in this chapter</w:t>
      </w:r>
      <w:r w:rsidR="00A92EB3">
        <w:t>,</w:t>
      </w:r>
      <w:r w:rsidR="004117E0">
        <w:t xml:space="preserve"> </w:t>
      </w:r>
      <w:r w:rsidR="007C698E">
        <w:t>Option</w:t>
      </w:r>
      <w:r w:rsidR="00D631D3">
        <w:t>s</w:t>
      </w:r>
      <w:r w:rsidR="007C698E">
        <w:t xml:space="preserve"> 2</w:t>
      </w:r>
      <w:r w:rsidR="00D631D3">
        <w:t xml:space="preserve"> and 3</w:t>
      </w:r>
      <w:r w:rsidR="007C698E">
        <w:t xml:space="preserve"> involve </w:t>
      </w:r>
      <w:r w:rsidR="009260FB">
        <w:t xml:space="preserve">linking </w:t>
      </w:r>
      <w:r w:rsidR="009F70CD" w:rsidRPr="009F70CD">
        <w:t xml:space="preserve">care funding to care </w:t>
      </w:r>
      <w:r w:rsidR="009260FB">
        <w:t xml:space="preserve">minute </w:t>
      </w:r>
      <w:r w:rsidR="009F70CD" w:rsidRPr="009F70CD">
        <w:t xml:space="preserve">compliance </w:t>
      </w:r>
      <w:r w:rsidR="007C698E">
        <w:t xml:space="preserve">for homes in </w:t>
      </w:r>
      <w:r w:rsidR="009F70CD" w:rsidRPr="009F70CD">
        <w:t>metropolitan areas</w:t>
      </w:r>
      <w:r w:rsidR="00F5716E">
        <w:t xml:space="preserve"> (MM1)</w:t>
      </w:r>
      <w:r w:rsidR="003722FB">
        <w:t xml:space="preserve"> </w:t>
      </w:r>
      <w:r w:rsidR="00A10819">
        <w:t>as these homes</w:t>
      </w:r>
      <w:r w:rsidR="00F5716E">
        <w:t xml:space="preserve"> have the highest </w:t>
      </w:r>
      <w:r w:rsidR="00A10819">
        <w:t xml:space="preserve">levels of </w:t>
      </w:r>
      <w:r w:rsidR="00C215E4">
        <w:t>non</w:t>
      </w:r>
      <w:r w:rsidR="00A10819">
        <w:t>-</w:t>
      </w:r>
      <w:r w:rsidR="00C215E4">
        <w:t xml:space="preserve">compliance and for-profit homes </w:t>
      </w:r>
      <w:r w:rsidR="005752DD">
        <w:t>(</w:t>
      </w:r>
      <w:r w:rsidR="00C215E4">
        <w:t>whic</w:t>
      </w:r>
      <w:r w:rsidR="00A10819">
        <w:t xml:space="preserve">h have higher levels of non-compliance </w:t>
      </w:r>
      <w:r w:rsidR="005D5713">
        <w:t xml:space="preserve">than </w:t>
      </w:r>
      <w:r w:rsidR="00A10819">
        <w:t>not-for-profit homes</w:t>
      </w:r>
      <w:r w:rsidR="005752DD">
        <w:t>)</w:t>
      </w:r>
      <w:r w:rsidR="00EA5887">
        <w:t>.</w:t>
      </w:r>
      <w:r w:rsidR="00A93817">
        <w:t xml:space="preserve"> T</w:t>
      </w:r>
      <w:r w:rsidR="00C1624E">
        <w:t xml:space="preserve">he department </w:t>
      </w:r>
      <w:r w:rsidR="00F86E28">
        <w:t xml:space="preserve">discounted </w:t>
      </w:r>
      <w:r w:rsidR="00CF6C09">
        <w:t>expanding the scope of this reform to include homes operating in MM2-7</w:t>
      </w:r>
      <w:r w:rsidR="000D2849">
        <w:t xml:space="preserve"> </w:t>
      </w:r>
      <w:r w:rsidR="00AF5826">
        <w:t>due to</w:t>
      </w:r>
      <w:r w:rsidR="00C26FC6">
        <w:t xml:space="preserve"> viability</w:t>
      </w:r>
      <w:r w:rsidR="00AF5826">
        <w:t xml:space="preserve"> </w:t>
      </w:r>
      <w:r w:rsidR="00144CB1">
        <w:t>concerns</w:t>
      </w:r>
      <w:r w:rsidR="00C26FC6">
        <w:t xml:space="preserve"> </w:t>
      </w:r>
      <w:r w:rsidR="007251D4">
        <w:t>in relation to</w:t>
      </w:r>
      <w:r w:rsidR="00C26FC6">
        <w:t xml:space="preserve"> homes that have </w:t>
      </w:r>
      <w:r w:rsidR="007251D4">
        <w:t>significantly higher than average wage costs</w:t>
      </w:r>
      <w:r w:rsidR="00AF4D5E">
        <w:t xml:space="preserve"> than other homes in their funding category.</w:t>
      </w:r>
      <w:r w:rsidR="00965362">
        <w:t xml:space="preserve"> </w:t>
      </w:r>
      <w:r w:rsidR="00AF4D5E">
        <w:t xml:space="preserve">Expanding this policy beyond MM2 homes is something that could be explored in the future if compliance outside of MM1 areas </w:t>
      </w:r>
      <w:r w:rsidR="00AD14E4">
        <w:t>increases.</w:t>
      </w:r>
      <w:r w:rsidR="00D77DE8">
        <w:t xml:space="preserve"> </w:t>
      </w:r>
    </w:p>
    <w:p w14:paraId="25BDBE11" w14:textId="6D31BCD8" w:rsidR="7296EE80" w:rsidRDefault="267C9B30" w:rsidP="7296EE80">
      <w:pPr>
        <w:pStyle w:val="Paragraphtext"/>
      </w:pPr>
      <w:r>
        <w:t xml:space="preserve">The department undertook a net benefit analysis of each </w:t>
      </w:r>
      <w:r w:rsidR="0BBCE037">
        <w:t xml:space="preserve">of the 3 </w:t>
      </w:r>
      <w:r w:rsidR="1E088A47">
        <w:t xml:space="preserve">proposed </w:t>
      </w:r>
      <w:r>
        <w:t>option</w:t>
      </w:r>
      <w:r w:rsidR="2541EDEA">
        <w:t>s</w:t>
      </w:r>
      <w:r>
        <w:t xml:space="preserve"> which is outlined in the following </w:t>
      </w:r>
      <w:r w:rsidR="003C78F0">
        <w:t>chapter</w:t>
      </w:r>
      <w:r w:rsidR="2BAFDD1A">
        <w:t xml:space="preserve"> of this report.</w:t>
      </w:r>
    </w:p>
    <w:p w14:paraId="129616AC" w14:textId="77777777" w:rsidR="00E12A85" w:rsidRPr="00DA37AF" w:rsidRDefault="00E12A85" w:rsidP="0012120B">
      <w:pPr>
        <w:rPr>
          <w:rFonts w:ascii="Aptos" w:hAnsi="Aptos"/>
        </w:rPr>
      </w:pPr>
    </w:p>
    <w:p w14:paraId="44F74EF6" w14:textId="12CFD69E" w:rsidR="009D7066" w:rsidRPr="00055CAD" w:rsidRDefault="009D7066" w:rsidP="0012120B">
      <w:pPr>
        <w:sectPr w:rsidR="009D7066" w:rsidRPr="00055CAD" w:rsidSect="0082019B">
          <w:headerReference w:type="even" r:id="rId29"/>
          <w:headerReference w:type="default" r:id="rId30"/>
          <w:footerReference w:type="even" r:id="rId31"/>
          <w:footerReference w:type="default" r:id="rId32"/>
          <w:headerReference w:type="first" r:id="rId33"/>
          <w:footerReference w:type="first" r:id="rId34"/>
          <w:pgSz w:w="11906" w:h="16838"/>
          <w:pgMar w:top="1560" w:right="1418" w:bottom="1276" w:left="1418" w:header="0" w:footer="709" w:gutter="0"/>
          <w:cols w:space="708"/>
          <w:titlePg/>
          <w:docGrid w:linePitch="360"/>
        </w:sectPr>
      </w:pPr>
    </w:p>
    <w:p w14:paraId="7AB4A3BE" w14:textId="68893FB9" w:rsidR="00832A41" w:rsidRPr="00832A41" w:rsidRDefault="00A0003B" w:rsidP="00C87C89">
      <w:pPr>
        <w:pStyle w:val="OIAQuestion"/>
      </w:pPr>
      <w:bookmarkStart w:id="49" w:name="_Toc178074428"/>
      <w:bookmarkStart w:id="50" w:name="_Toc183705488"/>
      <w:bookmarkStart w:id="51" w:name="_Toc203133283"/>
      <w:bookmarkStart w:id="52" w:name="_Toc200394436"/>
      <w:bookmarkStart w:id="53" w:name="_Toc205802674"/>
      <w:bookmarkStart w:id="54" w:name="_Toc203639524"/>
      <w:bookmarkStart w:id="55" w:name="_Toc207014402"/>
      <w:r>
        <w:lastRenderedPageBreak/>
        <w:t>N</w:t>
      </w:r>
      <w:r w:rsidR="01E4A9C2">
        <w:t>et benefit of each option</w:t>
      </w:r>
      <w:bookmarkEnd w:id="49"/>
      <w:bookmarkEnd w:id="50"/>
      <w:bookmarkEnd w:id="51"/>
      <w:bookmarkEnd w:id="52"/>
      <w:bookmarkEnd w:id="53"/>
      <w:bookmarkEnd w:id="54"/>
      <w:bookmarkEnd w:id="55"/>
    </w:p>
    <w:p w14:paraId="4C0E38AC" w14:textId="030C2F21" w:rsidR="00A94FE4" w:rsidRDefault="71EE5048" w:rsidP="06D89531">
      <w:pPr>
        <w:pStyle w:val="Paragraphtext"/>
        <w:pBdr>
          <w:top w:val="single" w:sz="4" w:space="1" w:color="auto"/>
          <w:left w:val="single" w:sz="4" w:space="4" w:color="auto"/>
          <w:bottom w:val="single" w:sz="4" w:space="1" w:color="auto"/>
          <w:right w:val="single" w:sz="4" w:space="4" w:color="auto"/>
        </w:pBdr>
        <w:shd w:val="clear" w:color="auto" w:fill="74C1C9" w:themeFill="accent2" w:themeFillTint="99"/>
      </w:pPr>
      <w:bookmarkStart w:id="56" w:name="_Toc178074429"/>
      <w:bookmarkStart w:id="57" w:name="_Toc183705489"/>
      <w:r>
        <w:t xml:space="preserve">To identify the net benefit of each </w:t>
      </w:r>
      <w:r w:rsidR="1934FF0B">
        <w:t xml:space="preserve">of the </w:t>
      </w:r>
      <w:r w:rsidR="50FB5610">
        <w:t>prop</w:t>
      </w:r>
      <w:r w:rsidR="7C3789BC">
        <w:t>o</w:t>
      </w:r>
      <w:r w:rsidR="50FB5610">
        <w:t xml:space="preserve">sed </w:t>
      </w:r>
      <w:r w:rsidR="1934FF0B">
        <w:t xml:space="preserve">3 </w:t>
      </w:r>
      <w:r>
        <w:t>option</w:t>
      </w:r>
      <w:r w:rsidR="4FF3BE56">
        <w:t xml:space="preserve">s </w:t>
      </w:r>
      <w:r w:rsidR="10ABA7DC">
        <w:t xml:space="preserve">to </w:t>
      </w:r>
      <w:r w:rsidR="4FF3BE56">
        <w:t xml:space="preserve">improve care minutes compliance and </w:t>
      </w:r>
      <w:r w:rsidR="4562711E">
        <w:t>ad</w:t>
      </w:r>
      <w:r w:rsidR="04C5DD72">
        <w:t>d</w:t>
      </w:r>
      <w:r w:rsidR="4562711E">
        <w:t>ress</w:t>
      </w:r>
      <w:r w:rsidR="4FF3BE56">
        <w:t xml:space="preserve"> care funding not used to provide care</w:t>
      </w:r>
      <w:r w:rsidR="6BA00737">
        <w:t>,</w:t>
      </w:r>
      <w:r>
        <w:t xml:space="preserve"> a cost benefit analysis of each option </w:t>
      </w:r>
      <w:r w:rsidR="2B298F49">
        <w:t>was</w:t>
      </w:r>
      <w:r>
        <w:t xml:space="preserve"> undertaken. The cost benefit analysis was undertaken over 4</w:t>
      </w:r>
      <w:r w:rsidR="32E1C265">
        <w:t xml:space="preserve"> </w:t>
      </w:r>
      <w:r>
        <w:t>years from 2024-25, with total discounted costs (using a 7% discount rate) over this timeframe presented. In addition, an estimate of regulatory burden of each of the options has been completed.</w:t>
      </w:r>
    </w:p>
    <w:p w14:paraId="3B73F60B" w14:textId="1D0DBF43" w:rsidR="00A70C94" w:rsidRPr="004D0A70" w:rsidRDefault="71EE5048" w:rsidP="004D0A70">
      <w:pPr>
        <w:pStyle w:val="Paragraphtext"/>
      </w:pPr>
      <w:r w:rsidRPr="004D0A70">
        <w:t xml:space="preserve">The analysis indicates that the regulatory burden is highest under </w:t>
      </w:r>
      <w:r w:rsidR="2D6E9E3F" w:rsidRPr="004D0A70">
        <w:t>O</w:t>
      </w:r>
      <w:r w:rsidRPr="004D0A70">
        <w:t xml:space="preserve">ption 3 with this burden </w:t>
      </w:r>
      <w:r w:rsidR="613505C1" w:rsidRPr="004D0A70">
        <w:t xml:space="preserve">primarily </w:t>
      </w:r>
      <w:r w:rsidRPr="004D0A70">
        <w:t>falling to aged care providers</w:t>
      </w:r>
      <w:r w:rsidR="11562BD1" w:rsidRPr="004D0A70">
        <w:t>.</w:t>
      </w:r>
      <w:r w:rsidRPr="004D0A70">
        <w:t xml:space="preserve"> </w:t>
      </w:r>
      <w:r w:rsidR="6FABB020" w:rsidRPr="004D0A70">
        <w:t>T</w:t>
      </w:r>
      <w:r w:rsidRPr="004D0A70">
        <w:t xml:space="preserve">he overall net benefits are also highest under </w:t>
      </w:r>
      <w:r w:rsidR="27B2AE1E" w:rsidRPr="004D0A70">
        <w:t>O</w:t>
      </w:r>
      <w:r w:rsidRPr="004D0A70">
        <w:t>ption 3, with the benefits falling to residents in homes that are not compliant with care minutes</w:t>
      </w:r>
      <w:r w:rsidR="1EBDDCC0" w:rsidRPr="004D0A70">
        <w:t xml:space="preserve"> targets</w:t>
      </w:r>
      <w:r w:rsidRPr="004D0A70">
        <w:t>, and to Government through a reduction in subsidy payments for care that is not being delivered</w:t>
      </w:r>
      <w:r w:rsidR="00A860BF" w:rsidRPr="004D0A70">
        <w:t xml:space="preserve">. </w:t>
      </w:r>
      <w:r w:rsidR="5E3501B3" w:rsidRPr="004D0A70">
        <w:t xml:space="preserve">This </w:t>
      </w:r>
      <w:r w:rsidR="002818E1">
        <w:t>chapter</w:t>
      </w:r>
      <w:r w:rsidR="5E3501B3" w:rsidRPr="004D0A70">
        <w:t xml:space="preserve"> of this Impact Analys</w:t>
      </w:r>
      <w:r w:rsidR="7D795DCD" w:rsidRPr="004D0A70">
        <w:t>is presents the net benefits analysis for each of the 3 proposed</w:t>
      </w:r>
      <w:r w:rsidR="46EC8596" w:rsidRPr="004D0A70">
        <w:t xml:space="preserve"> </w:t>
      </w:r>
      <w:r w:rsidR="7D795DCD" w:rsidRPr="004D0A70">
        <w:t>po</w:t>
      </w:r>
      <w:r w:rsidR="38D3AE40" w:rsidRPr="004D0A70">
        <w:t>lic</w:t>
      </w:r>
      <w:r w:rsidR="7D795DCD" w:rsidRPr="004D0A70">
        <w:t xml:space="preserve">y options </w:t>
      </w:r>
      <w:r w:rsidR="3BD3B826" w:rsidRPr="004D0A70">
        <w:t>to improve care minutes compliance and address care funding not used to provide care</w:t>
      </w:r>
      <w:r w:rsidR="65FAD7CD" w:rsidRPr="004D0A70">
        <w:t>.</w:t>
      </w:r>
    </w:p>
    <w:p w14:paraId="4948F597" w14:textId="6E0797C5" w:rsidR="00A70C94" w:rsidRPr="00222D3D" w:rsidRDefault="00A321AF" w:rsidP="00222D3D">
      <w:pPr>
        <w:pStyle w:val="Heading4"/>
      </w:pPr>
      <w:r>
        <w:t>Option</w:t>
      </w:r>
      <w:r w:rsidRPr="00222D3D">
        <w:t xml:space="preserve"> 1: Status quo</w:t>
      </w:r>
      <w:bookmarkEnd w:id="56"/>
      <w:bookmarkEnd w:id="57"/>
    </w:p>
    <w:p w14:paraId="1A67B0FA" w14:textId="75C59E1C" w:rsidR="006B3037" w:rsidRPr="007D4A60" w:rsidRDefault="005C3433" w:rsidP="007D4A60">
      <w:pPr>
        <w:pStyle w:val="Paragraphtext"/>
      </w:pPr>
      <w:r w:rsidRPr="007D4A60">
        <w:t>Under this option the Australian Government would make no changes to improve providers compliance with the care minutes responsibility. There would be no changes to funding for providers not meeting their care minutes responsibility</w:t>
      </w:r>
      <w:r w:rsidR="006B3037" w:rsidRPr="007D4A60">
        <w:t xml:space="preserve"> and no changes to assurance arrangements. As such</w:t>
      </w:r>
      <w:r w:rsidR="004317EA">
        <w:t>,</w:t>
      </w:r>
      <w:r w:rsidR="006B3037" w:rsidRPr="007D4A60">
        <w:t xml:space="preserve"> there would be </w:t>
      </w:r>
      <w:r w:rsidR="008C5942" w:rsidRPr="007D4A60">
        <w:t xml:space="preserve">no </w:t>
      </w:r>
      <w:r w:rsidR="006B3037" w:rsidRPr="007D4A60">
        <w:t xml:space="preserve">change in the regulatory </w:t>
      </w:r>
      <w:r w:rsidR="00C161F5" w:rsidRPr="007D4A60">
        <w:t xml:space="preserve">burden placed on </w:t>
      </w:r>
      <w:r w:rsidR="006B3037" w:rsidRPr="007D4A60">
        <w:t>providers.</w:t>
      </w:r>
      <w:r w:rsidR="004B2035" w:rsidRPr="007D4A60">
        <w:t xml:space="preserve"> This option represents the baseline that the net benefit of </w:t>
      </w:r>
      <w:r w:rsidR="6062519E">
        <w:t xml:space="preserve">the </w:t>
      </w:r>
      <w:r w:rsidR="004B2035">
        <w:t xml:space="preserve">other </w:t>
      </w:r>
      <w:r w:rsidR="07361CA8">
        <w:t xml:space="preserve">2 </w:t>
      </w:r>
      <w:r w:rsidR="004B2035">
        <w:t>options</w:t>
      </w:r>
      <w:r w:rsidR="004B2035" w:rsidRPr="007D4A60">
        <w:t xml:space="preserve"> is measured against.</w:t>
      </w:r>
    </w:p>
    <w:p w14:paraId="77363C7F" w14:textId="1E480C1C" w:rsidR="007D4A60" w:rsidRPr="007D4A60" w:rsidRDefault="00AF49ED" w:rsidP="007D4A60">
      <w:pPr>
        <w:pStyle w:val="Paragraphtext"/>
      </w:pPr>
      <w:r w:rsidRPr="007D4A60">
        <w:t xml:space="preserve">Based on the department’s modelling, it is expected that under this option compliance with the care minutes responsibility will very incrementally </w:t>
      </w:r>
      <w:r w:rsidRPr="00A710D7">
        <w:t xml:space="preserve">improve over the coming years, as it has over </w:t>
      </w:r>
      <w:r w:rsidRPr="00A94FE4">
        <w:t>the previous years, and eventually plateau at around 6</w:t>
      </w:r>
      <w:r w:rsidR="00A710D7" w:rsidRPr="00A94FE4">
        <w:t>7</w:t>
      </w:r>
      <w:r w:rsidRPr="00A94FE4">
        <w:t xml:space="preserve">% of providers meeting their care minute targets </w:t>
      </w:r>
      <w:r w:rsidR="00D47E09" w:rsidRPr="00A94FE4">
        <w:t>by</w:t>
      </w:r>
      <w:r w:rsidRPr="00A94FE4">
        <w:t xml:space="preserve"> </w:t>
      </w:r>
      <w:r w:rsidR="00D47E09" w:rsidRPr="00A94FE4">
        <w:t>mid-</w:t>
      </w:r>
      <w:r w:rsidRPr="00A94FE4">
        <w:t xml:space="preserve">2028 (see </w:t>
      </w:r>
      <w:r w:rsidR="008B756C">
        <w:t>A</w:t>
      </w:r>
      <w:r w:rsidRPr="00A94FE4">
        <w:t>ppendix A).</w:t>
      </w:r>
      <w:r w:rsidRPr="007D4A60">
        <w:t xml:space="preserve"> </w:t>
      </w:r>
    </w:p>
    <w:p w14:paraId="3E9E2B9B" w14:textId="7DA9644E" w:rsidR="009E25CE" w:rsidRDefault="009E25CE" w:rsidP="00905770">
      <w:pPr>
        <w:pStyle w:val="TableTitle"/>
      </w:pPr>
      <w:r w:rsidRPr="000E171C">
        <w:t xml:space="preserve">Table </w:t>
      </w:r>
      <w:r w:rsidR="003C7044" w:rsidRPr="000E171C">
        <w:t>3</w:t>
      </w:r>
      <w:r w:rsidRPr="000E171C">
        <w:t xml:space="preserve">: </w:t>
      </w:r>
      <w:r w:rsidRPr="00905770">
        <w:t xml:space="preserve">Regulatory </w:t>
      </w:r>
      <w:r w:rsidR="00575F91" w:rsidRPr="00905770">
        <w:t>impact ($millions</w:t>
      </w:r>
      <w:r w:rsidR="00FB557C" w:rsidRPr="00905770">
        <w:t>, average annual impact</w:t>
      </w:r>
      <w:r w:rsidR="00575F91" w:rsidRPr="00905770">
        <w:t xml:space="preserve">) for </w:t>
      </w:r>
      <w:r w:rsidRPr="00905770" w:rsidDel="000F1E00">
        <w:t>O</w:t>
      </w:r>
      <w:r w:rsidR="00575F91" w:rsidRPr="00905770">
        <w:t>ption 1</w:t>
      </w:r>
    </w:p>
    <w:p w14:paraId="213D5465" w14:textId="16D9F91E" w:rsidR="000A62A0" w:rsidRDefault="00D56D64" w:rsidP="00905770">
      <w:pPr>
        <w:pStyle w:val="TableTitle"/>
      </w:pPr>
      <w:r w:rsidRPr="00D56D64">
        <w:rPr>
          <w:noProof/>
          <w:lang w:val="en-AU" w:eastAsia="en-AU"/>
        </w:rPr>
        <w:drawing>
          <wp:inline distT="0" distB="0" distL="0" distR="0" wp14:anchorId="4336B4B6" wp14:editId="69EB7FBF">
            <wp:extent cx="5686425" cy="709636"/>
            <wp:effectExtent l="0" t="0" r="0" b="0"/>
            <wp:docPr id="1019161287" name="Picture 1" descr="Table 3: Regulatory impact ($millions, average annual impact) for Option 1 shows there are no annual regulatory impacts for for-profit providers, not-for-profit providers and resi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1287" name="Picture 1" descr="Table 3: Regulatory impact ($millions, average annual impact) for Option 1 shows there are no annual regulatory impacts for for-profit providers, not-for-profit providers and residents. "/>
                    <pic:cNvPicPr/>
                  </pic:nvPicPr>
                  <pic:blipFill>
                    <a:blip r:embed="rId35"/>
                    <a:stretch>
                      <a:fillRect/>
                    </a:stretch>
                  </pic:blipFill>
                  <pic:spPr>
                    <a:xfrm>
                      <a:off x="0" y="0"/>
                      <a:ext cx="5746280" cy="717106"/>
                    </a:xfrm>
                    <a:prstGeom prst="rect">
                      <a:avLst/>
                    </a:prstGeom>
                  </pic:spPr>
                </pic:pic>
              </a:graphicData>
            </a:graphic>
          </wp:inline>
        </w:drawing>
      </w:r>
    </w:p>
    <w:p w14:paraId="72ED6778" w14:textId="394F97A0" w:rsidR="00CD32DD" w:rsidRPr="00B70D05" w:rsidRDefault="00A321AF" w:rsidP="00222D3D">
      <w:pPr>
        <w:pStyle w:val="Heading4"/>
      </w:pPr>
      <w:bookmarkStart w:id="58" w:name="_Toc178074431"/>
      <w:bookmarkStart w:id="59" w:name="_Toc183705491"/>
      <w:r>
        <w:t xml:space="preserve">Option </w:t>
      </w:r>
      <w:r w:rsidR="004377A8">
        <w:t>2</w:t>
      </w:r>
      <w:r>
        <w:t xml:space="preserve">: </w:t>
      </w:r>
      <w:bookmarkEnd w:id="58"/>
      <w:bookmarkEnd w:id="59"/>
      <w:r w:rsidR="00CD32DD" w:rsidRPr="009F0955">
        <w:t>Linking care minutes funding to care minutes performance for non</w:t>
      </w:r>
      <w:r w:rsidR="00CD32DD">
        <w:noBreakHyphen/>
      </w:r>
      <w:r w:rsidR="00CD32DD" w:rsidRPr="009F0955">
        <w:t xml:space="preserve">specialised services </w:t>
      </w:r>
      <w:r w:rsidR="00CD32DD">
        <w:t>located in metropolitan areas</w:t>
      </w:r>
      <w:r w:rsidR="00CD32DD" w:rsidRPr="009F0955">
        <w:t xml:space="preserve"> </w:t>
      </w:r>
      <w:r w:rsidR="00CD32DD">
        <w:t xml:space="preserve">without additional assurance arrangements </w:t>
      </w:r>
    </w:p>
    <w:p w14:paraId="0E7DD828" w14:textId="3D78ADEA" w:rsidR="00846C9F" w:rsidRDefault="007F6B78" w:rsidP="007F6B78">
      <w:pPr>
        <w:pStyle w:val="Paragraphtext"/>
      </w:pPr>
      <w:r>
        <w:t>Under this option</w:t>
      </w:r>
      <w:r w:rsidR="00D97214">
        <w:t>,</w:t>
      </w:r>
      <w:r>
        <w:t xml:space="preserve"> funding would be linked to care minutes</w:t>
      </w:r>
      <w:r w:rsidR="004D36C8">
        <w:t xml:space="preserve"> delivered in metropolitan areas</w:t>
      </w:r>
      <w:r w:rsidR="00224DD3">
        <w:t xml:space="preserve"> and no changes to assurance arrangements would be</w:t>
      </w:r>
      <w:r w:rsidR="004811A7">
        <w:t xml:space="preserve"> </w:t>
      </w:r>
      <w:r w:rsidR="00797B70">
        <w:t>made.</w:t>
      </w:r>
    </w:p>
    <w:p w14:paraId="579D11EE" w14:textId="3350AA65" w:rsidR="3D2214C6" w:rsidRPr="00EE4D36" w:rsidRDefault="3C2399BD" w:rsidP="00021B34">
      <w:pPr>
        <w:pStyle w:val="Heading4"/>
      </w:pPr>
      <w:r w:rsidRPr="00EE4D36">
        <w:t xml:space="preserve">Net benefit </w:t>
      </w:r>
      <w:r w:rsidRPr="00021B34">
        <w:t>for</w:t>
      </w:r>
      <w:r w:rsidRPr="00EE4D36">
        <w:t xml:space="preserve"> Option 2</w:t>
      </w:r>
      <w:r w:rsidRPr="00021B34">
        <w:t xml:space="preserve"> </w:t>
      </w:r>
    </w:p>
    <w:p w14:paraId="266D77CB" w14:textId="09C54223" w:rsidR="00855850" w:rsidRPr="00D42F69" w:rsidRDefault="000C010E" w:rsidP="00D42F69">
      <w:pPr>
        <w:pStyle w:val="Paragraphtext"/>
        <w:rPr>
          <w:b/>
          <w:bCs/>
        </w:rPr>
      </w:pPr>
      <w:r w:rsidRPr="00D42F69">
        <w:rPr>
          <w:b/>
          <w:bCs/>
        </w:rPr>
        <w:t>Consumers</w:t>
      </w:r>
    </w:p>
    <w:p w14:paraId="02FED416" w14:textId="38A5BD55" w:rsidR="003D1CEA" w:rsidRDefault="003D1CEA" w:rsidP="00C87E61">
      <w:pPr>
        <w:pStyle w:val="Paragraphtext"/>
      </w:pPr>
      <w:r w:rsidRPr="00C87E61">
        <w:t>Consumers</w:t>
      </w:r>
      <w:r w:rsidR="00DE2855" w:rsidRPr="00C87E61">
        <w:t xml:space="preserve"> will </w:t>
      </w:r>
      <w:r w:rsidR="002A10D3" w:rsidRPr="00C87E61">
        <w:t>receive the largest benefit under this option through</w:t>
      </w:r>
      <w:r w:rsidRPr="00C87E61">
        <w:t xml:space="preserve"> receiving </w:t>
      </w:r>
      <w:r w:rsidR="002A10D3" w:rsidRPr="00C87E61">
        <w:t>an</w:t>
      </w:r>
      <w:r w:rsidRPr="00C87E61">
        <w:t xml:space="preserve"> amount of care that is closer to the </w:t>
      </w:r>
      <w:r w:rsidR="002A10D3" w:rsidRPr="00C87E61">
        <w:t>time</w:t>
      </w:r>
      <w:r w:rsidRPr="00C87E61">
        <w:t xml:space="preserve"> considered necessary by the Royal Commission to </w:t>
      </w:r>
      <w:r w:rsidR="002A10D3" w:rsidRPr="00C87E61">
        <w:t>support</w:t>
      </w:r>
      <w:r w:rsidRPr="00C87E61">
        <w:t xml:space="preserve"> high quality care, where </w:t>
      </w:r>
      <w:r>
        <w:t>residents</w:t>
      </w:r>
      <w:r w:rsidR="45A0EAC3">
        <w:t>’</w:t>
      </w:r>
      <w:r w:rsidRPr="00C87E61">
        <w:t xml:space="preserve"> basic personal and clinical care needs are met.</w:t>
      </w:r>
    </w:p>
    <w:p w14:paraId="027CD4F3" w14:textId="30C9CC38" w:rsidR="00FF4E79" w:rsidRPr="00C87E61" w:rsidRDefault="00A05A7C" w:rsidP="00C87E61">
      <w:pPr>
        <w:pStyle w:val="Paragraphtext"/>
      </w:pPr>
      <w:r>
        <w:t>The approximately</w:t>
      </w:r>
      <w:r w:rsidR="006A126E">
        <w:t xml:space="preserve"> </w:t>
      </w:r>
      <w:r>
        <w:t xml:space="preserve">160,000 consumers (which equates to </w:t>
      </w:r>
      <w:r w:rsidR="00044CC1">
        <w:t xml:space="preserve">approximately </w:t>
      </w:r>
      <w:r>
        <w:t>70.6% of all aged care residents) who are living in the 1,543 homes in MM1 (which equates approximately 63% of all Australian residential aged care homes) will benefit from the adoption of Option 2.</w:t>
      </w:r>
    </w:p>
    <w:p w14:paraId="3800EFAD" w14:textId="0A2D2135" w:rsidR="00090217" w:rsidRPr="00C87E61" w:rsidRDefault="1698C251" w:rsidP="00C87E61">
      <w:pPr>
        <w:pStyle w:val="Paragraphtext"/>
      </w:pPr>
      <w:r>
        <w:t>The department’s modelling</w:t>
      </w:r>
      <w:r w:rsidR="1D12F067">
        <w:t xml:space="preserve"> (in </w:t>
      </w:r>
      <w:r w:rsidR="004F1A02">
        <w:t>A</w:t>
      </w:r>
      <w:r w:rsidR="1D12F067">
        <w:t>ppendix A)</w:t>
      </w:r>
      <w:r>
        <w:t xml:space="preserve"> indicates that pr</w:t>
      </w:r>
      <w:r w:rsidR="2BF1FB3D">
        <w:t xml:space="preserve">oviders will increase their care minutes delivered in </w:t>
      </w:r>
      <w:r w:rsidR="5D2D4162">
        <w:t>hom</w:t>
      </w:r>
      <w:r w:rsidR="2BF1FB3D">
        <w:t>es where care minutes are not currently being met</w:t>
      </w:r>
      <w:r w:rsidR="1BF2987A">
        <w:t xml:space="preserve"> in response to linking funding to care minutes</w:t>
      </w:r>
      <w:r w:rsidR="29B90C3F">
        <w:t xml:space="preserve"> and the financial penalties for not meeting their care minutes targets</w:t>
      </w:r>
      <w:r w:rsidR="1BF2987A">
        <w:t>. Under this option it is expected that</w:t>
      </w:r>
      <w:r w:rsidR="1D12F067">
        <w:t xml:space="preserve"> </w:t>
      </w:r>
      <w:r w:rsidR="1D12F067" w:rsidRPr="00320254">
        <w:t xml:space="preserve">around </w:t>
      </w:r>
      <w:r w:rsidR="7E1A19F0" w:rsidRPr="00761CDA">
        <w:t>72</w:t>
      </w:r>
      <w:r w:rsidR="1BF2987A" w:rsidRPr="00761CDA">
        <w:t>%</w:t>
      </w:r>
      <w:r w:rsidR="1BF2987A" w:rsidRPr="00320254">
        <w:t xml:space="preserve"> of </w:t>
      </w:r>
      <w:r w:rsidR="462FDC43" w:rsidRPr="00320254">
        <w:t>hom</w:t>
      </w:r>
      <w:r w:rsidR="72BD04A8" w:rsidRPr="00320254">
        <w:t>es</w:t>
      </w:r>
      <w:r w:rsidR="1BF2987A">
        <w:t xml:space="preserve"> </w:t>
      </w:r>
      <w:r w:rsidR="1D12F067">
        <w:t xml:space="preserve">will </w:t>
      </w:r>
      <w:r w:rsidR="4B644F71">
        <w:t>meet their total</w:t>
      </w:r>
      <w:r w:rsidR="1D12F067">
        <w:t xml:space="preserve"> care </w:t>
      </w:r>
      <w:r w:rsidR="1D12F067">
        <w:lastRenderedPageBreak/>
        <w:t>m</w:t>
      </w:r>
      <w:r w:rsidR="66E15129">
        <w:t>inutes</w:t>
      </w:r>
      <w:r w:rsidR="4B644F71">
        <w:t xml:space="preserve"> targets</w:t>
      </w:r>
      <w:r w:rsidR="66E15129">
        <w:t xml:space="preserve"> by </w:t>
      </w:r>
      <w:r w:rsidR="6B192918">
        <w:t xml:space="preserve">mid-2028. This </w:t>
      </w:r>
      <w:r w:rsidR="6B192918" w:rsidRPr="003D16F2">
        <w:t>is</w:t>
      </w:r>
      <w:r w:rsidR="7E1A19F0" w:rsidRPr="003D16F2">
        <w:t xml:space="preserve"> </w:t>
      </w:r>
      <w:r w:rsidR="7E1A19F0" w:rsidRPr="00761CDA">
        <w:t>5</w:t>
      </w:r>
      <w:r w:rsidR="6B192918" w:rsidRPr="003D16F2">
        <w:t xml:space="preserve"> percentage</w:t>
      </w:r>
      <w:r w:rsidR="6B192918">
        <w:t xml:space="preserve"> points above the comp</w:t>
      </w:r>
      <w:r w:rsidR="62B2190A">
        <w:t xml:space="preserve">liance rate under </w:t>
      </w:r>
      <w:r w:rsidR="4C1C9582">
        <w:t>O</w:t>
      </w:r>
      <w:r w:rsidR="62B2190A">
        <w:t>ption 1</w:t>
      </w:r>
      <w:r w:rsidR="3181E0A1">
        <w:t xml:space="preserve">. </w:t>
      </w:r>
    </w:p>
    <w:p w14:paraId="349BDD6E" w14:textId="4EE807F6" w:rsidR="00090217" w:rsidRPr="00C87E61" w:rsidRDefault="00573DB5" w:rsidP="00C87E61">
      <w:pPr>
        <w:pStyle w:val="Paragraphtext"/>
      </w:pPr>
      <w:r w:rsidRPr="00C87E61">
        <w:t>In total it is estimated that an</w:t>
      </w:r>
      <w:r w:rsidR="00175CCF" w:rsidRPr="00C87E61">
        <w:t xml:space="preserve"> </w:t>
      </w:r>
      <w:r w:rsidRPr="00C87E61">
        <w:t>additional</w:t>
      </w:r>
      <w:r w:rsidR="004C2A07">
        <w:t xml:space="preserve"> </w:t>
      </w:r>
      <w:r w:rsidR="00BA7C10">
        <w:t>153.5</w:t>
      </w:r>
      <w:r w:rsidR="00905230">
        <w:t xml:space="preserve"> million</w:t>
      </w:r>
      <w:r w:rsidR="000653F1" w:rsidRPr="00C87E61">
        <w:t xml:space="preserve"> care minutes </w:t>
      </w:r>
      <w:r w:rsidR="00E53405">
        <w:t>would be</w:t>
      </w:r>
      <w:r w:rsidR="00EA2293" w:rsidRPr="00C87E61">
        <w:t xml:space="preserve"> delivered between 2024</w:t>
      </w:r>
      <w:r w:rsidR="4288CA71">
        <w:t>-</w:t>
      </w:r>
      <w:r w:rsidR="00EA2293" w:rsidRPr="00C87E61">
        <w:t>25</w:t>
      </w:r>
      <w:r w:rsidR="00FF46C0" w:rsidRPr="00C87E61">
        <w:t xml:space="preserve"> and </w:t>
      </w:r>
      <w:r w:rsidR="00580DFB">
        <w:t>2027-28</w:t>
      </w:r>
      <w:r w:rsidR="00FF46C0" w:rsidRPr="00C87E61">
        <w:t xml:space="preserve"> under this option compared to the status quo</w:t>
      </w:r>
      <w:r w:rsidR="49059ACD" w:rsidRPr="00C87E61">
        <w:t xml:space="preserve"> (</w:t>
      </w:r>
      <w:r w:rsidR="0AE42A3D">
        <w:t>O</w:t>
      </w:r>
      <w:r w:rsidR="49059ACD">
        <w:t>ption</w:t>
      </w:r>
      <w:r w:rsidR="4A8BBC63" w:rsidRPr="00C87E61">
        <w:t xml:space="preserve"> </w:t>
      </w:r>
      <w:r w:rsidR="49059ACD" w:rsidRPr="00C87E61">
        <w:t>1)</w:t>
      </w:r>
      <w:r w:rsidR="00FF46C0" w:rsidRPr="00C87E61">
        <w:t>. For the purposes of the cost benefit analysis these additional minutes have been valued with respect to the average cost of delivering these minutes</w:t>
      </w:r>
      <w:r w:rsidR="00650CF1" w:rsidRPr="00C87E61">
        <w:t xml:space="preserve"> in each financial year</w:t>
      </w:r>
      <w:r w:rsidR="004C2A07">
        <w:t>.</w:t>
      </w:r>
    </w:p>
    <w:p w14:paraId="01B87480" w14:textId="233F3D7A" w:rsidR="005F4B9B" w:rsidRPr="00C87E61" w:rsidRDefault="00046777" w:rsidP="00C87E61">
      <w:pPr>
        <w:pStyle w:val="Paragraphtext"/>
      </w:pPr>
      <w:r>
        <w:t xml:space="preserve">Care minutes delivered is lower under this option than in </w:t>
      </w:r>
      <w:r w:rsidDel="00714848">
        <w:t>O</w:t>
      </w:r>
      <w:r>
        <w:t>ption 3</w:t>
      </w:r>
      <w:r w:rsidR="001A5975">
        <w:t xml:space="preserve"> because this option </w:t>
      </w:r>
      <w:r w:rsidR="006939CA">
        <w:t>does not have any enhanced assurance arrangements to ensure that provider</w:t>
      </w:r>
      <w:r w:rsidDel="006939CA">
        <w:t>s</w:t>
      </w:r>
      <w:r w:rsidR="006939CA">
        <w:t xml:space="preserve"> reported </w:t>
      </w:r>
      <w:r w:rsidR="00F60438">
        <w:t xml:space="preserve">care minutes are correct. </w:t>
      </w:r>
      <w:r w:rsidR="00944855">
        <w:t>This means</w:t>
      </w:r>
      <w:r w:rsidR="00F60438">
        <w:t xml:space="preserve"> a provider’s response to this policy could be to over-report their care minutes delivered rather than </w:t>
      </w:r>
      <w:r w:rsidR="00936CF9">
        <w:t>deliver additional care minutes.</w:t>
      </w:r>
    </w:p>
    <w:p w14:paraId="1B096EB4" w14:textId="36863DA3" w:rsidR="00CC2C4C" w:rsidRPr="00A22079" w:rsidRDefault="512AFDE7" w:rsidP="00A22079">
      <w:pPr>
        <w:pStyle w:val="Paragraphtext"/>
      </w:pPr>
      <w:r w:rsidRPr="00C87E61">
        <w:t xml:space="preserve">The extent to which this may occur is </w:t>
      </w:r>
      <w:r w:rsidR="7FED9B8A" w:rsidRPr="00C87E61">
        <w:t xml:space="preserve">subject to uncertainty. </w:t>
      </w:r>
      <w:r w:rsidR="723109F8" w:rsidRPr="00C87E61">
        <w:t xml:space="preserve">For the purposes </w:t>
      </w:r>
      <w:r w:rsidR="649379F9" w:rsidRPr="00C87E61">
        <w:t xml:space="preserve">of putting a value on this for the </w:t>
      </w:r>
      <w:r w:rsidR="723109F8" w:rsidRPr="00C87E61">
        <w:t xml:space="preserve">cost benefit </w:t>
      </w:r>
      <w:r w:rsidR="74D650AA" w:rsidRPr="00C87E61">
        <w:t>analysis,</w:t>
      </w:r>
      <w:r w:rsidR="723109F8" w:rsidRPr="00C87E61">
        <w:t xml:space="preserve"> it </w:t>
      </w:r>
      <w:r w:rsidR="3881B424">
        <w:t>was</w:t>
      </w:r>
      <w:r w:rsidR="723109F8" w:rsidRPr="00C87E61">
        <w:t xml:space="preserve"> assumed that </w:t>
      </w:r>
      <w:r w:rsidR="7057C982" w:rsidRPr="00C87E61">
        <w:t>42</w:t>
      </w:r>
      <w:r w:rsidR="723109F8" w:rsidRPr="00C87E61">
        <w:t xml:space="preserve">% of </w:t>
      </w:r>
      <w:r w:rsidR="1B349AB1">
        <w:t>hom</w:t>
      </w:r>
      <w:r w:rsidR="723109F8" w:rsidRPr="00C87E61">
        <w:t>es will</w:t>
      </w:r>
      <w:r w:rsidR="15E83666" w:rsidRPr="00C87E61">
        <w:t xml:space="preserve"> respond to this policy change by </w:t>
      </w:r>
      <w:r w:rsidR="7057C982" w:rsidRPr="00C87E61">
        <w:t xml:space="preserve">reporting increasing their care minutes </w:t>
      </w:r>
      <w:r w:rsidR="1B349AB1">
        <w:t xml:space="preserve">delivery </w:t>
      </w:r>
      <w:r w:rsidR="7057C982" w:rsidRPr="00C87E61">
        <w:t xml:space="preserve">rather than genuinely delivering increased </w:t>
      </w:r>
      <w:r w:rsidR="1B349AB1">
        <w:t xml:space="preserve">care </w:t>
      </w:r>
      <w:r w:rsidR="7057C982" w:rsidRPr="00C87E61">
        <w:t xml:space="preserve">minutes. </w:t>
      </w:r>
      <w:r w:rsidR="7D8059AD" w:rsidRPr="00C87E61">
        <w:t>Th</w:t>
      </w:r>
      <w:r w:rsidR="2BCB1661" w:rsidRPr="00C87E61">
        <w:t xml:space="preserve">is percentage is </w:t>
      </w:r>
      <w:r w:rsidR="7D8059AD" w:rsidRPr="00C87E61">
        <w:t>based on evidence from when providers undertook funding needs assessment</w:t>
      </w:r>
      <w:r w:rsidR="6322B660" w:rsidRPr="00C87E61">
        <w:t>s of their residents</w:t>
      </w:r>
      <w:r w:rsidR="6D2E5513" w:rsidRPr="00C87E61">
        <w:t xml:space="preserve"> </w:t>
      </w:r>
      <w:r w:rsidR="6924F945" w:rsidRPr="00C87E61">
        <w:t xml:space="preserve">under the </w:t>
      </w:r>
      <w:r w:rsidR="3FA7669C">
        <w:t xml:space="preserve">discontinued </w:t>
      </w:r>
      <w:r w:rsidR="002E58C7">
        <w:t xml:space="preserve">Aged </w:t>
      </w:r>
      <w:r w:rsidR="00B65277">
        <w:t>Care Funding Instrument (</w:t>
      </w:r>
      <w:r w:rsidR="6924F945" w:rsidRPr="00C87E61">
        <w:t>ACFI</w:t>
      </w:r>
      <w:r w:rsidR="00B65277">
        <w:t>)</w:t>
      </w:r>
      <w:r w:rsidR="6924F945" w:rsidRPr="00C87E61">
        <w:t xml:space="preserve"> arrangements.</w:t>
      </w:r>
      <w:r w:rsidR="4A65A565" w:rsidRPr="00C87E61">
        <w:t xml:space="preserve"> ACFI review data from near the end of this program</w:t>
      </w:r>
      <w:r w:rsidR="6D2E5513" w:rsidRPr="00C87E61">
        <w:t xml:space="preserve"> in 2018-19 showed that when providers</w:t>
      </w:r>
      <w:r w:rsidR="34B84B82">
        <w:t>’</w:t>
      </w:r>
      <w:r w:rsidR="6D2E5513" w:rsidRPr="00C87E61">
        <w:t xml:space="preserve"> funding assessments were externally </w:t>
      </w:r>
      <w:r w:rsidR="47DBE095" w:rsidRPr="00C87E61">
        <w:t>reviewed,</w:t>
      </w:r>
      <w:r w:rsidR="6D2E5513" w:rsidRPr="00C87E61">
        <w:t xml:space="preserve"> the</w:t>
      </w:r>
      <w:r w:rsidR="5FF18D9E" w:rsidRPr="00C87E61">
        <w:t>y were downgraded 42% of the time</w:t>
      </w:r>
      <w:r w:rsidR="6322B660" w:rsidRPr="00C87E61">
        <w:t xml:space="preserve"> (</w:t>
      </w:r>
      <w:r w:rsidR="5FF18D9E" w:rsidRPr="00C87E61">
        <w:t xml:space="preserve">resulting in reductions in </w:t>
      </w:r>
      <w:r w:rsidR="200EF5CE" w:rsidRPr="00C87E61">
        <w:t>subsidy of around $75 million</w:t>
      </w:r>
      <w:r w:rsidR="74D650AA" w:rsidRPr="00C87E61">
        <w:t>)</w:t>
      </w:r>
      <w:r w:rsidR="00234CFE" w:rsidRPr="00854B63">
        <w:rPr>
          <w:rStyle w:val="FootnoteReference"/>
        </w:rPr>
        <w:footnoteReference w:id="55"/>
      </w:r>
      <w:r w:rsidR="2D1B04E7" w:rsidRPr="00674318">
        <w:t>.</w:t>
      </w:r>
      <w:r w:rsidR="42CE7B4E" w:rsidRPr="00C87E61">
        <w:t>That is, of all ACFI assessments checked by the department</w:t>
      </w:r>
      <w:r w:rsidR="51A31CA9" w:rsidRPr="00C87E61">
        <w:t>,</w:t>
      </w:r>
      <w:r w:rsidR="42CE7B4E" w:rsidRPr="00C87E61">
        <w:t xml:space="preserve"> 42% overstated the needs of residents to</w:t>
      </w:r>
      <w:r w:rsidR="2839FCB7" w:rsidRPr="00C87E61">
        <w:t xml:space="preserve"> receive higher funding.</w:t>
      </w:r>
    </w:p>
    <w:p w14:paraId="105080C4" w14:textId="6C15CA94" w:rsidR="00FC4B44" w:rsidRPr="00EE4D36" w:rsidRDefault="00FC4396" w:rsidP="00EE4D36">
      <w:pPr>
        <w:pStyle w:val="Paragraphtext"/>
        <w:rPr>
          <w:b/>
        </w:rPr>
      </w:pPr>
      <w:r w:rsidRPr="00357BB0">
        <w:rPr>
          <w:b/>
        </w:rPr>
        <w:t>Pr</w:t>
      </w:r>
      <w:r w:rsidR="002F0FC4" w:rsidRPr="00357BB0">
        <w:rPr>
          <w:b/>
        </w:rPr>
        <w:t>oviders</w:t>
      </w:r>
    </w:p>
    <w:p w14:paraId="280D17DD" w14:textId="59B4CD36" w:rsidR="00E4180B" w:rsidRPr="00C87E61" w:rsidRDefault="00EF375F" w:rsidP="00C87E61">
      <w:pPr>
        <w:pStyle w:val="Paragraphtext"/>
      </w:pPr>
      <w:r w:rsidRPr="00C87E61">
        <w:t>Provider</w:t>
      </w:r>
      <w:r w:rsidR="00D62A51" w:rsidRPr="00C87E61">
        <w:t>s</w:t>
      </w:r>
      <w:r w:rsidRPr="00C87E61">
        <w:t xml:space="preserve"> that do not meet their care minute responsibility</w:t>
      </w:r>
      <w:r w:rsidR="00E4180B" w:rsidRPr="00C87E61">
        <w:t xml:space="preserve"> in their metropolitan aged care </w:t>
      </w:r>
      <w:r w:rsidR="0066581E">
        <w:t>hom</w:t>
      </w:r>
      <w:r w:rsidR="00E4180B" w:rsidRPr="00C87E61">
        <w:t>es</w:t>
      </w:r>
      <w:r w:rsidRPr="00C87E61">
        <w:t xml:space="preserve"> will receive less </w:t>
      </w:r>
      <w:r w:rsidR="00ED2BEB">
        <w:t>G</w:t>
      </w:r>
      <w:r w:rsidRPr="00C87E61">
        <w:t>overnment subsidy</w:t>
      </w:r>
      <w:r w:rsidR="00E4180B" w:rsidRPr="00C87E61">
        <w:t xml:space="preserve"> under this option. It is estimated that the </w:t>
      </w:r>
      <w:r w:rsidR="00990367">
        <w:t xml:space="preserve">discounted </w:t>
      </w:r>
      <w:r w:rsidR="00E4180B" w:rsidRPr="00C87E61">
        <w:t xml:space="preserve">reduction in subsidy </w:t>
      </w:r>
      <w:r w:rsidR="00E4180B" w:rsidRPr="00333D90">
        <w:t xml:space="preserve">will be </w:t>
      </w:r>
      <w:r w:rsidR="00E4180B" w:rsidRPr="00BA22EA">
        <w:t>$221</w:t>
      </w:r>
      <w:r w:rsidR="00E4180B" w:rsidRPr="00333D90">
        <w:t xml:space="preserve"> million</w:t>
      </w:r>
      <w:r w:rsidR="00E4180B" w:rsidRPr="00C87E61">
        <w:t xml:space="preserve"> </w:t>
      </w:r>
      <w:r w:rsidR="00707818" w:rsidRPr="00C87E61">
        <w:t>from 2025-26 to 2027-28</w:t>
      </w:r>
      <w:r w:rsidR="00DD1A8E" w:rsidRPr="00C87E61">
        <w:t>.</w:t>
      </w:r>
      <w:r w:rsidR="007C52A4" w:rsidRPr="00C87E61">
        <w:t xml:space="preserve"> </w:t>
      </w:r>
      <w:r w:rsidR="00990367">
        <w:t>Appendix</w:t>
      </w:r>
      <w:r w:rsidR="000D4D75">
        <w:t xml:space="preserve"> B outlines how this estimated reduction in subsidy is calculated</w:t>
      </w:r>
      <w:r w:rsidR="00A22079">
        <w:t xml:space="preserve"> (noting that the figures in Appendix B are nominal dollars prior to the discount rate of 7% being applied)</w:t>
      </w:r>
      <w:r w:rsidR="000D4D75">
        <w:t>.</w:t>
      </w:r>
    </w:p>
    <w:p w14:paraId="727E231B" w14:textId="08317D58" w:rsidR="00CC2C4C" w:rsidRPr="00A22079" w:rsidRDefault="001260C3" w:rsidP="00A22079">
      <w:pPr>
        <w:pStyle w:val="Paragraphtext"/>
      </w:pPr>
      <w:r>
        <w:t xml:space="preserve">Providers will also deliver more care time under this option (in line with the increases outlined </w:t>
      </w:r>
      <w:r w:rsidR="00F53F3A">
        <w:t>as a benefit to consumers)</w:t>
      </w:r>
      <w:r w:rsidR="60C72B7A">
        <w:t xml:space="preserve"> as compared to </w:t>
      </w:r>
      <w:r w:rsidR="0188D78E">
        <w:t>O</w:t>
      </w:r>
      <w:r w:rsidR="60C72B7A">
        <w:t>ption 1</w:t>
      </w:r>
      <w:r w:rsidR="00F53F3A">
        <w:t xml:space="preserve">. This additional care time will have a cost to </w:t>
      </w:r>
      <w:r w:rsidR="00A22079">
        <w:t>providers;</w:t>
      </w:r>
      <w:r w:rsidR="00F53F3A">
        <w:t xml:space="preserve"> however</w:t>
      </w:r>
      <w:r w:rsidR="09CA70A0">
        <w:t>,</w:t>
      </w:r>
      <w:r w:rsidR="007A59F5">
        <w:t xml:space="preserve"> providers are funded to meet this </w:t>
      </w:r>
      <w:r w:rsidR="00A22079">
        <w:t xml:space="preserve">cost </w:t>
      </w:r>
      <w:r w:rsidR="00FB5FA0">
        <w:t xml:space="preserve">under the AN-ACC funding model </w:t>
      </w:r>
      <w:r w:rsidR="00A22079">
        <w:t>and</w:t>
      </w:r>
      <w:r w:rsidR="007A59F5">
        <w:t xml:space="preserve"> </w:t>
      </w:r>
      <w:r w:rsidR="00564E81">
        <w:t xml:space="preserve">are currently </w:t>
      </w:r>
      <w:r w:rsidR="007A59F5">
        <w:t>deriving an illegitimate financial benefit from not delivering these minutes</w:t>
      </w:r>
      <w:r w:rsidR="00065B65">
        <w:t xml:space="preserve"> (as was outlined in </w:t>
      </w:r>
      <w:r w:rsidR="006044AA">
        <w:t>Chapter</w:t>
      </w:r>
      <w:r w:rsidR="00DA57BC">
        <w:t xml:space="preserve"> 2</w:t>
      </w:r>
      <w:r w:rsidR="00065B65">
        <w:t xml:space="preserve"> of this Impact Analysis)</w:t>
      </w:r>
      <w:r w:rsidR="00564E81">
        <w:t>. As such</w:t>
      </w:r>
      <w:r w:rsidR="29A5820C">
        <w:t>,</w:t>
      </w:r>
      <w:r w:rsidR="00564E81">
        <w:t xml:space="preserve"> the costs of delivering these extra minutes are not included as a </w:t>
      </w:r>
      <w:r w:rsidR="00706C17">
        <w:t>cost in the cost benefit analysis.</w:t>
      </w:r>
    </w:p>
    <w:p w14:paraId="7C0B48AC" w14:textId="18B85413" w:rsidR="003B2EDF" w:rsidRPr="00357BB0" w:rsidRDefault="003B2EDF" w:rsidP="00EE4D36">
      <w:pPr>
        <w:pStyle w:val="Paragraphtext"/>
        <w:rPr>
          <w:b/>
        </w:rPr>
      </w:pPr>
      <w:r w:rsidRPr="00357BB0">
        <w:rPr>
          <w:b/>
        </w:rPr>
        <w:t>Government</w:t>
      </w:r>
    </w:p>
    <w:p w14:paraId="4880D048" w14:textId="0F05D245" w:rsidR="007D2049" w:rsidRDefault="00FD7F80" w:rsidP="00626886">
      <w:pPr>
        <w:pStyle w:val="Paragraphtext"/>
      </w:pPr>
      <w:r>
        <w:t xml:space="preserve">Government benefits from this proposal through </w:t>
      </w:r>
      <w:r w:rsidR="001A04B7">
        <w:t>not paying for as many care minutes where they are not delivered.</w:t>
      </w:r>
      <w:r w:rsidR="00C64FBD">
        <w:t xml:space="preserve"> </w:t>
      </w:r>
      <w:r w:rsidR="00771E86">
        <w:t>As noted earlier under the consumer section</w:t>
      </w:r>
      <w:r w:rsidR="00DD46EF">
        <w:t xml:space="preserve">, an additional </w:t>
      </w:r>
      <w:r w:rsidR="00167E25">
        <w:t>1</w:t>
      </w:r>
      <w:r w:rsidR="009047D4">
        <w:t>53.5</w:t>
      </w:r>
      <w:r w:rsidR="00DD46EF">
        <w:t xml:space="preserve"> million care minutes (that Government already funds) are expected to be delivered.</w:t>
      </w:r>
    </w:p>
    <w:p w14:paraId="5F00CFE0" w14:textId="3AC62D1D" w:rsidR="00626886" w:rsidRDefault="00626886" w:rsidP="00B147E5">
      <w:pPr>
        <w:pStyle w:val="Paragraphtext"/>
      </w:pPr>
      <w:r>
        <w:t xml:space="preserve">Government is </w:t>
      </w:r>
      <w:r w:rsidR="00DD46EF">
        <w:t xml:space="preserve">also </w:t>
      </w:r>
      <w:r>
        <w:t>expected to</w:t>
      </w:r>
      <w:r w:rsidR="007B06A8">
        <w:t xml:space="preserve"> directly </w:t>
      </w:r>
      <w:r w:rsidR="007B06A8" w:rsidRPr="00951304">
        <w:t xml:space="preserve">save </w:t>
      </w:r>
      <w:r w:rsidR="007B06A8" w:rsidRPr="00BA22EA">
        <w:t>$221</w:t>
      </w:r>
      <w:r w:rsidR="007B06A8" w:rsidRPr="00951304">
        <w:t xml:space="preserve"> million between</w:t>
      </w:r>
      <w:r w:rsidR="007B06A8">
        <w:t xml:space="preserve"> 2025-26 and 2027-28 through reduced funding to </w:t>
      </w:r>
      <w:r w:rsidR="0026583C">
        <w:t>providers that report not meeting their care minutes</w:t>
      </w:r>
      <w:r w:rsidR="00B54DAB">
        <w:t xml:space="preserve"> targets</w:t>
      </w:r>
      <w:r w:rsidR="0026583C">
        <w:t>.</w:t>
      </w:r>
    </w:p>
    <w:p w14:paraId="3E826344" w14:textId="32B00FD2" w:rsidR="00FE649D" w:rsidRDefault="004F3411" w:rsidP="00B147E5">
      <w:pPr>
        <w:pStyle w:val="Paragraphtext"/>
      </w:pPr>
      <w:r>
        <w:t>Under this option</w:t>
      </w:r>
      <w:r w:rsidR="57684A75">
        <w:t>,</w:t>
      </w:r>
      <w:r>
        <w:t xml:space="preserve"> Government will still </w:t>
      </w:r>
      <w:r w:rsidR="00FE5E1A">
        <w:t>pay for</w:t>
      </w:r>
      <w:r w:rsidR="00CA1057">
        <w:t xml:space="preserve"> some</w:t>
      </w:r>
      <w:r w:rsidR="00FE5E1A">
        <w:t xml:space="preserve"> care minutes not being delivered, including</w:t>
      </w:r>
      <w:r w:rsidR="00FE649D">
        <w:t>:</w:t>
      </w:r>
    </w:p>
    <w:p w14:paraId="2C6DF39D" w14:textId="70A98B82" w:rsidR="00C64FBD" w:rsidRPr="00FE649D" w:rsidRDefault="583F9F79" w:rsidP="00357BB0">
      <w:pPr>
        <w:pStyle w:val="ListBullet"/>
        <w:numPr>
          <w:ilvl w:val="0"/>
          <w:numId w:val="13"/>
        </w:numPr>
        <w:rPr>
          <w:b/>
          <w:bCs/>
        </w:rPr>
      </w:pPr>
      <w:r>
        <w:t>w</w:t>
      </w:r>
      <w:r w:rsidR="00FE5E1A">
        <w:t>here a provider</w:t>
      </w:r>
      <w:r w:rsidR="009C6D40">
        <w:t xml:space="preserve"> reports increasing care minute</w:t>
      </w:r>
      <w:r w:rsidR="00037F39">
        <w:t xml:space="preserve"> delivery</w:t>
      </w:r>
      <w:r w:rsidR="00EA596B">
        <w:t xml:space="preserve"> in their </w:t>
      </w:r>
      <w:r w:rsidR="00037F39">
        <w:t>home</w:t>
      </w:r>
      <w:r w:rsidR="00A0006C">
        <w:t>s</w:t>
      </w:r>
      <w:r w:rsidR="00EA596B">
        <w:t xml:space="preserve"> but</w:t>
      </w:r>
      <w:r w:rsidR="009C6D40">
        <w:t xml:space="preserve"> does not actually increase the</w:t>
      </w:r>
      <w:r w:rsidR="00FE649D" w:rsidDel="009C6D40">
        <w:t>ir</w:t>
      </w:r>
      <w:r w:rsidR="009C6D40">
        <w:t xml:space="preserve"> minutes</w:t>
      </w:r>
      <w:r w:rsidR="00A34DFD">
        <w:t xml:space="preserve"> </w:t>
      </w:r>
      <w:r w:rsidR="00341437">
        <w:t>delivered</w:t>
      </w:r>
      <w:r w:rsidR="00A34DFD">
        <w:t xml:space="preserve"> (i.e. they misreport increasing their care minutes)</w:t>
      </w:r>
    </w:p>
    <w:p w14:paraId="44168D8C" w14:textId="1E8738AC" w:rsidR="00A34DFD" w:rsidRPr="00A34DFD" w:rsidRDefault="62E54692" w:rsidP="00357BB0">
      <w:pPr>
        <w:pStyle w:val="ListBullet"/>
        <w:numPr>
          <w:ilvl w:val="0"/>
          <w:numId w:val="13"/>
        </w:numPr>
        <w:rPr>
          <w:b/>
          <w:bCs/>
        </w:rPr>
      </w:pPr>
      <w:r>
        <w:t>b</w:t>
      </w:r>
      <w:r w:rsidR="00A34DFD">
        <w:t>ecause the supplement has a tolerance built into it to fund providers to increase their care minutes</w:t>
      </w:r>
      <w:r w:rsidR="009369AC">
        <w:t xml:space="preserve"> </w:t>
      </w:r>
      <w:r w:rsidR="00970216">
        <w:t>delivered</w:t>
      </w:r>
      <w:r w:rsidR="00BB6AEC">
        <w:t xml:space="preserve"> </w:t>
      </w:r>
      <w:r w:rsidR="009369AC">
        <w:t xml:space="preserve">(providers are funded to deliver </w:t>
      </w:r>
      <w:r w:rsidR="00A34504">
        <w:t>a 2.5% increase in their compliance)</w:t>
      </w:r>
    </w:p>
    <w:p w14:paraId="72BE93A6" w14:textId="4495E2F8" w:rsidR="00C23C4B" w:rsidRPr="00A22079" w:rsidRDefault="169418F5" w:rsidP="00357BB0">
      <w:pPr>
        <w:pStyle w:val="ListBullet"/>
        <w:numPr>
          <w:ilvl w:val="0"/>
          <w:numId w:val="13"/>
        </w:numPr>
        <w:rPr>
          <w:b/>
          <w:bCs/>
        </w:rPr>
      </w:pPr>
      <w:r>
        <w:t>i</w:t>
      </w:r>
      <w:r w:rsidR="00C412D8">
        <w:t xml:space="preserve">n </w:t>
      </w:r>
      <w:r w:rsidR="020D761D">
        <w:t>hom</w:t>
      </w:r>
      <w:r w:rsidR="00C412D8">
        <w:t xml:space="preserve">es outside of metropolitan areas where care minutes </w:t>
      </w:r>
      <w:r w:rsidR="001339C3">
        <w:t>delivery</w:t>
      </w:r>
      <w:r w:rsidR="00C412D8">
        <w:t xml:space="preserve"> will not be linked to funding under this option.</w:t>
      </w:r>
    </w:p>
    <w:p w14:paraId="2721AA72" w14:textId="47BED2EA" w:rsidR="00627932" w:rsidRPr="00F01BBF" w:rsidRDefault="00627932" w:rsidP="00EE4D36">
      <w:pPr>
        <w:keepNext/>
        <w:widowControl w:val="0"/>
        <w:spacing w:line="259" w:lineRule="auto"/>
      </w:pPr>
      <w:r w:rsidRPr="00EE4D36">
        <w:rPr>
          <w:b/>
          <w:sz w:val="24"/>
        </w:rPr>
        <w:lastRenderedPageBreak/>
        <w:t>Total net benefit</w:t>
      </w:r>
      <w:r w:rsidR="244EDECC" w:rsidRPr="00902B96">
        <w:rPr>
          <w:b/>
          <w:bCs/>
          <w:sz w:val="24"/>
        </w:rPr>
        <w:t xml:space="preserve"> for Option 2</w:t>
      </w:r>
    </w:p>
    <w:p w14:paraId="2FBE7BFA" w14:textId="6D605D88" w:rsidR="009C4369" w:rsidRPr="00627932" w:rsidRDefault="009C4369" w:rsidP="00627932">
      <w:pPr>
        <w:pStyle w:val="Paragraphtext"/>
      </w:pPr>
      <w:r w:rsidRPr="00627932">
        <w:t xml:space="preserve">The expected net benefits of this option </w:t>
      </w:r>
      <w:r w:rsidR="00706C17" w:rsidRPr="00627932">
        <w:t>across</w:t>
      </w:r>
      <w:r w:rsidR="00B7329E" w:rsidRPr="00627932">
        <w:t xml:space="preserve"> consumers, providers and Government </w:t>
      </w:r>
      <w:r w:rsidRPr="00627932">
        <w:t xml:space="preserve">are </w:t>
      </w:r>
      <w:r w:rsidR="00706C17" w:rsidRPr="00627932">
        <w:t xml:space="preserve">summarised </w:t>
      </w:r>
      <w:r w:rsidRPr="00627932">
        <w:t xml:space="preserve">in </w:t>
      </w:r>
      <w:r w:rsidR="000A1C05" w:rsidRPr="00627932">
        <w:t>table</w:t>
      </w:r>
      <w:r w:rsidR="003A50F6" w:rsidRPr="00627932">
        <w:t xml:space="preserve"> </w:t>
      </w:r>
      <w:r w:rsidR="009B197E">
        <w:t>4</w:t>
      </w:r>
      <w:r w:rsidR="003A50F6" w:rsidRPr="00627932">
        <w:t xml:space="preserve"> below.</w:t>
      </w:r>
      <w:r w:rsidR="00B7329E" w:rsidRPr="00627932">
        <w:t xml:space="preserve"> Overall</w:t>
      </w:r>
      <w:r w:rsidR="00627932">
        <w:t>,</w:t>
      </w:r>
      <w:r w:rsidR="00B7329E" w:rsidRPr="00627932">
        <w:t xml:space="preserve"> this option has a positive net benefit </w:t>
      </w:r>
      <w:r w:rsidR="00B7329E" w:rsidRPr="00AE38A6">
        <w:t>of $</w:t>
      </w:r>
      <w:r w:rsidR="004A0139" w:rsidRPr="00BA22EA">
        <w:t>7,3</w:t>
      </w:r>
      <w:r w:rsidR="009C7CF2">
        <w:t>80.1</w:t>
      </w:r>
      <w:r w:rsidR="004A0139" w:rsidRPr="00BA22EA">
        <w:t xml:space="preserve"> </w:t>
      </w:r>
      <w:r w:rsidR="00B7329E" w:rsidRPr="00627932">
        <w:t>million</w:t>
      </w:r>
      <w:r w:rsidR="00627932" w:rsidRPr="00627932">
        <w:t xml:space="preserve"> from 2024-25 to 2027-28.</w:t>
      </w:r>
    </w:p>
    <w:p w14:paraId="506509AC" w14:textId="40215182" w:rsidR="0070750D" w:rsidRDefault="00086DC7" w:rsidP="00905770">
      <w:pPr>
        <w:pStyle w:val="TableTitle"/>
      </w:pPr>
      <w:r w:rsidRPr="00A373CB">
        <w:t xml:space="preserve">Table </w:t>
      </w:r>
      <w:r w:rsidR="009B197E">
        <w:t>4</w:t>
      </w:r>
      <w:r w:rsidRPr="00A373CB">
        <w:t xml:space="preserve">: Net benefit </w:t>
      </w:r>
      <w:r w:rsidR="00A373CB" w:rsidRPr="00A373CB">
        <w:t xml:space="preserve">of </w:t>
      </w:r>
      <w:r w:rsidR="6E25132E">
        <w:t>O</w:t>
      </w:r>
      <w:r w:rsidR="00A373CB" w:rsidRPr="00A373CB">
        <w:t>ption 2</w:t>
      </w:r>
      <w:r w:rsidR="00AC1804">
        <w:t xml:space="preserve"> from 2024-25 to 2027-28</w:t>
      </w:r>
    </w:p>
    <w:p w14:paraId="2709725E" w14:textId="01CE0BDB" w:rsidR="00F90FC0" w:rsidRDefault="007A5C9B" w:rsidP="00905770">
      <w:pPr>
        <w:pStyle w:val="TableTitle"/>
      </w:pPr>
      <w:r w:rsidRPr="007A5C9B">
        <w:rPr>
          <w:noProof/>
          <w:lang w:val="en-AU" w:eastAsia="en-AU"/>
        </w:rPr>
        <w:drawing>
          <wp:inline distT="0" distB="0" distL="0" distR="0" wp14:anchorId="58A98FF2" wp14:editId="33607AAA">
            <wp:extent cx="5715000" cy="2257894"/>
            <wp:effectExtent l="0" t="0" r="0" b="9525"/>
            <wp:docPr id="354093836" name="Picture 1" descr="Table 4: Net benefit of Option 2 from 2024-25 to 2027-28 which shows there is a total net benefit of $7,380.1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93836" name="Picture 1" descr="Table 4: Net benefit of Option 2 from 2024-25 to 2027-28 which shows there is a total net benefit of $7,380.1million."/>
                    <pic:cNvPicPr/>
                  </pic:nvPicPr>
                  <pic:blipFill>
                    <a:blip r:embed="rId36"/>
                    <a:stretch>
                      <a:fillRect/>
                    </a:stretch>
                  </pic:blipFill>
                  <pic:spPr>
                    <a:xfrm>
                      <a:off x="0" y="0"/>
                      <a:ext cx="5752906" cy="2272870"/>
                    </a:xfrm>
                    <a:prstGeom prst="rect">
                      <a:avLst/>
                    </a:prstGeom>
                  </pic:spPr>
                </pic:pic>
              </a:graphicData>
            </a:graphic>
          </wp:inline>
        </w:drawing>
      </w:r>
    </w:p>
    <w:p w14:paraId="6D14292D" w14:textId="42D1504D" w:rsidR="00FA279E" w:rsidRPr="00EE4D36" w:rsidRDefault="00D43814" w:rsidP="00EE4D36">
      <w:pPr>
        <w:pStyle w:val="Paragraphtext"/>
        <w:rPr>
          <w:b/>
        </w:rPr>
      </w:pPr>
      <w:r w:rsidRPr="00EE4D36">
        <w:rPr>
          <w:b/>
        </w:rPr>
        <w:t>Other</w:t>
      </w:r>
      <w:r w:rsidR="00FA279E" w:rsidRPr="00EE4D36">
        <w:rPr>
          <w:b/>
        </w:rPr>
        <w:t xml:space="preserve"> </w:t>
      </w:r>
      <w:r w:rsidR="00F641BB" w:rsidRPr="00EE4D36">
        <w:rPr>
          <w:b/>
        </w:rPr>
        <w:t xml:space="preserve">unquantified </w:t>
      </w:r>
      <w:r w:rsidRPr="00EE4D36">
        <w:rPr>
          <w:b/>
        </w:rPr>
        <w:t>impacts</w:t>
      </w:r>
    </w:p>
    <w:p w14:paraId="3F83BE64" w14:textId="2FE839B6" w:rsidR="00F641BB" w:rsidRDefault="001D6D1F" w:rsidP="00B147E5">
      <w:pPr>
        <w:pStyle w:val="Paragraphtext"/>
      </w:pPr>
      <w:r>
        <w:t>While this is not quantified in this cost benefit analysis</w:t>
      </w:r>
      <w:r w:rsidR="00C75CD6">
        <w:t>,</w:t>
      </w:r>
      <w:r>
        <w:t xml:space="preserve"> it is likely that </w:t>
      </w:r>
      <w:r w:rsidR="1456A033">
        <w:t>RNs, ENs</w:t>
      </w:r>
      <w:r w:rsidR="00E215DF">
        <w:t xml:space="preserve"> and </w:t>
      </w:r>
      <w:r w:rsidR="4A625BAA">
        <w:t xml:space="preserve">PCWs </w:t>
      </w:r>
      <w:r w:rsidR="00E215DF">
        <w:t xml:space="preserve">would </w:t>
      </w:r>
      <w:r w:rsidR="008C0D41">
        <w:t xml:space="preserve">also </w:t>
      </w:r>
      <w:r w:rsidR="00E215DF">
        <w:t>benefit from this option</w:t>
      </w:r>
      <w:r w:rsidR="008C0D41">
        <w:t xml:space="preserve"> because of the increased staffing levels </w:t>
      </w:r>
      <w:r w:rsidR="00540CB7">
        <w:t>it is expected to deliver.</w:t>
      </w:r>
      <w:r w:rsidR="00E215DF">
        <w:t xml:space="preserve"> </w:t>
      </w:r>
      <w:r w:rsidR="00540C52">
        <w:t>D</w:t>
      </w:r>
      <w:r w:rsidR="00E215DF">
        <w:t xml:space="preserve">elivering care and nursing services in an environment where staffing levels </w:t>
      </w:r>
      <w:r w:rsidR="003A7B79">
        <w:t>are adequate</w:t>
      </w:r>
      <w:r w:rsidR="00540CB7">
        <w:t>,</w:t>
      </w:r>
      <w:r w:rsidR="003A7B79">
        <w:t xml:space="preserve"> </w:t>
      </w:r>
      <w:r w:rsidR="00131E58">
        <w:t xml:space="preserve">and workers have time to </w:t>
      </w:r>
      <w:r w:rsidR="00720B0A">
        <w:t>properly care for and engage with each resident</w:t>
      </w:r>
      <w:r w:rsidR="00540C52">
        <w:t xml:space="preserve"> likely</w:t>
      </w:r>
      <w:r w:rsidR="00773803">
        <w:t xml:space="preserve"> increases workforce satisfaction</w:t>
      </w:r>
      <w:r w:rsidR="00540C52">
        <w:t xml:space="preserve"> and wellbeing</w:t>
      </w:r>
      <w:r w:rsidR="00B05E5D">
        <w:t>, compared t</w:t>
      </w:r>
      <w:r w:rsidR="003E27EA">
        <w:t>o working in an environment that is understaffed</w:t>
      </w:r>
      <w:r w:rsidR="00540C52">
        <w:t>.</w:t>
      </w:r>
      <w:r w:rsidR="004B144B">
        <w:t xml:space="preserve"> </w:t>
      </w:r>
      <w:r w:rsidR="00F641BB">
        <w:t>This benefit is not quantified in the cost benefit analysis because the</w:t>
      </w:r>
      <w:r w:rsidR="000D05F5">
        <w:t xml:space="preserve"> department does not have adequate information </w:t>
      </w:r>
      <w:r w:rsidR="007B1BCE">
        <w:t>on which to place a dollar value on this benefit.</w:t>
      </w:r>
    </w:p>
    <w:p w14:paraId="211F9B3C" w14:textId="6ABF3049" w:rsidR="0070750D" w:rsidRPr="00EE4D36" w:rsidRDefault="00484984" w:rsidP="00EE4D36">
      <w:pPr>
        <w:pStyle w:val="Heading4"/>
        <w:spacing w:line="259" w:lineRule="auto"/>
      </w:pPr>
      <w:r w:rsidRPr="00EE4D36">
        <w:t xml:space="preserve">Regulatory </w:t>
      </w:r>
      <w:r w:rsidR="006B035A" w:rsidRPr="00EE4D36">
        <w:t>burden</w:t>
      </w:r>
      <w:r w:rsidRPr="00EE4D36">
        <w:t xml:space="preserve"> of </w:t>
      </w:r>
      <w:r w:rsidRPr="00EE4D36" w:rsidDel="00714848">
        <w:t>O</w:t>
      </w:r>
      <w:r w:rsidRPr="00EE4D36">
        <w:t xml:space="preserve">ption </w:t>
      </w:r>
      <w:r w:rsidR="00B917B1" w:rsidRPr="00EE4D36">
        <w:t>2</w:t>
      </w:r>
    </w:p>
    <w:p w14:paraId="111508E7" w14:textId="7AFAD720" w:rsidR="00B917B1" w:rsidRPr="00B147E5" w:rsidRDefault="00B917B1" w:rsidP="00B147E5">
      <w:pPr>
        <w:pStyle w:val="Paragraphtext"/>
      </w:pPr>
      <w:r>
        <w:t>As this option only changes funding arrangements, without any additional assurance arrangements, this option</w:t>
      </w:r>
      <w:r w:rsidR="00442A8B">
        <w:t xml:space="preserve"> does not </w:t>
      </w:r>
      <w:r w:rsidR="006B035A">
        <w:t>have any additional regulatory</w:t>
      </w:r>
      <w:r w:rsidR="00F4010A">
        <w:t xml:space="preserve"> costs than the status quo</w:t>
      </w:r>
      <w:r w:rsidR="1411B665">
        <w:t xml:space="preserve"> (</w:t>
      </w:r>
      <w:r w:rsidR="117CDEEE">
        <w:t>O</w:t>
      </w:r>
      <w:r w:rsidR="1411B665">
        <w:t>ption 1)</w:t>
      </w:r>
      <w:r w:rsidR="00F4010A">
        <w:t>.</w:t>
      </w:r>
    </w:p>
    <w:p w14:paraId="2B980900" w14:textId="41045D11" w:rsidR="00484984" w:rsidRDefault="00484984" w:rsidP="00442A8B">
      <w:pPr>
        <w:pStyle w:val="TableTitle"/>
      </w:pPr>
      <w:r w:rsidRPr="00575F91">
        <w:t xml:space="preserve">Table </w:t>
      </w:r>
      <w:r w:rsidR="009B197E">
        <w:t>5</w:t>
      </w:r>
      <w:r w:rsidRPr="00575F91">
        <w:t xml:space="preserve">: Regulatory </w:t>
      </w:r>
      <w:r>
        <w:t xml:space="preserve">impact ($million, average annual impact) for </w:t>
      </w:r>
      <w:r w:rsidR="00714848">
        <w:t>O</w:t>
      </w:r>
      <w:r>
        <w:t xml:space="preserve">ption </w:t>
      </w:r>
      <w:r w:rsidR="001048B2">
        <w:t>2</w:t>
      </w:r>
    </w:p>
    <w:p w14:paraId="78121B0E" w14:textId="5D42A391" w:rsidR="003F068D" w:rsidRDefault="005B4359" w:rsidP="00442A8B">
      <w:pPr>
        <w:pStyle w:val="TableTitle"/>
      </w:pPr>
      <w:r w:rsidRPr="005B4359">
        <w:rPr>
          <w:noProof/>
          <w:lang w:val="en-AU" w:eastAsia="en-AU"/>
        </w:rPr>
        <w:drawing>
          <wp:inline distT="0" distB="0" distL="0" distR="0" wp14:anchorId="6089CFB6" wp14:editId="606285C7">
            <wp:extent cx="5695950" cy="707278"/>
            <wp:effectExtent l="0" t="0" r="0" b="0"/>
            <wp:docPr id="2045642407" name="Picture 1" descr="Table 5: Regulatory impact ($million, average annual impact) for Option 2 shows there are no annual regulatory impacts for for-profit providers, not-for-profit providers and care recip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42407" name="Picture 1" descr="Table 5: Regulatory impact ($million, average annual impact) for Option 2 shows there are no annual regulatory impacts for for-profit providers, not-for-profit providers and care recipients. "/>
                    <pic:cNvPicPr/>
                  </pic:nvPicPr>
                  <pic:blipFill>
                    <a:blip r:embed="rId37"/>
                    <a:stretch>
                      <a:fillRect/>
                    </a:stretch>
                  </pic:blipFill>
                  <pic:spPr>
                    <a:xfrm>
                      <a:off x="0" y="0"/>
                      <a:ext cx="5807055" cy="721074"/>
                    </a:xfrm>
                    <a:prstGeom prst="rect">
                      <a:avLst/>
                    </a:prstGeom>
                  </pic:spPr>
                </pic:pic>
              </a:graphicData>
            </a:graphic>
          </wp:inline>
        </w:drawing>
      </w:r>
    </w:p>
    <w:p w14:paraId="2B0059EE" w14:textId="687B2D7F" w:rsidR="00AA2D05" w:rsidRDefault="00AA2D05" w:rsidP="00222D3D">
      <w:pPr>
        <w:pStyle w:val="Heading4"/>
      </w:pPr>
      <w:r>
        <w:t xml:space="preserve">Option </w:t>
      </w:r>
      <w:r w:rsidR="007B1BCE">
        <w:t>3</w:t>
      </w:r>
      <w:r>
        <w:t xml:space="preserve">: </w:t>
      </w:r>
      <w:r w:rsidR="007B1BCE" w:rsidRPr="009F0955">
        <w:t>Linking care minutes funding to care minutes performance for non</w:t>
      </w:r>
      <w:r w:rsidR="00560BBF">
        <w:noBreakHyphen/>
      </w:r>
      <w:r w:rsidR="007B1BCE" w:rsidRPr="009F0955">
        <w:t xml:space="preserve">specialised services </w:t>
      </w:r>
      <w:r w:rsidR="007B1BCE">
        <w:t>located in metropolitan areas</w:t>
      </w:r>
      <w:r w:rsidR="007B1BCE" w:rsidRPr="009F0955">
        <w:t xml:space="preserve"> </w:t>
      </w:r>
      <w:r w:rsidR="007B1BCE">
        <w:t>with additional assurance arrangements</w:t>
      </w:r>
    </w:p>
    <w:p w14:paraId="23D2ADB5" w14:textId="1509C224" w:rsidR="007E14C3" w:rsidRDefault="007E14C3" w:rsidP="007E14C3">
      <w:pPr>
        <w:pStyle w:val="Paragraphtext"/>
      </w:pPr>
      <w:r>
        <w:t>Under this option</w:t>
      </w:r>
      <w:r w:rsidR="2000C083">
        <w:t>,</w:t>
      </w:r>
      <w:r>
        <w:t xml:space="preserve"> funding would be linked to care minutes delivered in metropolitan areas and</w:t>
      </w:r>
      <w:r w:rsidR="44D47152">
        <w:t xml:space="preserve"> includes</w:t>
      </w:r>
      <w:r>
        <w:t xml:space="preserve"> additional assurance </w:t>
      </w:r>
      <w:r w:rsidR="008A56D5">
        <w:t xml:space="preserve">arrangements to </w:t>
      </w:r>
      <w:r w:rsidR="00CB2887">
        <w:t xml:space="preserve">manage the risk that providers over-report their care minutes, rather </w:t>
      </w:r>
      <w:r w:rsidR="215A6483">
        <w:t xml:space="preserve">than </w:t>
      </w:r>
      <w:r w:rsidR="00E11BE9">
        <w:t>increase their care minutes</w:t>
      </w:r>
      <w:r w:rsidR="00F25815">
        <w:t xml:space="preserve"> delivered</w:t>
      </w:r>
      <w:r w:rsidR="00E11BE9">
        <w:t>.</w:t>
      </w:r>
    </w:p>
    <w:p w14:paraId="645EBA2A" w14:textId="32698D4F" w:rsidR="007E14C3" w:rsidRPr="00EE4D36" w:rsidRDefault="007E14C3" w:rsidP="00EE4D36">
      <w:pPr>
        <w:pStyle w:val="Heading4"/>
        <w:spacing w:line="259" w:lineRule="auto"/>
      </w:pPr>
      <w:r w:rsidRPr="00EE4D36">
        <w:lastRenderedPageBreak/>
        <w:t xml:space="preserve">Net benefit of </w:t>
      </w:r>
      <w:r w:rsidR="711F68C7">
        <w:t>O</w:t>
      </w:r>
      <w:r>
        <w:t>ption</w:t>
      </w:r>
      <w:r w:rsidRPr="00EE4D36">
        <w:t xml:space="preserve"> </w:t>
      </w:r>
      <w:r w:rsidR="008A56D5" w:rsidRPr="00EE4D36">
        <w:t>3</w:t>
      </w:r>
    </w:p>
    <w:p w14:paraId="49C2FF41" w14:textId="26F5FA0B" w:rsidR="00E11BE9" w:rsidRPr="006233B3" w:rsidRDefault="00C91EB1" w:rsidP="00EE4D36">
      <w:pPr>
        <w:pStyle w:val="Paragraphtext"/>
        <w:keepNext/>
        <w:widowControl w:val="0"/>
        <w:rPr>
          <w:b/>
          <w:bCs/>
        </w:rPr>
      </w:pPr>
      <w:r w:rsidRPr="006233B3">
        <w:rPr>
          <w:b/>
          <w:bCs/>
        </w:rPr>
        <w:t>Consumers</w:t>
      </w:r>
    </w:p>
    <w:p w14:paraId="58AD81A2" w14:textId="165EEC50" w:rsidR="00C91EB1" w:rsidRPr="00C87E61" w:rsidRDefault="00C91EB1" w:rsidP="00C91EB1">
      <w:pPr>
        <w:pStyle w:val="Paragraphtext"/>
      </w:pPr>
      <w:r>
        <w:t xml:space="preserve">As with </w:t>
      </w:r>
      <w:r w:rsidDel="00714848">
        <w:t>O</w:t>
      </w:r>
      <w:r>
        <w:t>ption 2, consumers will receive the largest benefit under this option through receiving an amount of care that is closer to the time considered necessary by the Royal Commission to support high quality care, where residents</w:t>
      </w:r>
      <w:r w:rsidR="4FA8C58A">
        <w:t>’</w:t>
      </w:r>
      <w:r>
        <w:t xml:space="preserve"> basic personal and clinical care needs are met.</w:t>
      </w:r>
    </w:p>
    <w:p w14:paraId="135319F1" w14:textId="43DA0049" w:rsidR="00C91EB1" w:rsidRPr="00C87E61" w:rsidRDefault="00C91EB1" w:rsidP="00C91EB1">
      <w:pPr>
        <w:pStyle w:val="Paragraphtext"/>
      </w:pPr>
      <w:r>
        <w:t>Under this option</w:t>
      </w:r>
      <w:r w:rsidR="002A073C">
        <w:t>,</w:t>
      </w:r>
      <w:r>
        <w:t xml:space="preserve"> it is expected that </w:t>
      </w:r>
      <w:r w:rsidRPr="00F374DE">
        <w:t xml:space="preserve">around </w:t>
      </w:r>
      <w:r w:rsidR="00B42CFF" w:rsidRPr="00C9353D">
        <w:t>76</w:t>
      </w:r>
      <w:r w:rsidRPr="00F374DE">
        <w:t xml:space="preserve">% of </w:t>
      </w:r>
      <w:r w:rsidR="002A073C" w:rsidRPr="00F374DE">
        <w:t>homes</w:t>
      </w:r>
      <w:r w:rsidRPr="00F374DE">
        <w:t xml:space="preserve"> will be compliant with care minutes </w:t>
      </w:r>
      <w:r w:rsidR="56AF3914" w:rsidRPr="00F374DE">
        <w:t>targets</w:t>
      </w:r>
      <w:r w:rsidRPr="00F374DE">
        <w:t xml:space="preserve"> by mid-2028</w:t>
      </w:r>
      <w:r w:rsidR="007422F7" w:rsidRPr="00F374DE">
        <w:t xml:space="preserve"> (see Appendix A)</w:t>
      </w:r>
      <w:r w:rsidRPr="00F374DE">
        <w:t xml:space="preserve">. This is </w:t>
      </w:r>
      <w:r w:rsidR="00B31D1C">
        <w:t>9</w:t>
      </w:r>
      <w:r w:rsidRPr="00F374DE">
        <w:t xml:space="preserve"> percentage</w:t>
      </w:r>
      <w:r>
        <w:t xml:space="preserve"> points above the compliance rate under </w:t>
      </w:r>
      <w:r w:rsidR="007D1EE5">
        <w:t>the status quo</w:t>
      </w:r>
      <w:r w:rsidR="00DB20EE">
        <w:t xml:space="preserve">, and </w:t>
      </w:r>
      <w:r w:rsidR="0003175B">
        <w:t>4</w:t>
      </w:r>
      <w:r w:rsidR="00DB20EE">
        <w:t xml:space="preserve"> percentage points above the compliance rate under </w:t>
      </w:r>
      <w:r w:rsidDel="00714848">
        <w:t>O</w:t>
      </w:r>
      <w:r w:rsidR="00DB20EE">
        <w:t>ption 2.</w:t>
      </w:r>
    </w:p>
    <w:p w14:paraId="7616F037" w14:textId="1D49C019" w:rsidR="00C91EB1" w:rsidRDefault="00C91EB1" w:rsidP="00C91EB1">
      <w:pPr>
        <w:pStyle w:val="Paragraphtext"/>
      </w:pPr>
      <w:r>
        <w:t>In total</w:t>
      </w:r>
      <w:r w:rsidR="002A073C">
        <w:t>,</w:t>
      </w:r>
      <w:r>
        <w:t xml:space="preserve"> it is estimated that an additional </w:t>
      </w:r>
      <w:r w:rsidR="00F374DE">
        <w:t>2</w:t>
      </w:r>
      <w:r w:rsidR="00FA1EE7">
        <w:t>64</w:t>
      </w:r>
      <w:r w:rsidR="00F374DE">
        <w:t>.6</w:t>
      </w:r>
      <w:r w:rsidR="00A64C0E">
        <w:t xml:space="preserve"> million </w:t>
      </w:r>
      <w:r>
        <w:t xml:space="preserve">care minutes </w:t>
      </w:r>
      <w:r w:rsidR="00A64C0E">
        <w:t>would be</w:t>
      </w:r>
      <w:r>
        <w:t xml:space="preserve"> delivered between 2024-25 and mid-2028 under this option compared to the status quo</w:t>
      </w:r>
      <w:r w:rsidR="3F7A946B">
        <w:t xml:space="preserve"> (</w:t>
      </w:r>
      <w:r w:rsidR="0374C044">
        <w:t>O</w:t>
      </w:r>
      <w:r w:rsidR="3F7A946B">
        <w:t>ption 1)</w:t>
      </w:r>
      <w:r>
        <w:t xml:space="preserve">. </w:t>
      </w:r>
    </w:p>
    <w:p w14:paraId="37A539F7" w14:textId="315B2ED0" w:rsidR="00C91EB1" w:rsidRPr="007422F7" w:rsidRDefault="00DB20EE" w:rsidP="007422F7">
      <w:pPr>
        <w:pStyle w:val="Paragraphtext"/>
      </w:pPr>
      <w:r>
        <w:t xml:space="preserve">Care minutes are higher under this option than under </w:t>
      </w:r>
      <w:r w:rsidDel="00714848">
        <w:t>O</w:t>
      </w:r>
      <w:r>
        <w:t xml:space="preserve">ption 2 because </w:t>
      </w:r>
      <w:r w:rsidR="00182265">
        <w:t xml:space="preserve">the additional assurance arrangements limit </w:t>
      </w:r>
      <w:r w:rsidR="000237EF">
        <w:t>the</w:t>
      </w:r>
      <w:r w:rsidR="00182265">
        <w:t xml:space="preserve"> ability </w:t>
      </w:r>
      <w:r w:rsidR="000237EF">
        <w:t xml:space="preserve">of providers </w:t>
      </w:r>
      <w:r w:rsidR="00182265">
        <w:t>to report</w:t>
      </w:r>
      <w:r w:rsidR="00CA773B">
        <w:t xml:space="preserve"> increased care minutes </w:t>
      </w:r>
      <w:r w:rsidR="00C751A5">
        <w:t xml:space="preserve">performance </w:t>
      </w:r>
      <w:r w:rsidR="00CA773B">
        <w:t xml:space="preserve">(to gain financial benefit through receiving a higher care minute supplement rate without </w:t>
      </w:r>
      <w:r w:rsidR="00874698">
        <w:t>delivering</w:t>
      </w:r>
      <w:r w:rsidR="00CA773B">
        <w:t xml:space="preserve"> these </w:t>
      </w:r>
      <w:r w:rsidR="66A80475">
        <w:t xml:space="preserve">care </w:t>
      </w:r>
      <w:r w:rsidR="00CA773B">
        <w:t>minutes)</w:t>
      </w:r>
      <w:r w:rsidR="00412B35">
        <w:t>.</w:t>
      </w:r>
    </w:p>
    <w:p w14:paraId="4E797CDC" w14:textId="77777777" w:rsidR="00412B35" w:rsidRPr="00EE4D36" w:rsidRDefault="00412B35" w:rsidP="00EE4D36">
      <w:pPr>
        <w:pStyle w:val="Paragraphtext"/>
        <w:rPr>
          <w:b/>
        </w:rPr>
      </w:pPr>
      <w:r w:rsidRPr="00357BB0">
        <w:rPr>
          <w:b/>
        </w:rPr>
        <w:t>Providers</w:t>
      </w:r>
    </w:p>
    <w:p w14:paraId="309EBA51" w14:textId="034F2D4E" w:rsidR="00247FFA" w:rsidRDefault="00247FFA" w:rsidP="00412B35">
      <w:pPr>
        <w:pStyle w:val="Paragraphtext"/>
      </w:pPr>
      <w:r>
        <w:t xml:space="preserve">The cost to providers under this option </w:t>
      </w:r>
      <w:r w:rsidR="3B23CE25">
        <w:t>is</w:t>
      </w:r>
      <w:r>
        <w:t xml:space="preserve"> the same as with </w:t>
      </w:r>
      <w:r w:rsidDel="00714848">
        <w:t>O</w:t>
      </w:r>
      <w:r>
        <w:t>ption 2, except for the additional costs associated with</w:t>
      </w:r>
      <w:r w:rsidR="005207E1">
        <w:t xml:space="preserve"> preparing an annual </w:t>
      </w:r>
      <w:r w:rsidR="00127E46">
        <w:t>C</w:t>
      </w:r>
      <w:r w:rsidR="005207E1">
        <w:t xml:space="preserve">are </w:t>
      </w:r>
      <w:r w:rsidR="00127E46">
        <w:t>M</w:t>
      </w:r>
      <w:r w:rsidR="005207E1">
        <w:t xml:space="preserve">inutes </w:t>
      </w:r>
      <w:r w:rsidR="00127E46">
        <w:t>P</w:t>
      </w:r>
      <w:r w:rsidR="005207E1">
        <w:t xml:space="preserve">erformance </w:t>
      </w:r>
      <w:r w:rsidR="00127E46">
        <w:t>S</w:t>
      </w:r>
      <w:r w:rsidR="005207E1">
        <w:t>tatement and obtaining a reasonable assurance audit over this statement</w:t>
      </w:r>
      <w:r w:rsidR="002D6BD3">
        <w:t xml:space="preserve">, and </w:t>
      </w:r>
      <w:r w:rsidR="005B1DDB">
        <w:t xml:space="preserve">decreased costs </w:t>
      </w:r>
      <w:r w:rsidR="00FD0F81">
        <w:t>f</w:t>
      </w:r>
      <w:r w:rsidR="00874698">
        <w:t>rom</w:t>
      </w:r>
      <w:r w:rsidR="00FD0F81">
        <w:t xml:space="preserve"> a reduction in </w:t>
      </w:r>
      <w:r w:rsidR="001B7E7F">
        <w:t>coverage of the department</w:t>
      </w:r>
      <w:r w:rsidR="00BF28EB">
        <w:t>’</w:t>
      </w:r>
      <w:r w:rsidR="001B7E7F">
        <w:t>s reporting assessment program.</w:t>
      </w:r>
    </w:p>
    <w:p w14:paraId="3632C51B" w14:textId="6F75CBA0" w:rsidR="00D024FD" w:rsidRDefault="00D024FD" w:rsidP="00412B35">
      <w:pPr>
        <w:pStyle w:val="Paragraphtext"/>
      </w:pPr>
      <w:r>
        <w:t>The average annual</w:t>
      </w:r>
      <w:r w:rsidR="00CD4CDB">
        <w:t xml:space="preserve"> discounted</w:t>
      </w:r>
      <w:r>
        <w:t xml:space="preserve"> cost of preparing </w:t>
      </w:r>
      <w:r w:rsidR="00CF2979">
        <w:t xml:space="preserve">the Care Minutes Performance Statement and </w:t>
      </w:r>
      <w:r w:rsidR="006969F7">
        <w:t xml:space="preserve">obtaining the audit is expected to be </w:t>
      </w:r>
      <w:r w:rsidR="009A2F5C">
        <w:t>$</w:t>
      </w:r>
      <w:r w:rsidR="00A76330">
        <w:t>18.6 million per year across the sector</w:t>
      </w:r>
      <w:r w:rsidR="00CD4CDB">
        <w:t xml:space="preserve"> (see Appendix C for detailed information on how this cost is derived)</w:t>
      </w:r>
      <w:r w:rsidR="009A2F5C">
        <w:t>.</w:t>
      </w:r>
      <w:r w:rsidR="00D70D73">
        <w:t xml:space="preserve"> This is partially offset by the reduced cost of participating in reporting assessments. With reporting assessment coverage reducing </w:t>
      </w:r>
      <w:r w:rsidR="006728B9">
        <w:t>from 33% to 10% of all homes</w:t>
      </w:r>
      <w:r w:rsidR="009B6DFB">
        <w:t>,</w:t>
      </w:r>
      <w:r w:rsidR="00A51265">
        <w:t xml:space="preserve"> providers</w:t>
      </w:r>
      <w:r w:rsidR="00626886">
        <w:t xml:space="preserve"> </w:t>
      </w:r>
      <w:r w:rsidR="593A02EB">
        <w:t xml:space="preserve">are expected to save </w:t>
      </w:r>
      <w:r w:rsidR="00626886">
        <w:t>$</w:t>
      </w:r>
      <w:r w:rsidR="00A51265">
        <w:t>3.5 million</w:t>
      </w:r>
      <w:r w:rsidR="00626886">
        <w:t xml:space="preserve"> per annum.</w:t>
      </w:r>
    </w:p>
    <w:p w14:paraId="5A7B5C3B" w14:textId="62067A54" w:rsidR="003A3BA0" w:rsidRPr="007422F7" w:rsidRDefault="00292F54" w:rsidP="007422F7">
      <w:pPr>
        <w:pStyle w:val="Paragraphtext"/>
      </w:pPr>
      <w:r w:rsidRPr="00CD4CDB">
        <w:t xml:space="preserve">The detailed </w:t>
      </w:r>
      <w:r w:rsidR="00F009DD" w:rsidRPr="00CD4CDB">
        <w:t xml:space="preserve">assumptions behind the </w:t>
      </w:r>
      <w:r w:rsidRPr="00CD4CDB">
        <w:t xml:space="preserve">costs of </w:t>
      </w:r>
      <w:r w:rsidR="00F009DD" w:rsidRPr="00CD4CDB">
        <w:t xml:space="preserve">the changed assurance arrangements are outlined in </w:t>
      </w:r>
      <w:r w:rsidR="00D024FD" w:rsidRPr="00CD4CDB">
        <w:t xml:space="preserve">Appendix </w:t>
      </w:r>
      <w:r w:rsidR="00CD4CDB" w:rsidRPr="00CD4CDB">
        <w:t>C</w:t>
      </w:r>
      <w:r w:rsidR="00D024FD">
        <w:t>.</w:t>
      </w:r>
    </w:p>
    <w:p w14:paraId="24FED539" w14:textId="25481C88" w:rsidR="00412B35" w:rsidRPr="00357BB0" w:rsidRDefault="00412B35" w:rsidP="00EE4D36">
      <w:pPr>
        <w:pStyle w:val="Paragraphtext"/>
        <w:rPr>
          <w:b/>
        </w:rPr>
      </w:pPr>
      <w:r w:rsidRPr="00357BB0">
        <w:rPr>
          <w:b/>
        </w:rPr>
        <w:t>Government</w:t>
      </w:r>
    </w:p>
    <w:p w14:paraId="527B8D91" w14:textId="64B3239E" w:rsidR="002F3E6C" w:rsidRDefault="00626886" w:rsidP="009D75AE">
      <w:pPr>
        <w:pStyle w:val="Paragraphtext"/>
      </w:pPr>
      <w:r>
        <w:t xml:space="preserve">As with </w:t>
      </w:r>
      <w:r w:rsidDel="00714848">
        <w:t>O</w:t>
      </w:r>
      <w:r>
        <w:t>ption 2, G</w:t>
      </w:r>
      <w:r w:rsidR="00412B35">
        <w:t xml:space="preserve">overnment benefits from this proposal through not paying for as many care minutes where they are not delivered. </w:t>
      </w:r>
      <w:r w:rsidR="002F3E6C">
        <w:t>A</w:t>
      </w:r>
      <w:r w:rsidR="5C237333">
        <w:t>s</w:t>
      </w:r>
      <w:r w:rsidR="002F3E6C">
        <w:t xml:space="preserve"> noted earlier </w:t>
      </w:r>
      <w:r w:rsidR="3FBCE449">
        <w:t xml:space="preserve">in this impact analysis, </w:t>
      </w:r>
      <w:r w:rsidR="002F3E6C">
        <w:t xml:space="preserve">an additional </w:t>
      </w:r>
      <w:r w:rsidR="00F374DE">
        <w:t>2</w:t>
      </w:r>
      <w:r w:rsidR="00F703B7">
        <w:t>64</w:t>
      </w:r>
      <w:r w:rsidR="00F374DE">
        <w:t>.6</w:t>
      </w:r>
      <w:r w:rsidR="002F3E6C">
        <w:t xml:space="preserve"> million care minutes (that Government already funds) are expected to be delivered</w:t>
      </w:r>
      <w:r w:rsidR="00830E25">
        <w:t xml:space="preserve"> under this option compared to the</w:t>
      </w:r>
      <w:r w:rsidR="00FD24C5">
        <w:t xml:space="preserve"> </w:t>
      </w:r>
      <w:r w:rsidR="00830E25">
        <w:t>status quo</w:t>
      </w:r>
      <w:r w:rsidR="44477647">
        <w:t xml:space="preserve"> (</w:t>
      </w:r>
      <w:r w:rsidR="1DB2D9E1">
        <w:t>O</w:t>
      </w:r>
      <w:r w:rsidR="44477647">
        <w:t>ption 1)</w:t>
      </w:r>
      <w:r w:rsidR="00830E25">
        <w:t xml:space="preserve">, and </w:t>
      </w:r>
      <w:r w:rsidR="00FD24C5">
        <w:t xml:space="preserve">an additional </w:t>
      </w:r>
      <w:r w:rsidR="004A0139">
        <w:t>1</w:t>
      </w:r>
      <w:r w:rsidR="00F703B7">
        <w:t>11.1</w:t>
      </w:r>
      <w:r w:rsidR="00FD24C5">
        <w:t xml:space="preserve"> million minutes are expected to be delivered than under </w:t>
      </w:r>
      <w:r w:rsidDel="00714848">
        <w:t>O</w:t>
      </w:r>
      <w:r w:rsidR="00FD24C5">
        <w:t>ption 2</w:t>
      </w:r>
      <w:r w:rsidR="00A50423">
        <w:t xml:space="preserve"> (because the assurance arrangements mean providers </w:t>
      </w:r>
      <w:r w:rsidR="35950869">
        <w:t>are less able to</w:t>
      </w:r>
      <w:r w:rsidR="00A50423">
        <w:t xml:space="preserve"> report care minutes without delivering them).</w:t>
      </w:r>
      <w:r w:rsidR="00D42666">
        <w:t xml:space="preserve"> (</w:t>
      </w:r>
      <w:r w:rsidR="0083678F">
        <w:t>See</w:t>
      </w:r>
      <w:r w:rsidR="00D42666">
        <w:t xml:space="preserve"> to </w:t>
      </w:r>
      <w:r w:rsidR="0083678F">
        <w:t>Appendix A</w:t>
      </w:r>
      <w:r w:rsidR="00E006D4">
        <w:t xml:space="preserve"> for detailed information on measuring the change in care minutes</w:t>
      </w:r>
      <w:r w:rsidR="0083678F">
        <w:t xml:space="preserve">) </w:t>
      </w:r>
    </w:p>
    <w:p w14:paraId="6C845269" w14:textId="65A09B31" w:rsidR="003A3BA0" w:rsidRPr="00CD4CDB" w:rsidRDefault="00FD24C5" w:rsidP="00CD4CDB">
      <w:pPr>
        <w:pStyle w:val="Paragraphtext"/>
      </w:pPr>
      <w:r>
        <w:t>In addition</w:t>
      </w:r>
      <w:r w:rsidR="00CD4CDB">
        <w:t>,</w:t>
      </w:r>
      <w:r>
        <w:t xml:space="preserve"> Government is expected to </w:t>
      </w:r>
      <w:r w:rsidRPr="004A0139">
        <w:t xml:space="preserve">directly save </w:t>
      </w:r>
      <w:r w:rsidR="00412B35" w:rsidRPr="00E74086">
        <w:t>$221</w:t>
      </w:r>
      <w:r w:rsidR="00412B35" w:rsidRPr="009D75AE">
        <w:t xml:space="preserve"> million</w:t>
      </w:r>
      <w:r>
        <w:t xml:space="preserve"> through reduced funding </w:t>
      </w:r>
      <w:r w:rsidR="00A50423">
        <w:t xml:space="preserve">to the sector where </w:t>
      </w:r>
      <w:r w:rsidR="00200DF6">
        <w:t xml:space="preserve">care </w:t>
      </w:r>
      <w:r w:rsidR="00A50423">
        <w:t>minutes are not delivered</w:t>
      </w:r>
      <w:r w:rsidR="03A3C23D">
        <w:t xml:space="preserve"> under this option</w:t>
      </w:r>
      <w:r w:rsidR="00A50423">
        <w:t>.</w:t>
      </w:r>
    </w:p>
    <w:p w14:paraId="7A0827BC" w14:textId="64977A83" w:rsidR="00412B35" w:rsidRPr="00EE4D36" w:rsidRDefault="00412B35" w:rsidP="00EE4D36">
      <w:pPr>
        <w:pStyle w:val="Paragraphtext"/>
        <w:rPr>
          <w:b/>
        </w:rPr>
      </w:pPr>
      <w:r w:rsidRPr="00357BB0">
        <w:rPr>
          <w:b/>
        </w:rPr>
        <w:t>Total net benefit</w:t>
      </w:r>
      <w:r w:rsidR="50258405" w:rsidRPr="00CA44EB">
        <w:rPr>
          <w:b/>
          <w:bCs/>
        </w:rPr>
        <w:t xml:space="preserve"> of Option 3</w:t>
      </w:r>
    </w:p>
    <w:p w14:paraId="25E941B2" w14:textId="522E76A3" w:rsidR="00412B35" w:rsidRPr="009D75AE" w:rsidRDefault="00412B35" w:rsidP="009D75AE">
      <w:pPr>
        <w:pStyle w:val="Paragraphtext"/>
      </w:pPr>
      <w:r w:rsidRPr="009D75AE">
        <w:t xml:space="preserve">The expected net benefits of </w:t>
      </w:r>
      <w:r w:rsidR="4FF9819C">
        <w:t>O</w:t>
      </w:r>
      <w:r w:rsidRPr="009D75AE">
        <w:t xml:space="preserve">ption </w:t>
      </w:r>
      <w:r w:rsidR="422DA8AE">
        <w:t xml:space="preserve">3 </w:t>
      </w:r>
      <w:r w:rsidRPr="009D75AE">
        <w:t xml:space="preserve">across consumers, providers and Government are summarised in table </w:t>
      </w:r>
      <w:r w:rsidR="009B197E">
        <w:t>6</w:t>
      </w:r>
      <w:r w:rsidRPr="009D75AE">
        <w:t xml:space="preserve"> below. Overall, this option has a positive net </w:t>
      </w:r>
      <w:r w:rsidRPr="00901E29">
        <w:t xml:space="preserve">benefit of </w:t>
      </w:r>
      <w:r w:rsidRPr="00E74086">
        <w:t>$</w:t>
      </w:r>
      <w:r w:rsidR="00A4104A" w:rsidRPr="00E74086">
        <w:t>12,716</w:t>
      </w:r>
      <w:r w:rsidRPr="00901E29">
        <w:t xml:space="preserve"> million</w:t>
      </w:r>
      <w:r w:rsidRPr="009D75AE">
        <w:t xml:space="preserve"> from 2024-25 to 2027-28.</w:t>
      </w:r>
    </w:p>
    <w:p w14:paraId="321E463E" w14:textId="77777777" w:rsidR="00412B35" w:rsidRPr="00C91EB1" w:rsidRDefault="00412B35" w:rsidP="00E11BE9">
      <w:pPr>
        <w:rPr>
          <w:b/>
          <w:bCs/>
        </w:rPr>
      </w:pPr>
    </w:p>
    <w:p w14:paraId="4CC47285" w14:textId="2B8DCD73" w:rsidR="00A90A6A" w:rsidRDefault="00A90A6A" w:rsidP="00A90A6A">
      <w:pPr>
        <w:pStyle w:val="TableTitle"/>
        <w:keepNext/>
      </w:pPr>
      <w:r>
        <w:lastRenderedPageBreak/>
        <w:t>Ta</w:t>
      </w:r>
      <w:r w:rsidRPr="00A373CB">
        <w:t xml:space="preserve">ble </w:t>
      </w:r>
      <w:r w:rsidR="009B197E">
        <w:t>6</w:t>
      </w:r>
      <w:r w:rsidRPr="00A373CB">
        <w:t xml:space="preserve">: Net benefit of </w:t>
      </w:r>
      <w:r w:rsidR="00714848">
        <w:t>O</w:t>
      </w:r>
      <w:r w:rsidRPr="00A373CB">
        <w:t xml:space="preserve">ption </w:t>
      </w:r>
      <w:r>
        <w:t>3 from 2024-25 to 2027-28</w:t>
      </w:r>
    </w:p>
    <w:p w14:paraId="07814EB4" w14:textId="6EE73021" w:rsidR="004472EC" w:rsidRDefault="006F65B3" w:rsidP="00A90A6A">
      <w:pPr>
        <w:pStyle w:val="TableTitle"/>
        <w:keepNext/>
      </w:pPr>
      <w:r w:rsidRPr="006F65B3">
        <w:rPr>
          <w:noProof/>
          <w:lang w:val="en-AU" w:eastAsia="en-AU"/>
        </w:rPr>
        <w:drawing>
          <wp:inline distT="0" distB="0" distL="0" distR="0" wp14:anchorId="362E4AF7" wp14:editId="6F623535">
            <wp:extent cx="5848350" cy="2948026"/>
            <wp:effectExtent l="0" t="0" r="0" b="5080"/>
            <wp:docPr id="454221508" name="Picture 1" descr="Table 6: Net benefit of Option 3 from 2024-25 to 2027-28 shows this option has a positive net benefit of $12,716.2 million from 2024-25 to 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21508" name="Picture 1" descr="Table 6: Net benefit of Option 3 from 2024-25 to 2027-28 shows this option has a positive net benefit of $12,716.2 million from 2024-25 to 2027-28."/>
                    <pic:cNvPicPr/>
                  </pic:nvPicPr>
                  <pic:blipFill>
                    <a:blip r:embed="rId38"/>
                    <a:stretch>
                      <a:fillRect/>
                    </a:stretch>
                  </pic:blipFill>
                  <pic:spPr>
                    <a:xfrm>
                      <a:off x="0" y="0"/>
                      <a:ext cx="5873760" cy="2960835"/>
                    </a:xfrm>
                    <a:prstGeom prst="rect">
                      <a:avLst/>
                    </a:prstGeom>
                  </pic:spPr>
                </pic:pic>
              </a:graphicData>
            </a:graphic>
          </wp:inline>
        </w:drawing>
      </w:r>
    </w:p>
    <w:p w14:paraId="3453155F" w14:textId="5B9A5F61" w:rsidR="00271D61" w:rsidRPr="00EE4D36" w:rsidRDefault="00271D61" w:rsidP="00EE4D36">
      <w:pPr>
        <w:pStyle w:val="Heading4"/>
        <w:spacing w:line="259" w:lineRule="auto"/>
      </w:pPr>
      <w:r w:rsidRPr="00EE4D36">
        <w:t xml:space="preserve">Regulatory burden of </w:t>
      </w:r>
      <w:r w:rsidRPr="00EE4D36" w:rsidDel="00714848">
        <w:t>O</w:t>
      </w:r>
      <w:r w:rsidRPr="00EE4D36">
        <w:t xml:space="preserve">ption </w:t>
      </w:r>
      <w:r w:rsidR="006E3922" w:rsidRPr="00EE4D36">
        <w:t>3</w:t>
      </w:r>
    </w:p>
    <w:p w14:paraId="1C683EFE" w14:textId="5B21FCBA" w:rsidR="0032360E" w:rsidRDefault="00545973" w:rsidP="00271D61">
      <w:pPr>
        <w:pStyle w:val="Paragraphtext"/>
      </w:pPr>
      <w:r>
        <w:t xml:space="preserve">The average annual regulatory </w:t>
      </w:r>
      <w:r w:rsidR="00CD4254">
        <w:t xml:space="preserve">cost </w:t>
      </w:r>
      <w:r>
        <w:t xml:space="preserve">burden of this option is </w:t>
      </w:r>
      <w:r w:rsidR="00261DE9">
        <w:t xml:space="preserve">outlined in </w:t>
      </w:r>
      <w:r w:rsidR="005F1701">
        <w:t>T</w:t>
      </w:r>
      <w:r w:rsidR="00261DE9">
        <w:t xml:space="preserve">able </w:t>
      </w:r>
      <w:r w:rsidR="001C34EF">
        <w:t>7</w:t>
      </w:r>
      <w:r w:rsidR="008172F8">
        <w:t xml:space="preserve"> below. </w:t>
      </w:r>
      <w:r w:rsidR="00970BD2">
        <w:t xml:space="preserve">These costs are </w:t>
      </w:r>
      <w:r w:rsidR="00181785">
        <w:t xml:space="preserve">the </w:t>
      </w:r>
      <w:r w:rsidR="00970BD2">
        <w:t xml:space="preserve">costs of </w:t>
      </w:r>
      <w:r w:rsidR="00212B47">
        <w:t xml:space="preserve">submitting the new Care Minute Performance Statement and </w:t>
      </w:r>
      <w:r w:rsidR="000F19C6">
        <w:t xml:space="preserve">associated </w:t>
      </w:r>
      <w:r w:rsidR="00212B47">
        <w:t>audit</w:t>
      </w:r>
      <w:r w:rsidR="000F19C6">
        <w:t>ing requirements</w:t>
      </w:r>
      <w:r w:rsidR="00212B47">
        <w:t xml:space="preserve">, as well as the reduced costs of </w:t>
      </w:r>
      <w:r w:rsidR="00126A14">
        <w:t xml:space="preserve">the reduction in coverage of the reporting </w:t>
      </w:r>
      <w:r w:rsidR="00126A14" w:rsidRPr="000B7339">
        <w:t>assessment program</w:t>
      </w:r>
      <w:r w:rsidR="00CB7D7B" w:rsidRPr="000B7339">
        <w:t xml:space="preserve"> (see Appendix </w:t>
      </w:r>
      <w:r w:rsidR="00CB7D7B" w:rsidRPr="000718B7">
        <w:t>C</w:t>
      </w:r>
      <w:r w:rsidR="000B7339" w:rsidRPr="000718B7">
        <w:t xml:space="preserve"> for further information on how these are calculated)</w:t>
      </w:r>
      <w:r w:rsidR="00126A14" w:rsidRPr="000B7339">
        <w:t>.</w:t>
      </w:r>
      <w:r w:rsidR="00126A14">
        <w:t xml:space="preserve"> </w:t>
      </w:r>
    </w:p>
    <w:p w14:paraId="10F2AC2A" w14:textId="20FBF55E" w:rsidR="009C270D" w:rsidRDefault="00126A14" w:rsidP="00271D61">
      <w:pPr>
        <w:pStyle w:val="Paragraphtext"/>
      </w:pPr>
      <w:r>
        <w:t xml:space="preserve">The costs of </w:t>
      </w:r>
      <w:r w:rsidR="001034EE">
        <w:t>government run aged care providers is excluded from the regulatory impact</w:t>
      </w:r>
      <w:r w:rsidR="00104C63">
        <w:t xml:space="preserve"> consistent with the Regulatory Burden Measurement Framework</w:t>
      </w:r>
      <w:r w:rsidR="001034EE">
        <w:t xml:space="preserve">, although these </w:t>
      </w:r>
      <w:r w:rsidR="008201C3">
        <w:t xml:space="preserve">are </w:t>
      </w:r>
      <w:r w:rsidR="001034EE">
        <w:t>included in the cost benefit analysis</w:t>
      </w:r>
      <w:r w:rsidR="00104C63">
        <w:t>.</w:t>
      </w:r>
    </w:p>
    <w:p w14:paraId="72DCE6BF" w14:textId="7EEF8159" w:rsidR="001C34EF" w:rsidRPr="004D0A70" w:rsidRDefault="5556469D" w:rsidP="004D0A70">
      <w:pPr>
        <w:pStyle w:val="Paragraphtext"/>
      </w:pPr>
      <w:r>
        <w:t>The costs to community organisations represent the costs to not-for-profit providers and the cost</w:t>
      </w:r>
      <w:r w:rsidR="3867DAF4">
        <w:t>s</w:t>
      </w:r>
      <w:r>
        <w:t xml:space="preserve"> to business represent the cost</w:t>
      </w:r>
      <w:r w:rsidR="3867DAF4">
        <w:t>s</w:t>
      </w:r>
      <w:r>
        <w:t xml:space="preserve"> to for-profit providers.</w:t>
      </w:r>
      <w:r w:rsidR="6D74A02E">
        <w:t xml:space="preserve"> </w:t>
      </w:r>
      <w:r w:rsidR="399D06EF">
        <w:t xml:space="preserve">These costs are </w:t>
      </w:r>
      <w:r w:rsidR="6D74A02E">
        <w:t xml:space="preserve">also </w:t>
      </w:r>
      <w:r w:rsidR="399D06EF">
        <w:t>average annual</w:t>
      </w:r>
      <w:r w:rsidR="3867DAF4">
        <w:t xml:space="preserve"> costs</w:t>
      </w:r>
      <w:r w:rsidR="399D06EF">
        <w:t xml:space="preserve">, with no discount or wage indexation applied </w:t>
      </w:r>
      <w:r w:rsidR="6F07C01B">
        <w:t>and as such</w:t>
      </w:r>
      <w:r w:rsidR="657C1532">
        <w:t>,</w:t>
      </w:r>
      <w:r w:rsidR="6F07C01B">
        <w:t xml:space="preserve"> </w:t>
      </w:r>
      <w:r w:rsidR="6D74A02E">
        <w:t>differ</w:t>
      </w:r>
      <w:r w:rsidR="399D06EF">
        <w:t xml:space="preserve"> </w:t>
      </w:r>
      <w:r w:rsidR="6D74A02E">
        <w:t>slightly from those used for the cost benefit analysis above in Table 6.</w:t>
      </w:r>
    </w:p>
    <w:p w14:paraId="00BC0A9A" w14:textId="206588FF" w:rsidR="001048B2" w:rsidRDefault="001048B2" w:rsidP="001048B2">
      <w:pPr>
        <w:pStyle w:val="TableTitle"/>
      </w:pPr>
      <w:r w:rsidRPr="00575F91">
        <w:t xml:space="preserve">Table </w:t>
      </w:r>
      <w:r w:rsidR="004947A6">
        <w:t>7</w:t>
      </w:r>
      <w:r w:rsidRPr="00575F91">
        <w:t xml:space="preserve">: Regulatory </w:t>
      </w:r>
      <w:r>
        <w:t xml:space="preserve">impact ($ millions, average annual impact) for </w:t>
      </w:r>
      <w:r w:rsidR="00714848">
        <w:t>O</w:t>
      </w:r>
      <w:r>
        <w:t xml:space="preserve">ption </w:t>
      </w:r>
      <w:r w:rsidR="0032360E">
        <w:t>3</w:t>
      </w:r>
    </w:p>
    <w:p w14:paraId="35629FDB" w14:textId="6DE7EEEB" w:rsidR="000C77FF" w:rsidRDefault="004207CD" w:rsidP="001048B2">
      <w:pPr>
        <w:pStyle w:val="TableTitle"/>
      </w:pPr>
      <w:r w:rsidRPr="004207CD">
        <w:rPr>
          <w:noProof/>
          <w:lang w:val="en-AU" w:eastAsia="en-AU"/>
        </w:rPr>
        <w:drawing>
          <wp:inline distT="0" distB="0" distL="0" distR="0" wp14:anchorId="75C5922F" wp14:editId="246D15C6">
            <wp:extent cx="5724410" cy="714375"/>
            <wp:effectExtent l="0" t="0" r="0" b="0"/>
            <wp:docPr id="913048830" name="Picture 1" descr="Table 7: Regulatory impact ($ millions, average annual impact) for Option 3 shows that for-profit providers will have an annual regulatory burden of $1.78million, not-for-profit providers $3.16million, care recipients $0 which is a total of $4.93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48830" name="Picture 1" descr="Table 7: Regulatory impact ($ millions, average annual impact) for Option 3 shows that for-profit providers will have an annual regulatory burden of $1.78million, not-for-profit providers $3.16million, care recipients $0 which is a total of $4.93million. "/>
                    <pic:cNvPicPr/>
                  </pic:nvPicPr>
                  <pic:blipFill>
                    <a:blip r:embed="rId39"/>
                    <a:stretch>
                      <a:fillRect/>
                    </a:stretch>
                  </pic:blipFill>
                  <pic:spPr>
                    <a:xfrm>
                      <a:off x="0" y="0"/>
                      <a:ext cx="5825191" cy="726952"/>
                    </a:xfrm>
                    <a:prstGeom prst="rect">
                      <a:avLst/>
                    </a:prstGeom>
                  </pic:spPr>
                </pic:pic>
              </a:graphicData>
            </a:graphic>
          </wp:inline>
        </w:drawing>
      </w:r>
    </w:p>
    <w:p w14:paraId="301DA325" w14:textId="377E4F28" w:rsidR="00B147E5" w:rsidRDefault="00B147E5">
      <w:pPr>
        <w:rPr>
          <w:color w:val="000000" w:themeColor="text1"/>
          <w:sz w:val="21"/>
        </w:rPr>
      </w:pPr>
      <w:r>
        <w:br w:type="page"/>
      </w:r>
    </w:p>
    <w:p w14:paraId="4C5A7B22" w14:textId="0C50B253" w:rsidR="009D468E" w:rsidRDefault="6A4F6A1A" w:rsidP="00E4575F">
      <w:pPr>
        <w:pStyle w:val="OIAQuestion"/>
      </w:pPr>
      <w:bookmarkStart w:id="60" w:name="_Toc206058880"/>
      <w:bookmarkStart w:id="61" w:name="_Toc183705492"/>
      <w:bookmarkStart w:id="62" w:name="_Toc203133284"/>
      <w:bookmarkStart w:id="63" w:name="_Toc200394437"/>
      <w:bookmarkStart w:id="64" w:name="_Toc205802675"/>
      <w:bookmarkStart w:id="65" w:name="_Toc203639525"/>
      <w:bookmarkStart w:id="66" w:name="_Toc207014403"/>
      <w:bookmarkEnd w:id="60"/>
      <w:r>
        <w:lastRenderedPageBreak/>
        <w:t>Consultation</w:t>
      </w:r>
      <w:bookmarkEnd w:id="61"/>
      <w:bookmarkEnd w:id="62"/>
      <w:bookmarkEnd w:id="63"/>
      <w:bookmarkEnd w:id="64"/>
      <w:bookmarkEnd w:id="65"/>
      <w:bookmarkEnd w:id="66"/>
    </w:p>
    <w:p w14:paraId="19AA4219" w14:textId="3D32B12D" w:rsidR="003E4B2C" w:rsidRDefault="00A10660" w:rsidP="631D6DFB">
      <w:pPr>
        <w:pStyle w:val="Paragraphtext"/>
        <w:pBdr>
          <w:top w:val="single" w:sz="4" w:space="1" w:color="auto"/>
          <w:left w:val="single" w:sz="4" w:space="4" w:color="auto"/>
          <w:bottom w:val="single" w:sz="4" w:space="1" w:color="auto"/>
          <w:right w:val="single" w:sz="4" w:space="4" w:color="auto"/>
        </w:pBdr>
        <w:shd w:val="clear" w:color="auto" w:fill="D0EAED" w:themeFill="accent2" w:themeFillTint="33"/>
        <w:spacing w:before="0"/>
      </w:pPr>
      <w:r>
        <w:t>The department has consulted</w:t>
      </w:r>
      <w:r w:rsidR="003C72B3">
        <w:t xml:space="preserve"> </w:t>
      </w:r>
      <w:r w:rsidR="56BAE9D8">
        <w:t>in detail</w:t>
      </w:r>
      <w:r>
        <w:t xml:space="preserve"> with a range of stakeholders</w:t>
      </w:r>
      <w:r w:rsidR="00E75094">
        <w:t>, including through the National Aged Care Advisory Committee</w:t>
      </w:r>
      <w:r>
        <w:t xml:space="preserve"> </w:t>
      </w:r>
      <w:r w:rsidR="00872573">
        <w:t xml:space="preserve">on the </w:t>
      </w:r>
      <w:r w:rsidR="00CE6CE1">
        <w:t>low</w:t>
      </w:r>
      <w:r w:rsidR="00E4575F">
        <w:t xml:space="preserve"> </w:t>
      </w:r>
      <w:r w:rsidR="00CE6CE1">
        <w:t>care minute compliance levels</w:t>
      </w:r>
      <w:r w:rsidR="00FB4C84">
        <w:t xml:space="preserve"> across the sector</w:t>
      </w:r>
      <w:r w:rsidR="00CE6CE1">
        <w:t xml:space="preserve"> and options to address th</w:t>
      </w:r>
      <w:r w:rsidR="00E75094">
        <w:t>ese</w:t>
      </w:r>
      <w:r w:rsidR="003F1490">
        <w:t>.</w:t>
      </w:r>
    </w:p>
    <w:p w14:paraId="2C365077" w14:textId="45421E8E" w:rsidR="005024E9" w:rsidRDefault="33DB39CE" w:rsidP="793722D6">
      <w:pPr>
        <w:pStyle w:val="Paragraphtext"/>
        <w:pBdr>
          <w:top w:val="single" w:sz="4" w:space="1" w:color="auto"/>
          <w:left w:val="single" w:sz="4" w:space="4" w:color="auto"/>
          <w:bottom w:val="single" w:sz="4" w:space="1" w:color="auto"/>
          <w:right w:val="single" w:sz="4" w:space="4" w:color="auto"/>
        </w:pBdr>
        <w:shd w:val="clear" w:color="auto" w:fill="D0EAED" w:themeFill="accent2" w:themeFillTint="33"/>
      </w:pPr>
      <w:r>
        <w:t>This consultation</w:t>
      </w:r>
      <w:r w:rsidR="35C634B0">
        <w:t xml:space="preserve"> identified </w:t>
      </w:r>
      <w:r w:rsidR="427635CD">
        <w:t>a general recognition of the need to</w:t>
      </w:r>
      <w:r w:rsidR="720B1E34">
        <w:t xml:space="preserve"> do more to ensure providers are doing all they can to </w:t>
      </w:r>
      <w:r w:rsidR="281F2267">
        <w:t>deliver the additional care minutes that they have been funded to deliver</w:t>
      </w:r>
      <w:r w:rsidR="02D96CC0">
        <w:t>, particularly among representatives of workers and residents and their family members</w:t>
      </w:r>
      <w:r w:rsidR="045AAD31">
        <w:t xml:space="preserve">, but also among some </w:t>
      </w:r>
      <w:r w:rsidR="07F97926">
        <w:t>providers</w:t>
      </w:r>
      <w:r w:rsidR="02D96CC0">
        <w:t xml:space="preserve">. </w:t>
      </w:r>
      <w:r w:rsidR="5E97E020">
        <w:t>It was accepted</w:t>
      </w:r>
      <w:r w:rsidR="54CDD8E5">
        <w:t xml:space="preserve"> by many stakeholders</w:t>
      </w:r>
      <w:r w:rsidR="5E97E020">
        <w:t xml:space="preserve"> that</w:t>
      </w:r>
      <w:r w:rsidR="42FB7B9C">
        <w:t xml:space="preserve"> funding was the most effective lever</w:t>
      </w:r>
      <w:r w:rsidR="0A941009">
        <w:t xml:space="preserve"> available to</w:t>
      </w:r>
      <w:r w:rsidR="42FB7B9C">
        <w:t xml:space="preserve"> Government </w:t>
      </w:r>
      <w:r w:rsidR="5F8C8E36">
        <w:t>to</w:t>
      </w:r>
      <w:r w:rsidR="42FB7B9C">
        <w:t xml:space="preserve"> </w:t>
      </w:r>
      <w:r w:rsidR="147C8951">
        <w:t>bring about improved sector performance.</w:t>
      </w:r>
    </w:p>
    <w:p w14:paraId="533B2F76" w14:textId="1A1136EE" w:rsidR="001D1C66" w:rsidRDefault="00D618D6" w:rsidP="00477219">
      <w:pPr>
        <w:pStyle w:val="Paragraphtext"/>
        <w:pBdr>
          <w:top w:val="single" w:sz="4" w:space="1" w:color="auto"/>
          <w:left w:val="single" w:sz="4" w:space="4" w:color="auto"/>
          <w:bottom w:val="single" w:sz="4" w:space="1" w:color="auto"/>
          <w:right w:val="single" w:sz="4" w:space="4" w:color="auto"/>
        </w:pBdr>
        <w:shd w:val="clear" w:color="auto" w:fill="D0EAED" w:themeFill="accent2" w:themeFillTint="33"/>
        <w:spacing w:after="0"/>
      </w:pPr>
      <w:r>
        <w:t xml:space="preserve">Specific concerns were raised about the potential viability impact of </w:t>
      </w:r>
      <w:r w:rsidR="007407AD">
        <w:t>linking funding to care minutes in more regional, rural and remote area</w:t>
      </w:r>
      <w:r w:rsidR="00ED6C07">
        <w:t xml:space="preserve">s, as well as around the need to give the </w:t>
      </w:r>
      <w:r w:rsidR="00ED6C07" w:rsidRPr="00A10660">
        <w:t>sector adequate notice before the commencement of any funding related policy</w:t>
      </w:r>
      <w:r w:rsidR="001626E8">
        <w:t>, and the need to ensure the financial impact on providers falling just short of meeting their targets is minimal</w:t>
      </w:r>
      <w:r w:rsidR="008B3633">
        <w:t>. This feedback</w:t>
      </w:r>
      <w:r w:rsidR="004D6BB7">
        <w:t xml:space="preserve"> led to refinement of the proposed policy option</w:t>
      </w:r>
      <w:r w:rsidR="002174D2">
        <w:t>s.</w:t>
      </w:r>
    </w:p>
    <w:p w14:paraId="78F41B6C" w14:textId="550A7848" w:rsidR="003F1490" w:rsidRPr="00211262" w:rsidRDefault="31EBF39F" w:rsidP="00211262">
      <w:pPr>
        <w:pStyle w:val="Paragraphtext"/>
        <w:rPr>
          <w:rFonts w:eastAsia="Arial"/>
        </w:rPr>
      </w:pPr>
      <w:r w:rsidRPr="00211262">
        <w:t>The d</w:t>
      </w:r>
      <w:r w:rsidRPr="00211262">
        <w:rPr>
          <w:rFonts w:eastAsia="Arial"/>
        </w:rPr>
        <w:t>epartment has consulted with a range of stakeholders</w:t>
      </w:r>
      <w:r w:rsidR="078BD9A0" w:rsidRPr="00211262">
        <w:rPr>
          <w:rFonts w:eastAsia="Arial"/>
        </w:rPr>
        <w:t xml:space="preserve"> </w:t>
      </w:r>
      <w:r w:rsidR="26516E7B" w:rsidRPr="00211262">
        <w:rPr>
          <w:rFonts w:eastAsia="Arial"/>
        </w:rPr>
        <w:t>on the low care minute compliance levels and the extent to which Government funding is provided for care minutes that are not delivered and options to address these.</w:t>
      </w:r>
    </w:p>
    <w:p w14:paraId="3FA2E54B" w14:textId="275C7027" w:rsidR="00A277E9" w:rsidRDefault="26516E7B" w:rsidP="00EE4D36">
      <w:pPr>
        <w:pStyle w:val="Paragraphtext"/>
        <w:rPr>
          <w:rFonts w:eastAsia="Arial"/>
        </w:rPr>
      </w:pPr>
      <w:r w:rsidRPr="00211262">
        <w:rPr>
          <w:rFonts w:eastAsia="Arial"/>
        </w:rPr>
        <w:t xml:space="preserve">The purpose of </w:t>
      </w:r>
      <w:r w:rsidR="3851E501" w:rsidRPr="00211262">
        <w:rPr>
          <w:rFonts w:eastAsia="Arial"/>
        </w:rPr>
        <w:t xml:space="preserve">initial </w:t>
      </w:r>
      <w:r w:rsidRPr="00211262">
        <w:rPr>
          <w:rFonts w:eastAsia="Arial"/>
        </w:rPr>
        <w:t xml:space="preserve">consultation was to better understand what may be driving providers to not deliver their care minutes, and to support the development of policy options that could be put to Government to address this issue. This included seeking views on whether linking funding to care minute delivery and/or further transparency measures </w:t>
      </w:r>
      <w:r w:rsidR="006546CF">
        <w:rPr>
          <w:rFonts w:eastAsia="Arial"/>
        </w:rPr>
        <w:t>(i</w:t>
      </w:r>
      <w:r w:rsidR="00070249">
        <w:rPr>
          <w:rFonts w:eastAsia="Arial"/>
        </w:rPr>
        <w:t>ncluding</w:t>
      </w:r>
      <w:r w:rsidR="006546CF">
        <w:rPr>
          <w:rFonts w:eastAsia="Arial"/>
        </w:rPr>
        <w:t xml:space="preserve"> increased reporting requirements) </w:t>
      </w:r>
      <w:r w:rsidRPr="00211262">
        <w:rPr>
          <w:rFonts w:eastAsia="Arial"/>
        </w:rPr>
        <w:t xml:space="preserve">might be an appropriate policy response, and any </w:t>
      </w:r>
      <w:r w:rsidR="278D27FB" w:rsidRPr="00211262">
        <w:rPr>
          <w:rFonts w:eastAsia="Arial"/>
        </w:rPr>
        <w:t>unintended</w:t>
      </w:r>
      <w:r w:rsidRPr="00211262">
        <w:rPr>
          <w:rFonts w:eastAsia="Arial"/>
        </w:rPr>
        <w:t xml:space="preserve"> consequences of such a response. </w:t>
      </w:r>
    </w:p>
    <w:p w14:paraId="30E9EF61" w14:textId="4BE54EB1" w:rsidR="00F111AB" w:rsidRDefault="00340485" w:rsidP="00EE4D36">
      <w:pPr>
        <w:pStyle w:val="Paragraphtext"/>
        <w:rPr>
          <w:rFonts w:eastAsia="Arial"/>
        </w:rPr>
      </w:pPr>
      <w:r>
        <w:rPr>
          <w:rFonts w:eastAsia="Arial"/>
        </w:rPr>
        <w:t>Init</w:t>
      </w:r>
      <w:r w:rsidR="00BC3CD2">
        <w:rPr>
          <w:rFonts w:eastAsia="Arial"/>
        </w:rPr>
        <w:t>ia</w:t>
      </w:r>
      <w:r>
        <w:rPr>
          <w:rFonts w:eastAsia="Arial"/>
        </w:rPr>
        <w:t>l disc</w:t>
      </w:r>
      <w:r w:rsidR="00BC3CD2">
        <w:rPr>
          <w:rFonts w:eastAsia="Arial"/>
        </w:rPr>
        <w:t>ussion</w:t>
      </w:r>
      <w:r w:rsidR="00A277E9">
        <w:rPr>
          <w:rFonts w:eastAsia="Arial"/>
        </w:rPr>
        <w:t>s</w:t>
      </w:r>
      <w:r w:rsidR="00BC3CD2">
        <w:rPr>
          <w:rFonts w:eastAsia="Arial"/>
        </w:rPr>
        <w:t xml:space="preserve"> did not include details </w:t>
      </w:r>
      <w:r w:rsidR="00E318D1">
        <w:rPr>
          <w:rFonts w:eastAsia="Arial"/>
        </w:rPr>
        <w:t>a</w:t>
      </w:r>
      <w:r w:rsidR="00BC0CE1">
        <w:rPr>
          <w:rFonts w:eastAsia="Arial"/>
        </w:rPr>
        <w:t>bout the proposed strengthen</w:t>
      </w:r>
      <w:r w:rsidR="00676583">
        <w:rPr>
          <w:rFonts w:eastAsia="Arial"/>
        </w:rPr>
        <w:t>ed</w:t>
      </w:r>
      <w:r w:rsidR="00BC0CE1">
        <w:rPr>
          <w:rFonts w:eastAsia="Arial"/>
        </w:rPr>
        <w:t xml:space="preserve"> reporting and assurance requirements includ</w:t>
      </w:r>
      <w:r w:rsidR="00676583">
        <w:rPr>
          <w:rFonts w:eastAsia="Arial"/>
        </w:rPr>
        <w:t xml:space="preserve">ing the requirement for providers to procure an external auditor </w:t>
      </w:r>
      <w:r w:rsidR="00B47F07">
        <w:rPr>
          <w:rFonts w:eastAsia="Arial"/>
        </w:rPr>
        <w:t>who is required to provide a Care Minutes Performance Statement</w:t>
      </w:r>
      <w:r w:rsidR="2D2411F3" w:rsidRPr="09B2C245">
        <w:rPr>
          <w:rFonts w:eastAsia="Arial"/>
        </w:rPr>
        <w:t xml:space="preserve"> under Option 3</w:t>
      </w:r>
      <w:r w:rsidR="00B47F07" w:rsidRPr="09B2C245">
        <w:rPr>
          <w:rFonts w:eastAsia="Arial"/>
        </w:rPr>
        <w:t>.</w:t>
      </w:r>
      <w:r w:rsidR="00B47F07">
        <w:rPr>
          <w:rFonts w:eastAsia="Arial"/>
        </w:rPr>
        <w:t xml:space="preserve"> This was not discussed as the department was still determining </w:t>
      </w:r>
      <w:r w:rsidR="266FAD7D" w:rsidRPr="09B2C245">
        <w:rPr>
          <w:rFonts w:eastAsia="Arial"/>
        </w:rPr>
        <w:t>policy options for linking care funding to care minute compliance</w:t>
      </w:r>
      <w:r w:rsidR="00B47F07" w:rsidRPr="09B2C245">
        <w:rPr>
          <w:rFonts w:eastAsia="Arial"/>
        </w:rPr>
        <w:t xml:space="preserve">. </w:t>
      </w:r>
    </w:p>
    <w:p w14:paraId="198C5845" w14:textId="61519C2A" w:rsidR="003F1490" w:rsidRPr="00211262" w:rsidRDefault="5B4A4093" w:rsidP="00EE4D36">
      <w:pPr>
        <w:pStyle w:val="Paragraphtext"/>
        <w:rPr>
          <w:rFonts w:eastAsia="Arial"/>
        </w:rPr>
      </w:pPr>
      <w:r w:rsidRPr="00211262">
        <w:rPr>
          <w:rFonts w:eastAsia="Arial"/>
        </w:rPr>
        <w:t xml:space="preserve">Further consultation </w:t>
      </w:r>
      <w:r w:rsidR="6E8988D0" w:rsidRPr="00211262">
        <w:rPr>
          <w:rFonts w:eastAsia="Arial"/>
        </w:rPr>
        <w:t>included</w:t>
      </w:r>
      <w:r w:rsidRPr="00211262">
        <w:rPr>
          <w:rFonts w:eastAsia="Arial"/>
        </w:rPr>
        <w:t xml:space="preserve"> the implementa</w:t>
      </w:r>
      <w:r w:rsidR="2DBD865E" w:rsidRPr="00211262">
        <w:rPr>
          <w:rFonts w:eastAsia="Arial"/>
        </w:rPr>
        <w:t>t</w:t>
      </w:r>
      <w:r w:rsidRPr="00211262">
        <w:rPr>
          <w:rFonts w:eastAsia="Arial"/>
        </w:rPr>
        <w:t>ion</w:t>
      </w:r>
      <w:r w:rsidR="5CF143E6" w:rsidRPr="00211262">
        <w:rPr>
          <w:rFonts w:eastAsia="Arial"/>
        </w:rPr>
        <w:t xml:space="preserve"> </w:t>
      </w:r>
      <w:r w:rsidR="0BCB0B99" w:rsidRPr="00211262">
        <w:rPr>
          <w:rFonts w:eastAsia="Arial"/>
        </w:rPr>
        <w:t xml:space="preserve">and on-going operation </w:t>
      </w:r>
      <w:r w:rsidR="5CF143E6" w:rsidRPr="00211262">
        <w:rPr>
          <w:rFonts w:eastAsia="Arial"/>
        </w:rPr>
        <w:t xml:space="preserve">of </w:t>
      </w:r>
      <w:r w:rsidR="25DFFE91" w:rsidRPr="00211262">
        <w:rPr>
          <w:rFonts w:eastAsia="Arial"/>
        </w:rPr>
        <w:t xml:space="preserve">the </w:t>
      </w:r>
      <w:r w:rsidR="5CF143E6" w:rsidRPr="00211262">
        <w:rPr>
          <w:rFonts w:eastAsia="Arial"/>
        </w:rPr>
        <w:t>proposed polic</w:t>
      </w:r>
      <w:r w:rsidR="304BAE77" w:rsidRPr="00211262">
        <w:rPr>
          <w:rFonts w:eastAsia="Arial"/>
        </w:rPr>
        <w:t>y options</w:t>
      </w:r>
      <w:r w:rsidR="00482DF1">
        <w:rPr>
          <w:rFonts w:eastAsia="Arial"/>
        </w:rPr>
        <w:t xml:space="preserve"> </w:t>
      </w:r>
      <w:r w:rsidR="00053753">
        <w:rPr>
          <w:rFonts w:eastAsia="Arial"/>
        </w:rPr>
        <w:t xml:space="preserve">and </w:t>
      </w:r>
      <w:r w:rsidR="00482DF1">
        <w:rPr>
          <w:rFonts w:eastAsia="Arial"/>
        </w:rPr>
        <w:t>includ</w:t>
      </w:r>
      <w:r w:rsidR="00053753">
        <w:rPr>
          <w:rFonts w:eastAsia="Arial"/>
        </w:rPr>
        <w:t xml:space="preserve">ed </w:t>
      </w:r>
      <w:r w:rsidR="00F111AB">
        <w:rPr>
          <w:rFonts w:eastAsia="Arial"/>
        </w:rPr>
        <w:t xml:space="preserve">the </w:t>
      </w:r>
      <w:r w:rsidR="00E04147">
        <w:rPr>
          <w:rFonts w:eastAsia="Arial"/>
        </w:rPr>
        <w:t>requirement</w:t>
      </w:r>
      <w:r w:rsidR="00D14F15">
        <w:rPr>
          <w:rFonts w:eastAsia="Arial"/>
        </w:rPr>
        <w:t xml:space="preserve"> </w:t>
      </w:r>
      <w:r w:rsidR="00C47F82">
        <w:rPr>
          <w:rFonts w:eastAsia="Arial"/>
        </w:rPr>
        <w:t xml:space="preserve">and responsibility </w:t>
      </w:r>
      <w:r w:rsidR="00D14F15">
        <w:rPr>
          <w:rFonts w:eastAsia="Arial"/>
        </w:rPr>
        <w:t>for</w:t>
      </w:r>
      <w:r w:rsidR="00E04147">
        <w:rPr>
          <w:rFonts w:eastAsia="Arial"/>
        </w:rPr>
        <w:t xml:space="preserve"> </w:t>
      </w:r>
      <w:r w:rsidR="00F111AB">
        <w:rPr>
          <w:rFonts w:eastAsia="Arial"/>
        </w:rPr>
        <w:t>strengthened</w:t>
      </w:r>
      <w:r w:rsidR="0020324C">
        <w:rPr>
          <w:rFonts w:eastAsia="Arial"/>
        </w:rPr>
        <w:t xml:space="preserve"> reporting and assuran</w:t>
      </w:r>
      <w:r w:rsidR="00895328">
        <w:rPr>
          <w:rFonts w:eastAsia="Arial"/>
        </w:rPr>
        <w:t xml:space="preserve">ce </w:t>
      </w:r>
      <w:r w:rsidR="00053753">
        <w:rPr>
          <w:rFonts w:eastAsia="Arial"/>
        </w:rPr>
        <w:t>requirements</w:t>
      </w:r>
      <w:r w:rsidR="304BAE77" w:rsidRPr="00211262">
        <w:rPr>
          <w:rFonts w:eastAsia="Arial"/>
        </w:rPr>
        <w:t>.</w:t>
      </w:r>
      <w:r w:rsidR="000812BF">
        <w:rPr>
          <w:rFonts w:eastAsia="Arial"/>
        </w:rPr>
        <w:t xml:space="preserve"> </w:t>
      </w:r>
    </w:p>
    <w:p w14:paraId="43F8DD5A" w14:textId="18CE8B61" w:rsidR="003F1490" w:rsidRPr="00211262" w:rsidRDefault="26516E7B" w:rsidP="00211262">
      <w:pPr>
        <w:pStyle w:val="Paragraphtext"/>
      </w:pPr>
      <w:r w:rsidRPr="00211262">
        <w:rPr>
          <w:rFonts w:eastAsia="Arial"/>
        </w:rPr>
        <w:t>This consultation has been key to the department</w:t>
      </w:r>
      <w:r w:rsidR="00355AA6">
        <w:rPr>
          <w:rFonts w:eastAsia="Arial"/>
        </w:rPr>
        <w:t>’</w:t>
      </w:r>
      <w:r w:rsidRPr="00211262">
        <w:rPr>
          <w:rFonts w:eastAsia="Arial"/>
        </w:rPr>
        <w:t xml:space="preserve">s work to develop the policy </w:t>
      </w:r>
      <w:r w:rsidR="004B3120" w:rsidRPr="00211262">
        <w:rPr>
          <w:rFonts w:eastAsia="Arial"/>
        </w:rPr>
        <w:t xml:space="preserve">options </w:t>
      </w:r>
      <w:r w:rsidRPr="00211262">
        <w:rPr>
          <w:rFonts w:eastAsia="Arial"/>
        </w:rPr>
        <w:t>outlined in the previous chapter of this report</w:t>
      </w:r>
      <w:r w:rsidR="004B3120" w:rsidRPr="00211262">
        <w:rPr>
          <w:rFonts w:eastAsia="Arial"/>
        </w:rPr>
        <w:t>.</w:t>
      </w:r>
    </w:p>
    <w:p w14:paraId="4DBFC3E1" w14:textId="67486FDD" w:rsidR="003F1490" w:rsidRPr="00211262" w:rsidRDefault="549D069F" w:rsidP="00211262">
      <w:pPr>
        <w:pStyle w:val="Paragraphtext"/>
        <w:rPr>
          <w:rFonts w:eastAsia="Arial"/>
        </w:rPr>
      </w:pPr>
      <w:r w:rsidRPr="00211262">
        <w:rPr>
          <w:rFonts w:eastAsia="Arial"/>
        </w:rPr>
        <w:t xml:space="preserve">Key stakeholders </w:t>
      </w:r>
      <w:r w:rsidR="1E79D917" w:rsidRPr="00211262">
        <w:rPr>
          <w:rFonts w:eastAsia="Arial"/>
        </w:rPr>
        <w:t xml:space="preserve">the department </w:t>
      </w:r>
      <w:r w:rsidRPr="00211262">
        <w:rPr>
          <w:rFonts w:eastAsia="Arial"/>
        </w:rPr>
        <w:t xml:space="preserve">consulted </w:t>
      </w:r>
      <w:r w:rsidR="60367666" w:rsidRPr="00211262">
        <w:rPr>
          <w:rFonts w:eastAsia="Arial"/>
        </w:rPr>
        <w:t xml:space="preserve">with </w:t>
      </w:r>
      <w:r w:rsidRPr="00211262">
        <w:rPr>
          <w:rFonts w:eastAsia="Arial"/>
        </w:rPr>
        <w:t>included:</w:t>
      </w:r>
    </w:p>
    <w:p w14:paraId="7FBFD658" w14:textId="10964E5B" w:rsidR="003F1490" w:rsidRDefault="36DFABD8" w:rsidP="00905770">
      <w:pPr>
        <w:pStyle w:val="Paragraphtext"/>
        <w:numPr>
          <w:ilvl w:val="0"/>
          <w:numId w:val="56"/>
        </w:numPr>
        <w:rPr>
          <w:rFonts w:eastAsia="Arial"/>
        </w:rPr>
      </w:pPr>
      <w:r w:rsidRPr="5C1BFA4B">
        <w:rPr>
          <w:rFonts w:eastAsia="Arial"/>
        </w:rPr>
        <w:t>P</w:t>
      </w:r>
      <w:r w:rsidR="549D069F" w:rsidRPr="5C1BFA4B">
        <w:rPr>
          <w:rFonts w:eastAsia="Arial"/>
        </w:rPr>
        <w:t>roviders</w:t>
      </w:r>
      <w:r w:rsidR="00B14D9D">
        <w:rPr>
          <w:rFonts w:eastAsia="Arial"/>
        </w:rPr>
        <w:t xml:space="preserve"> </w:t>
      </w:r>
    </w:p>
    <w:p w14:paraId="7C6D61DF" w14:textId="0F502966" w:rsidR="003F1490" w:rsidRDefault="549D069F" w:rsidP="00905770">
      <w:pPr>
        <w:pStyle w:val="Paragraphtext"/>
        <w:numPr>
          <w:ilvl w:val="0"/>
          <w:numId w:val="56"/>
        </w:numPr>
        <w:rPr>
          <w:rFonts w:eastAsia="Arial"/>
        </w:rPr>
      </w:pPr>
      <w:r w:rsidRPr="28283FBB">
        <w:rPr>
          <w:rFonts w:eastAsia="Arial"/>
        </w:rPr>
        <w:t xml:space="preserve">the Aged </w:t>
      </w:r>
      <w:r w:rsidR="70B44B5A" w:rsidRPr="28283FBB">
        <w:rPr>
          <w:rFonts w:eastAsia="Arial"/>
        </w:rPr>
        <w:t>C</w:t>
      </w:r>
      <w:r w:rsidRPr="28283FBB">
        <w:rPr>
          <w:rFonts w:eastAsia="Arial"/>
        </w:rPr>
        <w:t>are Quality and Safety Commission</w:t>
      </w:r>
    </w:p>
    <w:p w14:paraId="01B1141C" w14:textId="5F9676A3" w:rsidR="003F1490" w:rsidRPr="00CC6D77" w:rsidRDefault="004B3120" w:rsidP="00905770">
      <w:pPr>
        <w:pStyle w:val="Paragraphtext"/>
        <w:numPr>
          <w:ilvl w:val="0"/>
          <w:numId w:val="56"/>
        </w:numPr>
        <w:rPr>
          <w:rFonts w:eastAsia="Arial"/>
        </w:rPr>
      </w:pPr>
      <w:r>
        <w:rPr>
          <w:rFonts w:eastAsia="Arial"/>
        </w:rPr>
        <w:t>A</w:t>
      </w:r>
      <w:r w:rsidR="4FBE41C3" w:rsidRPr="70E51EFD">
        <w:rPr>
          <w:rFonts w:eastAsia="Arial"/>
        </w:rPr>
        <w:t xml:space="preserve">ged care </w:t>
      </w:r>
      <w:r w:rsidR="63E71851" w:rsidRPr="70E51EFD">
        <w:rPr>
          <w:rFonts w:eastAsia="Arial"/>
        </w:rPr>
        <w:t>advisory bodies including the</w:t>
      </w:r>
      <w:r w:rsidR="78CFE39F" w:rsidRPr="674C805A">
        <w:rPr>
          <w:rFonts w:eastAsia="Arial"/>
        </w:rPr>
        <w:t>:</w:t>
      </w:r>
    </w:p>
    <w:p w14:paraId="18863485" w14:textId="5DBAB860" w:rsidR="003F1490" w:rsidRPr="00CC6D77" w:rsidRDefault="63E71851" w:rsidP="00357BB0">
      <w:pPr>
        <w:pStyle w:val="Paragraphtext"/>
        <w:numPr>
          <w:ilvl w:val="1"/>
          <w:numId w:val="29"/>
        </w:numPr>
        <w:rPr>
          <w:rFonts w:eastAsia="Arial"/>
        </w:rPr>
      </w:pPr>
      <w:r w:rsidRPr="70E51EFD">
        <w:rPr>
          <w:rFonts w:eastAsia="Arial"/>
        </w:rPr>
        <w:t>Council of Elders</w:t>
      </w:r>
      <w:r w:rsidR="31EBF39F" w:rsidRPr="00854B63">
        <w:rPr>
          <w:rStyle w:val="FootnoteReference"/>
        </w:rPr>
        <w:footnoteReference w:id="56"/>
      </w:r>
      <w:r w:rsidR="303D7ABC" w:rsidRPr="00C8418B">
        <w:rPr>
          <w:rFonts w:eastAsia="Arial"/>
        </w:rPr>
        <w:t xml:space="preserve"> </w:t>
      </w:r>
      <w:r w:rsidRPr="70E51EFD">
        <w:rPr>
          <w:rFonts w:eastAsia="Arial"/>
        </w:rPr>
        <w:t>which is a group of older people from diverse backgrounds with lived experience of ageing and aged care</w:t>
      </w:r>
    </w:p>
    <w:p w14:paraId="7D18024C" w14:textId="13DDAB0F" w:rsidR="003F1490" w:rsidRPr="00CC6D77" w:rsidRDefault="00650EEC" w:rsidP="00357BB0">
      <w:pPr>
        <w:pStyle w:val="Paragraphtext"/>
        <w:numPr>
          <w:ilvl w:val="1"/>
          <w:numId w:val="29"/>
        </w:numPr>
        <w:rPr>
          <w:rFonts w:eastAsia="Arial"/>
        </w:rPr>
      </w:pPr>
      <w:r>
        <w:rPr>
          <w:rFonts w:eastAsia="Arial"/>
        </w:rPr>
        <w:t xml:space="preserve">Residential </w:t>
      </w:r>
      <w:r w:rsidR="63E71851" w:rsidRPr="70E51EFD">
        <w:rPr>
          <w:rFonts w:eastAsia="Arial"/>
        </w:rPr>
        <w:t xml:space="preserve">Aged Care Funding Reform Working </w:t>
      </w:r>
      <w:r w:rsidR="63E71851" w:rsidRPr="674C805A">
        <w:rPr>
          <w:rFonts w:eastAsia="Arial"/>
        </w:rPr>
        <w:t>Group</w:t>
      </w:r>
      <w:r w:rsidR="63E71851" w:rsidRPr="70E51EFD">
        <w:rPr>
          <w:rFonts w:eastAsia="Arial"/>
        </w:rPr>
        <w:t xml:space="preserve"> (Working Group)</w:t>
      </w:r>
      <w:r w:rsidR="33EF5CB6" w:rsidRPr="00854B63">
        <w:rPr>
          <w:rStyle w:val="FootnoteReference"/>
        </w:rPr>
        <w:footnoteReference w:id="57"/>
      </w:r>
      <w:r w:rsidR="63E71851" w:rsidRPr="00854B63">
        <w:rPr>
          <w:rStyle w:val="FootnoteReference"/>
        </w:rPr>
        <w:t xml:space="preserve"> </w:t>
      </w:r>
      <w:r w:rsidR="63E71851" w:rsidRPr="70E51EFD">
        <w:rPr>
          <w:rFonts w:eastAsia="Arial"/>
        </w:rPr>
        <w:t>which is an advisory group of key residential aged care industry stakeholders who advise on aged care reform related activities</w:t>
      </w:r>
      <w:r w:rsidR="00CD4999">
        <w:rPr>
          <w:rFonts w:eastAsia="Arial"/>
        </w:rPr>
        <w:t xml:space="preserve">. Members </w:t>
      </w:r>
      <w:r w:rsidR="00E22C5D">
        <w:rPr>
          <w:rFonts w:eastAsia="Arial"/>
        </w:rPr>
        <w:t xml:space="preserve">include key Government </w:t>
      </w:r>
      <w:r w:rsidR="00E22C5D">
        <w:rPr>
          <w:rFonts w:eastAsia="Arial"/>
        </w:rPr>
        <w:lastRenderedPageBreak/>
        <w:t>stakeholders</w:t>
      </w:r>
      <w:r w:rsidR="009726A3">
        <w:rPr>
          <w:rFonts w:eastAsia="Arial"/>
        </w:rPr>
        <w:t>, i</w:t>
      </w:r>
      <w:r w:rsidR="004B7C4F">
        <w:rPr>
          <w:rFonts w:eastAsia="Arial"/>
        </w:rPr>
        <w:t>ndustry advoca</w:t>
      </w:r>
      <w:r w:rsidR="00A16D05">
        <w:rPr>
          <w:rFonts w:eastAsia="Arial"/>
        </w:rPr>
        <w:t>tes</w:t>
      </w:r>
      <w:r w:rsidR="004B7C4F">
        <w:rPr>
          <w:rFonts w:eastAsia="Arial"/>
        </w:rPr>
        <w:t xml:space="preserve">, </w:t>
      </w:r>
      <w:r w:rsidR="00D22752">
        <w:rPr>
          <w:rFonts w:eastAsia="Arial"/>
        </w:rPr>
        <w:t>providers, profession</w:t>
      </w:r>
      <w:r w:rsidR="00D85CAE">
        <w:rPr>
          <w:rFonts w:eastAsia="Arial"/>
        </w:rPr>
        <w:t>al</w:t>
      </w:r>
      <w:r w:rsidR="00D22752">
        <w:rPr>
          <w:rFonts w:eastAsia="Arial"/>
        </w:rPr>
        <w:t xml:space="preserve"> </w:t>
      </w:r>
      <w:r w:rsidR="00D85CAE">
        <w:rPr>
          <w:rFonts w:eastAsia="Arial"/>
        </w:rPr>
        <w:t xml:space="preserve">associations and academic groups to name just some. </w:t>
      </w:r>
      <w:r w:rsidR="00D22752">
        <w:rPr>
          <w:rFonts w:eastAsia="Arial"/>
        </w:rPr>
        <w:t xml:space="preserve"> </w:t>
      </w:r>
      <w:r w:rsidR="004B7C4F">
        <w:rPr>
          <w:rFonts w:eastAsia="Arial"/>
        </w:rPr>
        <w:t xml:space="preserve"> </w:t>
      </w:r>
      <w:r w:rsidR="00E22C5D">
        <w:rPr>
          <w:rFonts w:eastAsia="Arial"/>
        </w:rPr>
        <w:t xml:space="preserve"> </w:t>
      </w:r>
    </w:p>
    <w:p w14:paraId="16121E09" w14:textId="39F82C13" w:rsidR="003F1490" w:rsidRDefault="00CF0A8E" w:rsidP="00D44208">
      <w:pPr>
        <w:pStyle w:val="ListParagraph"/>
        <w:numPr>
          <w:ilvl w:val="1"/>
          <w:numId w:val="2"/>
        </w:numPr>
        <w:spacing w:after="160" w:line="257" w:lineRule="auto"/>
        <w:rPr>
          <w:rFonts w:eastAsia="Arial" w:cs="Arial"/>
          <w:sz w:val="21"/>
          <w:szCs w:val="21"/>
        </w:rPr>
      </w:pPr>
      <w:r>
        <w:rPr>
          <w:rFonts w:eastAsia="Arial" w:cs="Arial"/>
          <w:sz w:val="21"/>
          <w:szCs w:val="21"/>
        </w:rPr>
        <w:t xml:space="preserve">National Aged Care Advisory Council </w:t>
      </w:r>
      <w:r w:rsidR="002744D0">
        <w:rPr>
          <w:rFonts w:eastAsia="Arial" w:cs="Arial"/>
          <w:sz w:val="21"/>
          <w:szCs w:val="21"/>
        </w:rPr>
        <w:t>(NACAC)</w:t>
      </w:r>
      <w:r w:rsidR="31EBF39F" w:rsidRPr="5AAE2146">
        <w:rPr>
          <w:rStyle w:val="FootnoteReference"/>
          <w:rFonts w:eastAsia="Arial" w:cs="Arial"/>
          <w:sz w:val="21"/>
          <w:szCs w:val="21"/>
        </w:rPr>
        <w:footnoteReference w:id="58"/>
      </w:r>
      <w:r w:rsidR="437F61F8" w:rsidRPr="70E51EFD">
        <w:rPr>
          <w:rFonts w:eastAsia="Arial" w:cs="Arial"/>
          <w:sz w:val="21"/>
          <w:szCs w:val="21"/>
        </w:rPr>
        <w:t xml:space="preserve"> </w:t>
      </w:r>
      <w:r w:rsidR="41C7B047" w:rsidRPr="70E51EFD">
        <w:rPr>
          <w:rFonts w:eastAsia="Arial" w:cs="Arial"/>
          <w:sz w:val="21"/>
          <w:szCs w:val="21"/>
        </w:rPr>
        <w:t xml:space="preserve">which provides advice to Government on key matters relating to aged care including </w:t>
      </w:r>
      <w:r w:rsidR="1B891B73" w:rsidRPr="70E51EFD">
        <w:rPr>
          <w:rFonts w:eastAsia="Arial" w:cs="Arial"/>
          <w:sz w:val="21"/>
          <w:szCs w:val="21"/>
        </w:rPr>
        <w:t>on aged care reform</w:t>
      </w:r>
      <w:r w:rsidR="3A64A494" w:rsidRPr="70E51EFD">
        <w:rPr>
          <w:rFonts w:eastAsia="Arial" w:cs="Arial"/>
          <w:sz w:val="21"/>
          <w:szCs w:val="21"/>
        </w:rPr>
        <w:t>.</w:t>
      </w:r>
      <w:r w:rsidR="41C7B047" w:rsidRPr="70E51EFD">
        <w:rPr>
          <w:rFonts w:eastAsia="Arial" w:cs="Arial"/>
          <w:sz w:val="21"/>
          <w:szCs w:val="21"/>
        </w:rPr>
        <w:t xml:space="preserve"> </w:t>
      </w:r>
      <w:r w:rsidR="00493619">
        <w:rPr>
          <w:rFonts w:eastAsia="Arial" w:cs="Arial"/>
          <w:sz w:val="21"/>
          <w:szCs w:val="21"/>
        </w:rPr>
        <w:t>Members include</w:t>
      </w:r>
      <w:r w:rsidR="00D44208">
        <w:rPr>
          <w:rFonts w:eastAsia="Arial" w:cs="Arial"/>
          <w:sz w:val="21"/>
          <w:szCs w:val="21"/>
        </w:rPr>
        <w:t xml:space="preserve"> </w:t>
      </w:r>
      <w:r w:rsidR="00493619" w:rsidRPr="00D44208">
        <w:rPr>
          <w:rFonts w:eastAsia="Arial" w:cs="Arial"/>
          <w:sz w:val="21"/>
          <w:szCs w:val="21"/>
        </w:rPr>
        <w:t>people accessing aged care services</w:t>
      </w:r>
      <w:r w:rsidR="00380604">
        <w:rPr>
          <w:rFonts w:eastAsia="Arial" w:cs="Arial"/>
          <w:sz w:val="21"/>
          <w:szCs w:val="21"/>
        </w:rPr>
        <w:t xml:space="preserve">, </w:t>
      </w:r>
      <w:r w:rsidR="00493619" w:rsidRPr="00D44208">
        <w:rPr>
          <w:rFonts w:eastAsia="Arial" w:cs="Arial"/>
          <w:sz w:val="21"/>
          <w:szCs w:val="21"/>
        </w:rPr>
        <w:t>aged care workers</w:t>
      </w:r>
      <w:r w:rsidR="00380604">
        <w:rPr>
          <w:rFonts w:eastAsia="Arial" w:cs="Arial"/>
          <w:sz w:val="21"/>
          <w:szCs w:val="21"/>
        </w:rPr>
        <w:t xml:space="preserve">, </w:t>
      </w:r>
      <w:r w:rsidR="00493619" w:rsidRPr="00D44208">
        <w:rPr>
          <w:rFonts w:eastAsia="Arial" w:cs="Arial"/>
          <w:sz w:val="21"/>
          <w:szCs w:val="21"/>
        </w:rPr>
        <w:t>providers</w:t>
      </w:r>
      <w:r w:rsidR="00380604">
        <w:rPr>
          <w:rFonts w:eastAsia="Arial" w:cs="Arial"/>
          <w:sz w:val="21"/>
          <w:szCs w:val="21"/>
        </w:rPr>
        <w:t xml:space="preserve">, </w:t>
      </w:r>
      <w:r w:rsidR="00493619" w:rsidRPr="00D44208">
        <w:rPr>
          <w:rFonts w:eastAsia="Arial" w:cs="Arial"/>
          <w:sz w:val="21"/>
          <w:szCs w:val="21"/>
        </w:rPr>
        <w:t>health and allied health professionals</w:t>
      </w:r>
      <w:r w:rsidR="00380604">
        <w:rPr>
          <w:rFonts w:eastAsia="Arial" w:cs="Arial"/>
          <w:sz w:val="21"/>
          <w:szCs w:val="21"/>
        </w:rPr>
        <w:t xml:space="preserve">, </w:t>
      </w:r>
      <w:r w:rsidR="00493619" w:rsidRPr="00D44208">
        <w:rPr>
          <w:rFonts w:eastAsia="Arial" w:cs="Arial"/>
          <w:sz w:val="21"/>
          <w:szCs w:val="21"/>
        </w:rPr>
        <w:t>specialists in training and education</w:t>
      </w:r>
      <w:r w:rsidR="00D44208">
        <w:rPr>
          <w:rFonts w:eastAsia="Arial" w:cs="Arial"/>
          <w:sz w:val="21"/>
          <w:szCs w:val="21"/>
        </w:rPr>
        <w:t xml:space="preserve"> and </w:t>
      </w:r>
      <w:r w:rsidR="00493619" w:rsidRPr="00D44208">
        <w:rPr>
          <w:rFonts w:eastAsia="Arial" w:cs="Arial"/>
          <w:sz w:val="21"/>
          <w:szCs w:val="21"/>
        </w:rPr>
        <w:t>independent experts.</w:t>
      </w:r>
    </w:p>
    <w:p w14:paraId="2BE2F437" w14:textId="427E5F83" w:rsidR="00E35CE3" w:rsidRPr="000E171C" w:rsidRDefault="00E35CE3" w:rsidP="00905770">
      <w:pPr>
        <w:pStyle w:val="Paragraphtext"/>
        <w:numPr>
          <w:ilvl w:val="0"/>
          <w:numId w:val="57"/>
        </w:numPr>
        <w:rPr>
          <w:rFonts w:eastAsia="Arial"/>
        </w:rPr>
      </w:pPr>
      <w:r w:rsidRPr="000E171C">
        <w:rPr>
          <w:rFonts w:eastAsia="Arial"/>
        </w:rPr>
        <w:t>Peak bodies representing aged care providers</w:t>
      </w:r>
    </w:p>
    <w:p w14:paraId="445E1E3E" w14:textId="2C184F8B" w:rsidR="6D79DB94" w:rsidRPr="000168EF" w:rsidRDefault="6D79DB94" w:rsidP="000168EF">
      <w:pPr>
        <w:pStyle w:val="Heading4"/>
      </w:pPr>
      <w:r w:rsidRPr="000168EF">
        <w:t>Positive feedback</w:t>
      </w:r>
    </w:p>
    <w:p w14:paraId="716762EA" w14:textId="00BFB5A4" w:rsidR="00112064" w:rsidRDefault="55AACE5D" w:rsidP="00211262">
      <w:pPr>
        <w:pStyle w:val="Paragraphtext"/>
      </w:pPr>
      <w:r w:rsidRPr="000168EF">
        <w:rPr>
          <w:rFonts w:eastAsia="Arial" w:cs="Arial"/>
        </w:rPr>
        <w:t>C</w:t>
      </w:r>
      <w:r w:rsidR="71F6A61B" w:rsidRPr="70E51EFD">
        <w:t xml:space="preserve">onsultation with </w:t>
      </w:r>
      <w:r w:rsidR="0F5BFEF3" w:rsidRPr="70E51EFD">
        <w:t>the</w:t>
      </w:r>
      <w:r w:rsidR="71F6A61B" w:rsidRPr="70E51EFD">
        <w:t xml:space="preserve"> aged care sector was initiated through </w:t>
      </w:r>
      <w:r w:rsidR="203E9DCD" w:rsidRPr="70E51EFD">
        <w:t>discussion</w:t>
      </w:r>
      <w:r w:rsidR="00AE2221">
        <w:t>s</w:t>
      </w:r>
      <w:r w:rsidR="203E9DCD" w:rsidRPr="70E51EFD">
        <w:t xml:space="preserve"> with the Working Group</w:t>
      </w:r>
      <w:r w:rsidR="00AE2221">
        <w:t xml:space="preserve"> and NACAC</w:t>
      </w:r>
      <w:r w:rsidR="27079645" w:rsidRPr="70E51EFD">
        <w:t xml:space="preserve"> </w:t>
      </w:r>
      <w:r w:rsidR="00AE2221">
        <w:t xml:space="preserve">in </w:t>
      </w:r>
      <w:r w:rsidR="00FC0B3D">
        <w:t xml:space="preserve">the </w:t>
      </w:r>
      <w:r w:rsidR="27079645" w:rsidRPr="70E51EFD">
        <w:t>September 2024 meeting</w:t>
      </w:r>
      <w:r w:rsidR="271C2CCE" w:rsidRPr="70E51EFD">
        <w:t>. To support t</w:t>
      </w:r>
      <w:r w:rsidR="00D635D0">
        <w:t>hese</w:t>
      </w:r>
      <w:r w:rsidR="271C2CCE" w:rsidRPr="70E51EFD">
        <w:t xml:space="preserve"> discussion</w:t>
      </w:r>
      <w:r w:rsidR="00D635D0">
        <w:t>s</w:t>
      </w:r>
      <w:r w:rsidR="33542E6E" w:rsidRPr="70E51EFD">
        <w:t>,</w:t>
      </w:r>
      <w:r w:rsidR="27079645" w:rsidRPr="70E51EFD">
        <w:t xml:space="preserve"> </w:t>
      </w:r>
      <w:r w:rsidR="76FE5BAA" w:rsidRPr="70E51EFD">
        <w:t>the department prepared</w:t>
      </w:r>
      <w:r w:rsidR="271C2CCE" w:rsidRPr="70E51EFD">
        <w:t xml:space="preserve"> </w:t>
      </w:r>
      <w:r w:rsidR="27079645" w:rsidRPr="70E51EFD">
        <w:t>paper</w:t>
      </w:r>
      <w:r w:rsidR="006730FB">
        <w:t>s</w:t>
      </w:r>
      <w:r w:rsidR="27079645" w:rsidRPr="70E51EFD">
        <w:t xml:space="preserve"> </w:t>
      </w:r>
      <w:r w:rsidR="67ADDE37" w:rsidRPr="70E51EFD">
        <w:t xml:space="preserve">providing an overview of the current care minutes non-compliance </w:t>
      </w:r>
      <w:r w:rsidR="1F25F216" w:rsidRPr="70E51EFD">
        <w:t>across the sector</w:t>
      </w:r>
      <w:r w:rsidR="27079645" w:rsidRPr="70E51EFD">
        <w:t>,</w:t>
      </w:r>
      <w:r w:rsidR="67ADDE37" w:rsidRPr="70E51EFD">
        <w:t xml:space="preserve"> and </w:t>
      </w:r>
      <w:r w:rsidR="71F6A61B" w:rsidRPr="70E51EFD">
        <w:t xml:space="preserve">possible </w:t>
      </w:r>
      <w:r w:rsidR="1F25F216" w:rsidRPr="70E51EFD">
        <w:t>policy options to address this</w:t>
      </w:r>
      <w:r w:rsidR="77ABB217" w:rsidRPr="70E51EFD">
        <w:t>, including</w:t>
      </w:r>
      <w:r w:rsidRPr="70E51EFD">
        <w:t xml:space="preserve"> linking funding to care minutes delivery and </w:t>
      </w:r>
      <w:r w:rsidR="5AEF528F" w:rsidRPr="70E51EFD">
        <w:t>enhanced transparency measures</w:t>
      </w:r>
      <w:r w:rsidR="67ADDE37" w:rsidRPr="70E51EFD">
        <w:t xml:space="preserve">. Feedback provided during the meeting by members was </w:t>
      </w:r>
      <w:r w:rsidR="2FB5C6A9" w:rsidRPr="70E51EFD">
        <w:t xml:space="preserve">generally </w:t>
      </w:r>
      <w:r w:rsidR="67ADDE37" w:rsidRPr="70E51EFD">
        <w:t>supportive of the need to</w:t>
      </w:r>
      <w:r w:rsidR="5AEF528F" w:rsidRPr="70E51EFD">
        <w:t xml:space="preserve"> do more to</w:t>
      </w:r>
      <w:r w:rsidR="67ADDE37" w:rsidRPr="70E51EFD">
        <w:t xml:space="preserve"> ensure care</w:t>
      </w:r>
      <w:r w:rsidR="5AEF528F" w:rsidRPr="70E51EFD">
        <w:t xml:space="preserve"> minutes</w:t>
      </w:r>
      <w:r w:rsidR="3E164367" w:rsidRPr="70E51EFD">
        <w:t xml:space="preserve"> are being delivered given the large increase in funding the sector received from Government to increase </w:t>
      </w:r>
      <w:r w:rsidR="6D3A021C" w:rsidRPr="70E51EFD">
        <w:t xml:space="preserve">their care </w:t>
      </w:r>
      <w:r w:rsidR="3E164367" w:rsidRPr="70E51EFD">
        <w:t>staffing</w:t>
      </w:r>
      <w:r w:rsidR="4C310C42" w:rsidRPr="70E51EFD">
        <w:t xml:space="preserve"> levels</w:t>
      </w:r>
      <w:r w:rsidR="6D3A021C" w:rsidRPr="70E51EFD">
        <w:t>.</w:t>
      </w:r>
    </w:p>
    <w:p w14:paraId="36A183EB" w14:textId="5398B854" w:rsidR="00D635D0" w:rsidRDefault="00D635D0" w:rsidP="00211262">
      <w:pPr>
        <w:pStyle w:val="Paragraphtext"/>
      </w:pPr>
      <w:r>
        <w:t xml:space="preserve">While efforts to support transparency around providers care minute delivery were supported and considered important by stakeholders, concerns were raised around whether any further measures would be a meaningful driver of improved provider performance given that data on care minutes performance at the </w:t>
      </w:r>
      <w:r w:rsidR="00991380">
        <w:t>home</w:t>
      </w:r>
      <w:r>
        <w:t xml:space="preserve"> level is already publicly available.</w:t>
      </w:r>
      <w:r w:rsidR="00F1777D">
        <w:t xml:space="preserve"> Many stakeholders considered that funding changes are likely to be the most effective mechanism available to Government to address care minutes under performance.</w:t>
      </w:r>
    </w:p>
    <w:p w14:paraId="65B990F4" w14:textId="117ED9D8" w:rsidR="01B5139D" w:rsidRDefault="01B5139D" w:rsidP="00674318">
      <w:pPr>
        <w:pStyle w:val="Paragraphtext"/>
        <w:rPr>
          <w:rFonts w:eastAsia="Arial" w:cs="Arial"/>
          <w:szCs w:val="21"/>
        </w:rPr>
      </w:pPr>
      <w:r w:rsidRPr="543D2CBB">
        <w:rPr>
          <w:rFonts w:eastAsia="Arial" w:cs="Arial"/>
          <w:szCs w:val="21"/>
        </w:rPr>
        <w:t>After the Minister for Aged Care released an open letter to the sector on 1 October 2024, which stressed the importance of care minutes and reiterated the Government’s expectations on how it’s significant investment in residential aged care is to be used to increase care minutes delivery to improve the quality of care experienced by residents</w:t>
      </w:r>
      <w:r w:rsidRPr="000168EF">
        <w:rPr>
          <w:rStyle w:val="FootnoteReference"/>
          <w:rFonts w:eastAsia="Arial"/>
        </w:rPr>
        <w:t>52</w:t>
      </w:r>
      <w:r w:rsidRPr="543D2CBB">
        <w:rPr>
          <w:rFonts w:eastAsia="Arial" w:cs="Arial"/>
          <w:szCs w:val="21"/>
        </w:rPr>
        <w:t>, a number of small providers contacted the department wanting to discuss the contents</w:t>
      </w:r>
      <w:r w:rsidR="5FE5D0EF" w:rsidRPr="674C805A">
        <w:rPr>
          <w:rFonts w:eastAsia="Arial" w:cs="Arial"/>
          <w:szCs w:val="21"/>
        </w:rPr>
        <w:t xml:space="preserve"> of the letter</w:t>
      </w:r>
      <w:r w:rsidRPr="674C805A">
        <w:rPr>
          <w:rFonts w:eastAsia="Arial" w:cs="Arial"/>
          <w:szCs w:val="21"/>
        </w:rPr>
        <w:t>.</w:t>
      </w:r>
      <w:r w:rsidRPr="543D2CBB">
        <w:rPr>
          <w:rFonts w:eastAsia="Arial" w:cs="Arial"/>
          <w:szCs w:val="21"/>
        </w:rPr>
        <w:t xml:space="preserve"> They also wanted to discuss potential policy options as the letter noted that the department has been asked to develop policy options to address low care minutes compliance rates.  </w:t>
      </w:r>
    </w:p>
    <w:p w14:paraId="0CD4ABED" w14:textId="0171B544" w:rsidR="29E790F4" w:rsidRDefault="29E790F4" w:rsidP="00674318">
      <w:pPr>
        <w:pStyle w:val="Paragraphtext"/>
        <w:rPr>
          <w:rFonts w:eastAsia="Arial" w:cs="Arial"/>
          <w:szCs w:val="21"/>
        </w:rPr>
      </w:pPr>
      <w:r w:rsidRPr="543D2CBB">
        <w:rPr>
          <w:rFonts w:eastAsia="Arial" w:cs="Arial"/>
          <w:szCs w:val="21"/>
        </w:rPr>
        <w:t>The department met with these providers who were generally accepting of the notion that linking funding to care minute delivery may be an appropriate next step to improve care minute compliance and ensure funding is directed to care minutes delivery.</w:t>
      </w:r>
    </w:p>
    <w:p w14:paraId="76B9693F" w14:textId="1A09820E" w:rsidR="29E790F4" w:rsidRDefault="29E790F4" w:rsidP="00674318">
      <w:pPr>
        <w:pStyle w:val="Paragraphtext"/>
        <w:rPr>
          <w:rFonts w:eastAsia="Arial" w:cs="Arial"/>
          <w:szCs w:val="21"/>
        </w:rPr>
      </w:pPr>
      <w:r w:rsidRPr="543D2CBB">
        <w:rPr>
          <w:rFonts w:eastAsia="Arial" w:cs="Arial"/>
          <w:szCs w:val="21"/>
        </w:rPr>
        <w:t xml:space="preserve">The department consulted with the Council of Elders in May 2025 on linking funding to care minutes delivery. This group was very supportive of </w:t>
      </w:r>
      <w:r w:rsidR="03ED2394" w:rsidRPr="5FA7853F">
        <w:rPr>
          <w:rFonts w:eastAsia="Arial" w:cs="Arial"/>
          <w:szCs w:val="21"/>
        </w:rPr>
        <w:t xml:space="preserve">linking care funding to </w:t>
      </w:r>
      <w:r w:rsidRPr="543D2CBB">
        <w:rPr>
          <w:rFonts w:eastAsia="Arial" w:cs="Arial"/>
          <w:szCs w:val="21"/>
        </w:rPr>
        <w:t xml:space="preserve">the </w:t>
      </w:r>
      <w:r w:rsidR="03ED2394" w:rsidRPr="5FA7853F">
        <w:rPr>
          <w:rFonts w:eastAsia="Arial" w:cs="Arial"/>
          <w:szCs w:val="21"/>
        </w:rPr>
        <w:t>delivery of care minutes</w:t>
      </w:r>
      <w:r w:rsidRPr="543D2CBB">
        <w:rPr>
          <w:rFonts w:eastAsia="Arial" w:cs="Arial"/>
          <w:szCs w:val="21"/>
        </w:rPr>
        <w:t xml:space="preserve"> and considered that it was the obvious next step to increase compliance. This group did not support the idea that providers should get 100% of their funding where they do not deliver their care minute targets in full as they considered it likely that many providers would not aim for full delivery.</w:t>
      </w:r>
      <w:r w:rsidR="006B0ECC">
        <w:rPr>
          <w:rFonts w:eastAsia="Arial" w:cs="Arial"/>
          <w:szCs w:val="21"/>
        </w:rPr>
        <w:t xml:space="preserve"> </w:t>
      </w:r>
    </w:p>
    <w:p w14:paraId="11997FD1" w14:textId="64C6FC15" w:rsidR="00EE7077" w:rsidRPr="00905770" w:rsidRDefault="00141401" w:rsidP="00905770">
      <w:pPr>
        <w:pStyle w:val="Paragraphtext"/>
        <w:rPr>
          <w:rFonts w:eastAsia="Arial"/>
        </w:rPr>
      </w:pPr>
      <w:r w:rsidRPr="00905770">
        <w:rPr>
          <w:rFonts w:eastAsia="Arial"/>
        </w:rPr>
        <w:t xml:space="preserve">The department also discussed linking care funding with </w:t>
      </w:r>
      <w:r w:rsidR="00B523D6" w:rsidRPr="00905770">
        <w:rPr>
          <w:rFonts w:eastAsia="Arial"/>
        </w:rPr>
        <w:t>care delivery with</w:t>
      </w:r>
      <w:r w:rsidRPr="00905770">
        <w:rPr>
          <w:rFonts w:eastAsia="Arial"/>
        </w:rPr>
        <w:t xml:space="preserve"> NACAC</w:t>
      </w:r>
      <w:r w:rsidR="00433428" w:rsidRPr="00905770">
        <w:rPr>
          <w:rFonts w:eastAsia="Arial"/>
        </w:rPr>
        <w:t xml:space="preserve"> </w:t>
      </w:r>
      <w:r w:rsidR="00B02512" w:rsidRPr="00905770">
        <w:rPr>
          <w:rFonts w:eastAsia="Arial"/>
        </w:rPr>
        <w:t>on two more occasions</w:t>
      </w:r>
      <w:r w:rsidR="00E35CE3" w:rsidRPr="00905770">
        <w:rPr>
          <w:rFonts w:eastAsia="Arial"/>
        </w:rPr>
        <w:t xml:space="preserve"> in</w:t>
      </w:r>
      <w:r w:rsidR="00433428" w:rsidRPr="00905770">
        <w:rPr>
          <w:rFonts w:eastAsia="Arial"/>
        </w:rPr>
        <w:t xml:space="preserve"> 2025</w:t>
      </w:r>
      <w:r w:rsidR="00847291" w:rsidRPr="00905770">
        <w:rPr>
          <w:rFonts w:eastAsia="Arial"/>
        </w:rPr>
        <w:t>.</w:t>
      </w:r>
      <w:r w:rsidR="00EE7077" w:rsidRPr="00905770">
        <w:rPr>
          <w:rFonts w:eastAsia="Arial"/>
        </w:rPr>
        <w:t xml:space="preserve"> </w:t>
      </w:r>
      <w:r w:rsidR="00F1777D" w:rsidRPr="00905770">
        <w:rPr>
          <w:rFonts w:eastAsia="Arial"/>
        </w:rPr>
        <w:t xml:space="preserve">Attendees at these discussions were generally </w:t>
      </w:r>
      <w:r w:rsidR="00433428" w:rsidRPr="00905770">
        <w:rPr>
          <w:rFonts w:eastAsia="Arial"/>
        </w:rPr>
        <w:t>supportive of th</w:t>
      </w:r>
      <w:r w:rsidR="00242408" w:rsidRPr="00905770">
        <w:rPr>
          <w:rFonts w:eastAsia="Arial"/>
        </w:rPr>
        <w:t>e</w:t>
      </w:r>
      <w:r w:rsidR="00433428" w:rsidRPr="00905770">
        <w:rPr>
          <w:rFonts w:eastAsia="Arial"/>
        </w:rPr>
        <w:t xml:space="preserve"> </w:t>
      </w:r>
      <w:r w:rsidR="00F1777D" w:rsidRPr="00905770">
        <w:rPr>
          <w:rFonts w:eastAsia="Arial"/>
        </w:rPr>
        <w:t>announced measure</w:t>
      </w:r>
      <w:r w:rsidR="00E35CE3" w:rsidRPr="00905770">
        <w:rPr>
          <w:rFonts w:eastAsia="Arial"/>
        </w:rPr>
        <w:t xml:space="preserve"> to link funding to care minutes</w:t>
      </w:r>
      <w:r w:rsidR="00C57077" w:rsidRPr="00905770">
        <w:rPr>
          <w:rFonts w:eastAsia="Arial"/>
        </w:rPr>
        <w:t xml:space="preserve"> compliance</w:t>
      </w:r>
      <w:r w:rsidR="00433428" w:rsidRPr="00905770">
        <w:rPr>
          <w:rFonts w:eastAsia="Arial"/>
        </w:rPr>
        <w:t xml:space="preserve">, particularly the </w:t>
      </w:r>
      <w:r w:rsidR="00242408" w:rsidRPr="00905770">
        <w:rPr>
          <w:rFonts w:eastAsia="Arial"/>
        </w:rPr>
        <w:t>representatives of older people and workers</w:t>
      </w:r>
      <w:r w:rsidR="00E35CE3" w:rsidRPr="00905770">
        <w:rPr>
          <w:rFonts w:eastAsia="Arial"/>
        </w:rPr>
        <w:t xml:space="preserve">. </w:t>
      </w:r>
    </w:p>
    <w:p w14:paraId="286DBA9F" w14:textId="68372FF9" w:rsidR="5E7BBEDA" w:rsidRPr="000168EF" w:rsidRDefault="5E7BBEDA" w:rsidP="00903478">
      <w:pPr>
        <w:pStyle w:val="Heading4"/>
      </w:pPr>
      <w:r w:rsidRPr="000168EF">
        <w:t>Stakeholder concerns</w:t>
      </w:r>
    </w:p>
    <w:p w14:paraId="32E092F5" w14:textId="7F18CE62" w:rsidR="558A857C" w:rsidRDefault="1F481609" w:rsidP="00D83C7F">
      <w:pPr>
        <w:pStyle w:val="Paragraphtext"/>
        <w:rPr>
          <w:rFonts w:eastAsia="Arial"/>
        </w:rPr>
      </w:pPr>
      <w:r w:rsidRPr="575FF17E">
        <w:rPr>
          <w:rFonts w:eastAsia="Arial"/>
        </w:rPr>
        <w:t xml:space="preserve">Regardless of the general agreement </w:t>
      </w:r>
      <w:r w:rsidR="7FA4A959" w:rsidRPr="575FF17E">
        <w:rPr>
          <w:rFonts w:eastAsia="Arial"/>
        </w:rPr>
        <w:t xml:space="preserve">from stakeholders </w:t>
      </w:r>
      <w:r w:rsidRPr="575FF17E">
        <w:rPr>
          <w:rFonts w:eastAsia="Arial"/>
        </w:rPr>
        <w:t xml:space="preserve">that linking care funding to care minutes </w:t>
      </w:r>
      <w:r w:rsidR="00F73C0E">
        <w:rPr>
          <w:rFonts w:eastAsia="Arial"/>
        </w:rPr>
        <w:t>delivery</w:t>
      </w:r>
      <w:r w:rsidRPr="575FF17E">
        <w:rPr>
          <w:rFonts w:eastAsia="Arial"/>
        </w:rPr>
        <w:t xml:space="preserve"> would help improve </w:t>
      </w:r>
      <w:r w:rsidR="3BE333F5" w:rsidRPr="575FF17E">
        <w:rPr>
          <w:rFonts w:eastAsia="Arial"/>
        </w:rPr>
        <w:t>care minute compliance and reduce</w:t>
      </w:r>
      <w:r w:rsidR="319880FD" w:rsidRPr="575FF17E">
        <w:rPr>
          <w:rFonts w:eastAsia="Arial"/>
        </w:rPr>
        <w:t xml:space="preserve"> </w:t>
      </w:r>
      <w:r w:rsidR="3BE333F5" w:rsidRPr="575FF17E">
        <w:rPr>
          <w:rFonts w:eastAsia="Arial"/>
        </w:rPr>
        <w:t xml:space="preserve">the extent to which Government </w:t>
      </w:r>
      <w:r w:rsidR="3BE333F5" w:rsidRPr="575FF17E">
        <w:rPr>
          <w:rFonts w:eastAsia="Arial"/>
        </w:rPr>
        <w:lastRenderedPageBreak/>
        <w:t>funding is provided for care minutes that are not delivered</w:t>
      </w:r>
      <w:r w:rsidR="13517EA6" w:rsidRPr="575FF17E">
        <w:rPr>
          <w:rFonts w:eastAsia="Arial"/>
        </w:rPr>
        <w:t>, there were some stakeholder concerns. These concerns are outlined below</w:t>
      </w:r>
      <w:r w:rsidR="529E885C" w:rsidRPr="575FF17E">
        <w:rPr>
          <w:rFonts w:eastAsia="Arial"/>
        </w:rPr>
        <w:t>.</w:t>
      </w:r>
    </w:p>
    <w:p w14:paraId="392234EE" w14:textId="46360790" w:rsidR="00A67536" w:rsidRPr="00C12059" w:rsidRDefault="00892623" w:rsidP="00D12B9C">
      <w:pPr>
        <w:pStyle w:val="Paragraphtext"/>
        <w:rPr>
          <w:rFonts w:eastAsia="Arial"/>
          <w:b/>
          <w:bCs/>
        </w:rPr>
      </w:pPr>
      <w:r w:rsidRPr="00C12059">
        <w:rPr>
          <w:rFonts w:eastAsia="Arial"/>
          <w:b/>
          <w:bCs/>
        </w:rPr>
        <w:t>Adversely impacting care innovation</w:t>
      </w:r>
    </w:p>
    <w:p w14:paraId="3975A120" w14:textId="100A0A76" w:rsidR="00D12B9C" w:rsidRDefault="00892623" w:rsidP="00C12059">
      <w:pPr>
        <w:pStyle w:val="Paragraphtext"/>
      </w:pPr>
      <w:r>
        <w:t xml:space="preserve">As noted earlier in this </w:t>
      </w:r>
      <w:r w:rsidR="00B8105A">
        <w:t>I</w:t>
      </w:r>
      <w:r>
        <w:t xml:space="preserve">mpact </w:t>
      </w:r>
      <w:r w:rsidR="00B8105A">
        <w:t>A</w:t>
      </w:r>
      <w:r>
        <w:t xml:space="preserve">nalysis, </w:t>
      </w:r>
      <w:r w:rsidR="00B8105A">
        <w:t>some</w:t>
      </w:r>
      <w:r>
        <w:t xml:space="preserve"> </w:t>
      </w:r>
      <w:r w:rsidR="00D12B9C">
        <w:t xml:space="preserve">providers </w:t>
      </w:r>
      <w:r w:rsidR="00C12059">
        <w:t>were concerned</w:t>
      </w:r>
      <w:r w:rsidR="00D12B9C">
        <w:t xml:space="preserve"> that prescribed care minutes targets involving care delivered by RNs, ENs and PCWs d</w:t>
      </w:r>
      <w:r w:rsidR="00B8105A">
        <w:t>id</w:t>
      </w:r>
      <w:r w:rsidR="00D12B9C">
        <w:t xml:space="preserve"> not align with their care models </w:t>
      </w:r>
      <w:r w:rsidR="00712D9A">
        <w:t xml:space="preserve">which often </w:t>
      </w:r>
      <w:r w:rsidR="00D12B9C">
        <w:t>include a higher proportion of care delivered by allied health professionals and recreational staff that are excluded from being counted as care minutes</w:t>
      </w:r>
      <w:r w:rsidR="002A1DCB">
        <w:t xml:space="preserve"> delivered</w:t>
      </w:r>
      <w:r w:rsidR="00D12B9C">
        <w:t xml:space="preserve">. These providers advocate that care minutes requirements stifle innovation in care delivery resulting in poorer care outcomes for residents. These views contrast with the findings and recommendations of the Royal Commission. </w:t>
      </w:r>
    </w:p>
    <w:p w14:paraId="760EFA14" w14:textId="37E9A4EA" w:rsidR="00211262" w:rsidRPr="00674318" w:rsidRDefault="558A857C" w:rsidP="000168EF">
      <w:pPr>
        <w:pStyle w:val="Paragraphtext"/>
        <w:rPr>
          <w:rFonts w:eastAsia="Arial"/>
          <w:b/>
          <w:bCs/>
          <w:i/>
          <w:iCs/>
          <w:color w:val="auto"/>
          <w:szCs w:val="21"/>
        </w:rPr>
      </w:pPr>
      <w:r w:rsidRPr="000168EF">
        <w:rPr>
          <w:rFonts w:eastAsia="Arial"/>
          <w:b/>
          <w:bCs/>
        </w:rPr>
        <w:t>Impact on regional providers</w:t>
      </w:r>
      <w:r w:rsidRPr="000168EF">
        <w:rPr>
          <w:rFonts w:eastAsia="Arial"/>
          <w:b/>
          <w:bCs/>
          <w:i/>
          <w:iCs/>
          <w:szCs w:val="21"/>
        </w:rPr>
        <w:t xml:space="preserve"> </w:t>
      </w:r>
    </w:p>
    <w:p w14:paraId="51C033FF" w14:textId="40C19CC7" w:rsidR="00DB582A" w:rsidRDefault="00C774A7" w:rsidP="0012120B">
      <w:pPr>
        <w:pStyle w:val="Paragraphtext"/>
      </w:pPr>
      <w:r>
        <w:t xml:space="preserve">Some </w:t>
      </w:r>
      <w:r w:rsidR="00211262">
        <w:t>provider stakeholders</w:t>
      </w:r>
      <w:r w:rsidR="00BC7CE3">
        <w:t xml:space="preserve"> </w:t>
      </w:r>
      <w:r w:rsidR="0B87578F">
        <w:t>wer</w:t>
      </w:r>
      <w:r w:rsidR="4327AB55">
        <w:t xml:space="preserve">e </w:t>
      </w:r>
      <w:r>
        <w:t>concern</w:t>
      </w:r>
      <w:r w:rsidR="5CEAA12F">
        <w:t>ed</w:t>
      </w:r>
      <w:r w:rsidR="3FD2A031">
        <w:t xml:space="preserve"> about</w:t>
      </w:r>
      <w:r w:rsidR="01E4A9C2">
        <w:t xml:space="preserve"> the </w:t>
      </w:r>
      <w:r w:rsidR="00E0135A">
        <w:t xml:space="preserve">adverse </w:t>
      </w:r>
      <w:r w:rsidR="01E4A9C2">
        <w:t>impact</w:t>
      </w:r>
      <w:r w:rsidR="00E0135A">
        <w:t>s</w:t>
      </w:r>
      <w:r w:rsidR="01E4A9C2">
        <w:t xml:space="preserve"> that </w:t>
      </w:r>
      <w:r w:rsidR="00112064">
        <w:t>linking care funding to care minutes delivery</w:t>
      </w:r>
      <w:r w:rsidR="00950610">
        <w:t xml:space="preserve"> </w:t>
      </w:r>
      <w:r w:rsidR="00BB19E4">
        <w:t xml:space="preserve">could have on </w:t>
      </w:r>
      <w:r w:rsidR="55FAD463">
        <w:t xml:space="preserve">providers with homes in </w:t>
      </w:r>
      <w:r w:rsidR="00BB19E4">
        <w:t xml:space="preserve">regional, rural and remote </w:t>
      </w:r>
      <w:r w:rsidR="0DD4C44F">
        <w:t>are</w:t>
      </w:r>
      <w:r w:rsidR="007D712D">
        <w:t>a</w:t>
      </w:r>
      <w:r w:rsidR="0DD4C44F">
        <w:t>s</w:t>
      </w:r>
      <w:r w:rsidR="00BB19E4">
        <w:t>.</w:t>
      </w:r>
      <w:r w:rsidR="00950610">
        <w:t xml:space="preserve"> </w:t>
      </w:r>
      <w:r w:rsidR="00F24370">
        <w:t xml:space="preserve">It was highlighted that in some </w:t>
      </w:r>
      <w:r w:rsidR="00DB582A">
        <w:t xml:space="preserve">regional, </w:t>
      </w:r>
      <w:r w:rsidR="00F24370">
        <w:t xml:space="preserve">rural and remote locations, it may not be possible </w:t>
      </w:r>
      <w:r w:rsidR="39AAB90B">
        <w:t xml:space="preserve">for homes to </w:t>
      </w:r>
      <w:r w:rsidR="002743F9">
        <w:t xml:space="preserve">meet care minutes </w:t>
      </w:r>
      <w:r w:rsidR="00790C0A">
        <w:t xml:space="preserve">targets </w:t>
      </w:r>
      <w:r w:rsidR="002743F9">
        <w:t>with the funding available</w:t>
      </w:r>
      <w:r w:rsidR="00CA1380">
        <w:t xml:space="preserve"> (even with the higher AN-ACC BCT funding for </w:t>
      </w:r>
      <w:r w:rsidR="009F0E2E">
        <w:t xml:space="preserve">their respective MM location) </w:t>
      </w:r>
      <w:r w:rsidR="002743F9">
        <w:t xml:space="preserve">because of the provider needing to </w:t>
      </w:r>
      <w:r w:rsidR="00C461D7">
        <w:t xml:space="preserve">pay for </w:t>
      </w:r>
      <w:r w:rsidR="00814DC9">
        <w:t xml:space="preserve">staff relocation, fly in fly out </w:t>
      </w:r>
      <w:r w:rsidR="00C461D7">
        <w:t xml:space="preserve">travel </w:t>
      </w:r>
      <w:r w:rsidR="009F0E2E">
        <w:t>and</w:t>
      </w:r>
      <w:r w:rsidR="00814DC9">
        <w:t xml:space="preserve"> </w:t>
      </w:r>
      <w:r w:rsidR="05974966">
        <w:t xml:space="preserve">to </w:t>
      </w:r>
      <w:r w:rsidR="00814DC9">
        <w:t>provide staff housing</w:t>
      </w:r>
      <w:r w:rsidR="00C461D7">
        <w:t xml:space="preserve"> to attract </w:t>
      </w:r>
      <w:r w:rsidR="5D34A7A0">
        <w:t xml:space="preserve">and retain </w:t>
      </w:r>
      <w:r w:rsidR="00C461D7">
        <w:t>workers</w:t>
      </w:r>
      <w:r w:rsidR="00CA1380">
        <w:t>.</w:t>
      </w:r>
      <w:r w:rsidR="009F0E2E">
        <w:t xml:space="preserve"> </w:t>
      </w:r>
      <w:r w:rsidR="00DB582A">
        <w:t>In response to this feedback</w:t>
      </w:r>
      <w:r w:rsidR="00F91FEC">
        <w:t>,</w:t>
      </w:r>
      <w:r w:rsidR="00DB582A">
        <w:t xml:space="preserve"> the department </w:t>
      </w:r>
      <w:r w:rsidR="00CC69F4">
        <w:t xml:space="preserve">investigated labour expense variability across the sector </w:t>
      </w:r>
      <w:r w:rsidR="005B57FC">
        <w:t xml:space="preserve">and </w:t>
      </w:r>
      <w:r w:rsidR="007A69AD">
        <w:t>ruled out the option of linking care funding to care minutes outside of metropolitan areas.</w:t>
      </w:r>
    </w:p>
    <w:p w14:paraId="2761986C" w14:textId="255537BD" w:rsidR="136252F9" w:rsidRPr="00DE60F5" w:rsidRDefault="136252F9" w:rsidP="000168EF">
      <w:pPr>
        <w:pStyle w:val="Paragraphtext"/>
        <w:rPr>
          <w:b/>
          <w:bCs/>
        </w:rPr>
      </w:pPr>
      <w:r w:rsidRPr="00DE60F5">
        <w:rPr>
          <w:b/>
          <w:bCs/>
        </w:rPr>
        <w:t xml:space="preserve">Adversely affecting providers working towards </w:t>
      </w:r>
      <w:r w:rsidR="009C2185">
        <w:rPr>
          <w:b/>
          <w:bCs/>
        </w:rPr>
        <w:t xml:space="preserve">or very close to </w:t>
      </w:r>
      <w:r w:rsidRPr="00DE60F5">
        <w:rPr>
          <w:b/>
          <w:bCs/>
        </w:rPr>
        <w:t xml:space="preserve">compliance  </w:t>
      </w:r>
    </w:p>
    <w:p w14:paraId="5CD8199A" w14:textId="04E71307" w:rsidR="23BB929A" w:rsidRDefault="00270ECD" w:rsidP="00872F9B">
      <w:pPr>
        <w:pStyle w:val="Paragraphtext"/>
      </w:pPr>
      <w:r>
        <w:t xml:space="preserve">Some </w:t>
      </w:r>
      <w:r w:rsidR="00211262">
        <w:t>provider stakeholders</w:t>
      </w:r>
      <w:r>
        <w:t xml:space="preserve"> </w:t>
      </w:r>
      <w:r w:rsidR="00395E08">
        <w:t>expressed the view</w:t>
      </w:r>
      <w:r>
        <w:t xml:space="preserve"> that </w:t>
      </w:r>
      <w:r w:rsidR="00563D96">
        <w:t xml:space="preserve">so long as </w:t>
      </w:r>
      <w:r w:rsidR="00221507">
        <w:t>providers are making legitimate efforts to increase their workforce</w:t>
      </w:r>
      <w:r w:rsidR="00395E08">
        <w:t xml:space="preserve"> to meet their care minutes targets</w:t>
      </w:r>
      <w:r w:rsidR="57FFB6AE">
        <w:t>,</w:t>
      </w:r>
      <w:r w:rsidR="00395E08">
        <w:t xml:space="preserve"> they should not receive any funding reductions</w:t>
      </w:r>
      <w:r w:rsidR="00BB17F1">
        <w:t>. Other</w:t>
      </w:r>
      <w:r w:rsidR="00097348">
        <w:t xml:space="preserve"> members </w:t>
      </w:r>
      <w:r w:rsidR="619E52BA">
        <w:t>countered this</w:t>
      </w:r>
      <w:r w:rsidR="00097348">
        <w:t xml:space="preserve"> concern on the </w:t>
      </w:r>
      <w:r w:rsidR="007001E9">
        <w:t xml:space="preserve">basis that if </w:t>
      </w:r>
      <w:r w:rsidR="66AB101E">
        <w:t>providers</w:t>
      </w:r>
      <w:r w:rsidR="007001E9">
        <w:t xml:space="preserve"> do not have the workforce that </w:t>
      </w:r>
      <w:r w:rsidR="002F6AEA">
        <w:t xml:space="preserve">they are funded </w:t>
      </w:r>
      <w:r w:rsidR="00CA7F11">
        <w:t xml:space="preserve">to have, </w:t>
      </w:r>
      <w:r w:rsidR="00E85771">
        <w:t xml:space="preserve">they will </w:t>
      </w:r>
      <w:r w:rsidR="5779F5FC">
        <w:t>benefit</w:t>
      </w:r>
      <w:r w:rsidR="00E85771">
        <w:t xml:space="preserve"> financially through lower employee expenses</w:t>
      </w:r>
      <w:r w:rsidR="00996AFF">
        <w:t>.</w:t>
      </w:r>
    </w:p>
    <w:p w14:paraId="4558424E" w14:textId="5EA84E64" w:rsidR="00F92F1B" w:rsidRDefault="006E31D8" w:rsidP="00872F9B">
      <w:pPr>
        <w:pStyle w:val="Paragraphtext"/>
      </w:pPr>
      <w:r>
        <w:t>C</w:t>
      </w:r>
      <w:r w:rsidR="00281E8E">
        <w:t xml:space="preserve">oncerns were raised about providers </w:t>
      </w:r>
      <w:r w:rsidR="005307CE">
        <w:t xml:space="preserve">that roster to meet 100% of their targets, but just under-deliver due to unexpected events, such as </w:t>
      </w:r>
      <w:r w:rsidR="003F4441">
        <w:t>a worker falling sick very late in a quarter</w:t>
      </w:r>
      <w:r w:rsidR="00F92F1B">
        <w:t>.</w:t>
      </w:r>
      <w:r w:rsidR="0011680D">
        <w:t xml:space="preserve"> Many stakeholders thought that there should be some tolerance around the </w:t>
      </w:r>
      <w:r w:rsidR="00872F9B">
        <w:t xml:space="preserve">funding for falling just short of 100% to address this. </w:t>
      </w:r>
      <w:r w:rsidR="00CF7DFB">
        <w:t xml:space="preserve">Other stakeholders, including members of the Council of Elders and worker representatives, </w:t>
      </w:r>
      <w:r w:rsidR="00F15507">
        <w:t xml:space="preserve">had strong views that 100% of funding should not be provided for anything less than 100% performance, otherwise </w:t>
      </w:r>
      <w:r w:rsidR="00A17E50">
        <w:t>providers may aim to not comply.</w:t>
      </w:r>
    </w:p>
    <w:p w14:paraId="2DEA423D" w14:textId="605BAD9A" w:rsidR="2115580E" w:rsidRPr="00DE60F5" w:rsidRDefault="00151A9E" w:rsidP="00DE60F5">
      <w:pPr>
        <w:pStyle w:val="Paragraphtext"/>
        <w:rPr>
          <w:b/>
          <w:bCs/>
        </w:rPr>
      </w:pPr>
      <w:r>
        <w:rPr>
          <w:b/>
          <w:bCs/>
        </w:rPr>
        <w:t>More data and evidence needed</w:t>
      </w:r>
    </w:p>
    <w:p w14:paraId="4C88E223" w14:textId="74AA9C23" w:rsidR="00FA4780" w:rsidRDefault="00F1777D" w:rsidP="0012120B">
      <w:pPr>
        <w:pStyle w:val="Paragraphtext"/>
        <w:rPr>
          <w:rFonts w:eastAsia="Arial" w:cs="Arial"/>
        </w:rPr>
      </w:pPr>
      <w:r>
        <w:rPr>
          <w:rFonts w:eastAsia="Arial" w:cs="Arial"/>
        </w:rPr>
        <w:t xml:space="preserve">A provider </w:t>
      </w:r>
      <w:r w:rsidR="00261443">
        <w:rPr>
          <w:rFonts w:eastAsia="Arial" w:cs="Arial"/>
        </w:rPr>
        <w:t>peak</w:t>
      </w:r>
      <w:r w:rsidR="4B481FF0">
        <w:rPr>
          <w:rFonts w:eastAsia="Arial" w:cs="Arial"/>
        </w:rPr>
        <w:t xml:space="preserve"> </w:t>
      </w:r>
      <w:r w:rsidR="4E425FDE">
        <w:rPr>
          <w:rFonts w:eastAsia="Arial" w:cs="Arial"/>
        </w:rPr>
        <w:t>expressed concern that policy changes should not be considered without further d</w:t>
      </w:r>
      <w:r w:rsidR="6C83371F">
        <w:rPr>
          <w:rFonts w:eastAsia="Arial" w:cs="Arial"/>
        </w:rPr>
        <w:t xml:space="preserve">ata and understanding of what is driving the under delivery of care minutes. </w:t>
      </w:r>
      <w:r w:rsidR="6C83371F" w:rsidRPr="00C40386">
        <w:rPr>
          <w:rFonts w:eastAsia="Arial" w:cs="Arial"/>
        </w:rPr>
        <w:t xml:space="preserve">Other </w:t>
      </w:r>
      <w:r w:rsidR="006A2570">
        <w:rPr>
          <w:rFonts w:eastAsia="Arial" w:cs="Arial"/>
        </w:rPr>
        <w:t xml:space="preserve">stakeholders </w:t>
      </w:r>
      <w:r w:rsidR="6C83371F" w:rsidRPr="00C40386">
        <w:rPr>
          <w:rFonts w:eastAsia="Arial" w:cs="Arial"/>
        </w:rPr>
        <w:t>(</w:t>
      </w:r>
      <w:r w:rsidR="6C83371F">
        <w:rPr>
          <w:rFonts w:eastAsia="Arial" w:cs="Arial"/>
        </w:rPr>
        <w:t xml:space="preserve">generally </w:t>
      </w:r>
      <w:r w:rsidR="6C83371F" w:rsidRPr="00C40386">
        <w:rPr>
          <w:rFonts w:eastAsia="Arial" w:cs="Arial"/>
        </w:rPr>
        <w:t>representing aged care participants and workers, as well as independent medical professionals/academics) expressed a strong</w:t>
      </w:r>
      <w:r>
        <w:rPr>
          <w:rFonts w:eastAsia="Arial" w:cs="Arial"/>
        </w:rPr>
        <w:t xml:space="preserve"> counterview</w:t>
      </w:r>
      <w:r w:rsidR="6C83371F" w:rsidRPr="00C40386">
        <w:rPr>
          <w:rFonts w:eastAsia="Arial" w:cs="Arial"/>
        </w:rPr>
        <w:t xml:space="preserve"> that as Government has invested billions of dollars to fund increases </w:t>
      </w:r>
      <w:r w:rsidR="32DA58F5">
        <w:rPr>
          <w:rFonts w:eastAsia="Arial" w:cs="Arial"/>
        </w:rPr>
        <w:t>to care minutes to</w:t>
      </w:r>
      <w:r w:rsidR="6C83371F" w:rsidRPr="00C40386">
        <w:rPr>
          <w:rFonts w:eastAsia="Arial" w:cs="Arial"/>
        </w:rPr>
        <w:t xml:space="preserve"> lift the standards of care</w:t>
      </w:r>
      <w:r w:rsidR="32DA58F5">
        <w:rPr>
          <w:rFonts w:eastAsia="Arial" w:cs="Arial"/>
        </w:rPr>
        <w:t xml:space="preserve"> in the </w:t>
      </w:r>
      <w:r w:rsidR="73F4398F" w:rsidRPr="70E51EFD">
        <w:rPr>
          <w:rFonts w:eastAsia="Arial" w:cs="Arial"/>
        </w:rPr>
        <w:t xml:space="preserve">residential aged care </w:t>
      </w:r>
      <w:r w:rsidR="32DA58F5">
        <w:rPr>
          <w:rFonts w:eastAsia="Arial" w:cs="Arial"/>
        </w:rPr>
        <w:t>sector</w:t>
      </w:r>
      <w:r w:rsidR="38986BD2">
        <w:rPr>
          <w:rFonts w:eastAsia="Arial" w:cs="Arial"/>
        </w:rPr>
        <w:t xml:space="preserve">, that </w:t>
      </w:r>
      <w:r w:rsidR="6C83371F" w:rsidRPr="00C40386">
        <w:rPr>
          <w:rFonts w:eastAsia="Arial" w:cs="Arial"/>
        </w:rPr>
        <w:t xml:space="preserve">swift </w:t>
      </w:r>
      <w:r w:rsidR="38986BD2">
        <w:rPr>
          <w:rFonts w:eastAsia="Arial" w:cs="Arial"/>
        </w:rPr>
        <w:t xml:space="preserve">action should be taken to </w:t>
      </w:r>
      <w:r w:rsidR="7553BC03">
        <w:rPr>
          <w:rFonts w:eastAsia="Arial" w:cs="Arial"/>
        </w:rPr>
        <w:t>establish policy settings that better incentivise care minute delivery</w:t>
      </w:r>
      <w:r w:rsidR="121E785E">
        <w:rPr>
          <w:rFonts w:eastAsia="Arial" w:cs="Arial"/>
        </w:rPr>
        <w:t>, including through linking funding to care minute delivery.</w:t>
      </w:r>
      <w:r w:rsidR="269F429B">
        <w:rPr>
          <w:rFonts w:eastAsia="Arial" w:cs="Arial"/>
        </w:rPr>
        <w:t xml:space="preserve"> </w:t>
      </w:r>
      <w:r w:rsidR="034310BC">
        <w:rPr>
          <w:rFonts w:eastAsia="Arial" w:cs="Arial"/>
        </w:rPr>
        <w:t xml:space="preserve">Some </w:t>
      </w:r>
      <w:r>
        <w:rPr>
          <w:rFonts w:eastAsia="Arial" w:cs="Arial"/>
        </w:rPr>
        <w:t xml:space="preserve">stakeholders </w:t>
      </w:r>
      <w:r w:rsidR="034310BC">
        <w:rPr>
          <w:rFonts w:eastAsia="Arial" w:cs="Arial"/>
        </w:rPr>
        <w:t xml:space="preserve">also noted that there is </w:t>
      </w:r>
      <w:r w:rsidR="1AFEFD2E">
        <w:rPr>
          <w:rFonts w:eastAsia="Arial" w:cs="Arial"/>
        </w:rPr>
        <w:t>already</w:t>
      </w:r>
      <w:r w:rsidR="034310BC">
        <w:rPr>
          <w:rFonts w:eastAsia="Arial" w:cs="Arial"/>
        </w:rPr>
        <w:t xml:space="preserve"> a lot of data </w:t>
      </w:r>
      <w:r w:rsidR="3FA4DBF9">
        <w:rPr>
          <w:rFonts w:eastAsia="Arial" w:cs="Arial"/>
        </w:rPr>
        <w:t>on care minute delivery, given care minutes data has been collected since July 202</w:t>
      </w:r>
      <w:r w:rsidR="39A35D9C">
        <w:rPr>
          <w:rFonts w:eastAsia="Arial" w:cs="Arial"/>
        </w:rPr>
        <w:t>2</w:t>
      </w:r>
      <w:r w:rsidR="1AFEFD2E">
        <w:rPr>
          <w:rFonts w:eastAsia="Arial" w:cs="Arial"/>
        </w:rPr>
        <w:t xml:space="preserve">, and the policy has been </w:t>
      </w:r>
      <w:r w:rsidR="65DC4B8D">
        <w:rPr>
          <w:rFonts w:eastAsia="Arial" w:cs="Arial"/>
        </w:rPr>
        <w:t>funded since October 2022.</w:t>
      </w:r>
    </w:p>
    <w:p w14:paraId="3DFEEDD7" w14:textId="3876F36E" w:rsidR="340F6C38" w:rsidRDefault="00E946A4" w:rsidP="00D83C7F">
      <w:pPr>
        <w:pStyle w:val="Paragraphtext"/>
        <w:rPr>
          <w:rFonts w:eastAsia="Arial" w:cs="Arial"/>
          <w:szCs w:val="21"/>
        </w:rPr>
      </w:pPr>
      <w:r>
        <w:rPr>
          <w:rFonts w:eastAsia="Arial" w:cs="Arial"/>
          <w:szCs w:val="21"/>
        </w:rPr>
        <w:t xml:space="preserve">Given the </w:t>
      </w:r>
      <w:r w:rsidR="000129F0">
        <w:rPr>
          <w:rFonts w:eastAsia="Arial" w:cs="Arial"/>
          <w:szCs w:val="21"/>
        </w:rPr>
        <w:t>provider peak</w:t>
      </w:r>
      <w:r w:rsidR="00152F8D">
        <w:rPr>
          <w:rFonts w:eastAsia="Arial" w:cs="Arial"/>
          <w:szCs w:val="21"/>
        </w:rPr>
        <w:t>’</w:t>
      </w:r>
      <w:r w:rsidR="000129F0">
        <w:rPr>
          <w:rFonts w:eastAsia="Arial" w:cs="Arial"/>
          <w:szCs w:val="21"/>
        </w:rPr>
        <w:t>s view was countered by many other stakeholders</w:t>
      </w:r>
      <w:r w:rsidR="0033776F">
        <w:rPr>
          <w:rFonts w:eastAsia="Arial" w:cs="Arial"/>
          <w:szCs w:val="21"/>
        </w:rPr>
        <w:t>,</w:t>
      </w:r>
      <w:r w:rsidR="000129F0">
        <w:rPr>
          <w:rFonts w:eastAsia="Arial" w:cs="Arial"/>
          <w:szCs w:val="21"/>
        </w:rPr>
        <w:t xml:space="preserve"> and the</w:t>
      </w:r>
      <w:r w:rsidR="4208BF8A" w:rsidRPr="4AFEFD67">
        <w:rPr>
          <w:rFonts w:eastAsia="Arial" w:cs="Arial"/>
          <w:szCs w:val="21"/>
        </w:rPr>
        <w:t xml:space="preserve"> extensive </w:t>
      </w:r>
      <w:r w:rsidR="00152F8D">
        <w:rPr>
          <w:rFonts w:eastAsia="Arial" w:cs="Arial"/>
          <w:szCs w:val="21"/>
        </w:rPr>
        <w:t xml:space="preserve">available </w:t>
      </w:r>
      <w:r w:rsidR="00E62F85">
        <w:rPr>
          <w:rFonts w:eastAsia="Arial" w:cs="Arial"/>
          <w:szCs w:val="21"/>
        </w:rPr>
        <w:t>data</w:t>
      </w:r>
      <w:r w:rsidR="4208BF8A" w:rsidRPr="4AFEFD67">
        <w:rPr>
          <w:rFonts w:eastAsia="Arial" w:cs="Arial"/>
          <w:szCs w:val="21"/>
        </w:rPr>
        <w:t xml:space="preserve"> on care minutes performance, AN-ACC funding, </w:t>
      </w:r>
      <w:r w:rsidR="00D247C4">
        <w:rPr>
          <w:rFonts w:eastAsia="Arial" w:cs="Arial"/>
          <w:szCs w:val="21"/>
        </w:rPr>
        <w:t>and</w:t>
      </w:r>
      <w:r w:rsidR="4208BF8A" w:rsidRPr="4AFEFD67">
        <w:rPr>
          <w:rFonts w:eastAsia="Arial" w:cs="Arial"/>
          <w:szCs w:val="21"/>
        </w:rPr>
        <w:t xml:space="preserve"> the financial state of providers and their homes (through the QFRs and the ACFRs</w:t>
      </w:r>
      <w:r w:rsidR="00152F8D">
        <w:rPr>
          <w:rFonts w:eastAsia="Arial" w:cs="Arial"/>
          <w:szCs w:val="21"/>
        </w:rPr>
        <w:t>)</w:t>
      </w:r>
      <w:r w:rsidR="00505543">
        <w:rPr>
          <w:rFonts w:eastAsia="Arial" w:cs="Arial"/>
          <w:szCs w:val="21"/>
        </w:rPr>
        <w:t xml:space="preserve">, the provider </w:t>
      </w:r>
      <w:r w:rsidR="00261443">
        <w:rPr>
          <w:rFonts w:eastAsia="Arial" w:cs="Arial"/>
          <w:szCs w:val="21"/>
        </w:rPr>
        <w:t>peak</w:t>
      </w:r>
      <w:r w:rsidR="00327CEF">
        <w:rPr>
          <w:rFonts w:eastAsia="Arial" w:cs="Arial"/>
          <w:szCs w:val="21"/>
        </w:rPr>
        <w:t>’s</w:t>
      </w:r>
      <w:r w:rsidR="00261443">
        <w:rPr>
          <w:rFonts w:eastAsia="Arial" w:cs="Arial"/>
          <w:szCs w:val="21"/>
        </w:rPr>
        <w:t xml:space="preserve"> feedback</w:t>
      </w:r>
      <w:r>
        <w:rPr>
          <w:rFonts w:eastAsia="Arial" w:cs="Arial"/>
          <w:szCs w:val="21"/>
        </w:rPr>
        <w:t xml:space="preserve"> that more evidence is needed before any </w:t>
      </w:r>
      <w:r w:rsidR="00080C87">
        <w:rPr>
          <w:rFonts w:eastAsia="Arial" w:cs="Arial"/>
          <w:szCs w:val="21"/>
        </w:rPr>
        <w:t>Government intervention is taken</w:t>
      </w:r>
      <w:r w:rsidR="00261443">
        <w:rPr>
          <w:rFonts w:eastAsia="Arial" w:cs="Arial"/>
          <w:szCs w:val="21"/>
        </w:rPr>
        <w:t xml:space="preserve"> was noted</w:t>
      </w:r>
      <w:r w:rsidR="00B450B0">
        <w:rPr>
          <w:rFonts w:eastAsia="Arial" w:cs="Arial"/>
          <w:szCs w:val="21"/>
        </w:rPr>
        <w:t xml:space="preserve">. </w:t>
      </w:r>
      <w:r w:rsidR="00422E8B">
        <w:rPr>
          <w:rFonts w:eastAsia="Arial" w:cs="Arial"/>
          <w:szCs w:val="21"/>
        </w:rPr>
        <w:t>However, i</w:t>
      </w:r>
      <w:r w:rsidR="00B450B0">
        <w:rPr>
          <w:rFonts w:eastAsia="Arial" w:cs="Arial"/>
          <w:szCs w:val="21"/>
        </w:rPr>
        <w:t xml:space="preserve">t was not </w:t>
      </w:r>
      <w:r>
        <w:rPr>
          <w:rFonts w:eastAsia="Arial" w:cs="Arial"/>
          <w:szCs w:val="21"/>
        </w:rPr>
        <w:t xml:space="preserve">considered </w:t>
      </w:r>
      <w:r w:rsidR="00152F8D">
        <w:rPr>
          <w:rFonts w:eastAsia="Arial" w:cs="Arial"/>
          <w:szCs w:val="21"/>
        </w:rPr>
        <w:t>appropriate</w:t>
      </w:r>
      <w:r w:rsidR="00B450B0">
        <w:rPr>
          <w:rFonts w:eastAsia="Arial" w:cs="Arial"/>
          <w:szCs w:val="21"/>
        </w:rPr>
        <w:t xml:space="preserve"> to </w:t>
      </w:r>
      <w:r w:rsidR="00263B08">
        <w:rPr>
          <w:rFonts w:eastAsia="Arial" w:cs="Arial"/>
          <w:szCs w:val="21"/>
        </w:rPr>
        <w:t xml:space="preserve">change the </w:t>
      </w:r>
      <w:r w:rsidR="00E35091">
        <w:rPr>
          <w:rFonts w:eastAsia="Arial" w:cs="Arial"/>
          <w:szCs w:val="21"/>
        </w:rPr>
        <w:t xml:space="preserve">proposed </w:t>
      </w:r>
      <w:r w:rsidR="00263B08">
        <w:rPr>
          <w:rFonts w:eastAsia="Arial" w:cs="Arial"/>
          <w:szCs w:val="21"/>
        </w:rPr>
        <w:t>options on the basis of this feedback.</w:t>
      </w:r>
    </w:p>
    <w:p w14:paraId="73B37CD5" w14:textId="531D32F4" w:rsidR="340F6C38" w:rsidRPr="00EE4D36" w:rsidRDefault="4208BF8A" w:rsidP="00D84908">
      <w:pPr>
        <w:pStyle w:val="Paragraphtext"/>
        <w:keepNext/>
        <w:rPr>
          <w:b/>
        </w:rPr>
      </w:pPr>
      <w:r w:rsidRPr="00DE60F5">
        <w:rPr>
          <w:b/>
          <w:bCs/>
        </w:rPr>
        <w:t>Quality of</w:t>
      </w:r>
      <w:r w:rsidR="693E77FD" w:rsidRPr="00DE60F5" w:rsidDel="003A5BCC">
        <w:rPr>
          <w:b/>
          <w:bCs/>
        </w:rPr>
        <w:t xml:space="preserve"> </w:t>
      </w:r>
      <w:r w:rsidR="7604D8DF" w:rsidRPr="00DE60F5">
        <w:rPr>
          <w:b/>
          <w:bCs/>
        </w:rPr>
        <w:t>p</w:t>
      </w:r>
      <w:r w:rsidR="5B909D2E" w:rsidRPr="00DE60F5">
        <w:rPr>
          <w:b/>
          <w:bCs/>
        </w:rPr>
        <w:t>rovider</w:t>
      </w:r>
      <w:r w:rsidR="693E77FD" w:rsidRPr="00DE60F5">
        <w:rPr>
          <w:b/>
          <w:bCs/>
        </w:rPr>
        <w:t xml:space="preserve"> reporting</w:t>
      </w:r>
      <w:r w:rsidR="693E77FD" w:rsidRPr="00EE4D36">
        <w:rPr>
          <w:b/>
        </w:rPr>
        <w:t xml:space="preserve"> </w:t>
      </w:r>
    </w:p>
    <w:p w14:paraId="659706D9" w14:textId="46659BFA" w:rsidR="00263B08" w:rsidRDefault="00911124" w:rsidP="004E0DE7">
      <w:pPr>
        <w:pStyle w:val="Paragraphtext"/>
        <w:rPr>
          <w:rFonts w:eastAsia="Arial"/>
        </w:rPr>
      </w:pPr>
      <w:r w:rsidRPr="004E0DE7">
        <w:rPr>
          <w:rFonts w:eastAsia="Arial"/>
        </w:rPr>
        <w:t>T</w:t>
      </w:r>
      <w:r w:rsidR="00FA4780" w:rsidRPr="004E0DE7">
        <w:rPr>
          <w:rFonts w:eastAsia="Arial"/>
        </w:rPr>
        <w:t>he importance of ensuring</w:t>
      </w:r>
      <w:r w:rsidRPr="004E0DE7">
        <w:rPr>
          <w:rFonts w:eastAsia="Arial"/>
        </w:rPr>
        <w:t xml:space="preserve"> providers are</w:t>
      </w:r>
      <w:r w:rsidR="00FA4780" w:rsidRPr="004E0DE7">
        <w:rPr>
          <w:rFonts w:eastAsia="Arial"/>
        </w:rPr>
        <w:t xml:space="preserve"> </w:t>
      </w:r>
      <w:r w:rsidR="00E64FC4" w:rsidRPr="004E0DE7">
        <w:rPr>
          <w:rFonts w:eastAsia="Arial"/>
        </w:rPr>
        <w:t xml:space="preserve">reporting </w:t>
      </w:r>
      <w:r w:rsidR="004C54F0" w:rsidRPr="004E0DE7">
        <w:rPr>
          <w:rFonts w:eastAsia="Arial"/>
        </w:rPr>
        <w:t>correctly and consistently across the sector</w:t>
      </w:r>
      <w:r w:rsidRPr="004E0DE7">
        <w:rPr>
          <w:rFonts w:eastAsia="Arial"/>
        </w:rPr>
        <w:t xml:space="preserve"> was also raised</w:t>
      </w:r>
      <w:r w:rsidR="00B450B0" w:rsidRPr="004E0DE7">
        <w:rPr>
          <w:rFonts w:eastAsia="Arial"/>
        </w:rPr>
        <w:t xml:space="preserve"> by some stakeholders</w:t>
      </w:r>
      <w:r w:rsidR="000F092E" w:rsidRPr="004E0DE7">
        <w:rPr>
          <w:rFonts w:eastAsia="Arial"/>
        </w:rPr>
        <w:t xml:space="preserve"> (including providers)</w:t>
      </w:r>
      <w:r w:rsidR="0079339F" w:rsidRPr="004E0DE7">
        <w:rPr>
          <w:rFonts w:eastAsia="Arial"/>
        </w:rPr>
        <w:t xml:space="preserve">, noting that </w:t>
      </w:r>
      <w:r w:rsidR="004C54F0" w:rsidRPr="004E0DE7">
        <w:rPr>
          <w:rFonts w:eastAsia="Arial"/>
        </w:rPr>
        <w:t xml:space="preserve">to date not every </w:t>
      </w:r>
      <w:r w:rsidR="00E35091">
        <w:rPr>
          <w:rFonts w:eastAsia="Arial"/>
        </w:rPr>
        <w:t>hom</w:t>
      </w:r>
      <w:r w:rsidR="004C54F0" w:rsidRPr="004E0DE7">
        <w:rPr>
          <w:rFonts w:eastAsia="Arial"/>
        </w:rPr>
        <w:t xml:space="preserve">e </w:t>
      </w:r>
      <w:r w:rsidR="004C54F0" w:rsidRPr="004E0DE7">
        <w:rPr>
          <w:rFonts w:eastAsia="Arial"/>
        </w:rPr>
        <w:lastRenderedPageBreak/>
        <w:t xml:space="preserve">or provider </w:t>
      </w:r>
      <w:r w:rsidR="00E112E8" w:rsidRPr="004E0DE7">
        <w:rPr>
          <w:rFonts w:eastAsia="Arial"/>
        </w:rPr>
        <w:t>has had their reporting checked by the department’s reporting assessment program, and that some of the variability in care minute performance could be driven by miss-reporting</w:t>
      </w:r>
      <w:r w:rsidR="009D6A53" w:rsidRPr="004E0DE7">
        <w:rPr>
          <w:rFonts w:eastAsia="Arial"/>
        </w:rPr>
        <w:t>.</w:t>
      </w:r>
      <w:r w:rsidR="00E112E8" w:rsidRPr="004E0DE7">
        <w:rPr>
          <w:rFonts w:eastAsia="Arial"/>
        </w:rPr>
        <w:t xml:space="preserve"> </w:t>
      </w:r>
      <w:r w:rsidR="004A3B4B" w:rsidRPr="004E0DE7">
        <w:rPr>
          <w:rFonts w:eastAsia="Arial"/>
        </w:rPr>
        <w:t xml:space="preserve">It was </w:t>
      </w:r>
      <w:r w:rsidR="00D73EB5" w:rsidRPr="004E0DE7">
        <w:rPr>
          <w:rFonts w:eastAsia="Arial"/>
        </w:rPr>
        <w:t>noted that</w:t>
      </w:r>
      <w:r w:rsidR="00A41FA0" w:rsidRPr="004E0DE7">
        <w:rPr>
          <w:rFonts w:eastAsia="Arial"/>
        </w:rPr>
        <w:t xml:space="preserve"> the department’s reporting assessments are an important element in ensuring reporting consistency.</w:t>
      </w:r>
      <w:r w:rsidR="00EE3980" w:rsidRPr="004E0DE7">
        <w:rPr>
          <w:rFonts w:eastAsia="Arial"/>
        </w:rPr>
        <w:t xml:space="preserve"> </w:t>
      </w:r>
      <w:r w:rsidR="00195DE6" w:rsidRPr="004E0DE7">
        <w:rPr>
          <w:rFonts w:eastAsia="Arial"/>
        </w:rPr>
        <w:t>Following this feedback, the department developed the options to enhance assurance arrangements</w:t>
      </w:r>
      <w:r w:rsidR="000F092E" w:rsidRPr="004E0DE7">
        <w:rPr>
          <w:rFonts w:eastAsia="Arial"/>
        </w:rPr>
        <w:t xml:space="preserve"> to ensure that all care minutes reporting is independently validated under Option 3</w:t>
      </w:r>
      <w:r w:rsidR="004E0DE7">
        <w:rPr>
          <w:rFonts w:eastAsia="Arial"/>
        </w:rPr>
        <w:t>.</w:t>
      </w:r>
    </w:p>
    <w:p w14:paraId="3CC8CA2F" w14:textId="3C4F0522" w:rsidR="143BD482" w:rsidRPr="00DE60F5" w:rsidRDefault="143BD482" w:rsidP="00674318">
      <w:pPr>
        <w:pStyle w:val="Paragraphtext"/>
        <w:keepNext/>
        <w:rPr>
          <w:rFonts w:eastAsia="Arial"/>
          <w:b/>
          <w:bCs/>
        </w:rPr>
      </w:pPr>
      <w:r w:rsidRPr="00DE60F5">
        <w:rPr>
          <w:rFonts w:eastAsia="Arial"/>
          <w:b/>
          <w:bCs/>
        </w:rPr>
        <w:t>Timing of reform</w:t>
      </w:r>
    </w:p>
    <w:p w14:paraId="467EC8CC" w14:textId="727FE7E1" w:rsidR="00CA291F" w:rsidRDefault="42A6C3D4" w:rsidP="004E0DE7">
      <w:pPr>
        <w:pStyle w:val="Paragraphtext"/>
        <w:rPr>
          <w:rFonts w:eastAsia="Arial"/>
        </w:rPr>
      </w:pPr>
      <w:r w:rsidRPr="4AFEFD67">
        <w:rPr>
          <w:rFonts w:eastAsia="Arial"/>
        </w:rPr>
        <w:t xml:space="preserve">The department received feedback from some </w:t>
      </w:r>
      <w:r w:rsidR="005B2E43" w:rsidRPr="4AFEFD67">
        <w:rPr>
          <w:rFonts w:eastAsia="Arial"/>
        </w:rPr>
        <w:t xml:space="preserve">providers </w:t>
      </w:r>
      <w:r w:rsidR="006848E8" w:rsidRPr="4AFEFD67">
        <w:rPr>
          <w:rFonts w:eastAsia="Arial"/>
        </w:rPr>
        <w:t>w</w:t>
      </w:r>
      <w:r w:rsidR="3C1BD49B" w:rsidRPr="4AFEFD67">
        <w:rPr>
          <w:rFonts w:eastAsia="Arial"/>
        </w:rPr>
        <w:t>ho were</w:t>
      </w:r>
      <w:r w:rsidR="005B2E43" w:rsidRPr="4AFEFD67">
        <w:rPr>
          <w:rFonts w:eastAsia="Arial"/>
        </w:rPr>
        <w:t xml:space="preserve"> concern</w:t>
      </w:r>
      <w:r w:rsidR="006848E8" w:rsidRPr="4AFEFD67">
        <w:rPr>
          <w:rFonts w:eastAsia="Arial"/>
        </w:rPr>
        <w:t>ed</w:t>
      </w:r>
      <w:r w:rsidR="005B2E43" w:rsidRPr="4AFEFD67">
        <w:rPr>
          <w:rFonts w:eastAsia="Arial"/>
        </w:rPr>
        <w:t xml:space="preserve"> about the timing of introducing a policy linking care funding to care minutes delivery, </w:t>
      </w:r>
      <w:r w:rsidR="007A3871" w:rsidRPr="4AFEFD67">
        <w:rPr>
          <w:rFonts w:eastAsia="Arial"/>
        </w:rPr>
        <w:t>noting</w:t>
      </w:r>
      <w:r w:rsidR="00A44D50" w:rsidRPr="4AFEFD67">
        <w:rPr>
          <w:rFonts w:eastAsia="Arial"/>
        </w:rPr>
        <w:t xml:space="preserve"> that </w:t>
      </w:r>
      <w:r w:rsidR="005B2E43" w:rsidRPr="4AFEFD67">
        <w:rPr>
          <w:rFonts w:eastAsia="Arial"/>
        </w:rPr>
        <w:t xml:space="preserve">it is important that the sector is provided with sufficient </w:t>
      </w:r>
      <w:r w:rsidR="0032607B">
        <w:rPr>
          <w:rFonts w:eastAsia="Arial"/>
        </w:rPr>
        <w:t>time</w:t>
      </w:r>
      <w:r w:rsidR="005B2E43" w:rsidRPr="4AFEFD67">
        <w:rPr>
          <w:rFonts w:eastAsia="Arial"/>
        </w:rPr>
        <w:t xml:space="preserve"> </w:t>
      </w:r>
      <w:r w:rsidR="00CA291F" w:rsidRPr="4AFEFD67">
        <w:rPr>
          <w:rFonts w:eastAsia="Arial"/>
        </w:rPr>
        <w:t>to</w:t>
      </w:r>
      <w:r w:rsidR="005B2E43" w:rsidRPr="4AFEFD67">
        <w:rPr>
          <w:rFonts w:eastAsia="Arial"/>
        </w:rPr>
        <w:t xml:space="preserve"> </w:t>
      </w:r>
      <w:r w:rsidR="001E630A" w:rsidRPr="4AFEFD67">
        <w:rPr>
          <w:rFonts w:eastAsia="Arial"/>
        </w:rPr>
        <w:t xml:space="preserve">allow them to </w:t>
      </w:r>
      <w:r w:rsidR="005B2E43" w:rsidRPr="4AFEFD67">
        <w:rPr>
          <w:rFonts w:eastAsia="Arial"/>
        </w:rPr>
        <w:t>prepare</w:t>
      </w:r>
      <w:r w:rsidR="001D37CB" w:rsidRPr="4AFEFD67">
        <w:rPr>
          <w:rFonts w:eastAsia="Arial"/>
        </w:rPr>
        <w:t xml:space="preserve"> by recruiting additional staff. </w:t>
      </w:r>
      <w:r w:rsidR="005E335B">
        <w:rPr>
          <w:rFonts w:eastAsia="Arial"/>
        </w:rPr>
        <w:t>This concern was considered reasonable</w:t>
      </w:r>
      <w:r w:rsidR="001F5C14">
        <w:rPr>
          <w:rFonts w:eastAsia="Arial"/>
        </w:rPr>
        <w:t xml:space="preserve"> and led to </w:t>
      </w:r>
      <w:r w:rsidR="00E07D84">
        <w:rPr>
          <w:rFonts w:eastAsia="Arial"/>
        </w:rPr>
        <w:t xml:space="preserve">the department agreeing </w:t>
      </w:r>
      <w:r w:rsidR="001F5C14">
        <w:rPr>
          <w:rFonts w:eastAsia="Arial"/>
        </w:rPr>
        <w:t>that</w:t>
      </w:r>
      <w:r w:rsidR="00896194">
        <w:rPr>
          <w:rFonts w:eastAsia="Arial"/>
        </w:rPr>
        <w:t xml:space="preserve"> the sect</w:t>
      </w:r>
      <w:r w:rsidR="008C07F6">
        <w:rPr>
          <w:rFonts w:eastAsia="Arial"/>
        </w:rPr>
        <w:t>o</w:t>
      </w:r>
      <w:r w:rsidR="00896194">
        <w:rPr>
          <w:rFonts w:eastAsia="Arial"/>
        </w:rPr>
        <w:t xml:space="preserve">r would be </w:t>
      </w:r>
      <w:r w:rsidR="00D161D6">
        <w:rPr>
          <w:rFonts w:eastAsia="Arial"/>
        </w:rPr>
        <w:t xml:space="preserve">given 6-9months </w:t>
      </w:r>
      <w:r w:rsidR="008C07F6">
        <w:rPr>
          <w:rFonts w:eastAsia="Arial"/>
        </w:rPr>
        <w:t xml:space="preserve">to prepare </w:t>
      </w:r>
      <w:r w:rsidR="009423DE">
        <w:rPr>
          <w:rFonts w:eastAsia="Arial"/>
        </w:rPr>
        <w:t>for the introduction of a policy</w:t>
      </w:r>
      <w:r w:rsidR="00E123BE">
        <w:rPr>
          <w:rFonts w:eastAsia="Arial"/>
        </w:rPr>
        <w:t xml:space="preserve"> </w:t>
      </w:r>
      <w:r w:rsidR="001F5C14">
        <w:rPr>
          <w:rFonts w:eastAsia="Arial"/>
        </w:rPr>
        <w:t>link</w:t>
      </w:r>
      <w:r w:rsidR="009423DE">
        <w:rPr>
          <w:rFonts w:eastAsia="Arial"/>
        </w:rPr>
        <w:t>ing</w:t>
      </w:r>
      <w:r w:rsidR="001F5C14">
        <w:rPr>
          <w:rFonts w:eastAsia="Arial"/>
        </w:rPr>
        <w:t xml:space="preserve"> funding to care minutes</w:t>
      </w:r>
      <w:r w:rsidR="006E4B7D">
        <w:rPr>
          <w:rFonts w:eastAsia="Arial"/>
        </w:rPr>
        <w:t>.</w:t>
      </w:r>
    </w:p>
    <w:p w14:paraId="38147216" w14:textId="431D9791" w:rsidR="0051047B" w:rsidRDefault="3D515C3F" w:rsidP="00674318">
      <w:pPr>
        <w:pStyle w:val="Paragraphtext"/>
        <w:rPr>
          <w:rFonts w:eastAsia="Arial" w:cs="Arial"/>
          <w:szCs w:val="21"/>
        </w:rPr>
      </w:pPr>
      <w:r w:rsidRPr="04A2BED1">
        <w:rPr>
          <w:rFonts w:eastAsia="Arial"/>
          <w:szCs w:val="21"/>
        </w:rPr>
        <w:t>Following</w:t>
      </w:r>
      <w:r w:rsidR="3A7E99DA" w:rsidRPr="4AFEFD67">
        <w:rPr>
          <w:rFonts w:eastAsia="Arial" w:cs="Arial"/>
          <w:szCs w:val="21"/>
        </w:rPr>
        <w:t xml:space="preserve"> the release of the Minister’s open letter </w:t>
      </w:r>
      <w:r w:rsidRPr="04A2BED1">
        <w:rPr>
          <w:rFonts w:eastAsia="Arial" w:cs="Arial"/>
          <w:szCs w:val="21"/>
        </w:rPr>
        <w:t xml:space="preserve">to the sector concerning non-compliance with care minutes requirements, a </w:t>
      </w:r>
      <w:r w:rsidR="3A7E99DA" w:rsidRPr="04A2BED1">
        <w:rPr>
          <w:rFonts w:eastAsia="Arial" w:cs="Arial"/>
          <w:szCs w:val="21"/>
        </w:rPr>
        <w:t xml:space="preserve">provider peak body </w:t>
      </w:r>
      <w:r w:rsidR="2BF034F5" w:rsidRPr="04A2BED1">
        <w:rPr>
          <w:rFonts w:eastAsia="Arial" w:cs="Arial"/>
          <w:szCs w:val="21"/>
        </w:rPr>
        <w:t>informed the department of their concerns</w:t>
      </w:r>
      <w:r w:rsidR="3A7E99DA" w:rsidRPr="4AFEFD67">
        <w:rPr>
          <w:rFonts w:eastAsia="Arial" w:cs="Arial"/>
          <w:szCs w:val="21"/>
        </w:rPr>
        <w:t xml:space="preserve"> </w:t>
      </w:r>
      <w:r w:rsidR="00D9021B">
        <w:rPr>
          <w:rFonts w:eastAsia="Arial" w:cs="Arial"/>
          <w:szCs w:val="21"/>
        </w:rPr>
        <w:t>of</w:t>
      </w:r>
      <w:r w:rsidR="3A7E99DA" w:rsidRPr="4AFEFD67">
        <w:rPr>
          <w:rFonts w:eastAsia="Arial" w:cs="Arial"/>
          <w:szCs w:val="21"/>
        </w:rPr>
        <w:t xml:space="preserve"> linking care funding to care minutes delivery, suggesting providers needed more time to meet their targets, that there should be a greater focus on the use of transparency measures to drive increased compliance and that any approach should be nuanced to the individual circumstances of </w:t>
      </w:r>
      <w:r w:rsidR="3497FD96" w:rsidRPr="04A2BED1">
        <w:rPr>
          <w:rFonts w:eastAsia="Arial" w:cs="Arial"/>
          <w:szCs w:val="21"/>
        </w:rPr>
        <w:t>each</w:t>
      </w:r>
      <w:r w:rsidR="3A7E99DA" w:rsidRPr="4AFEFD67">
        <w:rPr>
          <w:rFonts w:eastAsia="Arial" w:cs="Arial"/>
          <w:szCs w:val="21"/>
        </w:rPr>
        <w:t xml:space="preserve"> provider.</w:t>
      </w:r>
    </w:p>
    <w:p w14:paraId="5650BD2A" w14:textId="614C7608" w:rsidR="0051047B" w:rsidRDefault="3EA53960" w:rsidP="00674318">
      <w:pPr>
        <w:pStyle w:val="Paragraphtext"/>
        <w:rPr>
          <w:rFonts w:eastAsia="Arial" w:cs="Arial"/>
          <w:szCs w:val="21"/>
        </w:rPr>
      </w:pPr>
      <w:r w:rsidRPr="04A2BED1">
        <w:rPr>
          <w:rFonts w:eastAsia="Arial"/>
          <w:szCs w:val="21"/>
        </w:rPr>
        <w:t>Th</w:t>
      </w:r>
      <w:r w:rsidR="1BA78C55" w:rsidRPr="04A2BED1">
        <w:rPr>
          <w:rFonts w:eastAsia="Arial" w:cs="Arial"/>
          <w:szCs w:val="21"/>
        </w:rPr>
        <w:t>ese</w:t>
      </w:r>
      <w:r w:rsidRPr="04A2BED1">
        <w:rPr>
          <w:rFonts w:eastAsia="Arial" w:cs="Arial"/>
          <w:szCs w:val="21"/>
        </w:rPr>
        <w:t xml:space="preserve"> concern</w:t>
      </w:r>
      <w:r w:rsidR="5D943931" w:rsidRPr="04A2BED1">
        <w:rPr>
          <w:rFonts w:eastAsia="Arial" w:cs="Arial"/>
          <w:szCs w:val="21"/>
        </w:rPr>
        <w:t>s</w:t>
      </w:r>
      <w:r w:rsidRPr="04A2BED1">
        <w:rPr>
          <w:rFonts w:eastAsia="Arial" w:cs="Arial"/>
          <w:szCs w:val="21"/>
        </w:rPr>
        <w:t xml:space="preserve"> w</w:t>
      </w:r>
      <w:r w:rsidR="01B625B1" w:rsidRPr="04A2BED1">
        <w:rPr>
          <w:rFonts w:eastAsia="Arial" w:cs="Arial"/>
          <w:szCs w:val="21"/>
        </w:rPr>
        <w:t>ere</w:t>
      </w:r>
      <w:r w:rsidRPr="4AFEFD67">
        <w:rPr>
          <w:rFonts w:eastAsia="Arial" w:cs="Arial"/>
          <w:szCs w:val="21"/>
        </w:rPr>
        <w:t xml:space="preserve"> considered by the department but as noted earlier in this </w:t>
      </w:r>
      <w:r w:rsidR="3DEEED62" w:rsidRPr="04A2BED1">
        <w:rPr>
          <w:rFonts w:eastAsia="Arial" w:cs="Arial"/>
          <w:szCs w:val="21"/>
        </w:rPr>
        <w:t>report</w:t>
      </w:r>
      <w:r w:rsidRPr="4AFEFD67">
        <w:rPr>
          <w:rFonts w:eastAsia="Arial" w:cs="Arial"/>
          <w:szCs w:val="21"/>
        </w:rPr>
        <w:t xml:space="preserve">, the </w:t>
      </w:r>
      <w:r w:rsidRPr="04A2BED1">
        <w:rPr>
          <w:rFonts w:eastAsia="Arial" w:cs="Arial"/>
          <w:szCs w:val="21"/>
        </w:rPr>
        <w:t>department</w:t>
      </w:r>
      <w:r w:rsidR="2A53580B" w:rsidRPr="04A2BED1">
        <w:rPr>
          <w:rFonts w:eastAsia="Arial" w:cs="Arial"/>
          <w:szCs w:val="21"/>
        </w:rPr>
        <w:t>’s</w:t>
      </w:r>
      <w:r w:rsidRPr="4AFEFD67">
        <w:rPr>
          <w:rFonts w:eastAsia="Arial" w:cs="Arial"/>
          <w:szCs w:val="21"/>
        </w:rPr>
        <w:t xml:space="preserve"> analysis showed that transparency measures </w:t>
      </w:r>
      <w:r w:rsidRPr="04A2BED1">
        <w:rPr>
          <w:rFonts w:eastAsia="Arial" w:cs="Arial"/>
          <w:szCs w:val="21"/>
        </w:rPr>
        <w:t>were</w:t>
      </w:r>
      <w:r w:rsidRPr="4AFEFD67">
        <w:rPr>
          <w:rFonts w:eastAsia="Arial" w:cs="Arial"/>
          <w:szCs w:val="21"/>
        </w:rPr>
        <w:t xml:space="preserve"> not increasing care minutes compliance at the rate expected by Government. It also showed that the resources required to undertake a nuanced approach for each provider would be</w:t>
      </w:r>
      <w:r w:rsidR="00D51514">
        <w:rPr>
          <w:rFonts w:eastAsia="Arial" w:cs="Arial"/>
          <w:szCs w:val="21"/>
        </w:rPr>
        <w:t xml:space="preserve"> too</w:t>
      </w:r>
      <w:r w:rsidRPr="4AFEFD67">
        <w:rPr>
          <w:rFonts w:eastAsia="Arial" w:cs="Arial"/>
          <w:szCs w:val="21"/>
        </w:rPr>
        <w:t xml:space="preserve"> resource intensive</w:t>
      </w:r>
      <w:r w:rsidR="00D51514">
        <w:rPr>
          <w:rFonts w:eastAsia="Arial" w:cs="Arial"/>
          <w:szCs w:val="21"/>
        </w:rPr>
        <w:t>.</w:t>
      </w:r>
    </w:p>
    <w:p w14:paraId="3C8AC92F" w14:textId="7C7305C0" w:rsidR="0051047B" w:rsidRPr="00EE4D36" w:rsidRDefault="3EA53960" w:rsidP="00DE60F5">
      <w:pPr>
        <w:pStyle w:val="Paragraphtext"/>
        <w:rPr>
          <w:rFonts w:eastAsia="Arial"/>
          <w:b/>
        </w:rPr>
      </w:pPr>
      <w:r w:rsidRPr="00DE60F5">
        <w:rPr>
          <w:rFonts w:eastAsia="Arial"/>
          <w:b/>
          <w:bCs/>
        </w:rPr>
        <w:t xml:space="preserve">Funding contingency </w:t>
      </w:r>
    </w:p>
    <w:p w14:paraId="52D4F0D1" w14:textId="6A968C00" w:rsidR="00D3587A" w:rsidRDefault="3AD4A473" w:rsidP="4AFEFD67">
      <w:pPr>
        <w:pStyle w:val="Paragraphtext"/>
        <w:rPr>
          <w:rFonts w:eastAsia="Arial" w:cs="Arial"/>
        </w:rPr>
      </w:pPr>
      <w:r w:rsidRPr="4AFEFD67">
        <w:rPr>
          <w:rFonts w:eastAsia="Arial" w:cs="Arial"/>
        </w:rPr>
        <w:t xml:space="preserve">A provider </w:t>
      </w:r>
      <w:r w:rsidR="6B87DB44" w:rsidRPr="4AFEFD67">
        <w:rPr>
          <w:rFonts w:eastAsia="Arial" w:cs="Arial"/>
        </w:rPr>
        <w:t xml:space="preserve">noted that the care minutes targets </w:t>
      </w:r>
      <w:r w:rsidR="4FBCA162" w:rsidRPr="4AFEFD67">
        <w:rPr>
          <w:rFonts w:eastAsia="Arial" w:cs="Arial"/>
        </w:rPr>
        <w:t>for</w:t>
      </w:r>
      <w:r w:rsidR="6B87DB44" w:rsidRPr="4AFEFD67">
        <w:rPr>
          <w:rFonts w:eastAsia="Arial" w:cs="Arial"/>
        </w:rPr>
        <w:t xml:space="preserve"> some providers can change between quarters so it may be appropriate to consider building in a small level of contingency into the policy to account for these changes and support providers to continue to build their workforce and increase the number of care minutes they are delivering.</w:t>
      </w:r>
      <w:r w:rsidR="3C938E00" w:rsidRPr="4AFEFD67">
        <w:rPr>
          <w:rFonts w:eastAsia="Arial" w:cs="Arial"/>
        </w:rPr>
        <w:t xml:space="preserve"> </w:t>
      </w:r>
      <w:r w:rsidR="06D982E8" w:rsidRPr="4AFEFD67">
        <w:rPr>
          <w:rFonts w:eastAsia="Arial" w:cs="Arial"/>
        </w:rPr>
        <w:t xml:space="preserve">This advice was considered in the </w:t>
      </w:r>
      <w:r w:rsidR="22BA2FE7" w:rsidRPr="4AFEFD67">
        <w:rPr>
          <w:rFonts w:eastAsia="Arial" w:cs="Arial"/>
        </w:rPr>
        <w:t>development of options 2 and 3</w:t>
      </w:r>
      <w:r w:rsidR="6C88F761" w:rsidRPr="4AFEFD67">
        <w:rPr>
          <w:rFonts w:eastAsia="Arial" w:cs="Arial"/>
        </w:rPr>
        <w:t xml:space="preserve">, with the care minutes supplement </w:t>
      </w:r>
      <w:r w:rsidR="28600F51" w:rsidRPr="4AFEFD67">
        <w:rPr>
          <w:rFonts w:eastAsia="Arial" w:cs="Arial"/>
        </w:rPr>
        <w:t xml:space="preserve">rates generally funding providers </w:t>
      </w:r>
      <w:r w:rsidR="0995107A" w:rsidRPr="4AFEFD67">
        <w:rPr>
          <w:rFonts w:eastAsia="Arial" w:cs="Arial"/>
        </w:rPr>
        <w:t xml:space="preserve">to </w:t>
      </w:r>
      <w:r w:rsidR="1CC34A62" w:rsidRPr="4AFEFD67">
        <w:rPr>
          <w:rFonts w:eastAsia="Arial" w:cs="Arial"/>
        </w:rPr>
        <w:t xml:space="preserve">get </w:t>
      </w:r>
      <w:r w:rsidR="3C938E00">
        <w:t>2.5</w:t>
      </w:r>
      <w:r w:rsidR="2CF27E54">
        <w:t xml:space="preserve"> percentage points</w:t>
      </w:r>
      <w:r w:rsidR="3C938E00">
        <w:t xml:space="preserve"> closer to their </w:t>
      </w:r>
      <w:r w:rsidR="64D31EBF">
        <w:t xml:space="preserve">care minutes </w:t>
      </w:r>
      <w:r w:rsidR="3C938E00">
        <w:t>targets</w:t>
      </w:r>
      <w:r w:rsidR="1CC34A62">
        <w:t xml:space="preserve"> than they are actually delivering</w:t>
      </w:r>
      <w:r w:rsidR="3C938E00">
        <w:t xml:space="preserve">. For example, if a service was delivering care minutes at </w:t>
      </w:r>
      <w:r w:rsidR="169C281C">
        <w:t>90-92.</w:t>
      </w:r>
      <w:r w:rsidR="64A59619">
        <w:t>49</w:t>
      </w:r>
      <w:r w:rsidR="3C938E00">
        <w:t>% of their targets</w:t>
      </w:r>
      <w:r w:rsidR="2045E332">
        <w:t>,</w:t>
      </w:r>
      <w:r w:rsidR="3C938E00">
        <w:t xml:space="preserve"> they would be funded as though they were delivering </w:t>
      </w:r>
      <w:r w:rsidR="169C281C">
        <w:t>92.5-</w:t>
      </w:r>
      <w:r w:rsidR="64A59619">
        <w:t>95</w:t>
      </w:r>
      <w:r w:rsidR="3C938E00">
        <w:t xml:space="preserve">%. </w:t>
      </w:r>
    </w:p>
    <w:p w14:paraId="2290D331" w14:textId="7F9EAB26" w:rsidR="44823A05" w:rsidRPr="00674318" w:rsidRDefault="44823A05" w:rsidP="00DE60F5">
      <w:pPr>
        <w:pStyle w:val="Paragraphtext"/>
        <w:rPr>
          <w:b/>
          <w:bCs/>
          <w:i/>
          <w:color w:val="414141"/>
          <w:sz w:val="24"/>
          <w:szCs w:val="28"/>
        </w:rPr>
      </w:pPr>
      <w:r w:rsidRPr="00674318">
        <w:rPr>
          <w:b/>
          <w:bCs/>
          <w:i/>
          <w:color w:val="414141"/>
          <w:sz w:val="24"/>
          <w:szCs w:val="28"/>
        </w:rPr>
        <w:t xml:space="preserve">Assurance and reporting </w:t>
      </w:r>
      <w:r w:rsidR="0787F773" w:rsidRPr="00674318">
        <w:rPr>
          <w:b/>
          <w:bCs/>
          <w:i/>
          <w:color w:val="414141"/>
          <w:sz w:val="24"/>
          <w:szCs w:val="28"/>
        </w:rPr>
        <w:t>requirements</w:t>
      </w:r>
    </w:p>
    <w:p w14:paraId="69DCE72E" w14:textId="3B29D0CC" w:rsidR="00A631D0" w:rsidRDefault="395703C5" w:rsidP="0012120B">
      <w:pPr>
        <w:pStyle w:val="Paragraphtext"/>
      </w:pPr>
      <w:r>
        <w:t xml:space="preserve">While the department has not consulted </w:t>
      </w:r>
      <w:r w:rsidR="00267048">
        <w:t>the sector broadly</w:t>
      </w:r>
      <w:r>
        <w:t xml:space="preserve"> on the </w:t>
      </w:r>
      <w:r w:rsidR="20B6167B">
        <w:t>new assurance arrangements, including the Care Minute Performance Statement</w:t>
      </w:r>
      <w:r w:rsidR="43F770F5">
        <w:t xml:space="preserve"> and the annual audit arrangements</w:t>
      </w:r>
      <w:r w:rsidR="6E80119B">
        <w:t>, the department has consulted on its</w:t>
      </w:r>
      <w:r w:rsidR="43F770F5">
        <w:t xml:space="preserve"> existing</w:t>
      </w:r>
      <w:r w:rsidR="6E80119B">
        <w:t xml:space="preserve"> assurance arrangements over care time reporting.</w:t>
      </w:r>
      <w:r w:rsidR="51D62362">
        <w:t xml:space="preserve"> </w:t>
      </w:r>
      <w:r w:rsidR="00B51BD3">
        <w:t xml:space="preserve">Some in the </w:t>
      </w:r>
      <w:r w:rsidR="004D0058">
        <w:t>sector</w:t>
      </w:r>
      <w:r w:rsidR="00327B4F">
        <w:t xml:space="preserve"> have</w:t>
      </w:r>
      <w:r w:rsidR="004D0058">
        <w:t xml:space="preserve"> provided feedback about the difficulty associated with participating in a care time reporting assessment</w:t>
      </w:r>
      <w:r w:rsidR="00B51BD3">
        <w:t xml:space="preserve"> because of </w:t>
      </w:r>
      <w:r w:rsidR="00E9546D">
        <w:t>the time taken to compile the necessary documentation</w:t>
      </w:r>
      <w:r w:rsidR="003363C8">
        <w:t xml:space="preserve"> and have asked whether alternative assurance arrangements can be explored.</w:t>
      </w:r>
      <w:r w:rsidR="001C263B">
        <w:t xml:space="preserve"> </w:t>
      </w:r>
      <w:r w:rsidR="00CD5A0F">
        <w:t>Other</w:t>
      </w:r>
      <w:r w:rsidR="00C07C1B">
        <w:t xml:space="preserve"> providers have</w:t>
      </w:r>
      <w:r w:rsidR="00CD5A0F">
        <w:t xml:space="preserve"> noted that they have</w:t>
      </w:r>
      <w:r w:rsidR="00C07C1B">
        <w:t xml:space="preserve"> found the process useful and educative </w:t>
      </w:r>
      <w:r w:rsidR="00536C72">
        <w:t>by</w:t>
      </w:r>
      <w:r w:rsidR="00EF6785">
        <w:t xml:space="preserve"> helping them understand what</w:t>
      </w:r>
      <w:r w:rsidR="00C309F8">
        <w:t xml:space="preserve"> can be reported as care minutes</w:t>
      </w:r>
      <w:r w:rsidR="00327B4F">
        <w:t>, including sometimes helping pro</w:t>
      </w:r>
      <w:r w:rsidR="00C915C5">
        <w:t>viders report care time that they had not understood could be reported as care minutes.</w:t>
      </w:r>
    </w:p>
    <w:p w14:paraId="07CD2A94" w14:textId="6BB500CB" w:rsidR="00831B0F" w:rsidRDefault="004305BE" w:rsidP="00831B0F">
      <w:pPr>
        <w:pStyle w:val="Paragraphtext"/>
        <w:rPr>
          <w:rFonts w:eastAsia="Arial"/>
        </w:rPr>
      </w:pPr>
      <w:r>
        <w:rPr>
          <w:rFonts w:eastAsia="Arial"/>
        </w:rPr>
        <w:t xml:space="preserve">The </w:t>
      </w:r>
      <w:r w:rsidR="00FB38BE">
        <w:rPr>
          <w:rFonts w:eastAsia="Arial"/>
        </w:rPr>
        <w:t>department has</w:t>
      </w:r>
      <w:r>
        <w:rPr>
          <w:rFonts w:eastAsia="Arial"/>
        </w:rPr>
        <w:t xml:space="preserve"> discussed </w:t>
      </w:r>
      <w:r w:rsidR="006A3E40">
        <w:rPr>
          <w:rFonts w:eastAsia="Arial"/>
        </w:rPr>
        <w:t xml:space="preserve">the increased assurance requirements associated with Option 3 </w:t>
      </w:r>
      <w:r w:rsidR="00B97B11">
        <w:rPr>
          <w:rFonts w:eastAsia="Arial"/>
        </w:rPr>
        <w:t xml:space="preserve">with specific stakeholders </w:t>
      </w:r>
      <w:r w:rsidR="00A148A6">
        <w:rPr>
          <w:rFonts w:eastAsia="Arial"/>
        </w:rPr>
        <w:t xml:space="preserve">of the </w:t>
      </w:r>
      <w:r w:rsidR="007A5268" w:rsidRPr="70E51EFD">
        <w:rPr>
          <w:rFonts w:eastAsia="Arial"/>
        </w:rPr>
        <w:t>Working Group</w:t>
      </w:r>
      <w:r w:rsidR="008036CB">
        <w:rPr>
          <w:rFonts w:eastAsia="Arial"/>
        </w:rPr>
        <w:t xml:space="preserve">. </w:t>
      </w:r>
      <w:r w:rsidR="00C526CE">
        <w:rPr>
          <w:rFonts w:eastAsia="Arial"/>
        </w:rPr>
        <w:t>In doing so</w:t>
      </w:r>
      <w:r w:rsidR="00331C6D">
        <w:rPr>
          <w:rFonts w:eastAsia="Arial"/>
        </w:rPr>
        <w:t>, the</w:t>
      </w:r>
      <w:r w:rsidR="0089385D">
        <w:rPr>
          <w:rFonts w:eastAsia="Arial"/>
        </w:rPr>
        <w:t xml:space="preserve"> department has</w:t>
      </w:r>
      <w:r w:rsidR="00FB38BE">
        <w:rPr>
          <w:rFonts w:eastAsia="Arial"/>
        </w:rPr>
        <w:t xml:space="preserve"> </w:t>
      </w:r>
      <w:r w:rsidR="00780D4C">
        <w:rPr>
          <w:rFonts w:eastAsia="Arial"/>
        </w:rPr>
        <w:t xml:space="preserve">received </w:t>
      </w:r>
      <w:r w:rsidR="00831B0F">
        <w:rPr>
          <w:rFonts w:eastAsia="Arial"/>
        </w:rPr>
        <w:t>(and continues to receive) some negative feedback from the sector (i.e. providers and their advocates) about the increased costs of procuring an external auditor to review their care minutes reporting and provide a Care Minutes Performance Statement to assure the department that care minutes reporting is accurate.</w:t>
      </w:r>
      <w:r w:rsidR="005D6351">
        <w:rPr>
          <w:rFonts w:eastAsia="Arial"/>
        </w:rPr>
        <w:t xml:space="preserve"> </w:t>
      </w:r>
    </w:p>
    <w:p w14:paraId="722A44EB" w14:textId="2C85CAD2" w:rsidR="008F34B8" w:rsidRDefault="00F94311" w:rsidP="00C03324">
      <w:pPr>
        <w:pStyle w:val="Paragraphtext"/>
        <w:rPr>
          <w:rFonts w:eastAsia="Arial"/>
        </w:rPr>
      </w:pPr>
      <w:r>
        <w:rPr>
          <w:rFonts w:eastAsia="Arial"/>
        </w:rPr>
        <w:t xml:space="preserve">While providers will not </w:t>
      </w:r>
      <w:r w:rsidR="00C03324">
        <w:rPr>
          <w:rFonts w:eastAsia="Arial"/>
        </w:rPr>
        <w:t>explicitly</w:t>
      </w:r>
      <w:r>
        <w:rPr>
          <w:rFonts w:eastAsia="Arial"/>
        </w:rPr>
        <w:t xml:space="preserve"> receive additional funding for the purposes of </w:t>
      </w:r>
      <w:r w:rsidR="00C03324">
        <w:rPr>
          <w:rFonts w:eastAsia="Arial"/>
        </w:rPr>
        <w:t>engaging an external auditor</w:t>
      </w:r>
      <w:r w:rsidR="00A37375">
        <w:rPr>
          <w:rFonts w:eastAsia="Arial"/>
        </w:rPr>
        <w:t>,</w:t>
      </w:r>
      <w:r w:rsidR="00831B0F">
        <w:rPr>
          <w:rFonts w:eastAsia="Arial"/>
        </w:rPr>
        <w:t xml:space="preserve"> AN-ACC</w:t>
      </w:r>
      <w:r w:rsidR="00780D4C">
        <w:rPr>
          <w:rFonts w:eastAsia="Arial"/>
        </w:rPr>
        <w:t xml:space="preserve"> funding</w:t>
      </w:r>
      <w:r w:rsidR="005D6351">
        <w:rPr>
          <w:rFonts w:eastAsia="Arial"/>
        </w:rPr>
        <w:t xml:space="preserve"> (</w:t>
      </w:r>
      <w:r w:rsidR="00831B0F">
        <w:rPr>
          <w:rFonts w:eastAsia="Arial"/>
        </w:rPr>
        <w:t>that is adjusted annually based on IHACPA’s annual independent costing and pricing studies</w:t>
      </w:r>
      <w:r w:rsidR="005D6351">
        <w:rPr>
          <w:rFonts w:eastAsia="Arial"/>
        </w:rPr>
        <w:t>)</w:t>
      </w:r>
      <w:r w:rsidR="003E0B66">
        <w:rPr>
          <w:rFonts w:eastAsia="Arial"/>
        </w:rPr>
        <w:t xml:space="preserve"> covers</w:t>
      </w:r>
      <w:r w:rsidR="00C03324">
        <w:rPr>
          <w:rFonts w:eastAsia="Arial"/>
        </w:rPr>
        <w:t xml:space="preserve"> care related </w:t>
      </w:r>
      <w:r w:rsidR="00831B0F">
        <w:rPr>
          <w:rFonts w:eastAsia="Arial"/>
        </w:rPr>
        <w:t>reporting costs.</w:t>
      </w:r>
      <w:r w:rsidR="008F34B8">
        <w:rPr>
          <w:rFonts w:eastAsia="Arial"/>
        </w:rPr>
        <w:t xml:space="preserve"> </w:t>
      </w:r>
      <w:r w:rsidR="00A07E12">
        <w:rPr>
          <w:rFonts w:eastAsia="Arial"/>
        </w:rPr>
        <w:t xml:space="preserve">Over time additional </w:t>
      </w:r>
      <w:r w:rsidR="00A07E12">
        <w:rPr>
          <w:rFonts w:eastAsia="Arial"/>
        </w:rPr>
        <w:lastRenderedPageBreak/>
        <w:t xml:space="preserve">reporting and audit costs would be captured through IHACPA’s costing studies and pricing advice and will </w:t>
      </w:r>
      <w:r w:rsidR="006B12B1">
        <w:rPr>
          <w:rFonts w:eastAsia="Arial"/>
        </w:rPr>
        <w:t>be incorporated into the AN-ACC price (and therefore provider funding).</w:t>
      </w:r>
    </w:p>
    <w:p w14:paraId="01269E05" w14:textId="32C9F793" w:rsidR="00831B0F" w:rsidRPr="00A878D6" w:rsidRDefault="00831B0F" w:rsidP="0012120B">
      <w:pPr>
        <w:pStyle w:val="Paragraphtext"/>
        <w:rPr>
          <w:rFonts w:eastAsia="Arial"/>
        </w:rPr>
      </w:pPr>
      <w:r>
        <w:rPr>
          <w:rFonts w:eastAsia="Arial"/>
        </w:rPr>
        <w:t xml:space="preserve">Although </w:t>
      </w:r>
      <w:r w:rsidR="000B0A64">
        <w:rPr>
          <w:rFonts w:eastAsia="Arial"/>
        </w:rPr>
        <w:t xml:space="preserve">these </w:t>
      </w:r>
      <w:r w:rsidR="00D96B2F">
        <w:rPr>
          <w:rFonts w:eastAsia="Arial"/>
        </w:rPr>
        <w:t xml:space="preserve">stakeholder concerns </w:t>
      </w:r>
      <w:r w:rsidR="00560C03">
        <w:rPr>
          <w:rFonts w:eastAsia="Arial"/>
        </w:rPr>
        <w:t xml:space="preserve">were considered, they were weighed up against </w:t>
      </w:r>
      <w:r>
        <w:rPr>
          <w:rFonts w:eastAsia="Arial"/>
        </w:rPr>
        <w:t xml:space="preserve">the benefits </w:t>
      </w:r>
      <w:r w:rsidR="005D6934">
        <w:rPr>
          <w:rFonts w:eastAsia="Arial"/>
        </w:rPr>
        <w:t>for</w:t>
      </w:r>
      <w:r>
        <w:rPr>
          <w:rFonts w:eastAsia="Arial"/>
        </w:rPr>
        <w:t xml:space="preserve"> residents receiving the required amount of quality care and </w:t>
      </w:r>
      <w:r w:rsidR="00AD20D5">
        <w:rPr>
          <w:rFonts w:eastAsia="Arial"/>
        </w:rPr>
        <w:t xml:space="preserve">that government funding for care should be used for that purpose </w:t>
      </w:r>
      <w:r>
        <w:rPr>
          <w:rFonts w:eastAsia="Arial"/>
        </w:rPr>
        <w:t xml:space="preserve">ahead of provider concerns about a slight increase in reporting costs which </w:t>
      </w:r>
      <w:r w:rsidR="00560C03">
        <w:rPr>
          <w:rFonts w:eastAsia="Arial"/>
        </w:rPr>
        <w:t xml:space="preserve">will be </w:t>
      </w:r>
      <w:r>
        <w:rPr>
          <w:rFonts w:eastAsia="Arial"/>
        </w:rPr>
        <w:t xml:space="preserve">covered under AN-ACC funding </w:t>
      </w:r>
      <w:r w:rsidR="00E52282">
        <w:rPr>
          <w:rFonts w:eastAsia="Arial"/>
        </w:rPr>
        <w:t>model</w:t>
      </w:r>
      <w:r>
        <w:rPr>
          <w:rFonts w:eastAsia="Arial"/>
        </w:rPr>
        <w:t xml:space="preserve">. </w:t>
      </w:r>
    </w:p>
    <w:p w14:paraId="0B16F69F" w14:textId="4A13F7C6" w:rsidR="3C7E9049" w:rsidRPr="00D84908" w:rsidRDefault="3C7E9049" w:rsidP="00906C89">
      <w:pPr>
        <w:pStyle w:val="Paragraphtext"/>
        <w:rPr>
          <w:rFonts w:eastAsia="Arial"/>
          <w:b/>
        </w:rPr>
      </w:pPr>
      <w:r w:rsidRPr="00D84908">
        <w:rPr>
          <w:rFonts w:eastAsia="Arial"/>
          <w:b/>
        </w:rPr>
        <w:t xml:space="preserve">Incorporating stakeholder feedback </w:t>
      </w:r>
    </w:p>
    <w:p w14:paraId="478205E9" w14:textId="7B15470F" w:rsidR="3C7E9049" w:rsidRPr="00EE4D36" w:rsidRDefault="291D847A" w:rsidP="00D84908">
      <w:pPr>
        <w:pStyle w:val="Paragraphtext"/>
        <w:rPr>
          <w:rFonts w:eastAsia="Arial"/>
        </w:rPr>
      </w:pPr>
      <w:r w:rsidRPr="000E171C">
        <w:rPr>
          <w:rFonts w:eastAsia="Arial"/>
        </w:rPr>
        <w:t>In summary, t</w:t>
      </w:r>
      <w:r w:rsidR="3C7E9049" w:rsidRPr="000E171C">
        <w:rPr>
          <w:rFonts w:eastAsia="Arial"/>
        </w:rPr>
        <w:t>he department has considered all feedback received through the consultation and engagement processes in developing the 3 policy options outlined in this impact analysis.</w:t>
      </w:r>
    </w:p>
    <w:p w14:paraId="2E89DDF5" w14:textId="23C2A691" w:rsidR="3C7E9049" w:rsidRPr="000E171C" w:rsidRDefault="3C7E9049" w:rsidP="00D84908">
      <w:pPr>
        <w:pStyle w:val="Paragraphtext"/>
        <w:rPr>
          <w:rFonts w:eastAsia="Arial"/>
        </w:rPr>
      </w:pPr>
      <w:r w:rsidRPr="000E171C">
        <w:rPr>
          <w:rFonts w:eastAsia="Arial"/>
        </w:rPr>
        <w:t xml:space="preserve">Consultation showed that </w:t>
      </w:r>
      <w:r w:rsidR="00521F97">
        <w:rPr>
          <w:rFonts w:eastAsia="Arial" w:cs="Arial"/>
          <w:szCs w:val="21"/>
        </w:rPr>
        <w:t>stakeholders</w:t>
      </w:r>
      <w:r w:rsidRPr="000E171C">
        <w:rPr>
          <w:rFonts w:eastAsia="Arial"/>
        </w:rPr>
        <w:t xml:space="preserve"> generally support the linking of care minutes funding to care minutes delivery and that Government funding for care should be used for care delivery. This feedback generally supports the notion that the status quo (</w:t>
      </w:r>
      <w:r w:rsidR="71420651" w:rsidRPr="000E171C">
        <w:rPr>
          <w:rFonts w:eastAsia="Arial"/>
        </w:rPr>
        <w:t>O</w:t>
      </w:r>
      <w:r w:rsidRPr="000E171C">
        <w:rPr>
          <w:rFonts w:eastAsia="Arial"/>
        </w:rPr>
        <w:t xml:space="preserve">ption 1) should not be adopted particularly as </w:t>
      </w:r>
      <w:r w:rsidR="73B90930" w:rsidRPr="000E171C">
        <w:rPr>
          <w:rFonts w:eastAsia="Arial"/>
        </w:rPr>
        <w:t>O</w:t>
      </w:r>
      <w:r w:rsidRPr="000E171C">
        <w:rPr>
          <w:rFonts w:eastAsia="Arial"/>
        </w:rPr>
        <w:t xml:space="preserve">ption 1 does not incentivise providers to achieve their care minutes targets and unfairly rewards those providers with lower care minutes compliance due to their lower wage costs. Option 1 will also result in continued misallocation of Government funding for care. </w:t>
      </w:r>
      <w:r w:rsidR="473DF2A2" w:rsidRPr="000E171C">
        <w:rPr>
          <w:rFonts w:eastAsia="Arial"/>
        </w:rPr>
        <w:t>This</w:t>
      </w:r>
      <w:r w:rsidRPr="000E171C">
        <w:rPr>
          <w:rFonts w:eastAsia="Arial"/>
        </w:rPr>
        <w:t xml:space="preserve"> positive </w:t>
      </w:r>
      <w:r w:rsidR="144B7946" w:rsidRPr="000E171C">
        <w:rPr>
          <w:rFonts w:eastAsia="Arial"/>
        </w:rPr>
        <w:t xml:space="preserve">stakeholder </w:t>
      </w:r>
      <w:r w:rsidRPr="000E171C">
        <w:rPr>
          <w:rFonts w:eastAsia="Arial"/>
        </w:rPr>
        <w:t xml:space="preserve">feedback also </w:t>
      </w:r>
      <w:r w:rsidR="61C25524" w:rsidRPr="000E171C">
        <w:rPr>
          <w:rFonts w:eastAsia="Arial"/>
        </w:rPr>
        <w:t>supports</w:t>
      </w:r>
      <w:r w:rsidRPr="000E171C">
        <w:rPr>
          <w:rFonts w:eastAsia="Arial"/>
        </w:rPr>
        <w:t xml:space="preserve"> options 2 and 3 which involve linking care funding to care minute delivery. </w:t>
      </w:r>
    </w:p>
    <w:p w14:paraId="61E2A7F5" w14:textId="3AEAEAD4" w:rsidR="3C7E9049" w:rsidRPr="000E171C" w:rsidRDefault="00C578A3" w:rsidP="00D84908">
      <w:pPr>
        <w:pStyle w:val="Paragraphtext"/>
        <w:rPr>
          <w:rFonts w:eastAsia="Arial"/>
        </w:rPr>
      </w:pPr>
      <w:r w:rsidRPr="000E171C">
        <w:rPr>
          <w:rFonts w:eastAsia="Arial"/>
        </w:rPr>
        <w:t>S</w:t>
      </w:r>
      <w:r w:rsidR="3C7E9049" w:rsidRPr="000E171C">
        <w:rPr>
          <w:rFonts w:eastAsia="Arial"/>
        </w:rPr>
        <w:t>takeholder concerns about the impact of care minutes compliance for homes operating in rural and remote regions</w:t>
      </w:r>
      <w:r w:rsidRPr="000E171C">
        <w:rPr>
          <w:rFonts w:eastAsia="Arial"/>
        </w:rPr>
        <w:t xml:space="preserve"> were considered</w:t>
      </w:r>
      <w:r w:rsidR="3C7E9049" w:rsidRPr="000E171C">
        <w:rPr>
          <w:rFonts w:eastAsia="Arial"/>
        </w:rPr>
        <w:t xml:space="preserve"> and</w:t>
      </w:r>
      <w:r w:rsidRPr="000E171C">
        <w:rPr>
          <w:rFonts w:eastAsia="Arial"/>
        </w:rPr>
        <w:t xml:space="preserve"> these homes were</w:t>
      </w:r>
      <w:r w:rsidR="3C7E9049" w:rsidRPr="000E171C">
        <w:rPr>
          <w:rFonts w:eastAsia="Arial"/>
        </w:rPr>
        <w:t xml:space="preserve"> ruled </w:t>
      </w:r>
      <w:r w:rsidR="00F800E0" w:rsidRPr="000E171C">
        <w:rPr>
          <w:rFonts w:eastAsia="Arial"/>
        </w:rPr>
        <w:t xml:space="preserve">out, with </w:t>
      </w:r>
      <w:r w:rsidR="3C7E9049" w:rsidRPr="000E171C">
        <w:rPr>
          <w:rFonts w:eastAsia="Arial"/>
        </w:rPr>
        <w:t xml:space="preserve">the option of linking care funding to care minutes </w:t>
      </w:r>
      <w:r w:rsidR="00F800E0" w:rsidRPr="000E171C">
        <w:rPr>
          <w:rFonts w:eastAsia="Arial"/>
        </w:rPr>
        <w:t xml:space="preserve">only proposed in </w:t>
      </w:r>
      <w:r w:rsidR="3C7E9049" w:rsidRPr="000E171C">
        <w:rPr>
          <w:rFonts w:eastAsia="Arial"/>
        </w:rPr>
        <w:t>metropolitan areas</w:t>
      </w:r>
      <w:r w:rsidR="00F800E0" w:rsidRPr="000E171C">
        <w:rPr>
          <w:rFonts w:eastAsia="Arial"/>
        </w:rPr>
        <w:t xml:space="preserve"> </w:t>
      </w:r>
      <w:r w:rsidR="00A319E0">
        <w:rPr>
          <w:rFonts w:eastAsia="Arial" w:cs="Arial"/>
          <w:szCs w:val="21"/>
        </w:rPr>
        <w:t xml:space="preserve">(MM1) </w:t>
      </w:r>
      <w:r w:rsidR="00F800E0" w:rsidRPr="000E171C">
        <w:rPr>
          <w:rFonts w:eastAsia="Arial"/>
        </w:rPr>
        <w:t>under options 2 and 3.</w:t>
      </w:r>
    </w:p>
    <w:p w14:paraId="5201F2E8" w14:textId="22B2879C" w:rsidR="3C7E9049" w:rsidRPr="000E171C" w:rsidRDefault="3C7E9049" w:rsidP="00D84908">
      <w:pPr>
        <w:pStyle w:val="Paragraphtext"/>
        <w:rPr>
          <w:rFonts w:eastAsia="Arial"/>
        </w:rPr>
      </w:pPr>
      <w:r w:rsidRPr="000E171C">
        <w:rPr>
          <w:rFonts w:eastAsia="Arial"/>
        </w:rPr>
        <w:t xml:space="preserve">The department also considered stakeholder concerns about the reporting burden for </w:t>
      </w:r>
      <w:r w:rsidR="334C2EBE" w:rsidRPr="000E171C">
        <w:rPr>
          <w:rFonts w:eastAsia="Arial"/>
        </w:rPr>
        <w:t>O</w:t>
      </w:r>
      <w:r w:rsidRPr="000E171C">
        <w:rPr>
          <w:rFonts w:eastAsia="Arial"/>
        </w:rPr>
        <w:t xml:space="preserve">ption 3. However, the </w:t>
      </w:r>
      <w:r w:rsidR="00247BAA" w:rsidRPr="000E171C">
        <w:rPr>
          <w:rFonts w:eastAsia="Arial"/>
        </w:rPr>
        <w:t xml:space="preserve">assurance </w:t>
      </w:r>
      <w:r w:rsidR="00247BAA">
        <w:rPr>
          <w:rFonts w:eastAsia="Arial" w:cs="Arial"/>
          <w:szCs w:val="21"/>
        </w:rPr>
        <w:t>changes were considered necessary to</w:t>
      </w:r>
      <w:r w:rsidR="00247BAA" w:rsidRPr="000E171C">
        <w:rPr>
          <w:rFonts w:eastAsia="Arial"/>
        </w:rPr>
        <w:t xml:space="preserve"> </w:t>
      </w:r>
      <w:r w:rsidRPr="000E171C">
        <w:rPr>
          <w:rFonts w:eastAsia="Arial"/>
        </w:rPr>
        <w:t xml:space="preserve">help mitigate over reporting and ensure that Government funding is used for the purposes of delivering quality care. </w:t>
      </w:r>
    </w:p>
    <w:p w14:paraId="4A463DFC" w14:textId="6D1A615B" w:rsidR="3C7E9049" w:rsidRDefault="3C7E9049" w:rsidP="000C513E">
      <w:pPr>
        <w:pStyle w:val="Paragraphtext"/>
        <w:rPr>
          <w:rFonts w:eastAsia="Arial" w:cs="Arial"/>
          <w:szCs w:val="21"/>
        </w:rPr>
      </w:pPr>
      <w:r w:rsidRPr="000E171C">
        <w:rPr>
          <w:rFonts w:eastAsia="Arial"/>
        </w:rPr>
        <w:t xml:space="preserve">To address concerns relating to the timing of the reforms, </w:t>
      </w:r>
      <w:r w:rsidR="00F800E0" w:rsidRPr="000E171C">
        <w:rPr>
          <w:rFonts w:eastAsia="Arial"/>
        </w:rPr>
        <w:t xml:space="preserve">Government </w:t>
      </w:r>
      <w:r w:rsidRPr="000E171C">
        <w:rPr>
          <w:rFonts w:eastAsia="Arial"/>
        </w:rPr>
        <w:t>has given providers a generous period</w:t>
      </w:r>
      <w:r w:rsidR="002A2439" w:rsidRPr="000E171C">
        <w:rPr>
          <w:rFonts w:eastAsia="Arial"/>
        </w:rPr>
        <w:t xml:space="preserve"> </w:t>
      </w:r>
      <w:r w:rsidR="003B4068">
        <w:rPr>
          <w:rFonts w:eastAsia="Arial" w:cs="Arial"/>
          <w:szCs w:val="21"/>
        </w:rPr>
        <w:t>(9 months)</w:t>
      </w:r>
      <w:r w:rsidRPr="1290F7E5">
        <w:rPr>
          <w:rFonts w:eastAsia="Arial" w:cs="Arial"/>
          <w:szCs w:val="21"/>
        </w:rPr>
        <w:t xml:space="preserve"> </w:t>
      </w:r>
      <w:r w:rsidRPr="000E171C">
        <w:rPr>
          <w:rFonts w:eastAsia="Arial"/>
        </w:rPr>
        <w:t xml:space="preserve">to prepare for the changes and </w:t>
      </w:r>
      <w:r w:rsidR="00BC18CF">
        <w:rPr>
          <w:rFonts w:eastAsia="Arial" w:cs="Arial"/>
          <w:szCs w:val="21"/>
        </w:rPr>
        <w:t xml:space="preserve">made </w:t>
      </w:r>
      <w:r w:rsidR="00EC416A">
        <w:rPr>
          <w:rFonts w:eastAsia="Arial" w:cs="Arial"/>
          <w:szCs w:val="21"/>
        </w:rPr>
        <w:t xml:space="preserve">sure </w:t>
      </w:r>
      <w:r w:rsidRPr="000E171C">
        <w:rPr>
          <w:rFonts w:eastAsia="Arial"/>
        </w:rPr>
        <w:t xml:space="preserve">guidance </w:t>
      </w:r>
      <w:r w:rsidR="16F6765B" w:rsidRPr="000E171C">
        <w:rPr>
          <w:rFonts w:eastAsia="Arial"/>
        </w:rPr>
        <w:t xml:space="preserve">materials </w:t>
      </w:r>
      <w:r w:rsidR="17740E58" w:rsidRPr="000E171C">
        <w:rPr>
          <w:rFonts w:eastAsia="Arial"/>
        </w:rPr>
        <w:t>are</w:t>
      </w:r>
      <w:r w:rsidRPr="000E171C">
        <w:rPr>
          <w:rFonts w:eastAsia="Arial"/>
        </w:rPr>
        <w:t xml:space="preserve"> readily available.</w:t>
      </w:r>
      <w:r w:rsidRPr="1290F7E5">
        <w:rPr>
          <w:rFonts w:eastAsia="Arial" w:cs="Arial"/>
          <w:szCs w:val="21"/>
        </w:rPr>
        <w:t xml:space="preserve"> </w:t>
      </w:r>
    </w:p>
    <w:p w14:paraId="7BF07926" w14:textId="4E92B402" w:rsidR="008F19E1" w:rsidRPr="000E171C" w:rsidRDefault="00BD41AC" w:rsidP="00D84908">
      <w:pPr>
        <w:pStyle w:val="Paragraphtext"/>
        <w:rPr>
          <w:rFonts w:eastAsia="Arial"/>
        </w:rPr>
      </w:pPr>
      <w:r>
        <w:rPr>
          <w:rFonts w:eastAsia="Arial" w:cs="Arial"/>
          <w:szCs w:val="21"/>
        </w:rPr>
        <w:t xml:space="preserve">Stakeholder engagement and consultation </w:t>
      </w:r>
      <w:r w:rsidR="000129A5">
        <w:rPr>
          <w:rFonts w:eastAsia="Arial" w:cs="Arial"/>
          <w:szCs w:val="21"/>
        </w:rPr>
        <w:t>in relation to implement</w:t>
      </w:r>
      <w:r w:rsidR="003B4068">
        <w:rPr>
          <w:rFonts w:eastAsia="Arial" w:cs="Arial"/>
          <w:szCs w:val="21"/>
        </w:rPr>
        <w:t>ing</w:t>
      </w:r>
      <w:r w:rsidR="001E2322">
        <w:rPr>
          <w:rFonts w:eastAsia="Arial" w:cs="Arial"/>
          <w:szCs w:val="21"/>
        </w:rPr>
        <w:t xml:space="preserve"> the preferred option</w:t>
      </w:r>
      <w:r w:rsidR="00F43447">
        <w:rPr>
          <w:rFonts w:eastAsia="Arial" w:cs="Arial"/>
          <w:szCs w:val="21"/>
        </w:rPr>
        <w:t xml:space="preserve"> </w:t>
      </w:r>
      <w:r w:rsidR="000722D1">
        <w:rPr>
          <w:rFonts w:eastAsia="Arial" w:cs="Arial"/>
          <w:szCs w:val="21"/>
        </w:rPr>
        <w:t xml:space="preserve">is outlined </w:t>
      </w:r>
      <w:r w:rsidR="009C6512">
        <w:rPr>
          <w:rFonts w:eastAsia="Arial" w:cs="Arial"/>
          <w:szCs w:val="21"/>
        </w:rPr>
        <w:t>in Chapter 6 of this Impact Analysis.</w:t>
      </w:r>
      <w:r w:rsidR="009C6512" w:rsidRPr="000E171C">
        <w:rPr>
          <w:rFonts w:eastAsia="Arial"/>
        </w:rPr>
        <w:t xml:space="preserve"> </w:t>
      </w:r>
    </w:p>
    <w:p w14:paraId="3B7E0133" w14:textId="77777777" w:rsidR="00F800E0" w:rsidRPr="00EE4D36" w:rsidRDefault="00F800E0">
      <w:pPr>
        <w:rPr>
          <w:rFonts w:eastAsia="Arial"/>
          <w:color w:val="3F4A75"/>
          <w:kern w:val="28"/>
          <w:sz w:val="21"/>
        </w:rPr>
      </w:pPr>
      <w:r w:rsidRPr="00EE4D36">
        <w:rPr>
          <w:rFonts w:eastAsia="Arial"/>
          <w:sz w:val="21"/>
        </w:rPr>
        <w:br w:type="page"/>
      </w:r>
    </w:p>
    <w:p w14:paraId="4A7BB77F" w14:textId="1E8585CB" w:rsidR="00120318" w:rsidRDefault="009C004D" w:rsidP="00C87C89">
      <w:pPr>
        <w:pStyle w:val="OIAQuestion"/>
      </w:pPr>
      <w:bookmarkStart w:id="67" w:name="_Toc203133285"/>
      <w:bookmarkStart w:id="68" w:name="_Toc200394438"/>
      <w:bookmarkStart w:id="69" w:name="_Toc205802676"/>
      <w:bookmarkStart w:id="70" w:name="_Toc203639526"/>
      <w:bookmarkStart w:id="71" w:name="_Toc207014404"/>
      <w:r>
        <w:lastRenderedPageBreak/>
        <w:t>Preferred option and implementation</w:t>
      </w:r>
      <w:bookmarkEnd w:id="67"/>
      <w:bookmarkEnd w:id="68"/>
      <w:bookmarkEnd w:id="69"/>
      <w:bookmarkEnd w:id="70"/>
      <w:bookmarkEnd w:id="71"/>
    </w:p>
    <w:p w14:paraId="41226F01" w14:textId="7D7CDF11" w:rsidR="0004372B" w:rsidRDefault="0CAE01A6" w:rsidP="1290F7E5">
      <w:pPr>
        <w:pStyle w:val="Paragraphtext"/>
        <w:pBdr>
          <w:top w:val="single" w:sz="8" w:space="1" w:color="auto"/>
          <w:left w:val="single" w:sz="8" w:space="4" w:color="auto"/>
          <w:bottom w:val="single" w:sz="8" w:space="1" w:color="auto"/>
          <w:right w:val="single" w:sz="8" w:space="4" w:color="auto"/>
        </w:pBdr>
        <w:shd w:val="clear" w:color="auto" w:fill="D0EAED" w:themeFill="accent2" w:themeFillTint="33"/>
      </w:pPr>
      <w:r w:rsidRPr="00352936">
        <w:rPr>
          <w:color w:val="auto"/>
        </w:rPr>
        <w:t xml:space="preserve">The best option </w:t>
      </w:r>
      <w:r w:rsidR="4E89B8FE" w:rsidRPr="00352936">
        <w:rPr>
          <w:color w:val="auto"/>
        </w:rPr>
        <w:t xml:space="preserve">is </w:t>
      </w:r>
      <w:r w:rsidR="4EC5ED54">
        <w:rPr>
          <w:color w:val="auto"/>
        </w:rPr>
        <w:t>O</w:t>
      </w:r>
      <w:r w:rsidR="4E89B8FE" w:rsidRPr="00352936">
        <w:rPr>
          <w:color w:val="auto"/>
        </w:rPr>
        <w:t>ption 3</w:t>
      </w:r>
      <w:r w:rsidR="0014285D">
        <w:rPr>
          <w:color w:val="auto"/>
        </w:rPr>
        <w:t>:</w:t>
      </w:r>
      <w:r w:rsidR="35D68ECC" w:rsidRPr="00352936">
        <w:rPr>
          <w:color w:val="auto"/>
        </w:rPr>
        <w:t xml:space="preserve"> </w:t>
      </w:r>
      <w:r w:rsidR="35D68ECC" w:rsidRPr="009F0955">
        <w:t>Linking care minutes funding to care minutes performance for non</w:t>
      </w:r>
      <w:r w:rsidR="00BC18CF">
        <w:noBreakHyphen/>
      </w:r>
      <w:r w:rsidR="35D68ECC" w:rsidRPr="00352936">
        <w:t xml:space="preserve">specialised services located in metropolitan areas with additional assurance arrangements. </w:t>
      </w:r>
      <w:r w:rsidR="510DC6E9">
        <w:t xml:space="preserve">As was outlined in </w:t>
      </w:r>
      <w:r w:rsidR="00140D78">
        <w:t>Chapter</w:t>
      </w:r>
      <w:r w:rsidR="635BCB6A">
        <w:t xml:space="preserve"> </w:t>
      </w:r>
      <w:r w:rsidR="74E205A2">
        <w:t>4</w:t>
      </w:r>
      <w:r w:rsidR="510DC6E9">
        <w:t xml:space="preserve"> of this </w:t>
      </w:r>
      <w:r w:rsidR="52F3AA0B">
        <w:t>I</w:t>
      </w:r>
      <w:r w:rsidR="635BCB6A">
        <w:t xml:space="preserve">mpact </w:t>
      </w:r>
      <w:r w:rsidR="52F3AA0B">
        <w:t>A</w:t>
      </w:r>
      <w:r w:rsidR="635BCB6A">
        <w:t>nalysis</w:t>
      </w:r>
      <w:r w:rsidR="27A8FC6D">
        <w:t>,</w:t>
      </w:r>
      <w:r w:rsidR="510DC6E9">
        <w:t xml:space="preserve"> </w:t>
      </w:r>
      <w:r w:rsidR="00716390">
        <w:t>O</w:t>
      </w:r>
      <w:r w:rsidR="49903981">
        <w:t>ption</w:t>
      </w:r>
      <w:r w:rsidR="00D366DA">
        <w:t xml:space="preserve"> 3</w:t>
      </w:r>
      <w:r w:rsidR="49903981">
        <w:t xml:space="preserve"> has the highest net </w:t>
      </w:r>
      <w:r w:rsidR="635BCB6A">
        <w:t>benefit and</w:t>
      </w:r>
      <w:r w:rsidR="510DC6E9">
        <w:t xml:space="preserve"> best meets the </w:t>
      </w:r>
      <w:r w:rsidR="0F13ECCF">
        <w:t xml:space="preserve">objectives to </w:t>
      </w:r>
      <w:r w:rsidR="325212A3">
        <w:t xml:space="preserve">increase compliance with the care minute responsibility and </w:t>
      </w:r>
      <w:r w:rsidR="05938272">
        <w:t xml:space="preserve">to </w:t>
      </w:r>
      <w:r w:rsidR="05938272" w:rsidRPr="00B42984">
        <w:t>minimis</w:t>
      </w:r>
      <w:r w:rsidR="1E42B583" w:rsidRPr="00B42984">
        <w:t xml:space="preserve">e </w:t>
      </w:r>
      <w:r w:rsidR="05938272" w:rsidRPr="00B42984">
        <w:t xml:space="preserve">the extent to which </w:t>
      </w:r>
      <w:r w:rsidR="54C0E08B" w:rsidRPr="00B42984">
        <w:t xml:space="preserve">Government </w:t>
      </w:r>
      <w:r w:rsidR="05938272" w:rsidRPr="00B42984">
        <w:t>funding is provided for care minutes that are not delivered.</w:t>
      </w:r>
    </w:p>
    <w:p w14:paraId="20DD723D" w14:textId="3E85B1B9" w:rsidR="00177050" w:rsidRDefault="00177050" w:rsidP="00F10A5A">
      <w:pPr>
        <w:pStyle w:val="Paragraphtext"/>
        <w:pBdr>
          <w:top w:val="single" w:sz="8" w:space="1" w:color="auto"/>
          <w:left w:val="single" w:sz="8" w:space="4" w:color="auto"/>
          <w:bottom w:val="single" w:sz="8" w:space="1" w:color="auto"/>
          <w:right w:val="single" w:sz="8" w:space="4" w:color="auto"/>
        </w:pBdr>
        <w:shd w:val="clear" w:color="auto" w:fill="D0EAED" w:themeFill="accent2" w:themeFillTint="33"/>
      </w:pPr>
      <w:r>
        <w:t xml:space="preserve">This option will be implemented from October 2025 </w:t>
      </w:r>
      <w:r w:rsidR="001A0A28">
        <w:t>jointly by the Department of Health, Disability and Ageing and Services Australia as a Tier 2 project under the governance of the Residential Aged Care Funding Reform</w:t>
      </w:r>
      <w:r w:rsidR="00157EA1">
        <w:t xml:space="preserve"> Project Board.</w:t>
      </w:r>
      <w:r w:rsidR="001A0A28">
        <w:t xml:space="preserve"> </w:t>
      </w:r>
    </w:p>
    <w:p w14:paraId="3B0FB2AA" w14:textId="30E2A6E6" w:rsidR="00892ACE" w:rsidRDefault="7045FED2" w:rsidP="007D2A28">
      <w:pPr>
        <w:pStyle w:val="Heading4"/>
        <w:rPr>
          <w:rFonts w:eastAsia="Arial"/>
        </w:rPr>
      </w:pPr>
      <w:r w:rsidRPr="3993AB53">
        <w:rPr>
          <w:rFonts w:eastAsia="Arial"/>
        </w:rPr>
        <w:t>Preferred option</w:t>
      </w:r>
    </w:p>
    <w:p w14:paraId="3619B3CB" w14:textId="3A867993" w:rsidR="00892ACE" w:rsidRDefault="38DF88C4" w:rsidP="007D2A28">
      <w:pPr>
        <w:pStyle w:val="Paragraphtext"/>
        <w:rPr>
          <w:rFonts w:eastAsia="Arial"/>
        </w:rPr>
      </w:pPr>
      <w:r w:rsidRPr="3993AB53">
        <w:rPr>
          <w:rFonts w:eastAsia="Arial"/>
        </w:rPr>
        <w:t>The</w:t>
      </w:r>
      <w:r w:rsidR="001B7B55">
        <w:rPr>
          <w:rFonts w:eastAsia="Arial"/>
        </w:rPr>
        <w:t xml:space="preserve"> net</w:t>
      </w:r>
      <w:r w:rsidRPr="3993AB53">
        <w:rPr>
          <w:rFonts w:eastAsia="Arial"/>
        </w:rPr>
        <w:t xml:space="preserve"> benefit analysis in </w:t>
      </w:r>
      <w:r w:rsidR="00B25FD8">
        <w:rPr>
          <w:rFonts w:eastAsia="Arial"/>
        </w:rPr>
        <w:t>Chapter</w:t>
      </w:r>
      <w:r w:rsidRPr="3993AB53">
        <w:rPr>
          <w:rFonts w:eastAsia="Arial"/>
        </w:rPr>
        <w:t xml:space="preserve"> 4 of this report shows that </w:t>
      </w:r>
      <w:r w:rsidR="1B7B85DD" w:rsidRPr="7D6FED84">
        <w:rPr>
          <w:rFonts w:eastAsia="Arial"/>
        </w:rPr>
        <w:t>O</w:t>
      </w:r>
      <w:r w:rsidRPr="7D6FED84">
        <w:rPr>
          <w:rFonts w:eastAsia="Arial"/>
        </w:rPr>
        <w:t>ption</w:t>
      </w:r>
      <w:r w:rsidRPr="3993AB53">
        <w:rPr>
          <w:rFonts w:eastAsia="Arial"/>
        </w:rPr>
        <w:t xml:space="preserve"> 3 best achieves the Government objectives which are:</w:t>
      </w:r>
    </w:p>
    <w:p w14:paraId="500F1FF5" w14:textId="6064A5B8" w:rsidR="00892ACE" w:rsidRDefault="38DF88C4" w:rsidP="00357BB0">
      <w:pPr>
        <w:pStyle w:val="Paragraphtext"/>
        <w:numPr>
          <w:ilvl w:val="0"/>
          <w:numId w:val="30"/>
        </w:numPr>
        <w:rPr>
          <w:rFonts w:eastAsia="Arial"/>
        </w:rPr>
      </w:pPr>
      <w:r w:rsidRPr="3993AB53">
        <w:rPr>
          <w:rFonts w:eastAsia="Arial"/>
        </w:rPr>
        <w:t>For all residential aged care homes to have adequate staffing levels to meet their residents’ personal and clinical care needs as established by the Royal Commission and measured in practice by compliance with home level care minutes targets.</w:t>
      </w:r>
    </w:p>
    <w:p w14:paraId="129E781D" w14:textId="6D5C2E17" w:rsidR="00892ACE" w:rsidRDefault="38DF88C4" w:rsidP="00357BB0">
      <w:pPr>
        <w:pStyle w:val="Paragraphtext"/>
        <w:numPr>
          <w:ilvl w:val="0"/>
          <w:numId w:val="30"/>
        </w:numPr>
        <w:rPr>
          <w:rFonts w:eastAsia="Arial"/>
        </w:rPr>
      </w:pPr>
      <w:r w:rsidRPr="3993AB53">
        <w:rPr>
          <w:rFonts w:eastAsia="Arial"/>
        </w:rPr>
        <w:t>To ensure that Government funding for residential aged care is cost-effective and sustainable by minimising the extent to which funding is provided for care minutes that are not delivered.</w:t>
      </w:r>
    </w:p>
    <w:p w14:paraId="7D20A2C5" w14:textId="75905EB9" w:rsidR="00892ACE" w:rsidRDefault="38DF88C4" w:rsidP="007D2A28">
      <w:pPr>
        <w:pStyle w:val="Paragraphtext"/>
        <w:rPr>
          <w:rFonts w:eastAsia="Arial"/>
        </w:rPr>
      </w:pPr>
      <w:r w:rsidRPr="3993AB53">
        <w:rPr>
          <w:rFonts w:eastAsia="Arial"/>
        </w:rPr>
        <w:t xml:space="preserve">The following summarises how each of the </w:t>
      </w:r>
      <w:r w:rsidR="1201D5F5" w:rsidRPr="4E062C45">
        <w:rPr>
          <w:rFonts w:eastAsia="Arial"/>
        </w:rPr>
        <w:t>3</w:t>
      </w:r>
      <w:r w:rsidRPr="3993AB53">
        <w:rPr>
          <w:rFonts w:eastAsia="Arial"/>
        </w:rPr>
        <w:t xml:space="preserve"> options addresses the objectives above.</w:t>
      </w:r>
    </w:p>
    <w:p w14:paraId="2820B052" w14:textId="04665D60" w:rsidR="00892ACE" w:rsidRDefault="38DF88C4" w:rsidP="007D2A28">
      <w:pPr>
        <w:pStyle w:val="Heading4"/>
        <w:rPr>
          <w:rFonts w:eastAsia="Arial"/>
        </w:rPr>
      </w:pPr>
      <w:r w:rsidRPr="3993AB53">
        <w:rPr>
          <w:rFonts w:eastAsia="Arial"/>
        </w:rPr>
        <w:t xml:space="preserve">Option 1: Status Quo  </w:t>
      </w:r>
    </w:p>
    <w:p w14:paraId="7CA4CAAC" w14:textId="0A87EC09" w:rsidR="00892ACE" w:rsidRDefault="38DF88C4" w:rsidP="00985C54">
      <w:pPr>
        <w:pStyle w:val="Paragraphtext"/>
        <w:rPr>
          <w:rFonts w:eastAsia="Arial"/>
        </w:rPr>
      </w:pPr>
      <w:r w:rsidRPr="37D7CD41">
        <w:rPr>
          <w:rFonts w:eastAsia="Arial"/>
        </w:rPr>
        <w:t xml:space="preserve">Under </w:t>
      </w:r>
      <w:r w:rsidR="278DBF9F" w:rsidRPr="37D7CD41">
        <w:rPr>
          <w:rFonts w:eastAsia="Arial"/>
        </w:rPr>
        <w:t>O</w:t>
      </w:r>
      <w:r w:rsidRPr="37D7CD41">
        <w:rPr>
          <w:rFonts w:eastAsia="Arial"/>
        </w:rPr>
        <w:t>ption 1, residential care homes will have limited reasons to increase the amount of care minutes delivered, particularly if they are close to their care minute targets. This is because any enforcement action by the ACQSC (</w:t>
      </w:r>
      <w:r w:rsidR="733FB17F" w:rsidRPr="37D7CD41">
        <w:rPr>
          <w:rFonts w:eastAsia="Arial"/>
        </w:rPr>
        <w:t>with</w:t>
      </w:r>
      <w:r w:rsidRPr="37D7CD41">
        <w:rPr>
          <w:rFonts w:eastAsia="Arial"/>
        </w:rPr>
        <w:t xml:space="preserve"> </w:t>
      </w:r>
      <w:r w:rsidR="00080C87" w:rsidRPr="37D7CD41">
        <w:rPr>
          <w:rFonts w:eastAsia="Arial"/>
        </w:rPr>
        <w:t>finite</w:t>
      </w:r>
      <w:r w:rsidRPr="37D7CD41">
        <w:rPr>
          <w:rFonts w:eastAsia="Arial"/>
        </w:rPr>
        <w:t xml:space="preserve"> resources) is focused on those providers who have high rates of non-compliance with their care minutes targets</w:t>
      </w:r>
      <w:r w:rsidR="00D47815" w:rsidRPr="37D7CD41">
        <w:rPr>
          <w:rFonts w:eastAsia="Arial"/>
        </w:rPr>
        <w:t>.</w:t>
      </w:r>
    </w:p>
    <w:p w14:paraId="2A2C7BF5" w14:textId="1B76C946" w:rsidR="00892ACE" w:rsidRDefault="38DF88C4" w:rsidP="00985C54">
      <w:pPr>
        <w:pStyle w:val="Paragraphtext"/>
        <w:rPr>
          <w:rFonts w:eastAsia="Arial" w:cs="Arial"/>
          <w:szCs w:val="21"/>
        </w:rPr>
      </w:pPr>
      <w:r w:rsidRPr="3993AB53">
        <w:rPr>
          <w:rFonts w:eastAsia="Arial" w:cs="Arial"/>
          <w:szCs w:val="21"/>
        </w:rPr>
        <w:t xml:space="preserve">The increased transparency of care minutes performance has not </w:t>
      </w:r>
      <w:r w:rsidR="00D47815">
        <w:rPr>
          <w:rFonts w:eastAsia="Arial" w:cs="Arial"/>
          <w:szCs w:val="21"/>
        </w:rPr>
        <w:t xml:space="preserve">significantly </w:t>
      </w:r>
      <w:r w:rsidRPr="3993AB53">
        <w:rPr>
          <w:rFonts w:eastAsia="Arial" w:cs="Arial"/>
          <w:szCs w:val="21"/>
        </w:rPr>
        <w:t xml:space="preserve">improved the performance of providers to meet their care minutes targets particularly as demand for residential aged care services is predicted to remain high with other factors such as </w:t>
      </w:r>
      <w:r w:rsidR="000F08D9">
        <w:rPr>
          <w:rFonts w:eastAsia="Arial" w:cs="Arial"/>
          <w:szCs w:val="21"/>
        </w:rPr>
        <w:t xml:space="preserve">building facilities, </w:t>
      </w:r>
      <w:r w:rsidRPr="3993AB53">
        <w:rPr>
          <w:rFonts w:eastAsia="Arial" w:cs="Arial"/>
          <w:szCs w:val="21"/>
        </w:rPr>
        <w:t>price and location influencing consumer decisions</w:t>
      </w:r>
      <w:r w:rsidR="000F08D9">
        <w:rPr>
          <w:rFonts w:eastAsia="Arial" w:cs="Arial"/>
          <w:szCs w:val="21"/>
        </w:rPr>
        <w:t xml:space="preserve"> when </w:t>
      </w:r>
      <w:r w:rsidR="00C43689">
        <w:rPr>
          <w:rFonts w:eastAsia="Arial" w:cs="Arial"/>
          <w:szCs w:val="21"/>
        </w:rPr>
        <w:t>selecting a residential aged care home</w:t>
      </w:r>
      <w:r w:rsidRPr="3993AB53">
        <w:rPr>
          <w:rFonts w:eastAsia="Arial" w:cs="Arial"/>
          <w:szCs w:val="21"/>
        </w:rPr>
        <w:t>.</w:t>
      </w:r>
    </w:p>
    <w:p w14:paraId="549C28E1" w14:textId="11AF8BEF" w:rsidR="00892ACE" w:rsidRDefault="00C43689" w:rsidP="00985C54">
      <w:pPr>
        <w:pStyle w:val="Paragraphtext"/>
        <w:rPr>
          <w:rFonts w:eastAsia="Arial" w:cs="Arial"/>
          <w:szCs w:val="21"/>
        </w:rPr>
      </w:pPr>
      <w:r>
        <w:rPr>
          <w:rFonts w:eastAsia="Arial" w:cs="Arial"/>
          <w:szCs w:val="21"/>
        </w:rPr>
        <w:t>U</w:t>
      </w:r>
      <w:r w:rsidR="38DF88C4" w:rsidRPr="3993AB53">
        <w:rPr>
          <w:rFonts w:eastAsia="Arial" w:cs="Arial"/>
          <w:szCs w:val="21"/>
        </w:rPr>
        <w:t xml:space="preserve">nder </w:t>
      </w:r>
      <w:r w:rsidR="34C28242" w:rsidRPr="35D43057">
        <w:rPr>
          <w:rFonts w:eastAsia="Arial" w:cs="Arial"/>
          <w:szCs w:val="21"/>
        </w:rPr>
        <w:t>O</w:t>
      </w:r>
      <w:r w:rsidR="38DF88C4" w:rsidRPr="35D43057">
        <w:rPr>
          <w:rFonts w:eastAsia="Arial" w:cs="Arial"/>
          <w:szCs w:val="21"/>
        </w:rPr>
        <w:t>ption</w:t>
      </w:r>
      <w:r w:rsidR="38DF88C4" w:rsidRPr="3993AB53">
        <w:rPr>
          <w:rFonts w:eastAsia="Arial" w:cs="Arial"/>
          <w:szCs w:val="21"/>
        </w:rPr>
        <w:t xml:space="preserve"> 1,</w:t>
      </w:r>
      <w:r w:rsidR="00D47815">
        <w:rPr>
          <w:rFonts w:eastAsia="Arial" w:cs="Arial"/>
          <w:szCs w:val="21"/>
        </w:rPr>
        <w:t xml:space="preserve"> many</w:t>
      </w:r>
      <w:r w:rsidR="38DF88C4" w:rsidRPr="3993AB53">
        <w:rPr>
          <w:rFonts w:eastAsia="Arial" w:cs="Arial"/>
          <w:szCs w:val="21"/>
        </w:rPr>
        <w:t xml:space="preserve"> residents will not receiv</w:t>
      </w:r>
      <w:r w:rsidR="00CA6123">
        <w:rPr>
          <w:rFonts w:eastAsia="Arial" w:cs="Arial"/>
          <w:szCs w:val="21"/>
        </w:rPr>
        <w:t>e</w:t>
      </w:r>
      <w:r w:rsidR="38DF88C4" w:rsidRPr="3993AB53">
        <w:rPr>
          <w:rFonts w:eastAsia="Arial" w:cs="Arial"/>
          <w:szCs w:val="21"/>
        </w:rPr>
        <w:t xml:space="preserve"> the personal and clinical care recommended by the Royal Commission particularly in the short term as the department</w:t>
      </w:r>
      <w:r w:rsidR="00CA6123">
        <w:rPr>
          <w:rFonts w:eastAsia="Arial" w:cs="Arial"/>
          <w:szCs w:val="21"/>
        </w:rPr>
        <w:t>’</w:t>
      </w:r>
      <w:r w:rsidR="38DF88C4" w:rsidRPr="3993AB53">
        <w:rPr>
          <w:rFonts w:eastAsia="Arial" w:cs="Arial"/>
          <w:szCs w:val="21"/>
        </w:rPr>
        <w:t>s analysis shows that only 67% of homes are expected to meet their care minutes targets by 2028 which is lowe</w:t>
      </w:r>
      <w:r w:rsidR="00CA6123">
        <w:rPr>
          <w:rFonts w:eastAsia="Arial" w:cs="Arial"/>
          <w:szCs w:val="21"/>
        </w:rPr>
        <w:t>r</w:t>
      </w:r>
      <w:r w:rsidR="38DF88C4" w:rsidRPr="3993AB53">
        <w:rPr>
          <w:rFonts w:eastAsia="Arial" w:cs="Arial"/>
          <w:szCs w:val="21"/>
        </w:rPr>
        <w:t xml:space="preserve"> than </w:t>
      </w:r>
      <w:r w:rsidR="005A24C7">
        <w:rPr>
          <w:rFonts w:eastAsia="Arial" w:cs="Arial"/>
          <w:szCs w:val="21"/>
        </w:rPr>
        <w:t xml:space="preserve">for </w:t>
      </w:r>
      <w:r w:rsidR="38DF88C4" w:rsidRPr="3993AB53">
        <w:rPr>
          <w:rFonts w:eastAsia="Arial" w:cs="Arial"/>
          <w:szCs w:val="21"/>
        </w:rPr>
        <w:t>both</w:t>
      </w:r>
      <w:r w:rsidR="005A24C7">
        <w:rPr>
          <w:rFonts w:eastAsia="Arial" w:cs="Arial"/>
          <w:szCs w:val="21"/>
        </w:rPr>
        <w:t xml:space="preserve"> </w:t>
      </w:r>
      <w:r w:rsidR="5FFCEBC7" w:rsidRPr="35D43057">
        <w:rPr>
          <w:rFonts w:eastAsia="Arial" w:cs="Arial"/>
          <w:szCs w:val="21"/>
        </w:rPr>
        <w:t>o</w:t>
      </w:r>
      <w:r w:rsidR="38DF88C4" w:rsidRPr="35D43057">
        <w:rPr>
          <w:rFonts w:eastAsia="Arial" w:cs="Arial"/>
          <w:szCs w:val="21"/>
        </w:rPr>
        <w:t>ptions</w:t>
      </w:r>
      <w:r w:rsidR="38DF88C4" w:rsidRPr="3993AB53">
        <w:rPr>
          <w:rFonts w:eastAsia="Arial" w:cs="Arial"/>
          <w:szCs w:val="21"/>
        </w:rPr>
        <w:t xml:space="preserve"> 2 and 3.</w:t>
      </w:r>
    </w:p>
    <w:p w14:paraId="09571DF4" w14:textId="53F2D38B" w:rsidR="00892ACE" w:rsidRDefault="38DF88C4" w:rsidP="37D7CD41">
      <w:pPr>
        <w:pStyle w:val="Paragraphtext"/>
        <w:rPr>
          <w:rFonts w:eastAsia="Arial" w:cs="Arial"/>
        </w:rPr>
      </w:pPr>
      <w:r w:rsidRPr="37D7CD41">
        <w:rPr>
          <w:rFonts w:eastAsia="Arial" w:cs="Arial"/>
        </w:rPr>
        <w:t xml:space="preserve">Under </w:t>
      </w:r>
      <w:r w:rsidR="005A24C7" w:rsidRPr="37D7CD41">
        <w:rPr>
          <w:rFonts w:eastAsia="Arial" w:cs="Arial"/>
        </w:rPr>
        <w:t>O</w:t>
      </w:r>
      <w:r w:rsidRPr="37D7CD41">
        <w:rPr>
          <w:rFonts w:eastAsia="Arial" w:cs="Arial"/>
        </w:rPr>
        <w:t>ption 1, providers will continue to receive funding for care minutes that are not delivered which puts providers who are compliant with their care minutes requirements at a competitive disadvantage due to having higher workforce costs. Furthermore, the department</w:t>
      </w:r>
      <w:r w:rsidR="00B80B81" w:rsidRPr="37D7CD41">
        <w:rPr>
          <w:rFonts w:eastAsia="Arial" w:cs="Arial"/>
        </w:rPr>
        <w:t>’</w:t>
      </w:r>
      <w:r w:rsidRPr="37D7CD41">
        <w:rPr>
          <w:rFonts w:eastAsia="Arial" w:cs="Arial"/>
        </w:rPr>
        <w:t>s analysis indicates that providers who are non-compliant are allocating funding to other areas of their business and</w:t>
      </w:r>
      <w:r w:rsidR="00B80B81" w:rsidRPr="37D7CD41">
        <w:rPr>
          <w:rFonts w:eastAsia="Arial" w:cs="Arial"/>
        </w:rPr>
        <w:t>/or</w:t>
      </w:r>
      <w:r w:rsidRPr="37D7CD41">
        <w:rPr>
          <w:rFonts w:eastAsia="Arial" w:cs="Arial"/>
        </w:rPr>
        <w:t xml:space="preserve"> profiteering from unused Government funding provided for the provision of care. Although </w:t>
      </w:r>
      <w:r w:rsidR="00AA7562" w:rsidRPr="37D7CD41">
        <w:rPr>
          <w:rFonts w:eastAsia="Arial" w:cs="Arial"/>
        </w:rPr>
        <w:t>levels of non-compliance with care min</w:t>
      </w:r>
      <w:r w:rsidR="004A0DD4" w:rsidRPr="37D7CD41">
        <w:rPr>
          <w:rFonts w:eastAsia="Arial" w:cs="Arial"/>
        </w:rPr>
        <w:t>utes</w:t>
      </w:r>
      <w:r w:rsidRPr="37D7CD41">
        <w:rPr>
          <w:rFonts w:eastAsia="Arial" w:cs="Arial"/>
        </w:rPr>
        <w:t xml:space="preserve"> </w:t>
      </w:r>
      <w:r w:rsidR="004A0DD4" w:rsidRPr="37D7CD41">
        <w:rPr>
          <w:rFonts w:eastAsia="Arial" w:cs="Arial"/>
        </w:rPr>
        <w:t>targets are</w:t>
      </w:r>
      <w:r w:rsidRPr="37D7CD41">
        <w:rPr>
          <w:rFonts w:eastAsia="Arial" w:cs="Arial"/>
        </w:rPr>
        <w:t xml:space="preserve"> expected to </w:t>
      </w:r>
      <w:r w:rsidR="004A0DD4" w:rsidRPr="37D7CD41">
        <w:rPr>
          <w:rFonts w:eastAsia="Arial" w:cs="Arial"/>
        </w:rPr>
        <w:t xml:space="preserve">reduce </w:t>
      </w:r>
      <w:r w:rsidR="00503408" w:rsidRPr="37D7CD41">
        <w:rPr>
          <w:rFonts w:eastAsia="Arial" w:cs="Arial"/>
        </w:rPr>
        <w:t>somewhat</w:t>
      </w:r>
      <w:r w:rsidRPr="37D7CD41">
        <w:rPr>
          <w:rFonts w:eastAsia="Arial" w:cs="Arial"/>
        </w:rPr>
        <w:t xml:space="preserve"> over</w:t>
      </w:r>
      <w:r w:rsidR="004A0DD4" w:rsidRPr="37D7CD41">
        <w:rPr>
          <w:rFonts w:eastAsia="Arial" w:cs="Arial"/>
        </w:rPr>
        <w:t xml:space="preserve"> </w:t>
      </w:r>
      <w:r w:rsidRPr="37D7CD41">
        <w:rPr>
          <w:rFonts w:eastAsia="Arial" w:cs="Arial"/>
        </w:rPr>
        <w:t>time as the ACQSC</w:t>
      </w:r>
      <w:r w:rsidR="3A6F8133" w:rsidRPr="37D7CD41">
        <w:rPr>
          <w:rFonts w:eastAsia="Arial" w:cs="Arial"/>
        </w:rPr>
        <w:t>’s regulation</w:t>
      </w:r>
      <w:r w:rsidRPr="37D7CD41">
        <w:rPr>
          <w:rFonts w:eastAsia="Arial" w:cs="Arial"/>
        </w:rPr>
        <w:t xml:space="preserve"> and the transparency measures have </w:t>
      </w:r>
      <w:r w:rsidR="7BD571B6" w:rsidRPr="37D7CD41">
        <w:rPr>
          <w:rFonts w:eastAsia="Arial" w:cs="Arial"/>
        </w:rPr>
        <w:t>cumulatively take</w:t>
      </w:r>
      <w:r w:rsidR="00D23B05">
        <w:rPr>
          <w:rFonts w:eastAsia="Arial" w:cs="Arial"/>
        </w:rPr>
        <w:t>n</w:t>
      </w:r>
      <w:r w:rsidRPr="37D7CD41">
        <w:rPr>
          <w:rFonts w:eastAsia="Arial" w:cs="Arial"/>
        </w:rPr>
        <w:t xml:space="preserve"> effect, the high rates of non-compliance are expected to continue. This means that funding provided by Government is not being used as intended which contrasts with its legislative obligations to take all reasonable measures to prevent, detect and respond to fraud and to ensure trust in public institutions.</w:t>
      </w:r>
    </w:p>
    <w:p w14:paraId="59DA8733" w14:textId="2F77140A" w:rsidR="00892ACE" w:rsidRDefault="38DF88C4" w:rsidP="00985C54">
      <w:pPr>
        <w:pStyle w:val="Paragraphtext"/>
        <w:rPr>
          <w:rFonts w:eastAsia="Arial"/>
        </w:rPr>
      </w:pPr>
      <w:r w:rsidRPr="3993AB53">
        <w:rPr>
          <w:rFonts w:eastAsia="Arial"/>
        </w:rPr>
        <w:t xml:space="preserve">In summary, </w:t>
      </w:r>
      <w:r w:rsidR="00D46173">
        <w:rPr>
          <w:rFonts w:eastAsia="Arial"/>
        </w:rPr>
        <w:t>O</w:t>
      </w:r>
      <w:r w:rsidRPr="3993AB53">
        <w:rPr>
          <w:rFonts w:eastAsia="Arial"/>
        </w:rPr>
        <w:t xml:space="preserve">ption 1 has less ability to fulfil objectives 1 and 2 as compared to both </w:t>
      </w:r>
      <w:r w:rsidR="13594A62" w:rsidRPr="35D43057">
        <w:rPr>
          <w:rFonts w:eastAsia="Arial"/>
        </w:rPr>
        <w:t>o</w:t>
      </w:r>
      <w:r w:rsidRPr="35D43057">
        <w:rPr>
          <w:rFonts w:eastAsia="Arial"/>
        </w:rPr>
        <w:t>ptions</w:t>
      </w:r>
      <w:r w:rsidRPr="3993AB53">
        <w:rPr>
          <w:rFonts w:eastAsia="Arial"/>
        </w:rPr>
        <w:t xml:space="preserve"> 2 and 3</w:t>
      </w:r>
      <w:r w:rsidR="00F617E8">
        <w:rPr>
          <w:rFonts w:eastAsia="Arial"/>
        </w:rPr>
        <w:t>.</w:t>
      </w:r>
    </w:p>
    <w:p w14:paraId="48049A56" w14:textId="02A9FBB5" w:rsidR="00892ACE" w:rsidRDefault="38DF88C4" w:rsidP="00D46173">
      <w:pPr>
        <w:pStyle w:val="Heading4"/>
        <w:rPr>
          <w:rFonts w:eastAsia="Arial"/>
        </w:rPr>
      </w:pPr>
      <w:r w:rsidRPr="3993AB53">
        <w:rPr>
          <w:rFonts w:eastAsia="Arial"/>
        </w:rPr>
        <w:lastRenderedPageBreak/>
        <w:t xml:space="preserve">Option 2: Linking care minutes funding to care minutes performance for non-specialised services located in metropolitan areas without additional assurance arrangements   </w:t>
      </w:r>
    </w:p>
    <w:p w14:paraId="7D713DC3" w14:textId="1405A57E" w:rsidR="00892ACE" w:rsidRDefault="38DF88C4" w:rsidP="00D46173">
      <w:pPr>
        <w:pStyle w:val="Paragraphtext"/>
        <w:rPr>
          <w:rFonts w:eastAsia="Arial"/>
        </w:rPr>
      </w:pPr>
      <w:r w:rsidRPr="37D7CD41">
        <w:rPr>
          <w:rFonts w:eastAsia="Arial"/>
        </w:rPr>
        <w:t>In combination with the ACQSC’s regulatory action (</w:t>
      </w:r>
      <w:r w:rsidR="40663533" w:rsidRPr="37D7CD41">
        <w:rPr>
          <w:rFonts w:eastAsia="Arial"/>
        </w:rPr>
        <w:t>being risk-based, proportionate and within</w:t>
      </w:r>
      <w:r w:rsidRPr="37D7CD41">
        <w:rPr>
          <w:rFonts w:eastAsia="Arial"/>
        </w:rPr>
        <w:t xml:space="preserve"> the ACQSC’s</w:t>
      </w:r>
      <w:r w:rsidR="00F617E8" w:rsidRPr="37D7CD41">
        <w:rPr>
          <w:rFonts w:eastAsia="Arial"/>
        </w:rPr>
        <w:t xml:space="preserve"> finite</w:t>
      </w:r>
      <w:r w:rsidRPr="37D7CD41">
        <w:rPr>
          <w:rFonts w:eastAsia="Arial"/>
        </w:rPr>
        <w:t xml:space="preserve"> resource</w:t>
      </w:r>
      <w:r w:rsidR="00F617E8" w:rsidRPr="37D7CD41">
        <w:rPr>
          <w:rFonts w:eastAsia="Arial"/>
        </w:rPr>
        <w:t>s</w:t>
      </w:r>
      <w:r w:rsidRPr="37D7CD41">
        <w:rPr>
          <w:rFonts w:eastAsia="Arial"/>
        </w:rPr>
        <w:t xml:space="preserve">) and the increased transparency of care minutes performance (with limited effectiveness), </w:t>
      </w:r>
      <w:r w:rsidR="00F37CA0" w:rsidRPr="37D7CD41">
        <w:rPr>
          <w:rFonts w:eastAsia="Arial"/>
        </w:rPr>
        <w:t>O</w:t>
      </w:r>
      <w:r w:rsidRPr="37D7CD41">
        <w:rPr>
          <w:rFonts w:eastAsia="Arial"/>
        </w:rPr>
        <w:t>ption 2 is more effective for achieving the Government’s objective of ensuring adequate staffing levels to meet their residents’ personal and clinical care needs (as measured by</w:t>
      </w:r>
      <w:r w:rsidR="00B1318E" w:rsidRPr="37D7CD41">
        <w:rPr>
          <w:rFonts w:eastAsia="Arial"/>
        </w:rPr>
        <w:t xml:space="preserve"> percentage of homes meeting their </w:t>
      </w:r>
      <w:r w:rsidRPr="37D7CD41">
        <w:rPr>
          <w:rFonts w:eastAsia="Arial"/>
        </w:rPr>
        <w:t>care minutes</w:t>
      </w:r>
      <w:r w:rsidR="00B1318E" w:rsidRPr="37D7CD41">
        <w:rPr>
          <w:rFonts w:eastAsia="Arial"/>
        </w:rPr>
        <w:t xml:space="preserve"> targets</w:t>
      </w:r>
      <w:r w:rsidRPr="37D7CD41">
        <w:rPr>
          <w:rFonts w:eastAsia="Arial"/>
        </w:rPr>
        <w:t>)</w:t>
      </w:r>
      <w:r w:rsidR="00E75B66" w:rsidRPr="37D7CD41">
        <w:rPr>
          <w:rFonts w:eastAsia="Arial"/>
        </w:rPr>
        <w:t xml:space="preserve"> as compared to Option 1</w:t>
      </w:r>
      <w:r w:rsidRPr="37D7CD41">
        <w:rPr>
          <w:rFonts w:eastAsia="Arial"/>
        </w:rPr>
        <w:t xml:space="preserve">. As the net benefit analysis in </w:t>
      </w:r>
      <w:r w:rsidR="00E75B66" w:rsidRPr="37D7CD41">
        <w:rPr>
          <w:rFonts w:eastAsia="Arial"/>
        </w:rPr>
        <w:t>S</w:t>
      </w:r>
      <w:r w:rsidRPr="37D7CD41">
        <w:rPr>
          <w:rFonts w:eastAsia="Arial"/>
        </w:rPr>
        <w:t xml:space="preserve">ection 4 of this report shows, around 72% of homes </w:t>
      </w:r>
      <w:r w:rsidR="009F28F7" w:rsidRPr="37D7CD41">
        <w:rPr>
          <w:rFonts w:eastAsia="Arial"/>
        </w:rPr>
        <w:t>are expected to</w:t>
      </w:r>
      <w:r w:rsidRPr="37D7CD41">
        <w:rPr>
          <w:rFonts w:eastAsia="Arial"/>
        </w:rPr>
        <w:t xml:space="preserve"> meet their total care minutes targets by mid-2028 if </w:t>
      </w:r>
      <w:r w:rsidR="00DD4896" w:rsidRPr="37D7CD41">
        <w:rPr>
          <w:rFonts w:eastAsia="Arial"/>
        </w:rPr>
        <w:t>O</w:t>
      </w:r>
      <w:r w:rsidRPr="37D7CD41">
        <w:rPr>
          <w:rFonts w:eastAsia="Arial"/>
        </w:rPr>
        <w:t xml:space="preserve">ption 2 is adopted. This is 5 percentage points above the compliance rate under </w:t>
      </w:r>
      <w:r w:rsidR="00DD4896" w:rsidRPr="37D7CD41">
        <w:rPr>
          <w:rFonts w:eastAsia="Arial"/>
        </w:rPr>
        <w:t>O</w:t>
      </w:r>
      <w:r w:rsidRPr="37D7CD41">
        <w:rPr>
          <w:rFonts w:eastAsia="Arial"/>
        </w:rPr>
        <w:t>ption 1. The net be</w:t>
      </w:r>
      <w:r w:rsidR="00DD4896" w:rsidRPr="37D7CD41">
        <w:rPr>
          <w:rFonts w:eastAsia="Arial"/>
        </w:rPr>
        <w:t>ne</w:t>
      </w:r>
      <w:r w:rsidRPr="37D7CD41">
        <w:rPr>
          <w:rFonts w:eastAsia="Arial"/>
        </w:rPr>
        <w:t xml:space="preserve">fits analysis also shows that under </w:t>
      </w:r>
      <w:r w:rsidR="00DD4896" w:rsidRPr="37D7CD41">
        <w:rPr>
          <w:rFonts w:eastAsia="Arial"/>
        </w:rPr>
        <w:t>O</w:t>
      </w:r>
      <w:r w:rsidRPr="37D7CD41">
        <w:rPr>
          <w:rFonts w:eastAsia="Arial"/>
        </w:rPr>
        <w:t xml:space="preserve">ption </w:t>
      </w:r>
      <w:r w:rsidR="0080135F" w:rsidRPr="37D7CD41">
        <w:rPr>
          <w:rFonts w:eastAsia="Arial"/>
        </w:rPr>
        <w:t>2;</w:t>
      </w:r>
      <w:r w:rsidRPr="37D7CD41">
        <w:rPr>
          <w:rFonts w:eastAsia="Arial"/>
        </w:rPr>
        <w:t xml:space="preserve"> it is estimated that an additional </w:t>
      </w:r>
      <w:r w:rsidR="0079272E" w:rsidRPr="37D7CD41">
        <w:rPr>
          <w:rFonts w:eastAsia="Arial"/>
        </w:rPr>
        <w:t>1</w:t>
      </w:r>
      <w:r w:rsidR="00AF301A" w:rsidRPr="37D7CD41">
        <w:rPr>
          <w:rFonts w:eastAsia="Arial"/>
        </w:rPr>
        <w:t>53.5</w:t>
      </w:r>
      <w:r w:rsidRPr="37D7CD41">
        <w:rPr>
          <w:rFonts w:eastAsia="Arial"/>
        </w:rPr>
        <w:t xml:space="preserve"> million care minutes would be delivered between 2024-25 and mid-2028 as compared to </w:t>
      </w:r>
      <w:r w:rsidR="00C36679" w:rsidRPr="37D7CD41">
        <w:rPr>
          <w:rFonts w:eastAsia="Arial"/>
        </w:rPr>
        <w:t>O</w:t>
      </w:r>
      <w:r w:rsidRPr="37D7CD41">
        <w:rPr>
          <w:rFonts w:eastAsia="Arial"/>
        </w:rPr>
        <w:t>ption 1.</w:t>
      </w:r>
    </w:p>
    <w:p w14:paraId="1E374ED6" w14:textId="10DE129C" w:rsidR="00810D45" w:rsidRDefault="38DF88C4" w:rsidP="00D46173">
      <w:pPr>
        <w:pStyle w:val="Paragraphtext"/>
        <w:rPr>
          <w:rFonts w:eastAsia="Arial"/>
        </w:rPr>
      </w:pPr>
      <w:r w:rsidRPr="3993AB53">
        <w:rPr>
          <w:rFonts w:eastAsia="Arial"/>
        </w:rPr>
        <w:t xml:space="preserve">This improvement is due to the financial </w:t>
      </w:r>
      <w:r w:rsidR="00FE5610">
        <w:rPr>
          <w:rFonts w:eastAsia="Arial"/>
        </w:rPr>
        <w:t>incentives</w:t>
      </w:r>
      <w:r w:rsidR="001622A7">
        <w:rPr>
          <w:rFonts w:eastAsia="Arial"/>
        </w:rPr>
        <w:t xml:space="preserve"> on providers to</w:t>
      </w:r>
      <w:r w:rsidR="00BA11F6">
        <w:rPr>
          <w:rFonts w:eastAsia="Arial"/>
        </w:rPr>
        <w:t xml:space="preserve"> </w:t>
      </w:r>
      <w:r w:rsidR="001622A7" w:rsidRPr="00674318">
        <w:rPr>
          <w:rFonts w:eastAsia="Arial"/>
        </w:rPr>
        <w:t>meet</w:t>
      </w:r>
      <w:r w:rsidR="00BA11F6" w:rsidRPr="00674318">
        <w:rPr>
          <w:rFonts w:eastAsia="Arial"/>
        </w:rPr>
        <w:t xml:space="preserve"> </w:t>
      </w:r>
      <w:r w:rsidRPr="3993AB53">
        <w:rPr>
          <w:rFonts w:eastAsia="Arial"/>
        </w:rPr>
        <w:t xml:space="preserve">their care minute targets. However, unlike </w:t>
      </w:r>
      <w:r w:rsidR="00B45A93">
        <w:rPr>
          <w:rFonts w:eastAsia="Arial"/>
        </w:rPr>
        <w:t>O</w:t>
      </w:r>
      <w:r w:rsidRPr="3993AB53">
        <w:rPr>
          <w:rFonts w:eastAsia="Arial"/>
        </w:rPr>
        <w:t xml:space="preserve">ption 3, </w:t>
      </w:r>
      <w:r w:rsidR="00B45A93">
        <w:rPr>
          <w:rFonts w:eastAsia="Arial"/>
        </w:rPr>
        <w:t>O</w:t>
      </w:r>
      <w:r w:rsidRPr="3993AB53">
        <w:rPr>
          <w:rFonts w:eastAsia="Arial"/>
        </w:rPr>
        <w:t xml:space="preserve">ption 2 does not include more stringent assurance arrangements </w:t>
      </w:r>
      <w:r w:rsidR="009F24C9">
        <w:rPr>
          <w:rFonts w:eastAsia="Arial"/>
        </w:rPr>
        <w:t>than are currently used which</w:t>
      </w:r>
      <w:r w:rsidRPr="3993AB53">
        <w:rPr>
          <w:rFonts w:eastAsia="Arial"/>
        </w:rPr>
        <w:t xml:space="preserve"> limit</w:t>
      </w:r>
      <w:r w:rsidR="009F24C9">
        <w:rPr>
          <w:rFonts w:eastAsia="Arial"/>
        </w:rPr>
        <w:t>s</w:t>
      </w:r>
      <w:r w:rsidRPr="3993AB53">
        <w:rPr>
          <w:rFonts w:eastAsia="Arial"/>
        </w:rPr>
        <w:t xml:space="preserve"> the ability of the department to ensure that providers are accurately reporting their care minutes performance. </w:t>
      </w:r>
    </w:p>
    <w:p w14:paraId="08756781" w14:textId="0F16C121" w:rsidR="00892ACE" w:rsidRDefault="38DF88C4" w:rsidP="00D46173">
      <w:pPr>
        <w:pStyle w:val="Paragraphtext"/>
        <w:rPr>
          <w:rFonts w:eastAsia="Arial"/>
        </w:rPr>
      </w:pPr>
      <w:r w:rsidRPr="3993AB53">
        <w:rPr>
          <w:rFonts w:eastAsia="Arial"/>
        </w:rPr>
        <w:t xml:space="preserve">Although the use of existing reporting mechanisms would be less resource intensive for Government than the reporting assurance activities proposed in </w:t>
      </w:r>
      <w:r w:rsidR="001B4326">
        <w:rPr>
          <w:rFonts w:eastAsia="Arial"/>
        </w:rPr>
        <w:t>O</w:t>
      </w:r>
      <w:r w:rsidRPr="3993AB53">
        <w:rPr>
          <w:rFonts w:eastAsia="Arial"/>
        </w:rPr>
        <w:t>ption 3, they would be less effective in minimising the extent to which funding is provided for care minutes that are not delivered. Consequently, providers would have more ability to over-report their care minutes deliver</w:t>
      </w:r>
      <w:r w:rsidR="001B4326">
        <w:rPr>
          <w:rFonts w:eastAsia="Arial"/>
        </w:rPr>
        <w:t>ed</w:t>
      </w:r>
      <w:r w:rsidRPr="3993AB53">
        <w:rPr>
          <w:rFonts w:eastAsia="Arial"/>
        </w:rPr>
        <w:t xml:space="preserve"> which means that residents would continue to not receive the required amount of care, and the Government would continue to pay for care not delivered. </w:t>
      </w:r>
      <w:r w:rsidR="0038762B">
        <w:rPr>
          <w:rFonts w:eastAsia="Arial"/>
        </w:rPr>
        <w:t xml:space="preserve">As a result, Option 2 does not adequately </w:t>
      </w:r>
      <w:r w:rsidR="00260E20">
        <w:rPr>
          <w:rFonts w:eastAsia="Arial"/>
        </w:rPr>
        <w:t>address</w:t>
      </w:r>
      <w:r w:rsidR="0038762B">
        <w:rPr>
          <w:rFonts w:eastAsia="Arial"/>
        </w:rPr>
        <w:t xml:space="preserve"> Government’s objective of minimising the amount of Government funding for care delivery that is not being used for this purpose.  </w:t>
      </w:r>
      <w:r w:rsidRPr="3993AB53">
        <w:rPr>
          <w:rFonts w:eastAsia="Arial"/>
        </w:rPr>
        <w:t xml:space="preserve"> </w:t>
      </w:r>
    </w:p>
    <w:p w14:paraId="1B5F490E" w14:textId="37AA9383" w:rsidR="00892ACE" w:rsidRDefault="38DF88C4" w:rsidP="00D46173">
      <w:pPr>
        <w:pStyle w:val="Paragraphtext"/>
        <w:rPr>
          <w:rFonts w:eastAsia="Arial"/>
        </w:rPr>
      </w:pPr>
      <w:r w:rsidRPr="3993AB53">
        <w:rPr>
          <w:rFonts w:eastAsia="Arial"/>
        </w:rPr>
        <w:t xml:space="preserve">In summary, </w:t>
      </w:r>
      <w:r w:rsidR="001B4326">
        <w:rPr>
          <w:rFonts w:eastAsia="Arial"/>
        </w:rPr>
        <w:t>O</w:t>
      </w:r>
      <w:r w:rsidRPr="3993AB53">
        <w:rPr>
          <w:rFonts w:eastAsia="Arial"/>
        </w:rPr>
        <w:t xml:space="preserve">ption 2 would better fulfill objective 1 than </w:t>
      </w:r>
      <w:r w:rsidR="005B313E">
        <w:rPr>
          <w:rFonts w:eastAsia="Arial"/>
        </w:rPr>
        <w:t>O</w:t>
      </w:r>
      <w:r w:rsidRPr="3993AB53">
        <w:rPr>
          <w:rFonts w:eastAsia="Arial"/>
        </w:rPr>
        <w:t xml:space="preserve">ption 1 but would not achieve objective 2 as well as </w:t>
      </w:r>
      <w:r w:rsidR="005B313E">
        <w:rPr>
          <w:rFonts w:eastAsia="Arial"/>
        </w:rPr>
        <w:t>O</w:t>
      </w:r>
      <w:r w:rsidRPr="3993AB53">
        <w:rPr>
          <w:rFonts w:eastAsia="Arial"/>
        </w:rPr>
        <w:t xml:space="preserve">ption 3 and is projected to have a net benefit of </w:t>
      </w:r>
      <w:r w:rsidRPr="005679C7">
        <w:rPr>
          <w:rFonts w:eastAsia="Arial"/>
        </w:rPr>
        <w:t>$</w:t>
      </w:r>
      <w:r w:rsidR="00C52E7E" w:rsidRPr="005679C7">
        <w:rPr>
          <w:rFonts w:eastAsia="Arial"/>
        </w:rPr>
        <w:t>7,3</w:t>
      </w:r>
      <w:r w:rsidR="004D73AD">
        <w:rPr>
          <w:rFonts w:eastAsia="Arial"/>
        </w:rPr>
        <w:t>80</w:t>
      </w:r>
      <w:r w:rsidR="006C68EA">
        <w:rPr>
          <w:rFonts w:eastAsia="Arial"/>
        </w:rPr>
        <w:t>.1</w:t>
      </w:r>
      <w:r w:rsidR="00C52E7E" w:rsidRPr="005679C7">
        <w:rPr>
          <w:rFonts w:eastAsia="Arial"/>
        </w:rPr>
        <w:t xml:space="preserve"> </w:t>
      </w:r>
      <w:r w:rsidRPr="3993AB53">
        <w:rPr>
          <w:rFonts w:eastAsia="Arial"/>
        </w:rPr>
        <w:t xml:space="preserve">million compared with a </w:t>
      </w:r>
      <w:r w:rsidRPr="005679C7">
        <w:rPr>
          <w:rFonts w:eastAsia="Arial"/>
        </w:rPr>
        <w:t>$12,</w:t>
      </w:r>
      <w:r w:rsidR="006C68EA">
        <w:rPr>
          <w:rFonts w:eastAsia="Arial"/>
        </w:rPr>
        <w:t>716.2</w:t>
      </w:r>
      <w:r w:rsidRPr="3993AB53">
        <w:rPr>
          <w:rFonts w:eastAsia="Arial"/>
        </w:rPr>
        <w:t xml:space="preserve"> million for </w:t>
      </w:r>
      <w:r w:rsidR="52533488" w:rsidRPr="35D43057">
        <w:rPr>
          <w:rFonts w:eastAsia="Arial"/>
        </w:rPr>
        <w:t>O</w:t>
      </w:r>
      <w:r w:rsidRPr="35D43057">
        <w:rPr>
          <w:rFonts w:eastAsia="Arial"/>
        </w:rPr>
        <w:t>ption</w:t>
      </w:r>
      <w:r w:rsidRPr="3993AB53">
        <w:rPr>
          <w:rFonts w:eastAsia="Arial"/>
        </w:rPr>
        <w:t xml:space="preserve"> 3.  </w:t>
      </w:r>
    </w:p>
    <w:p w14:paraId="23BEDA55" w14:textId="71DFD8D2" w:rsidR="00892ACE" w:rsidRDefault="38DF88C4" w:rsidP="00D46173">
      <w:pPr>
        <w:pStyle w:val="Heading4"/>
        <w:rPr>
          <w:rFonts w:eastAsia="Arial"/>
        </w:rPr>
      </w:pPr>
      <w:r w:rsidRPr="3993AB53">
        <w:rPr>
          <w:rFonts w:eastAsia="Arial"/>
        </w:rPr>
        <w:t xml:space="preserve">Option 3: Linking care minutes funding to care minutes performance for non-specialised services located in metropolitan areas with additional assurance arrangements </w:t>
      </w:r>
    </w:p>
    <w:p w14:paraId="6C0CB810" w14:textId="25E9E008" w:rsidR="007160C8" w:rsidRDefault="38DF88C4" w:rsidP="00D46173">
      <w:pPr>
        <w:pStyle w:val="Paragraphtext"/>
        <w:rPr>
          <w:rFonts w:eastAsia="Arial"/>
        </w:rPr>
      </w:pPr>
      <w:r w:rsidRPr="3993AB53">
        <w:rPr>
          <w:rFonts w:eastAsia="Arial"/>
        </w:rPr>
        <w:t xml:space="preserve">Option 3 better achieves both </w:t>
      </w:r>
      <w:r w:rsidR="00A8511E">
        <w:rPr>
          <w:rFonts w:eastAsia="Arial"/>
        </w:rPr>
        <w:t>G</w:t>
      </w:r>
      <w:r w:rsidRPr="3993AB53">
        <w:rPr>
          <w:rFonts w:eastAsia="Arial"/>
        </w:rPr>
        <w:t xml:space="preserve">overnment objectives. </w:t>
      </w:r>
    </w:p>
    <w:p w14:paraId="678CB471" w14:textId="2DB85D39" w:rsidR="00892ACE" w:rsidRPr="00985C54" w:rsidRDefault="007160C8" w:rsidP="00985C54">
      <w:pPr>
        <w:pStyle w:val="Paragraphtext"/>
        <w:rPr>
          <w:rFonts w:eastAsia="Arial"/>
        </w:rPr>
      </w:pPr>
      <w:r w:rsidRPr="00985C54">
        <w:rPr>
          <w:rFonts w:eastAsia="Arial"/>
        </w:rPr>
        <w:t xml:space="preserve">Option 3 </w:t>
      </w:r>
      <w:r w:rsidR="38DF88C4" w:rsidRPr="00985C54">
        <w:rPr>
          <w:rFonts w:eastAsia="Arial"/>
        </w:rPr>
        <w:t>better achieves adequate staffing levels to meet residents’ personal and clinical care needs as measured by compliance with home level care minutes targets</w:t>
      </w:r>
      <w:r w:rsidRPr="00985C54">
        <w:rPr>
          <w:rFonts w:eastAsia="Arial"/>
        </w:rPr>
        <w:t>.</w:t>
      </w:r>
      <w:r w:rsidR="38DF88C4" w:rsidRPr="00985C54">
        <w:rPr>
          <w:rFonts w:eastAsia="Arial"/>
        </w:rPr>
        <w:t xml:space="preserve"> </w:t>
      </w:r>
      <w:r w:rsidRPr="00985C54">
        <w:rPr>
          <w:rFonts w:eastAsia="Arial"/>
        </w:rPr>
        <w:t>O</w:t>
      </w:r>
      <w:r w:rsidR="38DF88C4" w:rsidRPr="00985C54">
        <w:rPr>
          <w:rFonts w:eastAsia="Arial"/>
        </w:rPr>
        <w:t xml:space="preserve">ption </w:t>
      </w:r>
      <w:r w:rsidR="004A6120" w:rsidRPr="00985C54">
        <w:rPr>
          <w:rFonts w:eastAsia="Arial"/>
        </w:rPr>
        <w:t xml:space="preserve">3 </w:t>
      </w:r>
      <w:r w:rsidR="38DF88C4" w:rsidRPr="00985C54">
        <w:rPr>
          <w:rFonts w:eastAsia="Arial"/>
        </w:rPr>
        <w:t xml:space="preserve">does this due to the same reasons listed for </w:t>
      </w:r>
      <w:r w:rsidR="004A6120" w:rsidRPr="00985C54">
        <w:rPr>
          <w:rFonts w:eastAsia="Arial"/>
        </w:rPr>
        <w:t>O</w:t>
      </w:r>
      <w:r w:rsidR="38DF88C4" w:rsidRPr="00985C54">
        <w:rPr>
          <w:rFonts w:eastAsia="Arial"/>
        </w:rPr>
        <w:t>ption 2. However, due to the reporting assurance processes involved in this option</w:t>
      </w:r>
      <w:r w:rsidR="005C1F3F" w:rsidRPr="00985C54">
        <w:rPr>
          <w:rFonts w:eastAsia="Arial"/>
        </w:rPr>
        <w:t>,</w:t>
      </w:r>
      <w:r w:rsidR="38DF88C4" w:rsidRPr="00985C54">
        <w:rPr>
          <w:rFonts w:eastAsia="Arial"/>
        </w:rPr>
        <w:t xml:space="preserve"> providers will be required to provide more accurate </w:t>
      </w:r>
      <w:r w:rsidR="005C1F3F" w:rsidRPr="00985C54">
        <w:rPr>
          <w:rFonts w:eastAsia="Arial"/>
        </w:rPr>
        <w:t>care minutes</w:t>
      </w:r>
      <w:r w:rsidR="38DF88C4" w:rsidRPr="00985C54">
        <w:rPr>
          <w:rFonts w:eastAsia="Arial"/>
        </w:rPr>
        <w:t xml:space="preserve"> reporting and as a result will be required to deliver the required care minutes to receive the Government </w:t>
      </w:r>
      <w:r w:rsidR="00834B96" w:rsidRPr="00985C54">
        <w:rPr>
          <w:rFonts w:eastAsia="Arial"/>
        </w:rPr>
        <w:t>funding for care</w:t>
      </w:r>
      <w:r w:rsidR="38DF88C4" w:rsidRPr="00985C54">
        <w:rPr>
          <w:rFonts w:eastAsia="Arial"/>
        </w:rPr>
        <w:t xml:space="preserve">. As the net benefit analysis in </w:t>
      </w:r>
      <w:r w:rsidR="00B105B3">
        <w:rPr>
          <w:rFonts w:eastAsia="Arial"/>
        </w:rPr>
        <w:t>S</w:t>
      </w:r>
      <w:r w:rsidR="38DF88C4" w:rsidRPr="00985C54">
        <w:rPr>
          <w:rFonts w:eastAsia="Arial"/>
        </w:rPr>
        <w:t xml:space="preserve">ection 4 shows, it is estimated that an additional </w:t>
      </w:r>
      <w:r w:rsidR="002023EB">
        <w:rPr>
          <w:rFonts w:eastAsia="Arial"/>
        </w:rPr>
        <w:t>2</w:t>
      </w:r>
      <w:r w:rsidR="00F52742">
        <w:rPr>
          <w:rFonts w:eastAsia="Arial"/>
        </w:rPr>
        <w:t>64.6</w:t>
      </w:r>
      <w:r w:rsidR="38DF88C4" w:rsidRPr="00985C54">
        <w:rPr>
          <w:rFonts w:eastAsia="Arial"/>
        </w:rPr>
        <w:t xml:space="preserve"> million care minutes would be delivered between 2024-25 and mid-2028 under </w:t>
      </w:r>
      <w:r w:rsidR="00F52742">
        <w:rPr>
          <w:rFonts w:eastAsia="Arial"/>
        </w:rPr>
        <w:t>Option 3</w:t>
      </w:r>
      <w:r w:rsidR="38DF88C4" w:rsidRPr="00985C54">
        <w:rPr>
          <w:rFonts w:eastAsia="Arial"/>
        </w:rPr>
        <w:t xml:space="preserve"> compared to </w:t>
      </w:r>
      <w:r w:rsidR="007C6EF2" w:rsidRPr="00985C54">
        <w:rPr>
          <w:rFonts w:eastAsia="Arial"/>
        </w:rPr>
        <w:t>O</w:t>
      </w:r>
      <w:r w:rsidR="38DF88C4" w:rsidRPr="00985C54">
        <w:rPr>
          <w:rFonts w:eastAsia="Arial"/>
        </w:rPr>
        <w:t xml:space="preserve">ption 1 and an additional </w:t>
      </w:r>
      <w:r w:rsidR="002023EB">
        <w:rPr>
          <w:rFonts w:eastAsia="Arial"/>
        </w:rPr>
        <w:t>1</w:t>
      </w:r>
      <w:r w:rsidR="00DC193F">
        <w:rPr>
          <w:rFonts w:eastAsia="Arial"/>
        </w:rPr>
        <w:t>11.1</w:t>
      </w:r>
      <w:r w:rsidR="38DF88C4" w:rsidRPr="00985C54">
        <w:rPr>
          <w:rFonts w:eastAsia="Arial"/>
        </w:rPr>
        <w:t xml:space="preserve"> million minutes are expected to be delivered than under </w:t>
      </w:r>
      <w:r w:rsidR="007C6EF2" w:rsidRPr="00985C54">
        <w:rPr>
          <w:rFonts w:eastAsia="Arial"/>
        </w:rPr>
        <w:t>O</w:t>
      </w:r>
      <w:r w:rsidR="38DF88C4" w:rsidRPr="00985C54">
        <w:rPr>
          <w:rFonts w:eastAsia="Arial"/>
        </w:rPr>
        <w:t>ption 2.</w:t>
      </w:r>
    </w:p>
    <w:p w14:paraId="6350C412" w14:textId="18446BC6" w:rsidR="00892ACE" w:rsidRPr="00CF53F3" w:rsidRDefault="38DF88C4" w:rsidP="00D46173">
      <w:pPr>
        <w:pStyle w:val="Paragraphtext"/>
        <w:rPr>
          <w:rFonts w:eastAsia="Arial"/>
        </w:rPr>
      </w:pPr>
      <w:r w:rsidRPr="3993AB53">
        <w:rPr>
          <w:rFonts w:eastAsia="Arial"/>
        </w:rPr>
        <w:t xml:space="preserve">Option 3 also better achieves the second </w:t>
      </w:r>
      <w:r w:rsidR="007C6EF2">
        <w:rPr>
          <w:rFonts w:eastAsia="Arial"/>
        </w:rPr>
        <w:t>G</w:t>
      </w:r>
      <w:r w:rsidRPr="3993AB53">
        <w:rPr>
          <w:rFonts w:eastAsia="Arial"/>
        </w:rPr>
        <w:t>overnment objective of ensuring that Government funding for residential aged care is cost-effective and sustainable by minimising the extent to which funding is provided for care minutes that are not delivered. Although this option includes additional reporting</w:t>
      </w:r>
      <w:r w:rsidR="00A2517A">
        <w:rPr>
          <w:rFonts w:eastAsia="Arial"/>
        </w:rPr>
        <w:t xml:space="preserve"> and assurance processes</w:t>
      </w:r>
      <w:r w:rsidRPr="3993AB53">
        <w:rPr>
          <w:rFonts w:eastAsia="Arial"/>
        </w:rPr>
        <w:t xml:space="preserve"> </w:t>
      </w:r>
      <w:r w:rsidR="0013693E">
        <w:rPr>
          <w:rFonts w:eastAsia="Arial"/>
        </w:rPr>
        <w:t>for providers</w:t>
      </w:r>
      <w:r w:rsidR="00837077">
        <w:rPr>
          <w:rFonts w:eastAsia="Arial"/>
        </w:rPr>
        <w:t xml:space="preserve"> (through the completion of the externally audited Care Time Performance Statement)</w:t>
      </w:r>
      <w:r w:rsidR="00A2517A">
        <w:rPr>
          <w:rFonts w:eastAsia="Arial"/>
        </w:rPr>
        <w:t>,</w:t>
      </w:r>
      <w:r w:rsidR="0013693E">
        <w:rPr>
          <w:rFonts w:eastAsia="Arial"/>
        </w:rPr>
        <w:t xml:space="preserve"> </w:t>
      </w:r>
      <w:r w:rsidR="001D11C5">
        <w:rPr>
          <w:rFonts w:eastAsia="Arial"/>
        </w:rPr>
        <w:t xml:space="preserve">the </w:t>
      </w:r>
      <w:r w:rsidRPr="002023EB">
        <w:rPr>
          <w:rFonts w:eastAsia="Arial"/>
        </w:rPr>
        <w:t xml:space="preserve">reporting will be more </w:t>
      </w:r>
      <w:r w:rsidR="00A2517A" w:rsidRPr="002023EB">
        <w:rPr>
          <w:rFonts w:eastAsia="Arial"/>
        </w:rPr>
        <w:t>reliable</w:t>
      </w:r>
      <w:r w:rsidRPr="002023EB">
        <w:rPr>
          <w:rFonts w:eastAsia="Arial"/>
        </w:rPr>
        <w:t xml:space="preserve"> and</w:t>
      </w:r>
      <w:r w:rsidR="00F0739A" w:rsidRPr="002023EB">
        <w:rPr>
          <w:rFonts w:eastAsia="Arial"/>
        </w:rPr>
        <w:t xml:space="preserve">, as shown in the net benefits analysis, </w:t>
      </w:r>
      <w:r w:rsidRPr="002023EB">
        <w:rPr>
          <w:rFonts w:eastAsia="Arial"/>
        </w:rPr>
        <w:t xml:space="preserve">this additional cost will be offset by the </w:t>
      </w:r>
      <w:r w:rsidRPr="0057109B">
        <w:rPr>
          <w:rFonts w:eastAsia="Arial"/>
        </w:rPr>
        <w:t>$221</w:t>
      </w:r>
      <w:r w:rsidRPr="002023EB">
        <w:rPr>
          <w:rFonts w:eastAsia="Arial"/>
        </w:rPr>
        <w:t xml:space="preserve"> million</w:t>
      </w:r>
      <w:r w:rsidRPr="3993AB53">
        <w:rPr>
          <w:rFonts w:eastAsia="Arial"/>
        </w:rPr>
        <w:t xml:space="preserve"> saved through reduced </w:t>
      </w:r>
      <w:r w:rsidR="00EA1E3C">
        <w:rPr>
          <w:rFonts w:eastAsia="Arial"/>
        </w:rPr>
        <w:t xml:space="preserve">Government </w:t>
      </w:r>
      <w:r w:rsidRPr="3993AB53">
        <w:rPr>
          <w:rFonts w:eastAsia="Arial"/>
        </w:rPr>
        <w:t xml:space="preserve">funding to the sector where care minutes are not delivered. </w:t>
      </w:r>
      <w:r w:rsidRPr="3993AB53">
        <w:rPr>
          <w:rFonts w:eastAsia="Arial" w:cs="Arial"/>
          <w:szCs w:val="21"/>
        </w:rPr>
        <w:t>Also</w:t>
      </w:r>
      <w:r w:rsidR="00D3443F">
        <w:rPr>
          <w:rFonts w:eastAsia="Arial" w:cs="Arial"/>
          <w:szCs w:val="21"/>
        </w:rPr>
        <w:t xml:space="preserve">, as is </w:t>
      </w:r>
      <w:r w:rsidRPr="3993AB53">
        <w:rPr>
          <w:rFonts w:eastAsia="Arial" w:cs="Arial"/>
          <w:szCs w:val="21"/>
        </w:rPr>
        <w:t>shown in the net benefit analysis</w:t>
      </w:r>
      <w:r w:rsidR="00EA1E3C">
        <w:rPr>
          <w:rFonts w:eastAsia="Arial" w:cs="Arial"/>
          <w:szCs w:val="21"/>
        </w:rPr>
        <w:t xml:space="preserve">, </w:t>
      </w:r>
      <w:r w:rsidRPr="3993AB53">
        <w:rPr>
          <w:rFonts w:eastAsia="Arial" w:cs="Arial"/>
          <w:szCs w:val="21"/>
        </w:rPr>
        <w:t>the streamlining of reporting</w:t>
      </w:r>
      <w:r w:rsidR="00837077">
        <w:rPr>
          <w:rFonts w:eastAsia="Arial" w:cs="Arial"/>
          <w:szCs w:val="21"/>
        </w:rPr>
        <w:t xml:space="preserve"> assessment processes</w:t>
      </w:r>
      <w:r w:rsidRPr="3993AB53">
        <w:rPr>
          <w:rFonts w:eastAsia="Arial" w:cs="Arial"/>
          <w:szCs w:val="21"/>
        </w:rPr>
        <w:t xml:space="preserve"> </w:t>
      </w:r>
      <w:r w:rsidR="009C6109" w:rsidRPr="3993AB53">
        <w:rPr>
          <w:rFonts w:eastAsia="Arial" w:cs="Arial"/>
          <w:szCs w:val="21"/>
        </w:rPr>
        <w:t>is</w:t>
      </w:r>
      <w:r w:rsidRPr="3993AB53">
        <w:rPr>
          <w:rFonts w:eastAsia="Arial" w:cs="Arial"/>
          <w:szCs w:val="21"/>
        </w:rPr>
        <w:t xml:space="preserve"> expected to </w:t>
      </w:r>
      <w:r w:rsidR="00837077">
        <w:rPr>
          <w:rFonts w:eastAsia="Arial" w:cs="Arial"/>
          <w:szCs w:val="21"/>
        </w:rPr>
        <w:t xml:space="preserve">partially </w:t>
      </w:r>
      <w:r w:rsidRPr="3993AB53">
        <w:rPr>
          <w:rFonts w:eastAsia="Arial" w:cs="Arial"/>
          <w:szCs w:val="21"/>
        </w:rPr>
        <w:t>offset these</w:t>
      </w:r>
      <w:r w:rsidR="00D3443F">
        <w:rPr>
          <w:rFonts w:eastAsia="Arial" w:cs="Arial"/>
          <w:szCs w:val="21"/>
        </w:rPr>
        <w:t xml:space="preserve"> additional provider</w:t>
      </w:r>
      <w:r w:rsidRPr="3993AB53">
        <w:rPr>
          <w:rFonts w:eastAsia="Arial" w:cs="Arial"/>
          <w:szCs w:val="21"/>
        </w:rPr>
        <w:t xml:space="preserve"> costs. </w:t>
      </w:r>
    </w:p>
    <w:p w14:paraId="714DF709" w14:textId="02C1D5B3" w:rsidR="00892ACE" w:rsidRDefault="65464099" w:rsidP="00D46173">
      <w:pPr>
        <w:pStyle w:val="Paragraphtext"/>
      </w:pPr>
      <w:r w:rsidRPr="3993AB53">
        <w:rPr>
          <w:rFonts w:eastAsia="Arial" w:cs="Arial"/>
          <w:szCs w:val="21"/>
        </w:rPr>
        <w:lastRenderedPageBreak/>
        <w:t xml:space="preserve">In summary, </w:t>
      </w:r>
      <w:r w:rsidR="00CF53F3">
        <w:rPr>
          <w:rFonts w:eastAsia="Arial" w:cs="Arial"/>
          <w:szCs w:val="21"/>
        </w:rPr>
        <w:t>O</w:t>
      </w:r>
      <w:r w:rsidR="2318AE98" w:rsidRPr="3993AB53">
        <w:rPr>
          <w:rFonts w:eastAsia="Arial" w:cs="Arial"/>
          <w:szCs w:val="21"/>
        </w:rPr>
        <w:t>ption 3 is the preferred option</w:t>
      </w:r>
      <w:r w:rsidR="00D3443F">
        <w:rPr>
          <w:rFonts w:eastAsia="Arial" w:cs="Arial"/>
          <w:szCs w:val="21"/>
        </w:rPr>
        <w:t xml:space="preserve">, </w:t>
      </w:r>
      <w:r w:rsidR="2318AE98" w:rsidRPr="3993AB53">
        <w:rPr>
          <w:rFonts w:eastAsia="Arial" w:cs="Arial"/>
          <w:szCs w:val="21"/>
        </w:rPr>
        <w:t>as</w:t>
      </w:r>
      <w:r w:rsidR="00D3443F">
        <w:rPr>
          <w:rFonts w:eastAsia="Arial" w:cs="Arial"/>
          <w:szCs w:val="21"/>
        </w:rPr>
        <w:t xml:space="preserve"> it best meets the objectives of Government intervention and </w:t>
      </w:r>
      <w:r w:rsidR="00D3443F" w:rsidRPr="0057109B">
        <w:t>has the</w:t>
      </w:r>
      <w:r w:rsidR="00D324BF" w:rsidRPr="0057109B">
        <w:t xml:space="preserve"> highest net </w:t>
      </w:r>
      <w:r w:rsidR="1371FEB0">
        <w:t>benefit</w:t>
      </w:r>
      <w:r w:rsidR="00D324BF">
        <w:t>. The net benefit</w:t>
      </w:r>
      <w:r w:rsidR="1371FEB0">
        <w:t xml:space="preserve"> of Option 3</w:t>
      </w:r>
      <w:r w:rsidR="3F25ACD3">
        <w:t xml:space="preserve"> (compared to status quo)</w:t>
      </w:r>
      <w:r w:rsidR="4795CBB8">
        <w:t xml:space="preserve"> is expected to be </w:t>
      </w:r>
      <w:r w:rsidR="363F6FEA" w:rsidRPr="0057109B">
        <w:t>$</w:t>
      </w:r>
      <w:r w:rsidR="002023EB" w:rsidRPr="0057109B">
        <w:t>12,</w:t>
      </w:r>
      <w:r w:rsidR="00AA436F">
        <w:t>716.2</w:t>
      </w:r>
      <w:r w:rsidR="002023EB" w:rsidRPr="3993AB53">
        <w:rPr>
          <w:rFonts w:eastAsia="Arial"/>
        </w:rPr>
        <w:t xml:space="preserve"> </w:t>
      </w:r>
      <w:r w:rsidR="14612D46">
        <w:t>million</w:t>
      </w:r>
      <w:r w:rsidR="606966F8">
        <w:t xml:space="preserve"> between 2024</w:t>
      </w:r>
      <w:r w:rsidR="470A1AC1">
        <w:t>-</w:t>
      </w:r>
      <w:r w:rsidR="606966F8">
        <w:t>25 and 2027-28</w:t>
      </w:r>
      <w:r w:rsidR="3F25ACD3">
        <w:t xml:space="preserve"> </w:t>
      </w:r>
      <w:r w:rsidR="3F25ACD3" w:rsidRPr="002023EB">
        <w:t>compared to</w:t>
      </w:r>
      <w:r w:rsidR="4795CBB8" w:rsidRPr="002023EB">
        <w:t xml:space="preserve"> </w:t>
      </w:r>
      <w:r w:rsidR="4795CBB8" w:rsidRPr="0057109B">
        <w:t>$</w:t>
      </w:r>
      <w:r w:rsidR="002023EB" w:rsidRPr="002023EB">
        <w:rPr>
          <w:rFonts w:eastAsia="Arial"/>
        </w:rPr>
        <w:t>7,3</w:t>
      </w:r>
      <w:r w:rsidR="00152A83">
        <w:rPr>
          <w:rFonts w:eastAsia="Arial"/>
        </w:rPr>
        <w:t>80.1</w:t>
      </w:r>
      <w:r w:rsidR="002023EB" w:rsidRPr="0057109B">
        <w:t xml:space="preserve"> </w:t>
      </w:r>
      <w:r w:rsidR="14612D46">
        <w:t xml:space="preserve">million under </w:t>
      </w:r>
      <w:r w:rsidR="1371FEB0">
        <w:t>O</w:t>
      </w:r>
      <w:r w:rsidR="14612D46">
        <w:t>ption 2</w:t>
      </w:r>
      <w:r w:rsidR="2D53EA18">
        <w:t xml:space="preserve">. Under </w:t>
      </w:r>
      <w:r w:rsidR="1371FEB0">
        <w:t>O</w:t>
      </w:r>
      <w:r w:rsidR="2D53EA18">
        <w:t>ption 3 around</w:t>
      </w:r>
      <w:r w:rsidR="2164EDDB">
        <w:t xml:space="preserve"> </w:t>
      </w:r>
      <w:r w:rsidR="1F05242E">
        <w:t xml:space="preserve">76% of </w:t>
      </w:r>
      <w:r w:rsidR="15A9F11B">
        <w:t>hom</w:t>
      </w:r>
      <w:r w:rsidR="1F05242E">
        <w:t>es are expected to meet their total care minutes by mid</w:t>
      </w:r>
      <w:r w:rsidR="20700F3A">
        <w:t>-</w:t>
      </w:r>
      <w:r w:rsidR="1F05242E">
        <w:t>2028, compared to</w:t>
      </w:r>
      <w:r w:rsidR="4FD51757">
        <w:t xml:space="preserve"> 72% under </w:t>
      </w:r>
      <w:r w:rsidR="1371FEB0">
        <w:t>O</w:t>
      </w:r>
      <w:r w:rsidR="4FD51757">
        <w:t xml:space="preserve">ption </w:t>
      </w:r>
      <w:r w:rsidR="20700F3A">
        <w:t xml:space="preserve">2 and </w:t>
      </w:r>
      <w:r w:rsidR="7014CE9A">
        <w:t>67% under the status quo</w:t>
      </w:r>
      <w:r w:rsidR="6A54B938">
        <w:t xml:space="preserve"> (</w:t>
      </w:r>
      <w:r w:rsidR="00E74B16">
        <w:t>O</w:t>
      </w:r>
      <w:r w:rsidR="6A54B938">
        <w:t>ption</w:t>
      </w:r>
      <w:r w:rsidR="002023EB">
        <w:t> </w:t>
      </w:r>
      <w:r w:rsidR="6A54B938">
        <w:t>1)</w:t>
      </w:r>
      <w:r w:rsidR="7014CE9A">
        <w:t>.</w:t>
      </w:r>
      <w:r w:rsidR="1A329DA2">
        <w:t xml:space="preserve"> </w:t>
      </w:r>
    </w:p>
    <w:p w14:paraId="589C7D9B" w14:textId="1BA29DED" w:rsidR="00892ACE" w:rsidRDefault="1A329DA2" w:rsidP="00D84908">
      <w:pPr>
        <w:pStyle w:val="Paragraphtext"/>
      </w:pPr>
      <w:r>
        <w:t xml:space="preserve">The effectiveness of each of the </w:t>
      </w:r>
      <w:r w:rsidR="1CC7206E">
        <w:t>3</w:t>
      </w:r>
      <w:r>
        <w:t xml:space="preserve"> proposed options to ach</w:t>
      </w:r>
      <w:r w:rsidR="389B2B13">
        <w:t xml:space="preserve">ieve the </w:t>
      </w:r>
      <w:r w:rsidR="444CC490">
        <w:t>2</w:t>
      </w:r>
      <w:r w:rsidR="389B2B13">
        <w:t xml:space="preserve"> Government objectives is shown in the table below. </w:t>
      </w:r>
      <w:r w:rsidR="169C5463">
        <w:t xml:space="preserve"> </w:t>
      </w:r>
    </w:p>
    <w:p w14:paraId="5A88D0B5" w14:textId="49D38FB4" w:rsidR="00B85988" w:rsidRDefault="00B85988" w:rsidP="00D84908">
      <w:pPr>
        <w:pStyle w:val="TableTitle"/>
      </w:pPr>
      <w:r w:rsidRPr="00A879C6">
        <w:t xml:space="preserve">Table 8: </w:t>
      </w:r>
      <w:r w:rsidR="007B608A">
        <w:t xml:space="preserve">Degree to which the proposed policy options achieve Government’s policy objectives </w:t>
      </w:r>
    </w:p>
    <w:p w14:paraId="682DCAE3" w14:textId="103D81AB" w:rsidR="00216FE2" w:rsidRDefault="000160BF" w:rsidP="00D84908">
      <w:pPr>
        <w:pStyle w:val="TableTitle"/>
      </w:pPr>
      <w:r w:rsidRPr="000160BF">
        <w:rPr>
          <w:noProof/>
          <w:lang w:val="en-AU" w:eastAsia="en-AU"/>
        </w:rPr>
        <w:drawing>
          <wp:inline distT="0" distB="0" distL="0" distR="0" wp14:anchorId="0A0083D6" wp14:editId="4C6594C8">
            <wp:extent cx="5686425" cy="2909115"/>
            <wp:effectExtent l="0" t="0" r="0" b="5715"/>
            <wp:docPr id="1316183068" name="Picture 1" descr="Table 8: Degree to which the proposed policy options achieve Government’s policy objectives which shows that Option 3 is most effective in achieving the two government objec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83068" name="Picture 1" descr="Table 8: Degree to which the proposed policy options achieve Government’s policy objectives which shows that Option 3 is most effective in achieving the two government objectives.  "/>
                    <pic:cNvPicPr/>
                  </pic:nvPicPr>
                  <pic:blipFill>
                    <a:blip r:embed="rId40"/>
                    <a:stretch>
                      <a:fillRect/>
                    </a:stretch>
                  </pic:blipFill>
                  <pic:spPr>
                    <a:xfrm>
                      <a:off x="0" y="0"/>
                      <a:ext cx="5719678" cy="2926127"/>
                    </a:xfrm>
                    <a:prstGeom prst="rect">
                      <a:avLst/>
                    </a:prstGeom>
                  </pic:spPr>
                </pic:pic>
              </a:graphicData>
            </a:graphic>
          </wp:inline>
        </w:drawing>
      </w:r>
    </w:p>
    <w:p w14:paraId="116E1CF8" w14:textId="2BC49143" w:rsidR="00311C7E" w:rsidRDefault="0004372B" w:rsidP="00F31EF1">
      <w:pPr>
        <w:pStyle w:val="Paragraphtext"/>
      </w:pPr>
      <w:r>
        <w:t>An interim decision</w:t>
      </w:r>
      <w:r w:rsidR="00311C7E">
        <w:t xml:space="preserve"> to implement </w:t>
      </w:r>
      <w:r>
        <w:t>O</w:t>
      </w:r>
      <w:r w:rsidR="00311C7E">
        <w:t xml:space="preserve">ption 3, </w:t>
      </w:r>
      <w:r w:rsidR="00D41097">
        <w:t xml:space="preserve">linking funding to care minute delivery in metropolitan non-specialised services, with increased assurance of care time reporting </w:t>
      </w:r>
      <w:r w:rsidR="00153078">
        <w:t>was</w:t>
      </w:r>
      <w:r>
        <w:t xml:space="preserve"> made by </w:t>
      </w:r>
      <w:r w:rsidR="00177050">
        <w:t>Government</w:t>
      </w:r>
      <w:r w:rsidR="00145424">
        <w:t>,</w:t>
      </w:r>
      <w:r w:rsidR="00D41097">
        <w:t xml:space="preserve"> </w:t>
      </w:r>
      <w:r>
        <w:t>as part of the 2024-25 MYEFO process, with the final decision</w:t>
      </w:r>
      <w:r w:rsidR="0066214E">
        <w:t xml:space="preserve"> point</w:t>
      </w:r>
      <w:r>
        <w:t xml:space="preserve"> being </w:t>
      </w:r>
      <w:r w:rsidR="00F53F68">
        <w:t xml:space="preserve">the point of introducing the </w:t>
      </w:r>
      <w:r>
        <w:t>enabling legislation</w:t>
      </w:r>
      <w:r w:rsidR="00177050">
        <w:t xml:space="preserve"> prior to October 2025.</w:t>
      </w:r>
      <w:r w:rsidR="00522C09">
        <w:t xml:space="preserve"> </w:t>
      </w:r>
      <w:r w:rsidR="009F41C8">
        <w:t xml:space="preserve">The </w:t>
      </w:r>
      <w:r w:rsidR="00586511">
        <w:t xml:space="preserve">Australian Government Department </w:t>
      </w:r>
      <w:r w:rsidR="00BD75D0">
        <w:t xml:space="preserve">of Finance </w:t>
      </w:r>
      <w:r w:rsidR="008079A2">
        <w:t>Expenditure</w:t>
      </w:r>
      <w:r w:rsidR="007F380F">
        <w:t xml:space="preserve"> Review Committee (</w:t>
      </w:r>
      <w:r w:rsidR="003479A2">
        <w:t>ERC</w:t>
      </w:r>
      <w:r w:rsidR="007F380F">
        <w:t>)</w:t>
      </w:r>
      <w:r w:rsidR="00522C09">
        <w:t xml:space="preserve"> is expected to consider minor refinements to care minutes supplement rates </w:t>
      </w:r>
      <w:r w:rsidR="00A40CB4">
        <w:t xml:space="preserve">provisionally </w:t>
      </w:r>
      <w:r w:rsidR="00522C09">
        <w:t xml:space="preserve">announced </w:t>
      </w:r>
      <w:r w:rsidR="003479A2">
        <w:t>in December 2024</w:t>
      </w:r>
      <w:r w:rsidR="00A40CB4">
        <w:t xml:space="preserve"> in August 2025.</w:t>
      </w:r>
    </w:p>
    <w:p w14:paraId="7F18B9DE" w14:textId="025EB19E" w:rsidR="00670D09" w:rsidRDefault="00A31A13" w:rsidP="00F31EF1">
      <w:pPr>
        <w:pStyle w:val="Paragraphtext"/>
      </w:pPr>
      <w:r>
        <w:t xml:space="preserve">The status of the </w:t>
      </w:r>
      <w:r w:rsidR="0069476E">
        <w:t>I</w:t>
      </w:r>
      <w:r w:rsidR="00CA068C">
        <w:t xml:space="preserve">mpact </w:t>
      </w:r>
      <w:r w:rsidR="0069476E">
        <w:t>A</w:t>
      </w:r>
      <w:r w:rsidR="00CA068C">
        <w:t>nalysis</w:t>
      </w:r>
      <w:r>
        <w:t xml:space="preserve"> at each major decision point is outlined in the below table.</w:t>
      </w:r>
      <w:r w:rsidR="0004372B">
        <w:t xml:space="preserve"> </w:t>
      </w:r>
    </w:p>
    <w:p w14:paraId="51E21A29" w14:textId="6B381F4E" w:rsidR="00FC3364" w:rsidRDefault="00670D09" w:rsidP="00D84908">
      <w:pPr>
        <w:pStyle w:val="TableTitle"/>
      </w:pPr>
      <w:r w:rsidRPr="00A879C6">
        <w:t>Table</w:t>
      </w:r>
      <w:r w:rsidR="00FB7DDD" w:rsidRPr="00A879C6">
        <w:t xml:space="preserve"> </w:t>
      </w:r>
      <w:r w:rsidR="00B85988">
        <w:t>9</w:t>
      </w:r>
      <w:r w:rsidR="00FB7DDD" w:rsidRPr="00A879C6">
        <w:t>: Interim and final decision points</w:t>
      </w:r>
    </w:p>
    <w:p w14:paraId="3FED0AD5" w14:textId="79BBC3A4" w:rsidR="00596EA0" w:rsidRDefault="00596EA0" w:rsidP="00D84908">
      <w:pPr>
        <w:pStyle w:val="TableTitle"/>
      </w:pPr>
      <w:r w:rsidRPr="00596EA0">
        <w:rPr>
          <w:noProof/>
          <w:lang w:val="en-AU" w:eastAsia="en-AU"/>
        </w:rPr>
        <w:drawing>
          <wp:inline distT="0" distB="0" distL="0" distR="0" wp14:anchorId="334D689C" wp14:editId="0BB95423">
            <wp:extent cx="5745154" cy="1752600"/>
            <wp:effectExtent l="0" t="0" r="8255" b="0"/>
            <wp:docPr id="1295055267" name="Picture 1" descr="Table 9: Interim and final decision points shows the decision points, timeframe and impact analysis status from interim to final policy decision which involves the introduction of subordinate legislation to implement preferred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55267" name="Picture 1" descr="Table 9: Interim and final decision points shows the decision points, timeframe and impact analysis status from interim to final policy decision which involves the introduction of subordinate legislation to implement preferred option. "/>
                    <pic:cNvPicPr/>
                  </pic:nvPicPr>
                  <pic:blipFill>
                    <a:blip r:embed="rId41"/>
                    <a:stretch>
                      <a:fillRect/>
                    </a:stretch>
                  </pic:blipFill>
                  <pic:spPr>
                    <a:xfrm>
                      <a:off x="0" y="0"/>
                      <a:ext cx="5751818" cy="1754633"/>
                    </a:xfrm>
                    <a:prstGeom prst="rect">
                      <a:avLst/>
                    </a:prstGeom>
                  </pic:spPr>
                </pic:pic>
              </a:graphicData>
            </a:graphic>
          </wp:inline>
        </w:drawing>
      </w:r>
    </w:p>
    <w:p w14:paraId="7A42BE61" w14:textId="77777777" w:rsidR="00B820C1" w:rsidRPr="007C244B" w:rsidRDefault="00B820C1" w:rsidP="007C244B">
      <w:pPr>
        <w:pStyle w:val="Heading4"/>
      </w:pPr>
      <w:r w:rsidRPr="007C244B">
        <w:t>Commencement of policy changes</w:t>
      </w:r>
    </w:p>
    <w:p w14:paraId="7C420AFB" w14:textId="342CBED2" w:rsidR="007739B0" w:rsidRDefault="007739B0" w:rsidP="00157EA1">
      <w:pPr>
        <w:pStyle w:val="Paragraphtext"/>
      </w:pPr>
      <w:r>
        <w:t xml:space="preserve">The timeline of the commencement of the policy changes agreed by </w:t>
      </w:r>
      <w:r w:rsidR="00017922">
        <w:t>Government</w:t>
      </w:r>
      <w:r>
        <w:t xml:space="preserve"> are as follows:</w:t>
      </w:r>
    </w:p>
    <w:p w14:paraId="10D9D71C" w14:textId="4212030C" w:rsidR="00B820C1" w:rsidRPr="00932118" w:rsidRDefault="6404696B" w:rsidP="00357BB0">
      <w:pPr>
        <w:pStyle w:val="Paragraphtext"/>
        <w:numPr>
          <w:ilvl w:val="0"/>
          <w:numId w:val="27"/>
        </w:numPr>
      </w:pPr>
      <w:r>
        <w:lastRenderedPageBreak/>
        <w:t xml:space="preserve">The </w:t>
      </w:r>
      <w:r w:rsidR="08B0C8B3">
        <w:t xml:space="preserve">policy to link funding to care minutes delivery will commence </w:t>
      </w:r>
      <w:r w:rsidR="00674654">
        <w:t>in</w:t>
      </w:r>
      <w:r w:rsidR="08B0C8B3">
        <w:t xml:space="preserve"> October 2025, with care minutes delivered in October to December 2025 impacting funding from April 2026. April 2026 is when the care minutes supplement will commence, with eligible providers receiving their April 2026 supplement payment in early May</w:t>
      </w:r>
      <w:r w:rsidR="00177050">
        <w:t> </w:t>
      </w:r>
      <w:r w:rsidR="08B0C8B3">
        <w:t>2026, following submission of their April claim (which can occur from 1 May). Likewise, the reduction in AN</w:t>
      </w:r>
      <w:r w:rsidR="6CFE9FF8">
        <w:t>-</w:t>
      </w:r>
      <w:r w:rsidR="08B0C8B3">
        <w:t>ACC BCT for non-specialised MM1 services will also commence in April 2026, with providers receiving their first reduced BCT payment in early May, following submission of their April claim.</w:t>
      </w:r>
    </w:p>
    <w:p w14:paraId="57D30F3D" w14:textId="6A1F6B2B" w:rsidR="00701830" w:rsidRDefault="08B0C8B3" w:rsidP="00357BB0">
      <w:pPr>
        <w:pStyle w:val="Paragraphtext"/>
        <w:numPr>
          <w:ilvl w:val="0"/>
          <w:numId w:val="27"/>
        </w:numPr>
      </w:pPr>
      <w:r>
        <w:t xml:space="preserve">Providers will submit their first Care Minutes Performance Statement and </w:t>
      </w:r>
      <w:r w:rsidR="00687B80">
        <w:t>audit</w:t>
      </w:r>
      <w:r w:rsidR="00F309BC">
        <w:t xml:space="preserve"> </w:t>
      </w:r>
      <w:r>
        <w:t>alongside their 2025-26 A</w:t>
      </w:r>
      <w:r w:rsidR="0B1DB875">
        <w:t>CFR</w:t>
      </w:r>
      <w:r>
        <w:t xml:space="preserve"> which will be due at the end of October 2026. There are a small number of overseas based </w:t>
      </w:r>
      <w:r w:rsidR="00177050">
        <w:t>providers</w:t>
      </w:r>
      <w:r>
        <w:t xml:space="preserve"> that report based on a different financial year than the standard July to June </w:t>
      </w:r>
      <w:r w:rsidR="71F2992A">
        <w:t xml:space="preserve">financial </w:t>
      </w:r>
      <w:r>
        <w:t>years</w:t>
      </w:r>
      <w:r w:rsidR="22724D4C">
        <w:t>, for example January to December</w:t>
      </w:r>
      <w:r>
        <w:t>. These providers will submit their first Care Minutes Performance Statements and audit in their next ACFR due following October 2026. For the</w:t>
      </w:r>
      <w:r w:rsidR="75CFBC6F">
        <w:t>se providers</w:t>
      </w:r>
      <w:r>
        <w:t>, this mean</w:t>
      </w:r>
      <w:r w:rsidR="4109E2C1">
        <w:t>s</w:t>
      </w:r>
      <w:r>
        <w:t xml:space="preserve"> their first statements will relate to January-December 2026. Reporting assessments will commence being scaled back to 10% service coverage each year from July 2025. </w:t>
      </w:r>
      <w:bookmarkStart w:id="72" w:name="_Toc183705494"/>
    </w:p>
    <w:p w14:paraId="09720FC6" w14:textId="242C700B" w:rsidR="00497FAB" w:rsidRDefault="00647FEB" w:rsidP="00157EA1">
      <w:pPr>
        <w:pStyle w:val="Heading4"/>
      </w:pPr>
      <w:r w:rsidRPr="51365D77">
        <w:t>Implementation of preferred option</w:t>
      </w:r>
      <w:bookmarkEnd w:id="72"/>
    </w:p>
    <w:p w14:paraId="5A137994" w14:textId="59A34738" w:rsidR="009B5483" w:rsidRDefault="007739B0" w:rsidP="00821CCC">
      <w:pPr>
        <w:pStyle w:val="Paragraphtext"/>
      </w:pPr>
      <w:r>
        <w:t xml:space="preserve">The </w:t>
      </w:r>
      <w:r w:rsidR="005F10FA">
        <w:t xml:space="preserve">preferred option will be implemented </w:t>
      </w:r>
      <w:r w:rsidR="00D5724F">
        <w:t xml:space="preserve">as a Tier </w:t>
      </w:r>
      <w:r w:rsidR="00C5043F">
        <w:t xml:space="preserve">2 </w:t>
      </w:r>
      <w:r w:rsidR="00D5724F">
        <w:t xml:space="preserve">project under </w:t>
      </w:r>
      <w:r w:rsidR="00CD1A1C">
        <w:t xml:space="preserve">the department’s project management </w:t>
      </w:r>
      <w:r w:rsidR="00E476E2">
        <w:t>f</w:t>
      </w:r>
      <w:r w:rsidR="00CD1A1C">
        <w:t>ramework.</w:t>
      </w:r>
      <w:r w:rsidR="004F47CB">
        <w:t xml:space="preserve"> </w:t>
      </w:r>
      <w:r w:rsidR="00CF4813" w:rsidRPr="00CF4813">
        <w:t>Key project deliverables, milestones, risks and issues, and project budget will be tracked through an integrated project management system managed by the Residential Aged Care Funding Reform Project Management Office.  </w:t>
      </w:r>
    </w:p>
    <w:p w14:paraId="59C3C444" w14:textId="6DAA80CB" w:rsidR="004C176B" w:rsidRDefault="004C176B" w:rsidP="004C176B">
      <w:pPr>
        <w:spacing w:before="120" w:after="60"/>
        <w:rPr>
          <w:rFonts w:eastAsia="Arial" w:cs="Arial"/>
          <w:color w:val="000000" w:themeColor="text1"/>
          <w:sz w:val="21"/>
          <w:szCs w:val="21"/>
        </w:rPr>
      </w:pPr>
      <w:r w:rsidRPr="1F7963D4">
        <w:rPr>
          <w:rStyle w:val="normaltextrun"/>
          <w:rFonts w:eastAsia="Arial" w:cs="Arial"/>
          <w:color w:val="000000" w:themeColor="text1"/>
          <w:sz w:val="21"/>
          <w:szCs w:val="21"/>
        </w:rPr>
        <w:t xml:space="preserve">The project is supported by an established governance structure to provide appropriate executive management and oversight. This is supplemented by </w:t>
      </w:r>
      <w:r w:rsidR="51FD50C8" w:rsidRPr="1F7963D4">
        <w:rPr>
          <w:rStyle w:val="normaltextrun"/>
          <w:rFonts w:eastAsia="Arial" w:cs="Arial"/>
          <w:color w:val="000000" w:themeColor="text1"/>
          <w:sz w:val="21"/>
          <w:szCs w:val="21"/>
        </w:rPr>
        <w:t xml:space="preserve">the computerised </w:t>
      </w:r>
      <w:r w:rsidRPr="1F7963D4">
        <w:rPr>
          <w:rStyle w:val="normaltextrun"/>
          <w:rFonts w:eastAsia="Arial" w:cs="Arial"/>
          <w:color w:val="000000" w:themeColor="text1"/>
          <w:sz w:val="21"/>
          <w:szCs w:val="21"/>
        </w:rPr>
        <w:t>Altus reporting</w:t>
      </w:r>
      <w:r w:rsidR="3255FC1E" w:rsidRPr="1F7963D4">
        <w:rPr>
          <w:rStyle w:val="normaltextrun"/>
          <w:rFonts w:eastAsia="Arial" w:cs="Arial"/>
          <w:color w:val="000000" w:themeColor="text1"/>
          <w:sz w:val="21"/>
          <w:szCs w:val="21"/>
        </w:rPr>
        <w:t xml:space="preserve"> system</w:t>
      </w:r>
      <w:r w:rsidRPr="1F7963D4">
        <w:rPr>
          <w:rStyle w:val="normaltextrun"/>
          <w:rFonts w:eastAsia="Arial" w:cs="Arial"/>
          <w:color w:val="000000" w:themeColor="text1"/>
          <w:sz w:val="21"/>
          <w:szCs w:val="21"/>
        </w:rPr>
        <w:t xml:space="preserve"> which facilitates decision making at the appropriate management levels through standardised reporting to the department’s senior executive.  </w:t>
      </w:r>
    </w:p>
    <w:p w14:paraId="2DA84DCA" w14:textId="2F0580B2" w:rsidR="007776DF" w:rsidRPr="00CA1C14" w:rsidRDefault="004C176B" w:rsidP="00CA1C14">
      <w:pPr>
        <w:pStyle w:val="Paragraphtext"/>
      </w:pPr>
      <w:r w:rsidRPr="00CA1C14">
        <w:rPr>
          <w:rStyle w:val="normaltextrun"/>
          <w:rFonts w:eastAsia="Arial"/>
        </w:rPr>
        <w:t xml:space="preserve">Delivery of this </w:t>
      </w:r>
      <w:r w:rsidR="002D7B3E" w:rsidRPr="00CA1C14">
        <w:rPr>
          <w:rStyle w:val="normaltextrun"/>
          <w:rFonts w:eastAsia="Arial"/>
        </w:rPr>
        <w:t>p</w:t>
      </w:r>
      <w:r w:rsidRPr="00CA1C14">
        <w:rPr>
          <w:rStyle w:val="normaltextrun"/>
          <w:rFonts w:eastAsia="Arial"/>
        </w:rPr>
        <w:t xml:space="preserve">roject is governed by the Residential Aged Care Funding Reform Program Board which </w:t>
      </w:r>
      <w:r w:rsidR="006805C8" w:rsidRPr="00CA1C14">
        <w:rPr>
          <w:rStyle w:val="normaltextrun"/>
          <w:rFonts w:eastAsia="Arial"/>
        </w:rPr>
        <w:t>is chaired by the Senior Responsible Officer, First Assistant Secretary, Residential Care Division.</w:t>
      </w:r>
      <w:r w:rsidR="007776DF" w:rsidRPr="00CA1C14">
        <w:t xml:space="preserve"> This board was established to provide governance over the implementation of the new </w:t>
      </w:r>
      <w:r w:rsidR="002D7707">
        <w:t xml:space="preserve">AN-ACC </w:t>
      </w:r>
      <w:r w:rsidR="007776DF" w:rsidRPr="00CA1C14">
        <w:t xml:space="preserve">residential aged care funding model, and new aged care payment system, which was successfully implemented in October 2022. This board has oversight of all residential aged care funding </w:t>
      </w:r>
      <w:r w:rsidR="00D40459" w:rsidRPr="00CA1C14">
        <w:t>changes and</w:t>
      </w:r>
      <w:r w:rsidR="007776DF" w:rsidRPr="00CA1C14">
        <w:t xml:space="preserve"> has joint membership across the department and Services Australia.</w:t>
      </w:r>
      <w:r w:rsidR="00E271A9" w:rsidRPr="00CA1C14">
        <w:t xml:space="preserve"> This board sits under the department’s </w:t>
      </w:r>
      <w:r w:rsidR="006E3638" w:rsidRPr="00CA1C14">
        <w:t>Aged Care Transformation Program Steering Committee and Services Australia’s Health and Aged Transformation Program Board.</w:t>
      </w:r>
      <w:r w:rsidR="007776DF" w:rsidRPr="00CA1C14">
        <w:t xml:space="preserve"> </w:t>
      </w:r>
      <w:r w:rsidR="00106A5E" w:rsidRPr="00CA1C14">
        <w:t xml:space="preserve">Figure 2 </w:t>
      </w:r>
      <w:r w:rsidR="007776DF" w:rsidRPr="00CA1C14">
        <w:t xml:space="preserve">below </w:t>
      </w:r>
      <w:r w:rsidR="00151B8B" w:rsidRPr="00CA1C14">
        <w:t>provides a more detailed overview of the governance structure.</w:t>
      </w:r>
    </w:p>
    <w:p w14:paraId="33838B9A" w14:textId="77777777" w:rsidR="00F54DFA" w:rsidRDefault="00F54DFA" w:rsidP="00A00E5C">
      <w:pPr>
        <w:rPr>
          <w:b/>
          <w:bCs/>
        </w:rPr>
      </w:pPr>
    </w:p>
    <w:p w14:paraId="0CD3DD79" w14:textId="43FF4840" w:rsidR="009B5483" w:rsidRDefault="00026A5D" w:rsidP="00A00E5C">
      <w:r w:rsidRPr="00745982">
        <w:rPr>
          <w:rStyle w:val="TableTitleChar"/>
        </w:rPr>
        <w:lastRenderedPageBreak/>
        <w:t>Figure 2: Residential Aged Care Funding Reform Governance Framework</w:t>
      </w:r>
      <w:r>
        <w:rPr>
          <w:noProof/>
          <w:lang w:eastAsia="en-AU"/>
        </w:rPr>
        <w:drawing>
          <wp:inline distT="0" distB="0" distL="0" distR="0" wp14:anchorId="39600414" wp14:editId="536D9AA4">
            <wp:extent cx="5759450" cy="3782695"/>
            <wp:effectExtent l="0" t="0" r="0" b="8255"/>
            <wp:docPr id="1349654662" name="Picture 1" descr="Figure 2: Residential Aged Care Funding Reform Governance Framework that will be used to manage linking care funding to care minutes delivery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54662" name="Picture 1" descr="Figure 2: Residential Aged Care Funding Reform Governance Framework that will be used to manage linking care funding to care minutes delivery in residential aged care."/>
                    <pic:cNvPicPr/>
                  </pic:nvPicPr>
                  <pic:blipFill>
                    <a:blip r:embed="rId42"/>
                    <a:stretch>
                      <a:fillRect/>
                    </a:stretch>
                  </pic:blipFill>
                  <pic:spPr>
                    <a:xfrm>
                      <a:off x="0" y="0"/>
                      <a:ext cx="5759450" cy="3782695"/>
                    </a:xfrm>
                    <a:prstGeom prst="rect">
                      <a:avLst/>
                    </a:prstGeom>
                  </pic:spPr>
                </pic:pic>
              </a:graphicData>
            </a:graphic>
          </wp:inline>
        </w:drawing>
      </w:r>
    </w:p>
    <w:p w14:paraId="222C0B60" w14:textId="7E07A878" w:rsidR="00821CCC" w:rsidRDefault="00821CCC" w:rsidP="00821CCC">
      <w:pPr>
        <w:pStyle w:val="Paragraphtext"/>
      </w:pPr>
      <w:r>
        <w:t xml:space="preserve">There are </w:t>
      </w:r>
      <w:r w:rsidR="37213374">
        <w:t>4</w:t>
      </w:r>
      <w:r>
        <w:t xml:space="preserve"> key streams of work to implement </w:t>
      </w:r>
      <w:r w:rsidR="00DD1C53">
        <w:t>O</w:t>
      </w:r>
      <w:r w:rsidR="0065560B">
        <w:t>ption 3</w:t>
      </w:r>
      <w:r>
        <w:t>. These include</w:t>
      </w:r>
      <w:r w:rsidR="0065560B">
        <w:t>:</w:t>
      </w:r>
    </w:p>
    <w:p w14:paraId="3236918D" w14:textId="46A929E2" w:rsidR="0065560B" w:rsidRDefault="0065560B" w:rsidP="00357BB0">
      <w:pPr>
        <w:pStyle w:val="Paragraphtext"/>
        <w:numPr>
          <w:ilvl w:val="0"/>
          <w:numId w:val="12"/>
        </w:numPr>
      </w:pPr>
      <w:r>
        <w:t>Legislation</w:t>
      </w:r>
    </w:p>
    <w:p w14:paraId="603E51A7" w14:textId="6A91FF9B" w:rsidR="0065560B" w:rsidRDefault="0065560B" w:rsidP="00357BB0">
      <w:pPr>
        <w:pStyle w:val="Paragraphtext"/>
        <w:numPr>
          <w:ilvl w:val="0"/>
          <w:numId w:val="12"/>
        </w:numPr>
      </w:pPr>
      <w:r>
        <w:t>ICT system changes</w:t>
      </w:r>
    </w:p>
    <w:p w14:paraId="0C3D399F" w14:textId="34A87E16" w:rsidR="0065560B" w:rsidRDefault="0065560B" w:rsidP="00357BB0">
      <w:pPr>
        <w:pStyle w:val="Paragraphtext"/>
        <w:numPr>
          <w:ilvl w:val="0"/>
          <w:numId w:val="12"/>
        </w:numPr>
      </w:pPr>
      <w:r>
        <w:t>Communication</w:t>
      </w:r>
    </w:p>
    <w:p w14:paraId="7CDA77B7" w14:textId="5E2249AE" w:rsidR="00787564" w:rsidRDefault="00787564" w:rsidP="00357BB0">
      <w:pPr>
        <w:pStyle w:val="Paragraphtext"/>
        <w:numPr>
          <w:ilvl w:val="0"/>
          <w:numId w:val="12"/>
        </w:numPr>
      </w:pPr>
      <w:r>
        <w:t>Development of audit requirements</w:t>
      </w:r>
    </w:p>
    <w:p w14:paraId="7424D55C" w14:textId="0AC480EF" w:rsidR="00787564" w:rsidRDefault="00787564" w:rsidP="00787564">
      <w:pPr>
        <w:pStyle w:val="Paragraphtext"/>
      </w:pPr>
      <w:r>
        <w:t>Further information on each of these streams of work is provided under the headings below.</w:t>
      </w:r>
    </w:p>
    <w:p w14:paraId="7C5295FF" w14:textId="2DB209BB" w:rsidR="00C76CAF" w:rsidRPr="00EE4D36" w:rsidRDefault="00C76CAF" w:rsidP="004647B1">
      <w:pPr>
        <w:pStyle w:val="Heading4"/>
      </w:pPr>
      <w:r w:rsidRPr="00EE4D36">
        <w:t>Legislation</w:t>
      </w:r>
    </w:p>
    <w:p w14:paraId="73D152BB" w14:textId="435DBA9D" w:rsidR="001C3754" w:rsidRPr="0080338F" w:rsidRDefault="00FB337B" w:rsidP="00C873AC">
      <w:pPr>
        <w:pStyle w:val="Paragraphtext"/>
      </w:pPr>
      <w:r>
        <w:t xml:space="preserve">The </w:t>
      </w:r>
      <w:r w:rsidRPr="1F7963D4">
        <w:rPr>
          <w:i/>
          <w:iCs/>
        </w:rPr>
        <w:t>Aged Care</w:t>
      </w:r>
      <w:r w:rsidR="00A35AED" w:rsidRPr="1F7963D4">
        <w:rPr>
          <w:i/>
          <w:iCs/>
        </w:rPr>
        <w:t xml:space="preserve"> Act</w:t>
      </w:r>
      <w:r w:rsidRPr="1F7963D4">
        <w:rPr>
          <w:i/>
          <w:iCs/>
        </w:rPr>
        <w:t xml:space="preserve"> </w:t>
      </w:r>
      <w:r w:rsidR="00A35AED" w:rsidRPr="1F7963D4">
        <w:rPr>
          <w:i/>
          <w:iCs/>
        </w:rPr>
        <w:t>2024</w:t>
      </w:r>
      <w:r w:rsidR="001C3754" w:rsidRPr="1F7963D4">
        <w:rPr>
          <w:i/>
          <w:iCs/>
        </w:rPr>
        <w:t xml:space="preserve"> </w:t>
      </w:r>
      <w:r w:rsidR="001C3754">
        <w:t>(</w:t>
      </w:r>
      <w:r w:rsidR="00C97883">
        <w:t xml:space="preserve">the </w:t>
      </w:r>
      <w:r w:rsidR="001C3754">
        <w:t>new Act)</w:t>
      </w:r>
      <w:r w:rsidR="00A35AED">
        <w:t xml:space="preserve"> is se</w:t>
      </w:r>
      <w:r w:rsidR="00605314">
        <w:t xml:space="preserve">t to commence on 1 November 2025. As </w:t>
      </w:r>
      <w:r w:rsidR="00EE3830">
        <w:t xml:space="preserve">the policy change to link funding to care minutes is set to commence on 1 October </w:t>
      </w:r>
      <w:r w:rsidR="00011517">
        <w:t>2025</w:t>
      </w:r>
      <w:r w:rsidR="6F8A9C80">
        <w:t>,</w:t>
      </w:r>
      <w:r w:rsidR="00011517">
        <w:t xml:space="preserve"> it will be first legislated under the </w:t>
      </w:r>
      <w:r w:rsidR="00011517" w:rsidRPr="1F7963D4">
        <w:rPr>
          <w:i/>
          <w:iCs/>
        </w:rPr>
        <w:t>Aged Care Act 1997</w:t>
      </w:r>
      <w:r w:rsidR="001C3754" w:rsidRPr="1F7963D4">
        <w:rPr>
          <w:i/>
          <w:iCs/>
        </w:rPr>
        <w:t xml:space="preserve"> </w:t>
      </w:r>
      <w:r w:rsidR="001C3754">
        <w:t>(</w:t>
      </w:r>
      <w:r w:rsidR="00C97883">
        <w:t xml:space="preserve">the </w:t>
      </w:r>
      <w:r w:rsidR="001C3754">
        <w:t>current Act)</w:t>
      </w:r>
      <w:r w:rsidR="008C2AF3">
        <w:t xml:space="preserve"> through amendments to subordinate legislation</w:t>
      </w:r>
      <w:r w:rsidR="009D539B">
        <w:t xml:space="preserve"> in advance of 1 October</w:t>
      </w:r>
      <w:r w:rsidR="00EC058D">
        <w:t xml:space="preserve"> 2025</w:t>
      </w:r>
      <w:r w:rsidR="004E35F7">
        <w:t>.</w:t>
      </w:r>
    </w:p>
    <w:p w14:paraId="3D15029B" w14:textId="25034D8E" w:rsidR="00FE7DAF" w:rsidRPr="0080338F" w:rsidRDefault="7455E43D" w:rsidP="00B54BFD">
      <w:pPr>
        <w:pStyle w:val="Paragraphtext"/>
      </w:pPr>
      <w:r>
        <w:t xml:space="preserve">The </w:t>
      </w:r>
      <w:r w:rsidR="3C13B876">
        <w:t xml:space="preserve">primary legislation of the </w:t>
      </w:r>
      <w:r w:rsidR="67BF332C">
        <w:t>new Act</w:t>
      </w:r>
      <w:r w:rsidR="67BF332C" w:rsidRPr="1F7963D4">
        <w:rPr>
          <w:i/>
          <w:iCs/>
        </w:rPr>
        <w:t xml:space="preserve"> </w:t>
      </w:r>
      <w:r>
        <w:t xml:space="preserve">will also be amended prior </w:t>
      </w:r>
      <w:r w:rsidR="3AA7F02E">
        <w:t>its</w:t>
      </w:r>
      <w:r>
        <w:t xml:space="preserve"> 1 November</w:t>
      </w:r>
      <w:r w:rsidR="6325B3B4">
        <w:t xml:space="preserve"> 2025</w:t>
      </w:r>
      <w:r w:rsidR="3AA7F02E">
        <w:t xml:space="preserve"> commencement</w:t>
      </w:r>
      <w:r>
        <w:t xml:space="preserve"> </w:t>
      </w:r>
      <w:r w:rsidR="71F9601C">
        <w:t xml:space="preserve">date </w:t>
      </w:r>
      <w:r>
        <w:t>to provide a legislative basis for provider</w:t>
      </w:r>
      <w:r w:rsidR="2914F38E">
        <w:t>-</w:t>
      </w:r>
      <w:r>
        <w:t xml:space="preserve">based supplements to enable the </w:t>
      </w:r>
      <w:r w:rsidR="78C882EF">
        <w:t>c</w:t>
      </w:r>
      <w:r>
        <w:t xml:space="preserve">are </w:t>
      </w:r>
      <w:r w:rsidR="78C882EF">
        <w:t>m</w:t>
      </w:r>
      <w:r>
        <w:t xml:space="preserve">inutes </w:t>
      </w:r>
      <w:r w:rsidR="78C882EF">
        <w:t>s</w:t>
      </w:r>
      <w:r>
        <w:t>upplement</w:t>
      </w:r>
      <w:r w:rsidR="69F1B9DB">
        <w:t xml:space="preserve"> (</w:t>
      </w:r>
      <w:r w:rsidR="3C13B876">
        <w:t>as</w:t>
      </w:r>
      <w:r w:rsidR="69F1B9DB">
        <w:t xml:space="preserve"> the new Act in its existing form does not enable this kind of supplement).</w:t>
      </w:r>
      <w:r w:rsidR="72E475CF">
        <w:t xml:space="preserve"> The amendment bill to enable this </w:t>
      </w:r>
      <w:r w:rsidR="00645659">
        <w:t>was introduced</w:t>
      </w:r>
      <w:r w:rsidR="72E475CF">
        <w:t xml:space="preserve"> in </w:t>
      </w:r>
      <w:r w:rsidR="00645659">
        <w:t xml:space="preserve">July </w:t>
      </w:r>
      <w:r w:rsidR="72E475CF">
        <w:t>20</w:t>
      </w:r>
      <w:r w:rsidR="4036A141">
        <w:t>25</w:t>
      </w:r>
      <w:r w:rsidR="00A4639C">
        <w:t xml:space="preserve"> (the Aged Care and Other Legislative Amendment</w:t>
      </w:r>
      <w:r w:rsidR="008014C1">
        <w:t xml:space="preserve"> Bill 2025)</w:t>
      </w:r>
      <w:r w:rsidR="4036A141">
        <w:t>.</w:t>
      </w:r>
      <w:r w:rsidR="69F1B9DB">
        <w:t xml:space="preserve"> </w:t>
      </w:r>
      <w:r w:rsidR="3AA7F02E">
        <w:t>Subordinate legislation</w:t>
      </w:r>
      <w:r w:rsidR="4D7053B4">
        <w:t xml:space="preserve"> will also be developed</w:t>
      </w:r>
      <w:r w:rsidR="69F1B9DB">
        <w:t xml:space="preserve"> to establish the</w:t>
      </w:r>
      <w:r w:rsidR="78C882EF">
        <w:t xml:space="preserve"> detail of the c</w:t>
      </w:r>
      <w:r w:rsidR="69F1B9DB">
        <w:t xml:space="preserve">are </w:t>
      </w:r>
      <w:r w:rsidR="78C882EF">
        <w:t>m</w:t>
      </w:r>
      <w:r w:rsidR="69F1B9DB">
        <w:t xml:space="preserve">inute </w:t>
      </w:r>
      <w:r w:rsidR="78C882EF">
        <w:t>s</w:t>
      </w:r>
      <w:r w:rsidR="69F1B9DB">
        <w:t xml:space="preserve">upplement </w:t>
      </w:r>
      <w:r w:rsidR="4D7053B4">
        <w:t>un</w:t>
      </w:r>
      <w:r w:rsidR="3ED8701E">
        <w:t xml:space="preserve">der the </w:t>
      </w:r>
      <w:r w:rsidR="14C024A2">
        <w:t>new A</w:t>
      </w:r>
      <w:r w:rsidR="4036A141">
        <w:t>ct.</w:t>
      </w:r>
    </w:p>
    <w:p w14:paraId="538533F8" w14:textId="01D94498" w:rsidR="00F90195" w:rsidRPr="00C873AC" w:rsidRDefault="003B5C2F" w:rsidP="0024544B">
      <w:pPr>
        <w:pStyle w:val="Paragraphtext"/>
      </w:pPr>
      <w:r w:rsidRPr="0080338F">
        <w:t xml:space="preserve">As the first Care Minute Performance Statement and audit is not </w:t>
      </w:r>
      <w:r w:rsidR="008530D4" w:rsidRPr="0080338F">
        <w:t xml:space="preserve">due until October 2026, </w:t>
      </w:r>
      <w:r w:rsidR="00706E60" w:rsidRPr="0080338F">
        <w:t xml:space="preserve">this will not be legislated under the current Act. </w:t>
      </w:r>
      <w:r w:rsidR="00CA1C14" w:rsidRPr="0080338F">
        <w:t>Instead,</w:t>
      </w:r>
      <w:r w:rsidR="00706E60" w:rsidRPr="0080338F">
        <w:t xml:space="preserve"> it is expected that it will be set out in the Aged Care Rules</w:t>
      </w:r>
      <w:r w:rsidR="0024544B" w:rsidRPr="0080338F">
        <w:t xml:space="preserve"> (subordinate legislation) from the</w:t>
      </w:r>
      <w:r w:rsidR="0024544B">
        <w:t xml:space="preserve"> commencement of the New Act in November 2025.</w:t>
      </w:r>
      <w:bookmarkStart w:id="73" w:name="_Hlk200287224"/>
      <w:r w:rsidR="00961AB5" w:rsidRPr="00C873AC">
        <w:t xml:space="preserve"> </w:t>
      </w:r>
    </w:p>
    <w:bookmarkEnd w:id="73"/>
    <w:p w14:paraId="5095D1C3" w14:textId="5BB4D7C0" w:rsidR="009E14D8" w:rsidRDefault="009B5483" w:rsidP="009E14D8">
      <w:pPr>
        <w:pStyle w:val="Heading4"/>
      </w:pPr>
      <w:r>
        <w:t>I</w:t>
      </w:r>
      <w:r w:rsidR="7B2A4B11">
        <w:t xml:space="preserve">nformation and </w:t>
      </w:r>
      <w:r>
        <w:t>C</w:t>
      </w:r>
      <w:r w:rsidR="2B2F2466">
        <w:t xml:space="preserve">ommunication </w:t>
      </w:r>
      <w:r>
        <w:t>T</w:t>
      </w:r>
      <w:r w:rsidR="09DD8BB8">
        <w:t>echnology</w:t>
      </w:r>
      <w:r>
        <w:t xml:space="preserve"> </w:t>
      </w:r>
      <w:r w:rsidR="009E14D8">
        <w:t>System changes</w:t>
      </w:r>
    </w:p>
    <w:p w14:paraId="6145AE10" w14:textId="43C5CC46" w:rsidR="00383E35" w:rsidRDefault="725FA361" w:rsidP="00C873AC">
      <w:pPr>
        <w:pStyle w:val="Paragraphtext"/>
      </w:pPr>
      <w:r>
        <w:t>Information Communication and Technology (</w:t>
      </w:r>
      <w:r w:rsidR="009E14D8">
        <w:t>ICT</w:t>
      </w:r>
      <w:r w:rsidR="1FA01C8C">
        <w:t>)</w:t>
      </w:r>
      <w:r w:rsidR="009E14D8">
        <w:t xml:space="preserve"> changes </w:t>
      </w:r>
      <w:r w:rsidR="00A35740">
        <w:t>to</w:t>
      </w:r>
      <w:r w:rsidR="009E14D8">
        <w:t xml:space="preserve"> the department</w:t>
      </w:r>
      <w:r w:rsidR="00A35740">
        <w:t>’s IT systems</w:t>
      </w:r>
      <w:r w:rsidR="009E14D8">
        <w:t xml:space="preserve"> and to Service Australia’s payment system are needed to capture funding eligibility, transmit this to Services Australia, and for Services Australia to pay the new variable rate supplement. </w:t>
      </w:r>
    </w:p>
    <w:p w14:paraId="6361BA83" w14:textId="360486FF" w:rsidR="00922891" w:rsidRDefault="00383E35" w:rsidP="00C873AC">
      <w:pPr>
        <w:pStyle w:val="Paragraphtext"/>
      </w:pPr>
      <w:r>
        <w:lastRenderedPageBreak/>
        <w:t>T</w:t>
      </w:r>
      <w:r w:rsidR="009E14D8">
        <w:t xml:space="preserve">he </w:t>
      </w:r>
      <w:r>
        <w:t xml:space="preserve">ICT </w:t>
      </w:r>
      <w:r w:rsidR="009E14D8">
        <w:t xml:space="preserve">changes do not need to be in place until </w:t>
      </w:r>
      <w:r>
        <w:t>the commencement of the supplement in April</w:t>
      </w:r>
      <w:r w:rsidR="00CA1C14">
        <w:t> </w:t>
      </w:r>
      <w:r w:rsidR="009E14D8">
        <w:t xml:space="preserve">2026, and this means there is significant lead time to design, consult and implement ICT </w:t>
      </w:r>
      <w:r w:rsidR="000D26C0">
        <w:t>changes</w:t>
      </w:r>
      <w:r w:rsidR="009E14D8">
        <w:t xml:space="preserve">. The department has commenced ICT design work for this policy change, including completion of </w:t>
      </w:r>
      <w:r>
        <w:t>H</w:t>
      </w:r>
      <w:r w:rsidR="009E14D8">
        <w:t>igh-</w:t>
      </w:r>
      <w:r>
        <w:t>L</w:t>
      </w:r>
      <w:r w:rsidR="009E14D8">
        <w:t xml:space="preserve">evel </w:t>
      </w:r>
      <w:r>
        <w:t>B</w:t>
      </w:r>
      <w:r w:rsidR="009E14D8">
        <w:t xml:space="preserve">usiness </w:t>
      </w:r>
      <w:r>
        <w:t>R</w:t>
      </w:r>
      <w:r w:rsidR="009E14D8">
        <w:t xml:space="preserve">equirements </w:t>
      </w:r>
      <w:r>
        <w:t>and D</w:t>
      </w:r>
      <w:r w:rsidR="009E14D8">
        <w:t xml:space="preserve">etailed </w:t>
      </w:r>
      <w:r>
        <w:t>B</w:t>
      </w:r>
      <w:r w:rsidR="009E14D8">
        <w:t xml:space="preserve">usiness </w:t>
      </w:r>
      <w:r>
        <w:t>R</w:t>
      </w:r>
      <w:r w:rsidR="009E14D8">
        <w:t>equirements</w:t>
      </w:r>
      <w:r w:rsidR="00CC12F6">
        <w:t>.</w:t>
      </w:r>
    </w:p>
    <w:p w14:paraId="6FE6DF0A" w14:textId="656FE172" w:rsidR="0065441D" w:rsidRDefault="00922891" w:rsidP="00C873AC">
      <w:pPr>
        <w:pStyle w:val="Paragraphtext"/>
      </w:pPr>
      <w:r>
        <w:t xml:space="preserve">The </w:t>
      </w:r>
      <w:r w:rsidR="00694A16">
        <w:t>department’s</w:t>
      </w:r>
      <w:r>
        <w:t xml:space="preserve"> ICT </w:t>
      </w:r>
      <w:r w:rsidR="00336617">
        <w:t>changes are scheduled to occur in the February 2026 release</w:t>
      </w:r>
      <w:r w:rsidR="00146126">
        <w:t xml:space="preserve">, </w:t>
      </w:r>
      <w:r w:rsidR="001F56C6">
        <w:t xml:space="preserve">almost </w:t>
      </w:r>
      <w:r w:rsidR="45ECDEA4">
        <w:t>3</w:t>
      </w:r>
      <w:r w:rsidR="00146126">
        <w:t xml:space="preserve"> months ahead</w:t>
      </w:r>
      <w:r w:rsidR="000D26C0">
        <w:t xml:space="preserve"> of the first care minutes supplement payments </w:t>
      </w:r>
      <w:r w:rsidR="001F56C6">
        <w:t xml:space="preserve">being made in early May 2026. </w:t>
      </w:r>
      <w:r w:rsidR="00007240">
        <w:t xml:space="preserve">The </w:t>
      </w:r>
      <w:r w:rsidR="003A2A86">
        <w:t xml:space="preserve">department’s ICT changes will </w:t>
      </w:r>
      <w:r w:rsidR="002F4823">
        <w:t>primarily be to the Government Provider Management System (GPMS)</w:t>
      </w:r>
      <w:r w:rsidR="00CC5761">
        <w:t xml:space="preserve"> and will leverage existing care minutes functionality within GPMS wherever possible.</w:t>
      </w:r>
      <w:r w:rsidR="005B2ABB">
        <w:t xml:space="preserve"> </w:t>
      </w:r>
      <w:r w:rsidR="00AC2A89">
        <w:t>It is expected that</w:t>
      </w:r>
      <w:r w:rsidR="005B2ABB">
        <w:t xml:space="preserve"> Services Australia’s ICT build </w:t>
      </w:r>
      <w:r w:rsidR="00AC2A89">
        <w:t>will also be completed around this time, allowing significant testing to occur before go-live in April 2026</w:t>
      </w:r>
      <w:r w:rsidR="00650CBC">
        <w:t>.</w:t>
      </w:r>
    </w:p>
    <w:p w14:paraId="1E70BF25" w14:textId="68926C7A" w:rsidR="00BA7ED4" w:rsidRPr="00935F23" w:rsidRDefault="007319B5" w:rsidP="007319B5">
      <w:pPr>
        <w:pStyle w:val="Heading4"/>
      </w:pPr>
      <w:r>
        <w:rPr>
          <w:noProof/>
          <w:lang w:eastAsia="en-AU"/>
        </w:rPr>
        <w:t>Communication and engagement</w:t>
      </w:r>
    </w:p>
    <w:p w14:paraId="26BBFE59" w14:textId="2E3DC264" w:rsidR="00FA5ED5" w:rsidRDefault="00D24A62" w:rsidP="00C873AC">
      <w:pPr>
        <w:pStyle w:val="Paragraphtext"/>
        <w:rPr>
          <w:rFonts w:eastAsia="Arial"/>
        </w:rPr>
      </w:pPr>
      <w:r w:rsidRPr="00D24A62">
        <w:rPr>
          <w:rFonts w:eastAsia="Arial"/>
        </w:rPr>
        <w:t xml:space="preserve">A communications plan has been developed </w:t>
      </w:r>
      <w:r w:rsidR="00FA5ED5" w:rsidRPr="193D1534">
        <w:rPr>
          <w:rFonts w:eastAsia="Arial"/>
        </w:rPr>
        <w:t xml:space="preserve">to ensure the sector is fully aware of how the funding changes and associated care minutes reporting </w:t>
      </w:r>
      <w:r w:rsidR="00C46ECF">
        <w:rPr>
          <w:rFonts w:eastAsia="Arial"/>
        </w:rPr>
        <w:t xml:space="preserve">and </w:t>
      </w:r>
      <w:r w:rsidR="00FA5ED5" w:rsidRPr="193D1534">
        <w:rPr>
          <w:rFonts w:eastAsia="Arial"/>
        </w:rPr>
        <w:t xml:space="preserve">auditing assurance arrangements will operate well in advance of their commencement. </w:t>
      </w:r>
    </w:p>
    <w:p w14:paraId="7A53D5B9" w14:textId="048A3E19" w:rsidR="00497FAB" w:rsidRDefault="004A4E0A" w:rsidP="00C873AC">
      <w:pPr>
        <w:pStyle w:val="Paragraphtext"/>
        <w:rPr>
          <w:rFonts w:eastAsia="Arial"/>
        </w:rPr>
      </w:pPr>
      <w:r>
        <w:rPr>
          <w:rFonts w:eastAsia="Arial"/>
        </w:rPr>
        <w:t>The first tranche of communications began in December 2024</w:t>
      </w:r>
      <w:r w:rsidR="00A928C9">
        <w:rPr>
          <w:rFonts w:eastAsia="Arial"/>
        </w:rPr>
        <w:t xml:space="preserve">. The sector was informed of the policy change with a direct email to all providers as well as a newsletter article in the weekly </w:t>
      </w:r>
      <w:r w:rsidR="00750BC6">
        <w:rPr>
          <w:rFonts w:eastAsia="Arial"/>
        </w:rPr>
        <w:t>Your Aged Care Update outlining the change. These linked to</w:t>
      </w:r>
      <w:r>
        <w:rPr>
          <w:rFonts w:eastAsia="Arial"/>
        </w:rPr>
        <w:t xml:space="preserve"> a detailed fact sheet</w:t>
      </w:r>
      <w:r w:rsidR="000E7790">
        <w:rPr>
          <w:rFonts w:eastAsia="Arial"/>
        </w:rPr>
        <w:t xml:space="preserve"> outlining the planned funding and assurance changes</w:t>
      </w:r>
      <w:r w:rsidR="007C0871">
        <w:rPr>
          <w:rFonts w:eastAsia="Arial"/>
        </w:rPr>
        <w:t>. An excel</w:t>
      </w:r>
      <w:r w:rsidR="00650CBC">
        <w:rPr>
          <w:rFonts w:eastAsia="Arial"/>
        </w:rPr>
        <w:t>-</w:t>
      </w:r>
      <w:r w:rsidR="007C0871">
        <w:rPr>
          <w:rFonts w:eastAsia="Arial"/>
        </w:rPr>
        <w:t>based calculator was also</w:t>
      </w:r>
      <w:r w:rsidR="00276E78">
        <w:rPr>
          <w:rFonts w:eastAsia="Arial"/>
        </w:rPr>
        <w:t xml:space="preserve"> published which allows providers to input certain assumptions (such as the AN</w:t>
      </w:r>
      <w:r w:rsidR="6622AA34">
        <w:rPr>
          <w:rFonts w:eastAsia="Arial"/>
        </w:rPr>
        <w:t>-</w:t>
      </w:r>
      <w:r w:rsidR="00276E78">
        <w:rPr>
          <w:rFonts w:eastAsia="Arial"/>
        </w:rPr>
        <w:t>ACC price that will apply</w:t>
      </w:r>
      <w:r w:rsidR="00EA697A">
        <w:rPr>
          <w:rFonts w:eastAsia="Arial"/>
        </w:rPr>
        <w:t xml:space="preserve"> in April 2026</w:t>
      </w:r>
      <w:r w:rsidR="00634B25">
        <w:rPr>
          <w:rFonts w:eastAsia="Arial"/>
        </w:rPr>
        <w:t xml:space="preserve">, and a </w:t>
      </w:r>
      <w:r w:rsidR="00205DFC">
        <w:rPr>
          <w:rFonts w:eastAsia="Arial"/>
        </w:rPr>
        <w:t>home</w:t>
      </w:r>
      <w:r w:rsidR="004F6577">
        <w:rPr>
          <w:rFonts w:eastAsia="Arial"/>
        </w:rPr>
        <w:t>’</w:t>
      </w:r>
      <w:r w:rsidR="00205DFC">
        <w:rPr>
          <w:rFonts w:eastAsia="Arial"/>
        </w:rPr>
        <w:t>s</w:t>
      </w:r>
      <w:r w:rsidR="00634B25">
        <w:rPr>
          <w:rFonts w:eastAsia="Arial"/>
        </w:rPr>
        <w:t xml:space="preserve"> care minutes targets and </w:t>
      </w:r>
      <w:r w:rsidR="00205DFC">
        <w:rPr>
          <w:rFonts w:eastAsia="Arial"/>
        </w:rPr>
        <w:t xml:space="preserve">care </w:t>
      </w:r>
      <w:r w:rsidR="00634B25">
        <w:rPr>
          <w:rFonts w:eastAsia="Arial"/>
        </w:rPr>
        <w:t>minutes delivered from October-December 2025)</w:t>
      </w:r>
      <w:r w:rsidR="00E637E5">
        <w:rPr>
          <w:rFonts w:eastAsia="Arial"/>
        </w:rPr>
        <w:t xml:space="preserve"> and see what </w:t>
      </w:r>
      <w:r w:rsidR="00513A79">
        <w:rPr>
          <w:rFonts w:eastAsia="Arial"/>
        </w:rPr>
        <w:t>the impact of this change would be on</w:t>
      </w:r>
      <w:r w:rsidR="00557660">
        <w:rPr>
          <w:rFonts w:eastAsia="Arial"/>
        </w:rPr>
        <w:t xml:space="preserve"> their funding. </w:t>
      </w:r>
    </w:p>
    <w:p w14:paraId="7B4B657A" w14:textId="0126FFD7" w:rsidR="00A76A9F" w:rsidRDefault="00A76A9F" w:rsidP="00C873AC">
      <w:pPr>
        <w:pStyle w:val="Paragraphtext"/>
        <w:rPr>
          <w:rFonts w:eastAsia="Arial"/>
        </w:rPr>
      </w:pPr>
      <w:r w:rsidRPr="1F7963D4">
        <w:rPr>
          <w:rFonts w:eastAsia="Arial"/>
        </w:rPr>
        <w:t xml:space="preserve">A public webinar was also </w:t>
      </w:r>
      <w:r w:rsidR="00280219" w:rsidRPr="1F7963D4">
        <w:rPr>
          <w:rFonts w:eastAsia="Arial"/>
        </w:rPr>
        <w:t xml:space="preserve">held </w:t>
      </w:r>
      <w:r w:rsidRPr="1F7963D4">
        <w:rPr>
          <w:rFonts w:eastAsia="Arial"/>
        </w:rPr>
        <w:t>on 1 May 2025</w:t>
      </w:r>
      <w:r w:rsidR="00F23020" w:rsidRPr="1F7963D4">
        <w:rPr>
          <w:rFonts w:eastAsia="Arial"/>
        </w:rPr>
        <w:t xml:space="preserve"> </w:t>
      </w:r>
      <w:r w:rsidR="00515A02" w:rsidRPr="1F7963D4">
        <w:rPr>
          <w:rFonts w:eastAsia="Arial"/>
        </w:rPr>
        <w:t xml:space="preserve">to further ensure the </w:t>
      </w:r>
      <w:r w:rsidR="53D933A0" w:rsidRPr="1F7963D4">
        <w:rPr>
          <w:rFonts w:eastAsia="Arial"/>
        </w:rPr>
        <w:t xml:space="preserve">residential aged care </w:t>
      </w:r>
      <w:r w:rsidR="00515A02" w:rsidRPr="1F7963D4">
        <w:rPr>
          <w:rFonts w:eastAsia="Arial"/>
        </w:rPr>
        <w:t>sector was aware of the funding changes and provide more detail on the assurance changes.</w:t>
      </w:r>
      <w:r w:rsidR="004C36DA" w:rsidRPr="1F7963D4">
        <w:rPr>
          <w:rFonts w:eastAsia="Arial"/>
        </w:rPr>
        <w:t xml:space="preserve"> </w:t>
      </w:r>
      <w:r w:rsidR="002E1950" w:rsidRPr="1F7963D4">
        <w:rPr>
          <w:rFonts w:eastAsia="Arial"/>
        </w:rPr>
        <w:t>3845</w:t>
      </w:r>
      <w:r w:rsidR="004C36DA" w:rsidRPr="1F7963D4">
        <w:rPr>
          <w:rFonts w:eastAsia="Arial"/>
        </w:rPr>
        <w:t xml:space="preserve"> people registered for this event, and </w:t>
      </w:r>
      <w:r w:rsidR="002E1950" w:rsidRPr="1F7963D4">
        <w:rPr>
          <w:rFonts w:eastAsia="Arial"/>
        </w:rPr>
        <w:t>2197</w:t>
      </w:r>
      <w:r w:rsidR="009F5F39" w:rsidRPr="1F7963D4">
        <w:rPr>
          <w:rFonts w:eastAsia="Arial"/>
        </w:rPr>
        <w:t xml:space="preserve"> people attended the live event. </w:t>
      </w:r>
      <w:r w:rsidR="00316E12" w:rsidRPr="1F7963D4">
        <w:rPr>
          <w:rFonts w:eastAsia="Arial"/>
        </w:rPr>
        <w:t>As this webinar was held during the caretaker period</w:t>
      </w:r>
      <w:r w:rsidR="00E14541" w:rsidRPr="1F7963D4">
        <w:rPr>
          <w:rFonts w:eastAsia="Arial"/>
        </w:rPr>
        <w:t xml:space="preserve"> </w:t>
      </w:r>
      <w:r w:rsidR="008846FD" w:rsidRPr="1F7963D4">
        <w:rPr>
          <w:rFonts w:eastAsia="Arial"/>
        </w:rPr>
        <w:t>only pre-submitted questions were answered during the webinar</w:t>
      </w:r>
      <w:r w:rsidR="002F0635" w:rsidRPr="1F7963D4">
        <w:rPr>
          <w:rFonts w:eastAsia="Arial"/>
        </w:rPr>
        <w:t xml:space="preserve">. Stakeholders were however able to submit questions in advance </w:t>
      </w:r>
      <w:r w:rsidR="008063F6">
        <w:rPr>
          <w:rFonts w:eastAsia="Arial"/>
        </w:rPr>
        <w:t>and during</w:t>
      </w:r>
      <w:r w:rsidR="002F0635" w:rsidRPr="1F7963D4">
        <w:rPr>
          <w:rFonts w:eastAsia="Arial"/>
        </w:rPr>
        <w:t xml:space="preserve"> the webinar</w:t>
      </w:r>
      <w:r w:rsidR="008063F6">
        <w:rPr>
          <w:rFonts w:eastAsia="Arial"/>
        </w:rPr>
        <w:t>.</w:t>
      </w:r>
      <w:r w:rsidR="00B3624B" w:rsidRPr="1F7963D4">
        <w:rPr>
          <w:rFonts w:eastAsia="Arial"/>
        </w:rPr>
        <w:t xml:space="preserve"> </w:t>
      </w:r>
      <w:r w:rsidR="006C0B07" w:rsidRPr="1F7963D4">
        <w:rPr>
          <w:rFonts w:eastAsia="Arial"/>
        </w:rPr>
        <w:t>Pre-submitted questions</w:t>
      </w:r>
      <w:r w:rsidR="00D36018" w:rsidRPr="1F7963D4">
        <w:rPr>
          <w:rFonts w:eastAsia="Arial"/>
        </w:rPr>
        <w:t xml:space="preserve"> not answered in the webinar, and questions submitted during the webinar were answered in </w:t>
      </w:r>
      <w:r w:rsidR="653E9909" w:rsidRPr="1F7963D4">
        <w:rPr>
          <w:rFonts w:eastAsia="Arial"/>
        </w:rPr>
        <w:t xml:space="preserve">a </w:t>
      </w:r>
      <w:r w:rsidR="00D36018" w:rsidRPr="1F7963D4">
        <w:rPr>
          <w:rFonts w:eastAsia="Arial"/>
        </w:rPr>
        <w:t xml:space="preserve">published </w:t>
      </w:r>
      <w:r w:rsidR="00B504A5" w:rsidRPr="1F7963D4">
        <w:rPr>
          <w:rFonts w:eastAsia="Arial"/>
        </w:rPr>
        <w:t xml:space="preserve">frequently asked questions </w:t>
      </w:r>
      <w:r w:rsidR="00237F98" w:rsidRPr="1F7963D4">
        <w:rPr>
          <w:rFonts w:eastAsia="Arial"/>
        </w:rPr>
        <w:t>(</w:t>
      </w:r>
      <w:r w:rsidR="00447C56" w:rsidRPr="1F7963D4">
        <w:rPr>
          <w:rFonts w:eastAsia="Arial"/>
        </w:rPr>
        <w:t>FAQ</w:t>
      </w:r>
      <w:r w:rsidR="00237F98" w:rsidRPr="1F7963D4">
        <w:rPr>
          <w:rFonts w:eastAsia="Arial"/>
        </w:rPr>
        <w:t>)</w:t>
      </w:r>
      <w:r w:rsidR="00447C56" w:rsidRPr="1F7963D4">
        <w:rPr>
          <w:rFonts w:eastAsia="Arial"/>
        </w:rPr>
        <w:t xml:space="preserve"> document in the weeks following the event.</w:t>
      </w:r>
    </w:p>
    <w:p w14:paraId="0FDA478E" w14:textId="125F80E9" w:rsidR="00487088" w:rsidRDefault="006D21CF" w:rsidP="00C873AC">
      <w:pPr>
        <w:pStyle w:val="Paragraphtext"/>
        <w:rPr>
          <w:rFonts w:eastAsia="Arial"/>
        </w:rPr>
      </w:pPr>
      <w:r>
        <w:rPr>
          <w:rFonts w:eastAsia="Arial"/>
        </w:rPr>
        <w:t>Communication with the sector on the funding changes will continue</w:t>
      </w:r>
      <w:r w:rsidR="00504D9C">
        <w:rPr>
          <w:rFonts w:eastAsia="Arial"/>
        </w:rPr>
        <w:t xml:space="preserve">, with </w:t>
      </w:r>
      <w:r w:rsidR="00C25662">
        <w:rPr>
          <w:rFonts w:eastAsia="Arial"/>
        </w:rPr>
        <w:t xml:space="preserve">the communications in advance of 1 October 2025 focused on </w:t>
      </w:r>
      <w:r w:rsidR="001116A9">
        <w:rPr>
          <w:rFonts w:eastAsia="Arial"/>
        </w:rPr>
        <w:t>ensuring providers are aware of the chang</w:t>
      </w:r>
      <w:r w:rsidR="00A7458E">
        <w:rPr>
          <w:rFonts w:eastAsia="Arial"/>
        </w:rPr>
        <w:t>e</w:t>
      </w:r>
      <w:r w:rsidR="00047F79">
        <w:rPr>
          <w:rFonts w:eastAsia="Arial"/>
        </w:rPr>
        <w:t>s</w:t>
      </w:r>
      <w:r w:rsidR="00A7458E">
        <w:rPr>
          <w:rFonts w:eastAsia="Arial"/>
        </w:rPr>
        <w:t xml:space="preserve"> and on increasing their care minutes</w:t>
      </w:r>
      <w:r w:rsidR="00237F98">
        <w:rPr>
          <w:rFonts w:eastAsia="Arial"/>
        </w:rPr>
        <w:t xml:space="preserve"> delivery</w:t>
      </w:r>
      <w:r w:rsidR="00A7458E">
        <w:rPr>
          <w:rFonts w:eastAsia="Arial"/>
        </w:rPr>
        <w:t>. Communications in</w:t>
      </w:r>
      <w:r w:rsidR="0067523C">
        <w:rPr>
          <w:rFonts w:eastAsia="Arial"/>
        </w:rPr>
        <w:t xml:space="preserve"> the lead up to the</w:t>
      </w:r>
      <w:r w:rsidR="00A7458E">
        <w:rPr>
          <w:rFonts w:eastAsia="Arial"/>
        </w:rPr>
        <w:t xml:space="preserve"> payment changes from 1 April 2026 will</w:t>
      </w:r>
      <w:r w:rsidR="0067523C">
        <w:rPr>
          <w:rFonts w:eastAsia="Arial"/>
        </w:rPr>
        <w:t xml:space="preserve"> focus on ensuring providers understand </w:t>
      </w:r>
      <w:r w:rsidR="006C22B3">
        <w:rPr>
          <w:rFonts w:eastAsia="Arial"/>
        </w:rPr>
        <w:t xml:space="preserve">the details of the funding changes, including how they can </w:t>
      </w:r>
      <w:r w:rsidR="00984D31">
        <w:rPr>
          <w:rFonts w:eastAsia="Arial"/>
        </w:rPr>
        <w:t xml:space="preserve">check their care minutes compliance </w:t>
      </w:r>
      <w:r w:rsidR="00830AE6">
        <w:rPr>
          <w:rFonts w:eastAsia="Arial"/>
        </w:rPr>
        <w:t>levels that will be used to calculate their payments, how this change will appear on their payment statements</w:t>
      </w:r>
      <w:r w:rsidR="008F1865">
        <w:rPr>
          <w:rFonts w:eastAsia="Arial"/>
        </w:rPr>
        <w:t xml:space="preserve"> and</w:t>
      </w:r>
      <w:r w:rsidR="00CC24BB">
        <w:rPr>
          <w:rFonts w:eastAsia="Arial"/>
        </w:rPr>
        <w:t xml:space="preserve"> </w:t>
      </w:r>
      <w:r w:rsidR="000B1F87">
        <w:rPr>
          <w:rFonts w:eastAsia="Arial"/>
        </w:rPr>
        <w:t>who to contact if it appears they are not being paid correctly. These communications will be undertaken jointly between the department and Services Australia.</w:t>
      </w:r>
    </w:p>
    <w:p w14:paraId="333C8E5D" w14:textId="77777777" w:rsidR="003950E7" w:rsidRDefault="003950E7" w:rsidP="003950E7">
      <w:pPr>
        <w:pStyle w:val="Heading4"/>
        <w:rPr>
          <w:noProof/>
          <w:lang w:eastAsia="en-AU"/>
        </w:rPr>
      </w:pPr>
      <w:r w:rsidRPr="0BD9A538">
        <w:rPr>
          <w:noProof/>
          <w:lang w:eastAsia="en-AU"/>
        </w:rPr>
        <w:t>Development of audit requirements</w:t>
      </w:r>
    </w:p>
    <w:p w14:paraId="269C0404" w14:textId="5EBD6508" w:rsidR="00451072" w:rsidRDefault="004830A8" w:rsidP="003B65A0">
      <w:pPr>
        <w:pStyle w:val="Paragraphtext"/>
        <w:rPr>
          <w:rFonts w:eastAsia="Arial"/>
        </w:rPr>
      </w:pPr>
      <w:r>
        <w:rPr>
          <w:rFonts w:eastAsia="Arial"/>
        </w:rPr>
        <w:t>The department has procured</w:t>
      </w:r>
      <w:r w:rsidR="00415C01">
        <w:rPr>
          <w:rFonts w:eastAsia="Arial"/>
        </w:rPr>
        <w:t xml:space="preserve"> (through the Management Advisory Services panel) an audit firm to support the </w:t>
      </w:r>
      <w:r w:rsidR="00C162E6">
        <w:rPr>
          <w:rFonts w:eastAsia="Arial"/>
        </w:rPr>
        <w:t xml:space="preserve">development of the audit </w:t>
      </w:r>
      <w:r w:rsidR="007415DD">
        <w:rPr>
          <w:rFonts w:eastAsia="Arial"/>
        </w:rPr>
        <w:t>guidelines.</w:t>
      </w:r>
      <w:r w:rsidR="00EA3248">
        <w:rPr>
          <w:rFonts w:eastAsia="Arial"/>
        </w:rPr>
        <w:t xml:space="preserve"> </w:t>
      </w:r>
    </w:p>
    <w:p w14:paraId="06FCEBF8" w14:textId="41F1BF50" w:rsidR="005B240B" w:rsidRDefault="00A3127C" w:rsidP="003B65A0">
      <w:pPr>
        <w:pStyle w:val="Paragraphtext"/>
        <w:rPr>
          <w:rFonts w:eastAsia="Arial"/>
        </w:rPr>
      </w:pPr>
      <w:r w:rsidRPr="1F7963D4">
        <w:rPr>
          <w:rFonts w:eastAsia="Arial"/>
        </w:rPr>
        <w:t>Draft guidelines have been developed to support providers</w:t>
      </w:r>
      <w:r w:rsidR="006631C4" w:rsidRPr="1F7963D4">
        <w:rPr>
          <w:rFonts w:eastAsia="Arial"/>
        </w:rPr>
        <w:t xml:space="preserve"> to engage an auditor</w:t>
      </w:r>
      <w:r w:rsidR="006D6B3E" w:rsidRPr="1F7963D4">
        <w:rPr>
          <w:rFonts w:eastAsia="Arial"/>
        </w:rPr>
        <w:t>. The</w:t>
      </w:r>
      <w:r w:rsidR="002F4A76" w:rsidRPr="1F7963D4">
        <w:rPr>
          <w:rFonts w:eastAsia="Arial"/>
        </w:rPr>
        <w:t xml:space="preserve"> </w:t>
      </w:r>
      <w:r w:rsidR="00204942" w:rsidRPr="1F7963D4">
        <w:rPr>
          <w:rFonts w:eastAsia="Arial"/>
        </w:rPr>
        <w:t>Aged Care Quality</w:t>
      </w:r>
      <w:r w:rsidR="006D6B3E" w:rsidRPr="1F7963D4">
        <w:rPr>
          <w:rFonts w:eastAsia="Arial"/>
        </w:rPr>
        <w:t xml:space="preserve"> Sector Reference Group</w:t>
      </w:r>
      <w:r w:rsidR="002F4A76" w:rsidRPr="1F7963D4">
        <w:rPr>
          <w:rFonts w:eastAsia="Arial"/>
        </w:rPr>
        <w:t xml:space="preserve"> was consulted as part of the establishment of these guidelines</w:t>
      </w:r>
      <w:r w:rsidR="00204942" w:rsidRPr="1F7963D4">
        <w:rPr>
          <w:rFonts w:eastAsia="Arial"/>
        </w:rPr>
        <w:t>. These guidelines are expected to be publi</w:t>
      </w:r>
      <w:r w:rsidR="00F528A6" w:rsidRPr="1F7963D4">
        <w:rPr>
          <w:rFonts w:eastAsia="Arial"/>
        </w:rPr>
        <w:t>shed in late June</w:t>
      </w:r>
      <w:r w:rsidR="5AAC0064" w:rsidRPr="1F7963D4">
        <w:rPr>
          <w:rFonts w:eastAsia="Arial"/>
        </w:rPr>
        <w:t xml:space="preserve"> 2025</w:t>
      </w:r>
      <w:r w:rsidR="00F528A6" w:rsidRPr="1F7963D4">
        <w:rPr>
          <w:rFonts w:eastAsia="Arial"/>
        </w:rPr>
        <w:t>.</w:t>
      </w:r>
    </w:p>
    <w:p w14:paraId="1C19DE46" w14:textId="393BD040" w:rsidR="00451072" w:rsidRDefault="00451072" w:rsidP="3872E97C">
      <w:pPr>
        <w:pStyle w:val="Paragraphtext"/>
        <w:rPr>
          <w:rFonts w:eastAsia="Arial"/>
        </w:rPr>
      </w:pPr>
      <w:r w:rsidRPr="3872E97C">
        <w:rPr>
          <w:rFonts w:eastAsia="Arial"/>
        </w:rPr>
        <w:t xml:space="preserve">Guidelines </w:t>
      </w:r>
      <w:r w:rsidR="6BDEC055" w:rsidRPr="3872E97C">
        <w:rPr>
          <w:rFonts w:eastAsia="Arial"/>
        </w:rPr>
        <w:t xml:space="preserve">were </w:t>
      </w:r>
      <w:r w:rsidRPr="3872E97C">
        <w:rPr>
          <w:rFonts w:eastAsia="Arial"/>
        </w:rPr>
        <w:t xml:space="preserve">developed for </w:t>
      </w:r>
      <w:r w:rsidR="56639821" w:rsidRPr="3872E97C">
        <w:rPr>
          <w:rFonts w:eastAsia="Arial"/>
        </w:rPr>
        <w:t xml:space="preserve">providers and </w:t>
      </w:r>
      <w:r w:rsidR="001F526D" w:rsidRPr="3872E97C">
        <w:rPr>
          <w:rFonts w:eastAsia="Arial"/>
        </w:rPr>
        <w:t xml:space="preserve">auditors to support them to </w:t>
      </w:r>
      <w:r w:rsidR="63FCD00A" w:rsidRPr="3872E97C">
        <w:rPr>
          <w:rFonts w:eastAsia="Arial"/>
        </w:rPr>
        <w:t>perform</w:t>
      </w:r>
      <w:r w:rsidR="001F526D" w:rsidRPr="3872E97C">
        <w:rPr>
          <w:rFonts w:eastAsia="Arial"/>
        </w:rPr>
        <w:t xml:space="preserve"> these audits.</w:t>
      </w:r>
      <w:r w:rsidR="1D15B98E" w:rsidRPr="3872E97C">
        <w:rPr>
          <w:rFonts w:eastAsia="Arial"/>
        </w:rPr>
        <w:t xml:space="preserve"> The department has undertaken consultation with aged care providers,</w:t>
      </w:r>
      <w:r w:rsidR="00CA291B">
        <w:rPr>
          <w:rFonts w:eastAsia="Arial"/>
        </w:rPr>
        <w:t xml:space="preserve"> the Au</w:t>
      </w:r>
      <w:r w:rsidR="00B20069">
        <w:rPr>
          <w:rFonts w:eastAsia="Arial"/>
        </w:rPr>
        <w:t>diting and Assurance Standards Board,</w:t>
      </w:r>
      <w:r w:rsidR="1D15B98E" w:rsidRPr="3872E97C">
        <w:rPr>
          <w:rFonts w:eastAsia="Arial"/>
        </w:rPr>
        <w:t xml:space="preserve"> and with the </w:t>
      </w:r>
      <w:r w:rsidR="00B20069">
        <w:rPr>
          <w:rFonts w:eastAsia="Arial"/>
        </w:rPr>
        <w:t xml:space="preserve">three </w:t>
      </w:r>
      <w:r w:rsidR="1D15B98E" w:rsidRPr="3872E97C">
        <w:rPr>
          <w:rFonts w:eastAsia="Arial"/>
        </w:rPr>
        <w:t>accounting professional associations. Feedback has been provided on the draft guidance published in early July 2025. The department will seek final feedback on the developed products after the finalisation of the Aged Care Rules 2025.</w:t>
      </w:r>
    </w:p>
    <w:p w14:paraId="3E6336AA" w14:textId="51371C20" w:rsidR="00BC30BC" w:rsidRDefault="000458FE" w:rsidP="002E2951">
      <w:pPr>
        <w:pStyle w:val="Heading4"/>
      </w:pPr>
      <w:r>
        <w:lastRenderedPageBreak/>
        <w:t xml:space="preserve">Implementation </w:t>
      </w:r>
      <w:r w:rsidR="004A38E9">
        <w:t>r</w:t>
      </w:r>
      <w:r>
        <w:t>isks</w:t>
      </w:r>
    </w:p>
    <w:p w14:paraId="2A13473A" w14:textId="12FEF1CE" w:rsidR="00114992" w:rsidRPr="00EE4D36" w:rsidRDefault="00C50A0A" w:rsidP="00EE4D36">
      <w:pPr>
        <w:pStyle w:val="Paragraphtext"/>
        <w:rPr>
          <w:b/>
        </w:rPr>
      </w:pPr>
      <w:r w:rsidRPr="00EE4D36">
        <w:rPr>
          <w:b/>
        </w:rPr>
        <w:t>Enabling l</w:t>
      </w:r>
      <w:r w:rsidR="00A64B72" w:rsidRPr="00EE4D36">
        <w:rPr>
          <w:b/>
        </w:rPr>
        <w:t xml:space="preserve">egislation is not passed </w:t>
      </w:r>
      <w:r w:rsidR="004D46AC" w:rsidRPr="00EE4D36">
        <w:rPr>
          <w:b/>
        </w:rPr>
        <w:t>to the Aged Care Act 2024</w:t>
      </w:r>
    </w:p>
    <w:p w14:paraId="574645DB" w14:textId="2A08A037" w:rsidR="00AC2A89" w:rsidRDefault="00114992" w:rsidP="00C873AC">
      <w:pPr>
        <w:pStyle w:val="Paragraphtext"/>
      </w:pPr>
      <w:r>
        <w:t xml:space="preserve">There is a low risk that </w:t>
      </w:r>
      <w:r w:rsidR="009D581A">
        <w:t>the necessary amendment</w:t>
      </w:r>
      <w:r w:rsidR="00370D25">
        <w:t>s</w:t>
      </w:r>
      <w:r w:rsidR="009D581A">
        <w:t xml:space="preserve"> to the </w:t>
      </w:r>
      <w:r w:rsidR="009D581A" w:rsidRPr="1F7963D4">
        <w:rPr>
          <w:i/>
          <w:iCs/>
        </w:rPr>
        <w:t>Aged Care Act 2024</w:t>
      </w:r>
      <w:r w:rsidR="00370D25">
        <w:t xml:space="preserve"> to enable </w:t>
      </w:r>
      <w:r w:rsidR="0078306E">
        <w:t xml:space="preserve">the </w:t>
      </w:r>
      <w:r w:rsidR="00166FC8">
        <w:t xml:space="preserve">funding change </w:t>
      </w:r>
      <w:r w:rsidR="009D581A">
        <w:t>will not pass</w:t>
      </w:r>
      <w:r w:rsidR="00720D66">
        <w:t xml:space="preserve"> </w:t>
      </w:r>
      <w:r w:rsidR="007F171B">
        <w:t>P</w:t>
      </w:r>
      <w:r>
        <w:t xml:space="preserve">arliament before </w:t>
      </w:r>
      <w:r w:rsidR="00AC2A89">
        <w:t>th</w:t>
      </w:r>
      <w:r w:rsidR="004D46AC">
        <w:t>is</w:t>
      </w:r>
      <w:r w:rsidR="00AC2A89">
        <w:t xml:space="preserve"> new Act is scheduled to commence</w:t>
      </w:r>
      <w:r w:rsidR="004D46AC">
        <w:t xml:space="preserve"> operation</w:t>
      </w:r>
      <w:r w:rsidR="00AC2A89">
        <w:t xml:space="preserve"> in November</w:t>
      </w:r>
      <w:r>
        <w:t xml:space="preserve"> 2025</w:t>
      </w:r>
      <w:r w:rsidR="00720D66">
        <w:t xml:space="preserve">. </w:t>
      </w:r>
      <w:r w:rsidR="00275F7E">
        <w:t xml:space="preserve">Contingencies are being </w:t>
      </w:r>
      <w:r w:rsidR="007B4685">
        <w:t>investigated</w:t>
      </w:r>
      <w:r w:rsidR="00275F7E">
        <w:t xml:space="preserve"> </w:t>
      </w:r>
      <w:r w:rsidR="008C2D2D">
        <w:t xml:space="preserve">for if this were to occur. If </w:t>
      </w:r>
      <w:r w:rsidR="00485359">
        <w:t xml:space="preserve">these proved unsuccessful </w:t>
      </w:r>
      <w:r w:rsidR="00235EAB">
        <w:t>there is a risk the linking of funding to care minutes could be delayed</w:t>
      </w:r>
      <w:r w:rsidR="00525C4C">
        <w:t xml:space="preserve"> u</w:t>
      </w:r>
      <w:r w:rsidR="0007786B">
        <w:t>ntil passage of the relevant Bill.</w:t>
      </w:r>
    </w:p>
    <w:p w14:paraId="14853DE2" w14:textId="0F31CFD8" w:rsidR="00C873AC" w:rsidRPr="00EE4D36" w:rsidRDefault="00C873AC" w:rsidP="00EE4D36">
      <w:pPr>
        <w:pStyle w:val="Paragraphtext"/>
        <w:rPr>
          <w:b/>
        </w:rPr>
      </w:pPr>
      <w:r w:rsidRPr="00EE4D36">
        <w:rPr>
          <w:b/>
        </w:rPr>
        <w:t>Changes to ICT infrastructure</w:t>
      </w:r>
      <w:r w:rsidR="00C50A0A" w:rsidRPr="00EE4D36">
        <w:rPr>
          <w:b/>
        </w:rPr>
        <w:t xml:space="preserve"> is delayed</w:t>
      </w:r>
    </w:p>
    <w:p w14:paraId="095AD242" w14:textId="1AB07EA6" w:rsidR="009E3237" w:rsidRPr="0004186B" w:rsidRDefault="00624135" w:rsidP="0004186B">
      <w:pPr>
        <w:pStyle w:val="Paragraphtext"/>
      </w:pPr>
      <w:r w:rsidRPr="0004186B">
        <w:t xml:space="preserve">The department is </w:t>
      </w:r>
      <w:r w:rsidR="00333725" w:rsidRPr="0004186B">
        <w:t xml:space="preserve">implementing </w:t>
      </w:r>
      <w:r w:rsidR="00CB5857" w:rsidRPr="0004186B">
        <w:t xml:space="preserve">substantial </w:t>
      </w:r>
      <w:r w:rsidR="00333725" w:rsidRPr="0004186B">
        <w:t xml:space="preserve">ICT enabled reforms </w:t>
      </w:r>
      <w:r w:rsidR="0081560B" w:rsidRPr="0004186B">
        <w:t xml:space="preserve">for </w:t>
      </w:r>
      <w:r w:rsidR="00B23930" w:rsidRPr="0004186B">
        <w:t xml:space="preserve">changes related to the </w:t>
      </w:r>
      <w:r w:rsidR="006136DD" w:rsidRPr="0004186B">
        <w:t xml:space="preserve">new Act and the commencement of </w:t>
      </w:r>
      <w:r w:rsidR="00B53A82" w:rsidRPr="0004186B">
        <w:t>new Support at Home Program</w:t>
      </w:r>
      <w:r w:rsidR="009F7261" w:rsidRPr="0004186B">
        <w:t>.</w:t>
      </w:r>
      <w:r w:rsidR="009E3237" w:rsidRPr="0004186B">
        <w:t xml:space="preserve"> Thi</w:t>
      </w:r>
      <w:r w:rsidR="00487255" w:rsidRPr="0004186B">
        <w:t xml:space="preserve">s reform package means that there are </w:t>
      </w:r>
      <w:r w:rsidR="002C0A5C" w:rsidRPr="0004186B">
        <w:t>ICT capacity constraints for all GPMS changes until</w:t>
      </w:r>
      <w:r w:rsidR="008052E9" w:rsidRPr="0004186B">
        <w:t xml:space="preserve"> at least</w:t>
      </w:r>
      <w:r w:rsidR="002C0A5C" w:rsidRPr="0004186B">
        <w:t xml:space="preserve"> October 2025. </w:t>
      </w:r>
    </w:p>
    <w:p w14:paraId="0AC4AA8C" w14:textId="3E7C938A" w:rsidR="00C873AC" w:rsidRPr="0004186B" w:rsidRDefault="007F4953" w:rsidP="0004186B">
      <w:pPr>
        <w:pStyle w:val="Paragraphtext"/>
      </w:pPr>
      <w:r w:rsidRPr="0004186B">
        <w:t>There is a</w:t>
      </w:r>
      <w:r w:rsidR="00996AD0" w:rsidRPr="0004186B">
        <w:t xml:space="preserve"> </w:t>
      </w:r>
      <w:r w:rsidRPr="0004186B">
        <w:t>risk that</w:t>
      </w:r>
      <w:r w:rsidR="00996AD0" w:rsidRPr="0004186B">
        <w:t xml:space="preserve"> these</w:t>
      </w:r>
      <w:r w:rsidR="00266990" w:rsidRPr="0004186B">
        <w:t xml:space="preserve"> </w:t>
      </w:r>
      <w:r w:rsidR="00581718" w:rsidRPr="0004186B">
        <w:t>ICT capacity constraints</w:t>
      </w:r>
      <w:r w:rsidR="00996AD0" w:rsidRPr="0004186B">
        <w:t xml:space="preserve"> would extend into</w:t>
      </w:r>
      <w:r w:rsidR="00BA1154" w:rsidRPr="0004186B">
        <w:t xml:space="preserve"> early 2026</w:t>
      </w:r>
      <w:r w:rsidR="00833A56" w:rsidRPr="0004186B">
        <w:t xml:space="preserve"> which could risk the delivery of the necessary ICT changes</w:t>
      </w:r>
      <w:r w:rsidR="001F2FA2" w:rsidRPr="0004186B">
        <w:t xml:space="preserve"> to enable the </w:t>
      </w:r>
      <w:r w:rsidR="00B53C72" w:rsidRPr="0004186B">
        <w:t>funding change</w:t>
      </w:r>
      <w:r w:rsidR="00DB393A" w:rsidRPr="0004186B">
        <w:t xml:space="preserve">. </w:t>
      </w:r>
      <w:r w:rsidR="001507C2" w:rsidRPr="0004186B">
        <w:t xml:space="preserve">This </w:t>
      </w:r>
      <w:r w:rsidR="008052E9" w:rsidRPr="0004186B">
        <w:t>policy change</w:t>
      </w:r>
      <w:r w:rsidR="001507C2" w:rsidRPr="0004186B">
        <w:t xml:space="preserve"> is rated as a high prior</w:t>
      </w:r>
      <w:r w:rsidR="0040363F" w:rsidRPr="0004186B">
        <w:t xml:space="preserve">ity for </w:t>
      </w:r>
      <w:r w:rsidR="008052E9" w:rsidRPr="0004186B">
        <w:t>implementation and</w:t>
      </w:r>
      <w:r w:rsidR="00EC363A" w:rsidRPr="0004186B">
        <w:t xml:space="preserve"> is scheduled to be implemented in the February 2026 release (well in advance of the first payment being made in May 2026), as such this risk is low.</w:t>
      </w:r>
    </w:p>
    <w:p w14:paraId="2D32392F" w14:textId="26CA22F5" w:rsidR="00EC363A" w:rsidRDefault="00D019DC" w:rsidP="00C873AC">
      <w:pPr>
        <w:pStyle w:val="Paragraphtext"/>
      </w:pPr>
      <w:r>
        <w:t xml:space="preserve">Manual work around contingencies </w:t>
      </w:r>
      <w:r w:rsidR="008F7240">
        <w:t>will be</w:t>
      </w:r>
      <w:r w:rsidR="007B2294">
        <w:t xml:space="preserve"> developed</w:t>
      </w:r>
      <w:r w:rsidR="009612B0">
        <w:t xml:space="preserve"> </w:t>
      </w:r>
      <w:r w:rsidR="00165D1C">
        <w:t xml:space="preserve">to ensure that </w:t>
      </w:r>
      <w:r w:rsidR="00B50F4D">
        <w:t>any ICT delay</w:t>
      </w:r>
      <w:r w:rsidR="00BC60EE">
        <w:t xml:space="preserve"> does not lead to a delay in </w:t>
      </w:r>
      <w:r w:rsidR="00B53089">
        <w:t>the commencement of the policy.</w:t>
      </w:r>
    </w:p>
    <w:p w14:paraId="2AA6F7AC" w14:textId="092A905D" w:rsidR="00BD3148" w:rsidRPr="00EE4D36" w:rsidRDefault="00B53089" w:rsidP="00EE4D36">
      <w:pPr>
        <w:pStyle w:val="Paragraphtext"/>
        <w:rPr>
          <w:b/>
        </w:rPr>
      </w:pPr>
      <w:r w:rsidRPr="00EE4D36">
        <w:rPr>
          <w:b/>
        </w:rPr>
        <w:t xml:space="preserve">Assurance </w:t>
      </w:r>
      <w:r w:rsidR="00C50A0A" w:rsidRPr="00EE4D36">
        <w:rPr>
          <w:b/>
        </w:rPr>
        <w:t>arrangements</w:t>
      </w:r>
      <w:r w:rsidRPr="00EE4D36">
        <w:rPr>
          <w:b/>
        </w:rPr>
        <w:t xml:space="preserve"> are not</w:t>
      </w:r>
      <w:r w:rsidR="005F38B1" w:rsidRPr="00EE4D36">
        <w:rPr>
          <w:b/>
        </w:rPr>
        <w:t xml:space="preserve"> sufficiently</w:t>
      </w:r>
      <w:r w:rsidRPr="00EE4D36">
        <w:rPr>
          <w:b/>
        </w:rPr>
        <w:t xml:space="preserve"> effective</w:t>
      </w:r>
    </w:p>
    <w:p w14:paraId="4D07A42D" w14:textId="4FD1989A" w:rsidR="00215AE6" w:rsidRDefault="00F72025" w:rsidP="00F749D3">
      <w:pPr>
        <w:pStyle w:val="Paragraphtext"/>
      </w:pPr>
      <w:r>
        <w:t xml:space="preserve">As has been outlined earlier in this </w:t>
      </w:r>
      <w:r w:rsidR="003F5366">
        <w:t>I</w:t>
      </w:r>
      <w:r>
        <w:t xml:space="preserve">mpact </w:t>
      </w:r>
      <w:r w:rsidR="003F5366">
        <w:t>A</w:t>
      </w:r>
      <w:r>
        <w:t>nalysis, linking funding to care minutes</w:t>
      </w:r>
      <w:r w:rsidRPr="0012120B">
        <w:t xml:space="preserve"> </w:t>
      </w:r>
      <w:r w:rsidR="005B47CD">
        <w:t xml:space="preserve">delivery </w:t>
      </w:r>
      <w:r w:rsidRPr="0012120B">
        <w:t>creates a substantial fraud risk, with respect to providers misreporting their care delivery, and their financial performance, to obtain supplement amounts above what they would otherwise be entitled to</w:t>
      </w:r>
      <w:r w:rsidR="00FE1EAE">
        <w:t xml:space="preserve"> receive</w:t>
      </w:r>
      <w:r w:rsidRPr="0012120B">
        <w:t xml:space="preserve">. </w:t>
      </w:r>
      <w:r>
        <w:t xml:space="preserve">This is managed through the planned additional assurance arrangements (primarily the annual audits of all care minutes reporting). There is however a risk that despite these assurance arrangements there is an unacceptable amount of misreporting. This risk will be monitored through the continuation of the department’s reporting assessment program. </w:t>
      </w:r>
      <w:r w:rsidR="00F01EEF">
        <w:t xml:space="preserve">Under the reporting assessment program around 10% of services </w:t>
      </w:r>
      <w:r w:rsidR="002E7DEF">
        <w:t xml:space="preserve">care minute reporting will be checked each year. </w:t>
      </w:r>
    </w:p>
    <w:p w14:paraId="5C3FC83C" w14:textId="1F8446CB" w:rsidR="00CC63C9" w:rsidRDefault="002E7DEF" w:rsidP="00F749D3">
      <w:pPr>
        <w:pStyle w:val="Paragraphtext"/>
      </w:pPr>
      <w:r>
        <w:t xml:space="preserve">These checks will identify whether the </w:t>
      </w:r>
      <w:r w:rsidR="0026079A">
        <w:t>external audits are appropriately identifying mis</w:t>
      </w:r>
      <w:r w:rsidR="008052E9">
        <w:noBreakHyphen/>
      </w:r>
      <w:r w:rsidR="0026079A">
        <w:t>reportin</w:t>
      </w:r>
      <w:r w:rsidR="00215AE6">
        <w:t>g. If it is found that they are not</w:t>
      </w:r>
      <w:r w:rsidR="00532DF3">
        <w:t xml:space="preserve"> sufficiently</w:t>
      </w:r>
      <w:r w:rsidR="00485418">
        <w:t xml:space="preserve"> effective</w:t>
      </w:r>
      <w:r w:rsidR="00532DF3">
        <w:t>,</w:t>
      </w:r>
      <w:r w:rsidR="00485418">
        <w:t xml:space="preserve"> refinements </w:t>
      </w:r>
      <w:r w:rsidR="00813ACE">
        <w:t xml:space="preserve">to assurance arrangements </w:t>
      </w:r>
      <w:r w:rsidR="003E5275">
        <w:t xml:space="preserve">and processes </w:t>
      </w:r>
      <w:r w:rsidR="00813ACE">
        <w:t>w</w:t>
      </w:r>
      <w:r w:rsidR="2C9B9FCC">
        <w:t>ill</w:t>
      </w:r>
      <w:r w:rsidR="00813ACE">
        <w:t xml:space="preserve"> be developed. This could include improvements to audit guidance, engagement with auditors</w:t>
      </w:r>
      <w:r w:rsidR="003E5275">
        <w:t xml:space="preserve"> and their professional associations</w:t>
      </w:r>
      <w:r w:rsidR="00813ACE">
        <w:t xml:space="preserve"> </w:t>
      </w:r>
      <w:r w:rsidR="003E5275">
        <w:t xml:space="preserve">and the regulator of registered </w:t>
      </w:r>
      <w:r w:rsidR="009527B0">
        <w:t xml:space="preserve">company auditors </w:t>
      </w:r>
      <w:r w:rsidR="00CB5779">
        <w:t>(the Australian Securities and Investment Commission)</w:t>
      </w:r>
      <w:r w:rsidR="003E5275">
        <w:t xml:space="preserve"> where it </w:t>
      </w:r>
      <w:r w:rsidR="00B07722">
        <w:t>was identified that particular auditors are not meeting their professional standards or regulations.</w:t>
      </w:r>
      <w:r w:rsidR="00532DF3">
        <w:t xml:space="preserve"> It could also include more significant changes such </w:t>
      </w:r>
      <w:r w:rsidR="00CC63C9">
        <w:t>as an increase in coverage of the reporting assessment program (noting this would be a decision of Government).</w:t>
      </w:r>
    </w:p>
    <w:p w14:paraId="3CDF178A" w14:textId="6D5786B7" w:rsidR="00DD06E8" w:rsidRDefault="00DD06E8" w:rsidP="003E5275"/>
    <w:p w14:paraId="268BD4F0" w14:textId="35CFCDC1" w:rsidR="00DD06E8" w:rsidRDefault="00DD06E8">
      <w:pPr>
        <w:rPr>
          <w:b/>
          <w:bCs/>
          <w:i/>
          <w:color w:val="414141"/>
          <w:sz w:val="24"/>
          <w:szCs w:val="28"/>
        </w:rPr>
      </w:pPr>
      <w:r>
        <w:rPr>
          <w:b/>
          <w:bCs/>
          <w:i/>
          <w:color w:val="414141"/>
          <w:sz w:val="24"/>
          <w:szCs w:val="28"/>
        </w:rPr>
        <w:br w:type="page"/>
      </w:r>
    </w:p>
    <w:p w14:paraId="39D0DBBF" w14:textId="7F2DEEBB" w:rsidR="00120318" w:rsidRPr="00120318" w:rsidRDefault="42209E2D" w:rsidP="00C87C89">
      <w:pPr>
        <w:pStyle w:val="OIAQuestion"/>
      </w:pPr>
      <w:bookmarkStart w:id="74" w:name="_Toc183705495"/>
      <w:bookmarkStart w:id="75" w:name="_Toc203133286"/>
      <w:bookmarkStart w:id="76" w:name="_Toc200394439"/>
      <w:bookmarkStart w:id="77" w:name="_Toc205802677"/>
      <w:bookmarkStart w:id="78" w:name="_Toc203639527"/>
      <w:bookmarkStart w:id="79" w:name="_Toc207014405"/>
      <w:r>
        <w:lastRenderedPageBreak/>
        <w:t>Evaluation</w:t>
      </w:r>
      <w:bookmarkEnd w:id="74"/>
      <w:bookmarkEnd w:id="75"/>
      <w:bookmarkEnd w:id="76"/>
      <w:bookmarkEnd w:id="77"/>
      <w:bookmarkEnd w:id="78"/>
      <w:bookmarkEnd w:id="79"/>
    </w:p>
    <w:p w14:paraId="6F9529CF" w14:textId="309CA5F3" w:rsidR="00F643A4" w:rsidRDefault="00804CF4" w:rsidP="00F22C09">
      <w:pPr>
        <w:pStyle w:val="Paragraphtext"/>
        <w:pBdr>
          <w:top w:val="single" w:sz="8" w:space="1" w:color="auto"/>
          <w:left w:val="single" w:sz="8" w:space="4" w:color="auto"/>
          <w:bottom w:val="single" w:sz="8" w:space="1" w:color="auto"/>
          <w:right w:val="single" w:sz="8" w:space="4" w:color="auto"/>
        </w:pBdr>
        <w:shd w:val="clear" w:color="auto" w:fill="D0EAED" w:themeFill="accent2" w:themeFillTint="33"/>
      </w:pPr>
      <w:r>
        <w:t>The change to linking funding to care minutes in metropolitan areas and refinements to assurance arrangements will be incorporated into the department</w:t>
      </w:r>
      <w:r w:rsidR="004733AC">
        <w:t>’</w:t>
      </w:r>
      <w:r>
        <w:t>s existing care min</w:t>
      </w:r>
      <w:r w:rsidR="00BF2C72">
        <w:t xml:space="preserve">utes and 24/7 RN monitoring and evaluation plan. The success of the measure will be monitored quarterly through </w:t>
      </w:r>
      <w:r w:rsidR="005F3EF0">
        <w:t>analysing the care minutes performance data collected quarterly through the QFR. An e</w:t>
      </w:r>
      <w:r w:rsidR="00555CD0">
        <w:t>valuation of the care minutes and 24/7 RN responsibilities will commence in early 202</w:t>
      </w:r>
      <w:r w:rsidR="00F22C09">
        <w:t>6 and will include evaluation of the success of this policy change in achieving its objectives.</w:t>
      </w:r>
    </w:p>
    <w:p w14:paraId="00AE88C0" w14:textId="16934137" w:rsidR="00DA3C39" w:rsidRDefault="00782674" w:rsidP="00782674">
      <w:pPr>
        <w:pStyle w:val="Paragraphtext"/>
      </w:pPr>
      <w:r>
        <w:t xml:space="preserve">The department will </w:t>
      </w:r>
      <w:r w:rsidR="00D42B1C">
        <w:t xml:space="preserve">also </w:t>
      </w:r>
      <w:r>
        <w:t>evaluat</w:t>
      </w:r>
      <w:r w:rsidR="00D42B1C">
        <w:t>e the linking of Government funding to care minute compliance</w:t>
      </w:r>
      <w:r w:rsidR="00222502">
        <w:t xml:space="preserve"> to measure and assess </w:t>
      </w:r>
      <w:r w:rsidR="00D51EFA">
        <w:t>whether the</w:t>
      </w:r>
      <w:r w:rsidR="00222502">
        <w:t xml:space="preserve"> </w:t>
      </w:r>
      <w:r w:rsidR="00BB0F27">
        <w:t>propose</w:t>
      </w:r>
      <w:r w:rsidR="002731E0">
        <w:t xml:space="preserve">d </w:t>
      </w:r>
      <w:r w:rsidR="00BB0F27">
        <w:t xml:space="preserve">policy </w:t>
      </w:r>
      <w:r w:rsidR="00D51EFA">
        <w:t xml:space="preserve">is </w:t>
      </w:r>
      <w:r w:rsidR="00234D66">
        <w:t>achieving the</w:t>
      </w:r>
      <w:r w:rsidR="00214399">
        <w:t xml:space="preserve"> two o</w:t>
      </w:r>
      <w:r w:rsidR="007D2B3A">
        <w:t>bjectives</w:t>
      </w:r>
      <w:r w:rsidR="00214399">
        <w:t xml:space="preserve"> of ensuring providers meet their care minutes targets and </w:t>
      </w:r>
      <w:r w:rsidR="008D43E8">
        <w:t xml:space="preserve">to </w:t>
      </w:r>
      <w:r w:rsidR="00B7697F">
        <w:t>minimis</w:t>
      </w:r>
      <w:r w:rsidR="008D43E8">
        <w:t>e</w:t>
      </w:r>
      <w:r w:rsidR="00B7697F">
        <w:t xml:space="preserve"> the extent to which </w:t>
      </w:r>
      <w:r w:rsidR="00D51EFA">
        <w:t>G</w:t>
      </w:r>
      <w:r w:rsidR="00B7697F">
        <w:t>overnment</w:t>
      </w:r>
      <w:r w:rsidR="00214399">
        <w:t xml:space="preserve"> </w:t>
      </w:r>
      <w:r w:rsidR="00B7697F">
        <w:t>funding</w:t>
      </w:r>
      <w:r w:rsidR="007D2B3A">
        <w:t xml:space="preserve"> is provided f</w:t>
      </w:r>
      <w:r w:rsidR="008D43E8">
        <w:t>or care</w:t>
      </w:r>
      <w:r w:rsidR="007D2B3A">
        <w:t xml:space="preserve"> minutes that are not delivered</w:t>
      </w:r>
      <w:r w:rsidR="00DA3C39">
        <w:t xml:space="preserve">. </w:t>
      </w:r>
    </w:p>
    <w:p w14:paraId="72938F85" w14:textId="03967C34" w:rsidR="00930806" w:rsidRDefault="00F74BCC" w:rsidP="00431F9A">
      <w:pPr>
        <w:pStyle w:val="Paragraphtext"/>
      </w:pPr>
      <w:r>
        <w:t xml:space="preserve">The department will </w:t>
      </w:r>
      <w:r w:rsidR="00A16867">
        <w:t>undertak</w:t>
      </w:r>
      <w:r>
        <w:t>e</w:t>
      </w:r>
      <w:r w:rsidR="00A16867">
        <w:t xml:space="preserve"> evidence generating activities such as </w:t>
      </w:r>
      <w:r w:rsidR="005E6193">
        <w:t>examining</w:t>
      </w:r>
      <w:r w:rsidR="00A16867">
        <w:t xml:space="preserve"> </w:t>
      </w:r>
      <w:r w:rsidR="005E6193">
        <w:t xml:space="preserve">industry reporting (i.e. the QFR and the ACFR) and </w:t>
      </w:r>
      <w:r w:rsidR="001F3A0D">
        <w:t>engaging with relevant sector stakeholders</w:t>
      </w:r>
      <w:r>
        <w:t>.</w:t>
      </w:r>
      <w:r w:rsidR="00FE1FC1">
        <w:t xml:space="preserve"> </w:t>
      </w:r>
    </w:p>
    <w:p w14:paraId="224F7071" w14:textId="438B6D02" w:rsidR="00AF4FD1" w:rsidRDefault="0091C8A8" w:rsidP="006C666F">
      <w:pPr>
        <w:pStyle w:val="Paragraphtext"/>
      </w:pPr>
      <w:r>
        <w:t>The department already has a monitoring and evaluation plan in place for</w:t>
      </w:r>
      <w:r w:rsidR="00BF128A">
        <w:t xml:space="preserve"> the</w:t>
      </w:r>
      <w:r>
        <w:t xml:space="preserve"> care minutes</w:t>
      </w:r>
      <w:r w:rsidR="00BF128A">
        <w:t xml:space="preserve"> and 24/7 RN measures</w:t>
      </w:r>
      <w:r>
        <w:t xml:space="preserve">. </w:t>
      </w:r>
      <w:r w:rsidR="49FE831C">
        <w:t>Ongoing monitoring by the department involves the routine collection of information through the QFR on the performance of providers against their individual care minutes targets</w:t>
      </w:r>
      <w:r w:rsidR="26A057FE">
        <w:t xml:space="preserve"> for their homes</w:t>
      </w:r>
      <w:r w:rsidR="49FE831C">
        <w:t xml:space="preserve">. </w:t>
      </w:r>
      <w:r w:rsidR="1E8F5D65">
        <w:t>The ongoing monitoring undertaken as part of th</w:t>
      </w:r>
      <w:r w:rsidR="05BBA779">
        <w:t>e monitoring and evaluation</w:t>
      </w:r>
      <w:r w:rsidR="1E8F5D65">
        <w:t xml:space="preserve"> plan has</w:t>
      </w:r>
      <w:r w:rsidR="05BBA779">
        <w:t xml:space="preserve"> been effective in</w:t>
      </w:r>
      <w:r w:rsidR="1E8F5D65">
        <w:t xml:space="preserve"> identif</w:t>
      </w:r>
      <w:r w:rsidR="05BBA779">
        <w:t>ying</w:t>
      </w:r>
      <w:r w:rsidR="1E8F5D65">
        <w:t xml:space="preserve"> the under</w:t>
      </w:r>
      <w:r w:rsidR="172624A8">
        <w:t>-</w:t>
      </w:r>
      <w:r w:rsidR="1E8F5D65">
        <w:t xml:space="preserve">delivery of care minutes outlined in </w:t>
      </w:r>
      <w:r w:rsidR="00B105B3">
        <w:t>S</w:t>
      </w:r>
      <w:r w:rsidR="1E8F5D65">
        <w:t xml:space="preserve">ection 1 of this </w:t>
      </w:r>
      <w:r w:rsidR="00AF4FD1">
        <w:t>I</w:t>
      </w:r>
      <w:r w:rsidR="1E8F5D65">
        <w:t xml:space="preserve">mpact </w:t>
      </w:r>
      <w:r w:rsidR="00AF4FD1">
        <w:t>A</w:t>
      </w:r>
      <w:r w:rsidR="1E8F5D65">
        <w:t xml:space="preserve">nalysis. This </w:t>
      </w:r>
      <w:r w:rsidR="37A5BB4F">
        <w:t>policy change</w:t>
      </w:r>
      <w:r w:rsidR="50BDDD2B">
        <w:t xml:space="preserve"> to link funding to care minutes</w:t>
      </w:r>
      <w:r w:rsidR="1E8F5D65">
        <w:t xml:space="preserve"> </w:t>
      </w:r>
      <w:r w:rsidR="00832AF7">
        <w:t xml:space="preserve">performance </w:t>
      </w:r>
      <w:r w:rsidR="1E8F5D65">
        <w:t>will be incorporated into the existing monitoring an</w:t>
      </w:r>
      <w:r w:rsidR="09AE4EF8">
        <w:t>d</w:t>
      </w:r>
      <w:r w:rsidR="1E8F5D65">
        <w:t xml:space="preserve"> evaluation plan</w:t>
      </w:r>
      <w:r w:rsidR="0844C9A0">
        <w:t>.</w:t>
      </w:r>
    </w:p>
    <w:p w14:paraId="11572CCD" w14:textId="56E1C303" w:rsidR="0099601C" w:rsidRDefault="005D4473" w:rsidP="006C666F">
      <w:pPr>
        <w:pStyle w:val="Paragraphtext"/>
      </w:pPr>
      <w:r w:rsidRPr="193D1534">
        <w:t xml:space="preserve">Under the existing </w:t>
      </w:r>
      <w:r w:rsidR="00196B73">
        <w:t>c</w:t>
      </w:r>
      <w:r w:rsidR="000B7407" w:rsidRPr="193D1534">
        <w:t xml:space="preserve">are </w:t>
      </w:r>
      <w:r w:rsidR="00196B73">
        <w:t>m</w:t>
      </w:r>
      <w:r w:rsidR="000B7407" w:rsidRPr="193D1534">
        <w:t xml:space="preserve">inutes and 24/7 RN </w:t>
      </w:r>
      <w:r w:rsidR="00196B73">
        <w:t>responsibilities</w:t>
      </w:r>
      <w:r w:rsidR="000B7407" w:rsidRPr="193D1534">
        <w:t xml:space="preserve"> </w:t>
      </w:r>
      <w:r w:rsidR="00054F5C">
        <w:t>m</w:t>
      </w:r>
      <w:r w:rsidRPr="193D1534">
        <w:t xml:space="preserve">onitoring and </w:t>
      </w:r>
      <w:r w:rsidR="00054F5C">
        <w:t>e</w:t>
      </w:r>
      <w:r w:rsidRPr="193D1534">
        <w:t>valuation plan</w:t>
      </w:r>
      <w:r w:rsidR="00C93307">
        <w:t>,</w:t>
      </w:r>
      <w:r w:rsidRPr="193D1534">
        <w:t xml:space="preserve"> the department will undertake an </w:t>
      </w:r>
      <w:r w:rsidR="00AF4FD1" w:rsidRPr="193D1534">
        <w:t>initial evaluation of care minutes</w:t>
      </w:r>
      <w:r w:rsidR="004B0D7A">
        <w:t xml:space="preserve"> and 24/7 RN</w:t>
      </w:r>
      <w:r w:rsidR="00204DF6">
        <w:t xml:space="preserve"> policy</w:t>
      </w:r>
      <w:r w:rsidR="00B43BCE">
        <w:t>,</w:t>
      </w:r>
      <w:r w:rsidR="001B5FE6">
        <w:t xml:space="preserve"> tentatively scheduled to</w:t>
      </w:r>
      <w:r w:rsidR="00B43BCE">
        <w:t xml:space="preserve"> commenc</w:t>
      </w:r>
      <w:r w:rsidR="001B5FE6">
        <w:t>e</w:t>
      </w:r>
      <w:r w:rsidR="00B43BCE">
        <w:t xml:space="preserve"> in </w:t>
      </w:r>
      <w:r w:rsidR="004C2E65">
        <w:t xml:space="preserve">the second half of </w:t>
      </w:r>
      <w:r w:rsidR="00B43BCE">
        <w:t>20</w:t>
      </w:r>
      <w:r w:rsidR="00AF4FD1" w:rsidRPr="193D1534">
        <w:t>26 to provide insights into the continuing implementation and observable outcomes and impacts of the</w:t>
      </w:r>
      <w:r w:rsidR="006863A5">
        <w:t xml:space="preserve"> 24/7 RN and care minutes</w:t>
      </w:r>
      <w:r w:rsidR="00AF4FD1" w:rsidRPr="193D1534">
        <w:t xml:space="preserve"> measures.</w:t>
      </w:r>
      <w:r w:rsidR="004B0D7A">
        <w:t xml:space="preserve"> This timing will allow this evaluation to </w:t>
      </w:r>
      <w:r w:rsidR="004C2E65">
        <w:t>also investigate</w:t>
      </w:r>
      <w:r w:rsidR="004B0D7A">
        <w:t xml:space="preserve"> the</w:t>
      </w:r>
      <w:r w:rsidR="00BA7562">
        <w:t xml:space="preserve"> initial</w:t>
      </w:r>
      <w:r w:rsidR="004B0D7A">
        <w:t xml:space="preserve"> effectiveness of linking funding to care minutes </w:t>
      </w:r>
      <w:r w:rsidR="00A66BFC">
        <w:t xml:space="preserve">in increasing providers compliance with </w:t>
      </w:r>
      <w:r w:rsidR="00D1118B">
        <w:t xml:space="preserve">the care minutes responsibility. It will also allow </w:t>
      </w:r>
      <w:r w:rsidR="009E44E5">
        <w:t xml:space="preserve">for </w:t>
      </w:r>
      <w:r w:rsidR="00D1118B">
        <w:t>the early investigation of any unintended consequences of the measure</w:t>
      </w:r>
      <w:r w:rsidR="00C743A5">
        <w:t>s</w:t>
      </w:r>
      <w:r w:rsidR="00D1118B">
        <w:t>,</w:t>
      </w:r>
      <w:r w:rsidR="009E44E5">
        <w:t xml:space="preserve"> and propose potential policy responses to address these</w:t>
      </w:r>
      <w:r w:rsidR="00D05305">
        <w:t xml:space="preserve">, as well as consideration of </w:t>
      </w:r>
      <w:r w:rsidR="001826C3">
        <w:t>the potential benefits and risks of extending the policy beyond MM1 services.</w:t>
      </w:r>
    </w:p>
    <w:p w14:paraId="16FAAEEA" w14:textId="4A5809B1" w:rsidR="005D4473" w:rsidRDefault="00AF4FD1" w:rsidP="006C666F">
      <w:pPr>
        <w:pStyle w:val="Paragraphtext"/>
      </w:pPr>
      <w:r>
        <w:t>This</w:t>
      </w:r>
      <w:r w:rsidR="00BA7562">
        <w:t xml:space="preserve"> evaluation</w:t>
      </w:r>
      <w:r>
        <w:t xml:space="preserve"> will</w:t>
      </w:r>
      <w:r w:rsidR="00BA7562">
        <w:t xml:space="preserve"> also</w:t>
      </w:r>
      <w:r>
        <w:t xml:space="preserve"> be the first formal opportunity to examine whether the care minutes </w:t>
      </w:r>
      <w:r w:rsidR="00646C88">
        <w:t xml:space="preserve">measures </w:t>
      </w:r>
      <w:r w:rsidR="005D4473">
        <w:t>ha</w:t>
      </w:r>
      <w:r w:rsidR="537F23A9">
        <w:t>ve</w:t>
      </w:r>
      <w:r>
        <w:t xml:space="preserve"> contributed to improvements in the </w:t>
      </w:r>
      <w:r w:rsidR="00EF3BC1">
        <w:t>quality</w:t>
      </w:r>
      <w:r w:rsidR="00423CA7">
        <w:t xml:space="preserve"> </w:t>
      </w:r>
      <w:r w:rsidR="00EF3BC1">
        <w:t>of</w:t>
      </w:r>
      <w:r w:rsidR="00423CA7">
        <w:t xml:space="preserve"> </w:t>
      </w:r>
      <w:r w:rsidR="00EF3BC1">
        <w:t>care</w:t>
      </w:r>
      <w:r>
        <w:t xml:space="preserve"> residents receive.</w:t>
      </w:r>
      <w:r w:rsidR="000B7407">
        <w:t xml:space="preserve"> The evaluation will</w:t>
      </w:r>
      <w:r w:rsidR="009E44E5">
        <w:t xml:space="preserve"> primarily</w:t>
      </w:r>
      <w:r w:rsidR="000B7407">
        <w:t xml:space="preserve"> </w:t>
      </w:r>
      <w:r w:rsidR="00E70FF3">
        <w:t>involve the analysis of</w:t>
      </w:r>
      <w:r w:rsidR="0081229C">
        <w:t xml:space="preserve"> performance</w:t>
      </w:r>
      <w:r w:rsidR="00E70FF3">
        <w:t xml:space="preserve"> data</w:t>
      </w:r>
      <w:r w:rsidR="0036175B">
        <w:t xml:space="preserve"> already available to the department </w:t>
      </w:r>
      <w:r w:rsidR="3F373CEC">
        <w:t xml:space="preserve">using </w:t>
      </w:r>
      <w:r w:rsidR="00EA3E88">
        <w:t>its</w:t>
      </w:r>
      <w:r w:rsidR="0036175B">
        <w:t xml:space="preserve"> </w:t>
      </w:r>
      <w:r w:rsidR="006863A5">
        <w:t>regular data collection</w:t>
      </w:r>
      <w:r w:rsidR="00423BD7">
        <w:t xml:space="preserve"> </w:t>
      </w:r>
      <w:r w:rsidR="006863A5">
        <w:t>activities</w:t>
      </w:r>
      <w:r w:rsidR="0081229C">
        <w:t xml:space="preserve">. </w:t>
      </w:r>
      <w:r w:rsidR="00423BD7">
        <w:t>This includes</w:t>
      </w:r>
      <w:r w:rsidR="0081229C">
        <w:t xml:space="preserve"> </w:t>
      </w:r>
      <w:r w:rsidR="00EA3E88">
        <w:t xml:space="preserve">AN-ACC </w:t>
      </w:r>
      <w:r w:rsidR="00664145">
        <w:t>a</w:t>
      </w:r>
      <w:r w:rsidR="00EA3E88">
        <w:t>ssessment data,</w:t>
      </w:r>
      <w:r w:rsidR="0081229C">
        <w:t xml:space="preserve"> the National Aged Care Mandatory Quality Indicators Program,</w:t>
      </w:r>
      <w:r w:rsidR="00EA3E88">
        <w:t xml:space="preserve"> Residents’ Experience Survey and the Aged Care Provider Survey and the Aged Care Worker Survey.</w:t>
      </w:r>
      <w:r w:rsidR="00B72B84">
        <w:t xml:space="preserve"> Data collected by the ACQSC may also inform the evaluation, including Aged Care Quality Standards performance assessments</w:t>
      </w:r>
      <w:r w:rsidR="0063671B">
        <w:t xml:space="preserve"> and</w:t>
      </w:r>
      <w:r w:rsidR="00B72B84">
        <w:t xml:space="preserve"> Seriou</w:t>
      </w:r>
      <w:r w:rsidR="0063671B">
        <w:t>s</w:t>
      </w:r>
      <w:r w:rsidR="00B72B84">
        <w:t xml:space="preserve"> Incident Response Scheme reports</w:t>
      </w:r>
      <w:r w:rsidR="0063671B">
        <w:t>.</w:t>
      </w:r>
      <w:r w:rsidR="009E44E5">
        <w:t xml:space="preserve"> In </w:t>
      </w:r>
      <w:r w:rsidR="00196B73">
        <w:t>addition,</w:t>
      </w:r>
      <w:r w:rsidR="00DE0D64">
        <w:t xml:space="preserve"> interviews/focus groups with residents,</w:t>
      </w:r>
      <w:r w:rsidR="000C276D">
        <w:t xml:space="preserve"> aged care workers and their representatives and peak bodies w</w:t>
      </w:r>
      <w:r w:rsidR="00D038D8">
        <w:t>ill</w:t>
      </w:r>
      <w:r w:rsidR="000C276D">
        <w:t xml:space="preserve"> be undertaken</w:t>
      </w:r>
      <w:r w:rsidR="003B2188">
        <w:t>.</w:t>
      </w:r>
    </w:p>
    <w:p w14:paraId="11100948" w14:textId="7E272550" w:rsidR="00592871" w:rsidRDefault="00042073" w:rsidP="006C666F">
      <w:pPr>
        <w:pStyle w:val="Paragraphtext"/>
      </w:pPr>
      <w:r>
        <w:t>This evaluation will be undertaken</w:t>
      </w:r>
      <w:r w:rsidR="004C01F4">
        <w:t xml:space="preserve"> in accordance with the department’s Evaluation Strategy 2023</w:t>
      </w:r>
      <w:r w:rsidR="00592871">
        <w:noBreakHyphen/>
        <w:t>2026</w:t>
      </w:r>
      <w:r w:rsidR="003E6FF2">
        <w:t xml:space="preserve"> </w:t>
      </w:r>
      <w:r w:rsidR="00592871">
        <w:t>and will consider the following 5 key evaluation questions.</w:t>
      </w:r>
    </w:p>
    <w:p w14:paraId="6FDDF06C" w14:textId="5031800B" w:rsidR="00042073" w:rsidRPr="000E171C" w:rsidRDefault="00592871" w:rsidP="00745982">
      <w:pPr>
        <w:pStyle w:val="Paragraphtext"/>
        <w:numPr>
          <w:ilvl w:val="0"/>
          <w:numId w:val="58"/>
        </w:numPr>
      </w:pPr>
      <w:r w:rsidRPr="000E171C">
        <w:rPr>
          <w:b/>
        </w:rPr>
        <w:t>Appropriateness:</w:t>
      </w:r>
      <w:r w:rsidRPr="000E171C">
        <w:t xml:space="preserve"> </w:t>
      </w:r>
      <w:r w:rsidR="00042073" w:rsidRPr="000E171C">
        <w:t>Why were the care minutes and 24/7 RN measures implemented and to what extent do they remain appropriate interventions</w:t>
      </w:r>
      <w:r w:rsidR="00FE521C">
        <w:t>?</w:t>
      </w:r>
    </w:p>
    <w:p w14:paraId="7F43CE46" w14:textId="496A2808" w:rsidR="00592871" w:rsidRPr="000E171C" w:rsidRDefault="00592871" w:rsidP="00745982">
      <w:pPr>
        <w:pStyle w:val="Paragraphtext"/>
        <w:numPr>
          <w:ilvl w:val="0"/>
          <w:numId w:val="58"/>
        </w:numPr>
      </w:pPr>
      <w:r w:rsidRPr="000E171C">
        <w:rPr>
          <w:b/>
        </w:rPr>
        <w:t>Effectiveness</w:t>
      </w:r>
      <w:r w:rsidRPr="000E171C">
        <w:t xml:space="preserve">: </w:t>
      </w:r>
      <w:r w:rsidR="00042073" w:rsidRPr="000E171C">
        <w:t xml:space="preserve">To what extent is the </w:t>
      </w:r>
      <w:r w:rsidR="752E8D50" w:rsidRPr="000E171C">
        <w:t xml:space="preserve">residential aged care </w:t>
      </w:r>
      <w:r w:rsidR="00042073" w:rsidRPr="000E171C">
        <w:t xml:space="preserve">sector delivering the targets for care minutes and the provision of 24/7 RN care as expected, and why or why not? </w:t>
      </w:r>
    </w:p>
    <w:p w14:paraId="6D756B72" w14:textId="77777777" w:rsidR="00592871" w:rsidRPr="000E171C" w:rsidRDefault="00592871" w:rsidP="00745982">
      <w:pPr>
        <w:pStyle w:val="Paragraphtext"/>
        <w:numPr>
          <w:ilvl w:val="0"/>
          <w:numId w:val="58"/>
        </w:numPr>
      </w:pPr>
      <w:r w:rsidRPr="000E171C">
        <w:rPr>
          <w:b/>
        </w:rPr>
        <w:t>Impact</w:t>
      </w:r>
      <w:r w:rsidRPr="000E171C">
        <w:t>: To w</w:t>
      </w:r>
      <w:r w:rsidR="00042073" w:rsidRPr="000E171C">
        <w:t>hat extent is each measure contributing to an improvement in the quality and safety of care provided to residents, for whom, and why or why not?</w:t>
      </w:r>
    </w:p>
    <w:p w14:paraId="041AA5F4" w14:textId="77777777" w:rsidR="00592871" w:rsidRPr="000E171C" w:rsidRDefault="00592871" w:rsidP="00745982">
      <w:pPr>
        <w:pStyle w:val="Paragraphtext"/>
        <w:numPr>
          <w:ilvl w:val="0"/>
          <w:numId w:val="58"/>
        </w:numPr>
      </w:pPr>
      <w:r w:rsidRPr="000E171C">
        <w:rPr>
          <w:b/>
        </w:rPr>
        <w:t>Efficiency</w:t>
      </w:r>
      <w:r w:rsidR="00042073" w:rsidRPr="000E171C">
        <w:t xml:space="preserve"> - How efficiently have the measures been implemented to ensure the achievement of the minimum staffing level requirements?</w:t>
      </w:r>
    </w:p>
    <w:p w14:paraId="057CD7C7" w14:textId="6C010D1B" w:rsidR="00042073" w:rsidRPr="000E171C" w:rsidRDefault="00592871" w:rsidP="00745982">
      <w:pPr>
        <w:pStyle w:val="Paragraphtext"/>
        <w:numPr>
          <w:ilvl w:val="0"/>
          <w:numId w:val="58"/>
        </w:numPr>
      </w:pPr>
      <w:r w:rsidRPr="000E171C">
        <w:rPr>
          <w:b/>
        </w:rPr>
        <w:lastRenderedPageBreak/>
        <w:t xml:space="preserve">Sustainability: </w:t>
      </w:r>
      <w:r w:rsidR="00042073" w:rsidRPr="000E171C">
        <w:t>In which ways are the measures affecting the operation of the residential aged care system, and its ability to offer safe, high-quality care to residents?</w:t>
      </w:r>
    </w:p>
    <w:p w14:paraId="1345FCB8" w14:textId="7CD26AF1" w:rsidR="007E01EB" w:rsidRDefault="00AF4FD1" w:rsidP="006C666F">
      <w:pPr>
        <w:pStyle w:val="Paragraphtext"/>
      </w:pPr>
      <w:r w:rsidRPr="193D1534">
        <w:t xml:space="preserve">A further evaluation is planned for </w:t>
      </w:r>
      <w:r w:rsidR="004C2E65">
        <w:t xml:space="preserve">2029 </w:t>
      </w:r>
      <w:r w:rsidRPr="193D1534">
        <w:t>to provide a comprehensive assessment of the overall effectiveness and efficiency</w:t>
      </w:r>
      <w:r w:rsidR="00D544C3">
        <w:t xml:space="preserve"> of care minutes and 24/7 RN</w:t>
      </w:r>
      <w:r w:rsidR="003658F7">
        <w:t xml:space="preserve"> policy</w:t>
      </w:r>
      <w:r w:rsidRPr="193D1534">
        <w:t>, informing consideration of their ongoing rationale, design and delivery.</w:t>
      </w:r>
      <w:r w:rsidR="00120282" w:rsidRPr="193D1534">
        <w:t xml:space="preserve"> </w:t>
      </w:r>
      <w:r w:rsidR="00AD606D">
        <w:t>202</w:t>
      </w:r>
      <w:r w:rsidR="004C2E65">
        <w:t>9</w:t>
      </w:r>
      <w:r w:rsidR="00AD606D">
        <w:t xml:space="preserve"> was selected as it allows for the measures to </w:t>
      </w:r>
      <w:r w:rsidR="00656634">
        <w:t xml:space="preserve">have </w:t>
      </w:r>
      <w:r w:rsidR="00FC0A70">
        <w:t>the required effect on achieving the policy objectives</w:t>
      </w:r>
      <w:r w:rsidR="00656634">
        <w:t xml:space="preserve"> and will provide enough data for the department to undertake </w:t>
      </w:r>
      <w:r w:rsidR="007E01EB">
        <w:t xml:space="preserve">a </w:t>
      </w:r>
      <w:r w:rsidR="00C52FAD">
        <w:t>comprehensive analysis of the impact</w:t>
      </w:r>
      <w:r w:rsidR="00FC0A70">
        <w:t>s</w:t>
      </w:r>
      <w:r w:rsidR="007E01EB">
        <w:t xml:space="preserve"> of the</w:t>
      </w:r>
      <w:r w:rsidR="00691BD6">
        <w:t xml:space="preserve"> policy</w:t>
      </w:r>
      <w:r w:rsidR="00FC0A70">
        <w:t xml:space="preserve"> and to identify </w:t>
      </w:r>
      <w:r w:rsidR="0076231F">
        <w:t xml:space="preserve">and address </w:t>
      </w:r>
      <w:r w:rsidR="00FC0A70">
        <w:t>any issues</w:t>
      </w:r>
      <w:r w:rsidR="0076231F">
        <w:t>.</w:t>
      </w:r>
      <w:r w:rsidR="0046377C">
        <w:t xml:space="preserve"> </w:t>
      </w:r>
      <w:r w:rsidR="00356B89">
        <w:t xml:space="preserve">It also allows time </w:t>
      </w:r>
      <w:r w:rsidR="00CA2288">
        <w:t>for</w:t>
      </w:r>
      <w:r w:rsidR="00356B89">
        <w:t xml:space="preserve"> the providers to implement </w:t>
      </w:r>
      <w:r w:rsidR="00CA2288">
        <w:t>the required reporting and workforce management systems</w:t>
      </w:r>
      <w:r w:rsidR="00CA3FA6">
        <w:t>,</w:t>
      </w:r>
      <w:r w:rsidR="00B31A54">
        <w:t xml:space="preserve"> and to identify any problems they are having with </w:t>
      </w:r>
      <w:r w:rsidR="00CA3FA6">
        <w:t xml:space="preserve">achieving their care minutes targets. </w:t>
      </w:r>
      <w:r w:rsidR="00295F44">
        <w:t xml:space="preserve">Furthermore, it also allows any benefits in care delivered to </w:t>
      </w:r>
      <w:r w:rsidR="0018775A">
        <w:t xml:space="preserve">be </w:t>
      </w:r>
      <w:r w:rsidR="00295F44">
        <w:t xml:space="preserve">identified and potentially measured. </w:t>
      </w:r>
      <w:r w:rsidR="0046377C">
        <w:t>The department will respond to any unexpected issues if they arise.</w:t>
      </w:r>
      <w:r w:rsidR="00656634">
        <w:t xml:space="preserve"> </w:t>
      </w:r>
    </w:p>
    <w:p w14:paraId="7337A6CC" w14:textId="79023A49" w:rsidR="00D544C3" w:rsidRDefault="00120282" w:rsidP="006C666F">
      <w:pPr>
        <w:pStyle w:val="Paragraphtext"/>
      </w:pPr>
      <w:r w:rsidRPr="193D1534">
        <w:t>The evaluation will assist</w:t>
      </w:r>
      <w:r w:rsidR="00127EBB" w:rsidRPr="193D1534">
        <w:t xml:space="preserve"> in </w:t>
      </w:r>
      <w:r w:rsidR="003059B5" w:rsidRPr="193D1534">
        <w:t>determining</w:t>
      </w:r>
      <w:r w:rsidR="00127EBB" w:rsidRPr="193D1534">
        <w:t xml:space="preserve"> whether </w:t>
      </w:r>
      <w:r w:rsidR="00300BA0">
        <w:t>G</w:t>
      </w:r>
      <w:r w:rsidR="00127EBB" w:rsidRPr="193D1534">
        <w:t>overnment funding is</w:t>
      </w:r>
      <w:r w:rsidR="003059B5" w:rsidRPr="193D1534">
        <w:t xml:space="preserve"> effective and</w:t>
      </w:r>
      <w:r w:rsidR="00127EBB" w:rsidRPr="193D1534">
        <w:t xml:space="preserve"> being used </w:t>
      </w:r>
      <w:r w:rsidR="003059B5" w:rsidRPr="193D1534">
        <w:t>by providers for the purpose of deliver</w:t>
      </w:r>
      <w:r w:rsidR="00C23219">
        <w:t>ing</w:t>
      </w:r>
      <w:r w:rsidR="000F3C77">
        <w:t xml:space="preserve"> </w:t>
      </w:r>
      <w:r w:rsidR="00C23219">
        <w:t>the required number of</w:t>
      </w:r>
      <w:r w:rsidR="003059B5" w:rsidRPr="193D1534">
        <w:t xml:space="preserve"> care minutes. </w:t>
      </w:r>
    </w:p>
    <w:p w14:paraId="1214EB2C" w14:textId="2C5B7569" w:rsidR="00FE726C" w:rsidRPr="00FE726C" w:rsidRDefault="004B7577" w:rsidP="006C666F">
      <w:pPr>
        <w:pStyle w:val="Paragraphtext"/>
      </w:pPr>
      <w:r w:rsidRPr="51365D77">
        <w:t xml:space="preserve">The success of this </w:t>
      </w:r>
      <w:r w:rsidR="00EC164F">
        <w:t>policy change</w:t>
      </w:r>
      <w:r w:rsidRPr="51365D77">
        <w:t xml:space="preserve"> will be measured </w:t>
      </w:r>
      <w:r w:rsidR="003E6FF2">
        <w:t xml:space="preserve">quarterly </w:t>
      </w:r>
      <w:r w:rsidRPr="51365D77">
        <w:t>by monitoring:</w:t>
      </w:r>
    </w:p>
    <w:p w14:paraId="65E29B3D" w14:textId="68097A65" w:rsidR="004B7577" w:rsidRPr="00FE726C" w:rsidRDefault="004B7577" w:rsidP="00357BB0">
      <w:pPr>
        <w:pStyle w:val="Paragraphtext"/>
        <w:numPr>
          <w:ilvl w:val="0"/>
          <w:numId w:val="14"/>
        </w:numPr>
      </w:pPr>
      <w:r w:rsidRPr="00FE726C">
        <w:t xml:space="preserve">the rate at which </w:t>
      </w:r>
      <w:r w:rsidR="00411ACD">
        <w:t>hom</w:t>
      </w:r>
      <w:r w:rsidRPr="00FE726C">
        <w:t>es in MM1 increase their total and RN care minutes</w:t>
      </w:r>
      <w:r w:rsidR="00411ACD">
        <w:t xml:space="preserve"> delivery</w:t>
      </w:r>
    </w:p>
    <w:p w14:paraId="416A52C5" w14:textId="3E0F07D9" w:rsidR="004B7577" w:rsidRPr="00FE726C" w:rsidRDefault="004B7577" w:rsidP="00357BB0">
      <w:pPr>
        <w:pStyle w:val="Paragraphtext"/>
        <w:numPr>
          <w:ilvl w:val="0"/>
          <w:numId w:val="14"/>
        </w:numPr>
      </w:pPr>
      <w:r w:rsidRPr="51365D77">
        <w:t xml:space="preserve">the % of </w:t>
      </w:r>
      <w:r w:rsidR="00411ACD">
        <w:t>hom</w:t>
      </w:r>
      <w:r w:rsidRPr="51365D77">
        <w:t xml:space="preserve">es that are meeting their total and RN </w:t>
      </w:r>
      <w:r w:rsidR="00450E6E">
        <w:t xml:space="preserve">care </w:t>
      </w:r>
      <w:r w:rsidRPr="51365D77">
        <w:t>minutes in MM1</w:t>
      </w:r>
    </w:p>
    <w:p w14:paraId="26F620B7" w14:textId="60235011" w:rsidR="004B7577" w:rsidRPr="00FE726C" w:rsidRDefault="004B7577" w:rsidP="00357BB0">
      <w:pPr>
        <w:pStyle w:val="Paragraphtext"/>
        <w:numPr>
          <w:ilvl w:val="0"/>
          <w:numId w:val="14"/>
        </w:numPr>
      </w:pPr>
      <w:r w:rsidRPr="00FE726C">
        <w:t xml:space="preserve">for </w:t>
      </w:r>
      <w:r w:rsidR="004B33D3">
        <w:t>hom</w:t>
      </w:r>
      <w:r w:rsidRPr="00FE726C">
        <w:t>es not delivering their care minutes, the average gap between their targets and their minutes delivered</w:t>
      </w:r>
    </w:p>
    <w:p w14:paraId="7A723778" w14:textId="6582F396" w:rsidR="00FE726C" w:rsidRPr="00FE726C" w:rsidRDefault="004B7577" w:rsidP="00357BB0">
      <w:pPr>
        <w:pStyle w:val="Paragraphtext"/>
        <w:numPr>
          <w:ilvl w:val="0"/>
          <w:numId w:val="14"/>
        </w:numPr>
      </w:pPr>
      <w:r w:rsidRPr="00FE726C">
        <w:t>the care underspend in MM1 (</w:t>
      </w:r>
      <w:r w:rsidR="00804CF4">
        <w:t xml:space="preserve">i.e. </w:t>
      </w:r>
      <w:r w:rsidRPr="00FE726C">
        <w:t xml:space="preserve">the </w:t>
      </w:r>
      <w:r w:rsidR="003C6000">
        <w:t xml:space="preserve">funding provided </w:t>
      </w:r>
      <w:r w:rsidR="00804CF4">
        <w:t>for care minutes that are not being delivered</w:t>
      </w:r>
      <w:r w:rsidRPr="00FE726C">
        <w:t>)</w:t>
      </w:r>
      <w:r w:rsidR="00046EFB">
        <w:t>.</w:t>
      </w:r>
    </w:p>
    <w:p w14:paraId="06C481C8" w14:textId="75B82067" w:rsidR="00E8389A" w:rsidRDefault="004B7577" w:rsidP="006C666F">
      <w:pPr>
        <w:pStyle w:val="Paragraphtext"/>
      </w:pPr>
      <w:r w:rsidRPr="193D1534">
        <w:t xml:space="preserve">The data to monitor these metrics is </w:t>
      </w:r>
      <w:r w:rsidR="0099601C">
        <w:t xml:space="preserve">already </w:t>
      </w:r>
      <w:r w:rsidRPr="193D1534">
        <w:t>collected through the QFR</w:t>
      </w:r>
      <w:r w:rsidR="00E27CDA" w:rsidRPr="193D1534">
        <w:t xml:space="preserve"> </w:t>
      </w:r>
      <w:r w:rsidR="0099601C">
        <w:t>each quarter</w:t>
      </w:r>
      <w:r w:rsidRPr="193D1534">
        <w:t>.</w:t>
      </w:r>
      <w:r w:rsidR="00E27CDA" w:rsidRPr="193D1534">
        <w:t xml:space="preserve"> </w:t>
      </w:r>
      <w:r w:rsidR="00283C3F">
        <w:t>The above measures will be baselined</w:t>
      </w:r>
      <w:r w:rsidR="00660545">
        <w:t xml:space="preserve"> in the October – December 2024 quarter</w:t>
      </w:r>
      <w:r w:rsidR="00E8389A">
        <w:t xml:space="preserve">. The reason for selecting this period to baseline the measures is that </w:t>
      </w:r>
      <w:r w:rsidR="002F2B4E">
        <w:t>the policy change was announced around the end of this quarter</w:t>
      </w:r>
      <w:r w:rsidR="00927EC9">
        <w:t xml:space="preserve">. This policy is expected </w:t>
      </w:r>
      <w:r w:rsidR="006211DB">
        <w:t xml:space="preserve">to drive increased compliance with care minutes </w:t>
      </w:r>
      <w:r w:rsidR="0090503C">
        <w:t>targets</w:t>
      </w:r>
      <w:r w:rsidR="006211DB">
        <w:t xml:space="preserve"> </w:t>
      </w:r>
      <w:r w:rsidR="00927EC9">
        <w:t xml:space="preserve">from the time of announcement </w:t>
      </w:r>
      <w:r w:rsidR="00CD05A9">
        <w:t>(even in advance of implementation) because of the time it takes to recruit additional staff</w:t>
      </w:r>
      <w:r w:rsidR="00535E10">
        <w:t>.</w:t>
      </w:r>
    </w:p>
    <w:p w14:paraId="3E498950" w14:textId="6965E71D" w:rsidR="00AA3216" w:rsidRDefault="00E36D49" w:rsidP="006C666F">
      <w:pPr>
        <w:pStyle w:val="Paragraphtext"/>
      </w:pPr>
      <w:r>
        <w:t xml:space="preserve">Ongoing monitoring will also be undertaken on whether </w:t>
      </w:r>
      <w:r w:rsidR="00D4766C">
        <w:t xml:space="preserve">providers appear to be aiming for compliance thresholds </w:t>
      </w:r>
      <w:r>
        <w:t xml:space="preserve">(short of 100%) </w:t>
      </w:r>
      <w:r w:rsidR="00D4766C">
        <w:t>to maximise their funding versus</w:t>
      </w:r>
      <w:r>
        <w:t xml:space="preserve"> wage</w:t>
      </w:r>
      <w:r w:rsidR="00D4766C">
        <w:t xml:space="preserve"> </w:t>
      </w:r>
      <w:r>
        <w:t xml:space="preserve">costs. </w:t>
      </w:r>
      <w:r w:rsidR="00053BEF">
        <w:t>Bas</w:t>
      </w:r>
      <w:r w:rsidR="00AF7378">
        <w:t>ed on this</w:t>
      </w:r>
      <w:r w:rsidR="007711B1">
        <w:t>,</w:t>
      </w:r>
      <w:r w:rsidR="00AF7378">
        <w:t xml:space="preserve"> monitoring refinements to the supplement rates table may be proposed as part of the annual AN-ACC </w:t>
      </w:r>
      <w:r w:rsidR="00AB07EA">
        <w:t xml:space="preserve">pricing process </w:t>
      </w:r>
      <w:r w:rsidR="00D05305">
        <w:t xml:space="preserve">(implemented on 1 October each year). </w:t>
      </w:r>
    </w:p>
    <w:p w14:paraId="1938CD0C" w14:textId="67D29FE4" w:rsidR="00AA392A" w:rsidRPr="005F2F10" w:rsidRDefault="00CB6FC4" w:rsidP="006C666F">
      <w:pPr>
        <w:pStyle w:val="Paragraphtext"/>
        <w:rPr>
          <w:b/>
        </w:rPr>
      </w:pPr>
      <w:r w:rsidRPr="005F2F10">
        <w:rPr>
          <w:b/>
        </w:rPr>
        <w:t>Stakeholder engagement and consultation</w:t>
      </w:r>
    </w:p>
    <w:p w14:paraId="795F853D" w14:textId="1AA663C6" w:rsidR="00D519B9" w:rsidRDefault="00B255BC" w:rsidP="00D519B9">
      <w:pPr>
        <w:pStyle w:val="Paragraphtext"/>
      </w:pPr>
      <w:r>
        <w:t>T</w:t>
      </w:r>
      <w:r w:rsidR="00A8619B">
        <w:t xml:space="preserve">he department will </w:t>
      </w:r>
      <w:r w:rsidR="00823BC1">
        <w:t xml:space="preserve">engage with </w:t>
      </w:r>
      <w:r w:rsidR="00AD0191">
        <w:t>a variety of</w:t>
      </w:r>
      <w:r w:rsidR="00823BC1">
        <w:t xml:space="preserve"> stakeholder groups</w:t>
      </w:r>
      <w:r>
        <w:t xml:space="preserve"> </w:t>
      </w:r>
      <w:r w:rsidR="001F624D">
        <w:t>for</w:t>
      </w:r>
      <w:r w:rsidR="00F84117">
        <w:t xml:space="preserve"> </w:t>
      </w:r>
      <w:r>
        <w:t xml:space="preserve">evaluation </w:t>
      </w:r>
      <w:r w:rsidR="001F624D">
        <w:t>purposes</w:t>
      </w:r>
      <w:r w:rsidR="00F53FF8">
        <w:t>.</w:t>
      </w:r>
      <w:r w:rsidR="00D519B9">
        <w:t xml:space="preserve"> </w:t>
      </w:r>
    </w:p>
    <w:p w14:paraId="7476A87C" w14:textId="4ADE3D48" w:rsidR="00A8619B" w:rsidRDefault="00571D22" w:rsidP="00F53FF8">
      <w:pPr>
        <w:pStyle w:val="Paragraphtext"/>
        <w:rPr>
          <w:rFonts w:eastAsia="Arial"/>
        </w:rPr>
      </w:pPr>
      <w:r>
        <w:rPr>
          <w:rFonts w:eastAsia="Arial"/>
        </w:rPr>
        <w:t xml:space="preserve">Providers </w:t>
      </w:r>
      <w:r w:rsidR="001A2A65">
        <w:rPr>
          <w:rFonts w:eastAsia="Arial"/>
        </w:rPr>
        <w:t>from all MM region</w:t>
      </w:r>
      <w:r w:rsidR="00B255BC">
        <w:rPr>
          <w:rFonts w:eastAsia="Arial"/>
        </w:rPr>
        <w:t>al</w:t>
      </w:r>
      <w:r w:rsidR="001A2A65">
        <w:rPr>
          <w:rFonts w:eastAsia="Arial"/>
        </w:rPr>
        <w:t xml:space="preserve"> classifications and with different business models </w:t>
      </w:r>
      <w:r w:rsidR="005D456F">
        <w:rPr>
          <w:rFonts w:eastAsia="Arial"/>
        </w:rPr>
        <w:t xml:space="preserve">can provide information on </w:t>
      </w:r>
      <w:r w:rsidR="003736E3">
        <w:rPr>
          <w:rFonts w:eastAsia="Arial"/>
        </w:rPr>
        <w:t xml:space="preserve">the </w:t>
      </w:r>
      <w:r w:rsidR="005E3486">
        <w:rPr>
          <w:rFonts w:eastAsia="Arial"/>
        </w:rPr>
        <w:t xml:space="preserve">impacts of the proposed </w:t>
      </w:r>
      <w:r w:rsidR="00ED18FB">
        <w:rPr>
          <w:rFonts w:eastAsia="Arial"/>
        </w:rPr>
        <w:t>policies including</w:t>
      </w:r>
      <w:r w:rsidR="00600429">
        <w:rPr>
          <w:rFonts w:eastAsia="Arial"/>
        </w:rPr>
        <w:t xml:space="preserve"> </w:t>
      </w:r>
      <w:r w:rsidR="00ED18FB">
        <w:rPr>
          <w:rFonts w:eastAsia="Arial"/>
        </w:rPr>
        <w:t>reporting</w:t>
      </w:r>
      <w:r w:rsidR="00600429">
        <w:rPr>
          <w:rFonts w:eastAsia="Arial"/>
        </w:rPr>
        <w:t xml:space="preserve">, </w:t>
      </w:r>
      <w:r w:rsidR="000C3E86">
        <w:rPr>
          <w:rFonts w:eastAsia="Arial"/>
        </w:rPr>
        <w:t xml:space="preserve">care delivery and business </w:t>
      </w:r>
      <w:r w:rsidR="001D1B2F">
        <w:rPr>
          <w:rFonts w:eastAsia="Arial"/>
        </w:rPr>
        <w:t>sustainability (including financial implications)</w:t>
      </w:r>
      <w:r w:rsidR="003736E3">
        <w:rPr>
          <w:rFonts w:eastAsia="Arial"/>
        </w:rPr>
        <w:t xml:space="preserve">. </w:t>
      </w:r>
    </w:p>
    <w:p w14:paraId="6986D42A" w14:textId="56892349" w:rsidR="00D94326" w:rsidRDefault="00A9031A" w:rsidP="00F53FF8">
      <w:pPr>
        <w:pStyle w:val="Paragraphtext"/>
        <w:rPr>
          <w:rFonts w:eastAsia="Arial"/>
        </w:rPr>
      </w:pPr>
      <w:r>
        <w:rPr>
          <w:rFonts w:eastAsia="Arial"/>
        </w:rPr>
        <w:t>Providers, particularly those in MM1</w:t>
      </w:r>
      <w:r w:rsidR="00CE55F2">
        <w:rPr>
          <w:rFonts w:eastAsia="Arial"/>
        </w:rPr>
        <w:t xml:space="preserve">, directly impacted by linking </w:t>
      </w:r>
      <w:r w:rsidR="00D52C28">
        <w:rPr>
          <w:rFonts w:eastAsia="Arial"/>
        </w:rPr>
        <w:t xml:space="preserve">funding to care delivery </w:t>
      </w:r>
      <w:r w:rsidR="007075C7">
        <w:rPr>
          <w:rFonts w:eastAsia="Arial"/>
        </w:rPr>
        <w:t xml:space="preserve">can provide information on how </w:t>
      </w:r>
      <w:r w:rsidR="000036D7">
        <w:rPr>
          <w:rFonts w:eastAsia="Arial"/>
        </w:rPr>
        <w:t xml:space="preserve">effective </w:t>
      </w:r>
      <w:r w:rsidR="00283418">
        <w:rPr>
          <w:rFonts w:eastAsia="Arial"/>
        </w:rPr>
        <w:t>these polic</w:t>
      </w:r>
      <w:r w:rsidR="00C55D42">
        <w:rPr>
          <w:rFonts w:eastAsia="Arial"/>
        </w:rPr>
        <w:t>ies</w:t>
      </w:r>
      <w:r w:rsidR="00283418">
        <w:rPr>
          <w:rFonts w:eastAsia="Arial"/>
        </w:rPr>
        <w:t xml:space="preserve"> are</w:t>
      </w:r>
      <w:r w:rsidR="000036D7">
        <w:rPr>
          <w:rFonts w:eastAsia="Arial"/>
        </w:rPr>
        <w:t xml:space="preserve"> i</w:t>
      </w:r>
      <w:r w:rsidR="004649D8">
        <w:rPr>
          <w:rFonts w:eastAsia="Arial"/>
        </w:rPr>
        <w:t>n</w:t>
      </w:r>
      <w:r w:rsidR="000036D7">
        <w:rPr>
          <w:rFonts w:eastAsia="Arial"/>
        </w:rPr>
        <w:t xml:space="preserve"> achiev</w:t>
      </w:r>
      <w:r w:rsidR="00283418">
        <w:rPr>
          <w:rFonts w:eastAsia="Arial"/>
        </w:rPr>
        <w:t>ing</w:t>
      </w:r>
      <w:r w:rsidR="000036D7">
        <w:rPr>
          <w:rFonts w:eastAsia="Arial"/>
        </w:rPr>
        <w:t xml:space="preserve"> care minutes compliance and </w:t>
      </w:r>
      <w:r w:rsidR="0082364F">
        <w:rPr>
          <w:rFonts w:eastAsia="Arial"/>
        </w:rPr>
        <w:t>ensuring</w:t>
      </w:r>
      <w:r w:rsidR="001B5766">
        <w:rPr>
          <w:rFonts w:eastAsia="Arial"/>
        </w:rPr>
        <w:t xml:space="preserve"> </w:t>
      </w:r>
      <w:r w:rsidR="00494244">
        <w:rPr>
          <w:rFonts w:eastAsia="Arial"/>
        </w:rPr>
        <w:t>G</w:t>
      </w:r>
      <w:r w:rsidR="001B5766">
        <w:rPr>
          <w:rFonts w:eastAsia="Arial"/>
        </w:rPr>
        <w:t xml:space="preserve">overnment funding for care is </w:t>
      </w:r>
      <w:r w:rsidR="0082364F">
        <w:rPr>
          <w:rFonts w:eastAsia="Arial"/>
        </w:rPr>
        <w:t xml:space="preserve">appropriately spent. </w:t>
      </w:r>
    </w:p>
    <w:p w14:paraId="056A2D1F" w14:textId="7DF4DA00" w:rsidR="00A9031A" w:rsidRDefault="00B83E2A" w:rsidP="00F53FF8">
      <w:pPr>
        <w:pStyle w:val="Paragraphtext"/>
        <w:rPr>
          <w:rFonts w:eastAsia="Arial"/>
        </w:rPr>
      </w:pPr>
      <w:r>
        <w:rPr>
          <w:rFonts w:eastAsia="Arial"/>
        </w:rPr>
        <w:t>Direct engagement with providers will provide an opportunity for the G</w:t>
      </w:r>
      <w:r w:rsidR="00203966">
        <w:rPr>
          <w:rFonts w:eastAsia="Arial"/>
        </w:rPr>
        <w:t>o</w:t>
      </w:r>
      <w:r>
        <w:rPr>
          <w:rFonts w:eastAsia="Arial"/>
        </w:rPr>
        <w:t>vern</w:t>
      </w:r>
      <w:r w:rsidR="00203966">
        <w:rPr>
          <w:rFonts w:eastAsia="Arial"/>
        </w:rPr>
        <w:t>me</w:t>
      </w:r>
      <w:r>
        <w:rPr>
          <w:rFonts w:eastAsia="Arial"/>
        </w:rPr>
        <w:t>nt to collect qualit</w:t>
      </w:r>
      <w:r w:rsidR="00203966">
        <w:rPr>
          <w:rFonts w:eastAsia="Arial"/>
        </w:rPr>
        <w:t>ative</w:t>
      </w:r>
      <w:r>
        <w:rPr>
          <w:rFonts w:eastAsia="Arial"/>
        </w:rPr>
        <w:t xml:space="preserve"> information that </w:t>
      </w:r>
      <w:r w:rsidR="009E2BE6">
        <w:rPr>
          <w:rFonts w:eastAsia="Arial"/>
        </w:rPr>
        <w:t xml:space="preserve">can provide context </w:t>
      </w:r>
      <w:r w:rsidR="00254B02">
        <w:rPr>
          <w:rFonts w:eastAsia="Arial"/>
        </w:rPr>
        <w:t xml:space="preserve">to quantitative information collected in the QFR, </w:t>
      </w:r>
      <w:r w:rsidR="00E14A1D">
        <w:rPr>
          <w:rFonts w:eastAsia="Arial"/>
        </w:rPr>
        <w:t xml:space="preserve">24/7 </w:t>
      </w:r>
      <w:r w:rsidR="00254B02">
        <w:rPr>
          <w:rFonts w:eastAsia="Arial"/>
        </w:rPr>
        <w:t xml:space="preserve">R/N and ACFR reports. </w:t>
      </w:r>
      <w:r w:rsidR="00E14A1D">
        <w:rPr>
          <w:rFonts w:eastAsia="Arial"/>
        </w:rPr>
        <w:t xml:space="preserve">This engagement will consider </w:t>
      </w:r>
      <w:r w:rsidR="001D4F87">
        <w:rPr>
          <w:rFonts w:eastAsia="Arial"/>
        </w:rPr>
        <w:t>homes in different locations</w:t>
      </w:r>
      <w:r w:rsidR="00494244">
        <w:rPr>
          <w:rFonts w:eastAsia="Arial"/>
        </w:rPr>
        <w:t xml:space="preserve"> and with</w:t>
      </w:r>
      <w:r w:rsidR="00D94326">
        <w:rPr>
          <w:rFonts w:eastAsia="Arial"/>
        </w:rPr>
        <w:t xml:space="preserve"> </w:t>
      </w:r>
      <w:r w:rsidR="001D4F87">
        <w:rPr>
          <w:rFonts w:eastAsia="Arial"/>
        </w:rPr>
        <w:t xml:space="preserve">different business models, </w:t>
      </w:r>
      <w:r w:rsidR="006F4828">
        <w:rPr>
          <w:rFonts w:eastAsia="Arial"/>
        </w:rPr>
        <w:t>fina</w:t>
      </w:r>
      <w:r w:rsidR="00AA392A">
        <w:rPr>
          <w:rFonts w:eastAsia="Arial"/>
        </w:rPr>
        <w:t xml:space="preserve">ncial status, resident cohorts or any other characteristic that is identified as affecting care minutes compliance and care funding. </w:t>
      </w:r>
      <w:r w:rsidR="006F4828">
        <w:rPr>
          <w:rFonts w:eastAsia="Arial"/>
        </w:rPr>
        <w:t xml:space="preserve"> </w:t>
      </w:r>
    </w:p>
    <w:p w14:paraId="5C1BBC1F" w14:textId="4D86A4F4" w:rsidR="003E72EC" w:rsidRDefault="003E72EC" w:rsidP="00F53FF8">
      <w:pPr>
        <w:pStyle w:val="Paragraphtext"/>
        <w:rPr>
          <w:rFonts w:eastAsia="Arial"/>
        </w:rPr>
      </w:pPr>
      <w:r>
        <w:rPr>
          <w:rFonts w:eastAsia="Arial"/>
        </w:rPr>
        <w:t>Prov</w:t>
      </w:r>
      <w:r w:rsidR="00931356">
        <w:rPr>
          <w:rFonts w:eastAsia="Arial"/>
        </w:rPr>
        <w:t>i</w:t>
      </w:r>
      <w:r>
        <w:rPr>
          <w:rFonts w:eastAsia="Arial"/>
        </w:rPr>
        <w:t xml:space="preserve">der </w:t>
      </w:r>
      <w:r w:rsidR="00BD09B7">
        <w:rPr>
          <w:rFonts w:eastAsia="Arial"/>
        </w:rPr>
        <w:t>peak bodies</w:t>
      </w:r>
      <w:r>
        <w:rPr>
          <w:rFonts w:eastAsia="Arial"/>
        </w:rPr>
        <w:t xml:space="preserve"> will </w:t>
      </w:r>
      <w:r w:rsidR="00931356">
        <w:rPr>
          <w:rFonts w:eastAsia="Arial"/>
        </w:rPr>
        <w:t xml:space="preserve">be consulted as they can provide a consolidated view </w:t>
      </w:r>
      <w:r w:rsidR="00A5474B">
        <w:rPr>
          <w:rFonts w:eastAsia="Arial"/>
        </w:rPr>
        <w:t xml:space="preserve">of providers </w:t>
      </w:r>
      <w:r w:rsidR="00143485">
        <w:rPr>
          <w:rFonts w:eastAsia="Arial"/>
        </w:rPr>
        <w:t>in relation to care minutes compliance</w:t>
      </w:r>
      <w:r w:rsidR="00310142">
        <w:rPr>
          <w:rFonts w:eastAsia="Arial"/>
        </w:rPr>
        <w:t xml:space="preserve"> and funding</w:t>
      </w:r>
      <w:r w:rsidR="00143485">
        <w:rPr>
          <w:rFonts w:eastAsia="Arial"/>
        </w:rPr>
        <w:t xml:space="preserve">. </w:t>
      </w:r>
      <w:r w:rsidR="001A2BE3">
        <w:rPr>
          <w:rFonts w:eastAsia="Arial"/>
        </w:rPr>
        <w:t xml:space="preserve">This engagement will </w:t>
      </w:r>
      <w:r w:rsidR="00DB2F91">
        <w:rPr>
          <w:rFonts w:eastAsia="Arial"/>
        </w:rPr>
        <w:t>be more efficient tha</w:t>
      </w:r>
      <w:r w:rsidR="00310142">
        <w:rPr>
          <w:rFonts w:eastAsia="Arial"/>
        </w:rPr>
        <w:t>n</w:t>
      </w:r>
      <w:r w:rsidR="00DB2F91">
        <w:rPr>
          <w:rFonts w:eastAsia="Arial"/>
        </w:rPr>
        <w:t xml:space="preserve"> enga</w:t>
      </w:r>
      <w:r w:rsidR="00BD09B7">
        <w:rPr>
          <w:rFonts w:eastAsia="Arial"/>
        </w:rPr>
        <w:t>ging</w:t>
      </w:r>
      <w:r w:rsidR="00DB2F91">
        <w:rPr>
          <w:rFonts w:eastAsia="Arial"/>
        </w:rPr>
        <w:t xml:space="preserve"> with providers individually</w:t>
      </w:r>
      <w:r w:rsidR="00BD09B7">
        <w:rPr>
          <w:rFonts w:eastAsia="Arial"/>
        </w:rPr>
        <w:t xml:space="preserve"> and</w:t>
      </w:r>
      <w:r w:rsidR="00497DAE">
        <w:rPr>
          <w:rFonts w:eastAsia="Arial"/>
        </w:rPr>
        <w:t xml:space="preserve"> can assist the department to target </w:t>
      </w:r>
      <w:r w:rsidR="00A13B64">
        <w:rPr>
          <w:rFonts w:eastAsia="Arial"/>
        </w:rPr>
        <w:t xml:space="preserve">further </w:t>
      </w:r>
      <w:r w:rsidR="00497DAE">
        <w:rPr>
          <w:rFonts w:eastAsia="Arial"/>
        </w:rPr>
        <w:t xml:space="preserve">engagement with specific </w:t>
      </w:r>
      <w:r w:rsidR="00310142">
        <w:rPr>
          <w:rFonts w:eastAsia="Arial"/>
        </w:rPr>
        <w:t>prov</w:t>
      </w:r>
      <w:r w:rsidR="001D42AD">
        <w:rPr>
          <w:rFonts w:eastAsia="Arial"/>
        </w:rPr>
        <w:t>iders</w:t>
      </w:r>
      <w:r w:rsidR="00BD09B7">
        <w:rPr>
          <w:rFonts w:eastAsia="Arial"/>
        </w:rPr>
        <w:t>.</w:t>
      </w:r>
    </w:p>
    <w:p w14:paraId="6E29A3CE" w14:textId="270BA531" w:rsidR="00857A98" w:rsidRDefault="00DF5A2A" w:rsidP="009E408C">
      <w:pPr>
        <w:pStyle w:val="Paragraphtext"/>
        <w:rPr>
          <w:rFonts w:eastAsia="Arial"/>
        </w:rPr>
      </w:pPr>
      <w:r>
        <w:rPr>
          <w:rFonts w:eastAsia="Arial"/>
        </w:rPr>
        <w:lastRenderedPageBreak/>
        <w:t xml:space="preserve">Government departments will </w:t>
      </w:r>
      <w:r w:rsidR="009C72D7">
        <w:rPr>
          <w:rFonts w:eastAsia="Arial"/>
        </w:rPr>
        <w:t xml:space="preserve">also </w:t>
      </w:r>
      <w:r>
        <w:rPr>
          <w:rFonts w:eastAsia="Arial"/>
        </w:rPr>
        <w:t xml:space="preserve">be consulted </w:t>
      </w:r>
      <w:r w:rsidR="00434B69">
        <w:rPr>
          <w:rFonts w:eastAsia="Arial"/>
        </w:rPr>
        <w:t xml:space="preserve">for </w:t>
      </w:r>
      <w:r w:rsidR="00CC184B">
        <w:rPr>
          <w:rFonts w:eastAsia="Arial"/>
        </w:rPr>
        <w:t xml:space="preserve">evaluation </w:t>
      </w:r>
      <w:r w:rsidR="00434B69">
        <w:rPr>
          <w:rFonts w:eastAsia="Arial"/>
        </w:rPr>
        <w:t>purposes</w:t>
      </w:r>
      <w:r w:rsidR="006E065E">
        <w:rPr>
          <w:rFonts w:eastAsia="Arial"/>
        </w:rPr>
        <w:t>. F</w:t>
      </w:r>
      <w:r w:rsidR="00E879A6">
        <w:rPr>
          <w:rFonts w:eastAsia="Arial"/>
        </w:rPr>
        <w:t>o</w:t>
      </w:r>
      <w:r w:rsidR="006E065E">
        <w:rPr>
          <w:rFonts w:eastAsia="Arial"/>
        </w:rPr>
        <w:t>r example</w:t>
      </w:r>
      <w:r w:rsidR="00E879A6">
        <w:rPr>
          <w:rFonts w:eastAsia="Arial"/>
        </w:rPr>
        <w:t xml:space="preserve">, the department will </w:t>
      </w:r>
      <w:r w:rsidR="009E408C">
        <w:rPr>
          <w:rFonts w:eastAsia="Arial"/>
        </w:rPr>
        <w:t xml:space="preserve">continue to engage with </w:t>
      </w:r>
      <w:r w:rsidR="00A8619B" w:rsidRPr="28283FBB">
        <w:rPr>
          <w:rFonts w:eastAsia="Arial"/>
        </w:rPr>
        <w:t xml:space="preserve">the </w:t>
      </w:r>
      <w:r w:rsidR="009E408C">
        <w:rPr>
          <w:rFonts w:eastAsia="Arial"/>
        </w:rPr>
        <w:t>A</w:t>
      </w:r>
      <w:r w:rsidR="00AA5147">
        <w:rPr>
          <w:rFonts w:eastAsia="Arial"/>
        </w:rPr>
        <w:t>C</w:t>
      </w:r>
      <w:r w:rsidR="009E408C">
        <w:rPr>
          <w:rFonts w:eastAsia="Arial"/>
        </w:rPr>
        <w:t xml:space="preserve">QSC to </w:t>
      </w:r>
      <w:r w:rsidR="00BF0384">
        <w:rPr>
          <w:rFonts w:eastAsia="Arial"/>
        </w:rPr>
        <w:t xml:space="preserve">support them to undertake regulatory action </w:t>
      </w:r>
      <w:r w:rsidR="0010757D">
        <w:rPr>
          <w:rFonts w:eastAsia="Arial"/>
        </w:rPr>
        <w:t xml:space="preserve">against providers </w:t>
      </w:r>
      <w:r w:rsidR="00BF0384">
        <w:rPr>
          <w:rFonts w:eastAsia="Arial"/>
        </w:rPr>
        <w:t xml:space="preserve">for care minutes </w:t>
      </w:r>
      <w:r w:rsidR="00AA5147">
        <w:rPr>
          <w:rFonts w:eastAsia="Arial"/>
        </w:rPr>
        <w:t>non-compliance</w:t>
      </w:r>
      <w:r w:rsidR="00BF0384">
        <w:rPr>
          <w:rFonts w:eastAsia="Arial"/>
        </w:rPr>
        <w:t>. T</w:t>
      </w:r>
      <w:r w:rsidR="00AA5147">
        <w:rPr>
          <w:rFonts w:eastAsia="Arial"/>
        </w:rPr>
        <w:t>he ACQSC can</w:t>
      </w:r>
      <w:r w:rsidR="00BF0384">
        <w:rPr>
          <w:rFonts w:eastAsia="Arial"/>
        </w:rPr>
        <w:t xml:space="preserve"> </w:t>
      </w:r>
      <w:r w:rsidR="000D0D1E">
        <w:rPr>
          <w:rFonts w:eastAsia="Arial"/>
        </w:rPr>
        <w:t>help the department identify factors leading to care minutes non-</w:t>
      </w:r>
      <w:r w:rsidR="0041040D">
        <w:rPr>
          <w:rFonts w:eastAsia="Arial"/>
        </w:rPr>
        <w:t>compliance</w:t>
      </w:r>
      <w:r w:rsidR="000D0D1E">
        <w:rPr>
          <w:rFonts w:eastAsia="Arial"/>
        </w:rPr>
        <w:t xml:space="preserve"> and </w:t>
      </w:r>
      <w:r w:rsidR="003C0CB8">
        <w:rPr>
          <w:rFonts w:eastAsia="Arial"/>
        </w:rPr>
        <w:t>wh</w:t>
      </w:r>
      <w:r w:rsidR="00857A98">
        <w:rPr>
          <w:rFonts w:eastAsia="Arial"/>
        </w:rPr>
        <w:t>ether</w:t>
      </w:r>
      <w:r w:rsidR="003C0CB8">
        <w:rPr>
          <w:rFonts w:eastAsia="Arial"/>
        </w:rPr>
        <w:t xml:space="preserve"> </w:t>
      </w:r>
      <w:r w:rsidR="00857A98">
        <w:rPr>
          <w:rFonts w:eastAsia="Arial"/>
        </w:rPr>
        <w:t>t</w:t>
      </w:r>
      <w:r w:rsidR="003C0CB8">
        <w:rPr>
          <w:rFonts w:eastAsia="Arial"/>
        </w:rPr>
        <w:t xml:space="preserve">he proposed policy options are successfully </w:t>
      </w:r>
      <w:r w:rsidR="00857A98">
        <w:rPr>
          <w:rFonts w:eastAsia="Arial"/>
        </w:rPr>
        <w:t>moving providers towards care minutes compliance or not.</w:t>
      </w:r>
    </w:p>
    <w:p w14:paraId="691686D6" w14:textId="730BE5A8" w:rsidR="002857C2" w:rsidRDefault="00857A98" w:rsidP="009E408C">
      <w:pPr>
        <w:pStyle w:val="Paragraphtext"/>
        <w:rPr>
          <w:rFonts w:eastAsia="Arial"/>
        </w:rPr>
      </w:pPr>
      <w:r>
        <w:rPr>
          <w:rFonts w:eastAsia="Arial"/>
        </w:rPr>
        <w:t>The department will engage with Services Australia to ensure that the payment systems are working as intended as the linking of funding to care minutes compliance adds complexity</w:t>
      </w:r>
      <w:r w:rsidR="00F702F9">
        <w:rPr>
          <w:rFonts w:eastAsia="Arial"/>
        </w:rPr>
        <w:t xml:space="preserve"> to </w:t>
      </w:r>
      <w:r w:rsidR="00C96620">
        <w:rPr>
          <w:rFonts w:eastAsia="Arial"/>
        </w:rPr>
        <w:t>ICT systems and</w:t>
      </w:r>
      <w:r w:rsidR="00F702F9">
        <w:rPr>
          <w:rFonts w:eastAsia="Arial"/>
        </w:rPr>
        <w:t xml:space="preserve"> funding distribution.</w:t>
      </w:r>
    </w:p>
    <w:p w14:paraId="3A2CDD1C" w14:textId="37B7B1C7" w:rsidR="004E33E5" w:rsidRDefault="00FA7ED6" w:rsidP="009E408C">
      <w:pPr>
        <w:pStyle w:val="Paragraphtext"/>
        <w:rPr>
          <w:rFonts w:eastAsia="Arial"/>
        </w:rPr>
      </w:pPr>
      <w:r>
        <w:rPr>
          <w:rFonts w:eastAsia="Arial"/>
        </w:rPr>
        <w:t>R</w:t>
      </w:r>
      <w:r w:rsidR="002857C2">
        <w:rPr>
          <w:rFonts w:eastAsia="Arial"/>
        </w:rPr>
        <w:t>esidential aged care advisory groups</w:t>
      </w:r>
      <w:r w:rsidR="00A22F62">
        <w:rPr>
          <w:rFonts w:eastAsia="Arial"/>
        </w:rPr>
        <w:t xml:space="preserve">, such as the </w:t>
      </w:r>
      <w:r w:rsidR="00A22F62" w:rsidRPr="70E51EFD">
        <w:rPr>
          <w:rFonts w:eastAsia="Arial"/>
        </w:rPr>
        <w:t>Council of Elders</w:t>
      </w:r>
      <w:r w:rsidR="00A22F62" w:rsidRPr="00854B63">
        <w:rPr>
          <w:rStyle w:val="FootnoteReference"/>
        </w:rPr>
        <w:footnoteReference w:id="59"/>
      </w:r>
      <w:r w:rsidR="009E712E">
        <w:rPr>
          <w:rFonts w:eastAsia="Arial"/>
        </w:rPr>
        <w:t xml:space="preserve">, </w:t>
      </w:r>
      <w:r>
        <w:rPr>
          <w:rFonts w:eastAsia="Arial"/>
        </w:rPr>
        <w:t xml:space="preserve">will be consulted </w:t>
      </w:r>
      <w:r w:rsidR="002857C2">
        <w:rPr>
          <w:rFonts w:eastAsia="Arial"/>
        </w:rPr>
        <w:t>to identify wh</w:t>
      </w:r>
      <w:r w:rsidR="00A33EDF">
        <w:rPr>
          <w:rFonts w:eastAsia="Arial"/>
        </w:rPr>
        <w:t>ether care minute</w:t>
      </w:r>
      <w:r w:rsidR="00337F0C">
        <w:rPr>
          <w:rFonts w:eastAsia="Arial"/>
        </w:rPr>
        <w:t>s</w:t>
      </w:r>
      <w:r w:rsidR="00A33EDF">
        <w:rPr>
          <w:rFonts w:eastAsia="Arial"/>
        </w:rPr>
        <w:t xml:space="preserve"> policy is leading to improved care quality </w:t>
      </w:r>
      <w:r w:rsidR="009C61D3">
        <w:rPr>
          <w:rFonts w:eastAsia="Arial"/>
        </w:rPr>
        <w:t>or not</w:t>
      </w:r>
      <w:r w:rsidR="00A22F62">
        <w:rPr>
          <w:rFonts w:eastAsia="Arial"/>
        </w:rPr>
        <w:t>.</w:t>
      </w:r>
    </w:p>
    <w:p w14:paraId="79158F6A" w14:textId="0FF7FF81" w:rsidR="009E712E" w:rsidRDefault="000D6024" w:rsidP="009E408C">
      <w:pPr>
        <w:pStyle w:val="Paragraphtext"/>
        <w:rPr>
          <w:rFonts w:eastAsia="Arial"/>
        </w:rPr>
      </w:pPr>
      <w:r>
        <w:rPr>
          <w:rFonts w:eastAsia="Arial"/>
        </w:rPr>
        <w:t xml:space="preserve">The department will also </w:t>
      </w:r>
      <w:r w:rsidR="00576042">
        <w:rPr>
          <w:rFonts w:eastAsia="Arial"/>
        </w:rPr>
        <w:t>consult</w:t>
      </w:r>
      <w:r>
        <w:rPr>
          <w:rFonts w:eastAsia="Arial"/>
        </w:rPr>
        <w:t xml:space="preserve"> with</w:t>
      </w:r>
      <w:r w:rsidR="004F1901">
        <w:rPr>
          <w:rFonts w:eastAsia="Arial"/>
        </w:rPr>
        <w:t xml:space="preserve"> groups that represent specific </w:t>
      </w:r>
      <w:r w:rsidR="00B3620E">
        <w:rPr>
          <w:rFonts w:eastAsia="Arial"/>
        </w:rPr>
        <w:t xml:space="preserve">resident cohorts such as </w:t>
      </w:r>
      <w:r w:rsidR="00C06E24">
        <w:rPr>
          <w:rFonts w:eastAsia="Arial"/>
        </w:rPr>
        <w:t xml:space="preserve">CALD </w:t>
      </w:r>
      <w:r w:rsidR="002B7770">
        <w:rPr>
          <w:rFonts w:eastAsia="Arial"/>
        </w:rPr>
        <w:t xml:space="preserve">and </w:t>
      </w:r>
      <w:r w:rsidR="00371DB7">
        <w:rPr>
          <w:rFonts w:eastAsia="Arial"/>
        </w:rPr>
        <w:t>First Nations</w:t>
      </w:r>
      <w:r w:rsidR="002B7770">
        <w:rPr>
          <w:rFonts w:eastAsia="Arial"/>
        </w:rPr>
        <w:t xml:space="preserve"> aged care </w:t>
      </w:r>
      <w:r w:rsidR="00C06E24">
        <w:rPr>
          <w:rFonts w:eastAsia="Arial"/>
        </w:rPr>
        <w:t xml:space="preserve">residents. </w:t>
      </w:r>
    </w:p>
    <w:p w14:paraId="072A8487" w14:textId="37DB02E9" w:rsidR="00A8619B" w:rsidRDefault="009E712E" w:rsidP="00A13417">
      <w:pPr>
        <w:pStyle w:val="Paragraphtext"/>
        <w:rPr>
          <w:rFonts w:eastAsia="Arial"/>
        </w:rPr>
      </w:pPr>
      <w:r>
        <w:rPr>
          <w:rFonts w:eastAsia="Arial"/>
        </w:rPr>
        <w:t xml:space="preserve">The department will also engage with </w:t>
      </w:r>
      <w:r w:rsidR="00A13417">
        <w:rPr>
          <w:rFonts w:eastAsia="Arial"/>
        </w:rPr>
        <w:t xml:space="preserve">established aged care advisory bodies </w:t>
      </w:r>
      <w:r w:rsidR="005F5B4A">
        <w:rPr>
          <w:rFonts w:eastAsia="Arial"/>
        </w:rPr>
        <w:t>including</w:t>
      </w:r>
      <w:r w:rsidR="00A13417">
        <w:rPr>
          <w:rFonts w:eastAsia="Arial"/>
        </w:rPr>
        <w:t xml:space="preserve"> the Residential </w:t>
      </w:r>
      <w:r w:rsidR="00A13417" w:rsidRPr="70E51EFD">
        <w:rPr>
          <w:rFonts w:eastAsia="Arial"/>
        </w:rPr>
        <w:t xml:space="preserve">Aged Care Funding Reform Working </w:t>
      </w:r>
      <w:r w:rsidR="00A13417" w:rsidRPr="674C805A">
        <w:rPr>
          <w:rFonts w:eastAsia="Arial"/>
        </w:rPr>
        <w:t>Group</w:t>
      </w:r>
      <w:r w:rsidR="00A13417" w:rsidRPr="70E51EFD">
        <w:rPr>
          <w:rFonts w:eastAsia="Arial"/>
        </w:rPr>
        <w:t xml:space="preserve"> (Working Group)</w:t>
      </w:r>
      <w:r w:rsidR="00A13417" w:rsidRPr="00854B63">
        <w:rPr>
          <w:rStyle w:val="FootnoteReference"/>
        </w:rPr>
        <w:footnoteReference w:id="60"/>
      </w:r>
      <w:r w:rsidR="00A13417">
        <w:rPr>
          <w:rFonts w:eastAsia="Arial"/>
        </w:rPr>
        <w:t xml:space="preserve"> and the </w:t>
      </w:r>
      <w:r w:rsidR="00A13417" w:rsidRPr="7F15CA65">
        <w:rPr>
          <w:rFonts w:eastAsia="Arial" w:cs="Arial"/>
        </w:rPr>
        <w:t>National Aged Care Advisory Council (NACAC)</w:t>
      </w:r>
      <w:r w:rsidR="00A13417" w:rsidRPr="7F15CA65">
        <w:rPr>
          <w:rStyle w:val="FootnoteReference"/>
          <w:rFonts w:eastAsia="Arial" w:cs="Arial"/>
        </w:rPr>
        <w:t xml:space="preserve"> </w:t>
      </w:r>
      <w:r w:rsidR="00A13417" w:rsidRPr="5AAE2146">
        <w:rPr>
          <w:rStyle w:val="FootnoteReference"/>
          <w:rFonts w:eastAsia="Arial" w:cs="Arial"/>
          <w:szCs w:val="21"/>
        </w:rPr>
        <w:footnoteReference w:id="61"/>
      </w:r>
      <w:r w:rsidR="00B100B1" w:rsidRPr="7F15CA65">
        <w:rPr>
          <w:rFonts w:eastAsia="Arial" w:cs="Arial"/>
        </w:rPr>
        <w:t xml:space="preserve"> to obtain </w:t>
      </w:r>
      <w:r w:rsidR="00E92BA1" w:rsidRPr="7F15CA65">
        <w:rPr>
          <w:rFonts w:eastAsia="Arial" w:cs="Arial"/>
        </w:rPr>
        <w:t xml:space="preserve">comprehensive feedback on care minutes </w:t>
      </w:r>
      <w:r w:rsidR="00814ECF" w:rsidRPr="7F15CA65">
        <w:rPr>
          <w:rFonts w:eastAsia="Arial" w:cs="Arial"/>
        </w:rPr>
        <w:t xml:space="preserve">compliance and </w:t>
      </w:r>
      <w:r w:rsidR="00E92BA1" w:rsidRPr="7F15CA65">
        <w:rPr>
          <w:rFonts w:eastAsia="Arial" w:cs="Arial"/>
        </w:rPr>
        <w:t xml:space="preserve">related activities as members of these </w:t>
      </w:r>
      <w:r w:rsidR="00696765" w:rsidRPr="7F15CA65">
        <w:rPr>
          <w:rFonts w:eastAsia="Arial" w:cs="Arial"/>
        </w:rPr>
        <w:t xml:space="preserve">groups represent stakeholders from across the sector. </w:t>
      </w:r>
      <w:r w:rsidR="00CF17BC" w:rsidRPr="7F15CA65">
        <w:rPr>
          <w:rFonts w:eastAsia="Arial" w:cs="Arial"/>
        </w:rPr>
        <w:t xml:space="preserve">Additionally, these groups were consulted during the development of the proposed policies and therefore </w:t>
      </w:r>
      <w:r w:rsidR="000F5D1E" w:rsidRPr="7F15CA65">
        <w:rPr>
          <w:rFonts w:eastAsia="Arial" w:cs="Arial"/>
        </w:rPr>
        <w:t>have a comprehensive understanding of the a</w:t>
      </w:r>
      <w:r w:rsidR="00FD26D4" w:rsidRPr="7F15CA65">
        <w:rPr>
          <w:rFonts w:eastAsia="Arial" w:cs="Arial"/>
        </w:rPr>
        <w:t>ims</w:t>
      </w:r>
      <w:r w:rsidR="00A3273C" w:rsidRPr="7F15CA65">
        <w:rPr>
          <w:rFonts w:eastAsia="Arial" w:cs="Arial"/>
        </w:rPr>
        <w:t xml:space="preserve">, </w:t>
      </w:r>
      <w:r w:rsidR="000F5D1E" w:rsidRPr="7F15CA65">
        <w:rPr>
          <w:rFonts w:eastAsia="Arial" w:cs="Arial"/>
        </w:rPr>
        <w:t xml:space="preserve">objectives </w:t>
      </w:r>
      <w:r w:rsidR="00A3273C" w:rsidRPr="7F15CA65">
        <w:rPr>
          <w:rFonts w:eastAsia="Arial" w:cs="Arial"/>
        </w:rPr>
        <w:t>and</w:t>
      </w:r>
      <w:r w:rsidR="000F5D1E" w:rsidRPr="7F15CA65">
        <w:rPr>
          <w:rFonts w:eastAsia="Arial" w:cs="Arial"/>
        </w:rPr>
        <w:t xml:space="preserve"> </w:t>
      </w:r>
      <w:r w:rsidR="00F0331A" w:rsidRPr="7F15CA65">
        <w:rPr>
          <w:rFonts w:eastAsia="Arial" w:cs="Arial"/>
        </w:rPr>
        <w:t xml:space="preserve">rationale for linking care funding to care minutes </w:t>
      </w:r>
      <w:r w:rsidR="00FD26D4" w:rsidRPr="7F15CA65">
        <w:rPr>
          <w:rFonts w:eastAsia="Arial" w:cs="Arial"/>
        </w:rPr>
        <w:t>compliance</w:t>
      </w:r>
      <w:r w:rsidR="00A3273C" w:rsidRPr="7F15CA65">
        <w:rPr>
          <w:rFonts w:eastAsia="Arial" w:cs="Arial"/>
        </w:rPr>
        <w:t>.</w:t>
      </w:r>
      <w:r w:rsidR="00F0331A" w:rsidRPr="7F15CA65">
        <w:rPr>
          <w:rFonts w:eastAsia="Arial" w:cs="Arial"/>
        </w:rPr>
        <w:t xml:space="preserve"> </w:t>
      </w:r>
    </w:p>
    <w:p w14:paraId="10C33BF5" w14:textId="58DE4913" w:rsidR="00F500D0" w:rsidRDefault="00497DAE" w:rsidP="006C666F">
      <w:pPr>
        <w:pStyle w:val="Paragraphtext"/>
        <w:rPr>
          <w:color w:val="auto"/>
          <w:sz w:val="22"/>
        </w:rPr>
      </w:pPr>
      <w:r>
        <w:t xml:space="preserve">The department is committed </w:t>
      </w:r>
      <w:r w:rsidR="00F73A81">
        <w:t xml:space="preserve">to </w:t>
      </w:r>
      <w:r w:rsidR="00BA48C8">
        <w:t xml:space="preserve">engaging </w:t>
      </w:r>
      <w:r w:rsidR="00F73A81">
        <w:t>with the</w:t>
      </w:r>
      <w:r w:rsidR="009535CF">
        <w:t>se</w:t>
      </w:r>
      <w:r w:rsidR="00F73A81">
        <w:t xml:space="preserve"> </w:t>
      </w:r>
      <w:r w:rsidR="00A84DE5">
        <w:t xml:space="preserve">stakeholder groups </w:t>
      </w:r>
      <w:r w:rsidR="006404A0">
        <w:t>as they are</w:t>
      </w:r>
      <w:r w:rsidR="0073487B">
        <w:t xml:space="preserve"> </w:t>
      </w:r>
      <w:r w:rsidR="00B5205A">
        <w:t>either directly or indirectly impacted</w:t>
      </w:r>
      <w:r w:rsidR="0073487B">
        <w:t xml:space="preserve"> by </w:t>
      </w:r>
      <w:r w:rsidR="00B732F0">
        <w:t xml:space="preserve">government policy </w:t>
      </w:r>
      <w:r w:rsidR="005F2F10">
        <w:t>to</w:t>
      </w:r>
      <w:r w:rsidR="00B5205A">
        <w:t xml:space="preserve"> achiev</w:t>
      </w:r>
      <w:r w:rsidR="005F2F10">
        <w:t>e</w:t>
      </w:r>
      <w:r w:rsidR="00B5205A">
        <w:t xml:space="preserve"> care minutes compliance and ensuring government funding for </w:t>
      </w:r>
      <w:r w:rsidR="003256E4">
        <w:t xml:space="preserve">care is spent on delivering </w:t>
      </w:r>
      <w:r w:rsidR="006404A0">
        <w:t xml:space="preserve">quality </w:t>
      </w:r>
      <w:r w:rsidR="003256E4">
        <w:t xml:space="preserve">care. </w:t>
      </w:r>
    </w:p>
    <w:p w14:paraId="7AFD5A13" w14:textId="52F4B5A0" w:rsidR="00F500D0" w:rsidRPr="00034DD4" w:rsidRDefault="00F500D0" w:rsidP="006C666F">
      <w:pPr>
        <w:pStyle w:val="Paragraphtext"/>
        <w:rPr>
          <w:b/>
        </w:rPr>
      </w:pPr>
      <w:r w:rsidRPr="00034DD4">
        <w:rPr>
          <w:b/>
        </w:rPr>
        <w:t>Ethics consideration</w:t>
      </w:r>
      <w:r w:rsidR="00803CD3" w:rsidRPr="00034DD4">
        <w:rPr>
          <w:b/>
        </w:rPr>
        <w:t>s</w:t>
      </w:r>
    </w:p>
    <w:p w14:paraId="2A06D7AE" w14:textId="0E5D374A" w:rsidR="00EA0A67" w:rsidRPr="00034DD4" w:rsidRDefault="00F500D0" w:rsidP="00F500D0">
      <w:pPr>
        <w:rPr>
          <w:rFonts w:eastAsia="Arial"/>
          <w:color w:val="000000" w:themeColor="text1"/>
          <w:sz w:val="21"/>
        </w:rPr>
      </w:pPr>
      <w:bookmarkStart w:id="80" w:name="_Toc203133288"/>
      <w:r w:rsidRPr="00034DD4">
        <w:rPr>
          <w:rFonts w:eastAsia="Arial"/>
          <w:color w:val="000000" w:themeColor="text1"/>
          <w:sz w:val="21"/>
        </w:rPr>
        <w:t>Ethical practice in the evaluation of the</w:t>
      </w:r>
      <w:r w:rsidR="00EA0A67">
        <w:rPr>
          <w:rFonts w:eastAsia="Arial"/>
          <w:color w:val="000000" w:themeColor="text1"/>
          <w:sz w:val="21"/>
        </w:rPr>
        <w:t xml:space="preserve"> 24/7 RN and care minutes</w:t>
      </w:r>
      <w:r w:rsidRPr="00034DD4">
        <w:rPr>
          <w:rFonts w:eastAsia="Arial"/>
          <w:color w:val="000000" w:themeColor="text1"/>
          <w:sz w:val="21"/>
        </w:rPr>
        <w:t xml:space="preserve"> measures</w:t>
      </w:r>
      <w:r w:rsidR="00EA0A67">
        <w:rPr>
          <w:rFonts w:eastAsia="Arial"/>
          <w:color w:val="000000" w:themeColor="text1"/>
          <w:sz w:val="21"/>
        </w:rPr>
        <w:t xml:space="preserve"> (including the linking of funding to care minutes</w:t>
      </w:r>
      <w:r w:rsidR="00201F57">
        <w:rPr>
          <w:rFonts w:eastAsia="Arial"/>
          <w:color w:val="000000" w:themeColor="text1"/>
          <w:sz w:val="21"/>
        </w:rPr>
        <w:t>)</w:t>
      </w:r>
      <w:r w:rsidRPr="00034DD4">
        <w:rPr>
          <w:rFonts w:eastAsia="Arial"/>
          <w:color w:val="000000" w:themeColor="text1"/>
          <w:sz w:val="21"/>
        </w:rPr>
        <w:t xml:space="preserve"> will include: </w:t>
      </w:r>
    </w:p>
    <w:p w14:paraId="5648DA60" w14:textId="160A14E5" w:rsidR="00F500D0" w:rsidRDefault="00F500D0" w:rsidP="003F206E">
      <w:pPr>
        <w:pStyle w:val="Paragraphtext"/>
        <w:numPr>
          <w:ilvl w:val="0"/>
          <w:numId w:val="38"/>
        </w:numPr>
        <w:rPr>
          <w:rFonts w:eastAsia="Arial"/>
        </w:rPr>
      </w:pPr>
      <w:r w:rsidRPr="00034DD4">
        <w:rPr>
          <w:rFonts w:eastAsia="Arial"/>
        </w:rPr>
        <w:t>Carefully designed and conducted primary data collection with stakeholders that has a clear purpose, and for which free, prior and informed consent is received</w:t>
      </w:r>
      <w:r w:rsidR="00896413">
        <w:rPr>
          <w:rFonts w:eastAsia="Arial"/>
        </w:rPr>
        <w:t xml:space="preserve"> and</w:t>
      </w:r>
      <w:r w:rsidRPr="00034DD4">
        <w:rPr>
          <w:rFonts w:eastAsia="Arial"/>
        </w:rPr>
        <w:t xml:space="preserve"> where the opportunity to withdraw consent is provided. The intended use of data collected from them </w:t>
      </w:r>
      <w:r w:rsidR="00201F57">
        <w:rPr>
          <w:rFonts w:eastAsia="Arial"/>
        </w:rPr>
        <w:t>will</w:t>
      </w:r>
      <w:r w:rsidRPr="00034DD4">
        <w:rPr>
          <w:rFonts w:eastAsia="Arial"/>
        </w:rPr>
        <w:t xml:space="preserve"> be explained clearly to participants.  </w:t>
      </w:r>
    </w:p>
    <w:p w14:paraId="095EC8F8" w14:textId="44EE4F4C" w:rsidR="00EA0A67" w:rsidRDefault="00F500D0" w:rsidP="003F206E">
      <w:pPr>
        <w:pStyle w:val="Paragraphtext"/>
        <w:numPr>
          <w:ilvl w:val="0"/>
          <w:numId w:val="38"/>
        </w:numPr>
        <w:rPr>
          <w:rFonts w:eastAsia="Arial"/>
        </w:rPr>
      </w:pPr>
      <w:r w:rsidRPr="00034DD4">
        <w:rPr>
          <w:rFonts w:eastAsia="Arial"/>
        </w:rPr>
        <w:t xml:space="preserve">Carefully designed, tailored approaches to the collection of data from people living in residential aged care, and their families and caregivers. Consideration </w:t>
      </w:r>
      <w:r w:rsidR="00201F57">
        <w:rPr>
          <w:rFonts w:eastAsia="Arial"/>
        </w:rPr>
        <w:t>will be given as</w:t>
      </w:r>
      <w:r w:rsidR="00B74D42">
        <w:rPr>
          <w:rFonts w:eastAsia="Arial"/>
        </w:rPr>
        <w:t xml:space="preserve"> to </w:t>
      </w:r>
      <w:r w:rsidRPr="00034DD4">
        <w:rPr>
          <w:rFonts w:eastAsia="Arial"/>
        </w:rPr>
        <w:t>how to include the consumer voice effectively while minimising unnecessary or additional consultation burden.</w:t>
      </w:r>
    </w:p>
    <w:p w14:paraId="700E74C5" w14:textId="572FE7E7" w:rsidR="00EA0A67" w:rsidRDefault="00F500D0" w:rsidP="003F206E">
      <w:pPr>
        <w:pStyle w:val="Paragraphtext"/>
        <w:numPr>
          <w:ilvl w:val="0"/>
          <w:numId w:val="38"/>
        </w:numPr>
        <w:rPr>
          <w:rFonts w:eastAsia="Arial"/>
        </w:rPr>
      </w:pPr>
      <w:r w:rsidRPr="00034DD4">
        <w:rPr>
          <w:rFonts w:eastAsia="Arial"/>
        </w:rPr>
        <w:t xml:space="preserve">Communication by the </w:t>
      </w:r>
      <w:r w:rsidR="00C675FD">
        <w:rPr>
          <w:rFonts w:eastAsia="Arial"/>
        </w:rPr>
        <w:t>d</w:t>
      </w:r>
      <w:r w:rsidRPr="00034DD4">
        <w:rPr>
          <w:rFonts w:eastAsia="Arial"/>
        </w:rPr>
        <w:t xml:space="preserve">epartment and evaluators to participants - and to stakeholders more generally, including residents and their families/carers, the workforce, providers and peak bodies and advocacy groups - as to how monitoring and evaluation data is used to keep track of sector performance, understand how the measures are impacting the quality of life for care recipients, and inform any decision to modify aspects of the approved provider responsibilities. </w:t>
      </w:r>
    </w:p>
    <w:p w14:paraId="797CF91F" w14:textId="5C5AB84A" w:rsidR="00602DFE" w:rsidRPr="00034DD4" w:rsidRDefault="00F500D0" w:rsidP="003F206E">
      <w:pPr>
        <w:pStyle w:val="Paragraphtext"/>
        <w:numPr>
          <w:ilvl w:val="0"/>
          <w:numId w:val="38"/>
        </w:numPr>
        <w:rPr>
          <w:rFonts w:eastAsia="Arial"/>
        </w:rPr>
      </w:pPr>
      <w:r w:rsidRPr="00034DD4">
        <w:rPr>
          <w:rFonts w:eastAsia="Arial"/>
        </w:rPr>
        <w:t xml:space="preserve">Validation of proposed approaches to data collection with worker representative(s), peak bodies and associations, </w:t>
      </w:r>
      <w:r w:rsidR="006364D3">
        <w:rPr>
          <w:rFonts w:eastAsia="Arial"/>
        </w:rPr>
        <w:t xml:space="preserve">representing both providers and older people </w:t>
      </w:r>
      <w:r w:rsidRPr="00034DD4">
        <w:rPr>
          <w:rFonts w:eastAsia="Arial"/>
        </w:rPr>
        <w:t>to ensure ethical considerations are well accounted for.</w:t>
      </w:r>
    </w:p>
    <w:p w14:paraId="4595F3B2" w14:textId="52192B88" w:rsidR="001E046A" w:rsidRPr="00034DD4" w:rsidRDefault="00F500D0" w:rsidP="00034DD4">
      <w:pPr>
        <w:pStyle w:val="Paragraphtext"/>
        <w:rPr>
          <w:rFonts w:eastAsia="Arial"/>
        </w:rPr>
      </w:pPr>
      <w:r w:rsidRPr="00034DD4">
        <w:rPr>
          <w:rFonts w:eastAsia="Arial"/>
        </w:rPr>
        <w:t xml:space="preserve">Ethical risks will likely arise in the evaluations because there is: </w:t>
      </w:r>
    </w:p>
    <w:p w14:paraId="1B4552BD" w14:textId="77777777" w:rsidR="001E046A" w:rsidRDefault="00F500D0" w:rsidP="003F206E">
      <w:pPr>
        <w:pStyle w:val="Paragraphtext"/>
        <w:numPr>
          <w:ilvl w:val="0"/>
          <w:numId w:val="39"/>
        </w:numPr>
        <w:rPr>
          <w:rFonts w:eastAsia="Arial"/>
        </w:rPr>
      </w:pPr>
      <w:r w:rsidRPr="00034DD4">
        <w:rPr>
          <w:rFonts w:eastAsia="Arial"/>
        </w:rPr>
        <w:lastRenderedPageBreak/>
        <w:t xml:space="preserve">Potential primary research with aged care residents, who may be vulnerable in research for reasons of cognitive impairment, an intellectual disability or mental illness, and/or because they are in a dependent or unequal relationship (i.e. living in a residential aged care facility). Many aged care residents may also come from culturally and linguistically diverse (CALD) backgrounds and face participation barriers. </w:t>
      </w:r>
    </w:p>
    <w:p w14:paraId="0446A3C4" w14:textId="77777777" w:rsidR="00803CD3" w:rsidRDefault="00F500D0" w:rsidP="003F206E">
      <w:pPr>
        <w:pStyle w:val="Paragraphtext"/>
        <w:numPr>
          <w:ilvl w:val="0"/>
          <w:numId w:val="39"/>
        </w:numPr>
        <w:rPr>
          <w:rFonts w:eastAsia="Arial"/>
        </w:rPr>
      </w:pPr>
      <w:r w:rsidRPr="00034DD4">
        <w:rPr>
          <w:rFonts w:eastAsia="Arial"/>
        </w:rPr>
        <w:t>Potential primary research with Aboriginal and Torres Strait Islander people who are residents, family members or carers, or who work in residential aged care. All engagement with Aboriginal and Torres Strait Islander people should uphold the principles for ethical conduct in research with Aboriginal and Torres Strait Islander Peoples and communities set out in the NHMRC’s Ethical conduct in research with Aboriginal and Torres Strait Islander Peoples and communities: Guidelines for researchers and stakeholders.</w:t>
      </w:r>
    </w:p>
    <w:p w14:paraId="244933E3" w14:textId="3C3316C1" w:rsidR="00FE53D7" w:rsidRPr="00034DD4" w:rsidRDefault="00F500D0" w:rsidP="003F206E">
      <w:pPr>
        <w:pStyle w:val="Paragraphtext"/>
        <w:numPr>
          <w:ilvl w:val="0"/>
          <w:numId w:val="39"/>
        </w:numPr>
        <w:rPr>
          <w:rFonts w:eastAsia="Arial"/>
        </w:rPr>
      </w:pPr>
      <w:r w:rsidRPr="00034DD4">
        <w:rPr>
          <w:rFonts w:eastAsia="Arial"/>
        </w:rPr>
        <w:t>Proposed use of existing data sets, which may create risks of identification or re</w:t>
      </w:r>
      <w:r w:rsidRPr="00034DD4">
        <w:rPr>
          <w:rFonts w:eastAsia="Arial"/>
        </w:rPr>
        <w:noBreakHyphen/>
        <w:t>identification of individual people, people who come from very small cohorts, or individual providers.</w:t>
      </w:r>
    </w:p>
    <w:p w14:paraId="5D5A1578" w14:textId="40D23355" w:rsidR="00FE53D7" w:rsidRDefault="00FE53D7" w:rsidP="00034DD4">
      <w:pPr>
        <w:pStyle w:val="Paragraphtext"/>
        <w:rPr>
          <w:rFonts w:eastAsia="Arial"/>
        </w:rPr>
      </w:pPr>
      <w:r>
        <w:rPr>
          <w:rFonts w:eastAsia="Arial"/>
        </w:rPr>
        <w:t xml:space="preserve">The evaluation will require a </w:t>
      </w:r>
      <w:r w:rsidRPr="009E7E71">
        <w:rPr>
          <w:rFonts w:eastAsia="Arial"/>
        </w:rPr>
        <w:t>formal ethics approval by a Human Research Ethics Committee(s) (HREC)</w:t>
      </w:r>
      <w:r>
        <w:rPr>
          <w:rFonts w:eastAsia="Arial"/>
        </w:rPr>
        <w:t xml:space="preserve"> to ensure the evaluation appropriately manages the risks identified above</w:t>
      </w:r>
      <w:r w:rsidRPr="009E7E71">
        <w:rPr>
          <w:rFonts w:eastAsia="Arial"/>
        </w:rPr>
        <w:t xml:space="preserve">. </w:t>
      </w:r>
      <w:r>
        <w:rPr>
          <w:rFonts w:eastAsia="Arial"/>
        </w:rPr>
        <w:t>This e</w:t>
      </w:r>
      <w:r w:rsidRPr="009E7E71">
        <w:rPr>
          <w:rFonts w:eastAsia="Arial"/>
        </w:rPr>
        <w:t>thics approval is a critical step to protect the rights and well-being of all participants involved.</w:t>
      </w:r>
    </w:p>
    <w:p w14:paraId="4FB92835" w14:textId="77777777" w:rsidR="00F500D0" w:rsidRPr="00745982" w:rsidRDefault="00F500D0">
      <w:pPr>
        <w:rPr>
          <w:color w:val="000000" w:themeColor="text1"/>
          <w:sz w:val="21"/>
        </w:rPr>
      </w:pPr>
    </w:p>
    <w:p w14:paraId="3EEB86C1" w14:textId="77777777" w:rsidR="00674318" w:rsidRPr="00EE4D36" w:rsidRDefault="00674318" w:rsidP="00DF0B50">
      <w:pPr>
        <w:pStyle w:val="Paragraphtext"/>
        <w:rPr>
          <w:color w:val="3F4A75"/>
          <w:kern w:val="28"/>
          <w:sz w:val="36"/>
        </w:rPr>
      </w:pPr>
      <w:bookmarkStart w:id="81" w:name="_Toc203639528"/>
      <w:r>
        <w:br w:type="page"/>
      </w:r>
    </w:p>
    <w:p w14:paraId="5C8FDBEC" w14:textId="75259C56" w:rsidR="001D060A" w:rsidRDefault="4E2F139F" w:rsidP="001D060A">
      <w:pPr>
        <w:pStyle w:val="Heading1"/>
      </w:pPr>
      <w:bookmarkStart w:id="82" w:name="_Toc200394440"/>
      <w:bookmarkStart w:id="83" w:name="_Toc205802678"/>
      <w:bookmarkStart w:id="84" w:name="_Toc207014406"/>
      <w:r>
        <w:lastRenderedPageBreak/>
        <w:t>Appendix</w:t>
      </w:r>
      <w:r w:rsidR="001D060A">
        <w:t xml:space="preserve"> </w:t>
      </w:r>
      <w:r w:rsidR="009821AC">
        <w:t>A</w:t>
      </w:r>
      <w:r w:rsidR="001D060A">
        <w:t xml:space="preserve"> – Measuring the </w:t>
      </w:r>
      <w:r w:rsidR="00BD24B1">
        <w:t>c</w:t>
      </w:r>
      <w:r w:rsidR="001D060A">
        <w:t xml:space="preserve">hange in </w:t>
      </w:r>
      <w:r w:rsidR="00BD24B1">
        <w:t>c</w:t>
      </w:r>
      <w:r w:rsidR="001D060A">
        <w:t xml:space="preserve">are </w:t>
      </w:r>
      <w:r w:rsidR="00BD24B1">
        <w:t>m</w:t>
      </w:r>
      <w:r w:rsidR="001D060A">
        <w:t>inutes</w:t>
      </w:r>
      <w:bookmarkEnd w:id="80"/>
      <w:bookmarkEnd w:id="81"/>
      <w:bookmarkEnd w:id="82"/>
      <w:bookmarkEnd w:id="83"/>
      <w:bookmarkEnd w:id="84"/>
    </w:p>
    <w:p w14:paraId="15F4E419" w14:textId="77777777" w:rsidR="001D060A" w:rsidRDefault="001D060A" w:rsidP="00BD24B1">
      <w:pPr>
        <w:pStyle w:val="Heading4"/>
      </w:pPr>
      <w:r>
        <w:t>Objective</w:t>
      </w:r>
    </w:p>
    <w:p w14:paraId="6EDF541E" w14:textId="3E612B38" w:rsidR="001D060A" w:rsidRDefault="001D060A" w:rsidP="003D062E">
      <w:pPr>
        <w:pStyle w:val="Paragraphtext"/>
      </w:pPr>
      <w:r>
        <w:t>This paper walks through the methodology applied to predict the change in care minutes delivered by providers in response to the introduction of the various policy options listed above.</w:t>
      </w:r>
    </w:p>
    <w:p w14:paraId="08AAF637" w14:textId="06A7DBF1" w:rsidR="001D060A" w:rsidRDefault="001D060A" w:rsidP="00BD24B1">
      <w:pPr>
        <w:pStyle w:val="Heading4"/>
      </w:pPr>
      <w:r>
        <w:t xml:space="preserve">Datasets </w:t>
      </w:r>
      <w:r w:rsidR="00B078A9">
        <w:t>u</w:t>
      </w:r>
      <w:r>
        <w:t>sed</w:t>
      </w:r>
    </w:p>
    <w:p w14:paraId="21B46470" w14:textId="41CCFB59" w:rsidR="001D060A" w:rsidRDefault="001D060A" w:rsidP="00357BB0">
      <w:pPr>
        <w:pStyle w:val="Paragraphtext"/>
        <w:numPr>
          <w:ilvl w:val="0"/>
          <w:numId w:val="24"/>
        </w:numPr>
      </w:pPr>
      <w:r>
        <w:t>QFR Quarters 1-</w:t>
      </w:r>
      <w:r w:rsidR="00705191">
        <w:t xml:space="preserve"> </w:t>
      </w:r>
      <w:r>
        <w:t>4 2023-24</w:t>
      </w:r>
    </w:p>
    <w:p w14:paraId="207DE8F7" w14:textId="4E0F3D04" w:rsidR="001D060A" w:rsidRDefault="001D060A" w:rsidP="00357BB0">
      <w:pPr>
        <w:pStyle w:val="Paragraphtext"/>
        <w:numPr>
          <w:ilvl w:val="0"/>
          <w:numId w:val="24"/>
        </w:numPr>
      </w:pPr>
      <w:r>
        <w:t xml:space="preserve">Care </w:t>
      </w:r>
      <w:r w:rsidR="00705191">
        <w:t>m</w:t>
      </w:r>
      <w:r>
        <w:t xml:space="preserve">inute </w:t>
      </w:r>
      <w:r w:rsidR="00705191">
        <w:t>t</w:t>
      </w:r>
      <w:r>
        <w:t>argets</w:t>
      </w:r>
      <w:r w:rsidR="00705191">
        <w:t xml:space="preserve"> Quarters 1- 4 2023-24</w:t>
      </w:r>
    </w:p>
    <w:p w14:paraId="195F2220" w14:textId="77777777" w:rsidR="001D060A" w:rsidRDefault="001D060A" w:rsidP="00BD24B1">
      <w:pPr>
        <w:pStyle w:val="Heading4"/>
      </w:pPr>
      <w:r>
        <w:t>Methodology</w:t>
      </w:r>
    </w:p>
    <w:p w14:paraId="40E8DDFB" w14:textId="6967985F" w:rsidR="003D2C6A" w:rsidRPr="003D2C6A" w:rsidRDefault="003D2C6A" w:rsidP="00AF6983">
      <w:pPr>
        <w:pStyle w:val="Paragraphtext"/>
      </w:pPr>
      <w:r w:rsidRPr="003D2C6A">
        <w:t>To predict the change in care minute performance across the impacted population, period to period, the department applies an iterative Markov process. We measured the transition probabilities between levels of care minute performance across a study period and iteratively applied the observed transition rates to the performance observed in the final quarter of the study period. </w:t>
      </w:r>
    </w:p>
    <w:p w14:paraId="4098BADA" w14:textId="2113C9BA" w:rsidR="003D2C6A" w:rsidRPr="003D2C6A" w:rsidRDefault="003D2C6A" w:rsidP="00AF6983">
      <w:pPr>
        <w:pStyle w:val="Paragraphtext"/>
      </w:pPr>
      <w:r w:rsidRPr="003D2C6A">
        <w:t>To model different policy options, assumptions are applied to the empirically derived transition matrix.  </w:t>
      </w:r>
    </w:p>
    <w:p w14:paraId="3D268E71" w14:textId="0F2EB905" w:rsidR="00C961DA" w:rsidRPr="00C961DA" w:rsidRDefault="003D2C6A" w:rsidP="00AF6983">
      <w:pPr>
        <w:pStyle w:val="Paragraphtext"/>
      </w:pPr>
      <w:r w:rsidRPr="003D2C6A">
        <w:t>To model the impact of the policy options, three projections were developed: </w:t>
      </w:r>
    </w:p>
    <w:p w14:paraId="0B335647" w14:textId="77777777" w:rsidR="00C961DA" w:rsidRPr="00C961DA" w:rsidRDefault="00C961DA" w:rsidP="00745982">
      <w:pPr>
        <w:pStyle w:val="Paragraphtext"/>
        <w:numPr>
          <w:ilvl w:val="0"/>
          <w:numId w:val="52"/>
        </w:numPr>
      </w:pPr>
      <w:r w:rsidRPr="00C961DA">
        <w:t>projections in MM1 without making any changes (using the empirically derived transition matrix for MM1); </w:t>
      </w:r>
    </w:p>
    <w:p w14:paraId="4B81915F" w14:textId="77777777" w:rsidR="00C961DA" w:rsidRPr="00C961DA" w:rsidRDefault="00C961DA" w:rsidP="00745982">
      <w:pPr>
        <w:pStyle w:val="Paragraphtext"/>
        <w:numPr>
          <w:ilvl w:val="0"/>
          <w:numId w:val="52"/>
        </w:numPr>
      </w:pPr>
      <w:r w:rsidRPr="00C961DA">
        <w:t>projections in MM1 adopting the policy with assurance arrangements (using the adjusted MM1 transition matrix); and </w:t>
      </w:r>
    </w:p>
    <w:p w14:paraId="44B2D077" w14:textId="0E7C9D22" w:rsidR="00C961DA" w:rsidRPr="00C961DA" w:rsidRDefault="00C961DA" w:rsidP="00745982">
      <w:pPr>
        <w:pStyle w:val="Paragraphtext"/>
        <w:numPr>
          <w:ilvl w:val="0"/>
          <w:numId w:val="52"/>
        </w:numPr>
      </w:pPr>
      <w:r w:rsidRPr="00C961DA">
        <w:t>projections in MM1 adopting the policy without assurance arrangements (applying a weighted average to the two previous projections, reflecting a non-compliance rate). </w:t>
      </w:r>
    </w:p>
    <w:p w14:paraId="1AF42EBD" w14:textId="77777777" w:rsidR="00C961DA" w:rsidRPr="00C961DA" w:rsidRDefault="00C961DA" w:rsidP="00AF6983">
      <w:pPr>
        <w:pStyle w:val="Paragraphtext"/>
      </w:pPr>
      <w:r w:rsidRPr="00C961DA">
        <w:t>For the purposes of modelling the impact of the proposed policy with assurance, it was assumed that the probability of a provider getting worse, or remaining at the same level of performance, was halved. For providers that are meeting the responsibility, the probability that their performance remained consistent was not adjusted down. </w:t>
      </w:r>
    </w:p>
    <w:p w14:paraId="24B1C368" w14:textId="77777777" w:rsidR="00C961DA" w:rsidRPr="00C961DA" w:rsidRDefault="00C961DA" w:rsidP="00AF6983">
      <w:pPr>
        <w:pStyle w:val="Paragraphtext"/>
      </w:pPr>
      <w:r w:rsidRPr="00C961DA">
        <w:t>The assumption that the probability of undesirable performance would halve was chosen as it broadly aligns with the proportion of the care under-spend captured by the new care minute supplement. It was assumed that halving the incentive to fall short of the care minutes responsibility would make providers twice as motivated to comply. </w:t>
      </w:r>
    </w:p>
    <w:p w14:paraId="52A22FD7" w14:textId="3543BD8E" w:rsidR="00C961DA" w:rsidRPr="00C961DA" w:rsidRDefault="00C961DA" w:rsidP="00AF6983">
      <w:pPr>
        <w:pStyle w:val="Paragraphtext"/>
      </w:pPr>
      <w:r w:rsidRPr="00C961DA">
        <w:t xml:space="preserve">To model the transition from care minutes targets set at a sector average of 200 to care minutes targets set at a sector average of 215 minutes, the above models were applied to a starting dataset where care minutes were benchmarked against the 200 and 215 targets. The results from the model applied to data benchmarked against an average target of 200 were used for projected performance for Q1 2024-25. The remaining quarters were projected using QFR data benchmarked against the </w:t>
      </w:r>
      <w:r w:rsidR="00FD278B">
        <w:t>c</w:t>
      </w:r>
      <w:r w:rsidRPr="00C961DA">
        <w:t xml:space="preserve">are </w:t>
      </w:r>
      <w:r w:rsidR="00FD278B">
        <w:t>m</w:t>
      </w:r>
      <w:r w:rsidRPr="00C961DA">
        <w:t>inutes 215 target. </w:t>
      </w:r>
    </w:p>
    <w:p w14:paraId="33123AC0" w14:textId="02CBAEB5" w:rsidR="00C961DA" w:rsidRPr="00C961DA" w:rsidRDefault="00C961DA" w:rsidP="00AF6983">
      <w:pPr>
        <w:pStyle w:val="Paragraphtext"/>
      </w:pPr>
      <w:r w:rsidRPr="00C961DA">
        <w:t xml:space="preserve">To project the impact without assurance, we must project a proportion of providers that will continue to behave as they currently </w:t>
      </w:r>
      <w:r w:rsidR="008B6CE2" w:rsidRPr="00C961DA">
        <w:t>do but</w:t>
      </w:r>
      <w:r w:rsidRPr="00C961DA">
        <w:t xml:space="preserve"> report higher performance. We do not have empirical evidence about the rate we would expect. To model this, we made three assumptions: </w:t>
      </w:r>
    </w:p>
    <w:p w14:paraId="5D64A3F3" w14:textId="77777777" w:rsidR="00C961DA" w:rsidRPr="00C961DA" w:rsidRDefault="00C961DA" w:rsidP="00745982">
      <w:pPr>
        <w:pStyle w:val="Paragraphtext"/>
        <w:numPr>
          <w:ilvl w:val="0"/>
          <w:numId w:val="53"/>
        </w:numPr>
      </w:pPr>
      <w:r w:rsidRPr="00C961DA">
        <w:t>the rate of this behaviour would be akin to the rate of ACFI appraisal downgrades (42%); </w:t>
      </w:r>
    </w:p>
    <w:p w14:paraId="78F29710" w14:textId="77777777" w:rsidR="00C961DA" w:rsidRPr="00C961DA" w:rsidRDefault="00C961DA" w:rsidP="00745982">
      <w:pPr>
        <w:pStyle w:val="Paragraphtext"/>
        <w:numPr>
          <w:ilvl w:val="0"/>
          <w:numId w:val="53"/>
        </w:numPr>
      </w:pPr>
      <w:r w:rsidRPr="00C961DA">
        <w:t>these providers would report performance that was comparable to their compliant peers; and </w:t>
      </w:r>
    </w:p>
    <w:p w14:paraId="0D9A2F56" w14:textId="77777777" w:rsidR="00C961DA" w:rsidRPr="00C961DA" w:rsidRDefault="00C961DA" w:rsidP="00745982">
      <w:pPr>
        <w:pStyle w:val="Paragraphtext"/>
        <w:numPr>
          <w:ilvl w:val="0"/>
          <w:numId w:val="53"/>
        </w:numPr>
      </w:pPr>
      <w:r w:rsidRPr="00C961DA">
        <w:t>these providers would perform in a manner in-line with our no-policy projections. </w:t>
      </w:r>
    </w:p>
    <w:p w14:paraId="6F16A6B8" w14:textId="77777777" w:rsidR="001D060A" w:rsidRDefault="001D060A" w:rsidP="003D062E">
      <w:pPr>
        <w:pStyle w:val="Paragraphtext"/>
      </w:pPr>
      <w:r>
        <w:lastRenderedPageBreak/>
        <w:t>We chose the rate of ACFI appraisal downgrades, as it represents a circumstance in which providers could misrepresent information to the department and obtain additional subsidy. As such, we believe it is an appropriate analogue.</w:t>
      </w:r>
    </w:p>
    <w:p w14:paraId="3D474C53" w14:textId="77777777" w:rsidR="001D060A" w:rsidRDefault="001D060A" w:rsidP="00BD24B1">
      <w:pPr>
        <w:pStyle w:val="Heading4"/>
      </w:pPr>
      <w:r>
        <w:t>Results</w:t>
      </w:r>
    </w:p>
    <w:p w14:paraId="15275D4E" w14:textId="1F9464E4" w:rsidR="00C650CE" w:rsidRPr="00C650CE" w:rsidRDefault="00C650CE" w:rsidP="37D7CD41">
      <w:pPr>
        <w:rPr>
          <w:b/>
          <w:bCs/>
          <w:i/>
          <w:iCs/>
        </w:rPr>
      </w:pPr>
      <w:r w:rsidRPr="37D7CD41">
        <w:rPr>
          <w:b/>
          <w:bCs/>
          <w:i/>
          <w:iCs/>
        </w:rPr>
        <w:t>Figure A.1: Total Care Minute Compliance Rate, MM1 </w:t>
      </w:r>
    </w:p>
    <w:p w14:paraId="69CD554E" w14:textId="195A5774" w:rsidR="00CE4640" w:rsidRPr="00CE4640" w:rsidRDefault="00C650CE" w:rsidP="0057109B">
      <w:r w:rsidRPr="00C650CE">
        <w:rPr>
          <w:noProof/>
          <w:lang w:eastAsia="en-AU"/>
        </w:rPr>
        <w:drawing>
          <wp:inline distT="0" distB="0" distL="0" distR="0" wp14:anchorId="122AF5E0" wp14:editId="4F94D8E9">
            <wp:extent cx="5727700" cy="3765550"/>
            <wp:effectExtent l="0" t="0" r="6350" b="6350"/>
            <wp:docPr id="406370622" name="Picture 4" descr="Figure A.1: Total Care Minute Compliance Rate, MM1 which shows Option 3 will have the highest rate of compliance from Q4 2024-25 to Q4 20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70622" name="Picture 4" descr="Figure A.1: Total Care Minute Compliance Rate, MM1 which shows Option 3 will have the highest rate of compliance from Q4 2024-25 to Q4 2033-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3765550"/>
                    </a:xfrm>
                    <a:prstGeom prst="rect">
                      <a:avLst/>
                    </a:prstGeom>
                    <a:noFill/>
                    <a:ln>
                      <a:noFill/>
                    </a:ln>
                  </pic:spPr>
                </pic:pic>
              </a:graphicData>
            </a:graphic>
          </wp:inline>
        </w:drawing>
      </w:r>
      <w:r w:rsidR="00BF02AE" w:rsidRPr="00BF02AE" w:rsidDel="00BF02AE">
        <w:rPr>
          <w:highlight w:val="yellow"/>
        </w:rPr>
        <w:t xml:space="preserve"> </w:t>
      </w:r>
    </w:p>
    <w:p w14:paraId="4B0D4601" w14:textId="31C593A3" w:rsidR="001D060A" w:rsidRDefault="001D060A" w:rsidP="00BD24B1">
      <w:pPr>
        <w:pStyle w:val="FigureTitle"/>
      </w:pPr>
      <w:r>
        <w:t xml:space="preserve">Table </w:t>
      </w:r>
      <w:r w:rsidR="00BD24B1">
        <w:t>A</w:t>
      </w:r>
      <w:r>
        <w:t>.1 - Additional Care Minutes Delivered</w:t>
      </w:r>
    </w:p>
    <w:p w14:paraId="1336FECC" w14:textId="7F31BE93" w:rsidR="0031026A" w:rsidRDefault="00FA0E73" w:rsidP="0031026A">
      <w:pPr>
        <w:pStyle w:val="Paragraphtext"/>
      </w:pPr>
      <w:r w:rsidRPr="00FA0E73">
        <w:rPr>
          <w:noProof/>
          <w:lang w:eastAsia="en-AU"/>
        </w:rPr>
        <w:drawing>
          <wp:inline distT="0" distB="0" distL="0" distR="0" wp14:anchorId="32690C8F" wp14:editId="101FA847">
            <wp:extent cx="5618480" cy="1020642"/>
            <wp:effectExtent l="0" t="0" r="1270" b="8255"/>
            <wp:docPr id="1747321465" name="Picture 1" descr="Table A.1 - Additional Care Minutes Delivered which shows that Option 3 will deliver the greatest amount of care minutes from 2024-25 (52,421,584) to 2027-28 (71,06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21465" name="Picture 1" descr="Table A.1 - Additional Care Minutes Delivered which shows that Option 3 will deliver the greatest amount of care minutes from 2024-25 (52,421,584) to 2027-28 (71,069,015)."/>
                    <pic:cNvPicPr/>
                  </pic:nvPicPr>
                  <pic:blipFill>
                    <a:blip r:embed="rId44"/>
                    <a:stretch>
                      <a:fillRect/>
                    </a:stretch>
                  </pic:blipFill>
                  <pic:spPr>
                    <a:xfrm>
                      <a:off x="0" y="0"/>
                      <a:ext cx="5689352" cy="1033516"/>
                    </a:xfrm>
                    <a:prstGeom prst="rect">
                      <a:avLst/>
                    </a:prstGeom>
                  </pic:spPr>
                </pic:pic>
              </a:graphicData>
            </a:graphic>
          </wp:inline>
        </w:drawing>
      </w:r>
    </w:p>
    <w:p w14:paraId="5A7161A4" w14:textId="71B01543" w:rsidR="001D060A" w:rsidRDefault="301CDA9E" w:rsidP="00BD24B1">
      <w:pPr>
        <w:pStyle w:val="FigureTitle"/>
      </w:pPr>
      <w:r>
        <w:t xml:space="preserve">Table </w:t>
      </w:r>
      <w:r w:rsidR="522BBCEB">
        <w:t>A</w:t>
      </w:r>
      <w:r>
        <w:t>.2 - Value of Additional Care Minutes ($)</w:t>
      </w:r>
      <w:r w:rsidR="001D060A">
        <w:rPr>
          <w:rStyle w:val="FootnoteReference"/>
        </w:rPr>
        <w:footnoteReference w:id="62"/>
      </w:r>
    </w:p>
    <w:p w14:paraId="6B6FF3D6" w14:textId="4EECE04F" w:rsidR="00054411" w:rsidRDefault="004A2ED5" w:rsidP="00054411">
      <w:pPr>
        <w:pStyle w:val="Paragraphtext"/>
      </w:pPr>
      <w:r w:rsidRPr="004A2ED5">
        <w:rPr>
          <w:noProof/>
          <w:lang w:eastAsia="en-AU"/>
        </w:rPr>
        <w:drawing>
          <wp:inline distT="0" distB="0" distL="0" distR="0" wp14:anchorId="70661D20" wp14:editId="4AA3DC1B">
            <wp:extent cx="5632086" cy="1056640"/>
            <wp:effectExtent l="0" t="0" r="6985" b="0"/>
            <wp:docPr id="1890605299" name="Picture 1" descr="Table A.2 - Value of Additional Care Minutes ($) shows that Option 3 has the greatest amount of value of additional care minutes from 2024-25 (2,673,968,458) to 2027-28 (3,980,55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05299" name="Picture 1" descr="Table A.2 - Value of Additional Care Minutes ($) shows that Option 3 has the greatest amount of value of additional care minutes from 2024-25 (2,673,968,458) to 2027-28 (3,980,556,371)."/>
                    <pic:cNvPicPr/>
                  </pic:nvPicPr>
                  <pic:blipFill>
                    <a:blip r:embed="rId45"/>
                    <a:stretch>
                      <a:fillRect/>
                    </a:stretch>
                  </pic:blipFill>
                  <pic:spPr>
                    <a:xfrm>
                      <a:off x="0" y="0"/>
                      <a:ext cx="5656550" cy="1061230"/>
                    </a:xfrm>
                    <a:prstGeom prst="rect">
                      <a:avLst/>
                    </a:prstGeom>
                  </pic:spPr>
                </pic:pic>
              </a:graphicData>
            </a:graphic>
          </wp:inline>
        </w:drawing>
      </w:r>
    </w:p>
    <w:p w14:paraId="769FED79" w14:textId="77777777" w:rsidR="00054411" w:rsidRPr="00054411" w:rsidRDefault="00054411" w:rsidP="00054411">
      <w:pPr>
        <w:pStyle w:val="Paragraphtext"/>
      </w:pPr>
    </w:p>
    <w:p w14:paraId="45A99682" w14:textId="77777777" w:rsidR="003A073A" w:rsidRDefault="003A073A" w:rsidP="003A073A">
      <w:pPr>
        <w:pStyle w:val="Paragraphtext"/>
      </w:pPr>
    </w:p>
    <w:p w14:paraId="5FAB2676" w14:textId="77777777" w:rsidR="003A073A" w:rsidRPr="003A073A" w:rsidRDefault="003A073A" w:rsidP="000C513E">
      <w:pPr>
        <w:pStyle w:val="Paragraphtext"/>
      </w:pPr>
    </w:p>
    <w:p w14:paraId="358966C5" w14:textId="79677B85" w:rsidR="001D060A" w:rsidRDefault="301CDA9E" w:rsidP="00BD24B1">
      <w:pPr>
        <w:pStyle w:val="FigureTitle"/>
      </w:pPr>
      <w:r>
        <w:lastRenderedPageBreak/>
        <w:t xml:space="preserve">Table </w:t>
      </w:r>
      <w:r w:rsidR="522BBCEB">
        <w:t>A</w:t>
      </w:r>
      <w:r>
        <w:t>.3 - Discounted Value of Additional Care Minutes ($)</w:t>
      </w:r>
      <w:r w:rsidR="001D060A">
        <w:rPr>
          <w:rStyle w:val="FootnoteReference"/>
        </w:rPr>
        <w:footnoteReference w:id="63"/>
      </w:r>
    </w:p>
    <w:p w14:paraId="721095BC" w14:textId="24D666E2" w:rsidR="003E6218" w:rsidRDefault="00800C18" w:rsidP="003E6218">
      <w:pPr>
        <w:pStyle w:val="Paragraphtext"/>
      </w:pPr>
      <w:r w:rsidRPr="00800C18">
        <w:rPr>
          <w:noProof/>
          <w:lang w:eastAsia="en-AU"/>
        </w:rPr>
        <w:drawing>
          <wp:inline distT="0" distB="0" distL="0" distR="0" wp14:anchorId="5035A067" wp14:editId="7192AAD9">
            <wp:extent cx="5689600" cy="1039059"/>
            <wp:effectExtent l="0" t="0" r="6350" b="8890"/>
            <wp:docPr id="684407816" name="Picture 1" descr="Table A.3 - Discounted Value of Additional Care Minutes ($) show that Option 3 has the greatest discounted value of additional care minutes from 2024-25 (2,673,968,458) to 2027-28 (3,249,319,714) with a total of 12,742,62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07816" name="Picture 1" descr="Table A.3 - Discounted Value of Additional Care Minutes ($) show that Option 3 has the greatest discounted value of additional care minutes from 2024-25 (2,673,968,458) to 2027-28 (3,249,319,714) with a total of 12,742,628,989."/>
                    <pic:cNvPicPr/>
                  </pic:nvPicPr>
                  <pic:blipFill>
                    <a:blip r:embed="rId46"/>
                    <a:stretch>
                      <a:fillRect/>
                    </a:stretch>
                  </pic:blipFill>
                  <pic:spPr>
                    <a:xfrm>
                      <a:off x="0" y="0"/>
                      <a:ext cx="5744099" cy="1049012"/>
                    </a:xfrm>
                    <a:prstGeom prst="rect">
                      <a:avLst/>
                    </a:prstGeom>
                  </pic:spPr>
                </pic:pic>
              </a:graphicData>
            </a:graphic>
          </wp:inline>
        </w:drawing>
      </w:r>
    </w:p>
    <w:p w14:paraId="0B64131E" w14:textId="77777777" w:rsidR="003E6218" w:rsidRDefault="003E6218" w:rsidP="003E6218">
      <w:pPr>
        <w:pStyle w:val="Paragraphtext"/>
      </w:pPr>
    </w:p>
    <w:p w14:paraId="7C638BF0" w14:textId="77777777" w:rsidR="003E6218" w:rsidRDefault="003E6218" w:rsidP="003E6218">
      <w:pPr>
        <w:pStyle w:val="Paragraphtext"/>
      </w:pPr>
    </w:p>
    <w:p w14:paraId="19CBC4D8" w14:textId="77777777" w:rsidR="003E6218" w:rsidRPr="003E6218" w:rsidRDefault="003E6218" w:rsidP="003E6218">
      <w:pPr>
        <w:pStyle w:val="Paragraphtext"/>
      </w:pPr>
    </w:p>
    <w:p w14:paraId="7B02732B" w14:textId="77777777" w:rsidR="002C4718" w:rsidRDefault="002C4718">
      <w:pPr>
        <w:rPr>
          <w:rFonts w:cs="Arial"/>
          <w:bCs/>
          <w:color w:val="3F4A75"/>
          <w:kern w:val="28"/>
          <w:sz w:val="36"/>
          <w:szCs w:val="36"/>
        </w:rPr>
      </w:pPr>
      <w:bookmarkStart w:id="85" w:name="_Toc203133289"/>
      <w:bookmarkStart w:id="86" w:name="_Toc200394441"/>
      <w:bookmarkStart w:id="87" w:name="_Toc203639529"/>
      <w:r>
        <w:br w:type="page"/>
      </w:r>
    </w:p>
    <w:p w14:paraId="5D821FFA" w14:textId="73C2D8FA" w:rsidR="008B0ECA" w:rsidRDefault="008B0ECA" w:rsidP="008B0ECA">
      <w:pPr>
        <w:pStyle w:val="Heading1"/>
      </w:pPr>
      <w:bookmarkStart w:id="88" w:name="_Toc205802679"/>
      <w:bookmarkStart w:id="89" w:name="_Toc207014407"/>
      <w:r>
        <w:lastRenderedPageBreak/>
        <w:t xml:space="preserve">Appendix </w:t>
      </w:r>
      <w:r w:rsidDel="00923665">
        <w:t>B</w:t>
      </w:r>
      <w:r>
        <w:t xml:space="preserve"> – Measuring the </w:t>
      </w:r>
      <w:r w:rsidR="00362CD7">
        <w:t>c</w:t>
      </w:r>
      <w:r>
        <w:t xml:space="preserve">hange in </w:t>
      </w:r>
      <w:r w:rsidR="00362CD7">
        <w:t>s</w:t>
      </w:r>
      <w:r>
        <w:t xml:space="preserve">ubsidy </w:t>
      </w:r>
      <w:r w:rsidR="00362CD7">
        <w:t>p</w:t>
      </w:r>
      <w:r>
        <w:t>ayments</w:t>
      </w:r>
      <w:bookmarkEnd w:id="85"/>
      <w:bookmarkEnd w:id="86"/>
      <w:bookmarkEnd w:id="87"/>
      <w:bookmarkEnd w:id="88"/>
      <w:bookmarkEnd w:id="89"/>
    </w:p>
    <w:p w14:paraId="64119F1F" w14:textId="77777777" w:rsidR="008B0ECA" w:rsidRDefault="008B0ECA" w:rsidP="008B0ECA">
      <w:pPr>
        <w:pStyle w:val="Heading4"/>
      </w:pPr>
      <w:r>
        <w:t>Objective</w:t>
      </w:r>
    </w:p>
    <w:p w14:paraId="13125848" w14:textId="5AF9F91E" w:rsidR="008B0ECA" w:rsidRDefault="008B0ECA" w:rsidP="00362CD7">
      <w:pPr>
        <w:pStyle w:val="Paragraphtext"/>
      </w:pPr>
      <w:r>
        <w:t xml:space="preserve">This paper </w:t>
      </w:r>
      <w:r w:rsidR="0009256F">
        <w:t>outline</w:t>
      </w:r>
      <w:r w:rsidR="00FB4907">
        <w:t>s</w:t>
      </w:r>
      <w:r>
        <w:t xml:space="preserve"> the methodology applied to predict the change in subsidy payable as a result of adopting a care minute supplement. This includes the development of the supplement rate table</w:t>
      </w:r>
      <w:r w:rsidR="00362CD7">
        <w:t xml:space="preserve"> (Table 2)</w:t>
      </w:r>
      <w:r>
        <w:t>.</w:t>
      </w:r>
    </w:p>
    <w:p w14:paraId="41D18AD6" w14:textId="49506E37" w:rsidR="008B0ECA" w:rsidRDefault="008B0ECA" w:rsidP="008B0ECA">
      <w:pPr>
        <w:pStyle w:val="Heading4"/>
      </w:pPr>
      <w:r>
        <w:t xml:space="preserve">Datasets </w:t>
      </w:r>
      <w:r w:rsidR="00483DEB">
        <w:t>u</w:t>
      </w:r>
      <w:r>
        <w:t>sed</w:t>
      </w:r>
    </w:p>
    <w:p w14:paraId="1EC814ED" w14:textId="52DC708F" w:rsidR="008B0ECA" w:rsidRDefault="008B0ECA" w:rsidP="00357BB0">
      <w:pPr>
        <w:pStyle w:val="Paragraphtext"/>
        <w:numPr>
          <w:ilvl w:val="0"/>
          <w:numId w:val="22"/>
        </w:numPr>
      </w:pPr>
      <w:r>
        <w:t xml:space="preserve">Projected changes in </w:t>
      </w:r>
      <w:r w:rsidR="00362CD7">
        <w:t>c</w:t>
      </w:r>
      <w:r>
        <w:t xml:space="preserve">are </w:t>
      </w:r>
      <w:r w:rsidR="00362CD7">
        <w:t>m</w:t>
      </w:r>
      <w:r>
        <w:t xml:space="preserve">inute delivery derived from Appendix </w:t>
      </w:r>
      <w:r w:rsidR="00362CD7">
        <w:t>A</w:t>
      </w:r>
    </w:p>
    <w:p w14:paraId="7CD79220" w14:textId="77777777" w:rsidR="008B0ECA" w:rsidRDefault="008B0ECA" w:rsidP="00357BB0">
      <w:pPr>
        <w:pStyle w:val="Paragraphtext"/>
        <w:numPr>
          <w:ilvl w:val="0"/>
          <w:numId w:val="22"/>
        </w:numPr>
      </w:pPr>
      <w:r>
        <w:t>QFR Quarters 1-4 2023-24</w:t>
      </w:r>
    </w:p>
    <w:p w14:paraId="750DC125" w14:textId="77777777" w:rsidR="008B0ECA" w:rsidRDefault="008B0ECA" w:rsidP="008B0ECA">
      <w:pPr>
        <w:pStyle w:val="Heading4"/>
      </w:pPr>
      <w:r>
        <w:t>Methodology</w:t>
      </w:r>
    </w:p>
    <w:p w14:paraId="2BB79B75" w14:textId="007A8BFC" w:rsidR="008B0ECA" w:rsidRPr="00EE4D36" w:rsidRDefault="008B0ECA" w:rsidP="00EE4D36">
      <w:pPr>
        <w:pStyle w:val="Paragraphtext"/>
        <w:rPr>
          <w:b/>
        </w:rPr>
      </w:pPr>
      <w:r w:rsidRPr="00EE4D36">
        <w:rPr>
          <w:b/>
        </w:rPr>
        <w:t xml:space="preserve">Cost of </w:t>
      </w:r>
      <w:r w:rsidR="00362CD7" w:rsidRPr="00EE4D36">
        <w:rPr>
          <w:b/>
        </w:rPr>
        <w:t>d</w:t>
      </w:r>
      <w:r w:rsidRPr="00EE4D36">
        <w:rPr>
          <w:b/>
        </w:rPr>
        <w:t xml:space="preserve">elivering </w:t>
      </w:r>
      <w:r w:rsidR="00362CD7" w:rsidRPr="00EE4D36">
        <w:rPr>
          <w:b/>
        </w:rPr>
        <w:t>c</w:t>
      </w:r>
      <w:r w:rsidRPr="00EE4D36">
        <w:rPr>
          <w:b/>
        </w:rPr>
        <w:t xml:space="preserve">are </w:t>
      </w:r>
      <w:r w:rsidR="00362CD7" w:rsidRPr="00EE4D36">
        <w:rPr>
          <w:b/>
        </w:rPr>
        <w:t>m</w:t>
      </w:r>
      <w:r w:rsidRPr="00EE4D36">
        <w:rPr>
          <w:b/>
        </w:rPr>
        <w:t>inutes</w:t>
      </w:r>
    </w:p>
    <w:p w14:paraId="3DD3AA73" w14:textId="268731FC" w:rsidR="008B0ECA" w:rsidRDefault="008B0ECA" w:rsidP="00362CD7">
      <w:pPr>
        <w:pStyle w:val="Paragraphtext"/>
      </w:pPr>
      <w:r>
        <w:t>The care minute supplement has been designed to replace part of providers current AN-ACC subsidy. It was determined that this would best be done by substituting part of the Base Care Tariff</w:t>
      </w:r>
      <w:r w:rsidR="00362CD7">
        <w:t xml:space="preserve"> (BCT)</w:t>
      </w:r>
      <w:r>
        <w:t xml:space="preserve">. </w:t>
      </w:r>
    </w:p>
    <w:p w14:paraId="7C3EDA89" w14:textId="77777777" w:rsidR="008B0ECA" w:rsidRDefault="008B0ECA" w:rsidP="00362CD7">
      <w:pPr>
        <w:pStyle w:val="Paragraphtext"/>
      </w:pPr>
      <w:r>
        <w:t>This decision was made as substituting part of the variable subsidy component would require the creation of a supplement that scaled with acuity, and both dimensions of the care minute responsibility. While this is possible, it would be excessively complex, preventing providers from understanding how much money they could expect to receive.</w:t>
      </w:r>
    </w:p>
    <w:p w14:paraId="1252B508" w14:textId="2DEF1FCD" w:rsidR="008B0ECA" w:rsidRDefault="008B0ECA" w:rsidP="00362CD7">
      <w:pPr>
        <w:pStyle w:val="Paragraphtext"/>
      </w:pPr>
      <w:r>
        <w:t xml:space="preserve">To derive appropriate rate tables for the care minute supplement, first the cost of each hour of foregone care was measured. This was derived from the average hourly cost for staff at </w:t>
      </w:r>
      <w:r w:rsidR="00DE31A4">
        <w:t>hom</w:t>
      </w:r>
      <w:r>
        <w:t xml:space="preserve">es not meeting the care minute responsibility. These were indexed based on the wage rises that occurred after the reporting period, to bring them on par with the wage rate as </w:t>
      </w:r>
      <w:r w:rsidR="006A0D94">
        <w:t>of</w:t>
      </w:r>
      <w:r>
        <w:t xml:space="preserve"> 31 December 2024.</w:t>
      </w:r>
    </w:p>
    <w:p w14:paraId="09F79FBE" w14:textId="77777777" w:rsidR="008B0ECA" w:rsidRDefault="008B0ECA" w:rsidP="00362CD7">
      <w:pPr>
        <w:pStyle w:val="Paragraphtext"/>
      </w:pPr>
      <w:r>
        <w:t>For the purposes of the supplement, a blended rate for non-RN care minute staff was derived, applying the average proportions of EN and PCW hours reported in the QFR.</w:t>
      </w:r>
    </w:p>
    <w:p w14:paraId="7BB7F976" w14:textId="030F85FD" w:rsidR="008B0ECA" w:rsidRDefault="008B0ECA" w:rsidP="008B0ECA">
      <w:pPr>
        <w:pStyle w:val="FigureTitle"/>
      </w:pPr>
      <w:r>
        <w:t>Table B.1 – Cost per hour of foregone care minutes</w:t>
      </w:r>
    </w:p>
    <w:p w14:paraId="04AAC258" w14:textId="7F841A81" w:rsidR="00C23073" w:rsidRDefault="00FF3763" w:rsidP="00C23073">
      <w:pPr>
        <w:pStyle w:val="Paragraphtext"/>
      </w:pPr>
      <w:r w:rsidRPr="00FF3763">
        <w:rPr>
          <w:noProof/>
          <w:lang w:eastAsia="en-AU"/>
        </w:rPr>
        <w:drawing>
          <wp:inline distT="0" distB="0" distL="0" distR="0" wp14:anchorId="09F9C3FF" wp14:editId="734FD58A">
            <wp:extent cx="5740400" cy="485962"/>
            <wp:effectExtent l="0" t="0" r="0" b="9525"/>
            <wp:docPr id="828853667" name="Picture 1" descr="Table B.1 – Cost per hour of foregone care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53667" name="Picture 1" descr="Table B.1 – Cost per hour of foregone care minutes"/>
                    <pic:cNvPicPr/>
                  </pic:nvPicPr>
                  <pic:blipFill>
                    <a:blip r:embed="rId47"/>
                    <a:stretch>
                      <a:fillRect/>
                    </a:stretch>
                  </pic:blipFill>
                  <pic:spPr>
                    <a:xfrm>
                      <a:off x="0" y="0"/>
                      <a:ext cx="5893170" cy="498895"/>
                    </a:xfrm>
                    <a:prstGeom prst="rect">
                      <a:avLst/>
                    </a:prstGeom>
                  </pic:spPr>
                </pic:pic>
              </a:graphicData>
            </a:graphic>
          </wp:inline>
        </w:drawing>
      </w:r>
    </w:p>
    <w:p w14:paraId="72D73C85" w14:textId="0C37EA11" w:rsidR="008B0ECA" w:rsidRDefault="008B0ECA" w:rsidP="004978C8">
      <w:pPr>
        <w:pStyle w:val="Paragraphtext"/>
      </w:pPr>
      <w:r>
        <w:t xml:space="preserve">The total cost of delivering care minutes for MM1 was then measured. This was done by measuring the cost of delivering 215 care minutes using non-RN staff, and the incremental cost of substituting 44 of those minutes for minutes delivered by an RN. By measuring in this manner, </w:t>
      </w:r>
      <w:r w:rsidR="004E0CF2">
        <w:t xml:space="preserve">the </w:t>
      </w:r>
      <w:r>
        <w:t xml:space="preserve">double counting </w:t>
      </w:r>
      <w:r w:rsidR="004E0CF2">
        <w:t xml:space="preserve">of </w:t>
      </w:r>
      <w:r>
        <w:t>costs</w:t>
      </w:r>
      <w:r w:rsidR="004E0CF2">
        <w:t xml:space="preserve"> was avoided</w:t>
      </w:r>
      <w:r>
        <w:t xml:space="preserve">, which would ultimately result in excessively harsh supplement rates. </w:t>
      </w:r>
    </w:p>
    <w:p w14:paraId="2EBE1D30" w14:textId="4099C90B" w:rsidR="008B0ECA" w:rsidRDefault="008B0ECA" w:rsidP="008B0ECA">
      <w:pPr>
        <w:pStyle w:val="FigureTitle"/>
      </w:pPr>
      <w:r>
        <w:t xml:space="preserve">Table B.2 – Cost of </w:t>
      </w:r>
      <w:r w:rsidR="00CE6C5B">
        <w:t>d</w:t>
      </w:r>
      <w:r>
        <w:t xml:space="preserve">elivering 215 </w:t>
      </w:r>
      <w:r w:rsidR="00CE6C5B">
        <w:t>c</w:t>
      </w:r>
      <w:r>
        <w:t xml:space="preserve">are </w:t>
      </w:r>
      <w:r w:rsidR="007A55E3">
        <w:t>m</w:t>
      </w:r>
      <w:r>
        <w:t xml:space="preserve">inutes and 44 RN </w:t>
      </w:r>
      <w:r w:rsidR="00CE6C5B">
        <w:t>c</w:t>
      </w:r>
      <w:r>
        <w:t xml:space="preserve">are </w:t>
      </w:r>
      <w:r w:rsidR="00CE6C5B">
        <w:t>m</w:t>
      </w:r>
      <w:r>
        <w:t>inutes</w:t>
      </w:r>
    </w:p>
    <w:p w14:paraId="651C3F6D" w14:textId="36343E32" w:rsidR="00500731" w:rsidRDefault="002149BA" w:rsidP="00500731">
      <w:pPr>
        <w:pStyle w:val="Paragraphtext"/>
      </w:pPr>
      <w:r w:rsidRPr="002149BA">
        <w:rPr>
          <w:noProof/>
          <w:lang w:eastAsia="en-AU"/>
        </w:rPr>
        <w:drawing>
          <wp:inline distT="0" distB="0" distL="0" distR="0" wp14:anchorId="0D42DC6F" wp14:editId="5C31DD25">
            <wp:extent cx="5669280" cy="638792"/>
            <wp:effectExtent l="0" t="0" r="0" b="9525"/>
            <wp:docPr id="1218868829" name="Picture 1" descr="Table B.2 – Cost of Delivering 215 Care Minutes and 44 RN Care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68829" name="Picture 1" descr="Table B.2 – Cost of Delivering 215 Care Minutes and 44 RN Care Minutes"/>
                    <pic:cNvPicPr/>
                  </pic:nvPicPr>
                  <pic:blipFill>
                    <a:blip r:embed="rId48"/>
                    <a:stretch>
                      <a:fillRect/>
                    </a:stretch>
                  </pic:blipFill>
                  <pic:spPr>
                    <a:xfrm>
                      <a:off x="0" y="0"/>
                      <a:ext cx="5824316" cy="656261"/>
                    </a:xfrm>
                    <a:prstGeom prst="rect">
                      <a:avLst/>
                    </a:prstGeom>
                  </pic:spPr>
                </pic:pic>
              </a:graphicData>
            </a:graphic>
          </wp:inline>
        </w:drawing>
      </w:r>
    </w:p>
    <w:p w14:paraId="08CB57BB" w14:textId="7A412C46" w:rsidR="008B0ECA" w:rsidRPr="00EE4D36" w:rsidRDefault="008B0ECA" w:rsidP="00EE4D36">
      <w:pPr>
        <w:pStyle w:val="Paragraphtext"/>
        <w:rPr>
          <w:b/>
        </w:rPr>
      </w:pPr>
      <w:r w:rsidRPr="00EE4D36">
        <w:rPr>
          <w:b/>
        </w:rPr>
        <w:t xml:space="preserve">Distribution of </w:t>
      </w:r>
      <w:r w:rsidR="00AA0A29" w:rsidRPr="00EE4D36">
        <w:rPr>
          <w:b/>
        </w:rPr>
        <w:t>s</w:t>
      </w:r>
      <w:r w:rsidRPr="00EE4D36">
        <w:rPr>
          <w:b/>
        </w:rPr>
        <w:t xml:space="preserve">ervice </w:t>
      </w:r>
      <w:r w:rsidR="00AA0A29" w:rsidRPr="00EE4D36">
        <w:rPr>
          <w:b/>
        </w:rPr>
        <w:t>p</w:t>
      </w:r>
      <w:r w:rsidRPr="00EE4D36">
        <w:rPr>
          <w:b/>
        </w:rPr>
        <w:t>erformance</w:t>
      </w:r>
    </w:p>
    <w:p w14:paraId="7BF16710" w14:textId="42D6E9EA" w:rsidR="008B0ECA" w:rsidRDefault="008B0ECA" w:rsidP="004978C8">
      <w:pPr>
        <w:pStyle w:val="Paragraphtext"/>
      </w:pPr>
      <w:r>
        <w:t xml:space="preserve">To avoid creating </w:t>
      </w:r>
      <w:r w:rsidR="00A73FDD">
        <w:t xml:space="preserve">an </w:t>
      </w:r>
      <w:r>
        <w:t>excessive</w:t>
      </w:r>
      <w:r w:rsidR="00A73FDD">
        <w:t xml:space="preserve"> amount of</w:t>
      </w:r>
      <w:r>
        <w:t xml:space="preserve"> supplement rates, the distribution of provider performance against both dimensions of the care minute responsibility was observed. As outlined in Tables </w:t>
      </w:r>
      <w:r w:rsidR="004978C8">
        <w:t>B</w:t>
      </w:r>
      <w:r>
        <w:t xml:space="preserve">.3 and </w:t>
      </w:r>
      <w:r w:rsidR="004978C8">
        <w:t>B</w:t>
      </w:r>
      <w:r>
        <w:t xml:space="preserve">.4, relatively few services delivered performance that was more than 15% </w:t>
      </w:r>
      <w:r>
        <w:lastRenderedPageBreak/>
        <w:t>below their target. As a result, &lt;85% could be used as the bottom bin for the rates table, without acting as a material constraint on the accuracy of funding.</w:t>
      </w:r>
    </w:p>
    <w:p w14:paraId="770BD19C" w14:textId="378D182E" w:rsidR="008B0ECA" w:rsidRDefault="008B0ECA" w:rsidP="008B0ECA">
      <w:pPr>
        <w:pStyle w:val="FigureTitle"/>
      </w:pPr>
      <w:r w:rsidRPr="008B0ECA">
        <w:t xml:space="preserve">Table B.3 – Distribution of </w:t>
      </w:r>
      <w:r w:rsidR="001F6113">
        <w:t>c</w:t>
      </w:r>
      <w:r w:rsidRPr="008B0ECA">
        <w:t>are</w:t>
      </w:r>
      <w:r w:rsidR="001F6113">
        <w:t xml:space="preserve"> m</w:t>
      </w:r>
      <w:r w:rsidRPr="008B0ECA">
        <w:t xml:space="preserve">inute and RN </w:t>
      </w:r>
      <w:r w:rsidR="00834101">
        <w:t>c</w:t>
      </w:r>
      <w:r w:rsidRPr="008B0ECA">
        <w:t xml:space="preserve">are </w:t>
      </w:r>
      <w:r w:rsidR="00834101">
        <w:t>m</w:t>
      </w:r>
      <w:r w:rsidRPr="008B0ECA">
        <w:t xml:space="preserve">inute </w:t>
      </w:r>
      <w:r w:rsidR="00834101">
        <w:t>p</w:t>
      </w:r>
      <w:r w:rsidRPr="008B0ECA">
        <w:t>erformance in MM1, Q4 2023-24</w:t>
      </w:r>
    </w:p>
    <w:p w14:paraId="53FAB131" w14:textId="295F9EAF" w:rsidR="00CE6C5B" w:rsidRPr="00CE6C5B" w:rsidRDefault="00E257E7" w:rsidP="00CE6C5B">
      <w:pPr>
        <w:pStyle w:val="Paragraphtext"/>
      </w:pPr>
      <w:r w:rsidRPr="00E257E7">
        <w:rPr>
          <w:noProof/>
          <w:lang w:eastAsia="en-AU"/>
        </w:rPr>
        <w:drawing>
          <wp:inline distT="0" distB="0" distL="0" distR="0" wp14:anchorId="5349C321" wp14:editId="4E823CE7">
            <wp:extent cx="5879086" cy="1656080"/>
            <wp:effectExtent l="0" t="0" r="7620" b="1270"/>
            <wp:docPr id="1148096871" name="Picture 1" descr="Table B.3 – Distribution of Care Minute and RN Care Minute Performance in MM1, Q4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96871" name="Picture 1" descr="Table B.3 – Distribution of Care Minute and RN Care Minute Performance in MM1, Q4 2023-24"/>
                    <pic:cNvPicPr/>
                  </pic:nvPicPr>
                  <pic:blipFill>
                    <a:blip r:embed="rId49"/>
                    <a:stretch>
                      <a:fillRect/>
                    </a:stretch>
                  </pic:blipFill>
                  <pic:spPr>
                    <a:xfrm>
                      <a:off x="0" y="0"/>
                      <a:ext cx="5910959" cy="1665058"/>
                    </a:xfrm>
                    <a:prstGeom prst="rect">
                      <a:avLst/>
                    </a:prstGeom>
                  </pic:spPr>
                </pic:pic>
              </a:graphicData>
            </a:graphic>
          </wp:inline>
        </w:drawing>
      </w:r>
    </w:p>
    <w:p w14:paraId="121EA11C" w14:textId="7F9B647C" w:rsidR="008B0ECA" w:rsidRPr="00EE4D36" w:rsidRDefault="008B0ECA" w:rsidP="00EE4D36">
      <w:pPr>
        <w:pStyle w:val="Paragraphtext"/>
        <w:rPr>
          <w:b/>
        </w:rPr>
      </w:pPr>
      <w:r w:rsidRPr="00EE4D36">
        <w:rPr>
          <w:b/>
        </w:rPr>
        <w:t xml:space="preserve">Deriving </w:t>
      </w:r>
      <w:r w:rsidR="00227E7B" w:rsidRPr="00EE4D36">
        <w:rPr>
          <w:b/>
        </w:rPr>
        <w:t>s</w:t>
      </w:r>
      <w:r w:rsidRPr="00EE4D36">
        <w:rPr>
          <w:b/>
        </w:rPr>
        <w:t xml:space="preserve">upplement </w:t>
      </w:r>
      <w:r w:rsidR="006E02B6" w:rsidRPr="00EE4D36">
        <w:rPr>
          <w:b/>
        </w:rPr>
        <w:t>r</w:t>
      </w:r>
      <w:r w:rsidRPr="00EE4D36">
        <w:rPr>
          <w:b/>
        </w:rPr>
        <w:t>ates</w:t>
      </w:r>
      <w:r w:rsidR="004978C8" w:rsidRPr="00EE4D36">
        <w:rPr>
          <w:b/>
        </w:rPr>
        <w:t xml:space="preserve"> (Table 2)</w:t>
      </w:r>
    </w:p>
    <w:p w14:paraId="371C8A32" w14:textId="49D883B5" w:rsidR="00042E64" w:rsidRDefault="008B0ECA" w:rsidP="004978C8">
      <w:pPr>
        <w:pStyle w:val="Paragraphtext"/>
      </w:pPr>
      <w:r>
        <w:t xml:space="preserve">The next step was to identify how much subsidy ought to be withheld from the </w:t>
      </w:r>
      <w:r w:rsidR="004978C8">
        <w:t>BCT</w:t>
      </w:r>
      <w:r>
        <w:t xml:space="preserve">. The amount withheld from the </w:t>
      </w:r>
      <w:r w:rsidR="004978C8">
        <w:t>BCT</w:t>
      </w:r>
      <w:r>
        <w:t xml:space="preserve"> was set to be the maximum amount withheld from a provider due to their performance. This would be aligned with performance in the (&lt;85%, &lt;85%) bin. As a result, it was set to be the difference between the cost of delivering 100% of both parts of the </w:t>
      </w:r>
      <w:r w:rsidR="009029D1">
        <w:t xml:space="preserve">care minute </w:t>
      </w:r>
      <w:r>
        <w:t>responsibility</w:t>
      </w:r>
      <w:r w:rsidR="00042E64" w:rsidRPr="00042E64">
        <w:t xml:space="preserve"> and delivering 86.25% of each. This is found by multiplying the costs in Table B.2 by 1-0.8625, deriving the maximum supplement rates as: 31.74 for just MM1. </w:t>
      </w:r>
    </w:p>
    <w:p w14:paraId="4F35D570" w14:textId="7A68B0F6" w:rsidR="001D47D6" w:rsidRDefault="4D54B540" w:rsidP="000C513E">
      <w:pPr>
        <w:pStyle w:val="Paragraphtext"/>
      </w:pPr>
      <w:r w:rsidRPr="46EE25AF">
        <w:rPr>
          <w:rFonts w:eastAsia="Arial" w:cs="Arial"/>
          <w:szCs w:val="21"/>
        </w:rPr>
        <w:t xml:space="preserve">The tables were then prepared with each increment funded to deliver 2.5% more than the previous, against each dimension of the responsibility. The rates from 97.5%-100% were adjusted such that providers would receive a different amount than providers meeting the responsibility. The bins corresponding to 97.5%-100% of the total care minute target were decreased by $2, substantially less than the typical decrease associated with a 2.5% fall in performance. The bins corresponding to 97.5%-100% of the RN </w:t>
      </w:r>
      <w:r w:rsidR="00875735">
        <w:rPr>
          <w:rFonts w:eastAsia="Arial" w:cs="Arial"/>
          <w:szCs w:val="21"/>
        </w:rPr>
        <w:t>c</w:t>
      </w:r>
      <w:r w:rsidRPr="46EE25AF">
        <w:rPr>
          <w:rFonts w:eastAsia="Arial" w:cs="Arial"/>
          <w:szCs w:val="21"/>
        </w:rPr>
        <w:t xml:space="preserve">are </w:t>
      </w:r>
      <w:r w:rsidR="00875735">
        <w:rPr>
          <w:rFonts w:eastAsia="Arial" w:cs="Arial"/>
          <w:szCs w:val="21"/>
        </w:rPr>
        <w:t>m</w:t>
      </w:r>
      <w:r w:rsidRPr="46EE25AF">
        <w:rPr>
          <w:rFonts w:eastAsia="Arial" w:cs="Arial"/>
          <w:szCs w:val="21"/>
        </w:rPr>
        <w:t>inute target were decreased by $0.25</w:t>
      </w:r>
      <w:r w:rsidR="001D47D6">
        <w:rPr>
          <w:rFonts w:eastAsia="Arial" w:cs="Arial"/>
          <w:szCs w:val="21"/>
        </w:rPr>
        <w:t>.</w:t>
      </w:r>
      <w:r w:rsidR="00320FB4">
        <w:rPr>
          <w:rFonts w:eastAsia="Arial" w:cs="Arial"/>
          <w:szCs w:val="21"/>
        </w:rPr>
        <w:t xml:space="preserve"> </w:t>
      </w:r>
      <w:r w:rsidR="001D47D6" w:rsidRPr="001D47D6">
        <w:t>Finally, rates were converted to NWAUs, to three decimal places, to allow the derived rates to be incremented in line with future AN-ACC pricing advice, including the maximum rate of the supplement.</w:t>
      </w:r>
      <w:r w:rsidR="001D47D6" w:rsidRPr="001D47D6">
        <w:rPr>
          <w:vertAlign w:val="superscript"/>
        </w:rPr>
        <w:t>49</w:t>
      </w:r>
      <w:r w:rsidR="001D47D6" w:rsidRPr="001D47D6">
        <w:t> </w:t>
      </w:r>
    </w:p>
    <w:p w14:paraId="72CD3CA4" w14:textId="3890F2B6" w:rsidR="008B0ECA" w:rsidRPr="008F1E48" w:rsidRDefault="008B0ECA" w:rsidP="007D77B5">
      <w:pPr>
        <w:pStyle w:val="Heading4"/>
      </w:pPr>
      <w:r w:rsidRPr="008F1E48">
        <w:t xml:space="preserve">Projected </w:t>
      </w:r>
      <w:r w:rsidR="006E02B6" w:rsidRPr="008F1E48">
        <w:t>c</w:t>
      </w:r>
      <w:r w:rsidRPr="008F1E48">
        <w:t xml:space="preserve">hange in </w:t>
      </w:r>
      <w:r w:rsidR="006E02B6" w:rsidRPr="008F1E48">
        <w:t>s</w:t>
      </w:r>
      <w:r w:rsidRPr="008F1E48">
        <w:t>ubsidy</w:t>
      </w:r>
    </w:p>
    <w:p w14:paraId="469C47BA" w14:textId="6E66BB5D" w:rsidR="008B0ECA" w:rsidRDefault="008B0ECA" w:rsidP="00362CD7">
      <w:pPr>
        <w:pStyle w:val="Paragraphtext"/>
      </w:pPr>
      <w:r>
        <w:t xml:space="preserve">To find the change in </w:t>
      </w:r>
      <w:r w:rsidR="006648C2">
        <w:t>BCT</w:t>
      </w:r>
      <w:r>
        <w:t xml:space="preserve"> payable, the maximum supplement rate was multiplied by the projected number of claim days per year impacted in the scenario. The maximum care minute supplement rate for each year was indexed in line with projected increases to the AN-ACC price.</w:t>
      </w:r>
    </w:p>
    <w:p w14:paraId="747896FD" w14:textId="025D631C" w:rsidR="008B0ECA" w:rsidRDefault="008B0ECA" w:rsidP="00362CD7">
      <w:pPr>
        <w:pStyle w:val="Paragraphtext"/>
      </w:pPr>
      <w:r>
        <w:t xml:space="preserve">Supplement payments were forecast by applying the projected performance arrived at in Appendix </w:t>
      </w:r>
      <w:r w:rsidR="006648C2">
        <w:t>A</w:t>
      </w:r>
      <w:r>
        <w:t xml:space="preserve"> to the supplement rates tables above, indexing in line with projected increases to the AN-ACC price. The resulting changes in payments are outlined in Table </w:t>
      </w:r>
      <w:r w:rsidR="006648C2">
        <w:t>B</w:t>
      </w:r>
      <w:r>
        <w:t>.7.</w:t>
      </w:r>
    </w:p>
    <w:p w14:paraId="514561BE" w14:textId="74A6F709" w:rsidR="008B0ECA" w:rsidRDefault="006648C2" w:rsidP="00362CD7">
      <w:pPr>
        <w:pStyle w:val="Paragraphtext"/>
        <w:sectPr w:rsidR="008B0ECA" w:rsidSect="008B0ECA">
          <w:pgSz w:w="11906" w:h="16838"/>
          <w:pgMar w:top="1440" w:right="1440" w:bottom="1440" w:left="1440" w:header="708" w:footer="708" w:gutter="0"/>
          <w:cols w:space="708"/>
          <w:docGrid w:linePitch="360"/>
        </w:sectPr>
      </w:pPr>
      <w:r>
        <w:t>It is expected</w:t>
      </w:r>
      <w:r w:rsidR="008B0ECA">
        <w:t xml:space="preserve"> that the total change in subsidy payable is the same for options 2 and 3, as we assume that the claims submitted by providers that overstate their performance will report the same average performance as those reporting accurately. Rather, we expect the difference to arise from differences in underlying performance. This is </w:t>
      </w:r>
      <w:r w:rsidR="008B0ECA" w:rsidRPr="006648C2">
        <w:t xml:space="preserve">described in Appendix </w:t>
      </w:r>
      <w:r w:rsidR="00362CD7" w:rsidRPr="006648C2">
        <w:t>A</w:t>
      </w:r>
      <w:r w:rsidR="008B0ECA" w:rsidRPr="006648C2">
        <w:t xml:space="preserve"> – Change in Care Minutes.</w:t>
      </w:r>
    </w:p>
    <w:p w14:paraId="6DC39D59" w14:textId="10A2C9A8" w:rsidR="008B0ECA" w:rsidRDefault="008B0ECA" w:rsidP="00362CD7">
      <w:pPr>
        <w:pStyle w:val="FigureTitle"/>
      </w:pPr>
      <w:r>
        <w:lastRenderedPageBreak/>
        <w:t xml:space="preserve">Table </w:t>
      </w:r>
      <w:r w:rsidR="00042C99">
        <w:t>B.</w:t>
      </w:r>
      <w:r>
        <w:t xml:space="preserve">7 – Subsidy </w:t>
      </w:r>
      <w:r w:rsidR="00834101">
        <w:t>p</w:t>
      </w:r>
      <w:r>
        <w:t>ayable (</w:t>
      </w:r>
      <w:r w:rsidR="00042C99">
        <w:t>$m</w:t>
      </w:r>
      <w:r w:rsidR="00990367">
        <w:t xml:space="preserve"> nominal dollars</w:t>
      </w:r>
      <w:r w:rsidR="00042C99">
        <w:t>)</w:t>
      </w:r>
    </w:p>
    <w:p w14:paraId="74C4DAFF" w14:textId="7C4533B5" w:rsidR="00F95892" w:rsidRDefault="001F6113" w:rsidP="00F95892">
      <w:pPr>
        <w:pStyle w:val="Paragraphtext"/>
      </w:pPr>
      <w:r w:rsidRPr="001F6113">
        <w:rPr>
          <w:noProof/>
          <w:lang w:eastAsia="en-AU"/>
        </w:rPr>
        <w:drawing>
          <wp:inline distT="0" distB="0" distL="0" distR="0" wp14:anchorId="05DDB45F" wp14:editId="6845AB84">
            <wp:extent cx="5760720" cy="792480"/>
            <wp:effectExtent l="0" t="0" r="0" b="7620"/>
            <wp:docPr id="1745867682" name="Picture 1" descr="A blue and white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7682" name="Picture 1" descr="A blue and white table with numbers and symbols&#10;&#10;AI-generated content may be incorrect."/>
                    <pic:cNvPicPr/>
                  </pic:nvPicPr>
                  <pic:blipFill>
                    <a:blip r:embed="rId50"/>
                    <a:stretch>
                      <a:fillRect/>
                    </a:stretch>
                  </pic:blipFill>
                  <pic:spPr>
                    <a:xfrm>
                      <a:off x="0" y="0"/>
                      <a:ext cx="5773515" cy="794240"/>
                    </a:xfrm>
                    <a:prstGeom prst="rect">
                      <a:avLst/>
                    </a:prstGeom>
                  </pic:spPr>
                </pic:pic>
              </a:graphicData>
            </a:graphic>
          </wp:inline>
        </w:drawing>
      </w:r>
    </w:p>
    <w:p w14:paraId="18662E73" w14:textId="22B1EABD" w:rsidR="00E24295" w:rsidRDefault="00E24295">
      <w:r>
        <w:br w:type="page"/>
      </w:r>
    </w:p>
    <w:p w14:paraId="3F04E4BB" w14:textId="4A4B0DFF" w:rsidR="00E24295" w:rsidRDefault="00E24295" w:rsidP="00E24295">
      <w:pPr>
        <w:pStyle w:val="Heading1"/>
      </w:pPr>
      <w:bookmarkStart w:id="90" w:name="_Toc200394442"/>
      <w:bookmarkStart w:id="91" w:name="_Toc203133290"/>
      <w:bookmarkStart w:id="92" w:name="_Toc205802680"/>
      <w:bookmarkStart w:id="93" w:name="_Toc203639530"/>
      <w:bookmarkStart w:id="94" w:name="_Toc207014408"/>
      <w:r>
        <w:lastRenderedPageBreak/>
        <w:t xml:space="preserve">Appendix </w:t>
      </w:r>
      <w:r w:rsidDel="00923665">
        <w:t>C</w:t>
      </w:r>
      <w:r>
        <w:t xml:space="preserve"> – Assurance </w:t>
      </w:r>
      <w:bookmarkEnd w:id="90"/>
      <w:r w:rsidR="006C28F0">
        <w:t>c</w:t>
      </w:r>
      <w:r>
        <w:t>osts</w:t>
      </w:r>
      <w:bookmarkEnd w:id="91"/>
      <w:bookmarkEnd w:id="92"/>
      <w:bookmarkEnd w:id="93"/>
      <w:bookmarkEnd w:id="94"/>
    </w:p>
    <w:p w14:paraId="39C7A6BC" w14:textId="77777777" w:rsidR="00E24295" w:rsidRDefault="00E24295" w:rsidP="00E24295">
      <w:pPr>
        <w:pStyle w:val="Heading4"/>
      </w:pPr>
      <w:r>
        <w:t>Objective</w:t>
      </w:r>
    </w:p>
    <w:p w14:paraId="3B545B1B" w14:textId="1D59D1FE" w:rsidR="00E24295" w:rsidRDefault="00E24295" w:rsidP="004517E3">
      <w:pPr>
        <w:pStyle w:val="Paragraphtext"/>
      </w:pPr>
      <w:r>
        <w:t xml:space="preserve">This paper </w:t>
      </w:r>
      <w:r w:rsidR="00FF137B">
        <w:t>outlines</w:t>
      </w:r>
      <w:r>
        <w:t xml:space="preserve"> the methodology applied to value the change in assurance costs resulting from the </w:t>
      </w:r>
      <w:r w:rsidR="7B409BE2">
        <w:t>3</w:t>
      </w:r>
      <w:r>
        <w:t xml:space="preserve"> options.</w:t>
      </w:r>
    </w:p>
    <w:p w14:paraId="2E37E85C" w14:textId="77777777" w:rsidR="00E24295" w:rsidRDefault="00E24295" w:rsidP="00E24295">
      <w:pPr>
        <w:pStyle w:val="Heading4"/>
      </w:pPr>
      <w:r>
        <w:t>Methodology</w:t>
      </w:r>
    </w:p>
    <w:p w14:paraId="31D9EB30" w14:textId="77777777" w:rsidR="00E24295" w:rsidRDefault="00E24295" w:rsidP="004517E3">
      <w:pPr>
        <w:pStyle w:val="Paragraphtext"/>
      </w:pPr>
      <w:r>
        <w:t>To measure the change in assurance costs for each option, we have identified the activities necessary to comply with the arrangements set out in each option, and estimated the average cost based on available evidence.</w:t>
      </w:r>
    </w:p>
    <w:p w14:paraId="10205B25" w14:textId="31074339" w:rsidR="00E24295" w:rsidRDefault="00E24295" w:rsidP="00E24295">
      <w:pPr>
        <w:pStyle w:val="Heading4"/>
      </w:pPr>
      <w:r w:rsidRPr="002D426E">
        <w:t>Costings</w:t>
      </w:r>
      <w:r w:rsidR="002D426E" w:rsidRPr="002D426E">
        <w:t xml:space="preserve"> - Option 1 &amp; Option 2</w:t>
      </w:r>
    </w:p>
    <w:p w14:paraId="1827DBB5" w14:textId="66EF363B" w:rsidR="00E24295" w:rsidRDefault="00E24295" w:rsidP="004517E3">
      <w:pPr>
        <w:pStyle w:val="Paragraphtext"/>
      </w:pPr>
      <w:r>
        <w:t>Option 1 is the status quo option, and as a result there are no additional costs associated with adopting it. At present, assurance arrangements include:</w:t>
      </w:r>
    </w:p>
    <w:p w14:paraId="4C247E07" w14:textId="77777777" w:rsidR="00E24295" w:rsidRDefault="00E24295" w:rsidP="00357BB0">
      <w:pPr>
        <w:pStyle w:val="Paragraphtext"/>
        <w:numPr>
          <w:ilvl w:val="0"/>
          <w:numId w:val="23"/>
        </w:numPr>
      </w:pPr>
      <w:r>
        <w:t>Care Time Reporting Assessments; and</w:t>
      </w:r>
    </w:p>
    <w:p w14:paraId="2F03B320" w14:textId="77777777" w:rsidR="00E24295" w:rsidRDefault="00E24295" w:rsidP="00357BB0">
      <w:pPr>
        <w:pStyle w:val="Paragraphtext"/>
        <w:numPr>
          <w:ilvl w:val="0"/>
          <w:numId w:val="23"/>
        </w:numPr>
      </w:pPr>
      <w:r>
        <w:t>QFR and ACFR reporting.</w:t>
      </w:r>
    </w:p>
    <w:p w14:paraId="3BFBB1A2" w14:textId="77777777" w:rsidR="00E24295" w:rsidRPr="00061262" w:rsidRDefault="00E24295" w:rsidP="004517E3">
      <w:pPr>
        <w:pStyle w:val="Paragraphtext"/>
      </w:pPr>
      <w:r>
        <w:t>Option 2 does not involve any changes to the assurance arrangements, instead being entirely comprised of funding changes.</w:t>
      </w:r>
    </w:p>
    <w:p w14:paraId="41DA79FB" w14:textId="19C1012D" w:rsidR="00E24295" w:rsidRPr="002D426E" w:rsidRDefault="002D426E" w:rsidP="002D426E">
      <w:pPr>
        <w:pStyle w:val="Heading4"/>
      </w:pPr>
      <w:r w:rsidRPr="002D426E">
        <w:t xml:space="preserve">Costings </w:t>
      </w:r>
      <w:r w:rsidR="00E24295" w:rsidRPr="002D426E">
        <w:t>Option 3</w:t>
      </w:r>
    </w:p>
    <w:p w14:paraId="75865BC3" w14:textId="02005DF6" w:rsidR="00E24295" w:rsidRDefault="00E24295" w:rsidP="004517E3">
      <w:pPr>
        <w:pStyle w:val="Paragraphtext"/>
      </w:pPr>
      <w:r>
        <w:t xml:space="preserve">The changes to assurance arrangements under </w:t>
      </w:r>
      <w:r w:rsidR="00D5612A">
        <w:t>O</w:t>
      </w:r>
      <w:r>
        <w:t>ption 3 include:</w:t>
      </w:r>
    </w:p>
    <w:p w14:paraId="3E7B2FEA" w14:textId="27863F73" w:rsidR="00E24295" w:rsidRDefault="00E24295" w:rsidP="00357BB0">
      <w:pPr>
        <w:pStyle w:val="Paragraphtext"/>
        <w:numPr>
          <w:ilvl w:val="0"/>
          <w:numId w:val="23"/>
        </w:numPr>
      </w:pPr>
      <w:r>
        <w:t xml:space="preserve">decreasing the coverage of Care Time Reporting Assessments to 10% of </w:t>
      </w:r>
      <w:r w:rsidR="00F864A7">
        <w:t>homes</w:t>
      </w:r>
      <w:r>
        <w:t xml:space="preserve"> each year (down from 33%); and</w:t>
      </w:r>
    </w:p>
    <w:p w14:paraId="16EA0963" w14:textId="77777777" w:rsidR="00E24295" w:rsidRDefault="00E24295" w:rsidP="00357BB0">
      <w:pPr>
        <w:pStyle w:val="Paragraphtext"/>
        <w:numPr>
          <w:ilvl w:val="0"/>
          <w:numId w:val="23"/>
        </w:numPr>
      </w:pPr>
      <w:r>
        <w:t>establishing a new Care Time Performance Statement, with a requirement that providers obtain an external audit opinion over the report.</w:t>
      </w:r>
    </w:p>
    <w:p w14:paraId="2B76EB97" w14:textId="6CBD5608" w:rsidR="00E24295" w:rsidRPr="00EE4D36" w:rsidRDefault="00E24295" w:rsidP="00D5612A">
      <w:pPr>
        <w:pStyle w:val="Paragraphtext"/>
        <w:rPr>
          <w:b/>
        </w:rPr>
      </w:pPr>
      <w:r w:rsidRPr="00EE4D36">
        <w:rPr>
          <w:b/>
        </w:rPr>
        <w:t xml:space="preserve">Care </w:t>
      </w:r>
      <w:r w:rsidR="00F864A7" w:rsidRPr="00EE4D36">
        <w:rPr>
          <w:b/>
        </w:rPr>
        <w:t>t</w:t>
      </w:r>
      <w:r w:rsidRPr="00EE4D36">
        <w:rPr>
          <w:b/>
        </w:rPr>
        <w:t xml:space="preserve">ime </w:t>
      </w:r>
      <w:r w:rsidR="00423426" w:rsidRPr="00EE4D36">
        <w:rPr>
          <w:b/>
        </w:rPr>
        <w:t>r</w:t>
      </w:r>
      <w:r w:rsidRPr="00EE4D36">
        <w:rPr>
          <w:b/>
        </w:rPr>
        <w:t xml:space="preserve">eporting </w:t>
      </w:r>
      <w:r w:rsidR="00423426" w:rsidRPr="00EE4D36">
        <w:rPr>
          <w:b/>
        </w:rPr>
        <w:t>a</w:t>
      </w:r>
      <w:r w:rsidRPr="00EE4D36">
        <w:rPr>
          <w:b/>
        </w:rPr>
        <w:t>ssessments</w:t>
      </w:r>
    </w:p>
    <w:p w14:paraId="0C38C46B" w14:textId="77777777" w:rsidR="00E24295" w:rsidRDefault="00E24295" w:rsidP="004517E3">
      <w:pPr>
        <w:pStyle w:val="Paragraphtext"/>
      </w:pPr>
      <w:r>
        <w:t>Care Time Reporting Assessments have been conducted since September 2023. To measure the cost of Care Time Reporting Assessments on providers, data is limited to feedback provided by providers. These reports have varied greatly, from 20 hours to 120 hours.</w:t>
      </w:r>
    </w:p>
    <w:p w14:paraId="78D3F810" w14:textId="77777777" w:rsidR="00E24295" w:rsidRDefault="00E24295" w:rsidP="004517E3">
      <w:pPr>
        <w:pStyle w:val="Paragraphtext"/>
      </w:pPr>
      <w:r>
        <w:t>Providers have gotten better at preparing their responses to information requests over time. As a result, it is reasonable to assume that the current average time falls in the lower end of this range. For the purposes of costing, we will assume that it takes 30 hours.</w:t>
      </w:r>
    </w:p>
    <w:p w14:paraId="76E06AAE" w14:textId="632168C0" w:rsidR="00E24295" w:rsidRDefault="319AA33F" w:rsidP="004517E3">
      <w:pPr>
        <w:pStyle w:val="Paragraphtext"/>
      </w:pPr>
      <w:r>
        <w:t>Inspecting public job postings for accountant roles working for providers, the average salary falls over $70,000-$80,000, including superannuation. Applying an average work hours per year of 1,748, the cost per hour is $43. This is increased by 63.5% to account for overhead costs, bringing the hourly cost to $70.3.</w:t>
      </w:r>
      <w:r w:rsidR="00E24295">
        <w:rPr>
          <w:rStyle w:val="FootnoteReference"/>
        </w:rPr>
        <w:footnoteReference w:id="64"/>
      </w:r>
    </w:p>
    <w:p w14:paraId="1A699292" w14:textId="3749FC72" w:rsidR="00E24295" w:rsidRDefault="00E24295" w:rsidP="004517E3">
      <w:pPr>
        <w:pStyle w:val="Paragraphtext"/>
      </w:pPr>
      <w:r>
        <w:t xml:space="preserve">As a result, the change in throughput is decreasing the average burden on the sector, per service, from $70.3*30*33% to $70.3*30*10% or $696 to $211. The total burden on the sector is falling from $1,809,600 to $548,600 P/A. These are stated in 2024-25 dollars, and WPI forecasts from the </w:t>
      </w:r>
      <w:r w:rsidR="00C573FF">
        <w:t>2025 </w:t>
      </w:r>
      <w:r>
        <w:t>Pre-Election Economic and Fiscal Outlook are applied.</w:t>
      </w:r>
    </w:p>
    <w:p w14:paraId="5F289A2B" w14:textId="69D40D1F" w:rsidR="00E24295" w:rsidRPr="00EE4D36" w:rsidRDefault="00E24295" w:rsidP="008B3A1A">
      <w:pPr>
        <w:pStyle w:val="Paragraphtext"/>
        <w:keepNext/>
        <w:rPr>
          <w:b/>
        </w:rPr>
      </w:pPr>
      <w:r w:rsidRPr="00EE4D36">
        <w:rPr>
          <w:b/>
        </w:rPr>
        <w:lastRenderedPageBreak/>
        <w:t xml:space="preserve">Care </w:t>
      </w:r>
      <w:r w:rsidR="00F6200D">
        <w:rPr>
          <w:b/>
        </w:rPr>
        <w:t>m</w:t>
      </w:r>
      <w:r w:rsidRPr="00EE4D36">
        <w:rPr>
          <w:b/>
        </w:rPr>
        <w:t xml:space="preserve">inute </w:t>
      </w:r>
      <w:r w:rsidR="00F6200D">
        <w:rPr>
          <w:b/>
        </w:rPr>
        <w:t>p</w:t>
      </w:r>
      <w:r w:rsidRPr="00EE4D36">
        <w:rPr>
          <w:b/>
        </w:rPr>
        <w:t xml:space="preserve">erformance </w:t>
      </w:r>
      <w:r w:rsidR="00F6200D">
        <w:rPr>
          <w:b/>
        </w:rPr>
        <w:t>s</w:t>
      </w:r>
      <w:r w:rsidRPr="00EE4D36">
        <w:rPr>
          <w:b/>
        </w:rPr>
        <w:t>tatement</w:t>
      </w:r>
    </w:p>
    <w:p w14:paraId="33AF4720" w14:textId="0E13D7C5" w:rsidR="00E24295" w:rsidRPr="002D426E" w:rsidRDefault="002D426E" w:rsidP="002D426E">
      <w:pPr>
        <w:pStyle w:val="Paragraphtext"/>
        <w:keepNext/>
        <w:rPr>
          <w:i/>
          <w:iCs/>
        </w:rPr>
      </w:pPr>
      <w:r w:rsidRPr="002D426E">
        <w:rPr>
          <w:i/>
          <w:iCs/>
        </w:rPr>
        <w:t>Report preparation</w:t>
      </w:r>
    </w:p>
    <w:p w14:paraId="664878DB" w14:textId="4E48A8EE" w:rsidR="00E24295" w:rsidRDefault="00E24295" w:rsidP="002D426E">
      <w:pPr>
        <w:pStyle w:val="Paragraphtext"/>
      </w:pPr>
      <w:r>
        <w:t>As the care time performance statement requires no additional information beyond what is otherwise reported to the Department, the burden to prepare the report is low. We expect the time should approximate that of participating in a reporting assessment, noting that responding to an information request also involves the collation of existing work</w:t>
      </w:r>
      <w:r w:rsidR="00AB0BD8">
        <w:t xml:space="preserve"> </w:t>
      </w:r>
      <w:r>
        <w:t>papers. Efficiencies will be realised, in that these documents would also be required to enable the auditors to undertake payroll testing, leading to minimal additional time. As a result, an estimate of 20 hours is applied, from the low range of participating in a reporting assessment.</w:t>
      </w:r>
    </w:p>
    <w:p w14:paraId="0551486C" w14:textId="77777777" w:rsidR="00E24295" w:rsidRPr="0027640E" w:rsidRDefault="00E24295" w:rsidP="002D426E">
      <w:pPr>
        <w:pStyle w:val="Paragraphtext"/>
      </w:pPr>
      <w:r>
        <w:t>The same hourly salaries are applicable with respect to the compilation of the Care Minute Performance Statement, as are applicable for participation in a reporting assessment.</w:t>
      </w:r>
    </w:p>
    <w:p w14:paraId="1A540910" w14:textId="221EA5C5" w:rsidR="00E24295" w:rsidRDefault="00E24295" w:rsidP="002D426E">
      <w:pPr>
        <w:pStyle w:val="Paragraphtext"/>
      </w:pPr>
      <w:r>
        <w:t xml:space="preserve">As a result, the cost of preparing a Care Minute Performance Statement is estimated as $70.3*20, or $1,406. This is calculated on a per-provider basis, with an estimated sector burden of $1,019,350 P/A. These are stated in 2024-25 dollars, and WPI forecasts from the </w:t>
      </w:r>
      <w:r w:rsidR="00C573FF">
        <w:t>2025 </w:t>
      </w:r>
      <w:r>
        <w:t>Pre</w:t>
      </w:r>
      <w:r w:rsidR="00C573FF">
        <w:noBreakHyphen/>
      </w:r>
      <w:r>
        <w:t>Election Economic and Fiscal Outlook are applied.</w:t>
      </w:r>
    </w:p>
    <w:p w14:paraId="24EC7CA3" w14:textId="6F01FBD4" w:rsidR="00E24295" w:rsidRPr="005C6600" w:rsidRDefault="00E24295" w:rsidP="005C6600">
      <w:pPr>
        <w:pStyle w:val="Paragraphtext"/>
        <w:keepNext/>
        <w:rPr>
          <w:i/>
          <w:iCs/>
        </w:rPr>
      </w:pPr>
      <w:r w:rsidRPr="005C6600">
        <w:rPr>
          <w:i/>
          <w:iCs/>
        </w:rPr>
        <w:t xml:space="preserve">Assurance </w:t>
      </w:r>
      <w:r w:rsidR="001D5CF2">
        <w:rPr>
          <w:i/>
          <w:iCs/>
        </w:rPr>
        <w:t>o</w:t>
      </w:r>
      <w:r w:rsidRPr="005C6600">
        <w:rPr>
          <w:i/>
          <w:iCs/>
        </w:rPr>
        <w:t>pinion</w:t>
      </w:r>
    </w:p>
    <w:p w14:paraId="1F763A2E" w14:textId="433CF6B6" w:rsidR="00E24295" w:rsidRDefault="00E24295" w:rsidP="005C6600">
      <w:pPr>
        <w:pStyle w:val="Paragraphtext"/>
      </w:pPr>
      <w:r>
        <w:t>Audit fees for providers vary greatly. Audit fees are a function of the size of the provider, the complexity of their financial statements, and the extent to which the reporting entity prioritises reporting quality.</w:t>
      </w:r>
    </w:p>
    <w:p w14:paraId="15A2BCB2" w14:textId="5249E5CC" w:rsidR="00E24295" w:rsidRDefault="00E24295" w:rsidP="005C6600">
      <w:pPr>
        <w:pStyle w:val="Paragraphtext"/>
      </w:pPr>
      <w:r>
        <w:t xml:space="preserve">Financial statements audit fees for providers are most closely related to the total assets of the reporting entity. Financial statements audits cost proportionately less for providers with more </w:t>
      </w:r>
      <w:r w:rsidR="007E6ED2">
        <w:t>hom</w:t>
      </w:r>
      <w:r>
        <w:t xml:space="preserve">es, when controlling for total assets and direct care labour costs. This is not expected to hold for the Care Minute Performance Statement, with the workload scaling with the number of </w:t>
      </w:r>
      <w:r w:rsidR="007E6ED2">
        <w:t>hom</w:t>
      </w:r>
      <w:r>
        <w:t>es.</w:t>
      </w:r>
    </w:p>
    <w:p w14:paraId="1F2DC52B" w14:textId="717A0EE6" w:rsidR="00E24295" w:rsidRDefault="00E24295" w:rsidP="005C6600">
      <w:pPr>
        <w:pStyle w:val="Paragraphtext"/>
      </w:pPr>
      <w:r>
        <w:t xml:space="preserve">Instead of using the current audit fees, it is more appropriate to benchmark the cost of assuring a Care Minute Performance Statement off the hours taken to conduct </w:t>
      </w:r>
      <w:r w:rsidR="005E7F36">
        <w:t xml:space="preserve">the </w:t>
      </w:r>
      <w:r>
        <w:t>reporting assessments, recognising the efficiency from the assurance being performed by the entity’s external auditor.</w:t>
      </w:r>
    </w:p>
    <w:p w14:paraId="39F1C78E" w14:textId="4608F29B" w:rsidR="00E24295" w:rsidRDefault="00E24295" w:rsidP="005C6600">
      <w:pPr>
        <w:pStyle w:val="Paragraphtext"/>
      </w:pPr>
      <w:r>
        <w:t xml:space="preserve">The duration of Care Time Reporting Assessments has fallen to, on average, 17 </w:t>
      </w:r>
      <w:r w:rsidR="00C46789">
        <w:t>workdays</w:t>
      </w:r>
      <w:r>
        <w:t xml:space="preserve"> to complete. Staff conducting reporting assessments </w:t>
      </w:r>
      <w:r w:rsidR="00AD5294">
        <w:t>have</w:t>
      </w:r>
      <w:r>
        <w:t xml:space="preserve"> on average, </w:t>
      </w:r>
      <w:r w:rsidR="126D6D5C">
        <w:t>8</w:t>
      </w:r>
      <w:r>
        <w:t xml:space="preserve"> reporting assessments in progress at any point in time. As such, the effort associated with a reporting assessment is approximately 2.15 workdays. If these staff have 1.5 hours of other miscellaneous duties in each workday, this means each reporting assessment involves 12.9 hours of work.</w:t>
      </w:r>
    </w:p>
    <w:p w14:paraId="0B8170A0" w14:textId="2C2B82FF" w:rsidR="00E24295" w:rsidRDefault="00E24295" w:rsidP="005C6600">
      <w:pPr>
        <w:pStyle w:val="Paragraphtext"/>
      </w:pPr>
      <w:r>
        <w:t xml:space="preserve">The median provider only has one service. It is expected that assuring their </w:t>
      </w:r>
      <w:r w:rsidR="003D78EB">
        <w:t>C</w:t>
      </w:r>
      <w:r>
        <w:t xml:space="preserve">are </w:t>
      </w:r>
      <w:r w:rsidR="003D78EB">
        <w:t>M</w:t>
      </w:r>
      <w:r>
        <w:t xml:space="preserve">inute </w:t>
      </w:r>
      <w:r w:rsidR="003D78EB">
        <w:t>P</w:t>
      </w:r>
      <w:r>
        <w:t xml:space="preserve">erformance </w:t>
      </w:r>
      <w:r w:rsidR="003D78EB">
        <w:t>S</w:t>
      </w:r>
      <w:r>
        <w:t>tatement would cost approximately $2587.5</w:t>
      </w:r>
      <w:r w:rsidR="004E7A46">
        <w:t>0</w:t>
      </w:r>
      <w:r>
        <w:t>, based on an average auditor charge out rate of $200 p/h, if no efficiencies were realised from leveraging the existing work auditing payroll, and other employee benefits expenses.</w:t>
      </w:r>
    </w:p>
    <w:p w14:paraId="7FCA5C06" w14:textId="7637DC19" w:rsidR="00E24295" w:rsidRDefault="00E24295" w:rsidP="005C6600">
      <w:pPr>
        <w:pStyle w:val="Paragraphtext"/>
      </w:pPr>
      <w:r>
        <w:t>The average provider has 3.65 services. There are efficiencies available in the preparation of these assurance opinions, above and beyond reporting assessments. This includes both the aforementioned economy of scale and the ability to leverage existing audit work over payroll information. It is unclear the extent to which these efficiencies will be realised or passed on to the client. As a result, it is expected that the average provider would pay between $5175 and $9500 for this assurance opinion.</w:t>
      </w:r>
    </w:p>
    <w:p w14:paraId="11395156" w14:textId="78019F31" w:rsidR="00E24295" w:rsidRDefault="00E24295" w:rsidP="005C6600">
      <w:pPr>
        <w:pStyle w:val="Paragraphtext"/>
      </w:pPr>
      <w:r>
        <w:t xml:space="preserve">For the purposes of the </w:t>
      </w:r>
      <w:r w:rsidR="00B24FD1">
        <w:t>I</w:t>
      </w:r>
      <w:r>
        <w:t xml:space="preserve">mpact </w:t>
      </w:r>
      <w:r w:rsidR="00B24FD1">
        <w:t>A</w:t>
      </w:r>
      <w:r>
        <w:t xml:space="preserve">nalysis, an average of $7,555 per provider will be used. This applies a 20% discount, recognising the efficiency gains from assuring multiple </w:t>
      </w:r>
      <w:r w:rsidR="00415B1D">
        <w:t>hom</w:t>
      </w:r>
      <w:r>
        <w:t>es, and leveraging existing audit work. With the audits commencing in 2025-26, and continuing into the future, the WPI forecasts from the 2025 Pre-election Economic and Fiscal Outlook.</w:t>
      </w:r>
    </w:p>
    <w:p w14:paraId="5EF20D28" w14:textId="495026EC" w:rsidR="00E24295" w:rsidRDefault="00E24295" w:rsidP="005C6600">
      <w:pPr>
        <w:pStyle w:val="FigureTitle"/>
        <w:keepNext/>
      </w:pPr>
      <w:r>
        <w:lastRenderedPageBreak/>
        <w:t xml:space="preserve">Table </w:t>
      </w:r>
      <w:r w:rsidR="005C6600">
        <w:t>C</w:t>
      </w:r>
      <w:r>
        <w:t xml:space="preserve">.1 - Cost of </w:t>
      </w:r>
      <w:r w:rsidR="00CA2161">
        <w:t>a</w:t>
      </w:r>
      <w:r>
        <w:t xml:space="preserve">ssurance </w:t>
      </w:r>
      <w:r w:rsidR="00CA2161">
        <w:t>a</w:t>
      </w:r>
      <w:r>
        <w:t>ctivities ($)</w:t>
      </w:r>
    </w:p>
    <w:p w14:paraId="60FD887C" w14:textId="518087D4" w:rsidR="001C527D" w:rsidRPr="001C527D" w:rsidRDefault="001C527D" w:rsidP="001C527D">
      <w:pPr>
        <w:pStyle w:val="Paragraphtext"/>
      </w:pPr>
      <w:r w:rsidRPr="001C527D">
        <w:rPr>
          <w:noProof/>
          <w:lang w:eastAsia="en-AU"/>
        </w:rPr>
        <w:drawing>
          <wp:inline distT="0" distB="0" distL="0" distR="0" wp14:anchorId="4AE7B3AB" wp14:editId="00372666">
            <wp:extent cx="5858183" cy="914400"/>
            <wp:effectExtent l="0" t="0" r="9525" b="0"/>
            <wp:docPr id="1151928510" name="Picture 1" descr="A blue and white numbers and a blu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28510" name="Picture 1" descr="A blue and white numbers and a blue rectangle&#10;&#10;AI-generated content may be incorrect."/>
                    <pic:cNvPicPr/>
                  </pic:nvPicPr>
                  <pic:blipFill>
                    <a:blip r:embed="rId51"/>
                    <a:stretch>
                      <a:fillRect/>
                    </a:stretch>
                  </pic:blipFill>
                  <pic:spPr>
                    <a:xfrm>
                      <a:off x="0" y="0"/>
                      <a:ext cx="5915293" cy="923314"/>
                    </a:xfrm>
                    <a:prstGeom prst="rect">
                      <a:avLst/>
                    </a:prstGeom>
                  </pic:spPr>
                </pic:pic>
              </a:graphicData>
            </a:graphic>
          </wp:inline>
        </w:drawing>
      </w:r>
    </w:p>
    <w:p w14:paraId="3842DBCB" w14:textId="77777777" w:rsidR="00CA2161" w:rsidRDefault="00CA2161" w:rsidP="00CA2161">
      <w:pPr>
        <w:pStyle w:val="Paragraphtext"/>
      </w:pPr>
    </w:p>
    <w:p w14:paraId="519443B1" w14:textId="77777777" w:rsidR="00CA2161" w:rsidRDefault="00CA2161" w:rsidP="00CA2161">
      <w:pPr>
        <w:pStyle w:val="Paragraphtext"/>
      </w:pPr>
    </w:p>
    <w:p w14:paraId="51B623C8" w14:textId="77777777" w:rsidR="00CA2161" w:rsidRDefault="00CA2161" w:rsidP="00CA2161">
      <w:pPr>
        <w:pStyle w:val="Paragraphtext"/>
      </w:pPr>
    </w:p>
    <w:p w14:paraId="13EBC534" w14:textId="77777777" w:rsidR="00CA2161" w:rsidRDefault="00CA2161" w:rsidP="00CA2161">
      <w:pPr>
        <w:pStyle w:val="Paragraphtext"/>
      </w:pPr>
    </w:p>
    <w:p w14:paraId="2FF12B3B" w14:textId="77777777" w:rsidR="00CA2161" w:rsidRDefault="00CA2161" w:rsidP="00CA2161">
      <w:pPr>
        <w:pStyle w:val="Paragraphtext"/>
      </w:pPr>
    </w:p>
    <w:p w14:paraId="6D39430D" w14:textId="77777777" w:rsidR="00CA2161" w:rsidRDefault="00CA2161" w:rsidP="00CA2161">
      <w:pPr>
        <w:pStyle w:val="Paragraphtext"/>
      </w:pPr>
    </w:p>
    <w:p w14:paraId="2C1C64AD" w14:textId="77777777" w:rsidR="00CA2161" w:rsidRDefault="00CA2161" w:rsidP="00CA2161">
      <w:pPr>
        <w:pStyle w:val="Paragraphtext"/>
      </w:pPr>
    </w:p>
    <w:p w14:paraId="69EB6FB5" w14:textId="77777777" w:rsidR="00CA2161" w:rsidRDefault="00CA2161" w:rsidP="00CA2161">
      <w:pPr>
        <w:pStyle w:val="Paragraphtext"/>
      </w:pPr>
    </w:p>
    <w:p w14:paraId="36FB6BE5" w14:textId="77777777" w:rsidR="00CA2161" w:rsidRPr="00CA2161" w:rsidRDefault="00CA2161" w:rsidP="00CA2161">
      <w:pPr>
        <w:pStyle w:val="Paragraphtext"/>
      </w:pPr>
    </w:p>
    <w:p w14:paraId="4C901C89" w14:textId="77777777" w:rsidR="00E24295" w:rsidRDefault="00E24295" w:rsidP="00E24295"/>
    <w:p w14:paraId="1E871387" w14:textId="0382216E" w:rsidR="00991648" w:rsidRDefault="00991648">
      <w:r>
        <w:br w:type="page"/>
      </w:r>
    </w:p>
    <w:p w14:paraId="7DF02302" w14:textId="2E1F4683" w:rsidR="009821AC" w:rsidRDefault="009821AC" w:rsidP="009821AC">
      <w:pPr>
        <w:pStyle w:val="Heading1"/>
      </w:pPr>
      <w:bookmarkStart w:id="95" w:name="_Toc205802681"/>
      <w:bookmarkStart w:id="96" w:name="_Toc203639531"/>
      <w:bookmarkStart w:id="97" w:name="_Toc207014409"/>
      <w:r>
        <w:lastRenderedPageBreak/>
        <w:t>Appendix D – Glossary of terms</w:t>
      </w:r>
      <w:bookmarkEnd w:id="95"/>
      <w:bookmarkEnd w:id="96"/>
      <w:bookmarkEnd w:id="97"/>
    </w:p>
    <w:tbl>
      <w:tblPr>
        <w:tblStyle w:val="TableGrid"/>
        <w:tblW w:w="0" w:type="auto"/>
        <w:tblLook w:val="04A0" w:firstRow="1" w:lastRow="0" w:firstColumn="1" w:lastColumn="0" w:noHBand="0" w:noVBand="1"/>
      </w:tblPr>
      <w:tblGrid>
        <w:gridCol w:w="4508"/>
        <w:gridCol w:w="4508"/>
      </w:tblGrid>
      <w:tr w:rsidR="009821AC" w:rsidRPr="0049033C" w14:paraId="66730872" w14:textId="77777777">
        <w:tc>
          <w:tcPr>
            <w:tcW w:w="4508" w:type="dxa"/>
          </w:tcPr>
          <w:p w14:paraId="007C0582" w14:textId="77777777" w:rsidR="009821AC" w:rsidRPr="0049033C" w:rsidRDefault="009821AC">
            <w:pPr>
              <w:rPr>
                <w:rFonts w:cs="Arial"/>
                <w:sz w:val="21"/>
                <w:szCs w:val="21"/>
              </w:rPr>
            </w:pPr>
            <w:r w:rsidRPr="0049033C">
              <w:rPr>
                <w:rFonts w:cs="Arial"/>
                <w:sz w:val="21"/>
                <w:szCs w:val="21"/>
              </w:rPr>
              <w:t xml:space="preserve">Name </w:t>
            </w:r>
          </w:p>
        </w:tc>
        <w:tc>
          <w:tcPr>
            <w:tcW w:w="4508" w:type="dxa"/>
          </w:tcPr>
          <w:p w14:paraId="30EBF06B" w14:textId="77777777" w:rsidR="009821AC" w:rsidRPr="0049033C" w:rsidRDefault="009821AC">
            <w:pPr>
              <w:rPr>
                <w:rFonts w:cs="Arial"/>
                <w:sz w:val="21"/>
                <w:szCs w:val="21"/>
              </w:rPr>
            </w:pPr>
            <w:r w:rsidRPr="0049033C">
              <w:rPr>
                <w:rFonts w:cs="Arial"/>
                <w:sz w:val="21"/>
                <w:szCs w:val="21"/>
              </w:rPr>
              <w:t>Description</w:t>
            </w:r>
          </w:p>
        </w:tc>
      </w:tr>
      <w:tr w:rsidR="009821AC" w:rsidRPr="00DF3799" w14:paraId="0C6FCB88" w14:textId="77777777">
        <w:trPr>
          <w:trHeight w:val="870"/>
        </w:trPr>
        <w:tc>
          <w:tcPr>
            <w:tcW w:w="4508" w:type="dxa"/>
          </w:tcPr>
          <w:p w14:paraId="6617DF02" w14:textId="77777777" w:rsidR="009821AC" w:rsidRPr="00854B63" w:rsidRDefault="009821AC">
            <w:pPr>
              <w:rPr>
                <w:rFonts w:cs="Arial"/>
                <w:i/>
                <w:iCs/>
                <w:color w:val="000000"/>
                <w:sz w:val="21"/>
                <w:szCs w:val="21"/>
                <w:lang w:eastAsia="en-AU"/>
              </w:rPr>
            </w:pPr>
            <w:r w:rsidRPr="00854B63">
              <w:rPr>
                <w:rFonts w:cs="Arial"/>
                <w:i/>
                <w:iCs/>
                <w:color w:val="000000"/>
                <w:sz w:val="21"/>
                <w:szCs w:val="21"/>
                <w:lang w:eastAsia="en-AU"/>
              </w:rPr>
              <w:t xml:space="preserve">Aged Care Act 1997 </w:t>
            </w:r>
          </w:p>
        </w:tc>
        <w:tc>
          <w:tcPr>
            <w:tcW w:w="4508" w:type="dxa"/>
          </w:tcPr>
          <w:p w14:paraId="3CD32CF0" w14:textId="77777777" w:rsidR="009821AC" w:rsidRPr="00DF3799" w:rsidRDefault="009821AC">
            <w:pPr>
              <w:rPr>
                <w:rFonts w:cs="Arial"/>
                <w:color w:val="000000"/>
                <w:sz w:val="21"/>
                <w:szCs w:val="21"/>
                <w:lang w:eastAsia="en-AU"/>
              </w:rPr>
            </w:pPr>
            <w:r>
              <w:rPr>
                <w:rFonts w:cs="Arial"/>
                <w:color w:val="000000"/>
                <w:szCs w:val="21"/>
                <w:lang w:eastAsia="en-AU"/>
              </w:rPr>
              <w:t>Primary legislation</w:t>
            </w:r>
            <w:r w:rsidRPr="00DF3799">
              <w:rPr>
                <w:rFonts w:cs="Arial"/>
                <w:color w:val="000000"/>
                <w:sz w:val="21"/>
                <w:szCs w:val="21"/>
                <w:lang w:eastAsia="en-AU"/>
              </w:rPr>
              <w:t xml:space="preserve"> that covers Australian Government-funded aged care. It sets out rules for things like funding, regulation, approval of providers, quality of care and the rights of people receiving care.</w:t>
            </w:r>
            <w:r>
              <w:rPr>
                <w:rFonts w:cs="Arial"/>
                <w:color w:val="000000"/>
                <w:szCs w:val="21"/>
                <w:lang w:eastAsia="en-AU"/>
              </w:rPr>
              <w:t xml:space="preserve"> It is scheduled to be replaced with the </w:t>
            </w:r>
            <w:r w:rsidRPr="00854B63">
              <w:rPr>
                <w:rFonts w:cs="Arial"/>
                <w:i/>
                <w:iCs/>
                <w:color w:val="000000"/>
                <w:szCs w:val="21"/>
                <w:lang w:eastAsia="en-AU"/>
              </w:rPr>
              <w:t xml:space="preserve">Aged Care Act 2024 </w:t>
            </w:r>
            <w:r>
              <w:rPr>
                <w:rFonts w:cs="Arial"/>
                <w:color w:val="000000"/>
                <w:szCs w:val="21"/>
                <w:lang w:eastAsia="en-AU"/>
              </w:rPr>
              <w:t>from November 2025</w:t>
            </w:r>
          </w:p>
        </w:tc>
      </w:tr>
      <w:tr w:rsidR="009821AC" w:rsidRPr="00DF0B50" w14:paraId="7B5870AE" w14:textId="77777777">
        <w:trPr>
          <w:trHeight w:val="870"/>
        </w:trPr>
        <w:tc>
          <w:tcPr>
            <w:tcW w:w="4508" w:type="dxa"/>
            <w:hideMark/>
          </w:tcPr>
          <w:p w14:paraId="37DFD9CD" w14:textId="77777777" w:rsidR="009821AC" w:rsidRPr="00DF0B50" w:rsidRDefault="009821AC">
            <w:pPr>
              <w:rPr>
                <w:color w:val="000000" w:themeColor="text1"/>
                <w:sz w:val="21"/>
              </w:rPr>
            </w:pPr>
            <w:r w:rsidRPr="00DF0B50">
              <w:rPr>
                <w:color w:val="000000" w:themeColor="text1"/>
                <w:sz w:val="21"/>
              </w:rPr>
              <w:t>Aged Care Act 2024</w:t>
            </w:r>
          </w:p>
        </w:tc>
        <w:tc>
          <w:tcPr>
            <w:tcW w:w="4508" w:type="dxa"/>
            <w:hideMark/>
          </w:tcPr>
          <w:p w14:paraId="21B36C8F" w14:textId="77777777" w:rsidR="009821AC" w:rsidRPr="00DF0B50" w:rsidRDefault="009821AC">
            <w:pPr>
              <w:rPr>
                <w:color w:val="000000" w:themeColor="text1"/>
                <w:sz w:val="21"/>
              </w:rPr>
            </w:pPr>
            <w:r w:rsidRPr="00DF0B50">
              <w:rPr>
                <w:color w:val="000000" w:themeColor="text1"/>
                <w:sz w:val="21"/>
              </w:rPr>
              <w:t>The new primary legislation that will cover Australian Government-funded aged care from its commencement, scheduled for November 2025.</w:t>
            </w:r>
          </w:p>
        </w:tc>
      </w:tr>
      <w:tr w:rsidR="00E35145" w:rsidRPr="00DF0B50" w14:paraId="7D8C7476" w14:textId="77777777">
        <w:trPr>
          <w:trHeight w:val="870"/>
        </w:trPr>
        <w:tc>
          <w:tcPr>
            <w:tcW w:w="4508" w:type="dxa"/>
          </w:tcPr>
          <w:p w14:paraId="445D343D" w14:textId="33CEFF28" w:rsidR="00E35145" w:rsidRPr="00DF0B50" w:rsidRDefault="00E35145">
            <w:pPr>
              <w:rPr>
                <w:color w:val="000000" w:themeColor="text1"/>
                <w:sz w:val="21"/>
              </w:rPr>
            </w:pPr>
            <w:r w:rsidRPr="00DF0B50">
              <w:rPr>
                <w:color w:val="000000" w:themeColor="text1"/>
                <w:sz w:val="21"/>
              </w:rPr>
              <w:t>Aged Care Funding Instrument</w:t>
            </w:r>
          </w:p>
        </w:tc>
        <w:tc>
          <w:tcPr>
            <w:tcW w:w="4508" w:type="dxa"/>
          </w:tcPr>
          <w:p w14:paraId="46A9DCE7" w14:textId="25EE1A77" w:rsidR="00E35145" w:rsidRPr="00DF0B50" w:rsidRDefault="00E35145">
            <w:pPr>
              <w:rPr>
                <w:color w:val="000000" w:themeColor="text1"/>
                <w:sz w:val="21"/>
              </w:rPr>
            </w:pPr>
            <w:r w:rsidRPr="00DF0B50">
              <w:rPr>
                <w:color w:val="000000" w:themeColor="text1"/>
                <w:sz w:val="21"/>
              </w:rPr>
              <w:t>The residential aged care funding model used by Government before the introduction of the AN-ACC funding model</w:t>
            </w:r>
            <w:r w:rsidR="00C63ACE" w:rsidRPr="00DF0B50">
              <w:rPr>
                <w:color w:val="000000" w:themeColor="text1"/>
                <w:sz w:val="21"/>
              </w:rPr>
              <w:t>.</w:t>
            </w:r>
          </w:p>
        </w:tc>
      </w:tr>
      <w:tr w:rsidR="009821AC" w:rsidRPr="00DF0B50" w14:paraId="345A9AB6" w14:textId="77777777">
        <w:trPr>
          <w:trHeight w:val="1160"/>
        </w:trPr>
        <w:tc>
          <w:tcPr>
            <w:tcW w:w="4508" w:type="dxa"/>
            <w:hideMark/>
          </w:tcPr>
          <w:p w14:paraId="0AE7AF09" w14:textId="77777777" w:rsidR="009821AC" w:rsidRPr="00DF0B50" w:rsidRDefault="009821AC">
            <w:pPr>
              <w:rPr>
                <w:color w:val="000000" w:themeColor="text1"/>
                <w:sz w:val="21"/>
              </w:rPr>
            </w:pPr>
            <w:r w:rsidRPr="00DF0B50">
              <w:rPr>
                <w:color w:val="000000" w:themeColor="text1"/>
                <w:sz w:val="21"/>
              </w:rPr>
              <w:t>Aged Care Financial Report (ACFR)</w:t>
            </w:r>
          </w:p>
        </w:tc>
        <w:tc>
          <w:tcPr>
            <w:tcW w:w="4508" w:type="dxa"/>
            <w:hideMark/>
          </w:tcPr>
          <w:p w14:paraId="7532AE6E" w14:textId="5A6C421A" w:rsidR="009821AC" w:rsidRPr="00DF0B50" w:rsidRDefault="009821AC">
            <w:pPr>
              <w:rPr>
                <w:color w:val="000000" w:themeColor="text1"/>
                <w:sz w:val="21"/>
              </w:rPr>
            </w:pPr>
            <w:r w:rsidRPr="00DF0B50">
              <w:rPr>
                <w:color w:val="000000" w:themeColor="text1"/>
                <w:sz w:val="21"/>
              </w:rPr>
              <w:t>Approved providers of residential aged care, home care, multi-purpose services and short restorative care are required to complete an ACFR</w:t>
            </w:r>
            <w:r w:rsidR="00674318" w:rsidRPr="00DF0B50">
              <w:rPr>
                <w:color w:val="000000" w:themeColor="text1"/>
                <w:sz w:val="21"/>
              </w:rPr>
              <w:t xml:space="preserve"> containing financial reporting</w:t>
            </w:r>
            <w:r w:rsidRPr="00DF0B50">
              <w:rPr>
                <w:color w:val="000000" w:themeColor="text1"/>
                <w:sz w:val="21"/>
              </w:rPr>
              <w:t xml:space="preserve">. </w:t>
            </w:r>
          </w:p>
        </w:tc>
      </w:tr>
      <w:tr w:rsidR="009821AC" w:rsidRPr="00DF0B50" w14:paraId="5C004ABC" w14:textId="77777777" w:rsidTr="00674318">
        <w:trPr>
          <w:trHeight w:val="572"/>
        </w:trPr>
        <w:tc>
          <w:tcPr>
            <w:tcW w:w="4508" w:type="dxa"/>
            <w:hideMark/>
          </w:tcPr>
          <w:p w14:paraId="12EE0F90" w14:textId="77777777" w:rsidR="009821AC" w:rsidRPr="00DF0B50" w:rsidRDefault="009821AC">
            <w:pPr>
              <w:rPr>
                <w:color w:val="000000" w:themeColor="text1"/>
                <w:sz w:val="21"/>
              </w:rPr>
            </w:pPr>
            <w:r w:rsidRPr="00DF0B50">
              <w:rPr>
                <w:color w:val="000000" w:themeColor="text1"/>
                <w:sz w:val="21"/>
              </w:rPr>
              <w:t xml:space="preserve">Aged Care Quality and Safety Commission (ACQSC) </w:t>
            </w:r>
          </w:p>
        </w:tc>
        <w:tc>
          <w:tcPr>
            <w:tcW w:w="4508" w:type="dxa"/>
            <w:hideMark/>
          </w:tcPr>
          <w:p w14:paraId="51D7B9D0" w14:textId="0630D264" w:rsidR="009821AC" w:rsidRPr="00DF0B50" w:rsidRDefault="009821AC">
            <w:pPr>
              <w:rPr>
                <w:color w:val="000000" w:themeColor="text1"/>
                <w:sz w:val="21"/>
              </w:rPr>
            </w:pPr>
            <w:r w:rsidRPr="00DF0B50">
              <w:rPr>
                <w:color w:val="000000" w:themeColor="text1"/>
                <w:sz w:val="21"/>
              </w:rPr>
              <w:t>End-to-end regulator of aged care services.</w:t>
            </w:r>
          </w:p>
        </w:tc>
      </w:tr>
      <w:tr w:rsidR="009821AC" w:rsidRPr="00DF0B50" w14:paraId="15B023D1" w14:textId="77777777">
        <w:trPr>
          <w:trHeight w:val="870"/>
        </w:trPr>
        <w:tc>
          <w:tcPr>
            <w:tcW w:w="4508" w:type="dxa"/>
            <w:hideMark/>
          </w:tcPr>
          <w:p w14:paraId="123FF6E6" w14:textId="77777777" w:rsidR="009821AC" w:rsidRPr="00DF0B50" w:rsidRDefault="009821AC">
            <w:pPr>
              <w:rPr>
                <w:color w:val="000000" w:themeColor="text1"/>
                <w:sz w:val="21"/>
              </w:rPr>
            </w:pPr>
            <w:r w:rsidRPr="00DF0B50">
              <w:rPr>
                <w:color w:val="000000" w:themeColor="text1"/>
                <w:sz w:val="21"/>
              </w:rPr>
              <w:t xml:space="preserve">Aged Care Worker Survey </w:t>
            </w:r>
          </w:p>
        </w:tc>
        <w:tc>
          <w:tcPr>
            <w:tcW w:w="4508" w:type="dxa"/>
            <w:hideMark/>
          </w:tcPr>
          <w:p w14:paraId="3AEF9EE9" w14:textId="31D5702B" w:rsidR="009821AC" w:rsidRPr="00DF0B50" w:rsidRDefault="009821AC">
            <w:pPr>
              <w:rPr>
                <w:color w:val="000000" w:themeColor="text1"/>
                <w:sz w:val="21"/>
              </w:rPr>
            </w:pPr>
            <w:r w:rsidRPr="00DF0B50">
              <w:rPr>
                <w:color w:val="000000" w:themeColor="text1"/>
                <w:sz w:val="21"/>
              </w:rPr>
              <w:t xml:space="preserve">The Aged Care Worker Survey </w:t>
            </w:r>
            <w:r w:rsidR="00943755" w:rsidRPr="00DF0B50">
              <w:rPr>
                <w:color w:val="000000" w:themeColor="text1"/>
                <w:sz w:val="21"/>
              </w:rPr>
              <w:t>is</w:t>
            </w:r>
            <w:r w:rsidRPr="00DF0B50">
              <w:rPr>
                <w:color w:val="000000" w:themeColor="text1"/>
                <w:sz w:val="21"/>
              </w:rPr>
              <w:t xml:space="preserve"> conducted by the department to have a better understanding of the aged care workforce and to gather insights to support worker attraction, retention and satisfaction.</w:t>
            </w:r>
          </w:p>
        </w:tc>
      </w:tr>
      <w:tr w:rsidR="009821AC" w:rsidRPr="00DF0B50" w14:paraId="04C1209D" w14:textId="77777777" w:rsidTr="0004186B">
        <w:trPr>
          <w:trHeight w:val="470"/>
        </w:trPr>
        <w:tc>
          <w:tcPr>
            <w:tcW w:w="4508" w:type="dxa"/>
            <w:hideMark/>
          </w:tcPr>
          <w:p w14:paraId="15D40218" w14:textId="77777777" w:rsidR="009821AC" w:rsidRPr="00DF0B50" w:rsidRDefault="009821AC">
            <w:pPr>
              <w:rPr>
                <w:color w:val="000000" w:themeColor="text1"/>
                <w:sz w:val="21"/>
              </w:rPr>
            </w:pPr>
            <w:r w:rsidRPr="00DF0B50">
              <w:rPr>
                <w:color w:val="000000" w:themeColor="text1"/>
                <w:sz w:val="21"/>
              </w:rPr>
              <w:t>Aged Care Quality Standards</w:t>
            </w:r>
          </w:p>
        </w:tc>
        <w:tc>
          <w:tcPr>
            <w:tcW w:w="4508" w:type="dxa"/>
            <w:hideMark/>
          </w:tcPr>
          <w:p w14:paraId="01611722" w14:textId="4C1CBC8D" w:rsidR="009821AC" w:rsidRPr="00DF0B50" w:rsidRDefault="009821AC">
            <w:pPr>
              <w:rPr>
                <w:color w:val="000000" w:themeColor="text1"/>
                <w:sz w:val="21"/>
              </w:rPr>
            </w:pPr>
            <w:r w:rsidRPr="00DF0B50">
              <w:rPr>
                <w:color w:val="000000" w:themeColor="text1"/>
                <w:sz w:val="21"/>
              </w:rPr>
              <w:t>Standards that outline service obligations on providers</w:t>
            </w:r>
            <w:r w:rsidR="000F5733" w:rsidRPr="00DF0B50">
              <w:rPr>
                <w:color w:val="000000" w:themeColor="text1"/>
                <w:sz w:val="21"/>
              </w:rPr>
              <w:t>.</w:t>
            </w:r>
          </w:p>
        </w:tc>
      </w:tr>
      <w:tr w:rsidR="009821AC" w:rsidRPr="00DF0B50" w14:paraId="34FFAB12" w14:textId="77777777">
        <w:trPr>
          <w:trHeight w:val="870"/>
        </w:trPr>
        <w:tc>
          <w:tcPr>
            <w:tcW w:w="4508" w:type="dxa"/>
            <w:hideMark/>
          </w:tcPr>
          <w:p w14:paraId="000CCF6D" w14:textId="77777777" w:rsidR="009821AC" w:rsidRPr="00DF0B50" w:rsidRDefault="009821AC">
            <w:pPr>
              <w:rPr>
                <w:color w:val="000000" w:themeColor="text1"/>
                <w:sz w:val="21"/>
              </w:rPr>
            </w:pPr>
            <w:r w:rsidRPr="00DF0B50">
              <w:rPr>
                <w:color w:val="000000" w:themeColor="text1"/>
                <w:sz w:val="21"/>
              </w:rPr>
              <w:t>Allied health services</w:t>
            </w:r>
          </w:p>
        </w:tc>
        <w:tc>
          <w:tcPr>
            <w:tcW w:w="4508" w:type="dxa"/>
            <w:hideMark/>
          </w:tcPr>
          <w:p w14:paraId="067E43E7" w14:textId="77777777" w:rsidR="009821AC" w:rsidRPr="00DF0B50" w:rsidRDefault="009821AC">
            <w:pPr>
              <w:rPr>
                <w:color w:val="000000" w:themeColor="text1"/>
                <w:sz w:val="21"/>
              </w:rPr>
            </w:pPr>
            <w:r w:rsidRPr="00DF0B50">
              <w:rPr>
                <w:color w:val="000000" w:themeColor="text1"/>
                <w:sz w:val="21"/>
              </w:rPr>
              <w:t>Services provided by a broad range of health professionals who are not doctors, dentists, nurses, or midwives. Funding for allied health services is included in AN-ACC but not included as care minutes.</w:t>
            </w:r>
          </w:p>
        </w:tc>
      </w:tr>
      <w:tr w:rsidR="009821AC" w:rsidRPr="00DF0B50" w14:paraId="114DEC57" w14:textId="77777777">
        <w:trPr>
          <w:trHeight w:val="580"/>
        </w:trPr>
        <w:tc>
          <w:tcPr>
            <w:tcW w:w="4508" w:type="dxa"/>
            <w:hideMark/>
          </w:tcPr>
          <w:p w14:paraId="4F529F67" w14:textId="77777777" w:rsidR="009821AC" w:rsidRPr="00DF0B50" w:rsidRDefault="009821AC">
            <w:pPr>
              <w:rPr>
                <w:color w:val="000000" w:themeColor="text1"/>
                <w:sz w:val="21"/>
              </w:rPr>
            </w:pPr>
            <w:r w:rsidRPr="00DF0B50">
              <w:rPr>
                <w:color w:val="000000" w:themeColor="text1"/>
                <w:sz w:val="21"/>
              </w:rPr>
              <w:t>Approved residential aged care home (home)</w:t>
            </w:r>
          </w:p>
        </w:tc>
        <w:tc>
          <w:tcPr>
            <w:tcW w:w="4508" w:type="dxa"/>
            <w:hideMark/>
          </w:tcPr>
          <w:p w14:paraId="2FBA1896" w14:textId="77777777" w:rsidR="009821AC" w:rsidRPr="00DF0B50" w:rsidRDefault="009821AC">
            <w:pPr>
              <w:rPr>
                <w:color w:val="000000" w:themeColor="text1"/>
                <w:sz w:val="21"/>
              </w:rPr>
            </w:pPr>
            <w:r w:rsidRPr="00DF0B50">
              <w:rPr>
                <w:color w:val="000000" w:themeColor="text1"/>
                <w:sz w:val="21"/>
              </w:rPr>
              <w:t xml:space="preserve">A residential aged care home with Australian Government approval to provide residential aged care services. </w:t>
            </w:r>
          </w:p>
        </w:tc>
      </w:tr>
      <w:tr w:rsidR="009821AC" w:rsidRPr="00DF0B50" w14:paraId="4C1B1AD4" w14:textId="77777777">
        <w:trPr>
          <w:trHeight w:val="580"/>
        </w:trPr>
        <w:tc>
          <w:tcPr>
            <w:tcW w:w="4508" w:type="dxa"/>
            <w:hideMark/>
          </w:tcPr>
          <w:p w14:paraId="757081C5" w14:textId="77777777" w:rsidR="009821AC" w:rsidRPr="00DF0B50" w:rsidRDefault="009821AC">
            <w:pPr>
              <w:rPr>
                <w:color w:val="000000" w:themeColor="text1"/>
                <w:sz w:val="21"/>
              </w:rPr>
            </w:pPr>
            <w:r w:rsidRPr="00DF0B50">
              <w:rPr>
                <w:color w:val="000000" w:themeColor="text1"/>
                <w:sz w:val="21"/>
              </w:rPr>
              <w:t>Australian Institute of Health and Welfare (AIHW)</w:t>
            </w:r>
          </w:p>
        </w:tc>
        <w:tc>
          <w:tcPr>
            <w:tcW w:w="4508" w:type="dxa"/>
            <w:hideMark/>
          </w:tcPr>
          <w:p w14:paraId="782F5D4C" w14:textId="77777777" w:rsidR="009821AC" w:rsidRPr="00DF0B50" w:rsidRDefault="009821AC">
            <w:pPr>
              <w:rPr>
                <w:color w:val="000000" w:themeColor="text1"/>
                <w:sz w:val="21"/>
              </w:rPr>
            </w:pPr>
            <w:r w:rsidRPr="00DF0B50">
              <w:rPr>
                <w:color w:val="000000" w:themeColor="text1"/>
                <w:sz w:val="21"/>
              </w:rPr>
              <w:t>The AIHW is an independent statutory Australian Government agency with more than 30 years of experience working with health and welfare data.</w:t>
            </w:r>
          </w:p>
        </w:tc>
      </w:tr>
      <w:tr w:rsidR="009821AC" w:rsidRPr="00DF0B50" w14:paraId="13E2D4E4" w14:textId="77777777">
        <w:trPr>
          <w:trHeight w:val="629"/>
        </w:trPr>
        <w:tc>
          <w:tcPr>
            <w:tcW w:w="4508" w:type="dxa"/>
            <w:hideMark/>
          </w:tcPr>
          <w:p w14:paraId="46E11859" w14:textId="77777777" w:rsidR="009821AC" w:rsidRPr="00DF0B50" w:rsidRDefault="009821AC">
            <w:pPr>
              <w:rPr>
                <w:color w:val="000000" w:themeColor="text1"/>
                <w:sz w:val="21"/>
              </w:rPr>
            </w:pPr>
            <w:r w:rsidRPr="00DF0B50">
              <w:rPr>
                <w:color w:val="000000" w:themeColor="text1"/>
                <w:sz w:val="21"/>
              </w:rPr>
              <w:t xml:space="preserve">Australian National Aged Care Classification (AN-ACC) </w:t>
            </w:r>
          </w:p>
        </w:tc>
        <w:tc>
          <w:tcPr>
            <w:tcW w:w="4508" w:type="dxa"/>
            <w:hideMark/>
          </w:tcPr>
          <w:p w14:paraId="446FE64C" w14:textId="77777777" w:rsidR="009821AC" w:rsidRPr="00DF0B50" w:rsidRDefault="009821AC">
            <w:pPr>
              <w:rPr>
                <w:color w:val="000000" w:themeColor="text1"/>
                <w:sz w:val="21"/>
              </w:rPr>
            </w:pPr>
            <w:r w:rsidRPr="00DF0B50">
              <w:rPr>
                <w:color w:val="000000" w:themeColor="text1"/>
                <w:sz w:val="21"/>
              </w:rPr>
              <w:t>The AN-ACC is the funding model for residential aged care, effective from 1 October 2022.</w:t>
            </w:r>
          </w:p>
        </w:tc>
      </w:tr>
      <w:tr w:rsidR="009821AC" w:rsidRPr="00DF0B50" w14:paraId="1BE58666" w14:textId="77777777">
        <w:trPr>
          <w:trHeight w:val="870"/>
        </w:trPr>
        <w:tc>
          <w:tcPr>
            <w:tcW w:w="4508" w:type="dxa"/>
            <w:hideMark/>
          </w:tcPr>
          <w:p w14:paraId="000DFC29" w14:textId="77777777" w:rsidR="009821AC" w:rsidRPr="00DF0B50" w:rsidRDefault="009821AC">
            <w:pPr>
              <w:rPr>
                <w:color w:val="000000" w:themeColor="text1"/>
                <w:sz w:val="21"/>
              </w:rPr>
            </w:pPr>
            <w:r w:rsidRPr="00DF0B50">
              <w:rPr>
                <w:color w:val="000000" w:themeColor="text1"/>
                <w:sz w:val="21"/>
              </w:rPr>
              <w:t>AN-ACC class</w:t>
            </w:r>
          </w:p>
        </w:tc>
        <w:tc>
          <w:tcPr>
            <w:tcW w:w="4508" w:type="dxa"/>
            <w:hideMark/>
          </w:tcPr>
          <w:p w14:paraId="338F4F64" w14:textId="77777777" w:rsidR="009821AC" w:rsidRPr="00DF0B50" w:rsidRDefault="009821AC">
            <w:pPr>
              <w:rPr>
                <w:color w:val="000000" w:themeColor="text1"/>
                <w:sz w:val="21"/>
              </w:rPr>
            </w:pPr>
            <w:r w:rsidRPr="00DF0B50">
              <w:rPr>
                <w:color w:val="000000" w:themeColor="text1"/>
                <w:sz w:val="21"/>
              </w:rPr>
              <w:t>Classification of residents that reflects their characteristics and determines the associated variable subsidy under the AN-ACC funding model. Determined through residential aged care funding assessment.</w:t>
            </w:r>
          </w:p>
        </w:tc>
      </w:tr>
      <w:tr w:rsidR="009821AC" w:rsidRPr="00DF0B50" w14:paraId="334B320A" w14:textId="77777777">
        <w:trPr>
          <w:trHeight w:val="870"/>
        </w:trPr>
        <w:tc>
          <w:tcPr>
            <w:tcW w:w="4508" w:type="dxa"/>
            <w:hideMark/>
          </w:tcPr>
          <w:p w14:paraId="4F61BAB7" w14:textId="77777777" w:rsidR="009821AC" w:rsidRPr="00DF0B50" w:rsidRDefault="009821AC">
            <w:pPr>
              <w:rPr>
                <w:color w:val="000000" w:themeColor="text1"/>
                <w:sz w:val="21"/>
              </w:rPr>
            </w:pPr>
            <w:r w:rsidRPr="00DF0B50">
              <w:rPr>
                <w:color w:val="000000" w:themeColor="text1"/>
                <w:sz w:val="21"/>
              </w:rPr>
              <w:t>Base Care Tariff (BCT)</w:t>
            </w:r>
          </w:p>
        </w:tc>
        <w:tc>
          <w:tcPr>
            <w:tcW w:w="4508" w:type="dxa"/>
            <w:hideMark/>
          </w:tcPr>
          <w:p w14:paraId="7344D924" w14:textId="7ECE5B5B" w:rsidR="0015414A" w:rsidRPr="00DF0B50" w:rsidRDefault="009821AC" w:rsidP="0015414A">
            <w:pPr>
              <w:rPr>
                <w:color w:val="000000" w:themeColor="text1"/>
                <w:sz w:val="21"/>
              </w:rPr>
            </w:pPr>
            <w:r w:rsidRPr="00DF0B50">
              <w:rPr>
                <w:color w:val="000000" w:themeColor="text1"/>
                <w:sz w:val="21"/>
              </w:rPr>
              <w:t xml:space="preserve">Fixed AN-ACC funding component for services reflecting characteristics of the reapproved residential aged care home such as location and specialisation for remote </w:t>
            </w:r>
            <w:r w:rsidRPr="00DF0B50">
              <w:rPr>
                <w:color w:val="000000" w:themeColor="text1"/>
                <w:sz w:val="21"/>
              </w:rPr>
              <w:lastRenderedPageBreak/>
              <w:t xml:space="preserve">Aboriginal and Torres Strait Islander or homelessness. </w:t>
            </w:r>
          </w:p>
        </w:tc>
      </w:tr>
      <w:tr w:rsidR="009821AC" w:rsidRPr="00DF0B50" w14:paraId="09019299" w14:textId="77777777">
        <w:trPr>
          <w:trHeight w:val="580"/>
        </w:trPr>
        <w:tc>
          <w:tcPr>
            <w:tcW w:w="4508" w:type="dxa"/>
            <w:hideMark/>
          </w:tcPr>
          <w:p w14:paraId="66CB7C20" w14:textId="77777777" w:rsidR="009821AC" w:rsidRPr="00DF0B50" w:rsidRDefault="009821AC">
            <w:pPr>
              <w:rPr>
                <w:color w:val="000000" w:themeColor="text1"/>
                <w:sz w:val="21"/>
              </w:rPr>
            </w:pPr>
            <w:r w:rsidRPr="00DF0B50">
              <w:rPr>
                <w:color w:val="000000" w:themeColor="text1"/>
                <w:sz w:val="21"/>
              </w:rPr>
              <w:lastRenderedPageBreak/>
              <w:t>Budget Process Operational Rules (BPORs)</w:t>
            </w:r>
          </w:p>
        </w:tc>
        <w:tc>
          <w:tcPr>
            <w:tcW w:w="4508" w:type="dxa"/>
            <w:hideMark/>
          </w:tcPr>
          <w:p w14:paraId="2765D74E" w14:textId="77777777" w:rsidR="009821AC" w:rsidRPr="00DF0B50" w:rsidRDefault="009821AC">
            <w:pPr>
              <w:rPr>
                <w:color w:val="000000" w:themeColor="text1"/>
                <w:sz w:val="21"/>
              </w:rPr>
            </w:pPr>
            <w:r w:rsidRPr="00DF0B50">
              <w:rPr>
                <w:color w:val="000000" w:themeColor="text1"/>
                <w:sz w:val="21"/>
              </w:rPr>
              <w:t>The BPORs are standing rules for managing the Australian Government Budget and its related processes.</w:t>
            </w:r>
          </w:p>
        </w:tc>
      </w:tr>
      <w:tr w:rsidR="009821AC" w:rsidRPr="00DF0B50" w14:paraId="5A69EB31" w14:textId="77777777">
        <w:trPr>
          <w:trHeight w:val="1450"/>
        </w:trPr>
        <w:tc>
          <w:tcPr>
            <w:tcW w:w="4508" w:type="dxa"/>
            <w:hideMark/>
          </w:tcPr>
          <w:p w14:paraId="1C61A118" w14:textId="77777777" w:rsidR="009821AC" w:rsidRPr="00DF0B50" w:rsidRDefault="009821AC">
            <w:pPr>
              <w:rPr>
                <w:color w:val="000000" w:themeColor="text1"/>
                <w:sz w:val="21"/>
              </w:rPr>
            </w:pPr>
            <w:r w:rsidRPr="00DF0B50">
              <w:rPr>
                <w:color w:val="000000" w:themeColor="text1"/>
                <w:sz w:val="21"/>
              </w:rPr>
              <w:t xml:space="preserve">Care minutes </w:t>
            </w:r>
          </w:p>
        </w:tc>
        <w:tc>
          <w:tcPr>
            <w:tcW w:w="4508" w:type="dxa"/>
            <w:hideMark/>
          </w:tcPr>
          <w:p w14:paraId="686DE152" w14:textId="77777777" w:rsidR="009821AC" w:rsidRPr="00DF0B50" w:rsidRDefault="009821AC">
            <w:pPr>
              <w:rPr>
                <w:color w:val="000000" w:themeColor="text1"/>
                <w:sz w:val="21"/>
              </w:rPr>
            </w:pPr>
            <w:r w:rsidRPr="00DF0B50">
              <w:rPr>
                <w:color w:val="000000" w:themeColor="text1"/>
                <w:sz w:val="21"/>
              </w:rPr>
              <w:t>Minutes of care provided by registered nurses, enrolled nurses, personal care workers and assistants in nursing to residents each day. The care minutes requirement became mandatory from 1 October 2023. From 1 October 2024, care minutes increased to an average case-mix adjusted 215 minutes (including 44 minutes of registered nurse time).</w:t>
            </w:r>
          </w:p>
        </w:tc>
      </w:tr>
      <w:tr w:rsidR="009821AC" w:rsidRPr="00DF0B50" w14:paraId="53779355" w14:textId="77777777">
        <w:trPr>
          <w:trHeight w:val="580"/>
        </w:trPr>
        <w:tc>
          <w:tcPr>
            <w:tcW w:w="4508" w:type="dxa"/>
            <w:hideMark/>
          </w:tcPr>
          <w:p w14:paraId="2C709FED" w14:textId="77777777" w:rsidR="009821AC" w:rsidRPr="00DF0B50" w:rsidRDefault="009821AC">
            <w:pPr>
              <w:rPr>
                <w:color w:val="000000" w:themeColor="text1"/>
                <w:sz w:val="21"/>
              </w:rPr>
            </w:pPr>
            <w:r w:rsidRPr="00DF0B50">
              <w:rPr>
                <w:color w:val="000000" w:themeColor="text1"/>
                <w:sz w:val="21"/>
              </w:rPr>
              <w:t>Care minutes compliance</w:t>
            </w:r>
          </w:p>
        </w:tc>
        <w:tc>
          <w:tcPr>
            <w:tcW w:w="4508" w:type="dxa"/>
            <w:hideMark/>
          </w:tcPr>
          <w:p w14:paraId="77B41ADD" w14:textId="77777777" w:rsidR="009821AC" w:rsidRPr="00DF0B50" w:rsidRDefault="009821AC">
            <w:pPr>
              <w:rPr>
                <w:color w:val="000000" w:themeColor="text1"/>
                <w:sz w:val="21"/>
              </w:rPr>
            </w:pPr>
            <w:r w:rsidRPr="00DF0B50">
              <w:rPr>
                <w:color w:val="000000" w:themeColor="text1"/>
                <w:sz w:val="21"/>
              </w:rPr>
              <w:t>Residential aged care providers and their home/s compliance with their care minutes targets.</w:t>
            </w:r>
          </w:p>
        </w:tc>
      </w:tr>
      <w:tr w:rsidR="009821AC" w:rsidRPr="00DF0B50" w14:paraId="3F0607A3" w14:textId="77777777">
        <w:trPr>
          <w:trHeight w:val="1450"/>
        </w:trPr>
        <w:tc>
          <w:tcPr>
            <w:tcW w:w="4508" w:type="dxa"/>
            <w:hideMark/>
          </w:tcPr>
          <w:p w14:paraId="2D5C183E" w14:textId="77777777" w:rsidR="009821AC" w:rsidRPr="00DF0B50" w:rsidRDefault="009821AC">
            <w:pPr>
              <w:rPr>
                <w:color w:val="000000" w:themeColor="text1"/>
                <w:sz w:val="21"/>
              </w:rPr>
            </w:pPr>
            <w:r w:rsidRPr="00DF0B50">
              <w:rPr>
                <w:color w:val="000000" w:themeColor="text1"/>
                <w:sz w:val="21"/>
              </w:rPr>
              <w:t xml:space="preserve">Care Minute Performance Statement </w:t>
            </w:r>
          </w:p>
        </w:tc>
        <w:tc>
          <w:tcPr>
            <w:tcW w:w="4508" w:type="dxa"/>
            <w:hideMark/>
          </w:tcPr>
          <w:p w14:paraId="411ADFBC" w14:textId="1F62BF15" w:rsidR="009821AC" w:rsidRPr="00DF0B50" w:rsidRDefault="009821AC">
            <w:pPr>
              <w:rPr>
                <w:color w:val="000000" w:themeColor="text1"/>
                <w:sz w:val="21"/>
              </w:rPr>
            </w:pPr>
            <w:r w:rsidRPr="00DF0B50">
              <w:rPr>
                <w:color w:val="000000" w:themeColor="text1"/>
                <w:sz w:val="21"/>
              </w:rPr>
              <w:t>From the 2025-2026 financial year, all providers will be required to prepare and submit a Care Minutes Performance Statement as part of their annual ACFR. The Statement captures detailed information on:</w:t>
            </w:r>
            <w:r w:rsidRPr="00DF0B50">
              <w:rPr>
                <w:color w:val="000000" w:themeColor="text1"/>
                <w:sz w:val="21"/>
              </w:rPr>
              <w:br/>
              <w:t xml:space="preserve">direct care minutes delivered, associated labour costs, registered nurse (RN) coverage, and occupied bed days. </w:t>
            </w:r>
          </w:p>
        </w:tc>
      </w:tr>
      <w:tr w:rsidR="009821AC" w:rsidRPr="00DF0B50" w14:paraId="32517D3B" w14:textId="77777777">
        <w:trPr>
          <w:trHeight w:val="870"/>
        </w:trPr>
        <w:tc>
          <w:tcPr>
            <w:tcW w:w="4508" w:type="dxa"/>
            <w:hideMark/>
          </w:tcPr>
          <w:p w14:paraId="655FD7F9" w14:textId="77777777" w:rsidR="009821AC" w:rsidRPr="00DF0B50" w:rsidRDefault="009821AC">
            <w:pPr>
              <w:rPr>
                <w:color w:val="000000" w:themeColor="text1"/>
                <w:sz w:val="21"/>
              </w:rPr>
            </w:pPr>
            <w:r w:rsidRPr="00DF0B50">
              <w:rPr>
                <w:color w:val="000000" w:themeColor="text1"/>
                <w:sz w:val="21"/>
              </w:rPr>
              <w:t>Council of Elders</w:t>
            </w:r>
          </w:p>
        </w:tc>
        <w:tc>
          <w:tcPr>
            <w:tcW w:w="4508" w:type="dxa"/>
            <w:hideMark/>
          </w:tcPr>
          <w:p w14:paraId="28ED4A8B" w14:textId="77777777" w:rsidR="009821AC" w:rsidRPr="00DF0B50" w:rsidRDefault="009821AC">
            <w:pPr>
              <w:rPr>
                <w:color w:val="000000" w:themeColor="text1"/>
                <w:sz w:val="21"/>
              </w:rPr>
            </w:pPr>
            <w:bookmarkStart w:id="98" w:name="RANGE!B17"/>
            <w:r w:rsidRPr="00DF0B50">
              <w:rPr>
                <w:color w:val="000000" w:themeColor="text1"/>
                <w:sz w:val="21"/>
              </w:rPr>
              <w:t>Council of Elders is a group of older people from diverse backgrounds with lived experience of ageing and aged care who provide advice to the Australian Government.</w:t>
            </w:r>
            <w:bookmarkEnd w:id="98"/>
          </w:p>
        </w:tc>
      </w:tr>
      <w:tr w:rsidR="009821AC" w:rsidRPr="00DF0B50" w14:paraId="406659B9" w14:textId="77777777">
        <w:trPr>
          <w:trHeight w:val="870"/>
        </w:trPr>
        <w:tc>
          <w:tcPr>
            <w:tcW w:w="4508" w:type="dxa"/>
            <w:hideMark/>
          </w:tcPr>
          <w:p w14:paraId="7B3E05E4" w14:textId="77777777" w:rsidR="009821AC" w:rsidRPr="00DF0B50" w:rsidRDefault="009821AC">
            <w:pPr>
              <w:rPr>
                <w:color w:val="000000" w:themeColor="text1"/>
                <w:sz w:val="21"/>
              </w:rPr>
            </w:pPr>
            <w:r w:rsidRPr="00DF0B50">
              <w:rPr>
                <w:color w:val="000000" w:themeColor="text1"/>
                <w:sz w:val="21"/>
              </w:rPr>
              <w:t>Department of Health, Disability and Aging (the department/DoHDA)</w:t>
            </w:r>
          </w:p>
        </w:tc>
        <w:tc>
          <w:tcPr>
            <w:tcW w:w="4508" w:type="dxa"/>
            <w:hideMark/>
          </w:tcPr>
          <w:p w14:paraId="1574E448" w14:textId="77777777" w:rsidR="009821AC" w:rsidRPr="00DF0B50" w:rsidRDefault="009821AC">
            <w:pPr>
              <w:rPr>
                <w:color w:val="000000" w:themeColor="text1"/>
                <w:sz w:val="21"/>
              </w:rPr>
            </w:pPr>
            <w:r w:rsidRPr="00DF0B50">
              <w:rPr>
                <w:color w:val="000000" w:themeColor="text1"/>
                <w:sz w:val="21"/>
              </w:rPr>
              <w:t>The Department supports the Australian Government to lead and shape Australia’s health and aged care system and sporting outcomes through evidence-based policy, well targeted programs and best practice regulation.</w:t>
            </w:r>
          </w:p>
        </w:tc>
      </w:tr>
      <w:tr w:rsidR="005C1044" w:rsidRPr="00DF0B50" w14:paraId="408B8E80" w14:textId="77777777">
        <w:trPr>
          <w:trHeight w:val="870"/>
        </w:trPr>
        <w:tc>
          <w:tcPr>
            <w:tcW w:w="4508" w:type="dxa"/>
          </w:tcPr>
          <w:p w14:paraId="4269FAB2" w14:textId="71452411" w:rsidR="005C1044" w:rsidRPr="00DF0B50" w:rsidRDefault="00043D55">
            <w:pPr>
              <w:rPr>
                <w:color w:val="000000" w:themeColor="text1"/>
                <w:sz w:val="21"/>
              </w:rPr>
            </w:pPr>
            <w:r w:rsidRPr="00DF0B50">
              <w:rPr>
                <w:color w:val="000000" w:themeColor="text1"/>
                <w:sz w:val="21"/>
              </w:rPr>
              <w:t>Expenditure</w:t>
            </w:r>
            <w:r w:rsidR="005C1044" w:rsidRPr="00DF0B50">
              <w:rPr>
                <w:color w:val="000000" w:themeColor="text1"/>
                <w:sz w:val="21"/>
              </w:rPr>
              <w:t xml:space="preserve"> Review Committee</w:t>
            </w:r>
          </w:p>
        </w:tc>
        <w:tc>
          <w:tcPr>
            <w:tcW w:w="4508" w:type="dxa"/>
          </w:tcPr>
          <w:p w14:paraId="76C361CB" w14:textId="169FA178" w:rsidR="005C1044" w:rsidRPr="00DF0B50" w:rsidRDefault="00513C7C">
            <w:pPr>
              <w:rPr>
                <w:color w:val="000000" w:themeColor="text1"/>
                <w:sz w:val="21"/>
              </w:rPr>
            </w:pPr>
            <w:r w:rsidRPr="00DF0B50">
              <w:rPr>
                <w:color w:val="000000" w:themeColor="text1"/>
                <w:sz w:val="21"/>
              </w:rPr>
              <w:t>A committee of Cabinet responsible for examining all proposals in light of the Government's overall fiscal strategy, advising Cabinet on Budget spending priorities and initiating reviews of individual ongoing programmes. Membership of the ERC consists of the Prime Minister, Treasurer and the Minister for Finance, along with other selected portfolio ministers</w:t>
            </w:r>
            <w:r w:rsidR="004C3C6E" w:rsidRPr="00DF0B50">
              <w:rPr>
                <w:color w:val="000000" w:themeColor="text1"/>
                <w:sz w:val="21"/>
              </w:rPr>
              <w:t>.</w:t>
            </w:r>
          </w:p>
        </w:tc>
      </w:tr>
      <w:tr w:rsidR="009821AC" w:rsidRPr="00DF0B50" w14:paraId="4CAB39AA" w14:textId="77777777">
        <w:trPr>
          <w:trHeight w:val="1160"/>
        </w:trPr>
        <w:tc>
          <w:tcPr>
            <w:tcW w:w="4508" w:type="dxa"/>
            <w:hideMark/>
          </w:tcPr>
          <w:p w14:paraId="318CF78F" w14:textId="77777777" w:rsidR="009821AC" w:rsidRPr="00DF0B50" w:rsidRDefault="009821AC">
            <w:pPr>
              <w:rPr>
                <w:color w:val="000000" w:themeColor="text1"/>
                <w:sz w:val="21"/>
              </w:rPr>
            </w:pPr>
            <w:r w:rsidRPr="00DF0B50">
              <w:rPr>
                <w:color w:val="000000" w:themeColor="text1"/>
                <w:sz w:val="21"/>
              </w:rPr>
              <w:t>Enforceable undertaking</w:t>
            </w:r>
          </w:p>
        </w:tc>
        <w:tc>
          <w:tcPr>
            <w:tcW w:w="4508" w:type="dxa"/>
            <w:hideMark/>
          </w:tcPr>
          <w:p w14:paraId="0801EB44" w14:textId="77777777" w:rsidR="009821AC" w:rsidRPr="00DF0B50" w:rsidRDefault="009821AC">
            <w:pPr>
              <w:rPr>
                <w:color w:val="000000" w:themeColor="text1"/>
                <w:sz w:val="21"/>
              </w:rPr>
            </w:pPr>
            <w:r w:rsidRPr="00DF0B50">
              <w:rPr>
                <w:color w:val="000000" w:themeColor="text1"/>
                <w:sz w:val="21"/>
              </w:rPr>
              <w:t>An enforceable undertaking is a written agreement between the ACQSC and a provider or person that is offered to the ACQSC by the provider or person. It explains the actions that the provider or person will take (their “undertaking”) to fix risk and non-compliance with their aged care responsibilities.</w:t>
            </w:r>
          </w:p>
        </w:tc>
      </w:tr>
      <w:tr w:rsidR="009821AC" w:rsidRPr="00DF0B50" w14:paraId="060FB1C0" w14:textId="77777777">
        <w:trPr>
          <w:trHeight w:val="1450"/>
        </w:trPr>
        <w:tc>
          <w:tcPr>
            <w:tcW w:w="4508" w:type="dxa"/>
            <w:hideMark/>
          </w:tcPr>
          <w:p w14:paraId="5FCFFDCE" w14:textId="77777777" w:rsidR="009821AC" w:rsidRPr="00DF0B50" w:rsidRDefault="009821AC">
            <w:pPr>
              <w:rPr>
                <w:color w:val="000000" w:themeColor="text1"/>
                <w:sz w:val="21"/>
              </w:rPr>
            </w:pPr>
            <w:r w:rsidRPr="00DF0B50">
              <w:rPr>
                <w:color w:val="000000" w:themeColor="text1"/>
                <w:sz w:val="21"/>
              </w:rPr>
              <w:lastRenderedPageBreak/>
              <w:t>Home with a specialised homeless status</w:t>
            </w:r>
          </w:p>
        </w:tc>
        <w:tc>
          <w:tcPr>
            <w:tcW w:w="4508" w:type="dxa"/>
            <w:hideMark/>
          </w:tcPr>
          <w:p w14:paraId="4948B9E0" w14:textId="4400AF8F" w:rsidR="009821AC" w:rsidRPr="00DF0B50" w:rsidRDefault="009821AC">
            <w:pPr>
              <w:rPr>
                <w:color w:val="000000" w:themeColor="text1"/>
                <w:sz w:val="21"/>
              </w:rPr>
            </w:pPr>
            <w:r w:rsidRPr="00DF0B50">
              <w:rPr>
                <w:color w:val="000000" w:themeColor="text1"/>
                <w:sz w:val="21"/>
              </w:rPr>
              <w:t>Specialised approved residential aged care homes are considered those eligible for additional BCT funding under the AN-ACC because of their specialised status, that is those in receipt of the specialised homeless BCT status (which can apply to a home in any location) and specialised First Nations services in rural and remote areas (MM 6-7)</w:t>
            </w:r>
            <w:r w:rsidR="00370984" w:rsidRPr="00DF0B50">
              <w:rPr>
                <w:color w:val="000000" w:themeColor="text1"/>
                <w:sz w:val="21"/>
              </w:rPr>
              <w:t>.</w:t>
            </w:r>
          </w:p>
        </w:tc>
      </w:tr>
      <w:tr w:rsidR="009821AC" w:rsidRPr="00DF0B50" w14:paraId="4EBCA41F" w14:textId="77777777">
        <w:trPr>
          <w:trHeight w:val="580"/>
        </w:trPr>
        <w:tc>
          <w:tcPr>
            <w:tcW w:w="4508" w:type="dxa"/>
            <w:hideMark/>
          </w:tcPr>
          <w:p w14:paraId="2322D164" w14:textId="77777777" w:rsidR="009821AC" w:rsidRPr="00DF0B50" w:rsidRDefault="009821AC">
            <w:pPr>
              <w:rPr>
                <w:color w:val="000000" w:themeColor="text1"/>
                <w:sz w:val="21"/>
              </w:rPr>
            </w:pPr>
            <w:r w:rsidRPr="00DF0B50">
              <w:rPr>
                <w:color w:val="000000" w:themeColor="text1"/>
                <w:sz w:val="21"/>
              </w:rPr>
              <w:t>Home without a specialised homeless status</w:t>
            </w:r>
          </w:p>
        </w:tc>
        <w:tc>
          <w:tcPr>
            <w:tcW w:w="4508" w:type="dxa"/>
            <w:hideMark/>
          </w:tcPr>
          <w:p w14:paraId="09C7BD7A" w14:textId="04859764" w:rsidR="009821AC" w:rsidRPr="00DF0B50" w:rsidRDefault="009821AC">
            <w:pPr>
              <w:rPr>
                <w:color w:val="000000" w:themeColor="text1"/>
                <w:sz w:val="21"/>
              </w:rPr>
            </w:pPr>
            <w:r w:rsidRPr="00DF0B50">
              <w:rPr>
                <w:color w:val="000000" w:themeColor="text1"/>
                <w:sz w:val="21"/>
              </w:rPr>
              <w:t>Approved residential aged care home that does not meet specialised homeless provider and resident requirements. May be in any MM location.</w:t>
            </w:r>
          </w:p>
        </w:tc>
      </w:tr>
      <w:tr w:rsidR="009821AC" w:rsidRPr="00DF0B50" w14:paraId="071101C3" w14:textId="77777777">
        <w:trPr>
          <w:trHeight w:val="558"/>
        </w:trPr>
        <w:tc>
          <w:tcPr>
            <w:tcW w:w="4508" w:type="dxa"/>
            <w:hideMark/>
          </w:tcPr>
          <w:p w14:paraId="35F118F2" w14:textId="77777777" w:rsidR="009821AC" w:rsidRPr="00DF0B50" w:rsidRDefault="009821AC">
            <w:pPr>
              <w:rPr>
                <w:color w:val="000000" w:themeColor="text1"/>
                <w:sz w:val="21"/>
              </w:rPr>
            </w:pPr>
            <w:r w:rsidRPr="00DF0B50">
              <w:rPr>
                <w:color w:val="000000" w:themeColor="text1"/>
                <w:sz w:val="21"/>
              </w:rPr>
              <w:t>Independent Health and Aged Care Pricing Authority (IHACPA)</w:t>
            </w:r>
          </w:p>
        </w:tc>
        <w:tc>
          <w:tcPr>
            <w:tcW w:w="4508" w:type="dxa"/>
            <w:hideMark/>
          </w:tcPr>
          <w:p w14:paraId="7D56D407" w14:textId="77777777" w:rsidR="009821AC" w:rsidRPr="00DF0B50" w:rsidRDefault="009821AC">
            <w:pPr>
              <w:rPr>
                <w:color w:val="000000" w:themeColor="text1"/>
                <w:sz w:val="21"/>
              </w:rPr>
            </w:pPr>
            <w:r w:rsidRPr="00DF0B50">
              <w:rPr>
                <w:color w:val="000000" w:themeColor="text1"/>
                <w:sz w:val="21"/>
              </w:rPr>
              <w:t xml:space="preserve">The IHACPA is an independent body that provides AN-ACC price recommendations to the Government. </w:t>
            </w:r>
          </w:p>
        </w:tc>
      </w:tr>
      <w:tr w:rsidR="009821AC" w:rsidRPr="00DF0B50" w14:paraId="6AAC88AA" w14:textId="77777777">
        <w:trPr>
          <w:trHeight w:val="1450"/>
        </w:trPr>
        <w:tc>
          <w:tcPr>
            <w:tcW w:w="4508" w:type="dxa"/>
            <w:hideMark/>
          </w:tcPr>
          <w:p w14:paraId="327D5B00" w14:textId="77777777" w:rsidR="009821AC" w:rsidRPr="00DF0B50" w:rsidRDefault="009821AC">
            <w:pPr>
              <w:rPr>
                <w:color w:val="000000" w:themeColor="text1"/>
                <w:sz w:val="21"/>
              </w:rPr>
            </w:pPr>
            <w:r w:rsidRPr="00DF0B50">
              <w:rPr>
                <w:color w:val="000000" w:themeColor="text1"/>
                <w:sz w:val="21"/>
              </w:rPr>
              <w:t xml:space="preserve">IHACPA AN-ACC Pricing Studies </w:t>
            </w:r>
          </w:p>
        </w:tc>
        <w:tc>
          <w:tcPr>
            <w:tcW w:w="4508" w:type="dxa"/>
            <w:hideMark/>
          </w:tcPr>
          <w:p w14:paraId="0E18DB95" w14:textId="77777777" w:rsidR="009821AC" w:rsidRPr="00DF0B50" w:rsidRDefault="009821AC">
            <w:pPr>
              <w:rPr>
                <w:color w:val="000000" w:themeColor="text1"/>
                <w:sz w:val="21"/>
              </w:rPr>
            </w:pPr>
            <w:r w:rsidRPr="00DF0B50">
              <w:rPr>
                <w:color w:val="000000" w:themeColor="text1"/>
                <w:sz w:val="21"/>
              </w:rPr>
              <w:t>IHACPA’s independent pricing advice reflects costing studies and analysis of financial data reported by providers. IHACPA may also make recommendations regarding adjustments to the NWAU values (weightings), including the weightings that apply to specialised BCTs, to ensure specialised BCT funding reflects the actual costs of delivering specialised care.</w:t>
            </w:r>
          </w:p>
        </w:tc>
      </w:tr>
      <w:tr w:rsidR="009821AC" w:rsidRPr="00DF0B50" w14:paraId="4183FEFD" w14:textId="77777777">
        <w:trPr>
          <w:trHeight w:val="1160"/>
        </w:trPr>
        <w:tc>
          <w:tcPr>
            <w:tcW w:w="4508" w:type="dxa"/>
            <w:hideMark/>
          </w:tcPr>
          <w:p w14:paraId="7803E208" w14:textId="77777777" w:rsidR="009821AC" w:rsidRPr="00DF0B50" w:rsidRDefault="009821AC">
            <w:pPr>
              <w:rPr>
                <w:color w:val="000000" w:themeColor="text1"/>
                <w:sz w:val="21"/>
              </w:rPr>
            </w:pPr>
            <w:r w:rsidRPr="00DF0B50">
              <w:rPr>
                <w:color w:val="000000" w:themeColor="text1"/>
                <w:sz w:val="21"/>
              </w:rPr>
              <w:t>Modified Monash model (MM)</w:t>
            </w:r>
          </w:p>
        </w:tc>
        <w:tc>
          <w:tcPr>
            <w:tcW w:w="4508" w:type="dxa"/>
            <w:hideMark/>
          </w:tcPr>
          <w:p w14:paraId="48034BE9" w14:textId="77777777" w:rsidR="009821AC" w:rsidRPr="00DF0B50" w:rsidRDefault="009821AC">
            <w:pPr>
              <w:rPr>
                <w:color w:val="000000" w:themeColor="text1"/>
                <w:sz w:val="21"/>
              </w:rPr>
            </w:pPr>
            <w:r w:rsidRPr="00DF0B50">
              <w:rPr>
                <w:color w:val="000000" w:themeColor="text1"/>
                <w:sz w:val="21"/>
              </w:rPr>
              <w:t>The Modified Monash model (MM) is a measure of remoteness and population size used by the department to define whether a location is city, rural, remote, or very remote. Locations are categorised from MM 1 to MM 7, with MM 1 denoting a major city and MM 7 a very remote location.</w:t>
            </w:r>
          </w:p>
        </w:tc>
      </w:tr>
      <w:tr w:rsidR="009821AC" w:rsidRPr="00DF0B50" w14:paraId="29CB60EF" w14:textId="77777777">
        <w:trPr>
          <w:trHeight w:val="290"/>
        </w:trPr>
        <w:tc>
          <w:tcPr>
            <w:tcW w:w="4508" w:type="dxa"/>
            <w:hideMark/>
          </w:tcPr>
          <w:p w14:paraId="7FDA057A" w14:textId="77777777" w:rsidR="009821AC" w:rsidRPr="00DF0B50" w:rsidRDefault="009821AC">
            <w:pPr>
              <w:rPr>
                <w:color w:val="000000" w:themeColor="text1"/>
                <w:sz w:val="21"/>
              </w:rPr>
            </w:pPr>
            <w:r w:rsidRPr="00DF0B50">
              <w:rPr>
                <w:color w:val="000000" w:themeColor="text1"/>
                <w:sz w:val="21"/>
              </w:rPr>
              <w:t>My Aged Care</w:t>
            </w:r>
          </w:p>
        </w:tc>
        <w:tc>
          <w:tcPr>
            <w:tcW w:w="4508" w:type="dxa"/>
            <w:hideMark/>
          </w:tcPr>
          <w:p w14:paraId="6A1103CB" w14:textId="77777777" w:rsidR="009821AC" w:rsidRPr="00DF0B50" w:rsidRDefault="009821AC">
            <w:pPr>
              <w:rPr>
                <w:color w:val="000000" w:themeColor="text1"/>
                <w:sz w:val="21"/>
              </w:rPr>
            </w:pPr>
            <w:r w:rsidRPr="00DF0B50">
              <w:rPr>
                <w:color w:val="000000" w:themeColor="text1"/>
                <w:sz w:val="21"/>
              </w:rPr>
              <w:t xml:space="preserve">My Aged Care is the official website to access information and services for aged care. </w:t>
            </w:r>
          </w:p>
        </w:tc>
      </w:tr>
      <w:tr w:rsidR="009821AC" w:rsidRPr="00DF0B50" w14:paraId="1E67665E" w14:textId="77777777">
        <w:trPr>
          <w:trHeight w:val="870"/>
        </w:trPr>
        <w:tc>
          <w:tcPr>
            <w:tcW w:w="4508" w:type="dxa"/>
            <w:hideMark/>
          </w:tcPr>
          <w:p w14:paraId="7A5270A9" w14:textId="77777777" w:rsidR="009821AC" w:rsidRPr="00DF0B50" w:rsidRDefault="009821AC">
            <w:pPr>
              <w:rPr>
                <w:color w:val="000000" w:themeColor="text1"/>
                <w:sz w:val="21"/>
              </w:rPr>
            </w:pPr>
            <w:r w:rsidRPr="00DF0B50">
              <w:rPr>
                <w:color w:val="000000" w:themeColor="text1"/>
                <w:sz w:val="21"/>
              </w:rPr>
              <w:t>National Aged Care Advisory Council (NACAC)</w:t>
            </w:r>
          </w:p>
        </w:tc>
        <w:tc>
          <w:tcPr>
            <w:tcW w:w="4508" w:type="dxa"/>
            <w:hideMark/>
          </w:tcPr>
          <w:p w14:paraId="47B8FA4E" w14:textId="77777777" w:rsidR="009821AC" w:rsidRPr="00DF0B50" w:rsidRDefault="009821AC">
            <w:pPr>
              <w:rPr>
                <w:color w:val="000000" w:themeColor="text1"/>
                <w:sz w:val="21"/>
              </w:rPr>
            </w:pPr>
            <w:r w:rsidRPr="00DF0B50">
              <w:rPr>
                <w:color w:val="000000" w:themeColor="text1"/>
                <w:sz w:val="21"/>
              </w:rPr>
              <w:t xml:space="preserve">The NACAC provides expert advice to government on key matters relating to the aged care sector. </w:t>
            </w:r>
          </w:p>
        </w:tc>
      </w:tr>
      <w:tr w:rsidR="009821AC" w:rsidRPr="00DF0B50" w14:paraId="03D6CC22" w14:textId="77777777">
        <w:trPr>
          <w:trHeight w:val="1450"/>
        </w:trPr>
        <w:tc>
          <w:tcPr>
            <w:tcW w:w="4508" w:type="dxa"/>
            <w:hideMark/>
          </w:tcPr>
          <w:p w14:paraId="7FCEEA6D" w14:textId="77777777" w:rsidR="009821AC" w:rsidRPr="00DF0B50" w:rsidRDefault="009821AC">
            <w:pPr>
              <w:rPr>
                <w:color w:val="000000" w:themeColor="text1"/>
                <w:sz w:val="21"/>
              </w:rPr>
            </w:pPr>
            <w:r w:rsidRPr="00DF0B50">
              <w:rPr>
                <w:color w:val="000000" w:themeColor="text1"/>
                <w:sz w:val="21"/>
              </w:rPr>
              <w:t>National Aged Care Mandatory Quality Indicator Program</w:t>
            </w:r>
          </w:p>
        </w:tc>
        <w:tc>
          <w:tcPr>
            <w:tcW w:w="4508" w:type="dxa"/>
            <w:hideMark/>
          </w:tcPr>
          <w:p w14:paraId="40046656" w14:textId="77777777" w:rsidR="009821AC" w:rsidRPr="00DF0B50" w:rsidRDefault="009821AC">
            <w:pPr>
              <w:rPr>
                <w:color w:val="000000" w:themeColor="text1"/>
                <w:sz w:val="21"/>
              </w:rPr>
            </w:pPr>
            <w:r w:rsidRPr="00DF0B50">
              <w:rPr>
                <w:color w:val="000000" w:themeColor="text1"/>
                <w:sz w:val="21"/>
              </w:rPr>
              <w:t>The National Aged Care Mandatory Quality Indicator Program collects information from residential aged care services on 14 quality indicators across critical areas of care that can affect the health and wellbeing of aged care home residents. This helps to monitor and improve the quality of services for older people living in residential care.</w:t>
            </w:r>
          </w:p>
        </w:tc>
      </w:tr>
      <w:tr w:rsidR="009821AC" w:rsidRPr="00DF0B50" w14:paraId="4482FDD9" w14:textId="77777777">
        <w:trPr>
          <w:trHeight w:val="870"/>
        </w:trPr>
        <w:tc>
          <w:tcPr>
            <w:tcW w:w="4508" w:type="dxa"/>
            <w:hideMark/>
          </w:tcPr>
          <w:p w14:paraId="6261F47D" w14:textId="77777777" w:rsidR="009821AC" w:rsidRPr="00DF0B50" w:rsidRDefault="009821AC">
            <w:pPr>
              <w:rPr>
                <w:color w:val="000000" w:themeColor="text1"/>
                <w:sz w:val="21"/>
              </w:rPr>
            </w:pPr>
            <w:r w:rsidRPr="00DF0B50">
              <w:rPr>
                <w:color w:val="000000" w:themeColor="text1"/>
                <w:sz w:val="21"/>
              </w:rPr>
              <w:t xml:space="preserve">National Weighted Activity Units (NWAU) </w:t>
            </w:r>
          </w:p>
        </w:tc>
        <w:tc>
          <w:tcPr>
            <w:tcW w:w="4508" w:type="dxa"/>
            <w:hideMark/>
          </w:tcPr>
          <w:p w14:paraId="62ED4BD4" w14:textId="77777777" w:rsidR="009821AC" w:rsidRPr="00DF0B50" w:rsidRDefault="009821AC">
            <w:pPr>
              <w:rPr>
                <w:color w:val="000000" w:themeColor="text1"/>
                <w:sz w:val="21"/>
              </w:rPr>
            </w:pPr>
            <w:r w:rsidRPr="00DF0B50">
              <w:rPr>
                <w:color w:val="000000" w:themeColor="text1"/>
                <w:sz w:val="21"/>
              </w:rPr>
              <w:t>The AN-ACC applies weightings or NWAU’s to the AN-ACC price. The NWAU is a measure of a care service activity expressed as a common unit. The AN-ACC price is the price of a unit of care, or 1.00 NWAU.</w:t>
            </w:r>
          </w:p>
        </w:tc>
      </w:tr>
      <w:tr w:rsidR="009821AC" w:rsidRPr="00DF0B50" w14:paraId="09D96F76" w14:textId="77777777">
        <w:trPr>
          <w:trHeight w:val="580"/>
        </w:trPr>
        <w:tc>
          <w:tcPr>
            <w:tcW w:w="4508" w:type="dxa"/>
            <w:hideMark/>
          </w:tcPr>
          <w:p w14:paraId="70515501" w14:textId="77777777" w:rsidR="009821AC" w:rsidRPr="00DF0B50" w:rsidRDefault="009821AC">
            <w:pPr>
              <w:rPr>
                <w:color w:val="000000" w:themeColor="text1"/>
                <w:sz w:val="21"/>
              </w:rPr>
            </w:pPr>
            <w:r w:rsidRPr="00DF0B50">
              <w:rPr>
                <w:color w:val="000000" w:themeColor="text1"/>
                <w:sz w:val="21"/>
              </w:rPr>
              <w:t>Operational bed</w:t>
            </w:r>
          </w:p>
        </w:tc>
        <w:tc>
          <w:tcPr>
            <w:tcW w:w="4508" w:type="dxa"/>
            <w:hideMark/>
          </w:tcPr>
          <w:p w14:paraId="7B370C22" w14:textId="77777777" w:rsidR="009821AC" w:rsidRPr="00DF0B50" w:rsidRDefault="009821AC">
            <w:pPr>
              <w:rPr>
                <w:color w:val="000000" w:themeColor="text1"/>
                <w:sz w:val="21"/>
              </w:rPr>
            </w:pPr>
            <w:r w:rsidRPr="00DF0B50">
              <w:rPr>
                <w:color w:val="000000" w:themeColor="text1"/>
                <w:sz w:val="21"/>
              </w:rPr>
              <w:t>Operational bed refers to a residential care place that was allocated to a provider and has since become available for a person to receive care.</w:t>
            </w:r>
          </w:p>
        </w:tc>
      </w:tr>
      <w:tr w:rsidR="0016348A" w:rsidRPr="00DF0B50" w14:paraId="52A18564" w14:textId="77777777">
        <w:trPr>
          <w:trHeight w:val="580"/>
        </w:trPr>
        <w:tc>
          <w:tcPr>
            <w:tcW w:w="4508" w:type="dxa"/>
          </w:tcPr>
          <w:p w14:paraId="2F45D207" w14:textId="0D30D90C" w:rsidR="0016348A" w:rsidRPr="00DF0B50" w:rsidRDefault="00306F90">
            <w:pPr>
              <w:rPr>
                <w:color w:val="000000" w:themeColor="text1"/>
                <w:sz w:val="21"/>
              </w:rPr>
            </w:pPr>
            <w:r w:rsidRPr="00DF0B50">
              <w:rPr>
                <w:color w:val="000000" w:themeColor="text1"/>
                <w:sz w:val="21"/>
              </w:rPr>
              <w:t>Pacific Australia Mobility Scheme (</w:t>
            </w:r>
            <w:r w:rsidR="0016348A" w:rsidRPr="00DF0B50">
              <w:rPr>
                <w:color w:val="000000" w:themeColor="text1"/>
                <w:sz w:val="21"/>
              </w:rPr>
              <w:t>PALM</w:t>
            </w:r>
            <w:r w:rsidRPr="00DF0B50">
              <w:rPr>
                <w:color w:val="000000" w:themeColor="text1"/>
                <w:sz w:val="21"/>
              </w:rPr>
              <w:t xml:space="preserve">) </w:t>
            </w:r>
          </w:p>
        </w:tc>
        <w:tc>
          <w:tcPr>
            <w:tcW w:w="4508" w:type="dxa"/>
          </w:tcPr>
          <w:p w14:paraId="24971230" w14:textId="140D8A82" w:rsidR="0016348A" w:rsidRPr="00DF0B50" w:rsidRDefault="00306F90">
            <w:pPr>
              <w:rPr>
                <w:color w:val="000000" w:themeColor="text1"/>
                <w:sz w:val="21"/>
              </w:rPr>
            </w:pPr>
            <w:r w:rsidRPr="00DF0B50">
              <w:rPr>
                <w:color w:val="000000" w:themeColor="text1"/>
                <w:sz w:val="21"/>
              </w:rPr>
              <w:t xml:space="preserve">The PALM scheme </w:t>
            </w:r>
            <w:r w:rsidR="00D9446E" w:rsidRPr="00DF0B50">
              <w:rPr>
                <w:color w:val="000000" w:themeColor="text1"/>
                <w:sz w:val="21"/>
              </w:rPr>
              <w:t>helps to fill labour gaps in rural and remote Australia</w:t>
            </w:r>
            <w:r w:rsidR="004908CC" w:rsidRPr="00DF0B50">
              <w:rPr>
                <w:color w:val="000000" w:themeColor="text1"/>
                <w:sz w:val="21"/>
              </w:rPr>
              <w:t xml:space="preserve"> by allowing eligible Australian </w:t>
            </w:r>
            <w:r w:rsidR="003A5F3D" w:rsidRPr="00DF0B50">
              <w:rPr>
                <w:color w:val="000000" w:themeColor="text1"/>
                <w:sz w:val="21"/>
              </w:rPr>
              <w:t>b</w:t>
            </w:r>
            <w:r w:rsidR="004908CC" w:rsidRPr="00DF0B50">
              <w:rPr>
                <w:color w:val="000000" w:themeColor="text1"/>
                <w:sz w:val="21"/>
              </w:rPr>
              <w:t>usiness</w:t>
            </w:r>
            <w:r w:rsidR="003A5F3D" w:rsidRPr="00DF0B50">
              <w:rPr>
                <w:color w:val="000000" w:themeColor="text1"/>
                <w:sz w:val="21"/>
              </w:rPr>
              <w:t>es</w:t>
            </w:r>
            <w:r w:rsidR="004908CC" w:rsidRPr="00DF0B50">
              <w:rPr>
                <w:color w:val="000000" w:themeColor="text1"/>
                <w:sz w:val="21"/>
              </w:rPr>
              <w:t xml:space="preserve"> </w:t>
            </w:r>
            <w:r w:rsidR="00660C94" w:rsidRPr="00DF0B50">
              <w:rPr>
                <w:color w:val="000000" w:themeColor="text1"/>
                <w:sz w:val="21"/>
              </w:rPr>
              <w:t xml:space="preserve">to hire workers from 9 </w:t>
            </w:r>
            <w:r w:rsidR="00660C94" w:rsidRPr="00DF0B50">
              <w:rPr>
                <w:color w:val="000000" w:themeColor="text1"/>
                <w:sz w:val="21"/>
              </w:rPr>
              <w:lastRenderedPageBreak/>
              <w:t>Pacific Islands and Timor-Leste when there are not enough local workers available</w:t>
            </w:r>
            <w:r w:rsidR="00967E62" w:rsidRPr="00DF0B50">
              <w:rPr>
                <w:color w:val="000000" w:themeColor="text1"/>
                <w:sz w:val="21"/>
              </w:rPr>
              <w:t>.</w:t>
            </w:r>
            <w:r w:rsidR="00660C94" w:rsidRPr="00DF0B50">
              <w:rPr>
                <w:color w:val="000000" w:themeColor="text1"/>
                <w:sz w:val="21"/>
              </w:rPr>
              <w:t xml:space="preserve"> </w:t>
            </w:r>
          </w:p>
        </w:tc>
      </w:tr>
      <w:tr w:rsidR="009821AC" w:rsidRPr="00DF0B50" w14:paraId="31868EA1" w14:textId="77777777" w:rsidTr="00851651">
        <w:trPr>
          <w:trHeight w:val="526"/>
        </w:trPr>
        <w:tc>
          <w:tcPr>
            <w:tcW w:w="4508" w:type="dxa"/>
            <w:hideMark/>
          </w:tcPr>
          <w:p w14:paraId="7595C620" w14:textId="77777777" w:rsidR="009821AC" w:rsidRPr="00DF0B50" w:rsidRDefault="009821AC">
            <w:pPr>
              <w:rPr>
                <w:color w:val="000000" w:themeColor="text1"/>
                <w:sz w:val="21"/>
              </w:rPr>
            </w:pPr>
            <w:r w:rsidRPr="00DF0B50">
              <w:rPr>
                <w:color w:val="000000" w:themeColor="text1"/>
                <w:sz w:val="21"/>
              </w:rPr>
              <w:lastRenderedPageBreak/>
              <w:t>Quarterly Financial Report (QFR)</w:t>
            </w:r>
          </w:p>
        </w:tc>
        <w:tc>
          <w:tcPr>
            <w:tcW w:w="4508" w:type="dxa"/>
            <w:hideMark/>
          </w:tcPr>
          <w:p w14:paraId="0DDEA5AD" w14:textId="77777777" w:rsidR="009821AC" w:rsidRPr="00DF0B50" w:rsidRDefault="009821AC">
            <w:pPr>
              <w:rPr>
                <w:color w:val="000000" w:themeColor="text1"/>
                <w:sz w:val="21"/>
              </w:rPr>
            </w:pPr>
            <w:r w:rsidRPr="00DF0B50">
              <w:rPr>
                <w:color w:val="000000" w:themeColor="text1"/>
                <w:sz w:val="21"/>
              </w:rPr>
              <w:t>Mandatory report by approved providers. Includes care minutes reporting.</w:t>
            </w:r>
          </w:p>
        </w:tc>
      </w:tr>
      <w:tr w:rsidR="009821AC" w:rsidRPr="00DF0B50" w14:paraId="2404A2EC" w14:textId="77777777">
        <w:trPr>
          <w:trHeight w:val="1450"/>
        </w:trPr>
        <w:tc>
          <w:tcPr>
            <w:tcW w:w="4508" w:type="dxa"/>
            <w:hideMark/>
          </w:tcPr>
          <w:p w14:paraId="121A737C" w14:textId="77777777" w:rsidR="009821AC" w:rsidRPr="00DF0B50" w:rsidRDefault="009821AC">
            <w:pPr>
              <w:rPr>
                <w:color w:val="000000" w:themeColor="text1"/>
                <w:sz w:val="21"/>
              </w:rPr>
            </w:pPr>
            <w:r w:rsidRPr="00DF0B50">
              <w:rPr>
                <w:color w:val="000000" w:themeColor="text1"/>
                <w:sz w:val="21"/>
              </w:rPr>
              <w:t>Registered residential aged care provider (provider)</w:t>
            </w:r>
          </w:p>
        </w:tc>
        <w:tc>
          <w:tcPr>
            <w:tcW w:w="4508" w:type="dxa"/>
            <w:hideMark/>
          </w:tcPr>
          <w:p w14:paraId="1BCD09FB" w14:textId="7088F70D" w:rsidR="009821AC" w:rsidRPr="00DF0B50" w:rsidRDefault="009821AC">
            <w:pPr>
              <w:rPr>
                <w:color w:val="000000" w:themeColor="text1"/>
                <w:sz w:val="21"/>
              </w:rPr>
            </w:pPr>
            <w:r w:rsidRPr="00DF0B50">
              <w:rPr>
                <w:color w:val="000000" w:themeColor="text1"/>
                <w:sz w:val="21"/>
              </w:rPr>
              <w:t>Registered residential aged care provider can receive an Australian Government subsidy under the Aged Care Act 1997 and run Australian Government-subsided approved residential aged care homes. There are currently around 750 providers tha</w:t>
            </w:r>
            <w:r w:rsidR="008508C3" w:rsidRPr="00DF0B50">
              <w:rPr>
                <w:color w:val="000000" w:themeColor="text1"/>
                <w:sz w:val="21"/>
              </w:rPr>
              <w:t>t</w:t>
            </w:r>
            <w:r w:rsidRPr="00DF0B50">
              <w:rPr>
                <w:color w:val="000000" w:themeColor="text1"/>
                <w:sz w:val="21"/>
              </w:rPr>
              <w:t xml:space="preserve"> run around 2600 services.</w:t>
            </w:r>
          </w:p>
        </w:tc>
      </w:tr>
      <w:tr w:rsidR="009821AC" w:rsidRPr="00DF0B50" w14:paraId="2D3EA3CB" w14:textId="77777777">
        <w:trPr>
          <w:trHeight w:val="870"/>
        </w:trPr>
        <w:tc>
          <w:tcPr>
            <w:tcW w:w="4508" w:type="dxa"/>
            <w:hideMark/>
          </w:tcPr>
          <w:p w14:paraId="60EB0F2D" w14:textId="77777777" w:rsidR="009821AC" w:rsidRPr="00DF0B50" w:rsidRDefault="009821AC">
            <w:pPr>
              <w:rPr>
                <w:color w:val="000000" w:themeColor="text1"/>
                <w:sz w:val="21"/>
              </w:rPr>
            </w:pPr>
            <w:r w:rsidRPr="00DF0B50">
              <w:rPr>
                <w:color w:val="000000" w:themeColor="text1"/>
                <w:sz w:val="21"/>
              </w:rPr>
              <w:t>Resident</w:t>
            </w:r>
          </w:p>
        </w:tc>
        <w:tc>
          <w:tcPr>
            <w:tcW w:w="4508" w:type="dxa"/>
            <w:hideMark/>
          </w:tcPr>
          <w:p w14:paraId="34B20A37" w14:textId="517AA0D0" w:rsidR="009821AC" w:rsidRPr="00DF0B50" w:rsidRDefault="009821AC">
            <w:pPr>
              <w:rPr>
                <w:color w:val="000000" w:themeColor="text1"/>
                <w:sz w:val="21"/>
              </w:rPr>
            </w:pPr>
            <w:r w:rsidRPr="00DF0B50">
              <w:rPr>
                <w:color w:val="000000" w:themeColor="text1"/>
                <w:sz w:val="21"/>
              </w:rPr>
              <w:t xml:space="preserve">A person receiving accommodation and personal care 24 hours a day in an approved residential aged care </w:t>
            </w:r>
            <w:r w:rsidR="008508C3" w:rsidRPr="00DF0B50">
              <w:rPr>
                <w:color w:val="000000" w:themeColor="text1"/>
                <w:sz w:val="21"/>
              </w:rPr>
              <w:t>hom</w:t>
            </w:r>
            <w:r w:rsidRPr="00DF0B50">
              <w:rPr>
                <w:color w:val="000000" w:themeColor="text1"/>
                <w:sz w:val="21"/>
              </w:rPr>
              <w:t>e. Residents also receive access to nursing and general health care services.</w:t>
            </w:r>
          </w:p>
        </w:tc>
      </w:tr>
      <w:tr w:rsidR="009821AC" w:rsidRPr="00DF0B50" w14:paraId="7004D116" w14:textId="77777777" w:rsidTr="004A469D">
        <w:trPr>
          <w:trHeight w:val="563"/>
        </w:trPr>
        <w:tc>
          <w:tcPr>
            <w:tcW w:w="4508" w:type="dxa"/>
            <w:hideMark/>
          </w:tcPr>
          <w:p w14:paraId="571E64FB" w14:textId="77777777" w:rsidR="009821AC" w:rsidRPr="00DF0B50" w:rsidRDefault="009821AC">
            <w:pPr>
              <w:rPr>
                <w:color w:val="000000" w:themeColor="text1"/>
                <w:sz w:val="21"/>
              </w:rPr>
            </w:pPr>
            <w:r w:rsidRPr="00DF0B50">
              <w:rPr>
                <w:color w:val="000000" w:themeColor="text1"/>
                <w:sz w:val="21"/>
              </w:rPr>
              <w:t xml:space="preserve">Residents’ Experience Survey and the Aged Care Provider Survey </w:t>
            </w:r>
          </w:p>
        </w:tc>
        <w:tc>
          <w:tcPr>
            <w:tcW w:w="4508" w:type="dxa"/>
            <w:hideMark/>
          </w:tcPr>
          <w:p w14:paraId="4414E0E7" w14:textId="68782566" w:rsidR="009821AC" w:rsidRPr="00DF0B50" w:rsidRDefault="009821AC">
            <w:pPr>
              <w:rPr>
                <w:color w:val="000000" w:themeColor="text1"/>
                <w:sz w:val="21"/>
              </w:rPr>
            </w:pPr>
            <w:r w:rsidRPr="00DF0B50">
              <w:rPr>
                <w:color w:val="000000" w:themeColor="text1"/>
                <w:sz w:val="21"/>
              </w:rPr>
              <w:t xml:space="preserve">The Residents’ Experience Survey (formerly known as the Consumer Experience Interviews) enables aged care residents to advise the </w:t>
            </w:r>
            <w:r w:rsidR="00981382" w:rsidRPr="00DF0B50">
              <w:rPr>
                <w:color w:val="000000" w:themeColor="text1"/>
                <w:sz w:val="21"/>
              </w:rPr>
              <w:t>d</w:t>
            </w:r>
            <w:r w:rsidRPr="00DF0B50">
              <w:rPr>
                <w:color w:val="000000" w:themeColor="text1"/>
                <w:sz w:val="21"/>
              </w:rPr>
              <w:t>epartment about the quality of their aged care.</w:t>
            </w:r>
          </w:p>
        </w:tc>
      </w:tr>
      <w:tr w:rsidR="009821AC" w:rsidRPr="00DF0B50" w14:paraId="16360037" w14:textId="77777777">
        <w:trPr>
          <w:trHeight w:val="870"/>
        </w:trPr>
        <w:tc>
          <w:tcPr>
            <w:tcW w:w="4508" w:type="dxa"/>
            <w:hideMark/>
          </w:tcPr>
          <w:p w14:paraId="03D62AAA" w14:textId="77777777" w:rsidR="009821AC" w:rsidRPr="00DF0B50" w:rsidRDefault="009821AC">
            <w:pPr>
              <w:rPr>
                <w:color w:val="000000" w:themeColor="text1"/>
                <w:sz w:val="21"/>
              </w:rPr>
            </w:pPr>
            <w:r w:rsidRPr="00DF0B50">
              <w:rPr>
                <w:color w:val="000000" w:themeColor="text1"/>
                <w:sz w:val="21"/>
              </w:rPr>
              <w:t xml:space="preserve">Residential Aged Care Funding Reform Working Group </w:t>
            </w:r>
          </w:p>
        </w:tc>
        <w:tc>
          <w:tcPr>
            <w:tcW w:w="4508" w:type="dxa"/>
            <w:hideMark/>
          </w:tcPr>
          <w:p w14:paraId="4A2F5E00" w14:textId="77777777" w:rsidR="009821AC" w:rsidRPr="00DF0B50" w:rsidRDefault="009821AC">
            <w:pPr>
              <w:rPr>
                <w:color w:val="000000" w:themeColor="text1"/>
                <w:sz w:val="21"/>
              </w:rPr>
            </w:pPr>
            <w:r w:rsidRPr="00DF0B50">
              <w:rPr>
                <w:color w:val="000000" w:themeColor="text1"/>
                <w:sz w:val="21"/>
              </w:rPr>
              <w:t xml:space="preserve">The Residential Aged Care Funding Reform Working Group advises the department on issues related to reform of the residential aged care funding system, including the AN-ACC, care minutes and the 24/7 RN responsibility. </w:t>
            </w:r>
          </w:p>
        </w:tc>
      </w:tr>
      <w:tr w:rsidR="009821AC" w:rsidRPr="00DF0B50" w14:paraId="77CDC3CF" w14:textId="77777777">
        <w:trPr>
          <w:trHeight w:val="870"/>
        </w:trPr>
        <w:tc>
          <w:tcPr>
            <w:tcW w:w="4508" w:type="dxa"/>
            <w:hideMark/>
          </w:tcPr>
          <w:p w14:paraId="30B30C22" w14:textId="77777777" w:rsidR="009821AC" w:rsidRPr="00DF0B50" w:rsidRDefault="009821AC">
            <w:pPr>
              <w:rPr>
                <w:color w:val="000000" w:themeColor="text1"/>
                <w:sz w:val="21"/>
              </w:rPr>
            </w:pPr>
            <w:r w:rsidRPr="00DF0B50">
              <w:rPr>
                <w:color w:val="000000" w:themeColor="text1"/>
                <w:sz w:val="21"/>
              </w:rPr>
              <w:t>Royal Commission into Aged Care Quality and Safety report</w:t>
            </w:r>
          </w:p>
        </w:tc>
        <w:tc>
          <w:tcPr>
            <w:tcW w:w="4508" w:type="dxa"/>
            <w:hideMark/>
          </w:tcPr>
          <w:p w14:paraId="5FE53922" w14:textId="77777777" w:rsidR="009821AC" w:rsidRPr="00DF0B50" w:rsidRDefault="009821AC">
            <w:pPr>
              <w:rPr>
                <w:color w:val="000000" w:themeColor="text1"/>
                <w:sz w:val="21"/>
              </w:rPr>
            </w:pPr>
            <w:r w:rsidRPr="00DF0B50">
              <w:rPr>
                <w:color w:val="000000" w:themeColor="text1"/>
                <w:sz w:val="21"/>
              </w:rPr>
              <w:t>Report on aged care tabled on 1 March 2021. AN-ACC was implemented in response to recommendations in this report.</w:t>
            </w:r>
          </w:p>
        </w:tc>
      </w:tr>
      <w:tr w:rsidR="009821AC" w:rsidRPr="00DF0B50" w14:paraId="5D127503" w14:textId="77777777">
        <w:trPr>
          <w:trHeight w:val="1740"/>
        </w:trPr>
        <w:tc>
          <w:tcPr>
            <w:tcW w:w="4508" w:type="dxa"/>
            <w:hideMark/>
          </w:tcPr>
          <w:p w14:paraId="2BDDE312" w14:textId="77777777" w:rsidR="009821AC" w:rsidRPr="00DF0B50" w:rsidRDefault="009821AC">
            <w:pPr>
              <w:rPr>
                <w:color w:val="000000" w:themeColor="text1"/>
                <w:sz w:val="21"/>
              </w:rPr>
            </w:pPr>
            <w:r w:rsidRPr="00DF0B50">
              <w:rPr>
                <w:color w:val="000000" w:themeColor="text1"/>
                <w:sz w:val="21"/>
              </w:rPr>
              <w:t xml:space="preserve">Sector-level care minutes dashboard </w:t>
            </w:r>
          </w:p>
        </w:tc>
        <w:tc>
          <w:tcPr>
            <w:tcW w:w="4508" w:type="dxa"/>
            <w:hideMark/>
          </w:tcPr>
          <w:p w14:paraId="7A5D0194" w14:textId="77777777" w:rsidR="009821AC" w:rsidRPr="00DF0B50" w:rsidRDefault="009821AC">
            <w:pPr>
              <w:rPr>
                <w:color w:val="000000" w:themeColor="text1"/>
                <w:sz w:val="21"/>
              </w:rPr>
            </w:pPr>
            <w:r w:rsidRPr="00DF0B50">
              <w:rPr>
                <w:color w:val="000000" w:themeColor="text1"/>
                <w:sz w:val="21"/>
              </w:rPr>
              <w:t>A sector-level care minutes dashboard is published on the department’s website and updated quarterly. The dashboard provides information on the residential aged care sector’s performance in relation to care minutes delivered compared to the sector average targets and the percentage of homes that meet their targets. This dashboard also provides information on compliance in different regions and by providers of different ownership types.</w:t>
            </w:r>
          </w:p>
        </w:tc>
      </w:tr>
      <w:tr w:rsidR="009821AC" w:rsidRPr="00DF0B50" w14:paraId="64B8BAD0" w14:textId="77777777">
        <w:trPr>
          <w:trHeight w:val="870"/>
        </w:trPr>
        <w:tc>
          <w:tcPr>
            <w:tcW w:w="4508" w:type="dxa"/>
            <w:hideMark/>
          </w:tcPr>
          <w:p w14:paraId="281FE3CF" w14:textId="77777777" w:rsidR="009821AC" w:rsidRPr="00DF0B50" w:rsidRDefault="009821AC">
            <w:pPr>
              <w:rPr>
                <w:color w:val="000000" w:themeColor="text1"/>
                <w:sz w:val="21"/>
              </w:rPr>
            </w:pPr>
            <w:r w:rsidRPr="00DF0B50">
              <w:rPr>
                <w:color w:val="000000" w:themeColor="text1"/>
                <w:sz w:val="21"/>
              </w:rPr>
              <w:t>Services Australia</w:t>
            </w:r>
          </w:p>
        </w:tc>
        <w:tc>
          <w:tcPr>
            <w:tcW w:w="4508" w:type="dxa"/>
            <w:hideMark/>
          </w:tcPr>
          <w:p w14:paraId="6A734F5E" w14:textId="4E832A69" w:rsidR="009821AC" w:rsidRPr="00DF0B50" w:rsidRDefault="009821AC">
            <w:pPr>
              <w:rPr>
                <w:color w:val="000000" w:themeColor="text1"/>
                <w:sz w:val="21"/>
              </w:rPr>
            </w:pPr>
            <w:r w:rsidRPr="00DF0B50">
              <w:rPr>
                <w:color w:val="000000" w:themeColor="text1"/>
                <w:sz w:val="21"/>
              </w:rPr>
              <w:t xml:space="preserve">Services Australia is a Government agency responsible for </w:t>
            </w:r>
            <w:r w:rsidR="00B83FC8" w:rsidRPr="00DF0B50">
              <w:rPr>
                <w:color w:val="000000" w:themeColor="text1"/>
                <w:sz w:val="21"/>
              </w:rPr>
              <w:t xml:space="preserve">the </w:t>
            </w:r>
            <w:r w:rsidRPr="00DF0B50">
              <w:rPr>
                <w:color w:val="000000" w:themeColor="text1"/>
                <w:sz w:val="21"/>
              </w:rPr>
              <w:t xml:space="preserve">AN-ACC payment and claims IT system – the Service Australia Aged Care Provider Portal. </w:t>
            </w:r>
          </w:p>
        </w:tc>
      </w:tr>
      <w:tr w:rsidR="009821AC" w:rsidRPr="00DF0B50" w14:paraId="5870B305" w14:textId="77777777">
        <w:trPr>
          <w:trHeight w:val="1160"/>
        </w:trPr>
        <w:tc>
          <w:tcPr>
            <w:tcW w:w="4508" w:type="dxa"/>
            <w:hideMark/>
          </w:tcPr>
          <w:p w14:paraId="1DE3AC75" w14:textId="77777777" w:rsidR="009821AC" w:rsidRPr="00DF0B50" w:rsidRDefault="009821AC">
            <w:pPr>
              <w:rPr>
                <w:color w:val="000000" w:themeColor="text1"/>
                <w:sz w:val="21"/>
              </w:rPr>
            </w:pPr>
            <w:r w:rsidRPr="00DF0B50">
              <w:rPr>
                <w:color w:val="000000" w:themeColor="text1"/>
                <w:sz w:val="21"/>
              </w:rPr>
              <w:t>Star Ratings</w:t>
            </w:r>
          </w:p>
        </w:tc>
        <w:tc>
          <w:tcPr>
            <w:tcW w:w="4508" w:type="dxa"/>
            <w:hideMark/>
          </w:tcPr>
          <w:p w14:paraId="425BD7C0" w14:textId="31A09D12" w:rsidR="009821AC" w:rsidRPr="00DF0B50" w:rsidRDefault="009821AC">
            <w:pPr>
              <w:rPr>
                <w:color w:val="000000" w:themeColor="text1"/>
                <w:sz w:val="21"/>
              </w:rPr>
            </w:pPr>
            <w:r w:rsidRPr="00DF0B50">
              <w:rPr>
                <w:color w:val="000000" w:themeColor="text1"/>
                <w:sz w:val="21"/>
              </w:rPr>
              <w:t>Star Ratings helps older people</w:t>
            </w:r>
            <w:r w:rsidR="3E90D141" w:rsidRPr="00DF0B50">
              <w:rPr>
                <w:color w:val="000000" w:themeColor="text1"/>
                <w:sz w:val="21"/>
              </w:rPr>
              <w:t>;</w:t>
            </w:r>
            <w:r w:rsidRPr="00DF0B50">
              <w:rPr>
                <w:color w:val="000000" w:themeColor="text1"/>
                <w:sz w:val="21"/>
              </w:rPr>
              <w:t xml:space="preserve"> their families and carers compare the quality of aged care homes. Each aged care home receives an Overall Star Rating and a rating against 4 sub-categories: 1.</w:t>
            </w:r>
            <w:r w:rsidR="29E49DB9" w:rsidRPr="00DF0B50">
              <w:rPr>
                <w:color w:val="000000" w:themeColor="text1"/>
                <w:sz w:val="21"/>
              </w:rPr>
              <w:t xml:space="preserve"> </w:t>
            </w:r>
            <w:r w:rsidRPr="00DF0B50">
              <w:rPr>
                <w:color w:val="000000" w:themeColor="text1"/>
                <w:sz w:val="21"/>
              </w:rPr>
              <w:t>Residents’ Experience; 2. Compliance; 3. Staffing; and 4. Quality Measures</w:t>
            </w:r>
            <w:r w:rsidR="00816F75" w:rsidRPr="00DF0B50">
              <w:rPr>
                <w:color w:val="000000" w:themeColor="text1"/>
                <w:sz w:val="21"/>
              </w:rPr>
              <w:t>.</w:t>
            </w:r>
            <w:r w:rsidRPr="00DF0B50">
              <w:rPr>
                <w:color w:val="000000" w:themeColor="text1"/>
                <w:sz w:val="21"/>
              </w:rPr>
              <w:t xml:space="preserve"> </w:t>
            </w:r>
          </w:p>
        </w:tc>
      </w:tr>
      <w:tr w:rsidR="0039575B" w:rsidRPr="00DF0B50" w14:paraId="7927FC7F" w14:textId="77777777">
        <w:trPr>
          <w:trHeight w:val="1160"/>
        </w:trPr>
        <w:tc>
          <w:tcPr>
            <w:tcW w:w="4508" w:type="dxa"/>
          </w:tcPr>
          <w:p w14:paraId="7BC1D529" w14:textId="309A599C" w:rsidR="0039575B" w:rsidRPr="00DF0B50" w:rsidRDefault="0039575B">
            <w:pPr>
              <w:rPr>
                <w:color w:val="000000" w:themeColor="text1"/>
                <w:sz w:val="21"/>
              </w:rPr>
            </w:pPr>
            <w:r w:rsidRPr="00DF0B50">
              <w:rPr>
                <w:color w:val="000000" w:themeColor="text1"/>
                <w:sz w:val="21"/>
              </w:rPr>
              <w:lastRenderedPageBreak/>
              <w:t>Strategy and First Nations Group (SFN)</w:t>
            </w:r>
          </w:p>
        </w:tc>
        <w:tc>
          <w:tcPr>
            <w:tcW w:w="4508" w:type="dxa"/>
          </w:tcPr>
          <w:p w14:paraId="561B8772" w14:textId="409FD09E" w:rsidR="0039575B" w:rsidRPr="00DF0B50" w:rsidRDefault="0039575B">
            <w:pPr>
              <w:rPr>
                <w:color w:val="000000" w:themeColor="text1"/>
                <w:sz w:val="21"/>
              </w:rPr>
            </w:pPr>
            <w:r w:rsidRPr="00DF0B50">
              <w:rPr>
                <w:color w:val="000000" w:themeColor="text1"/>
                <w:sz w:val="21"/>
              </w:rPr>
              <w:t xml:space="preserve">Strategy and First Nations Group (SFN) </w:t>
            </w:r>
            <w:r w:rsidR="009E6472" w:rsidRPr="00DF0B50">
              <w:rPr>
                <w:color w:val="000000" w:themeColor="text1"/>
                <w:sz w:val="21"/>
              </w:rPr>
              <w:t>is an internal advisory Group within the Department of Health</w:t>
            </w:r>
            <w:r w:rsidR="000F3F46" w:rsidRPr="00DF0B50">
              <w:rPr>
                <w:color w:val="000000" w:themeColor="text1"/>
                <w:sz w:val="21"/>
              </w:rPr>
              <w:t xml:space="preserve">, Disability and Ageing </w:t>
            </w:r>
            <w:r w:rsidRPr="00DF0B50">
              <w:rPr>
                <w:color w:val="000000" w:themeColor="text1"/>
                <w:sz w:val="21"/>
              </w:rPr>
              <w:t>which oversees strategic policy and relations, health economics</w:t>
            </w:r>
            <w:r w:rsidR="00BD6888" w:rsidRPr="00DF0B50">
              <w:rPr>
                <w:color w:val="000000" w:themeColor="text1"/>
                <w:sz w:val="21"/>
              </w:rPr>
              <w:t>,</w:t>
            </w:r>
            <w:r w:rsidRPr="00DF0B50">
              <w:rPr>
                <w:color w:val="000000" w:themeColor="text1"/>
                <w:sz w:val="21"/>
              </w:rPr>
              <w:t xml:space="preserve"> research and First Nations health</w:t>
            </w:r>
            <w:r w:rsidR="00D165FF" w:rsidRPr="00DF0B50">
              <w:rPr>
                <w:color w:val="000000" w:themeColor="text1"/>
                <w:sz w:val="21"/>
              </w:rPr>
              <w:t>.</w:t>
            </w:r>
          </w:p>
        </w:tc>
      </w:tr>
    </w:tbl>
    <w:p w14:paraId="7690B196" w14:textId="77777777" w:rsidR="009821AC" w:rsidRPr="00DF0B50" w:rsidRDefault="009821AC" w:rsidP="009821AC">
      <w:pPr>
        <w:rPr>
          <w:color w:val="000000" w:themeColor="text1"/>
          <w:sz w:val="21"/>
        </w:rPr>
      </w:pPr>
    </w:p>
    <w:p w14:paraId="27F9C17A" w14:textId="77777777" w:rsidR="009821AC" w:rsidRPr="00DF0B50" w:rsidRDefault="009821AC" w:rsidP="009821AC">
      <w:pPr>
        <w:rPr>
          <w:color w:val="000000" w:themeColor="text1"/>
          <w:sz w:val="21"/>
        </w:rPr>
      </w:pPr>
      <w:r w:rsidRPr="00DF0B50">
        <w:rPr>
          <w:color w:val="000000" w:themeColor="text1"/>
          <w:sz w:val="21"/>
        </w:rPr>
        <w:br w:type="page"/>
      </w:r>
    </w:p>
    <w:p w14:paraId="33803412" w14:textId="42F3CD1B" w:rsidR="009821AC" w:rsidRDefault="009821AC" w:rsidP="009821AC">
      <w:pPr>
        <w:pStyle w:val="Heading1"/>
      </w:pPr>
      <w:bookmarkStart w:id="99" w:name="_Toc205802682"/>
      <w:bookmarkStart w:id="100" w:name="_Toc203639532"/>
      <w:bookmarkStart w:id="101" w:name="_Toc207014410"/>
      <w:r>
        <w:lastRenderedPageBreak/>
        <w:t>Appendix E – Abbreviations</w:t>
      </w:r>
      <w:bookmarkEnd w:id="99"/>
      <w:bookmarkEnd w:id="100"/>
      <w:bookmarkEnd w:id="101"/>
      <w:r>
        <w:t xml:space="preserve"> </w:t>
      </w:r>
    </w:p>
    <w:tbl>
      <w:tblPr>
        <w:tblStyle w:val="TableGrid"/>
        <w:tblW w:w="9776" w:type="dxa"/>
        <w:tblLook w:val="04A0" w:firstRow="1" w:lastRow="0" w:firstColumn="1" w:lastColumn="0" w:noHBand="0" w:noVBand="1"/>
      </w:tblPr>
      <w:tblGrid>
        <w:gridCol w:w="4508"/>
        <w:gridCol w:w="5268"/>
      </w:tblGrid>
      <w:tr w:rsidR="009821AC" w:rsidRPr="00437FF9" w14:paraId="1BB32165" w14:textId="77777777">
        <w:tc>
          <w:tcPr>
            <w:tcW w:w="4508" w:type="dxa"/>
          </w:tcPr>
          <w:p w14:paraId="585A6CB5" w14:textId="77777777" w:rsidR="009821AC" w:rsidRPr="00437FF9" w:rsidRDefault="009821AC">
            <w:pPr>
              <w:rPr>
                <w:rFonts w:cs="Arial"/>
                <w:sz w:val="21"/>
                <w:szCs w:val="21"/>
              </w:rPr>
            </w:pPr>
            <w:r w:rsidRPr="00437FF9">
              <w:rPr>
                <w:rFonts w:cs="Arial"/>
                <w:sz w:val="21"/>
                <w:szCs w:val="21"/>
              </w:rPr>
              <w:t>Abbreviation</w:t>
            </w:r>
          </w:p>
        </w:tc>
        <w:tc>
          <w:tcPr>
            <w:tcW w:w="5268" w:type="dxa"/>
          </w:tcPr>
          <w:p w14:paraId="20093140" w14:textId="77777777" w:rsidR="009821AC" w:rsidRPr="00437FF9" w:rsidRDefault="009821AC">
            <w:pPr>
              <w:rPr>
                <w:rFonts w:cs="Arial"/>
                <w:sz w:val="21"/>
                <w:szCs w:val="21"/>
              </w:rPr>
            </w:pPr>
            <w:r w:rsidRPr="00437FF9">
              <w:rPr>
                <w:rFonts w:cs="Arial"/>
                <w:sz w:val="21"/>
                <w:szCs w:val="21"/>
              </w:rPr>
              <w:t>Name</w:t>
            </w:r>
          </w:p>
        </w:tc>
      </w:tr>
      <w:tr w:rsidR="009821AC" w:rsidRPr="00437FF9" w14:paraId="3AF86C64" w14:textId="77777777">
        <w:tc>
          <w:tcPr>
            <w:tcW w:w="4508" w:type="dxa"/>
            <w:vAlign w:val="bottom"/>
          </w:tcPr>
          <w:p w14:paraId="4214DB8F" w14:textId="77777777" w:rsidR="009821AC" w:rsidRPr="00437FF9" w:rsidRDefault="009821AC">
            <w:pPr>
              <w:rPr>
                <w:rFonts w:cs="Arial"/>
                <w:sz w:val="21"/>
                <w:szCs w:val="21"/>
              </w:rPr>
            </w:pPr>
            <w:r w:rsidRPr="00437FF9">
              <w:rPr>
                <w:rFonts w:cs="Arial"/>
                <w:color w:val="000000"/>
                <w:sz w:val="21"/>
                <w:szCs w:val="21"/>
              </w:rPr>
              <w:t>ACFR</w:t>
            </w:r>
          </w:p>
        </w:tc>
        <w:tc>
          <w:tcPr>
            <w:tcW w:w="5268" w:type="dxa"/>
            <w:vAlign w:val="bottom"/>
          </w:tcPr>
          <w:p w14:paraId="3537DBCF" w14:textId="77777777" w:rsidR="009821AC" w:rsidRPr="00437FF9" w:rsidRDefault="009821AC">
            <w:pPr>
              <w:rPr>
                <w:rFonts w:cs="Arial"/>
                <w:sz w:val="21"/>
                <w:szCs w:val="21"/>
              </w:rPr>
            </w:pPr>
            <w:r w:rsidRPr="00437FF9">
              <w:rPr>
                <w:rFonts w:cs="Arial"/>
                <w:color w:val="000000"/>
                <w:sz w:val="21"/>
                <w:szCs w:val="21"/>
              </w:rPr>
              <w:t xml:space="preserve">Aged Care Financial Report </w:t>
            </w:r>
          </w:p>
        </w:tc>
      </w:tr>
      <w:tr w:rsidR="00F33C00" w:rsidRPr="00437FF9" w14:paraId="08D1114E" w14:textId="77777777">
        <w:tc>
          <w:tcPr>
            <w:tcW w:w="4508" w:type="dxa"/>
            <w:vAlign w:val="bottom"/>
          </w:tcPr>
          <w:p w14:paraId="37808AA8" w14:textId="77DF115B" w:rsidR="00F33C00" w:rsidRPr="00437FF9" w:rsidRDefault="00F33C00">
            <w:pPr>
              <w:rPr>
                <w:rFonts w:cs="Arial"/>
                <w:color w:val="000000"/>
                <w:sz w:val="21"/>
                <w:szCs w:val="21"/>
              </w:rPr>
            </w:pPr>
            <w:r>
              <w:rPr>
                <w:rFonts w:cs="Arial"/>
                <w:color w:val="000000"/>
                <w:sz w:val="21"/>
                <w:szCs w:val="21"/>
              </w:rPr>
              <w:t>ACFI</w:t>
            </w:r>
          </w:p>
        </w:tc>
        <w:tc>
          <w:tcPr>
            <w:tcW w:w="5268" w:type="dxa"/>
            <w:vAlign w:val="bottom"/>
          </w:tcPr>
          <w:p w14:paraId="59540F05" w14:textId="2E8D0791" w:rsidR="00F33C00" w:rsidRPr="00437FF9" w:rsidRDefault="00F33C00">
            <w:pPr>
              <w:rPr>
                <w:rFonts w:cs="Arial"/>
                <w:color w:val="000000"/>
                <w:sz w:val="21"/>
                <w:szCs w:val="21"/>
              </w:rPr>
            </w:pPr>
            <w:r>
              <w:rPr>
                <w:rFonts w:cs="Arial"/>
                <w:color w:val="000000"/>
                <w:sz w:val="21"/>
                <w:szCs w:val="21"/>
              </w:rPr>
              <w:t>Aged Care Funding Instrument</w:t>
            </w:r>
          </w:p>
        </w:tc>
      </w:tr>
      <w:tr w:rsidR="009821AC" w:rsidRPr="00437FF9" w14:paraId="74AE4D55" w14:textId="77777777">
        <w:tc>
          <w:tcPr>
            <w:tcW w:w="4508" w:type="dxa"/>
            <w:vAlign w:val="bottom"/>
          </w:tcPr>
          <w:p w14:paraId="67630A26" w14:textId="77777777" w:rsidR="009821AC" w:rsidRPr="00437FF9" w:rsidRDefault="009821AC">
            <w:pPr>
              <w:rPr>
                <w:rFonts w:cs="Arial"/>
                <w:sz w:val="21"/>
                <w:szCs w:val="21"/>
              </w:rPr>
            </w:pPr>
            <w:r w:rsidRPr="00437FF9">
              <w:rPr>
                <w:rFonts w:cs="Arial"/>
                <w:color w:val="000000"/>
                <w:sz w:val="21"/>
                <w:szCs w:val="21"/>
              </w:rPr>
              <w:t>ACQSC</w:t>
            </w:r>
          </w:p>
        </w:tc>
        <w:tc>
          <w:tcPr>
            <w:tcW w:w="5268" w:type="dxa"/>
            <w:vAlign w:val="bottom"/>
          </w:tcPr>
          <w:p w14:paraId="5D893B21" w14:textId="77777777" w:rsidR="009821AC" w:rsidRPr="00437FF9" w:rsidRDefault="009821AC">
            <w:pPr>
              <w:rPr>
                <w:rFonts w:cs="Arial"/>
                <w:sz w:val="21"/>
                <w:szCs w:val="21"/>
              </w:rPr>
            </w:pPr>
            <w:r w:rsidRPr="00437FF9">
              <w:rPr>
                <w:rFonts w:cs="Arial"/>
                <w:color w:val="000000"/>
                <w:sz w:val="21"/>
                <w:szCs w:val="21"/>
              </w:rPr>
              <w:t xml:space="preserve">Aged Care Quality and Safety Commission </w:t>
            </w:r>
          </w:p>
        </w:tc>
      </w:tr>
      <w:tr w:rsidR="009821AC" w:rsidRPr="00437FF9" w14:paraId="56EA43B2" w14:textId="77777777">
        <w:tc>
          <w:tcPr>
            <w:tcW w:w="4508" w:type="dxa"/>
            <w:vAlign w:val="bottom"/>
          </w:tcPr>
          <w:p w14:paraId="5DD9A8BE" w14:textId="77777777" w:rsidR="009821AC" w:rsidRPr="00437FF9" w:rsidRDefault="009821AC">
            <w:pPr>
              <w:rPr>
                <w:rFonts w:cs="Arial"/>
                <w:sz w:val="21"/>
                <w:szCs w:val="21"/>
              </w:rPr>
            </w:pPr>
            <w:r w:rsidRPr="00437FF9">
              <w:rPr>
                <w:rFonts w:cs="Arial"/>
                <w:color w:val="000000"/>
                <w:sz w:val="21"/>
                <w:szCs w:val="21"/>
              </w:rPr>
              <w:t>AIHW</w:t>
            </w:r>
          </w:p>
        </w:tc>
        <w:tc>
          <w:tcPr>
            <w:tcW w:w="5268" w:type="dxa"/>
            <w:vAlign w:val="bottom"/>
          </w:tcPr>
          <w:p w14:paraId="022B6C66" w14:textId="77777777" w:rsidR="009821AC" w:rsidRPr="00437FF9" w:rsidRDefault="009821AC">
            <w:pPr>
              <w:rPr>
                <w:rFonts w:cs="Arial"/>
                <w:sz w:val="21"/>
                <w:szCs w:val="21"/>
              </w:rPr>
            </w:pPr>
            <w:r w:rsidRPr="00437FF9">
              <w:rPr>
                <w:rFonts w:cs="Arial"/>
                <w:color w:val="000000"/>
                <w:sz w:val="21"/>
                <w:szCs w:val="21"/>
              </w:rPr>
              <w:t xml:space="preserve">Australian Institute of Health and Welfare </w:t>
            </w:r>
          </w:p>
        </w:tc>
      </w:tr>
      <w:tr w:rsidR="009821AC" w:rsidRPr="00437FF9" w14:paraId="6BDFBCD7" w14:textId="77777777">
        <w:tc>
          <w:tcPr>
            <w:tcW w:w="4508" w:type="dxa"/>
            <w:vAlign w:val="bottom"/>
          </w:tcPr>
          <w:p w14:paraId="7433D7CF" w14:textId="77777777" w:rsidR="009821AC" w:rsidRPr="00437FF9" w:rsidRDefault="009821AC">
            <w:pPr>
              <w:rPr>
                <w:rFonts w:cs="Arial"/>
                <w:sz w:val="21"/>
                <w:szCs w:val="21"/>
              </w:rPr>
            </w:pPr>
            <w:r w:rsidRPr="00437FF9">
              <w:rPr>
                <w:rFonts w:cs="Arial"/>
                <w:color w:val="000000"/>
                <w:sz w:val="21"/>
                <w:szCs w:val="21"/>
              </w:rPr>
              <w:t xml:space="preserve">AN-ACC </w:t>
            </w:r>
          </w:p>
        </w:tc>
        <w:tc>
          <w:tcPr>
            <w:tcW w:w="5268" w:type="dxa"/>
            <w:vAlign w:val="bottom"/>
          </w:tcPr>
          <w:p w14:paraId="03EB105F" w14:textId="77777777" w:rsidR="009821AC" w:rsidRPr="00437FF9" w:rsidRDefault="009821AC">
            <w:pPr>
              <w:rPr>
                <w:rFonts w:cs="Arial"/>
                <w:sz w:val="21"/>
                <w:szCs w:val="21"/>
              </w:rPr>
            </w:pPr>
            <w:r w:rsidRPr="00437FF9">
              <w:rPr>
                <w:rFonts w:cs="Arial"/>
                <w:color w:val="000000"/>
                <w:sz w:val="21"/>
                <w:szCs w:val="21"/>
              </w:rPr>
              <w:t xml:space="preserve">Australian National Aged Care Classification </w:t>
            </w:r>
          </w:p>
        </w:tc>
      </w:tr>
      <w:tr w:rsidR="009821AC" w:rsidRPr="00437FF9" w14:paraId="4E8B7B07" w14:textId="77777777">
        <w:tc>
          <w:tcPr>
            <w:tcW w:w="4508" w:type="dxa"/>
            <w:vAlign w:val="bottom"/>
          </w:tcPr>
          <w:p w14:paraId="015C6405" w14:textId="77777777" w:rsidR="009821AC" w:rsidRPr="00437FF9" w:rsidRDefault="009821AC">
            <w:pPr>
              <w:rPr>
                <w:rFonts w:cs="Arial"/>
                <w:sz w:val="21"/>
                <w:szCs w:val="21"/>
              </w:rPr>
            </w:pPr>
            <w:r w:rsidRPr="00437FF9">
              <w:rPr>
                <w:rFonts w:cs="Arial"/>
                <w:color w:val="000000"/>
                <w:sz w:val="21"/>
                <w:szCs w:val="21"/>
              </w:rPr>
              <w:t>AIN</w:t>
            </w:r>
          </w:p>
        </w:tc>
        <w:tc>
          <w:tcPr>
            <w:tcW w:w="5268" w:type="dxa"/>
            <w:vAlign w:val="bottom"/>
          </w:tcPr>
          <w:p w14:paraId="5075B41C" w14:textId="77777777" w:rsidR="009821AC" w:rsidRPr="00437FF9" w:rsidRDefault="009821AC">
            <w:pPr>
              <w:rPr>
                <w:rFonts w:cs="Arial"/>
                <w:sz w:val="21"/>
                <w:szCs w:val="21"/>
              </w:rPr>
            </w:pPr>
            <w:r w:rsidRPr="00437FF9">
              <w:rPr>
                <w:rFonts w:cs="Arial"/>
                <w:color w:val="000000"/>
                <w:sz w:val="21"/>
                <w:szCs w:val="21"/>
              </w:rPr>
              <w:t xml:space="preserve">Australian National Aged Care Classification </w:t>
            </w:r>
          </w:p>
        </w:tc>
      </w:tr>
      <w:tr w:rsidR="009821AC" w:rsidRPr="00437FF9" w14:paraId="11C91ABD" w14:textId="77777777">
        <w:tc>
          <w:tcPr>
            <w:tcW w:w="4508" w:type="dxa"/>
            <w:vAlign w:val="bottom"/>
          </w:tcPr>
          <w:p w14:paraId="57FB8D37" w14:textId="77777777" w:rsidR="009821AC" w:rsidRPr="00437FF9" w:rsidRDefault="009821AC">
            <w:pPr>
              <w:rPr>
                <w:rFonts w:cs="Arial"/>
                <w:sz w:val="21"/>
                <w:szCs w:val="21"/>
              </w:rPr>
            </w:pPr>
            <w:r w:rsidRPr="00437FF9">
              <w:rPr>
                <w:rFonts w:cs="Arial"/>
                <w:color w:val="000000"/>
                <w:sz w:val="21"/>
                <w:szCs w:val="21"/>
              </w:rPr>
              <w:t>BCT</w:t>
            </w:r>
          </w:p>
        </w:tc>
        <w:tc>
          <w:tcPr>
            <w:tcW w:w="5268" w:type="dxa"/>
            <w:vAlign w:val="bottom"/>
          </w:tcPr>
          <w:p w14:paraId="6865505E" w14:textId="77777777" w:rsidR="009821AC" w:rsidRPr="00437FF9" w:rsidRDefault="009821AC">
            <w:pPr>
              <w:rPr>
                <w:rFonts w:cs="Arial"/>
                <w:sz w:val="21"/>
                <w:szCs w:val="21"/>
              </w:rPr>
            </w:pPr>
            <w:r w:rsidRPr="00437FF9">
              <w:rPr>
                <w:rFonts w:cs="Arial"/>
                <w:color w:val="000000"/>
                <w:sz w:val="21"/>
                <w:szCs w:val="21"/>
              </w:rPr>
              <w:t>Base Care Tariff</w:t>
            </w:r>
          </w:p>
        </w:tc>
      </w:tr>
      <w:tr w:rsidR="009821AC" w:rsidRPr="00437FF9" w14:paraId="2A0ABC15" w14:textId="77777777">
        <w:tc>
          <w:tcPr>
            <w:tcW w:w="4508" w:type="dxa"/>
            <w:vAlign w:val="bottom"/>
          </w:tcPr>
          <w:p w14:paraId="6B139069" w14:textId="77777777" w:rsidR="009821AC" w:rsidRPr="00437FF9" w:rsidRDefault="009821AC">
            <w:pPr>
              <w:rPr>
                <w:rFonts w:cs="Arial"/>
                <w:sz w:val="21"/>
                <w:szCs w:val="21"/>
              </w:rPr>
            </w:pPr>
            <w:r w:rsidRPr="00437FF9">
              <w:rPr>
                <w:rFonts w:cs="Arial"/>
                <w:color w:val="000000"/>
                <w:sz w:val="21"/>
                <w:szCs w:val="21"/>
              </w:rPr>
              <w:t xml:space="preserve">BPORs </w:t>
            </w:r>
          </w:p>
        </w:tc>
        <w:tc>
          <w:tcPr>
            <w:tcW w:w="5268" w:type="dxa"/>
            <w:vAlign w:val="bottom"/>
          </w:tcPr>
          <w:p w14:paraId="6897FE7C" w14:textId="77777777" w:rsidR="009821AC" w:rsidRPr="00437FF9" w:rsidRDefault="009821AC">
            <w:pPr>
              <w:rPr>
                <w:rFonts w:cs="Arial"/>
                <w:sz w:val="21"/>
                <w:szCs w:val="21"/>
              </w:rPr>
            </w:pPr>
            <w:r w:rsidRPr="00437FF9">
              <w:rPr>
                <w:rFonts w:cs="Arial"/>
                <w:color w:val="000000"/>
                <w:sz w:val="21"/>
                <w:szCs w:val="21"/>
              </w:rPr>
              <w:t>Budget Process Operational Rules</w:t>
            </w:r>
          </w:p>
        </w:tc>
      </w:tr>
      <w:tr w:rsidR="009821AC" w:rsidRPr="00437FF9" w14:paraId="7D6B2F92" w14:textId="77777777">
        <w:tc>
          <w:tcPr>
            <w:tcW w:w="4508" w:type="dxa"/>
            <w:vAlign w:val="bottom"/>
          </w:tcPr>
          <w:p w14:paraId="78DE2DB8" w14:textId="77777777" w:rsidR="009821AC" w:rsidRPr="00437FF9" w:rsidRDefault="009821AC">
            <w:pPr>
              <w:rPr>
                <w:rFonts w:cs="Arial"/>
                <w:sz w:val="21"/>
                <w:szCs w:val="21"/>
              </w:rPr>
            </w:pPr>
            <w:r w:rsidRPr="00437FF9">
              <w:rPr>
                <w:rFonts w:cs="Arial"/>
                <w:color w:val="000000"/>
                <w:sz w:val="21"/>
                <w:szCs w:val="21"/>
              </w:rPr>
              <w:t>department/DoHDA</w:t>
            </w:r>
          </w:p>
        </w:tc>
        <w:tc>
          <w:tcPr>
            <w:tcW w:w="5268" w:type="dxa"/>
            <w:vAlign w:val="bottom"/>
          </w:tcPr>
          <w:p w14:paraId="7E8CDF9B" w14:textId="77777777" w:rsidR="009821AC" w:rsidRPr="00437FF9" w:rsidRDefault="009821AC">
            <w:pPr>
              <w:rPr>
                <w:rFonts w:cs="Arial"/>
                <w:sz w:val="21"/>
                <w:szCs w:val="21"/>
              </w:rPr>
            </w:pPr>
            <w:r w:rsidRPr="00437FF9">
              <w:rPr>
                <w:rFonts w:cs="Arial"/>
                <w:color w:val="000000"/>
                <w:sz w:val="21"/>
                <w:szCs w:val="21"/>
                <w:lang w:val="en-US"/>
              </w:rPr>
              <w:t>Department of Health, Disability and Aging</w:t>
            </w:r>
          </w:p>
        </w:tc>
      </w:tr>
      <w:tr w:rsidR="005B5D58" w:rsidRPr="00437FF9" w14:paraId="49E67EDE" w14:textId="77777777">
        <w:tc>
          <w:tcPr>
            <w:tcW w:w="4508" w:type="dxa"/>
            <w:vAlign w:val="bottom"/>
          </w:tcPr>
          <w:p w14:paraId="204E7F11" w14:textId="3F8A5AF3" w:rsidR="005B5D58" w:rsidRPr="00437FF9" w:rsidRDefault="005B5D58">
            <w:pPr>
              <w:rPr>
                <w:rFonts w:cs="Arial"/>
                <w:color w:val="000000"/>
                <w:sz w:val="21"/>
                <w:szCs w:val="21"/>
              </w:rPr>
            </w:pPr>
            <w:r>
              <w:rPr>
                <w:rFonts w:cs="Arial"/>
                <w:color w:val="000000"/>
                <w:sz w:val="21"/>
                <w:szCs w:val="21"/>
              </w:rPr>
              <w:t>CALD</w:t>
            </w:r>
          </w:p>
        </w:tc>
        <w:tc>
          <w:tcPr>
            <w:tcW w:w="5268" w:type="dxa"/>
            <w:vAlign w:val="bottom"/>
          </w:tcPr>
          <w:p w14:paraId="7E6D8078" w14:textId="5009BCC4" w:rsidR="005B5D58" w:rsidRPr="00437FF9" w:rsidRDefault="005B5D58">
            <w:pPr>
              <w:rPr>
                <w:rFonts w:cs="Arial"/>
                <w:color w:val="000000"/>
                <w:sz w:val="21"/>
                <w:szCs w:val="21"/>
                <w:lang w:val="en-US"/>
              </w:rPr>
            </w:pPr>
            <w:r>
              <w:rPr>
                <w:rFonts w:cs="Arial"/>
                <w:color w:val="000000"/>
                <w:sz w:val="21"/>
                <w:szCs w:val="21"/>
                <w:lang w:val="en-US"/>
              </w:rPr>
              <w:t xml:space="preserve">Culturally and Linguistically Diverse </w:t>
            </w:r>
          </w:p>
        </w:tc>
      </w:tr>
      <w:tr w:rsidR="00513C7C" w:rsidRPr="00437FF9" w14:paraId="742A31EA" w14:textId="77777777">
        <w:tc>
          <w:tcPr>
            <w:tcW w:w="4508" w:type="dxa"/>
            <w:vAlign w:val="bottom"/>
          </w:tcPr>
          <w:p w14:paraId="3A05F5D9" w14:textId="578E83E9" w:rsidR="00513C7C" w:rsidRPr="00437FF9" w:rsidRDefault="00513C7C">
            <w:pPr>
              <w:rPr>
                <w:rFonts w:cs="Arial"/>
                <w:color w:val="000000"/>
                <w:sz w:val="21"/>
                <w:szCs w:val="21"/>
              </w:rPr>
            </w:pPr>
            <w:r>
              <w:rPr>
                <w:rFonts w:cs="Arial"/>
                <w:color w:val="000000"/>
                <w:sz w:val="21"/>
                <w:szCs w:val="21"/>
              </w:rPr>
              <w:t>ERC</w:t>
            </w:r>
          </w:p>
        </w:tc>
        <w:tc>
          <w:tcPr>
            <w:tcW w:w="5268" w:type="dxa"/>
            <w:vAlign w:val="bottom"/>
          </w:tcPr>
          <w:p w14:paraId="11B5527D" w14:textId="643FB217" w:rsidR="00513C7C" w:rsidRPr="00437FF9" w:rsidRDefault="003D283B">
            <w:pPr>
              <w:rPr>
                <w:rFonts w:cs="Arial"/>
                <w:color w:val="000000"/>
                <w:sz w:val="21"/>
                <w:szCs w:val="21"/>
              </w:rPr>
            </w:pPr>
            <w:r>
              <w:rPr>
                <w:rFonts w:cs="Arial"/>
                <w:color w:val="000000"/>
                <w:sz w:val="21"/>
                <w:szCs w:val="21"/>
                <w:lang w:val="en-US"/>
              </w:rPr>
              <w:t>Expenditure</w:t>
            </w:r>
            <w:r w:rsidR="00513C7C" w:rsidRPr="000C513E">
              <w:rPr>
                <w:rFonts w:cs="Arial"/>
                <w:color w:val="000000"/>
                <w:sz w:val="21"/>
                <w:szCs w:val="21"/>
                <w:lang w:val="en-US"/>
              </w:rPr>
              <w:t xml:space="preserve"> Review Committee</w:t>
            </w:r>
          </w:p>
        </w:tc>
      </w:tr>
      <w:tr w:rsidR="009821AC" w:rsidRPr="00437FF9" w14:paraId="7123CB34" w14:textId="77777777">
        <w:tc>
          <w:tcPr>
            <w:tcW w:w="4508" w:type="dxa"/>
            <w:vAlign w:val="bottom"/>
          </w:tcPr>
          <w:p w14:paraId="140CF465" w14:textId="77777777" w:rsidR="009821AC" w:rsidRPr="00437FF9" w:rsidRDefault="009821AC">
            <w:pPr>
              <w:rPr>
                <w:rFonts w:cs="Arial"/>
                <w:sz w:val="21"/>
                <w:szCs w:val="21"/>
              </w:rPr>
            </w:pPr>
            <w:r w:rsidRPr="00437FF9">
              <w:rPr>
                <w:rFonts w:cs="Arial"/>
                <w:color w:val="000000"/>
                <w:sz w:val="21"/>
                <w:szCs w:val="21"/>
              </w:rPr>
              <w:t>EN</w:t>
            </w:r>
          </w:p>
        </w:tc>
        <w:tc>
          <w:tcPr>
            <w:tcW w:w="5268" w:type="dxa"/>
            <w:vAlign w:val="bottom"/>
          </w:tcPr>
          <w:p w14:paraId="50088003" w14:textId="77777777" w:rsidR="009821AC" w:rsidRPr="00437FF9" w:rsidRDefault="009821AC">
            <w:pPr>
              <w:rPr>
                <w:rFonts w:cs="Arial"/>
                <w:sz w:val="21"/>
                <w:szCs w:val="21"/>
              </w:rPr>
            </w:pPr>
            <w:r w:rsidRPr="00437FF9">
              <w:rPr>
                <w:rFonts w:cs="Arial"/>
                <w:color w:val="000000"/>
                <w:sz w:val="21"/>
                <w:szCs w:val="21"/>
              </w:rPr>
              <w:t>Enrolled Nurses</w:t>
            </w:r>
          </w:p>
        </w:tc>
      </w:tr>
      <w:tr w:rsidR="00CF220F" w:rsidRPr="00437FF9" w14:paraId="51AD2313" w14:textId="77777777">
        <w:tc>
          <w:tcPr>
            <w:tcW w:w="4508" w:type="dxa"/>
            <w:vAlign w:val="bottom"/>
          </w:tcPr>
          <w:p w14:paraId="113B9EB5" w14:textId="3178FFF2" w:rsidR="00CF220F" w:rsidRPr="00B52AF1" w:rsidRDefault="00CF220F">
            <w:pPr>
              <w:rPr>
                <w:color w:val="000000"/>
                <w:sz w:val="21"/>
              </w:rPr>
            </w:pPr>
            <w:r>
              <w:rPr>
                <w:rFonts w:cs="Arial"/>
                <w:color w:val="000000"/>
                <w:sz w:val="21"/>
                <w:szCs w:val="21"/>
              </w:rPr>
              <w:t>FAQ</w:t>
            </w:r>
          </w:p>
        </w:tc>
        <w:tc>
          <w:tcPr>
            <w:tcW w:w="5268" w:type="dxa"/>
            <w:vAlign w:val="bottom"/>
          </w:tcPr>
          <w:p w14:paraId="374448E4" w14:textId="09FFC57A" w:rsidR="00CF220F" w:rsidRPr="00B52AF1" w:rsidRDefault="00CF220F">
            <w:pPr>
              <w:rPr>
                <w:color w:val="000000"/>
                <w:sz w:val="21"/>
              </w:rPr>
            </w:pPr>
            <w:r>
              <w:rPr>
                <w:rFonts w:cs="Arial"/>
                <w:color w:val="000000"/>
                <w:sz w:val="21"/>
                <w:szCs w:val="21"/>
              </w:rPr>
              <w:t>Frequently Asked Questions</w:t>
            </w:r>
          </w:p>
        </w:tc>
      </w:tr>
      <w:tr w:rsidR="009821AC" w:rsidRPr="00437FF9" w14:paraId="484BD775" w14:textId="77777777">
        <w:tc>
          <w:tcPr>
            <w:tcW w:w="4508" w:type="dxa"/>
            <w:vAlign w:val="bottom"/>
          </w:tcPr>
          <w:p w14:paraId="05377B1C" w14:textId="6147F417" w:rsidR="009821AC" w:rsidRPr="00437FF9" w:rsidRDefault="006E5DA1">
            <w:pPr>
              <w:rPr>
                <w:rFonts w:cs="Arial"/>
                <w:sz w:val="21"/>
                <w:szCs w:val="21"/>
              </w:rPr>
            </w:pPr>
            <w:r>
              <w:rPr>
                <w:rFonts w:cs="Arial"/>
                <w:color w:val="000000"/>
                <w:sz w:val="21"/>
                <w:szCs w:val="21"/>
              </w:rPr>
              <w:t>GPMS</w:t>
            </w:r>
          </w:p>
        </w:tc>
        <w:tc>
          <w:tcPr>
            <w:tcW w:w="5268" w:type="dxa"/>
            <w:vAlign w:val="bottom"/>
          </w:tcPr>
          <w:p w14:paraId="3C7AA655" w14:textId="206C076D" w:rsidR="009821AC" w:rsidRPr="00437FF9" w:rsidRDefault="00954FCB">
            <w:pPr>
              <w:rPr>
                <w:rFonts w:cs="Arial"/>
                <w:sz w:val="21"/>
                <w:szCs w:val="21"/>
              </w:rPr>
            </w:pPr>
            <w:r>
              <w:rPr>
                <w:rFonts w:cs="Arial"/>
                <w:color w:val="000000"/>
                <w:sz w:val="21"/>
                <w:szCs w:val="21"/>
              </w:rPr>
              <w:t>Government Provider Management System</w:t>
            </w:r>
          </w:p>
        </w:tc>
      </w:tr>
      <w:tr w:rsidR="009821AC" w:rsidRPr="00437FF9" w14:paraId="663CFF4D" w14:textId="77777777">
        <w:tc>
          <w:tcPr>
            <w:tcW w:w="4508" w:type="dxa"/>
            <w:vAlign w:val="bottom"/>
          </w:tcPr>
          <w:p w14:paraId="20956F69" w14:textId="77777777" w:rsidR="009821AC" w:rsidRPr="00437FF9" w:rsidRDefault="009821AC">
            <w:pPr>
              <w:rPr>
                <w:rFonts w:cs="Arial"/>
                <w:sz w:val="21"/>
                <w:szCs w:val="21"/>
              </w:rPr>
            </w:pPr>
            <w:r w:rsidRPr="00437FF9">
              <w:rPr>
                <w:rFonts w:cs="Arial"/>
                <w:color w:val="000000"/>
                <w:sz w:val="21"/>
                <w:szCs w:val="21"/>
              </w:rPr>
              <w:t>IHACPA</w:t>
            </w:r>
          </w:p>
        </w:tc>
        <w:tc>
          <w:tcPr>
            <w:tcW w:w="5268" w:type="dxa"/>
            <w:vAlign w:val="bottom"/>
          </w:tcPr>
          <w:p w14:paraId="1FDFC2B3" w14:textId="77777777" w:rsidR="009821AC" w:rsidRPr="00437FF9" w:rsidRDefault="009821AC">
            <w:pPr>
              <w:rPr>
                <w:rFonts w:cs="Arial"/>
                <w:sz w:val="21"/>
                <w:szCs w:val="21"/>
              </w:rPr>
            </w:pPr>
            <w:r w:rsidRPr="00437FF9">
              <w:rPr>
                <w:rFonts w:cs="Arial"/>
                <w:color w:val="000000"/>
                <w:sz w:val="21"/>
                <w:szCs w:val="21"/>
                <w:lang w:val="en-US"/>
              </w:rPr>
              <w:t>Independent Health and Aged Care Pricing Authority</w:t>
            </w:r>
          </w:p>
        </w:tc>
      </w:tr>
      <w:tr w:rsidR="009821AC" w:rsidRPr="00437FF9" w14:paraId="3F5102E0" w14:textId="77777777">
        <w:tc>
          <w:tcPr>
            <w:tcW w:w="4508" w:type="dxa"/>
            <w:vAlign w:val="bottom"/>
          </w:tcPr>
          <w:p w14:paraId="4D1B289B" w14:textId="77777777" w:rsidR="009821AC" w:rsidRPr="00437FF9" w:rsidRDefault="009821AC">
            <w:pPr>
              <w:rPr>
                <w:rFonts w:cs="Arial"/>
                <w:sz w:val="21"/>
                <w:szCs w:val="21"/>
              </w:rPr>
            </w:pPr>
            <w:r w:rsidRPr="00437FF9">
              <w:rPr>
                <w:rFonts w:cs="Arial"/>
                <w:color w:val="000000"/>
                <w:sz w:val="21"/>
                <w:szCs w:val="21"/>
              </w:rPr>
              <w:t>MM</w:t>
            </w:r>
          </w:p>
        </w:tc>
        <w:tc>
          <w:tcPr>
            <w:tcW w:w="5268" w:type="dxa"/>
            <w:vAlign w:val="bottom"/>
          </w:tcPr>
          <w:p w14:paraId="25F190E9" w14:textId="77777777" w:rsidR="009821AC" w:rsidRPr="00437FF9" w:rsidRDefault="009821AC">
            <w:pPr>
              <w:rPr>
                <w:rFonts w:cs="Arial"/>
                <w:sz w:val="21"/>
                <w:szCs w:val="21"/>
              </w:rPr>
            </w:pPr>
            <w:r w:rsidRPr="00437FF9">
              <w:rPr>
                <w:rFonts w:cs="Arial"/>
                <w:color w:val="000000"/>
                <w:sz w:val="21"/>
                <w:szCs w:val="21"/>
              </w:rPr>
              <w:t>Modified Monash model</w:t>
            </w:r>
          </w:p>
        </w:tc>
      </w:tr>
      <w:tr w:rsidR="009821AC" w:rsidRPr="00437FF9" w14:paraId="15E9E260" w14:textId="77777777">
        <w:tc>
          <w:tcPr>
            <w:tcW w:w="4508" w:type="dxa"/>
            <w:vAlign w:val="bottom"/>
          </w:tcPr>
          <w:p w14:paraId="21E8291D" w14:textId="77777777" w:rsidR="009821AC" w:rsidRPr="00437FF9" w:rsidRDefault="009821AC">
            <w:pPr>
              <w:rPr>
                <w:rFonts w:cs="Arial"/>
                <w:sz w:val="21"/>
                <w:szCs w:val="21"/>
              </w:rPr>
            </w:pPr>
            <w:r w:rsidRPr="00437FF9">
              <w:rPr>
                <w:rFonts w:cs="Arial"/>
                <w:color w:val="000000"/>
                <w:sz w:val="21"/>
                <w:szCs w:val="21"/>
              </w:rPr>
              <w:t>NACAC</w:t>
            </w:r>
          </w:p>
        </w:tc>
        <w:tc>
          <w:tcPr>
            <w:tcW w:w="5268" w:type="dxa"/>
            <w:vAlign w:val="bottom"/>
          </w:tcPr>
          <w:p w14:paraId="627DF9ED" w14:textId="77777777" w:rsidR="009821AC" w:rsidRPr="00437FF9" w:rsidRDefault="009821AC">
            <w:pPr>
              <w:rPr>
                <w:rFonts w:cs="Arial"/>
                <w:sz w:val="21"/>
                <w:szCs w:val="21"/>
              </w:rPr>
            </w:pPr>
            <w:r w:rsidRPr="00437FF9">
              <w:rPr>
                <w:rFonts w:cs="Arial"/>
                <w:color w:val="000000"/>
                <w:sz w:val="21"/>
                <w:szCs w:val="21"/>
              </w:rPr>
              <w:t>National Aged Care Advisory Council</w:t>
            </w:r>
          </w:p>
        </w:tc>
      </w:tr>
      <w:tr w:rsidR="009821AC" w:rsidRPr="00437FF9" w14:paraId="33C2640F" w14:textId="77777777">
        <w:tc>
          <w:tcPr>
            <w:tcW w:w="4508" w:type="dxa"/>
            <w:vAlign w:val="bottom"/>
          </w:tcPr>
          <w:p w14:paraId="489E3838" w14:textId="77777777" w:rsidR="009821AC" w:rsidRPr="00437FF9" w:rsidRDefault="009821AC">
            <w:pPr>
              <w:rPr>
                <w:rFonts w:cs="Arial"/>
                <w:sz w:val="21"/>
                <w:szCs w:val="21"/>
              </w:rPr>
            </w:pPr>
            <w:r w:rsidRPr="00437FF9">
              <w:rPr>
                <w:rFonts w:cs="Arial"/>
                <w:color w:val="000000"/>
                <w:sz w:val="21"/>
                <w:szCs w:val="21"/>
              </w:rPr>
              <w:t xml:space="preserve">NWAU </w:t>
            </w:r>
          </w:p>
        </w:tc>
        <w:tc>
          <w:tcPr>
            <w:tcW w:w="5268" w:type="dxa"/>
            <w:vAlign w:val="bottom"/>
          </w:tcPr>
          <w:p w14:paraId="78DF90C9" w14:textId="77777777" w:rsidR="009821AC" w:rsidRPr="00437FF9" w:rsidRDefault="009821AC">
            <w:pPr>
              <w:rPr>
                <w:rFonts w:cs="Arial"/>
                <w:sz w:val="21"/>
                <w:szCs w:val="21"/>
              </w:rPr>
            </w:pPr>
            <w:r w:rsidRPr="00437FF9">
              <w:rPr>
                <w:rFonts w:cs="Arial"/>
                <w:color w:val="000000"/>
                <w:sz w:val="21"/>
                <w:szCs w:val="21"/>
              </w:rPr>
              <w:t xml:space="preserve">National Weighted Activity Units </w:t>
            </w:r>
          </w:p>
        </w:tc>
      </w:tr>
      <w:tr w:rsidR="009821AC" w:rsidRPr="00437FF9" w14:paraId="08FB1549" w14:textId="77777777">
        <w:tc>
          <w:tcPr>
            <w:tcW w:w="4508" w:type="dxa"/>
            <w:vAlign w:val="bottom"/>
          </w:tcPr>
          <w:p w14:paraId="438562CC" w14:textId="77777777" w:rsidR="009821AC" w:rsidRPr="00437FF9" w:rsidRDefault="009821AC">
            <w:pPr>
              <w:rPr>
                <w:rFonts w:cs="Arial"/>
                <w:sz w:val="21"/>
                <w:szCs w:val="21"/>
              </w:rPr>
            </w:pPr>
            <w:r w:rsidRPr="00437FF9">
              <w:rPr>
                <w:rFonts w:cs="Arial"/>
                <w:color w:val="000000"/>
                <w:sz w:val="21"/>
                <w:szCs w:val="21"/>
              </w:rPr>
              <w:t>PCW</w:t>
            </w:r>
          </w:p>
        </w:tc>
        <w:tc>
          <w:tcPr>
            <w:tcW w:w="5268" w:type="dxa"/>
            <w:vAlign w:val="bottom"/>
          </w:tcPr>
          <w:p w14:paraId="6F2C13A8" w14:textId="77777777" w:rsidR="009821AC" w:rsidRPr="00437FF9" w:rsidRDefault="009821AC">
            <w:pPr>
              <w:rPr>
                <w:rFonts w:cs="Arial"/>
                <w:sz w:val="21"/>
                <w:szCs w:val="21"/>
              </w:rPr>
            </w:pPr>
            <w:r w:rsidRPr="00437FF9">
              <w:rPr>
                <w:rFonts w:cs="Arial"/>
                <w:color w:val="000000"/>
                <w:sz w:val="21"/>
                <w:szCs w:val="21"/>
              </w:rPr>
              <w:t xml:space="preserve">Personal Care Workers  </w:t>
            </w:r>
          </w:p>
        </w:tc>
      </w:tr>
      <w:tr w:rsidR="009821AC" w:rsidRPr="00437FF9" w14:paraId="44CA4D80" w14:textId="77777777">
        <w:tc>
          <w:tcPr>
            <w:tcW w:w="4508" w:type="dxa"/>
            <w:vAlign w:val="bottom"/>
          </w:tcPr>
          <w:p w14:paraId="236C51BC" w14:textId="77777777" w:rsidR="009821AC" w:rsidRPr="00437FF9" w:rsidRDefault="009821AC">
            <w:pPr>
              <w:rPr>
                <w:rFonts w:cs="Arial"/>
                <w:sz w:val="21"/>
                <w:szCs w:val="21"/>
              </w:rPr>
            </w:pPr>
            <w:r w:rsidRPr="00437FF9">
              <w:rPr>
                <w:rFonts w:cs="Arial"/>
                <w:color w:val="000000"/>
                <w:sz w:val="21"/>
                <w:szCs w:val="21"/>
                <w:lang w:val="en-US"/>
              </w:rPr>
              <w:t>QFR</w:t>
            </w:r>
          </w:p>
        </w:tc>
        <w:tc>
          <w:tcPr>
            <w:tcW w:w="5268" w:type="dxa"/>
            <w:vAlign w:val="bottom"/>
          </w:tcPr>
          <w:p w14:paraId="0D886654" w14:textId="77777777" w:rsidR="009821AC" w:rsidRPr="00437FF9" w:rsidRDefault="009821AC">
            <w:pPr>
              <w:rPr>
                <w:rFonts w:cs="Arial"/>
                <w:sz w:val="21"/>
                <w:szCs w:val="21"/>
              </w:rPr>
            </w:pPr>
            <w:r w:rsidRPr="00437FF9">
              <w:rPr>
                <w:rFonts w:cs="Arial"/>
                <w:color w:val="000000"/>
                <w:sz w:val="21"/>
                <w:szCs w:val="21"/>
                <w:lang w:val="en-US"/>
              </w:rPr>
              <w:t>Quarterly Financial Report</w:t>
            </w:r>
          </w:p>
        </w:tc>
      </w:tr>
      <w:tr w:rsidR="009821AC" w:rsidRPr="00437FF9" w14:paraId="637D872C" w14:textId="77777777">
        <w:tc>
          <w:tcPr>
            <w:tcW w:w="4508" w:type="dxa"/>
            <w:vAlign w:val="bottom"/>
          </w:tcPr>
          <w:p w14:paraId="200C0F0E" w14:textId="77777777" w:rsidR="009821AC" w:rsidRPr="00437FF9" w:rsidRDefault="009821AC">
            <w:pPr>
              <w:rPr>
                <w:rFonts w:cs="Arial"/>
                <w:sz w:val="21"/>
                <w:szCs w:val="21"/>
              </w:rPr>
            </w:pPr>
            <w:r w:rsidRPr="00437FF9">
              <w:rPr>
                <w:rFonts w:cs="Arial"/>
                <w:color w:val="000000"/>
                <w:sz w:val="21"/>
                <w:szCs w:val="21"/>
              </w:rPr>
              <w:t>RN</w:t>
            </w:r>
          </w:p>
        </w:tc>
        <w:tc>
          <w:tcPr>
            <w:tcW w:w="5268" w:type="dxa"/>
            <w:vAlign w:val="bottom"/>
          </w:tcPr>
          <w:p w14:paraId="09AA409D" w14:textId="77777777" w:rsidR="009821AC" w:rsidRPr="00437FF9" w:rsidRDefault="009821AC">
            <w:pPr>
              <w:rPr>
                <w:rFonts w:cs="Arial"/>
                <w:sz w:val="21"/>
                <w:szCs w:val="21"/>
              </w:rPr>
            </w:pPr>
            <w:r w:rsidRPr="00437FF9">
              <w:rPr>
                <w:rFonts w:cs="Arial"/>
                <w:color w:val="000000"/>
                <w:sz w:val="21"/>
                <w:szCs w:val="21"/>
              </w:rPr>
              <w:t xml:space="preserve">Registered Nurse </w:t>
            </w:r>
          </w:p>
        </w:tc>
      </w:tr>
      <w:tr w:rsidR="005B5D58" w:rsidRPr="00437FF9" w14:paraId="65AC2E2D" w14:textId="77777777">
        <w:tc>
          <w:tcPr>
            <w:tcW w:w="4508" w:type="dxa"/>
            <w:vAlign w:val="bottom"/>
          </w:tcPr>
          <w:p w14:paraId="3B1A36B3" w14:textId="5D1DE130" w:rsidR="005B5D58" w:rsidRPr="00437FF9" w:rsidRDefault="005B5D58">
            <w:pPr>
              <w:rPr>
                <w:rFonts w:cs="Arial"/>
                <w:color w:val="000000"/>
                <w:sz w:val="21"/>
                <w:szCs w:val="21"/>
              </w:rPr>
            </w:pPr>
            <w:r>
              <w:rPr>
                <w:rFonts w:eastAsia="Arial"/>
              </w:rPr>
              <w:t>SFN</w:t>
            </w:r>
          </w:p>
        </w:tc>
        <w:tc>
          <w:tcPr>
            <w:tcW w:w="5268" w:type="dxa"/>
            <w:vAlign w:val="bottom"/>
          </w:tcPr>
          <w:p w14:paraId="77B13E33" w14:textId="1D54A309" w:rsidR="005B5D58" w:rsidRPr="00437FF9" w:rsidRDefault="005B5D58">
            <w:pPr>
              <w:rPr>
                <w:rFonts w:cs="Arial"/>
                <w:color w:val="000000"/>
                <w:sz w:val="21"/>
                <w:szCs w:val="21"/>
              </w:rPr>
            </w:pPr>
            <w:r>
              <w:rPr>
                <w:rFonts w:eastAsia="Arial"/>
              </w:rPr>
              <w:t>Strategy and First Nations Group</w:t>
            </w:r>
          </w:p>
        </w:tc>
      </w:tr>
      <w:tr w:rsidR="009821AC" w:rsidRPr="00437FF9" w14:paraId="1AB0EA6E" w14:textId="77777777">
        <w:tc>
          <w:tcPr>
            <w:tcW w:w="4508" w:type="dxa"/>
            <w:vAlign w:val="bottom"/>
          </w:tcPr>
          <w:p w14:paraId="61B78F67" w14:textId="77777777" w:rsidR="009821AC" w:rsidRPr="00437FF9" w:rsidRDefault="009821AC">
            <w:pPr>
              <w:rPr>
                <w:rFonts w:cs="Arial"/>
                <w:sz w:val="21"/>
                <w:szCs w:val="21"/>
              </w:rPr>
            </w:pPr>
            <w:r w:rsidRPr="00437FF9">
              <w:rPr>
                <w:rFonts w:cs="Arial"/>
                <w:color w:val="000000"/>
                <w:sz w:val="21"/>
                <w:szCs w:val="21"/>
              </w:rPr>
              <w:t>UTS</w:t>
            </w:r>
          </w:p>
        </w:tc>
        <w:tc>
          <w:tcPr>
            <w:tcW w:w="5268" w:type="dxa"/>
            <w:vAlign w:val="bottom"/>
          </w:tcPr>
          <w:p w14:paraId="5A055C40" w14:textId="77777777" w:rsidR="009821AC" w:rsidRPr="00437FF9" w:rsidRDefault="009821AC">
            <w:pPr>
              <w:rPr>
                <w:rFonts w:cs="Arial"/>
                <w:sz w:val="21"/>
                <w:szCs w:val="21"/>
              </w:rPr>
            </w:pPr>
            <w:r w:rsidRPr="00437FF9">
              <w:rPr>
                <w:rFonts w:cs="Arial"/>
                <w:color w:val="000000"/>
                <w:sz w:val="21"/>
                <w:szCs w:val="21"/>
              </w:rPr>
              <w:t xml:space="preserve">University of Technology Sydney </w:t>
            </w:r>
          </w:p>
        </w:tc>
      </w:tr>
      <w:tr w:rsidR="009821AC" w:rsidRPr="00437FF9" w14:paraId="21604925" w14:textId="77777777">
        <w:tc>
          <w:tcPr>
            <w:tcW w:w="4508" w:type="dxa"/>
            <w:vAlign w:val="bottom"/>
          </w:tcPr>
          <w:p w14:paraId="101E3603" w14:textId="77777777" w:rsidR="009821AC" w:rsidRPr="00437FF9" w:rsidRDefault="009821AC">
            <w:pPr>
              <w:rPr>
                <w:rFonts w:cs="Arial"/>
                <w:sz w:val="21"/>
                <w:szCs w:val="21"/>
              </w:rPr>
            </w:pPr>
            <w:r w:rsidRPr="00437FF9">
              <w:rPr>
                <w:rFonts w:cs="Arial"/>
                <w:color w:val="000000"/>
                <w:sz w:val="21"/>
                <w:szCs w:val="21"/>
              </w:rPr>
              <w:t>UARC</w:t>
            </w:r>
          </w:p>
        </w:tc>
        <w:tc>
          <w:tcPr>
            <w:tcW w:w="5268" w:type="dxa"/>
            <w:vAlign w:val="bottom"/>
          </w:tcPr>
          <w:p w14:paraId="720ABF78" w14:textId="77777777" w:rsidR="009821AC" w:rsidRPr="00437FF9" w:rsidRDefault="009821AC">
            <w:pPr>
              <w:rPr>
                <w:rFonts w:cs="Arial"/>
                <w:sz w:val="21"/>
                <w:szCs w:val="21"/>
              </w:rPr>
            </w:pPr>
            <w:r w:rsidRPr="00437FF9">
              <w:rPr>
                <w:rFonts w:cs="Arial"/>
                <w:color w:val="000000"/>
                <w:sz w:val="21"/>
                <w:szCs w:val="21"/>
              </w:rPr>
              <w:t>University of Technology Sydney Ageing Research Collaborative</w:t>
            </w:r>
          </w:p>
        </w:tc>
      </w:tr>
    </w:tbl>
    <w:p w14:paraId="05E2CF4F" w14:textId="77777777" w:rsidR="009821AC" w:rsidRPr="008D7592" w:rsidRDefault="009821AC" w:rsidP="009821AC"/>
    <w:p w14:paraId="6937CC62" w14:textId="77777777" w:rsidR="009821AC" w:rsidRDefault="009821AC" w:rsidP="009821AC"/>
    <w:p w14:paraId="3249288B" w14:textId="77777777" w:rsidR="005D4473" w:rsidRPr="00FE726C" w:rsidRDefault="005D4473" w:rsidP="00121644">
      <w:pPr>
        <w:pStyle w:val="Heading1"/>
      </w:pPr>
    </w:p>
    <w:sectPr w:rsidR="005D4473" w:rsidRPr="00FE726C" w:rsidSect="00775191">
      <w:headerReference w:type="even" r:id="rId52"/>
      <w:headerReference w:type="default" r:id="rId53"/>
      <w:footerReference w:type="even" r:id="rId54"/>
      <w:footerReference w:type="default" r:id="rId55"/>
      <w:headerReference w:type="first" r:id="rId56"/>
      <w:footerReference w:type="first" r:id="rId57"/>
      <w:pgSz w:w="11906" w:h="16838"/>
      <w:pgMar w:top="1560" w:right="1418" w:bottom="1276" w:left="1418"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C854B" w14:textId="77777777" w:rsidR="003B49C8" w:rsidRDefault="003B49C8" w:rsidP="006B56BB">
      <w:r>
        <w:separator/>
      </w:r>
    </w:p>
    <w:p w14:paraId="31325847" w14:textId="77777777" w:rsidR="003B49C8" w:rsidRDefault="003B49C8"/>
  </w:endnote>
  <w:endnote w:type="continuationSeparator" w:id="0">
    <w:p w14:paraId="5FA13D37" w14:textId="77777777" w:rsidR="003B49C8" w:rsidRDefault="003B49C8" w:rsidP="006B56BB">
      <w:r>
        <w:continuationSeparator/>
      </w:r>
    </w:p>
    <w:p w14:paraId="47B65965" w14:textId="77777777" w:rsidR="003B49C8" w:rsidRDefault="003B49C8"/>
  </w:endnote>
  <w:endnote w:type="continuationNotice" w:id="1">
    <w:p w14:paraId="72AE27E4" w14:textId="77777777" w:rsidR="003B49C8" w:rsidRDefault="003B4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669A5" w14:textId="6C6401F1" w:rsidR="00304578" w:rsidRDefault="00F3323A">
    <w:pPr>
      <w:pStyle w:val="Footer"/>
    </w:pPr>
    <w:r>
      <w:rPr>
        <w:noProof/>
        <w:lang w:eastAsia="en-AU"/>
      </w:rPr>
      <mc:AlternateContent>
        <mc:Choice Requires="wps">
          <w:drawing>
            <wp:anchor distT="0" distB="0" distL="0" distR="0" simplePos="0" relativeHeight="251658253" behindDoc="0" locked="0" layoutInCell="1" allowOverlap="1" wp14:anchorId="53AB61CD" wp14:editId="2BC12E82">
              <wp:simplePos x="635" y="635"/>
              <wp:positionH relativeFrom="page">
                <wp:align>center</wp:align>
              </wp:positionH>
              <wp:positionV relativeFrom="page">
                <wp:align>bottom</wp:align>
              </wp:positionV>
              <wp:extent cx="735330" cy="376555"/>
              <wp:effectExtent l="0" t="0" r="7620" b="0"/>
              <wp:wrapNone/>
              <wp:docPr id="1699299747" name="Text Box 11"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0A856D90" w14:textId="3BC8E9C8"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AB61CD" id="_x0000_t202" coordsize="21600,21600" o:spt="202" path="m,l,21600r21600,l21600,xe">
              <v:stroke joinstyle="miter"/>
              <v:path gradientshapeok="t" o:connecttype="rect"/>
            </v:shapetype>
            <v:shape id="Text Box 11" o:spid="_x0000_s1028" type="#_x0000_t202" alt="PROTECTED" style="position:absolute;margin-left:0;margin-top:0;width:57.9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" filled="f" stroked="f">
              <v:textbox style="mso-fit-shape-to-text:t" inset="0,0,0,15pt">
                <w:txbxContent>
                  <w:p w14:paraId="0A856D90" w14:textId="3BC8E9C8"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320C7" w14:textId="0CD04B35" w:rsidR="00304578" w:rsidRDefault="00F3323A">
    <w:pPr>
      <w:pStyle w:val="Footer"/>
    </w:pPr>
    <w:r>
      <w:rPr>
        <w:noProof/>
        <w:lang w:eastAsia="en-AU"/>
      </w:rPr>
      <mc:AlternateContent>
        <mc:Choice Requires="wps">
          <w:drawing>
            <wp:anchor distT="0" distB="0" distL="0" distR="0" simplePos="0" relativeHeight="251658254" behindDoc="0" locked="0" layoutInCell="1" allowOverlap="1" wp14:anchorId="2DE1E05C" wp14:editId="1F479DBE">
              <wp:simplePos x="635" y="635"/>
              <wp:positionH relativeFrom="page">
                <wp:align>center</wp:align>
              </wp:positionH>
              <wp:positionV relativeFrom="page">
                <wp:align>bottom</wp:align>
              </wp:positionV>
              <wp:extent cx="735330" cy="376555"/>
              <wp:effectExtent l="0" t="0" r="7620" b="0"/>
              <wp:wrapNone/>
              <wp:docPr id="2008838618" name="Text Box 12"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4E75CC9E" w14:textId="1837AD21"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E1E05C" id="_x0000_t202" coordsize="21600,21600" o:spt="202" path="m,l,21600r21600,l21600,xe">
              <v:stroke joinstyle="miter"/>
              <v:path gradientshapeok="t" o:connecttype="rect"/>
            </v:shapetype>
            <v:shape id="Text Box 12" o:spid="_x0000_s1029" type="#_x0000_t202" alt="PROTECTED" style="position:absolute;margin-left:0;margin-top:0;width:57.9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" filled="f" stroked="f">
              <v:textbox style="mso-fit-shape-to-text:t" inset="0,0,0,15pt">
                <w:txbxContent>
                  <w:p w14:paraId="4E75CC9E" w14:textId="1837AD21"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A3D3E" w14:textId="6AF6BD11" w:rsidR="00304578" w:rsidRDefault="00F3323A">
    <w:pPr>
      <w:pStyle w:val="Footer"/>
    </w:pPr>
    <w:r>
      <w:rPr>
        <w:noProof/>
        <w:lang w:eastAsia="en-AU"/>
      </w:rPr>
      <mc:AlternateContent>
        <mc:Choice Requires="wps">
          <w:drawing>
            <wp:anchor distT="0" distB="0" distL="0" distR="0" simplePos="0" relativeHeight="251658252" behindDoc="0" locked="0" layoutInCell="1" allowOverlap="1" wp14:anchorId="16C024BF" wp14:editId="5656914B">
              <wp:simplePos x="902525" y="10094026"/>
              <wp:positionH relativeFrom="page">
                <wp:align>center</wp:align>
              </wp:positionH>
              <wp:positionV relativeFrom="page">
                <wp:align>bottom</wp:align>
              </wp:positionV>
              <wp:extent cx="735330" cy="376555"/>
              <wp:effectExtent l="0" t="0" r="7620" b="0"/>
              <wp:wrapNone/>
              <wp:docPr id="863171054" name="Text Box 10"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31791F2E" w14:textId="38606CCB" w:rsidR="00F3323A" w:rsidRPr="00F3323A" w:rsidRDefault="00F3323A" w:rsidP="00F3323A">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C024BF" id="_x0000_t202" coordsize="21600,21600" o:spt="202" path="m,l,21600r21600,l21600,xe">
              <v:stroke joinstyle="miter"/>
              <v:path gradientshapeok="t" o:connecttype="rect"/>
            </v:shapetype>
            <v:shape id="Text Box 10" o:spid="_x0000_s1031" type="#_x0000_t202" alt="PROTECTED" style="position:absolute;margin-left:0;margin-top:0;width:57.9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" filled="f" stroked="f">
              <v:textbox style="mso-fit-shape-to-text:t" inset="0,0,0,15pt">
                <w:txbxContent>
                  <w:p w14:paraId="31791F2E" w14:textId="38606CCB" w:rsidR="00F3323A" w:rsidRPr="00F3323A" w:rsidRDefault="00F3323A" w:rsidP="00F3323A">
                    <w:pPr>
                      <w:rPr>
                        <w:rFonts w:ascii="Calibri" w:eastAsia="Calibri" w:hAnsi="Calibri" w:cs="Calibri"/>
                        <w:noProof/>
                        <w:color w:val="FF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3AF45" w14:textId="052B00D9" w:rsidR="00304578" w:rsidRDefault="00F3323A">
    <w:pPr>
      <w:pStyle w:val="Footer"/>
    </w:pPr>
    <w:r>
      <w:rPr>
        <w:noProof/>
        <w:lang w:eastAsia="en-AU"/>
      </w:rPr>
      <mc:AlternateContent>
        <mc:Choice Requires="wps">
          <w:drawing>
            <wp:anchor distT="0" distB="0" distL="0" distR="0" simplePos="0" relativeHeight="251658256" behindDoc="0" locked="0" layoutInCell="1" allowOverlap="1" wp14:anchorId="5DCC2D11" wp14:editId="7234AC3D">
              <wp:simplePos x="635" y="635"/>
              <wp:positionH relativeFrom="page">
                <wp:align>center</wp:align>
              </wp:positionH>
              <wp:positionV relativeFrom="page">
                <wp:align>bottom</wp:align>
              </wp:positionV>
              <wp:extent cx="735330" cy="376555"/>
              <wp:effectExtent l="0" t="0" r="7620" b="0"/>
              <wp:wrapNone/>
              <wp:docPr id="2023436741" name="Text Box 14"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316E0A4E" w14:textId="658E0ECD"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CC2D11" id="_x0000_t202" coordsize="21600,21600" o:spt="202" path="m,l,21600r21600,l21600,xe">
              <v:stroke joinstyle="miter"/>
              <v:path gradientshapeok="t" o:connecttype="rect"/>
            </v:shapetype>
            <v:shape id="Text Box 14" o:spid="_x0000_s1034" type="#_x0000_t202" alt="PROTECTED" style="position:absolute;margin-left:0;margin-top:0;width:57.9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" filled="f" stroked="f">
              <v:textbox style="mso-fit-shape-to-text:t" inset="0,0,0,15pt">
                <w:txbxContent>
                  <w:p w14:paraId="316E0A4E" w14:textId="658E0ECD"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2B287" w14:textId="48C15876" w:rsidR="00304578" w:rsidRDefault="00304578">
    <w:pPr>
      <w:pStyle w:val="Footer"/>
      <w:jc w:val="right"/>
    </w:pPr>
  </w:p>
  <w:sdt>
    <w:sdtPr>
      <w:id w:val="-826674247"/>
      <w:docPartObj>
        <w:docPartGallery w:val="Page Numbers (Bottom of Page)"/>
        <w:docPartUnique/>
      </w:docPartObj>
    </w:sdtPr>
    <w:sdtEndPr>
      <w:rPr>
        <w:noProof/>
      </w:rPr>
    </w:sdtEndPr>
    <w:sdtContent>
      <w:p w14:paraId="380C6152" w14:textId="1B5798FE" w:rsidR="00304578" w:rsidRDefault="00304578">
        <w:pPr>
          <w:pStyle w:val="Footer"/>
          <w:jc w:val="right"/>
        </w:pPr>
        <w:r>
          <w:fldChar w:fldCharType="begin"/>
        </w:r>
        <w:r>
          <w:instrText xml:space="preserve"> PAGE   \* MERGEFORMAT </w:instrText>
        </w:r>
        <w:r>
          <w:fldChar w:fldCharType="separate"/>
        </w:r>
        <w:r w:rsidR="00D84F72">
          <w:rPr>
            <w:noProof/>
          </w:rPr>
          <w:t>8</w:t>
        </w:r>
        <w:r>
          <w:rPr>
            <w:noProof/>
          </w:rPr>
          <w:fldChar w:fldCharType="end"/>
        </w:r>
      </w:p>
    </w:sdtContent>
  </w:sdt>
  <w:p w14:paraId="151D91EE" w14:textId="720A21FE" w:rsidR="00304578" w:rsidRDefault="0030457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EDB0E" w14:textId="66FF2CFF" w:rsidR="00304578" w:rsidRPr="00DE3355" w:rsidRDefault="00414BE4" w:rsidP="00751A23">
    <w:pPr>
      <w:pStyle w:val="Footer"/>
      <w:tabs>
        <w:tab w:val="clear" w:pos="4513"/>
        <w:tab w:val="center" w:pos="0"/>
      </w:tabs>
      <w:jc w:val="right"/>
    </w:pPr>
    <w:r>
      <w:t>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55241" w14:textId="3C6B7D08" w:rsidR="00304578" w:rsidRDefault="00F3323A">
    <w:pPr>
      <w:pStyle w:val="Footer"/>
    </w:pPr>
    <w:r>
      <w:rPr>
        <w:noProof/>
        <w:lang w:eastAsia="en-AU"/>
      </w:rPr>
      <mc:AlternateContent>
        <mc:Choice Requires="wps">
          <w:drawing>
            <wp:anchor distT="0" distB="0" distL="0" distR="0" simplePos="0" relativeHeight="251658259" behindDoc="0" locked="0" layoutInCell="1" allowOverlap="1" wp14:anchorId="02A876F3" wp14:editId="722CDCF8">
              <wp:simplePos x="635" y="635"/>
              <wp:positionH relativeFrom="page">
                <wp:align>center</wp:align>
              </wp:positionH>
              <wp:positionV relativeFrom="page">
                <wp:align>bottom</wp:align>
              </wp:positionV>
              <wp:extent cx="735330" cy="376555"/>
              <wp:effectExtent l="0" t="0" r="7620" b="0"/>
              <wp:wrapNone/>
              <wp:docPr id="480840068" name="Text Box 17"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43EEA117" w14:textId="34A6DA94"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A876F3" id="_x0000_t202" coordsize="21600,21600" o:spt="202" path="m,l,21600r21600,l21600,xe">
              <v:stroke joinstyle="miter"/>
              <v:path gradientshapeok="t" o:connecttype="rect"/>
            </v:shapetype>
            <v:shape id="Text Box 17" o:spid="_x0000_s1040" type="#_x0000_t202" alt="PROTECTED" style="position:absolute;margin-left:0;margin-top:0;width:57.9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" filled="f" stroked="f">
              <v:textbox style="mso-fit-shape-to-text:t" inset="0,0,0,15pt">
                <w:txbxContent>
                  <w:p w14:paraId="43EEA117" w14:textId="34A6DA94"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45BE" w14:textId="0DC0CE3A" w:rsidR="00304578" w:rsidRPr="00751A23" w:rsidRDefault="00F3323A" w:rsidP="00D70B8D">
    <w:pPr>
      <w:pStyle w:val="Footer"/>
      <w:tabs>
        <w:tab w:val="clear" w:pos="4513"/>
        <w:tab w:val="center" w:pos="0"/>
      </w:tabs>
      <w:jc w:val="center"/>
      <w:rPr>
        <w:szCs w:val="20"/>
      </w:rPr>
    </w:pPr>
    <w:r>
      <w:rPr>
        <w:noProof/>
        <w:lang w:eastAsia="en-AU"/>
      </w:rPr>
      <mc:AlternateContent>
        <mc:Choice Requires="wps">
          <w:drawing>
            <wp:anchor distT="0" distB="0" distL="0" distR="0" simplePos="0" relativeHeight="251658260" behindDoc="0" locked="0" layoutInCell="1" allowOverlap="1" wp14:anchorId="638DBE6B" wp14:editId="49B96A00">
              <wp:simplePos x="635" y="635"/>
              <wp:positionH relativeFrom="page">
                <wp:align>center</wp:align>
              </wp:positionH>
              <wp:positionV relativeFrom="page">
                <wp:align>bottom</wp:align>
              </wp:positionV>
              <wp:extent cx="735330" cy="376555"/>
              <wp:effectExtent l="0" t="0" r="7620" b="0"/>
              <wp:wrapNone/>
              <wp:docPr id="1801877293" name="Text Box 18"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5542E06B" w14:textId="570B43DF" w:rsidR="00F3323A" w:rsidRPr="00F3323A" w:rsidRDefault="00F3323A" w:rsidP="00F3323A">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8DBE6B" id="_x0000_t202" coordsize="21600,21600" o:spt="202" path="m,l,21600r21600,l21600,xe">
              <v:stroke joinstyle="miter"/>
              <v:path gradientshapeok="t" o:connecttype="rect"/>
            </v:shapetype>
            <v:shape id="Text Box 18" o:spid="_x0000_s1037" type="#_x0000_t202" alt="PROTECTED" style="position:absolute;left:0;text-align:left;margin-left:0;margin-top:0;width:57.9pt;height:29.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" filled="f" stroked="f">
              <v:textbox style="mso-fit-shape-to-text:t" inset="0,0,0,15pt">
                <w:txbxContent>
                  <w:p w14:paraId="5542E06B" w14:textId="570B43DF" w:rsidR="00F3323A" w:rsidRPr="00F3323A" w:rsidRDefault="00F3323A" w:rsidP="00F3323A">
                    <w:pPr>
                      <w:rPr>
                        <w:rFonts w:ascii="Calibri" w:eastAsia="Calibri" w:hAnsi="Calibri" w:cs="Calibri"/>
                        <w:noProof/>
                        <w:color w:val="FF0000"/>
                        <w:sz w:val="24"/>
                      </w:rPr>
                    </w:pPr>
                  </w:p>
                </w:txbxContent>
              </v:textbox>
              <w10:wrap anchorx="page" anchory="page"/>
            </v:shape>
          </w:pict>
        </mc:Fallback>
      </mc:AlternateContent>
    </w:r>
    <w:r w:rsidR="00304578" w:rsidRPr="28A5D1EA">
      <w:t xml:space="preserve"> </w:t>
    </w:r>
    <w:sdt>
      <w:sdtPr>
        <w:rPr>
          <w:szCs w:val="20"/>
        </w:rPr>
        <w:id w:val="-443848716"/>
        <w:docPartObj>
          <w:docPartGallery w:val="Page Numbers (Bottom of Page)"/>
          <w:docPartUnique/>
        </w:docPartObj>
      </w:sdtPr>
      <w:sdtEndPr>
        <w:rPr>
          <w:noProof/>
        </w:rPr>
      </w:sdtEndPr>
      <w:sdtContent>
        <w:r w:rsidR="00304578">
          <w:rPr>
            <w:szCs w:val="20"/>
          </w:rPr>
          <w:tab/>
        </w:r>
        <w:r w:rsidR="00304578" w:rsidRPr="006043C7">
          <w:rPr>
            <w:szCs w:val="20"/>
          </w:rPr>
          <w:fldChar w:fldCharType="begin"/>
        </w:r>
        <w:r w:rsidR="00304578" w:rsidRPr="006043C7">
          <w:rPr>
            <w:szCs w:val="20"/>
          </w:rPr>
          <w:instrText xml:space="preserve"> PAGE   \* MERGEFORMAT </w:instrText>
        </w:r>
        <w:r w:rsidR="00304578" w:rsidRPr="006043C7">
          <w:rPr>
            <w:szCs w:val="20"/>
          </w:rPr>
          <w:fldChar w:fldCharType="separate"/>
        </w:r>
        <w:r w:rsidR="00D84F72">
          <w:rPr>
            <w:noProof/>
            <w:szCs w:val="20"/>
          </w:rPr>
          <w:t>69</w:t>
        </w:r>
        <w:r w:rsidR="00304578" w:rsidRPr="006043C7">
          <w:rPr>
            <w:noProof/>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F6FD" w14:textId="09E448BE" w:rsidR="00304578" w:rsidRDefault="00F3323A">
    <w:pPr>
      <w:pStyle w:val="Footer"/>
    </w:pPr>
    <w:r>
      <w:rPr>
        <w:noProof/>
        <w:lang w:eastAsia="en-AU"/>
      </w:rPr>
      <mc:AlternateContent>
        <mc:Choice Requires="wps">
          <w:drawing>
            <wp:anchor distT="0" distB="0" distL="0" distR="0" simplePos="0" relativeHeight="251658258" behindDoc="0" locked="0" layoutInCell="1" allowOverlap="1" wp14:anchorId="15C75853" wp14:editId="50E8536C">
              <wp:simplePos x="635" y="635"/>
              <wp:positionH relativeFrom="page">
                <wp:align>center</wp:align>
              </wp:positionH>
              <wp:positionV relativeFrom="page">
                <wp:align>bottom</wp:align>
              </wp:positionV>
              <wp:extent cx="735330" cy="376555"/>
              <wp:effectExtent l="0" t="0" r="7620" b="0"/>
              <wp:wrapNone/>
              <wp:docPr id="1438493522" name="Text Box 16"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1C3F7DCD" w14:textId="16CD4CCC" w:rsidR="00F3323A" w:rsidRPr="00F3323A" w:rsidRDefault="00F3323A" w:rsidP="00F3323A">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C75853" id="_x0000_t202" coordsize="21600,21600" o:spt="202" path="m,l,21600r21600,l21600,xe">
              <v:stroke joinstyle="miter"/>
              <v:path gradientshapeok="t" o:connecttype="rect"/>
            </v:shapetype>
            <v:shape id="Text Box 16" o:spid="_x0000_s1039" type="#_x0000_t202" alt="PROTECTED" style="position:absolute;margin-left:0;margin-top:0;width:57.9pt;height:29.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" filled="f" stroked="f">
              <v:textbox style="mso-fit-shape-to-text:t" inset="0,0,0,15pt">
                <w:txbxContent>
                  <w:p w14:paraId="1C3F7DCD" w14:textId="16CD4CCC" w:rsidR="00F3323A" w:rsidRPr="00F3323A" w:rsidRDefault="00F3323A" w:rsidP="00F3323A">
                    <w:pPr>
                      <w:rPr>
                        <w:rFonts w:ascii="Calibri" w:eastAsia="Calibri" w:hAnsi="Calibri" w:cs="Calibri"/>
                        <w:noProof/>
                        <w:color w:val="FF0000"/>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AB4DB" w14:textId="77777777" w:rsidR="003B49C8" w:rsidRDefault="003B49C8" w:rsidP="006B56BB">
      <w:r>
        <w:separator/>
      </w:r>
    </w:p>
    <w:p w14:paraId="36E90CC7" w14:textId="77777777" w:rsidR="003B49C8" w:rsidRDefault="003B49C8"/>
  </w:footnote>
  <w:footnote w:type="continuationSeparator" w:id="0">
    <w:p w14:paraId="6AA977C9" w14:textId="77777777" w:rsidR="003B49C8" w:rsidRDefault="003B49C8" w:rsidP="006B56BB">
      <w:r>
        <w:continuationSeparator/>
      </w:r>
    </w:p>
    <w:p w14:paraId="02654180" w14:textId="77777777" w:rsidR="003B49C8" w:rsidRDefault="003B49C8"/>
  </w:footnote>
  <w:footnote w:type="continuationNotice" w:id="1">
    <w:p w14:paraId="51C6F8B6" w14:textId="77777777" w:rsidR="003B49C8" w:rsidRDefault="003B49C8"/>
  </w:footnote>
  <w:footnote w:id="2">
    <w:p w14:paraId="63410C51" w14:textId="07EF5BB7" w:rsidR="00304578" w:rsidRDefault="00304578">
      <w:pPr>
        <w:pStyle w:val="FootnoteText"/>
      </w:pPr>
      <w:r>
        <w:rPr>
          <w:rStyle w:val="FootnoteReference"/>
        </w:rPr>
        <w:footnoteRef/>
      </w:r>
      <w:r>
        <w:t xml:space="preserve"> Australian Government, 2014, </w:t>
      </w:r>
      <w:hyperlink r:id="rId1" w:history="1">
        <w:r w:rsidRPr="291344C3">
          <w:rPr>
            <w:rStyle w:val="Hyperlink"/>
          </w:rPr>
          <w:t>Quality of Care Principles 2014 - Federal Register of Legislation</w:t>
        </w:r>
      </w:hyperlink>
      <w:r w:rsidRPr="002B3914">
        <w:t xml:space="preserve">, </w:t>
      </w:r>
      <w:r>
        <w:t>Accessed 4 July 2025.</w:t>
      </w:r>
    </w:p>
  </w:footnote>
  <w:footnote w:id="3">
    <w:p w14:paraId="3A62CA4D" w14:textId="420C4F3B" w:rsidR="00304578" w:rsidRDefault="00304578">
      <w:pPr>
        <w:pStyle w:val="FootnoteText"/>
      </w:pPr>
      <w:r>
        <w:rPr>
          <w:rStyle w:val="FootnoteReference"/>
        </w:rPr>
        <w:footnoteRef/>
      </w:r>
      <w:r>
        <w:t xml:space="preserve"> Australian Government, 2023, </w:t>
      </w:r>
      <w:hyperlink r:id="rId2">
        <w:r w:rsidRPr="63550EE9">
          <w:rPr>
            <w:rStyle w:val="Hyperlink"/>
          </w:rPr>
          <w:t>Aged Care Legislation Amendment (Care Minutes Responsibilities) Principles 2023 - Federal Register of Legislation</w:t>
        </w:r>
      </w:hyperlink>
      <w:r w:rsidRPr="001C5653">
        <w:t xml:space="preserve">, Accessed 4 July 2025. </w:t>
      </w:r>
    </w:p>
  </w:footnote>
  <w:footnote w:id="4">
    <w:p w14:paraId="75FB854B" w14:textId="40B81537" w:rsidR="00304578" w:rsidRDefault="00304578" w:rsidP="00F01BBF">
      <w:pPr>
        <w:pStyle w:val="FootnoteText"/>
        <w:rPr>
          <w:rFonts w:eastAsia="Arial" w:cs="Arial"/>
          <w:color w:val="000000" w:themeColor="text1"/>
          <w:sz w:val="16"/>
          <w:szCs w:val="16"/>
        </w:rPr>
      </w:pPr>
      <w:r w:rsidRPr="57D3DD48">
        <w:rPr>
          <w:rStyle w:val="FootnoteReference"/>
        </w:rPr>
        <w:footnoteRef/>
      </w:r>
      <w:r>
        <w:t xml:space="preserve">A provider is the organisation responsible for running </w:t>
      </w:r>
      <w:r w:rsidRPr="0072245C">
        <w:t>approved residential aged care homes</w:t>
      </w:r>
      <w:r>
        <w:t>. There are currently around 750 providers than run around 2600 services.</w:t>
      </w:r>
    </w:p>
  </w:footnote>
  <w:footnote w:id="5">
    <w:p w14:paraId="159C5B3D" w14:textId="0BBA746F" w:rsidR="00304578" w:rsidRDefault="00304578">
      <w:pPr>
        <w:pStyle w:val="FootnoteText"/>
      </w:pPr>
      <w:r>
        <w:rPr>
          <w:rStyle w:val="FootnoteReference"/>
        </w:rPr>
        <w:footnoteRef/>
      </w:r>
      <w:r>
        <w:t xml:space="preserve"> Department of Health, Disability and Ageing (DoHDA), 10 June 2025, </w:t>
      </w:r>
      <w:hyperlink r:id="rId3">
        <w:r w:rsidRPr="4CAD9693">
          <w:rPr>
            <w:rStyle w:val="Hyperlink"/>
          </w:rPr>
          <w:t>The Australian National Aged Care Classification (AN-ACC) funding guide | Australian Government Department of Health, Disability and Ageing</w:t>
        </w:r>
      </w:hyperlink>
      <w:r w:rsidRPr="4CAD9693">
        <w:t>, Accessed 4 July 2025.</w:t>
      </w:r>
    </w:p>
  </w:footnote>
  <w:footnote w:id="6">
    <w:p w14:paraId="6AB9AC62" w14:textId="3AADE5CC" w:rsidR="00304578" w:rsidRDefault="00304578" w:rsidP="41FD9E8B">
      <w:pPr>
        <w:pStyle w:val="FootnoteText"/>
      </w:pPr>
      <w:r>
        <w:rPr>
          <w:rStyle w:val="FootnoteReference"/>
        </w:rPr>
        <w:footnoteRef/>
      </w:r>
      <w:r>
        <w:t xml:space="preserve"> DoHDA, 23 June 2025, Accessed 4 July 2025.</w:t>
      </w:r>
    </w:p>
  </w:footnote>
  <w:footnote w:id="7">
    <w:p w14:paraId="59E7005E" w14:textId="59B61238" w:rsidR="00304578" w:rsidRDefault="00304578">
      <w:pPr>
        <w:pStyle w:val="FootnoteText"/>
      </w:pPr>
      <w:r>
        <w:rPr>
          <w:rStyle w:val="FootnoteReference"/>
        </w:rPr>
        <w:footnoteRef/>
      </w:r>
      <w:r>
        <w:t xml:space="preserve"> DoHDA, 23 June 2025, </w:t>
      </w:r>
      <w:hyperlink r:id="rId4" w:history="1">
        <w:r w:rsidRPr="7DEDEA4C">
          <w:rPr>
            <w:rStyle w:val="Hyperlink"/>
          </w:rPr>
          <w:t>Care minutes and 24/7 registered nurses in residential aged care | Australian Government Department of Health, Disability and Ageing</w:t>
        </w:r>
      </w:hyperlink>
      <w:r>
        <w:t>, Accessed 4 July 2025.</w:t>
      </w:r>
    </w:p>
  </w:footnote>
  <w:footnote w:id="8">
    <w:p w14:paraId="59372794" w14:textId="52340556" w:rsidR="00304578" w:rsidRDefault="00304578">
      <w:pPr>
        <w:pStyle w:val="FootnoteText"/>
      </w:pPr>
      <w:r>
        <w:rPr>
          <w:rStyle w:val="FootnoteReference"/>
        </w:rPr>
        <w:footnoteRef/>
      </w:r>
      <w:r>
        <w:t xml:space="preserve"> DoHDA, 2025, </w:t>
      </w:r>
      <w:hyperlink r:id="rId5" w:history="1">
        <w:r w:rsidRPr="7DEDEA4C">
          <w:rPr>
            <w:rStyle w:val="Hyperlink"/>
          </w:rPr>
          <w:t>Support to comply with the care minutes responsibility | Australian Government Department of Health, Disability and Ageing</w:t>
        </w:r>
      </w:hyperlink>
      <w:r>
        <w:t>, Accessed 4 July 2025</w:t>
      </w:r>
      <w:r w:rsidR="00434275">
        <w:t>.</w:t>
      </w:r>
      <w:r>
        <w:t xml:space="preserve"> </w:t>
      </w:r>
    </w:p>
  </w:footnote>
  <w:footnote w:id="9">
    <w:p w14:paraId="6AAD43E5" w14:textId="3B112C59" w:rsidR="00304578" w:rsidRDefault="00304578" w:rsidP="030CCFD8">
      <w:pPr>
        <w:pStyle w:val="FootnoteText"/>
      </w:pPr>
      <w:r>
        <w:rPr>
          <w:rStyle w:val="FootnoteReference"/>
        </w:rPr>
        <w:footnoteRef/>
      </w:r>
      <w:r>
        <w:t xml:space="preserve"> Aged Care Quality and Safety Commission (ACQSC), 18 November 2024, </w:t>
      </w:r>
      <w:hyperlink r:id="rId6">
        <w:r w:rsidRPr="030CCFD8">
          <w:rPr>
            <w:rStyle w:val="Hyperlink"/>
          </w:rPr>
          <w:t>RB 2023-19 Workforce-related responsibilities | Aged Care Quality and Safety Commission</w:t>
        </w:r>
      </w:hyperlink>
      <w:r w:rsidRPr="030CCFD8">
        <w:t>, Accessed 4 July 2025.</w:t>
      </w:r>
    </w:p>
  </w:footnote>
  <w:footnote w:id="10">
    <w:p w14:paraId="37929198" w14:textId="52E29B8A" w:rsidR="00304578" w:rsidRDefault="00304578">
      <w:pPr>
        <w:pStyle w:val="FootnoteText"/>
      </w:pPr>
      <w:r>
        <w:rPr>
          <w:rStyle w:val="FootnoteReference"/>
        </w:rPr>
        <w:footnoteRef/>
      </w:r>
      <w:r>
        <w:t xml:space="preserve"> DoHDA, 31 March 2025, </w:t>
      </w:r>
      <w:hyperlink r:id="rId7" w:history="1">
        <w:r w:rsidRPr="030CCFD8">
          <w:rPr>
            <w:rStyle w:val="Hyperlink"/>
          </w:rPr>
          <w:t>Star Ratings for residential aged care | Australian Government Department of Health, Disability and Ageing</w:t>
        </w:r>
      </w:hyperlink>
      <w:r w:rsidRPr="00DF3FC5">
        <w:t>,</w:t>
      </w:r>
      <w:r>
        <w:t xml:space="preserve"> Accessed 4 July 2025.</w:t>
      </w:r>
    </w:p>
  </w:footnote>
  <w:footnote w:id="11">
    <w:p w14:paraId="1904B019" w14:textId="1BAA1DA2" w:rsidR="00304578" w:rsidRDefault="00304578">
      <w:pPr>
        <w:pStyle w:val="FootnoteText"/>
      </w:pPr>
      <w:r>
        <w:rPr>
          <w:rStyle w:val="FootnoteReference"/>
        </w:rPr>
        <w:footnoteRef/>
      </w:r>
      <w:r>
        <w:t xml:space="preserve"> myagedcare, n.d., </w:t>
      </w:r>
      <w:hyperlink r:id="rId8" w:history="1">
        <w:r w:rsidRPr="030CCFD8">
          <w:rPr>
            <w:rStyle w:val="Hyperlink"/>
          </w:rPr>
          <w:t>Access Australian aged care information and services | My Aged Care</w:t>
        </w:r>
      </w:hyperlink>
      <w:r>
        <w:t>, Accessed 4 July 2025.</w:t>
      </w:r>
    </w:p>
  </w:footnote>
  <w:footnote w:id="12">
    <w:p w14:paraId="065B9DC5" w14:textId="5F9CA6B8" w:rsidR="00304578" w:rsidRDefault="00304578">
      <w:pPr>
        <w:pStyle w:val="FootnoteText"/>
      </w:pPr>
      <w:r>
        <w:rPr>
          <w:rStyle w:val="FootnoteReference"/>
        </w:rPr>
        <w:footnoteRef/>
      </w:r>
      <w:r>
        <w:t xml:space="preserve"> myagedcare, n.d., </w:t>
      </w:r>
      <w:hyperlink r:id="rId9" w:history="1">
        <w:r w:rsidRPr="030CCFD8">
          <w:rPr>
            <w:rStyle w:val="Hyperlink"/>
          </w:rPr>
          <w:t>Find a provider | My Aged Care</w:t>
        </w:r>
      </w:hyperlink>
      <w:r>
        <w:t>, Accessed 4 July 2025.</w:t>
      </w:r>
    </w:p>
  </w:footnote>
  <w:footnote w:id="13">
    <w:p w14:paraId="379D0AF5" w14:textId="2AA00995" w:rsidR="00304578" w:rsidRDefault="00304578" w:rsidP="27E85D55">
      <w:pPr>
        <w:pStyle w:val="FootnoteText"/>
      </w:pPr>
      <w:r w:rsidRPr="27E85D55">
        <w:rPr>
          <w:rStyle w:val="FootnoteReference"/>
        </w:rPr>
        <w:footnoteRef/>
      </w:r>
      <w:r>
        <w:t xml:space="preserve"> Allen and Clarke Consulting, 2024, </w:t>
      </w:r>
      <w:hyperlink r:id="rId10">
        <w:r w:rsidRPr="27E85D55">
          <w:rPr>
            <w:rStyle w:val="Hyperlink"/>
          </w:rPr>
          <w:t>Star Ratings Evaluation – Summary report | Australian Government Department of Health, Disability and Ageing</w:t>
        </w:r>
      </w:hyperlink>
      <w:r>
        <w:t xml:space="preserve">, Accessed 4 July 2025. </w:t>
      </w:r>
    </w:p>
  </w:footnote>
  <w:footnote w:id="14">
    <w:p w14:paraId="30B86E69" w14:textId="77777777" w:rsidR="00304578" w:rsidRDefault="00304578" w:rsidP="00F071D4">
      <w:pPr>
        <w:pStyle w:val="FootnoteText"/>
      </w:pPr>
      <w:r>
        <w:rPr>
          <w:rStyle w:val="FootnoteReference"/>
        </w:rPr>
        <w:footnoteRef/>
      </w:r>
      <w:r>
        <w:t xml:space="preserve"> DoHDA, 16 June 2025, </w:t>
      </w:r>
      <w:hyperlink r:id="rId11">
        <w:r w:rsidRPr="030CCFD8">
          <w:rPr>
            <w:rStyle w:val="Hyperlink"/>
          </w:rPr>
          <w:t>Service-level care minutes performance in residential aged care (from October to December 2024) | Australian Government Department of Health, Disability and Ageing</w:t>
        </w:r>
      </w:hyperlink>
      <w:r w:rsidRPr="030CCFD8">
        <w:t>, Accessed 4 July 2025.</w:t>
      </w:r>
    </w:p>
  </w:footnote>
  <w:footnote w:id="15">
    <w:p w14:paraId="2E7076A1" w14:textId="753246B9" w:rsidR="00304578" w:rsidRDefault="00304578" w:rsidP="0082480B">
      <w:pPr>
        <w:pStyle w:val="FootnoteText"/>
        <w:spacing w:line="259" w:lineRule="auto"/>
      </w:pPr>
      <w:r>
        <w:rPr>
          <w:rStyle w:val="FootnoteReference"/>
        </w:rPr>
        <w:footnoteRef/>
      </w:r>
      <w:r>
        <w:t xml:space="preserve"> DoHDA, 2 October 2024, </w:t>
      </w:r>
      <w:hyperlink r:id="rId12">
        <w:r w:rsidRPr="4396B290">
          <w:rPr>
            <w:rStyle w:val="Hyperlink"/>
          </w:rPr>
          <w:t>Provider-level care minutes performance (from October 2023) | Australian Government Department of Health, Disability and Ageing</w:t>
        </w:r>
      </w:hyperlink>
      <w:r w:rsidRPr="4396B290">
        <w:t>, Accessed 4 July 2025.</w:t>
      </w:r>
    </w:p>
  </w:footnote>
  <w:footnote w:id="16">
    <w:p w14:paraId="2B83D914" w14:textId="24D012F5" w:rsidR="00304578" w:rsidRDefault="00304578" w:rsidP="00F071D4">
      <w:pPr>
        <w:pStyle w:val="FootnoteText"/>
      </w:pPr>
      <w:r>
        <w:rPr>
          <w:rStyle w:val="FootnoteReference"/>
        </w:rPr>
        <w:footnoteRef/>
      </w:r>
      <w:r>
        <w:t xml:space="preserve"> DoHDA, 3 July 2025, </w:t>
      </w:r>
      <w:hyperlink r:id="rId13" w:history="1">
        <w:r w:rsidRPr="4396B290">
          <w:rPr>
            <w:rStyle w:val="Hyperlink"/>
          </w:rPr>
          <w:t>Care minutes in residential aged care dashboard | Australian Government Department of Health, Disability and Ageing</w:t>
        </w:r>
      </w:hyperlink>
      <w:r>
        <w:t xml:space="preserve">, Accessed 4 July 2025. </w:t>
      </w:r>
    </w:p>
  </w:footnote>
  <w:footnote w:id="17">
    <w:p w14:paraId="78028D5B" w14:textId="273C98BC" w:rsidR="7083F0C8" w:rsidRDefault="7083F0C8" w:rsidP="00802810">
      <w:pPr>
        <w:pStyle w:val="FootnoteText"/>
      </w:pPr>
      <w:r w:rsidRPr="7083F0C8">
        <w:rPr>
          <w:rStyle w:val="FootnoteReference"/>
        </w:rPr>
        <w:footnoteRef/>
      </w:r>
      <w:r>
        <w:t xml:space="preserve"> Australian Government Royal Commission into Aged Care Quality and Safety, 2021, </w:t>
      </w:r>
      <w:hyperlink r:id="rId14" w:history="1">
        <w:r w:rsidRPr="7083F0C8">
          <w:rPr>
            <w:rStyle w:val="Hyperlink"/>
          </w:rPr>
          <w:t>Aged Care Quality and Safety final report</w:t>
        </w:r>
      </w:hyperlink>
      <w:r>
        <w:t>, Executive Summary, p 129, Accessed 6 July 2025.</w:t>
      </w:r>
    </w:p>
  </w:footnote>
  <w:footnote w:id="18">
    <w:p w14:paraId="2ED9F0D8" w14:textId="5D73FC45" w:rsidR="00304578" w:rsidRDefault="00304578" w:rsidP="3C3C4F3C">
      <w:pPr>
        <w:pStyle w:val="FootnoteText"/>
      </w:pPr>
      <w:r w:rsidRPr="3C3C4F3C">
        <w:rPr>
          <w:rStyle w:val="FootnoteReference"/>
        </w:rPr>
        <w:footnoteRef/>
      </w:r>
      <w:r>
        <w:t xml:space="preserve"> Australian Government Royal Commission into Aged Care Quality and Safety, 2021, </w:t>
      </w:r>
      <w:hyperlink r:id="rId15">
        <w:r w:rsidRPr="3C3C4F3C">
          <w:rPr>
            <w:rStyle w:val="Hyperlink"/>
          </w:rPr>
          <w:t>Aged Care Quality and Safety final report</w:t>
        </w:r>
      </w:hyperlink>
      <w:r>
        <w:t xml:space="preserve">, Executive Summary, p 129, Accessed 6 July 2025. </w:t>
      </w:r>
    </w:p>
  </w:footnote>
  <w:footnote w:id="19">
    <w:p w14:paraId="03777A95" w14:textId="6ED89C56" w:rsidR="00304578" w:rsidRDefault="00304578" w:rsidP="3C3C4F3C">
      <w:pPr>
        <w:pStyle w:val="FootnoteText"/>
      </w:pPr>
      <w:r w:rsidRPr="3C3C4F3C">
        <w:rPr>
          <w:rStyle w:val="FootnoteReference"/>
        </w:rPr>
        <w:footnoteRef/>
      </w:r>
      <w:r>
        <w:t xml:space="preserve"> Dellefield, ME, Castle, NG, McGilton, KS, et al, 2015, The Relationship Between Registered Nurses and Nursing Home Quality: An Integrative Review (2008-2014),</w:t>
      </w:r>
      <w:r w:rsidRPr="3C3C4F3C">
        <w:rPr>
          <w:i/>
          <w:iCs/>
        </w:rPr>
        <w:t xml:space="preserve"> Nursing Economics</w:t>
      </w:r>
      <w:r>
        <w:t>, 2015, 33 (2), p. 116, 95-108.</w:t>
      </w:r>
    </w:p>
  </w:footnote>
  <w:footnote w:id="20">
    <w:p w14:paraId="75EA0229" w14:textId="0361A680" w:rsidR="00304578" w:rsidRDefault="00304578" w:rsidP="00854B63">
      <w:r w:rsidRPr="00EF16D8">
        <w:rPr>
          <w:sz w:val="20"/>
          <w:szCs w:val="20"/>
          <w:vertAlign w:val="superscript"/>
        </w:rPr>
        <w:footnoteRef/>
      </w:r>
      <w:r w:rsidRPr="00D04789">
        <w:rPr>
          <w:sz w:val="20"/>
          <w:szCs w:val="20"/>
        </w:rPr>
        <w:t xml:space="preserve"> Aged care providers report direct care hours delivered by RNs, ENs and PCWs/AINs together with occupied bed days in the QFR. This data is checked for reasonableness by the department upon submission, and </w:t>
      </w:r>
      <w:r>
        <w:rPr>
          <w:sz w:val="20"/>
          <w:szCs w:val="20"/>
        </w:rPr>
        <w:t xml:space="preserve">is </w:t>
      </w:r>
      <w:r w:rsidRPr="00D04789">
        <w:rPr>
          <w:sz w:val="20"/>
          <w:szCs w:val="20"/>
        </w:rPr>
        <w:t xml:space="preserve">either accepted, or the provider is contacted and asked to check </w:t>
      </w:r>
      <w:r>
        <w:rPr>
          <w:sz w:val="20"/>
          <w:szCs w:val="20"/>
        </w:rPr>
        <w:t xml:space="preserve">if </w:t>
      </w:r>
      <w:r w:rsidRPr="00D04789">
        <w:rPr>
          <w:sz w:val="20"/>
          <w:szCs w:val="20"/>
        </w:rPr>
        <w:t xml:space="preserve">the data is correct and </w:t>
      </w:r>
      <w:r>
        <w:rPr>
          <w:sz w:val="20"/>
          <w:szCs w:val="20"/>
        </w:rPr>
        <w:t xml:space="preserve">to </w:t>
      </w:r>
      <w:r w:rsidRPr="00D04789">
        <w:rPr>
          <w:sz w:val="20"/>
          <w:szCs w:val="20"/>
        </w:rPr>
        <w:t xml:space="preserve">explain any anomalies. A sample of this reporting is also checked in detail (including comparing to payroll records and role descriptions of workers) by the department through the reporting assessment </w:t>
      </w:r>
      <w:r>
        <w:rPr>
          <w:sz w:val="20"/>
          <w:szCs w:val="20"/>
        </w:rPr>
        <w:t>program</w:t>
      </w:r>
      <w:r w:rsidRPr="00D04789">
        <w:rPr>
          <w:sz w:val="20"/>
          <w:szCs w:val="20"/>
        </w:rPr>
        <w:t xml:space="preserve">. Reporting assessments from the department </w:t>
      </w:r>
      <w:r w:rsidR="0058667E">
        <w:rPr>
          <w:sz w:val="20"/>
          <w:szCs w:val="20"/>
        </w:rPr>
        <w:t>generally support</w:t>
      </w:r>
      <w:r w:rsidRPr="00D04789">
        <w:rPr>
          <w:sz w:val="20"/>
          <w:szCs w:val="20"/>
        </w:rPr>
        <w:t xml:space="preserve"> that the sector is</w:t>
      </w:r>
      <w:r w:rsidR="004B75CB">
        <w:rPr>
          <w:sz w:val="20"/>
          <w:szCs w:val="20"/>
        </w:rPr>
        <w:t xml:space="preserve"> </w:t>
      </w:r>
      <w:r w:rsidRPr="00D04789">
        <w:rPr>
          <w:sz w:val="20"/>
          <w:szCs w:val="20"/>
        </w:rPr>
        <w:t>mostly</w:t>
      </w:r>
      <w:r>
        <w:rPr>
          <w:sz w:val="20"/>
          <w:szCs w:val="20"/>
        </w:rPr>
        <w:t xml:space="preserve"> </w:t>
      </w:r>
      <w:r w:rsidRPr="00D04789">
        <w:rPr>
          <w:sz w:val="20"/>
          <w:szCs w:val="20"/>
        </w:rPr>
        <w:t>reporting accurately (with around 10% of reporting assessments over the last 10 months resulting in providers’ data needing to be resubmitted to correct reporting errors).</w:t>
      </w:r>
    </w:p>
  </w:footnote>
  <w:footnote w:id="21">
    <w:p w14:paraId="0E80FC85" w14:textId="45A1D6E8" w:rsidR="00304578" w:rsidRDefault="00304578">
      <w:pPr>
        <w:pStyle w:val="FootnoteText"/>
      </w:pPr>
      <w:r>
        <w:rPr>
          <w:rStyle w:val="FootnoteReference"/>
        </w:rPr>
        <w:footnoteRef/>
      </w:r>
      <w:r>
        <w:t xml:space="preserve"> National Skills Commission, 2021, </w:t>
      </w:r>
      <w:hyperlink r:id="rId16">
        <w:r w:rsidRPr="4DE75EC6">
          <w:rPr>
            <w:rStyle w:val="Hyperlink"/>
          </w:rPr>
          <w:t>Care Workforce Labour Market Study</w:t>
        </w:r>
      </w:hyperlink>
      <w:r w:rsidRPr="00D97693">
        <w:t>, Accessed 6 July 2025.</w:t>
      </w:r>
    </w:p>
  </w:footnote>
  <w:footnote w:id="22">
    <w:p w14:paraId="50370891" w14:textId="6CBE5513" w:rsidR="00304578" w:rsidRDefault="00304578" w:rsidP="00F31101">
      <w:pPr>
        <w:pStyle w:val="Paragraphtext"/>
      </w:pPr>
      <w:r>
        <w:rPr>
          <w:rStyle w:val="FootnoteReference"/>
        </w:rPr>
        <w:footnoteRef/>
      </w:r>
      <w:r>
        <w:t xml:space="preserve"> </w:t>
      </w:r>
      <w:r w:rsidRPr="00945522">
        <w:rPr>
          <w:sz w:val="20"/>
          <w:szCs w:val="20"/>
        </w:rPr>
        <w:t xml:space="preserve">The remoteness of aged care services are generally measured by the Modified Monash (MM) Model classification system. This system classifies locations into one of 7 categories ranging from metropolitan (MM1) to very remote communities (MM7). DoHDA, 10 April 2025, </w:t>
      </w:r>
      <w:hyperlink r:id="rId17" w:history="1">
        <w:r w:rsidRPr="00945522">
          <w:rPr>
            <w:rStyle w:val="Hyperlink"/>
            <w:sz w:val="20"/>
            <w:szCs w:val="20"/>
          </w:rPr>
          <w:t>Modified Monash Model | Australian Government Department of Health, Disability and Ageing</w:t>
        </w:r>
      </w:hyperlink>
      <w:r w:rsidRPr="00945522">
        <w:rPr>
          <w:sz w:val="20"/>
          <w:szCs w:val="20"/>
        </w:rPr>
        <w:t>, Accessed 6 July 2025.</w:t>
      </w:r>
    </w:p>
    <w:p w14:paraId="6A507EFC" w14:textId="77777777" w:rsidR="00304578" w:rsidRDefault="00304578" w:rsidP="00F31101">
      <w:pPr>
        <w:pStyle w:val="FootnoteText"/>
      </w:pPr>
    </w:p>
  </w:footnote>
  <w:footnote w:id="23">
    <w:p w14:paraId="7DF975CA" w14:textId="0B1EE853" w:rsidR="00304578" w:rsidRDefault="00304578">
      <w:pPr>
        <w:pStyle w:val="FootnoteText"/>
      </w:pPr>
      <w:r>
        <w:rPr>
          <w:rStyle w:val="FootnoteReference"/>
        </w:rPr>
        <w:footnoteRef/>
      </w:r>
      <w:r>
        <w:t xml:space="preserve"> State and local government owned homes make up the remaining 7% of homes. Care minutes delivered in government owned homes is generally much higher than across the rest of the sector. This is in part because some state governments have additional staffing regulations that need to be met by government run homes, and because many of these homes receive additional state government funding. We do not present the performance of government run homes throughout this analysis, but the government homes are included in the ‘all homes’ and sector average data.</w:t>
      </w:r>
    </w:p>
  </w:footnote>
  <w:footnote w:id="24">
    <w:p w14:paraId="2E539074" w14:textId="53BFA8C1" w:rsidR="00304578" w:rsidRDefault="00304578">
      <w:pPr>
        <w:pStyle w:val="FootnoteText"/>
      </w:pPr>
      <w:r>
        <w:rPr>
          <w:rStyle w:val="FootnoteReference"/>
        </w:rPr>
        <w:footnoteRef/>
      </w:r>
      <w:r>
        <w:t xml:space="preserve"> DoHDA, 3 July 2025, </w:t>
      </w:r>
      <w:hyperlink r:id="rId18">
        <w:r w:rsidRPr="4DE75EC6">
          <w:rPr>
            <w:rStyle w:val="Hyperlink"/>
          </w:rPr>
          <w:t>Care minutes in residential aged care dashboard | Australian Government Department of Health, Disability and Ageing</w:t>
        </w:r>
      </w:hyperlink>
      <w:r w:rsidRPr="4DE75EC6">
        <w:t>, Accessed 6 July 2025.</w:t>
      </w:r>
    </w:p>
  </w:footnote>
  <w:footnote w:id="25">
    <w:p w14:paraId="625BF53D" w14:textId="1B9EB109" w:rsidR="00304578" w:rsidRDefault="00304578">
      <w:pPr>
        <w:pStyle w:val="FootnoteText"/>
      </w:pPr>
      <w:r>
        <w:rPr>
          <w:rStyle w:val="FootnoteReference"/>
        </w:rPr>
        <w:footnoteRef/>
      </w:r>
      <w:r>
        <w:t xml:space="preserve"> ACFR income and expense data is self-reported by providers, and like QFR data, validation checks are applied by the department, with providers asked to resubmit or explain their data if it falls outside of expected boundaries.</w:t>
      </w:r>
    </w:p>
  </w:footnote>
  <w:footnote w:id="26">
    <w:p w14:paraId="13E55788" w14:textId="6B591AC5" w:rsidR="00304578" w:rsidRDefault="00304578" w:rsidP="00216A70">
      <w:pPr>
        <w:pStyle w:val="Footer"/>
      </w:pPr>
      <w:r>
        <w:rPr>
          <w:rStyle w:val="FootnoteReference"/>
        </w:rPr>
        <w:footnoteRef/>
      </w:r>
      <w:r>
        <w:t xml:space="preserve"> Care spending includes spending on care minutes, care management, allied health, lifestyle, care consumables, care related administration, payroll tax related to care staff and other care expenses.</w:t>
      </w:r>
    </w:p>
  </w:footnote>
  <w:footnote w:id="27">
    <w:p w14:paraId="33D29B59" w14:textId="7AB9CE2D" w:rsidR="00304578" w:rsidRDefault="00304578" w:rsidP="00216A70">
      <w:pPr>
        <w:pStyle w:val="Footer"/>
      </w:pPr>
      <w:r>
        <w:rPr>
          <w:rStyle w:val="FootnoteReference"/>
        </w:rPr>
        <w:footnoteRef/>
      </w:r>
      <w:r>
        <w:t xml:space="preserve"> StewartBrown’s survey covers around 46% of the residential aged care sector and includes relatively more of the not-for-profit part of the sector than the for-profit. </w:t>
      </w:r>
    </w:p>
  </w:footnote>
  <w:footnote w:id="28">
    <w:p w14:paraId="653A706A" w14:textId="2E8B8EE6" w:rsidR="00304578" w:rsidRPr="00031987" w:rsidRDefault="00304578" w:rsidP="00031987">
      <w:pPr>
        <w:pStyle w:val="Footer"/>
        <w:spacing w:after="160" w:line="257" w:lineRule="auto"/>
        <w:rPr>
          <w:rStyle w:val="Hyperlink"/>
          <w:rFonts w:eastAsia="Arial"/>
          <w:color w:val="0563C1"/>
        </w:rPr>
      </w:pPr>
      <w:r>
        <w:rPr>
          <w:rStyle w:val="FootnoteReference"/>
        </w:rPr>
        <w:footnoteRef/>
      </w:r>
      <w:r>
        <w:t xml:space="preserve"> StewartBrown, 2025, </w:t>
      </w:r>
      <w:hyperlink r:id="rId19" w:history="1">
        <w:r w:rsidRPr="4DE75EC6">
          <w:rPr>
            <w:rStyle w:val="Hyperlink"/>
            <w:rFonts w:eastAsia="Arial" w:cs="Arial"/>
            <w:color w:val="0563C1"/>
            <w:szCs w:val="20"/>
          </w:rPr>
          <w:t xml:space="preserve">StewartBrown </w:t>
        </w:r>
        <w:r w:rsidRPr="00031987">
          <w:rPr>
            <w:rStyle w:val="Hyperlink"/>
            <w:rFonts w:eastAsia="Arial"/>
            <w:color w:val="0563C1"/>
          </w:rPr>
          <w:t xml:space="preserve">Aged Care Financial Performance Survey Report - 12 </w:t>
        </w:r>
        <w:r w:rsidRPr="4DE75EC6">
          <w:rPr>
            <w:rStyle w:val="Hyperlink"/>
            <w:rFonts w:eastAsia="Arial" w:cs="Arial"/>
            <w:color w:val="0563C1"/>
            <w:szCs w:val="20"/>
          </w:rPr>
          <w:t>months</w:t>
        </w:r>
        <w:r w:rsidRPr="00031987">
          <w:rPr>
            <w:rStyle w:val="Hyperlink"/>
            <w:rFonts w:eastAsia="Arial"/>
            <w:color w:val="0563C1"/>
          </w:rPr>
          <w:t xml:space="preserve"> ending 30 June 2024</w:t>
        </w:r>
        <w:r w:rsidRPr="4DE75EC6">
          <w:rPr>
            <w:rStyle w:val="Hyperlink"/>
            <w:rFonts w:eastAsia="Arial" w:cs="Arial"/>
            <w:color w:val="0563C1"/>
            <w:szCs w:val="20"/>
          </w:rPr>
          <w:t>.</w:t>
        </w:r>
      </w:hyperlink>
      <w:r w:rsidRPr="00031987">
        <w:rPr>
          <w:rStyle w:val="FootnoteReference"/>
        </w:rPr>
        <w:t xml:space="preserve"> </w:t>
      </w:r>
      <w:r w:rsidRPr="00896B99">
        <w:t>p 8,11</w:t>
      </w:r>
      <w:r>
        <w:t>, Accessed 6 July 2025.</w:t>
      </w:r>
    </w:p>
  </w:footnote>
  <w:footnote w:id="29">
    <w:p w14:paraId="0DEA20A3" w14:textId="06F17CE9" w:rsidR="00304578" w:rsidRDefault="00304578">
      <w:pPr>
        <w:pStyle w:val="FootnoteText"/>
      </w:pPr>
      <w:r>
        <w:rPr>
          <w:rStyle w:val="FootnoteReference"/>
        </w:rPr>
        <w:footnoteRef/>
      </w:r>
      <w:r>
        <w:t xml:space="preserve"> University of Technology Sydney (UTS) Ageing Research Collaborative (UARC), 2024, </w:t>
      </w:r>
      <w:hyperlink r:id="rId20">
        <w:r w:rsidRPr="4DE75EC6">
          <w:rPr>
            <w:rStyle w:val="Hyperlink"/>
          </w:rPr>
          <w:t>Australia’s Aged Care Sector: Mid-Year Report 2023–24</w:t>
        </w:r>
      </w:hyperlink>
      <w:r w:rsidRPr="00576013">
        <w:t>, UTS, Accessed 6 July 2025.</w:t>
      </w:r>
      <w:r>
        <w:t xml:space="preserve"> </w:t>
      </w:r>
    </w:p>
  </w:footnote>
  <w:footnote w:id="30">
    <w:p w14:paraId="71658298" w14:textId="77777777" w:rsidR="00304578" w:rsidRDefault="00304578" w:rsidP="006A7DA6">
      <w:pPr>
        <w:pStyle w:val="FootnoteText"/>
      </w:pPr>
      <w:r>
        <w:rPr>
          <w:rStyle w:val="FootnoteReference"/>
        </w:rPr>
        <w:footnoteRef/>
      </w:r>
      <w:r>
        <w:t xml:space="preserve"> StewartBrown’s July to December 2023 survey covers around 46% of the residential aged care sector, with data received for 1,203 aged care homes, of which 1187 were included. Unlike the Government, StewartBrown collects a full set of financial data quarterly from providers that subscribe to their service.</w:t>
      </w:r>
    </w:p>
  </w:footnote>
  <w:footnote w:id="31">
    <w:p w14:paraId="1C24D2BC" w14:textId="2A68D132" w:rsidR="00304578" w:rsidRDefault="00304578">
      <w:pPr>
        <w:pStyle w:val="FootnoteText"/>
      </w:pPr>
      <w:r>
        <w:rPr>
          <w:rStyle w:val="FootnoteReference"/>
        </w:rPr>
        <w:footnoteRef/>
      </w:r>
      <w:r>
        <w:t xml:space="preserve"> UTS UARC, 2024, </w:t>
      </w:r>
      <w:hyperlink r:id="rId21" w:history="1">
        <w:r w:rsidRPr="00C821A5">
          <w:rPr>
            <w:rStyle w:val="Hyperlink"/>
          </w:rPr>
          <w:t>UTS UARC Aged Care Sector Full Year Report 2023-24</w:t>
        </w:r>
      </w:hyperlink>
      <w:r w:rsidRPr="00CB3470">
        <w:rPr>
          <w:rStyle w:val="Hyperlink"/>
          <w:color w:val="auto"/>
        </w:rPr>
        <w:t>,</w:t>
      </w:r>
      <w:r>
        <w:rPr>
          <w:rStyle w:val="Hyperlink"/>
          <w:color w:val="auto"/>
        </w:rPr>
        <w:t xml:space="preserve"> </w:t>
      </w:r>
      <w:r>
        <w:t>p 9, UTS, Accessed 6 July 2025.</w:t>
      </w:r>
    </w:p>
  </w:footnote>
  <w:footnote w:id="32">
    <w:p w14:paraId="78650229" w14:textId="4CAA9C6D" w:rsidR="00304578" w:rsidRDefault="00304578">
      <w:pPr>
        <w:pStyle w:val="FootnoteText"/>
      </w:pPr>
      <w:r>
        <w:rPr>
          <w:rStyle w:val="FootnoteReference"/>
        </w:rPr>
        <w:footnoteRef/>
      </w:r>
      <w:r>
        <w:t xml:space="preserve"> DoHDA, 2 October 2024, </w:t>
      </w:r>
      <w:hyperlink r:id="rId22">
        <w:r w:rsidRPr="4DE75EC6">
          <w:rPr>
            <w:rStyle w:val="Hyperlink"/>
          </w:rPr>
          <w:t>Letter to aged care providers from the Minister for Aged Care about care minutes – 1 October 2024</w:t>
        </w:r>
      </w:hyperlink>
      <w:r>
        <w:t>, DoHDA, Accessed 6 July 2025.</w:t>
      </w:r>
    </w:p>
  </w:footnote>
  <w:footnote w:id="33">
    <w:p w14:paraId="22D76922" w14:textId="65430391" w:rsidR="00304578" w:rsidRDefault="00304578">
      <w:pPr>
        <w:pStyle w:val="FootnoteText"/>
      </w:pPr>
      <w:r>
        <w:rPr>
          <w:rStyle w:val="FootnoteReference"/>
        </w:rPr>
        <w:footnoteRef/>
      </w:r>
      <w:r>
        <w:t xml:space="preserve"> ACQSC, </w:t>
      </w:r>
      <w:hyperlink r:id="rId23" w:history="1">
        <w:r>
          <w:rPr>
            <w:rStyle w:val="Hyperlink"/>
          </w:rPr>
          <w:t>Commission cracks down on aged care providers failing to meet care minutes,</w:t>
        </w:r>
      </w:hyperlink>
      <w:r>
        <w:t xml:space="preserve"> 13 January 2025</w:t>
      </w:r>
    </w:p>
  </w:footnote>
  <w:footnote w:id="34">
    <w:p w14:paraId="12BE6D7E" w14:textId="024040E3" w:rsidR="00304578" w:rsidRDefault="00304578">
      <w:pPr>
        <w:pStyle w:val="FootnoteText"/>
      </w:pPr>
      <w:r>
        <w:rPr>
          <w:rStyle w:val="FootnoteReference"/>
        </w:rPr>
        <w:footnoteRef/>
      </w:r>
      <w:r>
        <w:t xml:space="preserve"> Australian Government Royal Commission into Aged Care Quality and Safety, 2021, </w:t>
      </w:r>
      <w:hyperlink r:id="rId24" w:history="1">
        <w:r w:rsidRPr="00DF3FC5">
          <w:rPr>
            <w:rStyle w:val="Hyperlink"/>
          </w:rPr>
          <w:t>Aged Care Quality and Safety final report</w:t>
        </w:r>
      </w:hyperlink>
      <w:r>
        <w:t>, Volume 2, 2021, p 129, Accessed 6 July 2025.</w:t>
      </w:r>
    </w:p>
  </w:footnote>
  <w:footnote w:id="35">
    <w:p w14:paraId="082D7FE0" w14:textId="260FA20B" w:rsidR="00304578" w:rsidRDefault="00304578">
      <w:pPr>
        <w:pStyle w:val="FootnoteText"/>
      </w:pPr>
      <w:r>
        <w:rPr>
          <w:rStyle w:val="FootnoteReference"/>
        </w:rPr>
        <w:footnoteRef/>
      </w:r>
      <w:r>
        <w:t xml:space="preserve"> Australian Institute of Health and Welfare (AIHW), 27 August 2024, </w:t>
      </w:r>
      <w:hyperlink r:id="rId25" w:history="1">
        <w:r w:rsidRPr="00F81B8F">
          <w:rPr>
            <w:rStyle w:val="Hyperlink"/>
          </w:rPr>
          <w:t>2023 Aged Care Provider Workforce Survey: Summary report - AIHW Gen</w:t>
        </w:r>
      </w:hyperlink>
      <w:r>
        <w:t>, p 5, Accessed 6 July 2025.</w:t>
      </w:r>
    </w:p>
  </w:footnote>
  <w:footnote w:id="36">
    <w:p w14:paraId="664D91B0" w14:textId="7869987D" w:rsidR="00304578" w:rsidRDefault="00304578">
      <w:pPr>
        <w:pStyle w:val="FootnoteText"/>
      </w:pPr>
      <w:r>
        <w:rPr>
          <w:rStyle w:val="FootnoteReference"/>
        </w:rPr>
        <w:footnoteRef/>
      </w:r>
      <w:r>
        <w:t xml:space="preserve"> DoHDA, 3 July 2025, </w:t>
      </w:r>
      <w:hyperlink r:id="rId26">
        <w:r w:rsidRPr="46307D04">
          <w:rPr>
            <w:rStyle w:val="Hyperlink"/>
          </w:rPr>
          <w:t>Care minutes in residential aged care dashboard | Australian Government Department of Health, Disability and Ageing</w:t>
        </w:r>
      </w:hyperlink>
      <w:r w:rsidRPr="46307D04">
        <w:t>, Accessed 6 July 2025.</w:t>
      </w:r>
    </w:p>
  </w:footnote>
  <w:footnote w:id="37">
    <w:p w14:paraId="25FF70E9" w14:textId="1C7E4E10" w:rsidR="00304578" w:rsidRDefault="00304578" w:rsidP="007E180D">
      <w:pPr>
        <w:pStyle w:val="FootnoteText"/>
      </w:pPr>
      <w:r w:rsidRPr="591C2DF4">
        <w:rPr>
          <w:rStyle w:val="FootnoteReference"/>
        </w:rPr>
        <w:footnoteRef/>
      </w:r>
      <w:r>
        <w:t xml:space="preserve"> ACQSC, 28 August 2024, </w:t>
      </w:r>
      <w:hyperlink r:id="rId27" w:history="1">
        <w:r w:rsidRPr="591C2DF4">
          <w:rPr>
            <w:rStyle w:val="Hyperlink"/>
          </w:rPr>
          <w:t>Regulatory Strategy 2024–25 | Aged Care Quality and Safety Commission</w:t>
        </w:r>
      </w:hyperlink>
      <w:r>
        <w:t>, Accessed 6 July 2025.</w:t>
      </w:r>
    </w:p>
  </w:footnote>
  <w:footnote w:id="38">
    <w:p w14:paraId="5339D34F" w14:textId="4245CB46" w:rsidR="00304578" w:rsidRDefault="00304578" w:rsidP="007D3998">
      <w:pPr>
        <w:pStyle w:val="FootnoteText"/>
        <w:spacing w:line="257" w:lineRule="auto"/>
      </w:pPr>
      <w:r w:rsidRPr="591C2DF4">
        <w:rPr>
          <w:rStyle w:val="FootnoteReference"/>
        </w:rPr>
        <w:footnoteRef/>
      </w:r>
      <w:r>
        <w:t xml:space="preserve"> ACQSC, 18 November 2024,</w:t>
      </w:r>
      <w:r w:rsidRPr="02323912">
        <w:rPr>
          <w:rFonts w:ascii="Times New Roman" w:hAnsi="Times New Roman"/>
          <w:sz w:val="24"/>
          <w:szCs w:val="24"/>
        </w:rPr>
        <w:t xml:space="preserve"> </w:t>
      </w:r>
      <w:hyperlink r:id="rId28" w:history="1">
        <w:r w:rsidRPr="02323912">
          <w:rPr>
            <w:rStyle w:val="Hyperlink"/>
          </w:rPr>
          <w:t>RB 2023-19 Workforce-related responsibilities | Aged Care Quality and Safety Commission</w:t>
        </w:r>
      </w:hyperlink>
      <w:r>
        <w:t>, Accessed 6 July 2025.</w:t>
      </w:r>
    </w:p>
  </w:footnote>
  <w:footnote w:id="39">
    <w:p w14:paraId="19CADBBB" w14:textId="3661EB27" w:rsidR="00304578" w:rsidRDefault="00304578" w:rsidP="001113C0">
      <w:pPr>
        <w:pStyle w:val="FootnoteText"/>
        <w:spacing w:line="259" w:lineRule="auto"/>
      </w:pPr>
      <w:r w:rsidRPr="0977FC7A">
        <w:rPr>
          <w:rStyle w:val="FootnoteReference"/>
        </w:rPr>
        <w:footnoteRef/>
      </w:r>
      <w:r>
        <w:t xml:space="preserve"> Wells, A, 2 October 2024,</w:t>
      </w:r>
      <w:r w:rsidRPr="02323912">
        <w:rPr>
          <w:rFonts w:ascii="Times New Roman" w:hAnsi="Times New Roman"/>
          <w:color w:val="0563C1"/>
          <w:sz w:val="24"/>
          <w:szCs w:val="24"/>
        </w:rPr>
        <w:t xml:space="preserve"> </w:t>
      </w:r>
      <w:hyperlink r:id="rId29" w:history="1">
        <w:r w:rsidRPr="02323912">
          <w:rPr>
            <w:rStyle w:val="Hyperlink"/>
          </w:rPr>
          <w:t>Letter to aged care providers from the Minister for Aged Care about care minutes – 1 October 2024 | Australian Government Department of Health, Disability and Ageing</w:t>
        </w:r>
      </w:hyperlink>
      <w:r w:rsidRPr="02323912">
        <w:t>, Accessed 6 July 2025.</w:t>
      </w:r>
    </w:p>
  </w:footnote>
  <w:footnote w:id="40">
    <w:p w14:paraId="1025AC1A" w14:textId="12D694B4" w:rsidR="00304578" w:rsidRDefault="00304578">
      <w:pPr>
        <w:pStyle w:val="FootnoteText"/>
      </w:pPr>
      <w:r>
        <w:rPr>
          <w:rStyle w:val="FootnoteReference"/>
        </w:rPr>
        <w:footnoteRef/>
      </w:r>
      <w:r>
        <w:t xml:space="preserve"> DoHDA, 30 May 2025, </w:t>
      </w:r>
      <w:hyperlink r:id="rId30" w:history="1">
        <w:r w:rsidRPr="3E36D0BF">
          <w:rPr>
            <w:rStyle w:val="Hyperlink"/>
          </w:rPr>
          <w:t>Registered nurse coverage in residential aged care dashboard | Australian Government Department of Health, Disability and Ageing</w:t>
        </w:r>
      </w:hyperlink>
      <w:r>
        <w:t>, Accessed 6 July 2025.</w:t>
      </w:r>
    </w:p>
  </w:footnote>
  <w:footnote w:id="41">
    <w:p w14:paraId="7F570527" w14:textId="77777777" w:rsidR="00304578" w:rsidRDefault="00304578" w:rsidP="003804B5">
      <w:pPr>
        <w:pStyle w:val="FootnoteText"/>
      </w:pPr>
      <w:r>
        <w:rPr>
          <w:rStyle w:val="FootnoteReference"/>
        </w:rPr>
        <w:footnoteRef/>
      </w:r>
      <w:r>
        <w:t xml:space="preserve"> Wells, A, 2 October 2024,</w:t>
      </w:r>
      <w:r w:rsidRPr="02323912">
        <w:rPr>
          <w:rFonts w:ascii="Times New Roman" w:hAnsi="Times New Roman"/>
          <w:color w:val="0563C1"/>
          <w:sz w:val="24"/>
          <w:szCs w:val="24"/>
        </w:rPr>
        <w:t xml:space="preserve"> </w:t>
      </w:r>
      <w:hyperlink r:id="rId31" w:history="1">
        <w:r w:rsidRPr="02323912">
          <w:rPr>
            <w:rStyle w:val="Hyperlink"/>
          </w:rPr>
          <w:t>Letter to aged care providers from the Minister for Aged Care about care minutes – 1 October 2024 | Australian Government Department of Health, Disability and Ageing</w:t>
        </w:r>
      </w:hyperlink>
      <w:r w:rsidRPr="02323912">
        <w:t>, Accessed 6 July 2025.</w:t>
      </w:r>
    </w:p>
  </w:footnote>
  <w:footnote w:id="42">
    <w:p w14:paraId="3CC2A51F" w14:textId="347BBA2F" w:rsidR="003B302E" w:rsidRDefault="003B302E">
      <w:pPr>
        <w:pStyle w:val="FootnoteText"/>
      </w:pPr>
      <w:r>
        <w:rPr>
          <w:rStyle w:val="FootnoteReference"/>
        </w:rPr>
        <w:footnoteRef/>
      </w:r>
      <w:r w:rsidR="000E6E49">
        <w:t>DoHDA</w:t>
      </w:r>
      <w:r w:rsidR="000902E8">
        <w:t>, 2025,</w:t>
      </w:r>
      <w:r w:rsidR="004A0AF7">
        <w:t xml:space="preserve"> </w:t>
      </w:r>
      <w:hyperlink r:id="rId32" w:history="1">
        <w:r w:rsidR="004A0AF7" w:rsidRPr="004A0AF7">
          <w:rPr>
            <w:rStyle w:val="Hyperlink"/>
          </w:rPr>
          <w:t>About Star Ratings | Star Ratings for residential aged care | Australian Government Department of Health, Disability and Ageing</w:t>
        </w:r>
      </w:hyperlink>
      <w:r w:rsidR="004A0AF7">
        <w:t>, Access</w:t>
      </w:r>
      <w:r w:rsidR="007B149B">
        <w:t>ed 7 August 2025</w:t>
      </w:r>
      <w:r w:rsidR="00C02268">
        <w:t>.</w:t>
      </w:r>
      <w:r w:rsidR="000902E8">
        <w:t xml:space="preserve"> </w:t>
      </w:r>
    </w:p>
  </w:footnote>
  <w:footnote w:id="43">
    <w:p w14:paraId="4756FA75" w14:textId="03809C97" w:rsidR="00304578" w:rsidRDefault="00304578">
      <w:pPr>
        <w:pStyle w:val="FootnoteText"/>
      </w:pPr>
      <w:r>
        <w:rPr>
          <w:rStyle w:val="FootnoteReference"/>
        </w:rPr>
        <w:footnoteRef/>
      </w:r>
      <w:r>
        <w:t xml:space="preserve">Steward Brown, 2025, </w:t>
      </w:r>
      <w:hyperlink r:id="rId33" w:history="1">
        <w:r w:rsidRPr="00840012">
          <w:rPr>
            <w:rStyle w:val="Hyperlink"/>
          </w:rPr>
          <w:t>2025 03 StewartBrown Aged Care Financial Performance Survey Analysis Report (December 2024)</w:t>
        </w:r>
      </w:hyperlink>
      <w:r>
        <w:t>, Accessed 16 July 2025.</w:t>
      </w:r>
    </w:p>
  </w:footnote>
  <w:footnote w:id="44">
    <w:p w14:paraId="0AF6585F" w14:textId="3B3E9D7C" w:rsidR="00304578" w:rsidRDefault="00304578">
      <w:pPr>
        <w:pStyle w:val="FootnoteText"/>
      </w:pPr>
      <w:r>
        <w:rPr>
          <w:rStyle w:val="FootnoteReference"/>
        </w:rPr>
        <w:footnoteRef/>
      </w:r>
      <w:r>
        <w:t xml:space="preserve"> DoHDA, 2025, </w:t>
      </w:r>
      <w:hyperlink r:id="rId34" w:history="1">
        <w:r w:rsidRPr="00B31B38">
          <w:rPr>
            <w:rStyle w:val="Hyperlink"/>
          </w:rPr>
          <w:t>Quarterly Financial Snapshot for the Aged Care Sector – Quarter 2 2023–24</w:t>
        </w:r>
      </w:hyperlink>
      <w:r>
        <w:t>, Australian Government Department of Health Disability and Aging, Accessed 16 July 2025.</w:t>
      </w:r>
    </w:p>
  </w:footnote>
  <w:footnote w:id="45">
    <w:p w14:paraId="775CAB49" w14:textId="750A7408" w:rsidR="00304578" w:rsidRDefault="00304578">
      <w:pPr>
        <w:pStyle w:val="FootnoteText"/>
      </w:pPr>
      <w:r>
        <w:rPr>
          <w:rStyle w:val="FootnoteReference"/>
        </w:rPr>
        <w:footnoteRef/>
      </w:r>
      <w:r>
        <w:t xml:space="preserve"> This is internal departmental data.</w:t>
      </w:r>
    </w:p>
  </w:footnote>
  <w:footnote w:id="46">
    <w:p w14:paraId="50EAA3C0" w14:textId="76016AEF" w:rsidR="00304578" w:rsidRDefault="00304578">
      <w:pPr>
        <w:pStyle w:val="FootnoteText"/>
      </w:pPr>
      <w:r>
        <w:rPr>
          <w:rStyle w:val="FootnoteReference"/>
        </w:rPr>
        <w:footnoteRef/>
      </w:r>
      <w:r>
        <w:t xml:space="preserve"> ACQSC, 14 November 2024, </w:t>
      </w:r>
      <w:hyperlink r:id="rId35">
        <w:r w:rsidRPr="472882C2">
          <w:rPr>
            <w:rStyle w:val="Hyperlink"/>
          </w:rPr>
          <w:t>Regulatory Bulletin 2023-19</w:t>
        </w:r>
      </w:hyperlink>
      <w:r w:rsidRPr="008F15EC">
        <w:t>, ACQSC, Accessed 6 July 2025.</w:t>
      </w:r>
    </w:p>
  </w:footnote>
  <w:footnote w:id="47">
    <w:p w14:paraId="542E456B" w14:textId="483FD73E" w:rsidR="00304578" w:rsidRDefault="00304578">
      <w:pPr>
        <w:pStyle w:val="FootnoteText"/>
      </w:pPr>
      <w:r>
        <w:rPr>
          <w:rStyle w:val="FootnoteReference"/>
        </w:rPr>
        <w:footnoteRef/>
      </w:r>
      <w:r>
        <w:t xml:space="preserve"> My Aged Care, n.d., </w:t>
      </w:r>
      <w:hyperlink r:id="rId36" w:history="1">
        <w:r w:rsidRPr="0F1D208C">
          <w:rPr>
            <w:rStyle w:val="Hyperlink"/>
          </w:rPr>
          <w:t>Find a provider | My Aged Care</w:t>
        </w:r>
      </w:hyperlink>
      <w:r>
        <w:t>, Accessed 6 July 2025.</w:t>
      </w:r>
    </w:p>
  </w:footnote>
  <w:footnote w:id="48">
    <w:p w14:paraId="7F9725CA" w14:textId="1934C1EF" w:rsidR="00304578" w:rsidRDefault="00304578">
      <w:pPr>
        <w:pStyle w:val="FootnoteText"/>
      </w:pPr>
      <w:r>
        <w:rPr>
          <w:rStyle w:val="FootnoteReference"/>
        </w:rPr>
        <w:footnoteRef/>
      </w:r>
      <w:r>
        <w:t xml:space="preserve"> DoHDA, 16 June 2025, </w:t>
      </w:r>
      <w:hyperlink r:id="rId37" w:history="1">
        <w:r w:rsidR="00016B9D" w:rsidRPr="00016B9D">
          <w:rPr>
            <w:rStyle w:val="Hyperlink"/>
          </w:rPr>
          <w:t>Service-level care minutes performance in residential aged care October to December 2024 (2024-25 Financial Year Quarter 2) | Australian Government Department of Health, Disability and Ageing</w:t>
        </w:r>
      </w:hyperlink>
      <w:r>
        <w:t>, Accessed 6 July 2025.</w:t>
      </w:r>
    </w:p>
  </w:footnote>
  <w:footnote w:id="49">
    <w:p w14:paraId="6C6D9575" w14:textId="0091687A" w:rsidR="00304578" w:rsidRDefault="00304578">
      <w:pPr>
        <w:pStyle w:val="FootnoteText"/>
      </w:pPr>
      <w:r>
        <w:rPr>
          <w:rStyle w:val="FootnoteReference"/>
        </w:rPr>
        <w:footnoteRef/>
      </w:r>
      <w:r>
        <w:t xml:space="preserve"> DoHDA, 3 July 2025, </w:t>
      </w:r>
      <w:hyperlink r:id="rId38">
        <w:r w:rsidRPr="01D96BBD">
          <w:rPr>
            <w:rStyle w:val="Hyperlink"/>
          </w:rPr>
          <w:t>Care minutes in residential aged care dashboard | Australian Government Department of Health, Disability and Ageing</w:t>
        </w:r>
      </w:hyperlink>
      <w:r w:rsidRPr="01D96BBD">
        <w:t>, Accessed 6 July 2025.</w:t>
      </w:r>
    </w:p>
  </w:footnote>
  <w:footnote w:id="50">
    <w:p w14:paraId="3130BEFA" w14:textId="71006D88" w:rsidR="00304578" w:rsidRDefault="00304578" w:rsidP="005869A4">
      <w:pPr>
        <w:pStyle w:val="Footer"/>
      </w:pPr>
      <w:r>
        <w:rPr>
          <w:rStyle w:val="FootnoteReference"/>
        </w:rPr>
        <w:footnoteRef/>
      </w:r>
      <w:r>
        <w:t xml:space="preserve"> DoHDA, n.d., </w:t>
      </w:r>
      <w:r w:rsidRPr="0039525C">
        <w:rPr>
          <w:rStyle w:val="Hyperlink"/>
        </w:rPr>
        <w:t>Star Ratings Evaluation – Summary report</w:t>
      </w:r>
      <w:r>
        <w:t xml:space="preserve">, Accessed 6 July 2025. </w:t>
      </w:r>
    </w:p>
  </w:footnote>
  <w:footnote w:id="51">
    <w:p w14:paraId="7C849409" w14:textId="5A4F31C9" w:rsidR="00304578" w:rsidRDefault="00304578" w:rsidP="0012120B">
      <w:pPr>
        <w:pStyle w:val="Footer"/>
      </w:pPr>
      <w:r>
        <w:rPr>
          <w:rStyle w:val="FootnoteReference"/>
        </w:rPr>
        <w:footnoteRef/>
      </w:r>
      <w:r>
        <w:t xml:space="preserve"> The AN-ACC funding model works by applying weightings, or NWAUs, to the AN-ACC price. NWAU’s are a unit of activity/cost. The NWAU associated with each component of the AN-ACC </w:t>
      </w:r>
      <w:r w:rsidR="000F24AA">
        <w:t xml:space="preserve">funding </w:t>
      </w:r>
      <w:r>
        <w:t xml:space="preserve">model reflects variations in the cost of providing care, based on the characteristics of a service and its individual residents. DoHDA, n.d., </w:t>
      </w:r>
      <w:hyperlink r:id="rId39" w:history="1">
        <w:r>
          <w:rPr>
            <w:rStyle w:val="Hyperlink"/>
          </w:rPr>
          <w:t>The Australian National Aged Care Classification (AN-ACC) funding guide</w:t>
        </w:r>
      </w:hyperlink>
      <w:r>
        <w:t>, p 13.</w:t>
      </w:r>
    </w:p>
  </w:footnote>
  <w:footnote w:id="52">
    <w:p w14:paraId="30B73CCF" w14:textId="3E4328C7" w:rsidR="00304578" w:rsidRDefault="00304578" w:rsidP="0012120B">
      <w:pPr>
        <w:pStyle w:val="Footer"/>
      </w:pPr>
      <w:r>
        <w:rPr>
          <w:rStyle w:val="FootnoteReference"/>
        </w:rPr>
        <w:footnoteRef/>
      </w:r>
      <w:r>
        <w:t xml:space="preserve"> AN-ACC base care tariff (BCT) funding is set based on the characteristics of the home rather than the residents. The AN-ACC BCTs are outlined in section 3 of the</w:t>
      </w:r>
      <w:r w:rsidRPr="00486D13">
        <w:t xml:space="preserve"> AN-ACC funding guide</w:t>
      </w:r>
      <w:r>
        <w:t>.</w:t>
      </w:r>
    </w:p>
  </w:footnote>
  <w:footnote w:id="53">
    <w:p w14:paraId="4AF434B7" w14:textId="3D9FCAAD" w:rsidR="00304578" w:rsidRDefault="00304578" w:rsidP="0012120B">
      <w:pPr>
        <w:pStyle w:val="Footer"/>
      </w:pPr>
      <w:r>
        <w:rPr>
          <w:rStyle w:val="FootnoteReference"/>
        </w:rPr>
        <w:footnoteRef/>
      </w:r>
      <w:r>
        <w:t xml:space="preserve"> Specialised services are considered those eligible for additional BCT funding under the AN-ACC </w:t>
      </w:r>
      <w:r w:rsidR="00BE7D65">
        <w:t xml:space="preserve">funding model </w:t>
      </w:r>
      <w:r>
        <w:t xml:space="preserve">because of their specialised status, that is those in receipt of the specialised homeless BCT status </w:t>
      </w:r>
      <w:r w:rsidR="00174AC7">
        <w:t xml:space="preserve">funding supplement </w:t>
      </w:r>
      <w:r>
        <w:t xml:space="preserve">(which can apply to a home in any location) and specialised First Nations services </w:t>
      </w:r>
      <w:r w:rsidR="00174AC7">
        <w:t xml:space="preserve">funding supplement </w:t>
      </w:r>
      <w:r>
        <w:t>in rural and remote areas (MM 6-7)</w:t>
      </w:r>
      <w:r w:rsidR="005A4048">
        <w:t>.</w:t>
      </w:r>
    </w:p>
  </w:footnote>
  <w:footnote w:id="54">
    <w:p w14:paraId="647289E8" w14:textId="46AFCD79" w:rsidR="00304578" w:rsidRDefault="00304578" w:rsidP="0012120B">
      <w:pPr>
        <w:pStyle w:val="Footer"/>
      </w:pPr>
      <w:r w:rsidRPr="00FF5A29">
        <w:rPr>
          <w:rStyle w:val="FootnoteReference"/>
          <w:vertAlign w:val="baseline"/>
        </w:rPr>
        <w:footnoteRef/>
      </w:r>
      <w:r w:rsidRPr="00FF5A29">
        <w:t xml:space="preserve"> </w:t>
      </w:r>
      <w:r>
        <w:t xml:space="preserve">UARC, 2024, </w:t>
      </w:r>
      <w:hyperlink r:id="rId40" w:history="1">
        <w:r w:rsidRPr="00C821A5">
          <w:rPr>
            <w:rStyle w:val="Hyperlink"/>
          </w:rPr>
          <w:t>UTS UARC Aged Care Sector Full Year Report 2023-24</w:t>
        </w:r>
      </w:hyperlink>
      <w:r w:rsidRPr="00CB3470">
        <w:rPr>
          <w:rStyle w:val="Hyperlink"/>
          <w:color w:val="auto"/>
        </w:rPr>
        <w:t>,</w:t>
      </w:r>
      <w:r>
        <w:rPr>
          <w:rStyle w:val="Hyperlink"/>
          <w:color w:val="auto"/>
        </w:rPr>
        <w:t xml:space="preserve"> </w:t>
      </w:r>
      <w:r>
        <w:t xml:space="preserve">p </w:t>
      </w:r>
      <w:r w:rsidRPr="00FF5A29">
        <w:t>58, UTS, Accessed 6 July 2025.</w:t>
      </w:r>
    </w:p>
  </w:footnote>
  <w:footnote w:id="55">
    <w:p w14:paraId="4C0E9E77" w14:textId="4A467C58" w:rsidR="00304578" w:rsidRDefault="00304578">
      <w:pPr>
        <w:pStyle w:val="FootnoteText"/>
      </w:pPr>
      <w:r>
        <w:rPr>
          <w:rStyle w:val="FootnoteReference"/>
        </w:rPr>
        <w:footnoteRef/>
      </w:r>
      <w:r>
        <w:t xml:space="preserve"> DoHDA, n.d., </w:t>
      </w:r>
      <w:hyperlink r:id="rId41" w:history="1">
        <w:r w:rsidRPr="00234CFE">
          <w:rPr>
            <w:rStyle w:val="Hyperlink"/>
          </w:rPr>
          <w:t>Residential aged care funding arrangements: Regulatory Impact Statement</w:t>
        </w:r>
      </w:hyperlink>
      <w:r>
        <w:t>, p 7, Accessed 6 July 2025.</w:t>
      </w:r>
    </w:p>
  </w:footnote>
  <w:footnote w:id="56">
    <w:p w14:paraId="6A99EEE3" w14:textId="38C8D8BD" w:rsidR="00304578" w:rsidRDefault="00304578" w:rsidP="00C8418B">
      <w:pPr>
        <w:pStyle w:val="FootnoteText"/>
      </w:pPr>
      <w:r w:rsidRPr="5AAE2146">
        <w:rPr>
          <w:rStyle w:val="FootnoteReference"/>
        </w:rPr>
        <w:footnoteRef/>
      </w:r>
      <w:r>
        <w:t xml:space="preserve"> See details and membership at: </w:t>
      </w:r>
      <w:hyperlink r:id="rId42" w:history="1">
        <w:r w:rsidRPr="674C805A">
          <w:rPr>
            <w:rStyle w:val="Hyperlink"/>
          </w:rPr>
          <w:t>Aged Care Council of Elders | Australian Government Department of Health, Disability and Ageing</w:t>
        </w:r>
      </w:hyperlink>
    </w:p>
  </w:footnote>
  <w:footnote w:id="57">
    <w:p w14:paraId="6577D296" w14:textId="19484560" w:rsidR="00304578" w:rsidRDefault="00304578" w:rsidP="00C8418B">
      <w:pPr>
        <w:pStyle w:val="FootnoteText"/>
      </w:pPr>
      <w:r w:rsidRPr="674C805A">
        <w:rPr>
          <w:rStyle w:val="FootnoteReference"/>
        </w:rPr>
        <w:footnoteRef/>
      </w:r>
      <w:r>
        <w:t xml:space="preserve"> See details and membership at: </w:t>
      </w:r>
      <w:hyperlink r:id="rId43" w:history="1">
        <w:r w:rsidRPr="674C805A">
          <w:rPr>
            <w:rStyle w:val="Hyperlink"/>
          </w:rPr>
          <w:t>Residential Aged Care (RAC) Funding Reform Working Group | Australian Government Department of Health, Disability and Ageing</w:t>
        </w:r>
      </w:hyperlink>
    </w:p>
  </w:footnote>
  <w:footnote w:id="58">
    <w:p w14:paraId="2C60EA87" w14:textId="049A31EB" w:rsidR="00304578" w:rsidRDefault="00304578" w:rsidP="00C8418B">
      <w:pPr>
        <w:pStyle w:val="FootnoteText"/>
        <w:rPr>
          <w:rFonts w:eastAsia="Arial"/>
        </w:rPr>
      </w:pPr>
      <w:r w:rsidRPr="5AAE2146">
        <w:rPr>
          <w:rStyle w:val="FootnoteReference"/>
        </w:rPr>
        <w:footnoteRef/>
      </w:r>
      <w:r>
        <w:t xml:space="preserve"> See details and membership at: </w:t>
      </w:r>
      <w:hyperlink r:id="rId44" w:history="1">
        <w:r w:rsidRPr="674C805A">
          <w:rPr>
            <w:rStyle w:val="Hyperlink"/>
          </w:rPr>
          <w:t>National Aged Care Advisory Council | Australian Government Department of Health, Disability and Ageing</w:t>
        </w:r>
      </w:hyperlink>
      <w:r w:rsidRPr="674C805A">
        <w:t>, Accessed 6 July 2025.</w:t>
      </w:r>
    </w:p>
  </w:footnote>
  <w:footnote w:id="59">
    <w:p w14:paraId="5914E779" w14:textId="77777777" w:rsidR="00A22F62" w:rsidRDefault="00A22F62" w:rsidP="00A22F62">
      <w:pPr>
        <w:pStyle w:val="FootnoteText"/>
      </w:pPr>
      <w:r w:rsidRPr="5AAE2146">
        <w:rPr>
          <w:rStyle w:val="FootnoteReference"/>
        </w:rPr>
        <w:footnoteRef/>
      </w:r>
      <w:r>
        <w:t xml:space="preserve"> See details and membership at: </w:t>
      </w:r>
      <w:hyperlink r:id="rId45" w:history="1">
        <w:r w:rsidRPr="674C805A">
          <w:rPr>
            <w:rStyle w:val="Hyperlink"/>
          </w:rPr>
          <w:t>Aged Care Council of Elders | Australian Government Department of Health, Disability and Ageing</w:t>
        </w:r>
      </w:hyperlink>
    </w:p>
  </w:footnote>
  <w:footnote w:id="60">
    <w:p w14:paraId="780B2517" w14:textId="77777777" w:rsidR="00A13417" w:rsidRDefault="00A13417" w:rsidP="00A13417">
      <w:pPr>
        <w:pStyle w:val="FootnoteText"/>
      </w:pPr>
      <w:r w:rsidRPr="674C805A">
        <w:rPr>
          <w:rStyle w:val="FootnoteReference"/>
        </w:rPr>
        <w:footnoteRef/>
      </w:r>
      <w:r>
        <w:t xml:space="preserve"> See details and membership at: </w:t>
      </w:r>
      <w:hyperlink r:id="rId46" w:history="1">
        <w:r w:rsidRPr="674C805A">
          <w:rPr>
            <w:rStyle w:val="Hyperlink"/>
          </w:rPr>
          <w:t>Residential Aged Care (RAC) Funding Reform Working Group | Australian Government Department of Health, Disability and Ageing</w:t>
        </w:r>
      </w:hyperlink>
    </w:p>
  </w:footnote>
  <w:footnote w:id="61">
    <w:p w14:paraId="000C4EBC" w14:textId="77777777" w:rsidR="00A13417" w:rsidRDefault="00A13417" w:rsidP="00A13417">
      <w:pPr>
        <w:pStyle w:val="FootnoteText"/>
        <w:rPr>
          <w:rFonts w:eastAsia="Arial"/>
        </w:rPr>
      </w:pPr>
      <w:r w:rsidRPr="5AAE2146">
        <w:rPr>
          <w:rStyle w:val="FootnoteReference"/>
        </w:rPr>
        <w:footnoteRef/>
      </w:r>
      <w:r>
        <w:t xml:space="preserve"> See details and membership at: </w:t>
      </w:r>
      <w:hyperlink r:id="rId47" w:history="1">
        <w:r w:rsidRPr="674C805A">
          <w:rPr>
            <w:rStyle w:val="Hyperlink"/>
          </w:rPr>
          <w:t>National Aged Care Advisory Council | Australian Government Department of Health, Disability and Ageing</w:t>
        </w:r>
      </w:hyperlink>
      <w:r w:rsidRPr="674C805A">
        <w:t>, Accessed 6 July 2025.</w:t>
      </w:r>
    </w:p>
  </w:footnote>
  <w:footnote w:id="62">
    <w:p w14:paraId="325D6A68" w14:textId="384554C4" w:rsidR="00304578" w:rsidRDefault="00304578" w:rsidP="001D060A">
      <w:pPr>
        <w:pStyle w:val="FootnoteText"/>
      </w:pPr>
      <w:r>
        <w:rPr>
          <w:rStyle w:val="FootnoteReference"/>
        </w:rPr>
        <w:footnoteRef/>
      </w:r>
      <w:r>
        <w:t xml:space="preserve"> Measured at cost, using the average wage rate for care workers in 2023-24 increased by WPI.</w:t>
      </w:r>
    </w:p>
  </w:footnote>
  <w:footnote w:id="63">
    <w:p w14:paraId="44C7F511" w14:textId="77777777" w:rsidR="00304578" w:rsidRDefault="00304578" w:rsidP="00194703">
      <w:pPr>
        <w:pStyle w:val="FootnoteText"/>
      </w:pPr>
      <w:r>
        <w:rPr>
          <w:rStyle w:val="FootnoteReference"/>
        </w:rPr>
        <w:footnoteRef/>
      </w:r>
      <w:r>
        <w:t xml:space="preserve"> Applying a discount rate of 7%, per Office of Impact Analysis </w:t>
      </w:r>
      <w:hyperlink r:id="rId48" w:history="1">
        <w:r w:rsidRPr="00951F7F">
          <w:rPr>
            <w:rStyle w:val="Hyperlink"/>
          </w:rPr>
          <w:t>guidance on cost benefit analysis</w:t>
        </w:r>
      </w:hyperlink>
      <w:r>
        <w:t>.</w:t>
      </w:r>
    </w:p>
  </w:footnote>
  <w:footnote w:id="64">
    <w:p w14:paraId="245BEAE4" w14:textId="4062829E" w:rsidR="00304578" w:rsidRDefault="00304578" w:rsidP="00E24295">
      <w:pPr>
        <w:pStyle w:val="FootnoteText"/>
      </w:pPr>
      <w:r>
        <w:rPr>
          <w:rStyle w:val="FootnoteReference"/>
        </w:rPr>
        <w:footnoteRef/>
      </w:r>
      <w:r>
        <w:t xml:space="preserve"> This represents an increase of 75% in line with the Office of Impact Analysis’</w:t>
      </w:r>
      <w:r w:rsidRPr="00343F06">
        <w:rPr>
          <w:rFonts w:cs="Arial"/>
          <w:lang w:eastAsia="en-AU"/>
        </w:rPr>
        <w:t xml:space="preserve"> </w:t>
      </w:r>
      <w:r w:rsidRPr="00092945">
        <w:t>Regulatory Burden Measurement Framework</w:t>
      </w:r>
      <w:r>
        <w:t xml:space="preserve"> (see included reference), less 11.5% for superannuation otherwise included. Department of Prime Minister and Cabinet (PM&amp;C), n.d., </w:t>
      </w:r>
      <w:hyperlink r:id="rId49" w:history="1">
        <w:r w:rsidRPr="006F2B32">
          <w:rPr>
            <w:rStyle w:val="Hyperlink"/>
          </w:rPr>
          <w:t>Regulatory Burden Measurement Framework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ABE69" w14:textId="0A37C18F" w:rsidR="00304578" w:rsidRDefault="00F3323A">
    <w:pPr>
      <w:pStyle w:val="Header"/>
    </w:pPr>
    <w:r>
      <w:rPr>
        <w:noProof/>
        <w:lang w:eastAsia="en-AU"/>
      </w:rPr>
      <mc:AlternateContent>
        <mc:Choice Requires="wps">
          <w:drawing>
            <wp:anchor distT="0" distB="0" distL="0" distR="0" simplePos="0" relativeHeight="251658244" behindDoc="0" locked="0" layoutInCell="1" allowOverlap="1" wp14:anchorId="180932AA" wp14:editId="2F552143">
              <wp:simplePos x="635" y="635"/>
              <wp:positionH relativeFrom="page">
                <wp:align>center</wp:align>
              </wp:positionH>
              <wp:positionV relativeFrom="page">
                <wp:align>top</wp:align>
              </wp:positionV>
              <wp:extent cx="735330" cy="376555"/>
              <wp:effectExtent l="0" t="0" r="7620" b="4445"/>
              <wp:wrapNone/>
              <wp:docPr id="1014045293" name="Text Box 2"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1B5118A0" w14:textId="112A6BE6"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0932AA" id="_x0000_t202" coordsize="21600,21600" o:spt="202" path="m,l,21600r21600,l21600,xe">
              <v:stroke joinstyle="miter"/>
              <v:path gradientshapeok="t" o:connecttype="rect"/>
            </v:shapetype>
            <v:shape id="Text Box 2" o:spid="_x0000_s1026" type="#_x0000_t202" alt="PROTECTED" style="position:absolute;margin-left:0;margin-top:0;width:57.9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" filled="f" stroked="f">
              <v:textbox style="mso-fit-shape-to-text:t" inset="0,15pt,0,0">
                <w:txbxContent>
                  <w:p w14:paraId="1B5118A0" w14:textId="112A6BE6"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6D4C3" w14:textId="7674014A" w:rsidR="00304578" w:rsidRDefault="00F3323A">
    <w:pPr>
      <w:pStyle w:val="Header"/>
    </w:pPr>
    <w:r>
      <w:rPr>
        <w:noProof/>
        <w:lang w:eastAsia="en-AU"/>
      </w:rPr>
      <mc:AlternateContent>
        <mc:Choice Requires="wps">
          <w:drawing>
            <wp:anchor distT="0" distB="0" distL="0" distR="0" simplePos="0" relativeHeight="251658245" behindDoc="0" locked="0" layoutInCell="1" allowOverlap="1" wp14:anchorId="5B6278E1" wp14:editId="3E289122">
              <wp:simplePos x="635" y="635"/>
              <wp:positionH relativeFrom="page">
                <wp:align>center</wp:align>
              </wp:positionH>
              <wp:positionV relativeFrom="page">
                <wp:align>top</wp:align>
              </wp:positionV>
              <wp:extent cx="735330" cy="376555"/>
              <wp:effectExtent l="0" t="0" r="7620" b="4445"/>
              <wp:wrapNone/>
              <wp:docPr id="2086290373" name="Text Box 3"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61DD4905" w14:textId="0147270D"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6278E1" id="_x0000_t202" coordsize="21600,21600" o:spt="202" path="m,l,21600r21600,l21600,xe">
              <v:stroke joinstyle="miter"/>
              <v:path gradientshapeok="t" o:connecttype="rect"/>
            </v:shapetype>
            <v:shape id="Text Box 3" o:spid="_x0000_s1027" type="#_x0000_t202" alt="PROTECTED" style="position:absolute;margin-left:0;margin-top:0;width:57.9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" filled="f" stroked="f">
              <v:textbox style="mso-fit-shape-to-text:t" inset="0,15pt,0,0">
                <w:txbxContent>
                  <w:p w14:paraId="61DD4905" w14:textId="0147270D"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21676" w14:textId="1FD84529" w:rsidR="00304578" w:rsidRDefault="00F3323A">
    <w:pPr>
      <w:pStyle w:val="Header"/>
    </w:pPr>
    <w:r>
      <w:rPr>
        <w:noProof/>
        <w:lang w:eastAsia="en-AU"/>
      </w:rPr>
      <mc:AlternateContent>
        <mc:Choice Requires="wps">
          <w:drawing>
            <wp:anchor distT="0" distB="0" distL="0" distR="0" simplePos="0" relativeHeight="251658243" behindDoc="0" locked="0" layoutInCell="1" allowOverlap="1" wp14:anchorId="46E1E613" wp14:editId="7F2F4261">
              <wp:simplePos x="902525" y="546265"/>
              <wp:positionH relativeFrom="page">
                <wp:align>center</wp:align>
              </wp:positionH>
              <wp:positionV relativeFrom="page">
                <wp:align>top</wp:align>
              </wp:positionV>
              <wp:extent cx="735330" cy="376555"/>
              <wp:effectExtent l="0" t="0" r="7620" b="4445"/>
              <wp:wrapNone/>
              <wp:docPr id="1462195686" name="Text Box 1"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4B46B846" w14:textId="76D2FFB6" w:rsidR="00F3323A" w:rsidRPr="00F3323A" w:rsidRDefault="00F3323A" w:rsidP="00F3323A">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E1E613" id="_x0000_t202" coordsize="21600,21600" o:spt="202" path="m,l,21600r21600,l21600,xe">
              <v:stroke joinstyle="miter"/>
              <v:path gradientshapeok="t" o:connecttype="rect"/>
            </v:shapetype>
            <v:shape id="Text Box 1" o:spid="_x0000_s1030" type="#_x0000_t202" alt="PROTECTED" style="position:absolute;margin-left:0;margin-top:0;width:57.9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" filled="f" stroked="f">
              <v:textbox style="mso-fit-shape-to-text:t" inset="0,15pt,0,0">
                <w:txbxContent>
                  <w:p w14:paraId="4B46B846" w14:textId="76D2FFB6" w:rsidR="00F3323A" w:rsidRPr="00F3323A" w:rsidRDefault="00F3323A" w:rsidP="00F3323A">
                    <w:pPr>
                      <w:rPr>
                        <w:rFonts w:ascii="Calibri" w:eastAsia="Calibri" w:hAnsi="Calibri" w:cs="Calibri"/>
                        <w:noProof/>
                        <w:color w:val="FF0000"/>
                        <w:sz w:val="24"/>
                      </w:rPr>
                    </w:pPr>
                  </w:p>
                </w:txbxContent>
              </v:textbox>
              <w10:wrap anchorx="page" anchory="page"/>
            </v:shape>
          </w:pict>
        </mc:Fallback>
      </mc:AlternateContent>
    </w:r>
    <w:r w:rsidR="00304578">
      <w:rPr>
        <w:noProof/>
        <w:lang w:eastAsia="en-AU"/>
      </w:rPr>
      <w:drawing>
        <wp:anchor distT="0" distB="0" distL="114300" distR="114300" simplePos="0" relativeHeight="251658242" behindDoc="1" locked="0" layoutInCell="1" allowOverlap="1" wp14:anchorId="7B091969" wp14:editId="15F0A381">
          <wp:simplePos x="0" y="0"/>
          <wp:positionH relativeFrom="page">
            <wp:align>left</wp:align>
          </wp:positionH>
          <wp:positionV relativeFrom="page">
            <wp:align>bottom</wp:align>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304578">
      <w:rPr>
        <w:noProof/>
        <w:lang w:eastAsia="en-AU"/>
      </w:rPr>
      <w:drawing>
        <wp:anchor distT="0" distB="0" distL="114300" distR="114300" simplePos="0" relativeHeight="251658240" behindDoc="1" locked="0" layoutInCell="1" allowOverlap="1" wp14:anchorId="4C8A1576" wp14:editId="31B1B4A2">
          <wp:simplePos x="0" y="0"/>
          <wp:positionH relativeFrom="page">
            <wp:posOffset>-247650</wp:posOffset>
          </wp:positionH>
          <wp:positionV relativeFrom="page">
            <wp:posOffset>4619152</wp:posOffset>
          </wp:positionV>
          <wp:extent cx="8424000" cy="6840912"/>
          <wp:effectExtent l="0" t="0" r="0" b="0"/>
          <wp:wrapNone/>
          <wp:docPr id="1228564157" name="Picture 1228564157"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24000" cy="6840912"/>
                  </a:xfrm>
                  <a:prstGeom prst="rect">
                    <a:avLst/>
                  </a:prstGeom>
                </pic:spPr>
              </pic:pic>
            </a:graphicData>
          </a:graphic>
          <wp14:sizeRelH relativeFrom="page">
            <wp14:pctWidth>0</wp14:pctWidth>
          </wp14:sizeRelH>
          <wp14:sizeRelV relativeFrom="page">
            <wp14:pctHeight>0</wp14:pctHeight>
          </wp14:sizeRelV>
        </wp:anchor>
      </w:drawing>
    </w:r>
    <w:r w:rsidR="00304578">
      <w:rPr>
        <w:noProof/>
        <w:lang w:eastAsia="en-AU"/>
      </w:rPr>
      <w:drawing>
        <wp:anchor distT="0" distB="0" distL="114300" distR="114300" simplePos="0" relativeHeight="251658241" behindDoc="1" locked="0" layoutInCell="1" allowOverlap="1" wp14:anchorId="22263360" wp14:editId="0AAAF1A3">
          <wp:simplePos x="0" y="0"/>
          <wp:positionH relativeFrom="page">
            <wp:posOffset>-1031240</wp:posOffset>
          </wp:positionH>
          <wp:positionV relativeFrom="paragraph">
            <wp:posOffset>-550383</wp:posOffset>
          </wp:positionV>
          <wp:extent cx="9016409" cy="6903693"/>
          <wp:effectExtent l="0" t="0" r="0" b="0"/>
          <wp:wrapNone/>
          <wp:docPr id="1555586594" name="Picture 1555586594">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16409" cy="69036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4A825" w14:textId="69DA7EB9" w:rsidR="00304578" w:rsidRDefault="00F3323A">
    <w:pPr>
      <w:pStyle w:val="Header"/>
    </w:pPr>
    <w:r>
      <w:rPr>
        <w:noProof/>
        <w:lang w:eastAsia="en-AU"/>
      </w:rPr>
      <mc:AlternateContent>
        <mc:Choice Requires="wps">
          <w:drawing>
            <wp:anchor distT="0" distB="0" distL="0" distR="0" simplePos="0" relativeHeight="251658247" behindDoc="0" locked="0" layoutInCell="1" allowOverlap="1" wp14:anchorId="7E3C80D4" wp14:editId="1952CD43">
              <wp:simplePos x="635" y="635"/>
              <wp:positionH relativeFrom="page">
                <wp:align>center</wp:align>
              </wp:positionH>
              <wp:positionV relativeFrom="page">
                <wp:align>top</wp:align>
              </wp:positionV>
              <wp:extent cx="735330" cy="376555"/>
              <wp:effectExtent l="0" t="0" r="7620" b="4445"/>
              <wp:wrapNone/>
              <wp:docPr id="70977598" name="Text Box 5"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68F5F750" w14:textId="3F1D9473"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3C80D4" id="_x0000_t202" coordsize="21600,21600" o:spt="202" path="m,l,21600r21600,l21600,xe">
              <v:stroke joinstyle="miter"/>
              <v:path gradientshapeok="t" o:connecttype="rect"/>
            </v:shapetype>
            <v:shape id="Text Box 5" o:spid="_x0000_s1032" type="#_x0000_t202" alt="PROTECTED" style="position:absolute;margin-left:0;margin-top:0;width:57.9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" filled="f" stroked="f">
              <v:textbox style="mso-fit-shape-to-text:t" inset="0,15pt,0,0">
                <w:txbxContent>
                  <w:p w14:paraId="68F5F750" w14:textId="3F1D9473"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8C10" w14:textId="49CA36BC" w:rsidR="00304578" w:rsidRPr="0082019B" w:rsidRDefault="00F3323A" w:rsidP="0082019B">
    <w:pPr>
      <w:pStyle w:val="Header"/>
    </w:pPr>
    <w:r>
      <w:rPr>
        <w:noProof/>
        <w:lang w:eastAsia="en-AU"/>
      </w:rPr>
      <mc:AlternateContent>
        <mc:Choice Requires="wps">
          <w:drawing>
            <wp:anchor distT="0" distB="0" distL="0" distR="0" simplePos="0" relativeHeight="251658248" behindDoc="0" locked="0" layoutInCell="1" allowOverlap="1" wp14:anchorId="6DA2A2C9" wp14:editId="3549E149">
              <wp:simplePos x="902525" y="0"/>
              <wp:positionH relativeFrom="page">
                <wp:align>center</wp:align>
              </wp:positionH>
              <wp:positionV relativeFrom="page">
                <wp:align>top</wp:align>
              </wp:positionV>
              <wp:extent cx="735330" cy="376555"/>
              <wp:effectExtent l="0" t="0" r="7620" b="4445"/>
              <wp:wrapNone/>
              <wp:docPr id="1117425627" name="Text Box 6"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61DED152" w14:textId="0ECC3E1C" w:rsidR="00F3323A" w:rsidRPr="00F3323A" w:rsidRDefault="00F3323A" w:rsidP="00F3323A">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A2A2C9" id="_x0000_t202" coordsize="21600,21600" o:spt="202" path="m,l,21600r21600,l21600,xe">
              <v:stroke joinstyle="miter"/>
              <v:path gradientshapeok="t" o:connecttype="rect"/>
            </v:shapetype>
            <v:shape id="Text Box 6" o:spid="_x0000_s1033" type="#_x0000_t202" alt="PROTECTED" style="position:absolute;margin-left:0;margin-top:0;width:57.9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" filled="f" stroked="f">
              <v:textbox style="mso-fit-shape-to-text:t" inset="0,15pt,0,0">
                <w:txbxContent>
                  <w:p w14:paraId="61DED152" w14:textId="0ECC3E1C" w:rsidR="00F3323A" w:rsidRPr="00F3323A" w:rsidRDefault="00F3323A" w:rsidP="00F3323A">
                    <w:pPr>
                      <w:rPr>
                        <w:rFonts w:ascii="Calibri" w:eastAsia="Calibri" w:hAnsi="Calibri" w:cs="Calibri"/>
                        <w:noProof/>
                        <w:color w:val="FF0000"/>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A273D" w14:textId="19EF6432" w:rsidR="00304578" w:rsidRPr="00172535" w:rsidRDefault="00304578" w:rsidP="001725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1D257" w14:textId="29DF1D5D" w:rsidR="00304578" w:rsidRDefault="00F3323A">
    <w:pPr>
      <w:pStyle w:val="Header"/>
    </w:pPr>
    <w:r>
      <w:rPr>
        <w:noProof/>
        <w:lang w:eastAsia="en-AU"/>
      </w:rPr>
      <mc:AlternateContent>
        <mc:Choice Requires="wps">
          <w:drawing>
            <wp:anchor distT="0" distB="0" distL="0" distR="0" simplePos="0" relativeHeight="251658250" behindDoc="0" locked="0" layoutInCell="1" allowOverlap="1" wp14:anchorId="6F763A7F" wp14:editId="665C7BB7">
              <wp:simplePos x="635" y="635"/>
              <wp:positionH relativeFrom="page">
                <wp:align>center</wp:align>
              </wp:positionH>
              <wp:positionV relativeFrom="page">
                <wp:align>top</wp:align>
              </wp:positionV>
              <wp:extent cx="735330" cy="376555"/>
              <wp:effectExtent l="0" t="0" r="7620" b="4445"/>
              <wp:wrapNone/>
              <wp:docPr id="1249582768" name="Text Box 8"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458A5BB5" w14:textId="67ECF76F"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763A7F" id="_x0000_t202" coordsize="21600,21600" o:spt="202" path="m,l,21600r21600,l21600,xe">
              <v:stroke joinstyle="miter"/>
              <v:path gradientshapeok="t" o:connecttype="rect"/>
            </v:shapetype>
            <v:shape id="Text Box 8" o:spid="_x0000_s1038" type="#_x0000_t202" alt="PROTECTED" style="position:absolute;margin-left:0;margin-top:0;width:57.9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" filled="f" stroked="f">
              <v:textbox style="mso-fit-shape-to-text:t" inset="0,15pt,0,0">
                <w:txbxContent>
                  <w:p w14:paraId="458A5BB5" w14:textId="67ECF76F" w:rsidR="00F3323A" w:rsidRPr="00F3323A" w:rsidRDefault="00F3323A" w:rsidP="00F3323A">
                    <w:pPr>
                      <w:rPr>
                        <w:rFonts w:ascii="Calibri" w:eastAsia="Calibri" w:hAnsi="Calibri" w:cs="Calibri"/>
                        <w:noProof/>
                        <w:color w:val="FF0000"/>
                        <w:sz w:val="24"/>
                      </w:rPr>
                    </w:pPr>
                    <w:r w:rsidRPr="00F3323A">
                      <w:rPr>
                        <w:rFonts w:ascii="Calibri" w:eastAsia="Calibri" w:hAnsi="Calibri" w:cs="Calibri"/>
                        <w:noProof/>
                        <w:color w:val="FF0000"/>
                        <w:sz w:val="24"/>
                      </w:rPr>
                      <w:t>PROTECTED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27613" w14:textId="6DC3F693" w:rsidR="00304578" w:rsidRDefault="00304578" w:rsidP="008E0C77">
    <w:pPr>
      <w:pStyle w:val="Headertext"/>
      <w:spacing w:after="18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CECB3" w14:textId="38F12797" w:rsidR="00304578" w:rsidRDefault="00F3323A">
    <w:pPr>
      <w:pStyle w:val="Header"/>
    </w:pPr>
    <w:r>
      <w:rPr>
        <w:noProof/>
        <w:lang w:eastAsia="en-AU"/>
      </w:rPr>
      <mc:AlternateContent>
        <mc:Choice Requires="wps">
          <w:drawing>
            <wp:anchor distT="0" distB="0" distL="0" distR="0" simplePos="0" relativeHeight="251658249" behindDoc="0" locked="0" layoutInCell="1" allowOverlap="1" wp14:anchorId="16889E81" wp14:editId="64F23EF3">
              <wp:simplePos x="635" y="635"/>
              <wp:positionH relativeFrom="page">
                <wp:align>center</wp:align>
              </wp:positionH>
              <wp:positionV relativeFrom="page">
                <wp:align>top</wp:align>
              </wp:positionV>
              <wp:extent cx="735330" cy="376555"/>
              <wp:effectExtent l="0" t="0" r="7620" b="4445"/>
              <wp:wrapNone/>
              <wp:docPr id="1303233682" name="Text Box 7" descr="PROTECTED">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735330" cy="376555"/>
                      </a:xfrm>
                      <a:prstGeom prst="rect">
                        <a:avLst/>
                      </a:prstGeom>
                      <a:noFill/>
                      <a:ln>
                        <a:noFill/>
                      </a:ln>
                    </wps:spPr>
                    <wps:txbx>
                      <w:txbxContent>
                        <w:p w14:paraId="28D95A21" w14:textId="5D07F8F6" w:rsidR="00F3323A" w:rsidRPr="00F3323A" w:rsidRDefault="00F3323A" w:rsidP="00F3323A">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889E81" id="_x0000_t202" coordsize="21600,21600" o:spt="202" path="m,l,21600r21600,l21600,xe">
              <v:stroke joinstyle="miter"/>
              <v:path gradientshapeok="t" o:connecttype="rect"/>
            </v:shapetype>
            <v:shape id="Text Box 7" o:spid="_x0000_s1038" type="#_x0000_t202" alt="PROTECTED" style="position:absolute;margin-left:0;margin-top:0;width:57.9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" filled="f" stroked="f">
              <v:textbox style="mso-fit-shape-to-text:t" inset="0,15pt,0,0">
                <w:txbxContent>
                  <w:p w14:paraId="28D95A21" w14:textId="5D07F8F6" w:rsidR="00F3323A" w:rsidRPr="00F3323A" w:rsidRDefault="00F3323A" w:rsidP="00F3323A">
                    <w:pPr>
                      <w:rPr>
                        <w:rFonts w:ascii="Calibri" w:eastAsia="Calibri" w:hAnsi="Calibri" w:cs="Calibri"/>
                        <w:noProof/>
                        <w:color w:val="FF0000"/>
                        <w:sz w:val="24"/>
                      </w:rPr>
                    </w:pP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WvEuNAtRjLglP0" int2:id="W3xWvNw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49C7"/>
    <w:multiLevelType w:val="hybridMultilevel"/>
    <w:tmpl w:val="4D0AF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B2111"/>
    <w:multiLevelType w:val="hybridMultilevel"/>
    <w:tmpl w:val="64407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71DFA"/>
    <w:multiLevelType w:val="hybridMultilevel"/>
    <w:tmpl w:val="FFFFFFFF"/>
    <w:lvl w:ilvl="0" w:tplc="CE7AD4E0">
      <w:start w:val="1"/>
      <w:numFmt w:val="bullet"/>
      <w:lvlText w:val=""/>
      <w:lvlJc w:val="left"/>
      <w:pPr>
        <w:ind w:left="720" w:hanging="360"/>
      </w:pPr>
      <w:rPr>
        <w:rFonts w:ascii="Symbol" w:hAnsi="Symbol" w:hint="default"/>
      </w:rPr>
    </w:lvl>
    <w:lvl w:ilvl="1" w:tplc="1F0E9F0C">
      <w:start w:val="1"/>
      <w:numFmt w:val="bullet"/>
      <w:lvlText w:val="o"/>
      <w:lvlJc w:val="left"/>
      <w:pPr>
        <w:ind w:left="1440" w:hanging="360"/>
      </w:pPr>
      <w:rPr>
        <w:rFonts w:ascii="Courier New" w:hAnsi="Courier New" w:hint="default"/>
      </w:rPr>
    </w:lvl>
    <w:lvl w:ilvl="2" w:tplc="38940B42">
      <w:start w:val="1"/>
      <w:numFmt w:val="bullet"/>
      <w:lvlText w:val=""/>
      <w:lvlJc w:val="left"/>
      <w:pPr>
        <w:ind w:left="2160" w:hanging="360"/>
      </w:pPr>
      <w:rPr>
        <w:rFonts w:ascii="Wingdings" w:hAnsi="Wingdings" w:hint="default"/>
      </w:rPr>
    </w:lvl>
    <w:lvl w:ilvl="3" w:tplc="5EF44AD6">
      <w:start w:val="1"/>
      <w:numFmt w:val="bullet"/>
      <w:lvlText w:val=""/>
      <w:lvlJc w:val="left"/>
      <w:pPr>
        <w:ind w:left="2880" w:hanging="360"/>
      </w:pPr>
      <w:rPr>
        <w:rFonts w:ascii="Symbol" w:hAnsi="Symbol" w:hint="default"/>
      </w:rPr>
    </w:lvl>
    <w:lvl w:ilvl="4" w:tplc="557E5842">
      <w:start w:val="1"/>
      <w:numFmt w:val="bullet"/>
      <w:lvlText w:val="o"/>
      <w:lvlJc w:val="left"/>
      <w:pPr>
        <w:ind w:left="3600" w:hanging="360"/>
      </w:pPr>
      <w:rPr>
        <w:rFonts w:ascii="Courier New" w:hAnsi="Courier New" w:hint="default"/>
      </w:rPr>
    </w:lvl>
    <w:lvl w:ilvl="5" w:tplc="3516E1A8">
      <w:start w:val="1"/>
      <w:numFmt w:val="bullet"/>
      <w:lvlText w:val=""/>
      <w:lvlJc w:val="left"/>
      <w:pPr>
        <w:ind w:left="4320" w:hanging="360"/>
      </w:pPr>
      <w:rPr>
        <w:rFonts w:ascii="Wingdings" w:hAnsi="Wingdings" w:hint="default"/>
      </w:rPr>
    </w:lvl>
    <w:lvl w:ilvl="6" w:tplc="9C0CE696">
      <w:start w:val="1"/>
      <w:numFmt w:val="bullet"/>
      <w:lvlText w:val=""/>
      <w:lvlJc w:val="left"/>
      <w:pPr>
        <w:ind w:left="5040" w:hanging="360"/>
      </w:pPr>
      <w:rPr>
        <w:rFonts w:ascii="Symbol" w:hAnsi="Symbol" w:hint="default"/>
      </w:rPr>
    </w:lvl>
    <w:lvl w:ilvl="7" w:tplc="888E2AA2">
      <w:start w:val="1"/>
      <w:numFmt w:val="bullet"/>
      <w:lvlText w:val="o"/>
      <w:lvlJc w:val="left"/>
      <w:pPr>
        <w:ind w:left="5760" w:hanging="360"/>
      </w:pPr>
      <w:rPr>
        <w:rFonts w:ascii="Courier New" w:hAnsi="Courier New" w:hint="default"/>
      </w:rPr>
    </w:lvl>
    <w:lvl w:ilvl="8" w:tplc="CD8293F0">
      <w:start w:val="1"/>
      <w:numFmt w:val="bullet"/>
      <w:lvlText w:val=""/>
      <w:lvlJc w:val="left"/>
      <w:pPr>
        <w:ind w:left="6480" w:hanging="360"/>
      </w:pPr>
      <w:rPr>
        <w:rFonts w:ascii="Wingdings" w:hAnsi="Wingdings" w:hint="default"/>
      </w:rPr>
    </w:lvl>
  </w:abstractNum>
  <w:abstractNum w:abstractNumId="4" w15:restartNumberingAfterBreak="0">
    <w:nsid w:val="0CA95B18"/>
    <w:multiLevelType w:val="multilevel"/>
    <w:tmpl w:val="F774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787899"/>
    <w:multiLevelType w:val="multilevel"/>
    <w:tmpl w:val="9068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5537B2"/>
    <w:multiLevelType w:val="hybridMultilevel"/>
    <w:tmpl w:val="301294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B37452"/>
    <w:multiLevelType w:val="hybridMultilevel"/>
    <w:tmpl w:val="980807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467AFF"/>
    <w:multiLevelType w:val="hybridMultilevel"/>
    <w:tmpl w:val="CA48DA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332D8B"/>
    <w:multiLevelType w:val="multilevel"/>
    <w:tmpl w:val="EF16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9D7D3C"/>
    <w:multiLevelType w:val="hybridMultilevel"/>
    <w:tmpl w:val="8BF85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955DE3"/>
    <w:multiLevelType w:val="hybridMultilevel"/>
    <w:tmpl w:val="2038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926874"/>
    <w:multiLevelType w:val="hybridMultilevel"/>
    <w:tmpl w:val="CD827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3168DD"/>
    <w:multiLevelType w:val="hybridMultilevel"/>
    <w:tmpl w:val="99AE45F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001032"/>
    <w:multiLevelType w:val="multilevel"/>
    <w:tmpl w:val="F8F6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4A3A47"/>
    <w:multiLevelType w:val="multilevel"/>
    <w:tmpl w:val="E9A8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A96462"/>
    <w:multiLevelType w:val="hybridMultilevel"/>
    <w:tmpl w:val="C2720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916B7"/>
    <w:multiLevelType w:val="multilevel"/>
    <w:tmpl w:val="6032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8058FC"/>
    <w:multiLevelType w:val="multilevel"/>
    <w:tmpl w:val="F206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705E6E"/>
    <w:multiLevelType w:val="hybridMultilevel"/>
    <w:tmpl w:val="B4DA9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354C79"/>
    <w:multiLevelType w:val="hybridMultilevel"/>
    <w:tmpl w:val="1F7E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6B853A"/>
    <w:multiLevelType w:val="hybridMultilevel"/>
    <w:tmpl w:val="FFFFFFFF"/>
    <w:lvl w:ilvl="0" w:tplc="AA364864">
      <w:start w:val="1"/>
      <w:numFmt w:val="bullet"/>
      <w:lvlText w:val=""/>
      <w:lvlJc w:val="left"/>
      <w:pPr>
        <w:ind w:left="720" w:hanging="360"/>
      </w:pPr>
      <w:rPr>
        <w:rFonts w:ascii="Symbol" w:hAnsi="Symbol" w:hint="default"/>
      </w:rPr>
    </w:lvl>
    <w:lvl w:ilvl="1" w:tplc="901C1148">
      <w:start w:val="1"/>
      <w:numFmt w:val="bullet"/>
      <w:lvlText w:val="o"/>
      <w:lvlJc w:val="left"/>
      <w:pPr>
        <w:ind w:left="1440" w:hanging="360"/>
      </w:pPr>
      <w:rPr>
        <w:rFonts w:ascii="Courier New" w:hAnsi="Courier New" w:hint="default"/>
      </w:rPr>
    </w:lvl>
    <w:lvl w:ilvl="2" w:tplc="5732B170">
      <w:start w:val="1"/>
      <w:numFmt w:val="bullet"/>
      <w:lvlText w:val=""/>
      <w:lvlJc w:val="left"/>
      <w:pPr>
        <w:ind w:left="2160" w:hanging="360"/>
      </w:pPr>
      <w:rPr>
        <w:rFonts w:ascii="Wingdings" w:hAnsi="Wingdings" w:hint="default"/>
      </w:rPr>
    </w:lvl>
    <w:lvl w:ilvl="3" w:tplc="AC90A2C0">
      <w:start w:val="1"/>
      <w:numFmt w:val="bullet"/>
      <w:lvlText w:val=""/>
      <w:lvlJc w:val="left"/>
      <w:pPr>
        <w:ind w:left="2880" w:hanging="360"/>
      </w:pPr>
      <w:rPr>
        <w:rFonts w:ascii="Symbol" w:hAnsi="Symbol" w:hint="default"/>
      </w:rPr>
    </w:lvl>
    <w:lvl w:ilvl="4" w:tplc="3FD8C940">
      <w:start w:val="1"/>
      <w:numFmt w:val="bullet"/>
      <w:lvlText w:val="o"/>
      <w:lvlJc w:val="left"/>
      <w:pPr>
        <w:ind w:left="3600" w:hanging="360"/>
      </w:pPr>
      <w:rPr>
        <w:rFonts w:ascii="Courier New" w:hAnsi="Courier New" w:hint="default"/>
      </w:rPr>
    </w:lvl>
    <w:lvl w:ilvl="5" w:tplc="5488440A">
      <w:start w:val="1"/>
      <w:numFmt w:val="bullet"/>
      <w:lvlText w:val=""/>
      <w:lvlJc w:val="left"/>
      <w:pPr>
        <w:ind w:left="4320" w:hanging="360"/>
      </w:pPr>
      <w:rPr>
        <w:rFonts w:ascii="Wingdings" w:hAnsi="Wingdings" w:hint="default"/>
      </w:rPr>
    </w:lvl>
    <w:lvl w:ilvl="6" w:tplc="9EC0A1A2">
      <w:start w:val="1"/>
      <w:numFmt w:val="bullet"/>
      <w:lvlText w:val=""/>
      <w:lvlJc w:val="left"/>
      <w:pPr>
        <w:ind w:left="5040" w:hanging="360"/>
      </w:pPr>
      <w:rPr>
        <w:rFonts w:ascii="Symbol" w:hAnsi="Symbol" w:hint="default"/>
      </w:rPr>
    </w:lvl>
    <w:lvl w:ilvl="7" w:tplc="72B02618">
      <w:start w:val="1"/>
      <w:numFmt w:val="bullet"/>
      <w:lvlText w:val="o"/>
      <w:lvlJc w:val="left"/>
      <w:pPr>
        <w:ind w:left="5760" w:hanging="360"/>
      </w:pPr>
      <w:rPr>
        <w:rFonts w:ascii="Courier New" w:hAnsi="Courier New" w:hint="default"/>
      </w:rPr>
    </w:lvl>
    <w:lvl w:ilvl="8" w:tplc="E7A0668C">
      <w:start w:val="1"/>
      <w:numFmt w:val="bullet"/>
      <w:lvlText w:val=""/>
      <w:lvlJc w:val="left"/>
      <w:pPr>
        <w:ind w:left="6480" w:hanging="360"/>
      </w:pPr>
      <w:rPr>
        <w:rFonts w:ascii="Wingdings" w:hAnsi="Wingdings" w:hint="default"/>
      </w:rPr>
    </w:lvl>
  </w:abstractNum>
  <w:abstractNum w:abstractNumId="22" w15:restartNumberingAfterBreak="0">
    <w:nsid w:val="3AF34A79"/>
    <w:multiLevelType w:val="hybridMultilevel"/>
    <w:tmpl w:val="77543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4938FF"/>
    <w:multiLevelType w:val="hybridMultilevel"/>
    <w:tmpl w:val="FFFFFFFF"/>
    <w:lvl w:ilvl="0" w:tplc="7778B968">
      <w:start w:val="1"/>
      <w:numFmt w:val="decimal"/>
      <w:lvlText w:val="%1."/>
      <w:lvlJc w:val="left"/>
      <w:pPr>
        <w:ind w:left="720" w:hanging="360"/>
      </w:pPr>
    </w:lvl>
    <w:lvl w:ilvl="1" w:tplc="3E5CCD02">
      <w:start w:val="1"/>
      <w:numFmt w:val="lowerLetter"/>
      <w:lvlText w:val="%2."/>
      <w:lvlJc w:val="left"/>
      <w:pPr>
        <w:ind w:left="1440" w:hanging="360"/>
      </w:pPr>
    </w:lvl>
    <w:lvl w:ilvl="2" w:tplc="4A46E18C">
      <w:start w:val="1"/>
      <w:numFmt w:val="lowerRoman"/>
      <w:lvlText w:val="%3."/>
      <w:lvlJc w:val="right"/>
      <w:pPr>
        <w:ind w:left="2160" w:hanging="180"/>
      </w:pPr>
    </w:lvl>
    <w:lvl w:ilvl="3" w:tplc="78B8C534">
      <w:start w:val="1"/>
      <w:numFmt w:val="decimal"/>
      <w:lvlText w:val="%4."/>
      <w:lvlJc w:val="left"/>
      <w:pPr>
        <w:ind w:left="2880" w:hanging="360"/>
      </w:pPr>
    </w:lvl>
    <w:lvl w:ilvl="4" w:tplc="F7FE5752">
      <w:start w:val="1"/>
      <w:numFmt w:val="lowerLetter"/>
      <w:lvlText w:val="%5."/>
      <w:lvlJc w:val="left"/>
      <w:pPr>
        <w:ind w:left="3600" w:hanging="360"/>
      </w:pPr>
    </w:lvl>
    <w:lvl w:ilvl="5" w:tplc="77AED8CA">
      <w:start w:val="1"/>
      <w:numFmt w:val="lowerRoman"/>
      <w:lvlText w:val="%6."/>
      <w:lvlJc w:val="right"/>
      <w:pPr>
        <w:ind w:left="4320" w:hanging="180"/>
      </w:pPr>
    </w:lvl>
    <w:lvl w:ilvl="6" w:tplc="7ECE0E10">
      <w:start w:val="1"/>
      <w:numFmt w:val="decimal"/>
      <w:lvlText w:val="%7."/>
      <w:lvlJc w:val="left"/>
      <w:pPr>
        <w:ind w:left="5040" w:hanging="360"/>
      </w:pPr>
    </w:lvl>
    <w:lvl w:ilvl="7" w:tplc="C80C06A4">
      <w:start w:val="1"/>
      <w:numFmt w:val="lowerLetter"/>
      <w:lvlText w:val="%8."/>
      <w:lvlJc w:val="left"/>
      <w:pPr>
        <w:ind w:left="5760" w:hanging="360"/>
      </w:pPr>
    </w:lvl>
    <w:lvl w:ilvl="8" w:tplc="17DCB898">
      <w:start w:val="1"/>
      <w:numFmt w:val="lowerRoman"/>
      <w:lvlText w:val="%9."/>
      <w:lvlJc w:val="right"/>
      <w:pPr>
        <w:ind w:left="6480" w:hanging="180"/>
      </w:pPr>
    </w:lvl>
  </w:abstractNum>
  <w:abstractNum w:abstractNumId="24" w15:restartNumberingAfterBreak="0">
    <w:nsid w:val="420B5D27"/>
    <w:multiLevelType w:val="hybridMultilevel"/>
    <w:tmpl w:val="B0704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8B5D4A"/>
    <w:multiLevelType w:val="hybridMultilevel"/>
    <w:tmpl w:val="4B463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011EDA"/>
    <w:multiLevelType w:val="hybridMultilevel"/>
    <w:tmpl w:val="96B87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44782E"/>
    <w:multiLevelType w:val="hybridMultilevel"/>
    <w:tmpl w:val="EF54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6F52E9"/>
    <w:multiLevelType w:val="hybridMultilevel"/>
    <w:tmpl w:val="A694F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F96F86"/>
    <w:multiLevelType w:val="hybridMultilevel"/>
    <w:tmpl w:val="B6102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4562AD"/>
    <w:multiLevelType w:val="hybridMultilevel"/>
    <w:tmpl w:val="B5424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1FB5519"/>
    <w:multiLevelType w:val="hybridMultilevel"/>
    <w:tmpl w:val="C0CE3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1A2061"/>
    <w:multiLevelType w:val="hybridMultilevel"/>
    <w:tmpl w:val="ABC42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C748D4"/>
    <w:multiLevelType w:val="hybridMultilevel"/>
    <w:tmpl w:val="FEC09BE0"/>
    <w:lvl w:ilvl="0" w:tplc="0522366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732536"/>
    <w:multiLevelType w:val="hybridMultilevel"/>
    <w:tmpl w:val="A56A69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599039A8"/>
    <w:multiLevelType w:val="hybridMultilevel"/>
    <w:tmpl w:val="44DADC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9F4211F"/>
    <w:multiLevelType w:val="multilevel"/>
    <w:tmpl w:val="A3D6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6F7306"/>
    <w:multiLevelType w:val="hybridMultilevel"/>
    <w:tmpl w:val="0E8A4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85436E"/>
    <w:multiLevelType w:val="multilevel"/>
    <w:tmpl w:val="1F76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2D7DB0"/>
    <w:multiLevelType w:val="hybridMultilevel"/>
    <w:tmpl w:val="482ABF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51237CC"/>
    <w:multiLevelType w:val="hybridMultilevel"/>
    <w:tmpl w:val="87EE3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AB2D7C"/>
    <w:multiLevelType w:val="hybridMultilevel"/>
    <w:tmpl w:val="52C000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4B3804"/>
    <w:multiLevelType w:val="multilevel"/>
    <w:tmpl w:val="3EBC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9547DFD"/>
    <w:multiLevelType w:val="multilevel"/>
    <w:tmpl w:val="6A9C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A660BF8"/>
    <w:multiLevelType w:val="hybridMultilevel"/>
    <w:tmpl w:val="B094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2D6DA3"/>
    <w:multiLevelType w:val="multilevel"/>
    <w:tmpl w:val="8F56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1478BB"/>
    <w:multiLevelType w:val="hybridMultilevel"/>
    <w:tmpl w:val="CB54F1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03E4FC3"/>
    <w:multiLevelType w:val="hybridMultilevel"/>
    <w:tmpl w:val="7A0A3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FC7F99"/>
    <w:multiLevelType w:val="hybridMultilevel"/>
    <w:tmpl w:val="D5AE3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5254D7"/>
    <w:multiLevelType w:val="hybridMultilevel"/>
    <w:tmpl w:val="11A06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64E72EE"/>
    <w:multiLevelType w:val="hybridMultilevel"/>
    <w:tmpl w:val="FCD2C01E"/>
    <w:lvl w:ilvl="0" w:tplc="CB2CE03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DF1720"/>
    <w:multiLevelType w:val="hybridMultilevel"/>
    <w:tmpl w:val="E4CE6EF4"/>
    <w:lvl w:ilvl="0" w:tplc="153AA6C6">
      <w:start w:val="1"/>
      <w:numFmt w:val="decimal"/>
      <w:pStyle w:val="OIAQuestio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AEC02FE"/>
    <w:multiLevelType w:val="hybridMultilevel"/>
    <w:tmpl w:val="E392F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1C21E3"/>
    <w:multiLevelType w:val="hybridMultilevel"/>
    <w:tmpl w:val="75B40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7F79116E"/>
    <w:multiLevelType w:val="hybridMultilevel"/>
    <w:tmpl w:val="95BCF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3"/>
  </w:num>
  <w:num w:numId="4">
    <w:abstractNumId w:val="31"/>
  </w:num>
  <w:num w:numId="5">
    <w:abstractNumId w:val="48"/>
  </w:num>
  <w:num w:numId="6">
    <w:abstractNumId w:val="1"/>
  </w:num>
  <w:num w:numId="7">
    <w:abstractNumId w:val="56"/>
  </w:num>
  <w:num w:numId="8">
    <w:abstractNumId w:val="53"/>
  </w:num>
  <w:num w:numId="9">
    <w:abstractNumId w:val="51"/>
  </w:num>
  <w:num w:numId="10">
    <w:abstractNumId w:val="0"/>
  </w:num>
  <w:num w:numId="11">
    <w:abstractNumId w:val="26"/>
  </w:num>
  <w:num w:numId="12">
    <w:abstractNumId w:val="32"/>
  </w:num>
  <w:num w:numId="13">
    <w:abstractNumId w:val="57"/>
  </w:num>
  <w:num w:numId="14">
    <w:abstractNumId w:val="38"/>
  </w:num>
  <w:num w:numId="15">
    <w:abstractNumId w:val="36"/>
  </w:num>
  <w:num w:numId="16">
    <w:abstractNumId w:val="13"/>
  </w:num>
  <w:num w:numId="17">
    <w:abstractNumId w:val="28"/>
  </w:num>
  <w:num w:numId="18">
    <w:abstractNumId w:val="7"/>
  </w:num>
  <w:num w:numId="19">
    <w:abstractNumId w:val="55"/>
  </w:num>
  <w:num w:numId="20">
    <w:abstractNumId w:val="45"/>
  </w:num>
  <w:num w:numId="21">
    <w:abstractNumId w:val="2"/>
  </w:num>
  <w:num w:numId="22">
    <w:abstractNumId w:val="19"/>
  </w:num>
  <w:num w:numId="23">
    <w:abstractNumId w:val="33"/>
  </w:num>
  <w:num w:numId="24">
    <w:abstractNumId w:val="10"/>
  </w:num>
  <w:num w:numId="25">
    <w:abstractNumId w:val="41"/>
  </w:num>
  <w:num w:numId="26">
    <w:abstractNumId w:val="30"/>
  </w:num>
  <w:num w:numId="27">
    <w:abstractNumId w:val="22"/>
  </w:num>
  <w:num w:numId="28">
    <w:abstractNumId w:val="54"/>
  </w:num>
  <w:num w:numId="29">
    <w:abstractNumId w:val="12"/>
  </w:num>
  <w:num w:numId="30">
    <w:abstractNumId w:val="47"/>
  </w:num>
  <w:num w:numId="31">
    <w:abstractNumId w:val="34"/>
  </w:num>
  <w:num w:numId="32">
    <w:abstractNumId w:val="27"/>
  </w:num>
  <w:num w:numId="33">
    <w:abstractNumId w:val="11"/>
  </w:num>
  <w:num w:numId="34">
    <w:abstractNumId w:val="16"/>
  </w:num>
  <w:num w:numId="35">
    <w:abstractNumId w:val="35"/>
  </w:num>
  <w:num w:numId="36">
    <w:abstractNumId w:val="52"/>
  </w:num>
  <w:num w:numId="37">
    <w:abstractNumId w:val="25"/>
  </w:num>
  <w:num w:numId="38">
    <w:abstractNumId w:val="24"/>
  </w:num>
  <w:num w:numId="39">
    <w:abstractNumId w:val="29"/>
  </w:num>
  <w:num w:numId="40">
    <w:abstractNumId w:val="4"/>
  </w:num>
  <w:num w:numId="41">
    <w:abstractNumId w:val="9"/>
  </w:num>
  <w:num w:numId="42">
    <w:abstractNumId w:val="15"/>
  </w:num>
  <w:num w:numId="43">
    <w:abstractNumId w:val="44"/>
  </w:num>
  <w:num w:numId="44">
    <w:abstractNumId w:val="46"/>
  </w:num>
  <w:num w:numId="45">
    <w:abstractNumId w:val="37"/>
  </w:num>
  <w:num w:numId="46">
    <w:abstractNumId w:val="43"/>
  </w:num>
  <w:num w:numId="47">
    <w:abstractNumId w:val="14"/>
  </w:num>
  <w:num w:numId="48">
    <w:abstractNumId w:val="39"/>
  </w:num>
  <w:num w:numId="49">
    <w:abstractNumId w:val="17"/>
  </w:num>
  <w:num w:numId="50">
    <w:abstractNumId w:val="5"/>
  </w:num>
  <w:num w:numId="51">
    <w:abstractNumId w:val="18"/>
  </w:num>
  <w:num w:numId="52">
    <w:abstractNumId w:val="20"/>
  </w:num>
  <w:num w:numId="53">
    <w:abstractNumId w:val="49"/>
  </w:num>
  <w:num w:numId="54">
    <w:abstractNumId w:val="42"/>
  </w:num>
  <w:num w:numId="55">
    <w:abstractNumId w:val="8"/>
  </w:num>
  <w:num w:numId="56">
    <w:abstractNumId w:val="6"/>
  </w:num>
  <w:num w:numId="57">
    <w:abstractNumId w:val="50"/>
  </w:num>
  <w:num w:numId="5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54"/>
    <w:rsid w:val="000000EB"/>
    <w:rsid w:val="000005BE"/>
    <w:rsid w:val="00000625"/>
    <w:rsid w:val="0000067F"/>
    <w:rsid w:val="00000AA5"/>
    <w:rsid w:val="00000B0B"/>
    <w:rsid w:val="00000D76"/>
    <w:rsid w:val="00001F64"/>
    <w:rsid w:val="00002175"/>
    <w:rsid w:val="0000225A"/>
    <w:rsid w:val="000024FB"/>
    <w:rsid w:val="0000254B"/>
    <w:rsid w:val="000027BB"/>
    <w:rsid w:val="00002981"/>
    <w:rsid w:val="00002A3B"/>
    <w:rsid w:val="00002DF7"/>
    <w:rsid w:val="00003129"/>
    <w:rsid w:val="000032C3"/>
    <w:rsid w:val="000034AD"/>
    <w:rsid w:val="000035D7"/>
    <w:rsid w:val="000036D7"/>
    <w:rsid w:val="000036DE"/>
    <w:rsid w:val="00003743"/>
    <w:rsid w:val="000039B9"/>
    <w:rsid w:val="00003CE3"/>
    <w:rsid w:val="00003D49"/>
    <w:rsid w:val="00004183"/>
    <w:rsid w:val="00004375"/>
    <w:rsid w:val="0000479F"/>
    <w:rsid w:val="000047B4"/>
    <w:rsid w:val="00004AFB"/>
    <w:rsid w:val="00005537"/>
    <w:rsid w:val="00005712"/>
    <w:rsid w:val="00005B4F"/>
    <w:rsid w:val="00005CBC"/>
    <w:rsid w:val="00005D0C"/>
    <w:rsid w:val="00005E02"/>
    <w:rsid w:val="00006005"/>
    <w:rsid w:val="0000601C"/>
    <w:rsid w:val="000061CD"/>
    <w:rsid w:val="00006614"/>
    <w:rsid w:val="00006A39"/>
    <w:rsid w:val="00006A50"/>
    <w:rsid w:val="00006BA9"/>
    <w:rsid w:val="00007240"/>
    <w:rsid w:val="00007328"/>
    <w:rsid w:val="00007385"/>
    <w:rsid w:val="000075D8"/>
    <w:rsid w:val="0000763C"/>
    <w:rsid w:val="0000785E"/>
    <w:rsid w:val="000078D6"/>
    <w:rsid w:val="00007A14"/>
    <w:rsid w:val="00007FD8"/>
    <w:rsid w:val="000100EF"/>
    <w:rsid w:val="0001022D"/>
    <w:rsid w:val="00010567"/>
    <w:rsid w:val="0001061D"/>
    <w:rsid w:val="00010A9B"/>
    <w:rsid w:val="00010B08"/>
    <w:rsid w:val="00010D22"/>
    <w:rsid w:val="00010EBC"/>
    <w:rsid w:val="00011272"/>
    <w:rsid w:val="00011517"/>
    <w:rsid w:val="0001161F"/>
    <w:rsid w:val="00011720"/>
    <w:rsid w:val="000117F8"/>
    <w:rsid w:val="000119F9"/>
    <w:rsid w:val="00011B3C"/>
    <w:rsid w:val="00011B3D"/>
    <w:rsid w:val="00011D8A"/>
    <w:rsid w:val="00011FFA"/>
    <w:rsid w:val="0001200B"/>
    <w:rsid w:val="0001222C"/>
    <w:rsid w:val="00012718"/>
    <w:rsid w:val="0001282C"/>
    <w:rsid w:val="000128CF"/>
    <w:rsid w:val="000129A5"/>
    <w:rsid w:val="000129F0"/>
    <w:rsid w:val="00012B0B"/>
    <w:rsid w:val="00012CFA"/>
    <w:rsid w:val="00012DDD"/>
    <w:rsid w:val="00012F5F"/>
    <w:rsid w:val="000131CB"/>
    <w:rsid w:val="00013261"/>
    <w:rsid w:val="0001338C"/>
    <w:rsid w:val="000134C7"/>
    <w:rsid w:val="00013C02"/>
    <w:rsid w:val="00014286"/>
    <w:rsid w:val="00014CC8"/>
    <w:rsid w:val="0001503B"/>
    <w:rsid w:val="00015051"/>
    <w:rsid w:val="00015436"/>
    <w:rsid w:val="00015AD9"/>
    <w:rsid w:val="00015F32"/>
    <w:rsid w:val="0001603F"/>
    <w:rsid w:val="00016041"/>
    <w:rsid w:val="000160BF"/>
    <w:rsid w:val="00016178"/>
    <w:rsid w:val="000164D1"/>
    <w:rsid w:val="00016633"/>
    <w:rsid w:val="000168EF"/>
    <w:rsid w:val="00016B9D"/>
    <w:rsid w:val="00016BED"/>
    <w:rsid w:val="00016CEA"/>
    <w:rsid w:val="00016DDA"/>
    <w:rsid w:val="0001726C"/>
    <w:rsid w:val="00017560"/>
    <w:rsid w:val="000175E9"/>
    <w:rsid w:val="000177CA"/>
    <w:rsid w:val="00017922"/>
    <w:rsid w:val="00017B5F"/>
    <w:rsid w:val="00017D22"/>
    <w:rsid w:val="00017EFD"/>
    <w:rsid w:val="00017FA7"/>
    <w:rsid w:val="0002021A"/>
    <w:rsid w:val="0002083B"/>
    <w:rsid w:val="000208E2"/>
    <w:rsid w:val="000208E6"/>
    <w:rsid w:val="00020C03"/>
    <w:rsid w:val="00020EF0"/>
    <w:rsid w:val="00020FC1"/>
    <w:rsid w:val="000214F2"/>
    <w:rsid w:val="00021523"/>
    <w:rsid w:val="00021AEF"/>
    <w:rsid w:val="00021B34"/>
    <w:rsid w:val="00021BD7"/>
    <w:rsid w:val="00022686"/>
    <w:rsid w:val="00022972"/>
    <w:rsid w:val="00022C4C"/>
    <w:rsid w:val="0002348F"/>
    <w:rsid w:val="00023569"/>
    <w:rsid w:val="000237EF"/>
    <w:rsid w:val="00023C8B"/>
    <w:rsid w:val="00023F1D"/>
    <w:rsid w:val="00023F7A"/>
    <w:rsid w:val="000240FA"/>
    <w:rsid w:val="00024157"/>
    <w:rsid w:val="000242F0"/>
    <w:rsid w:val="00024506"/>
    <w:rsid w:val="0002470E"/>
    <w:rsid w:val="00024AEF"/>
    <w:rsid w:val="00024B1D"/>
    <w:rsid w:val="00024DC6"/>
    <w:rsid w:val="00024FAA"/>
    <w:rsid w:val="00024FAE"/>
    <w:rsid w:val="00024FAF"/>
    <w:rsid w:val="00025307"/>
    <w:rsid w:val="000253B5"/>
    <w:rsid w:val="000253F4"/>
    <w:rsid w:val="000256AB"/>
    <w:rsid w:val="000256D1"/>
    <w:rsid w:val="00025B5F"/>
    <w:rsid w:val="00025C3C"/>
    <w:rsid w:val="00025F0F"/>
    <w:rsid w:val="00026139"/>
    <w:rsid w:val="00026836"/>
    <w:rsid w:val="00026A5D"/>
    <w:rsid w:val="00026B98"/>
    <w:rsid w:val="00026C5D"/>
    <w:rsid w:val="00027071"/>
    <w:rsid w:val="00027310"/>
    <w:rsid w:val="000273FE"/>
    <w:rsid w:val="0002754C"/>
    <w:rsid w:val="00027601"/>
    <w:rsid w:val="00027726"/>
    <w:rsid w:val="00027751"/>
    <w:rsid w:val="00027781"/>
    <w:rsid w:val="00027A3C"/>
    <w:rsid w:val="00027C23"/>
    <w:rsid w:val="00027D3A"/>
    <w:rsid w:val="00027EF3"/>
    <w:rsid w:val="00027EFF"/>
    <w:rsid w:val="00027F28"/>
    <w:rsid w:val="0003006D"/>
    <w:rsid w:val="000302B4"/>
    <w:rsid w:val="000306AF"/>
    <w:rsid w:val="00030B75"/>
    <w:rsid w:val="00030B95"/>
    <w:rsid w:val="00030C4F"/>
    <w:rsid w:val="00030E5D"/>
    <w:rsid w:val="000311C3"/>
    <w:rsid w:val="0003137B"/>
    <w:rsid w:val="0003175B"/>
    <w:rsid w:val="00031987"/>
    <w:rsid w:val="00031F7B"/>
    <w:rsid w:val="00032168"/>
    <w:rsid w:val="0003226F"/>
    <w:rsid w:val="00032328"/>
    <w:rsid w:val="000328C6"/>
    <w:rsid w:val="000328F2"/>
    <w:rsid w:val="00032907"/>
    <w:rsid w:val="00032979"/>
    <w:rsid w:val="00032CCF"/>
    <w:rsid w:val="00033178"/>
    <w:rsid w:val="000332E2"/>
    <w:rsid w:val="00033321"/>
    <w:rsid w:val="00033631"/>
    <w:rsid w:val="000338E5"/>
    <w:rsid w:val="00033D9D"/>
    <w:rsid w:val="00033ECC"/>
    <w:rsid w:val="000341BC"/>
    <w:rsid w:val="000341BE"/>
    <w:rsid w:val="0003422F"/>
    <w:rsid w:val="000342C8"/>
    <w:rsid w:val="000344BF"/>
    <w:rsid w:val="000345DD"/>
    <w:rsid w:val="00034765"/>
    <w:rsid w:val="00034ACB"/>
    <w:rsid w:val="00034B65"/>
    <w:rsid w:val="00034CE4"/>
    <w:rsid w:val="00034DD4"/>
    <w:rsid w:val="000352AE"/>
    <w:rsid w:val="000352E8"/>
    <w:rsid w:val="00035983"/>
    <w:rsid w:val="00035AF7"/>
    <w:rsid w:val="00035BD5"/>
    <w:rsid w:val="00035F07"/>
    <w:rsid w:val="00035FF8"/>
    <w:rsid w:val="00036160"/>
    <w:rsid w:val="0003624D"/>
    <w:rsid w:val="000366FE"/>
    <w:rsid w:val="000369D0"/>
    <w:rsid w:val="00036A09"/>
    <w:rsid w:val="00036C8F"/>
    <w:rsid w:val="00036DDC"/>
    <w:rsid w:val="00037291"/>
    <w:rsid w:val="00037543"/>
    <w:rsid w:val="00037679"/>
    <w:rsid w:val="000378C3"/>
    <w:rsid w:val="0003798D"/>
    <w:rsid w:val="00037C86"/>
    <w:rsid w:val="00037E34"/>
    <w:rsid w:val="00037F39"/>
    <w:rsid w:val="000406B7"/>
    <w:rsid w:val="000408F4"/>
    <w:rsid w:val="00040929"/>
    <w:rsid w:val="000410DF"/>
    <w:rsid w:val="000415BA"/>
    <w:rsid w:val="0004186B"/>
    <w:rsid w:val="00041873"/>
    <w:rsid w:val="00041988"/>
    <w:rsid w:val="00042073"/>
    <w:rsid w:val="000420CA"/>
    <w:rsid w:val="0004215E"/>
    <w:rsid w:val="00042BD7"/>
    <w:rsid w:val="00042C99"/>
    <w:rsid w:val="00042E64"/>
    <w:rsid w:val="0004372B"/>
    <w:rsid w:val="000438DD"/>
    <w:rsid w:val="00043A4A"/>
    <w:rsid w:val="00043D55"/>
    <w:rsid w:val="00043E2D"/>
    <w:rsid w:val="000445C5"/>
    <w:rsid w:val="00044653"/>
    <w:rsid w:val="00044690"/>
    <w:rsid w:val="00044695"/>
    <w:rsid w:val="000446EC"/>
    <w:rsid w:val="00044783"/>
    <w:rsid w:val="00044AB6"/>
    <w:rsid w:val="00044CC1"/>
    <w:rsid w:val="00044E92"/>
    <w:rsid w:val="0004507A"/>
    <w:rsid w:val="0004521B"/>
    <w:rsid w:val="000454C5"/>
    <w:rsid w:val="000458FE"/>
    <w:rsid w:val="000460CE"/>
    <w:rsid w:val="0004616A"/>
    <w:rsid w:val="000461EC"/>
    <w:rsid w:val="0004646E"/>
    <w:rsid w:val="000465E5"/>
    <w:rsid w:val="00046641"/>
    <w:rsid w:val="0004668E"/>
    <w:rsid w:val="00046777"/>
    <w:rsid w:val="00046C32"/>
    <w:rsid w:val="00046EFB"/>
    <w:rsid w:val="00046F44"/>
    <w:rsid w:val="00046F52"/>
    <w:rsid w:val="00046FD6"/>
    <w:rsid w:val="00046FF0"/>
    <w:rsid w:val="00047057"/>
    <w:rsid w:val="00047757"/>
    <w:rsid w:val="0004777F"/>
    <w:rsid w:val="00047885"/>
    <w:rsid w:val="0004791C"/>
    <w:rsid w:val="00047DFB"/>
    <w:rsid w:val="00047EFB"/>
    <w:rsid w:val="00047F79"/>
    <w:rsid w:val="00050176"/>
    <w:rsid w:val="0005061D"/>
    <w:rsid w:val="00050804"/>
    <w:rsid w:val="00050AC1"/>
    <w:rsid w:val="00050B6F"/>
    <w:rsid w:val="00050E92"/>
    <w:rsid w:val="00050FEE"/>
    <w:rsid w:val="000515DE"/>
    <w:rsid w:val="00051883"/>
    <w:rsid w:val="00051AFE"/>
    <w:rsid w:val="00051E73"/>
    <w:rsid w:val="000521CE"/>
    <w:rsid w:val="0005234D"/>
    <w:rsid w:val="00052460"/>
    <w:rsid w:val="000526FA"/>
    <w:rsid w:val="000529F2"/>
    <w:rsid w:val="00052BB5"/>
    <w:rsid w:val="00052C78"/>
    <w:rsid w:val="00052F84"/>
    <w:rsid w:val="00052FF6"/>
    <w:rsid w:val="00053008"/>
    <w:rsid w:val="00053068"/>
    <w:rsid w:val="00053172"/>
    <w:rsid w:val="000533A3"/>
    <w:rsid w:val="000533CE"/>
    <w:rsid w:val="00053656"/>
    <w:rsid w:val="0005368B"/>
    <w:rsid w:val="00053753"/>
    <w:rsid w:val="00053761"/>
    <w:rsid w:val="00053A64"/>
    <w:rsid w:val="00053A93"/>
    <w:rsid w:val="00053BEF"/>
    <w:rsid w:val="00053D6D"/>
    <w:rsid w:val="00053EE7"/>
    <w:rsid w:val="0005418C"/>
    <w:rsid w:val="00054233"/>
    <w:rsid w:val="00054411"/>
    <w:rsid w:val="00054639"/>
    <w:rsid w:val="0005464C"/>
    <w:rsid w:val="00054A5B"/>
    <w:rsid w:val="00054DA7"/>
    <w:rsid w:val="00054F5C"/>
    <w:rsid w:val="00054FBB"/>
    <w:rsid w:val="000557FC"/>
    <w:rsid w:val="00055814"/>
    <w:rsid w:val="000559FB"/>
    <w:rsid w:val="00055B48"/>
    <w:rsid w:val="00055C06"/>
    <w:rsid w:val="00055CAB"/>
    <w:rsid w:val="00055CAD"/>
    <w:rsid w:val="00055FCE"/>
    <w:rsid w:val="00056343"/>
    <w:rsid w:val="0005679F"/>
    <w:rsid w:val="000569E3"/>
    <w:rsid w:val="00056B2D"/>
    <w:rsid w:val="00056B66"/>
    <w:rsid w:val="00056E14"/>
    <w:rsid w:val="00056F68"/>
    <w:rsid w:val="0005755F"/>
    <w:rsid w:val="000575DC"/>
    <w:rsid w:val="00057608"/>
    <w:rsid w:val="000578B8"/>
    <w:rsid w:val="0005797F"/>
    <w:rsid w:val="00057EA6"/>
    <w:rsid w:val="0005D97D"/>
    <w:rsid w:val="000600BA"/>
    <w:rsid w:val="00060765"/>
    <w:rsid w:val="000607FB"/>
    <w:rsid w:val="000608A9"/>
    <w:rsid w:val="0006108F"/>
    <w:rsid w:val="000610AF"/>
    <w:rsid w:val="0006127A"/>
    <w:rsid w:val="00061916"/>
    <w:rsid w:val="00061953"/>
    <w:rsid w:val="00061C20"/>
    <w:rsid w:val="00061CB4"/>
    <w:rsid w:val="00061D21"/>
    <w:rsid w:val="00061DCA"/>
    <w:rsid w:val="00061F1B"/>
    <w:rsid w:val="0006222C"/>
    <w:rsid w:val="00062340"/>
    <w:rsid w:val="00062495"/>
    <w:rsid w:val="0006254F"/>
    <w:rsid w:val="0006262B"/>
    <w:rsid w:val="00062714"/>
    <w:rsid w:val="00062875"/>
    <w:rsid w:val="000628B5"/>
    <w:rsid w:val="00062A34"/>
    <w:rsid w:val="00062A93"/>
    <w:rsid w:val="00062B65"/>
    <w:rsid w:val="00062DB1"/>
    <w:rsid w:val="00063656"/>
    <w:rsid w:val="00063715"/>
    <w:rsid w:val="00063A9E"/>
    <w:rsid w:val="00063C2B"/>
    <w:rsid w:val="00063E92"/>
    <w:rsid w:val="00063FDE"/>
    <w:rsid w:val="00064177"/>
    <w:rsid w:val="0006445E"/>
    <w:rsid w:val="0006449D"/>
    <w:rsid w:val="00064579"/>
    <w:rsid w:val="000645C6"/>
    <w:rsid w:val="0006482E"/>
    <w:rsid w:val="0006488A"/>
    <w:rsid w:val="00064938"/>
    <w:rsid w:val="00064BAC"/>
    <w:rsid w:val="00064E94"/>
    <w:rsid w:val="00064FDE"/>
    <w:rsid w:val="0006531E"/>
    <w:rsid w:val="00065321"/>
    <w:rsid w:val="000653F1"/>
    <w:rsid w:val="00065499"/>
    <w:rsid w:val="00065A9D"/>
    <w:rsid w:val="00065B65"/>
    <w:rsid w:val="00065CE8"/>
    <w:rsid w:val="00065EA1"/>
    <w:rsid w:val="00066093"/>
    <w:rsid w:val="00066221"/>
    <w:rsid w:val="000662C4"/>
    <w:rsid w:val="0006630F"/>
    <w:rsid w:val="000663C7"/>
    <w:rsid w:val="00066421"/>
    <w:rsid w:val="00066571"/>
    <w:rsid w:val="00066A51"/>
    <w:rsid w:val="00066D2B"/>
    <w:rsid w:val="00066F5B"/>
    <w:rsid w:val="00067018"/>
    <w:rsid w:val="000671DA"/>
    <w:rsid w:val="00067284"/>
    <w:rsid w:val="000672E2"/>
    <w:rsid w:val="00067456"/>
    <w:rsid w:val="000674DA"/>
    <w:rsid w:val="000674E6"/>
    <w:rsid w:val="000679E9"/>
    <w:rsid w:val="00067D11"/>
    <w:rsid w:val="00067FFA"/>
    <w:rsid w:val="00070093"/>
    <w:rsid w:val="00070249"/>
    <w:rsid w:val="0007029A"/>
    <w:rsid w:val="000703EC"/>
    <w:rsid w:val="0007063B"/>
    <w:rsid w:val="0007067A"/>
    <w:rsid w:val="00070CAA"/>
    <w:rsid w:val="000713E3"/>
    <w:rsid w:val="00071426"/>
    <w:rsid w:val="000714F9"/>
    <w:rsid w:val="00071506"/>
    <w:rsid w:val="00071517"/>
    <w:rsid w:val="0007154F"/>
    <w:rsid w:val="00071697"/>
    <w:rsid w:val="000716DF"/>
    <w:rsid w:val="000718B7"/>
    <w:rsid w:val="00071AC3"/>
    <w:rsid w:val="00071D7C"/>
    <w:rsid w:val="00071DD5"/>
    <w:rsid w:val="00072131"/>
    <w:rsid w:val="000722D1"/>
    <w:rsid w:val="00072543"/>
    <w:rsid w:val="00072600"/>
    <w:rsid w:val="00072D22"/>
    <w:rsid w:val="00072EF8"/>
    <w:rsid w:val="0007309E"/>
    <w:rsid w:val="00073516"/>
    <w:rsid w:val="00073666"/>
    <w:rsid w:val="000739B0"/>
    <w:rsid w:val="00073C98"/>
    <w:rsid w:val="00074475"/>
    <w:rsid w:val="000744CF"/>
    <w:rsid w:val="000748AB"/>
    <w:rsid w:val="00074A17"/>
    <w:rsid w:val="000750F4"/>
    <w:rsid w:val="000756B6"/>
    <w:rsid w:val="00075CE1"/>
    <w:rsid w:val="00075D0D"/>
    <w:rsid w:val="00075D84"/>
    <w:rsid w:val="000760FA"/>
    <w:rsid w:val="0007631C"/>
    <w:rsid w:val="000763ED"/>
    <w:rsid w:val="00076447"/>
    <w:rsid w:val="0007685F"/>
    <w:rsid w:val="00076984"/>
    <w:rsid w:val="00076A49"/>
    <w:rsid w:val="00076B62"/>
    <w:rsid w:val="00076D24"/>
    <w:rsid w:val="00076DD1"/>
    <w:rsid w:val="00076F6C"/>
    <w:rsid w:val="00076F8A"/>
    <w:rsid w:val="000772B3"/>
    <w:rsid w:val="000772ED"/>
    <w:rsid w:val="0007740E"/>
    <w:rsid w:val="00077724"/>
    <w:rsid w:val="000777D6"/>
    <w:rsid w:val="0007786B"/>
    <w:rsid w:val="00077D79"/>
    <w:rsid w:val="00077F06"/>
    <w:rsid w:val="000801D8"/>
    <w:rsid w:val="000806A1"/>
    <w:rsid w:val="0008087F"/>
    <w:rsid w:val="000808FD"/>
    <w:rsid w:val="00080961"/>
    <w:rsid w:val="00080994"/>
    <w:rsid w:val="00080C6A"/>
    <w:rsid w:val="00080C87"/>
    <w:rsid w:val="00080D33"/>
    <w:rsid w:val="00080D3E"/>
    <w:rsid w:val="00080F2C"/>
    <w:rsid w:val="000810B3"/>
    <w:rsid w:val="00081254"/>
    <w:rsid w:val="00081281"/>
    <w:rsid w:val="000812BF"/>
    <w:rsid w:val="00081308"/>
    <w:rsid w:val="000819AF"/>
    <w:rsid w:val="00081AB1"/>
    <w:rsid w:val="00081D83"/>
    <w:rsid w:val="00081E41"/>
    <w:rsid w:val="00081F1E"/>
    <w:rsid w:val="000821BA"/>
    <w:rsid w:val="00082A4B"/>
    <w:rsid w:val="00082E32"/>
    <w:rsid w:val="0008398F"/>
    <w:rsid w:val="00083A07"/>
    <w:rsid w:val="00083AAB"/>
    <w:rsid w:val="00083C2B"/>
    <w:rsid w:val="00083D58"/>
    <w:rsid w:val="0008428E"/>
    <w:rsid w:val="0008433B"/>
    <w:rsid w:val="00084436"/>
    <w:rsid w:val="0008444C"/>
    <w:rsid w:val="000844C8"/>
    <w:rsid w:val="0008461A"/>
    <w:rsid w:val="000847EC"/>
    <w:rsid w:val="00084A08"/>
    <w:rsid w:val="00084D90"/>
    <w:rsid w:val="00085042"/>
    <w:rsid w:val="000853C4"/>
    <w:rsid w:val="000853E2"/>
    <w:rsid w:val="00085D2B"/>
    <w:rsid w:val="00085FDF"/>
    <w:rsid w:val="00086103"/>
    <w:rsid w:val="000862A7"/>
    <w:rsid w:val="000863EB"/>
    <w:rsid w:val="00086641"/>
    <w:rsid w:val="00086938"/>
    <w:rsid w:val="00086BB1"/>
    <w:rsid w:val="00086C0E"/>
    <w:rsid w:val="00086DC7"/>
    <w:rsid w:val="00086DFF"/>
    <w:rsid w:val="00086E3D"/>
    <w:rsid w:val="00087266"/>
    <w:rsid w:val="00087861"/>
    <w:rsid w:val="00087882"/>
    <w:rsid w:val="00087FD2"/>
    <w:rsid w:val="00088A1B"/>
    <w:rsid w:val="0008C2B6"/>
    <w:rsid w:val="00090117"/>
    <w:rsid w:val="00090209"/>
    <w:rsid w:val="00090217"/>
    <w:rsid w:val="00090220"/>
    <w:rsid w:val="000902E8"/>
    <w:rsid w:val="00090316"/>
    <w:rsid w:val="00090377"/>
    <w:rsid w:val="000904E7"/>
    <w:rsid w:val="0009070C"/>
    <w:rsid w:val="00090724"/>
    <w:rsid w:val="000908A1"/>
    <w:rsid w:val="00090940"/>
    <w:rsid w:val="000909B1"/>
    <w:rsid w:val="00090B13"/>
    <w:rsid w:val="00090BEB"/>
    <w:rsid w:val="00090CEF"/>
    <w:rsid w:val="00090DA6"/>
    <w:rsid w:val="00090E56"/>
    <w:rsid w:val="00090EC9"/>
    <w:rsid w:val="00091348"/>
    <w:rsid w:val="000913E4"/>
    <w:rsid w:val="00091412"/>
    <w:rsid w:val="000914A2"/>
    <w:rsid w:val="0009161D"/>
    <w:rsid w:val="000916BF"/>
    <w:rsid w:val="00091792"/>
    <w:rsid w:val="00091A42"/>
    <w:rsid w:val="00091AEA"/>
    <w:rsid w:val="00091F90"/>
    <w:rsid w:val="0009256F"/>
    <w:rsid w:val="000926E8"/>
    <w:rsid w:val="0009280D"/>
    <w:rsid w:val="0009289A"/>
    <w:rsid w:val="00092945"/>
    <w:rsid w:val="0009297D"/>
    <w:rsid w:val="00092AEF"/>
    <w:rsid w:val="00092B05"/>
    <w:rsid w:val="00092C21"/>
    <w:rsid w:val="00092CFD"/>
    <w:rsid w:val="00092DFA"/>
    <w:rsid w:val="00092E19"/>
    <w:rsid w:val="00092F92"/>
    <w:rsid w:val="000933A5"/>
    <w:rsid w:val="000934AB"/>
    <w:rsid w:val="000935CA"/>
    <w:rsid w:val="00093684"/>
    <w:rsid w:val="0009378D"/>
    <w:rsid w:val="00093981"/>
    <w:rsid w:val="00093B57"/>
    <w:rsid w:val="00093CD9"/>
    <w:rsid w:val="000940EF"/>
    <w:rsid w:val="00094493"/>
    <w:rsid w:val="000946C4"/>
    <w:rsid w:val="000949CF"/>
    <w:rsid w:val="00094A51"/>
    <w:rsid w:val="00094E5F"/>
    <w:rsid w:val="00094E72"/>
    <w:rsid w:val="0009525C"/>
    <w:rsid w:val="00095579"/>
    <w:rsid w:val="000955F6"/>
    <w:rsid w:val="000957DE"/>
    <w:rsid w:val="00095A1D"/>
    <w:rsid w:val="00095A96"/>
    <w:rsid w:val="00095A9E"/>
    <w:rsid w:val="00095BFA"/>
    <w:rsid w:val="00095C09"/>
    <w:rsid w:val="00095C68"/>
    <w:rsid w:val="00096182"/>
    <w:rsid w:val="00096210"/>
    <w:rsid w:val="00096360"/>
    <w:rsid w:val="00096900"/>
    <w:rsid w:val="00096D9C"/>
    <w:rsid w:val="000972AA"/>
    <w:rsid w:val="00097348"/>
    <w:rsid w:val="00097A6A"/>
    <w:rsid w:val="00097C4F"/>
    <w:rsid w:val="00097F54"/>
    <w:rsid w:val="000A01EE"/>
    <w:rsid w:val="000A0A36"/>
    <w:rsid w:val="000A0BA8"/>
    <w:rsid w:val="000A0CD3"/>
    <w:rsid w:val="000A0CE4"/>
    <w:rsid w:val="000A0E47"/>
    <w:rsid w:val="000A1307"/>
    <w:rsid w:val="000A18C9"/>
    <w:rsid w:val="000A1A87"/>
    <w:rsid w:val="000A1C05"/>
    <w:rsid w:val="000A217F"/>
    <w:rsid w:val="000A232E"/>
    <w:rsid w:val="000A23DC"/>
    <w:rsid w:val="000A2560"/>
    <w:rsid w:val="000A25B9"/>
    <w:rsid w:val="000A2743"/>
    <w:rsid w:val="000A279D"/>
    <w:rsid w:val="000A2B3D"/>
    <w:rsid w:val="000A2BA4"/>
    <w:rsid w:val="000A2BAD"/>
    <w:rsid w:val="000A2D75"/>
    <w:rsid w:val="000A3030"/>
    <w:rsid w:val="000A3297"/>
    <w:rsid w:val="000A35CC"/>
    <w:rsid w:val="000A3677"/>
    <w:rsid w:val="000A3F27"/>
    <w:rsid w:val="000A40BE"/>
    <w:rsid w:val="000A4204"/>
    <w:rsid w:val="000A4347"/>
    <w:rsid w:val="000A44DF"/>
    <w:rsid w:val="000A4976"/>
    <w:rsid w:val="000A4C4D"/>
    <w:rsid w:val="000A4D45"/>
    <w:rsid w:val="000A4E90"/>
    <w:rsid w:val="000A5575"/>
    <w:rsid w:val="000A55A9"/>
    <w:rsid w:val="000A55D0"/>
    <w:rsid w:val="000A55DD"/>
    <w:rsid w:val="000A56A4"/>
    <w:rsid w:val="000A5A4A"/>
    <w:rsid w:val="000A5BE9"/>
    <w:rsid w:val="000A5FBB"/>
    <w:rsid w:val="000A62A0"/>
    <w:rsid w:val="000A6481"/>
    <w:rsid w:val="000A66E9"/>
    <w:rsid w:val="000A6809"/>
    <w:rsid w:val="000A6A37"/>
    <w:rsid w:val="000A6B2D"/>
    <w:rsid w:val="000A6E5F"/>
    <w:rsid w:val="000A718C"/>
    <w:rsid w:val="000A73AB"/>
    <w:rsid w:val="000A74DE"/>
    <w:rsid w:val="000A78C0"/>
    <w:rsid w:val="000A7ED2"/>
    <w:rsid w:val="000B0025"/>
    <w:rsid w:val="000B01B8"/>
    <w:rsid w:val="000B05E2"/>
    <w:rsid w:val="000B067A"/>
    <w:rsid w:val="000B0A64"/>
    <w:rsid w:val="000B0A71"/>
    <w:rsid w:val="000B0E1A"/>
    <w:rsid w:val="000B0E40"/>
    <w:rsid w:val="000B12E6"/>
    <w:rsid w:val="000B1514"/>
    <w:rsid w:val="000B1540"/>
    <w:rsid w:val="000B15B3"/>
    <w:rsid w:val="000B179B"/>
    <w:rsid w:val="000B19A1"/>
    <w:rsid w:val="000B1E03"/>
    <w:rsid w:val="000B1F55"/>
    <w:rsid w:val="000B1F87"/>
    <w:rsid w:val="000B258E"/>
    <w:rsid w:val="000B2600"/>
    <w:rsid w:val="000B26A7"/>
    <w:rsid w:val="000B29D5"/>
    <w:rsid w:val="000B2D74"/>
    <w:rsid w:val="000B333A"/>
    <w:rsid w:val="000B33FD"/>
    <w:rsid w:val="000B3475"/>
    <w:rsid w:val="000B3620"/>
    <w:rsid w:val="000B38A5"/>
    <w:rsid w:val="000B3CB3"/>
    <w:rsid w:val="000B3D97"/>
    <w:rsid w:val="000B4127"/>
    <w:rsid w:val="000B42B7"/>
    <w:rsid w:val="000B4437"/>
    <w:rsid w:val="000B461A"/>
    <w:rsid w:val="000B483C"/>
    <w:rsid w:val="000B4ABA"/>
    <w:rsid w:val="000B4B1D"/>
    <w:rsid w:val="000B4B74"/>
    <w:rsid w:val="000B4CEA"/>
    <w:rsid w:val="000B4D14"/>
    <w:rsid w:val="000B5362"/>
    <w:rsid w:val="000B5518"/>
    <w:rsid w:val="000B57EA"/>
    <w:rsid w:val="000B5A03"/>
    <w:rsid w:val="000B5C40"/>
    <w:rsid w:val="000B62E9"/>
    <w:rsid w:val="000B664C"/>
    <w:rsid w:val="000B6D46"/>
    <w:rsid w:val="000B7339"/>
    <w:rsid w:val="000B7376"/>
    <w:rsid w:val="000B7407"/>
    <w:rsid w:val="000B7483"/>
    <w:rsid w:val="000B7612"/>
    <w:rsid w:val="000B78A1"/>
    <w:rsid w:val="000B7CA4"/>
    <w:rsid w:val="000B7E2B"/>
    <w:rsid w:val="000C005A"/>
    <w:rsid w:val="000C010E"/>
    <w:rsid w:val="000C0295"/>
    <w:rsid w:val="000C03D5"/>
    <w:rsid w:val="000C067B"/>
    <w:rsid w:val="000C089A"/>
    <w:rsid w:val="000C0E0D"/>
    <w:rsid w:val="000C109F"/>
    <w:rsid w:val="000C1104"/>
    <w:rsid w:val="000C1434"/>
    <w:rsid w:val="000C1635"/>
    <w:rsid w:val="000C17C6"/>
    <w:rsid w:val="000C1861"/>
    <w:rsid w:val="000C2297"/>
    <w:rsid w:val="000C25F6"/>
    <w:rsid w:val="000C2657"/>
    <w:rsid w:val="000C276D"/>
    <w:rsid w:val="000C2AFB"/>
    <w:rsid w:val="000C31A5"/>
    <w:rsid w:val="000C3347"/>
    <w:rsid w:val="000C3431"/>
    <w:rsid w:val="000C3449"/>
    <w:rsid w:val="000C3725"/>
    <w:rsid w:val="000C3936"/>
    <w:rsid w:val="000C3E86"/>
    <w:rsid w:val="000C3F81"/>
    <w:rsid w:val="000C40C4"/>
    <w:rsid w:val="000C4228"/>
    <w:rsid w:val="000C4453"/>
    <w:rsid w:val="000C4579"/>
    <w:rsid w:val="000C457B"/>
    <w:rsid w:val="000C4A61"/>
    <w:rsid w:val="000C4AC1"/>
    <w:rsid w:val="000C4B16"/>
    <w:rsid w:val="000C4B18"/>
    <w:rsid w:val="000C4B3C"/>
    <w:rsid w:val="000C4BEC"/>
    <w:rsid w:val="000C4F30"/>
    <w:rsid w:val="000C4F35"/>
    <w:rsid w:val="000C4FD5"/>
    <w:rsid w:val="000C50C3"/>
    <w:rsid w:val="000C513E"/>
    <w:rsid w:val="000C5238"/>
    <w:rsid w:val="000C53C8"/>
    <w:rsid w:val="000C5821"/>
    <w:rsid w:val="000C5A7D"/>
    <w:rsid w:val="000C5AE5"/>
    <w:rsid w:val="000C5C25"/>
    <w:rsid w:val="000C5FC9"/>
    <w:rsid w:val="000C624B"/>
    <w:rsid w:val="000C6416"/>
    <w:rsid w:val="000C6647"/>
    <w:rsid w:val="000C6660"/>
    <w:rsid w:val="000C68B3"/>
    <w:rsid w:val="000C6BA4"/>
    <w:rsid w:val="000C731A"/>
    <w:rsid w:val="000C739B"/>
    <w:rsid w:val="000C7608"/>
    <w:rsid w:val="000C77FF"/>
    <w:rsid w:val="000C789F"/>
    <w:rsid w:val="000D02E4"/>
    <w:rsid w:val="000D05F5"/>
    <w:rsid w:val="000D0613"/>
    <w:rsid w:val="000D08B7"/>
    <w:rsid w:val="000D0B19"/>
    <w:rsid w:val="000D0B2C"/>
    <w:rsid w:val="000D0B4C"/>
    <w:rsid w:val="000D0D1E"/>
    <w:rsid w:val="000D0E1B"/>
    <w:rsid w:val="000D0FF4"/>
    <w:rsid w:val="000D139D"/>
    <w:rsid w:val="000D167B"/>
    <w:rsid w:val="000D1706"/>
    <w:rsid w:val="000D1AFE"/>
    <w:rsid w:val="000D1ED7"/>
    <w:rsid w:val="000D21F6"/>
    <w:rsid w:val="000D23C8"/>
    <w:rsid w:val="000D252A"/>
    <w:rsid w:val="000D26C0"/>
    <w:rsid w:val="000D2785"/>
    <w:rsid w:val="000D282B"/>
    <w:rsid w:val="000D2849"/>
    <w:rsid w:val="000D294A"/>
    <w:rsid w:val="000D2C15"/>
    <w:rsid w:val="000D2D48"/>
    <w:rsid w:val="000D2FE9"/>
    <w:rsid w:val="000D348C"/>
    <w:rsid w:val="000D3626"/>
    <w:rsid w:val="000D38F5"/>
    <w:rsid w:val="000D3AFD"/>
    <w:rsid w:val="000D3C9E"/>
    <w:rsid w:val="000D3DF3"/>
    <w:rsid w:val="000D3F55"/>
    <w:rsid w:val="000D42C3"/>
    <w:rsid w:val="000D4410"/>
    <w:rsid w:val="000D4500"/>
    <w:rsid w:val="000D492D"/>
    <w:rsid w:val="000D4A00"/>
    <w:rsid w:val="000D4AEA"/>
    <w:rsid w:val="000D4D75"/>
    <w:rsid w:val="000D4DED"/>
    <w:rsid w:val="000D56CD"/>
    <w:rsid w:val="000D56EB"/>
    <w:rsid w:val="000D5E79"/>
    <w:rsid w:val="000D6024"/>
    <w:rsid w:val="000D610C"/>
    <w:rsid w:val="000D613B"/>
    <w:rsid w:val="000D61F9"/>
    <w:rsid w:val="000D61FD"/>
    <w:rsid w:val="000D629B"/>
    <w:rsid w:val="000D62B8"/>
    <w:rsid w:val="000D62FA"/>
    <w:rsid w:val="000D635B"/>
    <w:rsid w:val="000D63D6"/>
    <w:rsid w:val="000D64DE"/>
    <w:rsid w:val="000D6782"/>
    <w:rsid w:val="000D6942"/>
    <w:rsid w:val="000D73F6"/>
    <w:rsid w:val="000D75E6"/>
    <w:rsid w:val="000D7609"/>
    <w:rsid w:val="000D7691"/>
    <w:rsid w:val="000D77BE"/>
    <w:rsid w:val="000D7AEA"/>
    <w:rsid w:val="000D7CE0"/>
    <w:rsid w:val="000D7DBC"/>
    <w:rsid w:val="000D7FF9"/>
    <w:rsid w:val="000E01A9"/>
    <w:rsid w:val="000E0219"/>
    <w:rsid w:val="000E04E9"/>
    <w:rsid w:val="000E092C"/>
    <w:rsid w:val="000E0980"/>
    <w:rsid w:val="000E0A53"/>
    <w:rsid w:val="000E0A9F"/>
    <w:rsid w:val="000E116F"/>
    <w:rsid w:val="000E137A"/>
    <w:rsid w:val="000E150B"/>
    <w:rsid w:val="000E171C"/>
    <w:rsid w:val="000E1AF4"/>
    <w:rsid w:val="000E1CB8"/>
    <w:rsid w:val="000E1F53"/>
    <w:rsid w:val="000E20CB"/>
    <w:rsid w:val="000E233B"/>
    <w:rsid w:val="000E24E3"/>
    <w:rsid w:val="000E2977"/>
    <w:rsid w:val="000E2C3E"/>
    <w:rsid w:val="000E2C66"/>
    <w:rsid w:val="000E2C8B"/>
    <w:rsid w:val="000E2F8A"/>
    <w:rsid w:val="000E2FDC"/>
    <w:rsid w:val="000E2FE9"/>
    <w:rsid w:val="000E3201"/>
    <w:rsid w:val="000E343E"/>
    <w:rsid w:val="000E349F"/>
    <w:rsid w:val="000E35AF"/>
    <w:rsid w:val="000E3E04"/>
    <w:rsid w:val="000E4175"/>
    <w:rsid w:val="000E433E"/>
    <w:rsid w:val="000E434B"/>
    <w:rsid w:val="000E4362"/>
    <w:rsid w:val="000E458C"/>
    <w:rsid w:val="000E489D"/>
    <w:rsid w:val="000E499B"/>
    <w:rsid w:val="000E49AF"/>
    <w:rsid w:val="000E4D3B"/>
    <w:rsid w:val="000E51DE"/>
    <w:rsid w:val="000E5351"/>
    <w:rsid w:val="000E5508"/>
    <w:rsid w:val="000E5744"/>
    <w:rsid w:val="000E63F0"/>
    <w:rsid w:val="000E653B"/>
    <w:rsid w:val="000E65E2"/>
    <w:rsid w:val="000E662D"/>
    <w:rsid w:val="000E6C47"/>
    <w:rsid w:val="000E6E49"/>
    <w:rsid w:val="000E6E67"/>
    <w:rsid w:val="000E6E7D"/>
    <w:rsid w:val="000E6EBE"/>
    <w:rsid w:val="000E7159"/>
    <w:rsid w:val="000E7790"/>
    <w:rsid w:val="000E78FB"/>
    <w:rsid w:val="000E7A31"/>
    <w:rsid w:val="000E7AB0"/>
    <w:rsid w:val="000E7B62"/>
    <w:rsid w:val="000E7F6F"/>
    <w:rsid w:val="000F0063"/>
    <w:rsid w:val="000F0419"/>
    <w:rsid w:val="000F08D9"/>
    <w:rsid w:val="000F092E"/>
    <w:rsid w:val="000F09FB"/>
    <w:rsid w:val="000F0CE3"/>
    <w:rsid w:val="000F0D2E"/>
    <w:rsid w:val="000F0D95"/>
    <w:rsid w:val="000F10C3"/>
    <w:rsid w:val="000F123C"/>
    <w:rsid w:val="000F19C6"/>
    <w:rsid w:val="000F1AB3"/>
    <w:rsid w:val="000F1BE0"/>
    <w:rsid w:val="000F1E00"/>
    <w:rsid w:val="000F1E69"/>
    <w:rsid w:val="000F1E92"/>
    <w:rsid w:val="000F2125"/>
    <w:rsid w:val="000F2245"/>
    <w:rsid w:val="000F226D"/>
    <w:rsid w:val="000F2458"/>
    <w:rsid w:val="000F24AA"/>
    <w:rsid w:val="000F257A"/>
    <w:rsid w:val="000F288A"/>
    <w:rsid w:val="000F2A19"/>
    <w:rsid w:val="000F2DE8"/>
    <w:rsid w:val="000F2FB7"/>
    <w:rsid w:val="000F2FED"/>
    <w:rsid w:val="000F3197"/>
    <w:rsid w:val="000F31D7"/>
    <w:rsid w:val="000F331D"/>
    <w:rsid w:val="000F3786"/>
    <w:rsid w:val="000F386B"/>
    <w:rsid w:val="000F3B3F"/>
    <w:rsid w:val="000F3C77"/>
    <w:rsid w:val="000F3DBE"/>
    <w:rsid w:val="000F3F16"/>
    <w:rsid w:val="000F3F46"/>
    <w:rsid w:val="000F3F5D"/>
    <w:rsid w:val="000F40E4"/>
    <w:rsid w:val="000F43E2"/>
    <w:rsid w:val="000F4422"/>
    <w:rsid w:val="000F4543"/>
    <w:rsid w:val="000F4747"/>
    <w:rsid w:val="000F4787"/>
    <w:rsid w:val="000F4954"/>
    <w:rsid w:val="000F495E"/>
    <w:rsid w:val="000F4DF2"/>
    <w:rsid w:val="000F52EF"/>
    <w:rsid w:val="000F556E"/>
    <w:rsid w:val="000F568B"/>
    <w:rsid w:val="000F5733"/>
    <w:rsid w:val="000F587E"/>
    <w:rsid w:val="000F5A1A"/>
    <w:rsid w:val="000F5B0C"/>
    <w:rsid w:val="000F5D1E"/>
    <w:rsid w:val="000F5D28"/>
    <w:rsid w:val="000F5EDD"/>
    <w:rsid w:val="000F5F50"/>
    <w:rsid w:val="000F5FDA"/>
    <w:rsid w:val="000F611B"/>
    <w:rsid w:val="000F6315"/>
    <w:rsid w:val="000F63DD"/>
    <w:rsid w:val="000F653E"/>
    <w:rsid w:val="000F669A"/>
    <w:rsid w:val="000F6772"/>
    <w:rsid w:val="000F6798"/>
    <w:rsid w:val="000F6878"/>
    <w:rsid w:val="000F6899"/>
    <w:rsid w:val="000F692D"/>
    <w:rsid w:val="000F6A74"/>
    <w:rsid w:val="000F6C16"/>
    <w:rsid w:val="000F6D2C"/>
    <w:rsid w:val="000F6F40"/>
    <w:rsid w:val="000F712F"/>
    <w:rsid w:val="000F7249"/>
    <w:rsid w:val="000F7416"/>
    <w:rsid w:val="000F74CE"/>
    <w:rsid w:val="000F7747"/>
    <w:rsid w:val="000F7759"/>
    <w:rsid w:val="000F77E1"/>
    <w:rsid w:val="000F7B4F"/>
    <w:rsid w:val="000F7DC5"/>
    <w:rsid w:val="001007DE"/>
    <w:rsid w:val="00100B8C"/>
    <w:rsid w:val="00100C3E"/>
    <w:rsid w:val="00100E2A"/>
    <w:rsid w:val="0010128B"/>
    <w:rsid w:val="001012F8"/>
    <w:rsid w:val="001014F1"/>
    <w:rsid w:val="00101505"/>
    <w:rsid w:val="0010171F"/>
    <w:rsid w:val="001017D0"/>
    <w:rsid w:val="00101B1B"/>
    <w:rsid w:val="00101F4A"/>
    <w:rsid w:val="00101FD7"/>
    <w:rsid w:val="00102118"/>
    <w:rsid w:val="00102429"/>
    <w:rsid w:val="00102B57"/>
    <w:rsid w:val="00102E23"/>
    <w:rsid w:val="00102FB2"/>
    <w:rsid w:val="00103039"/>
    <w:rsid w:val="0010309A"/>
    <w:rsid w:val="001032D3"/>
    <w:rsid w:val="00103400"/>
    <w:rsid w:val="001034EE"/>
    <w:rsid w:val="00103521"/>
    <w:rsid w:val="001035BE"/>
    <w:rsid w:val="00103862"/>
    <w:rsid w:val="00103B77"/>
    <w:rsid w:val="00103C73"/>
    <w:rsid w:val="00103D97"/>
    <w:rsid w:val="00103EF3"/>
    <w:rsid w:val="00104204"/>
    <w:rsid w:val="001043A5"/>
    <w:rsid w:val="001046BF"/>
    <w:rsid w:val="001047B0"/>
    <w:rsid w:val="001047F1"/>
    <w:rsid w:val="001048B2"/>
    <w:rsid w:val="00104C63"/>
    <w:rsid w:val="00104DF9"/>
    <w:rsid w:val="00104EEE"/>
    <w:rsid w:val="0010503C"/>
    <w:rsid w:val="00105190"/>
    <w:rsid w:val="001054C8"/>
    <w:rsid w:val="00105D80"/>
    <w:rsid w:val="00105E9C"/>
    <w:rsid w:val="00105FDD"/>
    <w:rsid w:val="0010615D"/>
    <w:rsid w:val="0010616D"/>
    <w:rsid w:val="00106185"/>
    <w:rsid w:val="001061FC"/>
    <w:rsid w:val="0010639D"/>
    <w:rsid w:val="00106501"/>
    <w:rsid w:val="00106673"/>
    <w:rsid w:val="0010674F"/>
    <w:rsid w:val="00106A5E"/>
    <w:rsid w:val="00106B11"/>
    <w:rsid w:val="00106C48"/>
    <w:rsid w:val="00106E7E"/>
    <w:rsid w:val="00106F9F"/>
    <w:rsid w:val="00107044"/>
    <w:rsid w:val="00107050"/>
    <w:rsid w:val="00107136"/>
    <w:rsid w:val="001071A5"/>
    <w:rsid w:val="0010733C"/>
    <w:rsid w:val="0010757D"/>
    <w:rsid w:val="0010789B"/>
    <w:rsid w:val="00107A2C"/>
    <w:rsid w:val="00107A60"/>
    <w:rsid w:val="00107B39"/>
    <w:rsid w:val="00107B80"/>
    <w:rsid w:val="00107D4B"/>
    <w:rsid w:val="00110053"/>
    <w:rsid w:val="001102F5"/>
    <w:rsid w:val="00110404"/>
    <w:rsid w:val="00110478"/>
    <w:rsid w:val="001104B3"/>
    <w:rsid w:val="001105EC"/>
    <w:rsid w:val="001106D3"/>
    <w:rsid w:val="001107AC"/>
    <w:rsid w:val="001107D6"/>
    <w:rsid w:val="001108FB"/>
    <w:rsid w:val="00110D5E"/>
    <w:rsid w:val="00110F00"/>
    <w:rsid w:val="00110F61"/>
    <w:rsid w:val="00110FBF"/>
    <w:rsid w:val="001111A2"/>
    <w:rsid w:val="00111216"/>
    <w:rsid w:val="001113C0"/>
    <w:rsid w:val="0011165D"/>
    <w:rsid w:val="001116A9"/>
    <w:rsid w:val="001116DD"/>
    <w:rsid w:val="00111BB1"/>
    <w:rsid w:val="00111F38"/>
    <w:rsid w:val="00112064"/>
    <w:rsid w:val="001123C1"/>
    <w:rsid w:val="0011248C"/>
    <w:rsid w:val="00112611"/>
    <w:rsid w:val="00112965"/>
    <w:rsid w:val="00112A62"/>
    <w:rsid w:val="001130E7"/>
    <w:rsid w:val="001133AB"/>
    <w:rsid w:val="00113581"/>
    <w:rsid w:val="001135CE"/>
    <w:rsid w:val="0011377B"/>
    <w:rsid w:val="00113B06"/>
    <w:rsid w:val="00113BEF"/>
    <w:rsid w:val="00113CB9"/>
    <w:rsid w:val="00113E8E"/>
    <w:rsid w:val="0011408F"/>
    <w:rsid w:val="001148DD"/>
    <w:rsid w:val="001148E5"/>
    <w:rsid w:val="00114992"/>
    <w:rsid w:val="001149D4"/>
    <w:rsid w:val="00114DB9"/>
    <w:rsid w:val="00114DCB"/>
    <w:rsid w:val="00114E1F"/>
    <w:rsid w:val="001150A8"/>
    <w:rsid w:val="0011563F"/>
    <w:rsid w:val="0011575D"/>
    <w:rsid w:val="001158F9"/>
    <w:rsid w:val="00115A96"/>
    <w:rsid w:val="00115B34"/>
    <w:rsid w:val="001163FA"/>
    <w:rsid w:val="0011656E"/>
    <w:rsid w:val="0011662C"/>
    <w:rsid w:val="00116759"/>
    <w:rsid w:val="0011680D"/>
    <w:rsid w:val="00116901"/>
    <w:rsid w:val="00116B47"/>
    <w:rsid w:val="00116F29"/>
    <w:rsid w:val="0011702E"/>
    <w:rsid w:val="00117053"/>
    <w:rsid w:val="0011711B"/>
    <w:rsid w:val="00117394"/>
    <w:rsid w:val="00117567"/>
    <w:rsid w:val="00117655"/>
    <w:rsid w:val="00117F8A"/>
    <w:rsid w:val="00120031"/>
    <w:rsid w:val="001201ED"/>
    <w:rsid w:val="0012021D"/>
    <w:rsid w:val="00120282"/>
    <w:rsid w:val="00120318"/>
    <w:rsid w:val="001204C3"/>
    <w:rsid w:val="00120780"/>
    <w:rsid w:val="00120848"/>
    <w:rsid w:val="0012094E"/>
    <w:rsid w:val="00120AA0"/>
    <w:rsid w:val="00120EF2"/>
    <w:rsid w:val="00120FB2"/>
    <w:rsid w:val="00121051"/>
    <w:rsid w:val="00121071"/>
    <w:rsid w:val="0012120B"/>
    <w:rsid w:val="001212F3"/>
    <w:rsid w:val="00121644"/>
    <w:rsid w:val="001217D0"/>
    <w:rsid w:val="00121B9B"/>
    <w:rsid w:val="00121C85"/>
    <w:rsid w:val="00121D5B"/>
    <w:rsid w:val="00121ED6"/>
    <w:rsid w:val="00122095"/>
    <w:rsid w:val="001220FA"/>
    <w:rsid w:val="00122564"/>
    <w:rsid w:val="0012286D"/>
    <w:rsid w:val="00122ADC"/>
    <w:rsid w:val="00122E9D"/>
    <w:rsid w:val="00123043"/>
    <w:rsid w:val="00123136"/>
    <w:rsid w:val="001232CB"/>
    <w:rsid w:val="001232D4"/>
    <w:rsid w:val="001232E0"/>
    <w:rsid w:val="0012348C"/>
    <w:rsid w:val="001235A5"/>
    <w:rsid w:val="001235D3"/>
    <w:rsid w:val="001236BA"/>
    <w:rsid w:val="00123936"/>
    <w:rsid w:val="00123994"/>
    <w:rsid w:val="00123D59"/>
    <w:rsid w:val="001243B9"/>
    <w:rsid w:val="001249C3"/>
    <w:rsid w:val="00124D06"/>
    <w:rsid w:val="00124D6B"/>
    <w:rsid w:val="001250BD"/>
    <w:rsid w:val="0012544F"/>
    <w:rsid w:val="001254B7"/>
    <w:rsid w:val="00125674"/>
    <w:rsid w:val="001257F6"/>
    <w:rsid w:val="0012587C"/>
    <w:rsid w:val="00125896"/>
    <w:rsid w:val="00125AC9"/>
    <w:rsid w:val="0012602B"/>
    <w:rsid w:val="001260C3"/>
    <w:rsid w:val="00126344"/>
    <w:rsid w:val="00126A14"/>
    <w:rsid w:val="00126B26"/>
    <w:rsid w:val="00126BC0"/>
    <w:rsid w:val="00126F7E"/>
    <w:rsid w:val="001272A6"/>
    <w:rsid w:val="0012735D"/>
    <w:rsid w:val="001277DE"/>
    <w:rsid w:val="00127999"/>
    <w:rsid w:val="00127BE1"/>
    <w:rsid w:val="00127D9E"/>
    <w:rsid w:val="00127E46"/>
    <w:rsid w:val="00127E89"/>
    <w:rsid w:val="00127EBB"/>
    <w:rsid w:val="00130158"/>
    <w:rsid w:val="00130918"/>
    <w:rsid w:val="00130BD0"/>
    <w:rsid w:val="00130D03"/>
    <w:rsid w:val="00130E37"/>
    <w:rsid w:val="00130F59"/>
    <w:rsid w:val="0013147B"/>
    <w:rsid w:val="0013156D"/>
    <w:rsid w:val="00131591"/>
    <w:rsid w:val="0013171D"/>
    <w:rsid w:val="001317E7"/>
    <w:rsid w:val="001318B0"/>
    <w:rsid w:val="00131B60"/>
    <w:rsid w:val="00131BF3"/>
    <w:rsid w:val="00131BFF"/>
    <w:rsid w:val="00131E58"/>
    <w:rsid w:val="001326D5"/>
    <w:rsid w:val="001328F5"/>
    <w:rsid w:val="001329C4"/>
    <w:rsid w:val="00132AB3"/>
    <w:rsid w:val="00132DF8"/>
    <w:rsid w:val="001330C0"/>
    <w:rsid w:val="001334AF"/>
    <w:rsid w:val="00133597"/>
    <w:rsid w:val="001339C3"/>
    <w:rsid w:val="00133EC0"/>
    <w:rsid w:val="0013411D"/>
    <w:rsid w:val="0013419D"/>
    <w:rsid w:val="00134542"/>
    <w:rsid w:val="001349A0"/>
    <w:rsid w:val="00134A51"/>
    <w:rsid w:val="00134EC7"/>
    <w:rsid w:val="001350F1"/>
    <w:rsid w:val="0013518F"/>
    <w:rsid w:val="0013552E"/>
    <w:rsid w:val="00135579"/>
    <w:rsid w:val="00135735"/>
    <w:rsid w:val="00135ADE"/>
    <w:rsid w:val="00135D7A"/>
    <w:rsid w:val="0013648E"/>
    <w:rsid w:val="001364C7"/>
    <w:rsid w:val="001364C8"/>
    <w:rsid w:val="001366C3"/>
    <w:rsid w:val="0013693E"/>
    <w:rsid w:val="00136A8F"/>
    <w:rsid w:val="00136BD8"/>
    <w:rsid w:val="00136C43"/>
    <w:rsid w:val="00136E4A"/>
    <w:rsid w:val="001370A9"/>
    <w:rsid w:val="00137256"/>
    <w:rsid w:val="0013735F"/>
    <w:rsid w:val="0013758C"/>
    <w:rsid w:val="001375BC"/>
    <w:rsid w:val="001378DD"/>
    <w:rsid w:val="00137DCB"/>
    <w:rsid w:val="00137F7B"/>
    <w:rsid w:val="001400BB"/>
    <w:rsid w:val="00140161"/>
    <w:rsid w:val="00140300"/>
    <w:rsid w:val="00140564"/>
    <w:rsid w:val="00140AC5"/>
    <w:rsid w:val="00140C9C"/>
    <w:rsid w:val="00140D78"/>
    <w:rsid w:val="00140DAD"/>
    <w:rsid w:val="00140DDE"/>
    <w:rsid w:val="00141069"/>
    <w:rsid w:val="00141401"/>
    <w:rsid w:val="0014140A"/>
    <w:rsid w:val="0014142A"/>
    <w:rsid w:val="00141603"/>
    <w:rsid w:val="001418F6"/>
    <w:rsid w:val="00141A14"/>
    <w:rsid w:val="00141CE5"/>
    <w:rsid w:val="00141FC0"/>
    <w:rsid w:val="0014216E"/>
    <w:rsid w:val="001425EA"/>
    <w:rsid w:val="00142691"/>
    <w:rsid w:val="00142786"/>
    <w:rsid w:val="0014285D"/>
    <w:rsid w:val="001432D6"/>
    <w:rsid w:val="00143485"/>
    <w:rsid w:val="0014351B"/>
    <w:rsid w:val="0014395B"/>
    <w:rsid w:val="00143C84"/>
    <w:rsid w:val="00144152"/>
    <w:rsid w:val="0014436E"/>
    <w:rsid w:val="00144420"/>
    <w:rsid w:val="00144908"/>
    <w:rsid w:val="00144CB1"/>
    <w:rsid w:val="00144E3F"/>
    <w:rsid w:val="001452CF"/>
    <w:rsid w:val="001452DF"/>
    <w:rsid w:val="00145424"/>
    <w:rsid w:val="001454A3"/>
    <w:rsid w:val="00145616"/>
    <w:rsid w:val="00145759"/>
    <w:rsid w:val="0014586A"/>
    <w:rsid w:val="00145A59"/>
    <w:rsid w:val="00145DFD"/>
    <w:rsid w:val="00145EED"/>
    <w:rsid w:val="00146126"/>
    <w:rsid w:val="001461A2"/>
    <w:rsid w:val="0014690F"/>
    <w:rsid w:val="00146BDE"/>
    <w:rsid w:val="00146F91"/>
    <w:rsid w:val="00147A55"/>
    <w:rsid w:val="00147DEE"/>
    <w:rsid w:val="00147F6D"/>
    <w:rsid w:val="0015017B"/>
    <w:rsid w:val="001501F9"/>
    <w:rsid w:val="00150242"/>
    <w:rsid w:val="0015029B"/>
    <w:rsid w:val="00150493"/>
    <w:rsid w:val="001504BD"/>
    <w:rsid w:val="00150620"/>
    <w:rsid w:val="00150716"/>
    <w:rsid w:val="0015072B"/>
    <w:rsid w:val="001507C2"/>
    <w:rsid w:val="001507E0"/>
    <w:rsid w:val="00150811"/>
    <w:rsid w:val="00150E80"/>
    <w:rsid w:val="00150F04"/>
    <w:rsid w:val="00151040"/>
    <w:rsid w:val="00151384"/>
    <w:rsid w:val="001513D3"/>
    <w:rsid w:val="001514BB"/>
    <w:rsid w:val="00151522"/>
    <w:rsid w:val="00151605"/>
    <w:rsid w:val="0015174D"/>
    <w:rsid w:val="00151872"/>
    <w:rsid w:val="00151A9E"/>
    <w:rsid w:val="00151B8B"/>
    <w:rsid w:val="00151E81"/>
    <w:rsid w:val="0015200B"/>
    <w:rsid w:val="001520DC"/>
    <w:rsid w:val="0015250B"/>
    <w:rsid w:val="00152A83"/>
    <w:rsid w:val="00152B33"/>
    <w:rsid w:val="00152C15"/>
    <w:rsid w:val="00152C73"/>
    <w:rsid w:val="00152F8D"/>
    <w:rsid w:val="00152FDD"/>
    <w:rsid w:val="00153078"/>
    <w:rsid w:val="00153993"/>
    <w:rsid w:val="001539AB"/>
    <w:rsid w:val="001539C5"/>
    <w:rsid w:val="00153A4A"/>
    <w:rsid w:val="00153F24"/>
    <w:rsid w:val="00154076"/>
    <w:rsid w:val="0015414A"/>
    <w:rsid w:val="0015417F"/>
    <w:rsid w:val="001547FD"/>
    <w:rsid w:val="00154BDD"/>
    <w:rsid w:val="00154FBD"/>
    <w:rsid w:val="00155179"/>
    <w:rsid w:val="00155326"/>
    <w:rsid w:val="001553A8"/>
    <w:rsid w:val="00155412"/>
    <w:rsid w:val="001554F6"/>
    <w:rsid w:val="001557C3"/>
    <w:rsid w:val="0015591D"/>
    <w:rsid w:val="001559DE"/>
    <w:rsid w:val="001560AE"/>
    <w:rsid w:val="001560B6"/>
    <w:rsid w:val="00156312"/>
    <w:rsid w:val="00156493"/>
    <w:rsid w:val="001565B5"/>
    <w:rsid w:val="001566AB"/>
    <w:rsid w:val="001567C7"/>
    <w:rsid w:val="001568B8"/>
    <w:rsid w:val="00156EAE"/>
    <w:rsid w:val="0015704B"/>
    <w:rsid w:val="0015709D"/>
    <w:rsid w:val="001571C7"/>
    <w:rsid w:val="00157822"/>
    <w:rsid w:val="00157870"/>
    <w:rsid w:val="00157EA1"/>
    <w:rsid w:val="00157ECF"/>
    <w:rsid w:val="00157FB6"/>
    <w:rsid w:val="0016013E"/>
    <w:rsid w:val="001606CB"/>
    <w:rsid w:val="00160930"/>
    <w:rsid w:val="00160B9F"/>
    <w:rsid w:val="00160C54"/>
    <w:rsid w:val="00160D0C"/>
    <w:rsid w:val="00161094"/>
    <w:rsid w:val="001610F8"/>
    <w:rsid w:val="00161226"/>
    <w:rsid w:val="00161831"/>
    <w:rsid w:val="00161970"/>
    <w:rsid w:val="00161BF2"/>
    <w:rsid w:val="00161E9E"/>
    <w:rsid w:val="00161ED3"/>
    <w:rsid w:val="00161F11"/>
    <w:rsid w:val="001620F1"/>
    <w:rsid w:val="001621F1"/>
    <w:rsid w:val="001622A7"/>
    <w:rsid w:val="0016232B"/>
    <w:rsid w:val="0016259C"/>
    <w:rsid w:val="001626E8"/>
    <w:rsid w:val="001627F5"/>
    <w:rsid w:val="00162964"/>
    <w:rsid w:val="00162BFE"/>
    <w:rsid w:val="00162C38"/>
    <w:rsid w:val="00162C6C"/>
    <w:rsid w:val="00162D33"/>
    <w:rsid w:val="00162DB9"/>
    <w:rsid w:val="001631AB"/>
    <w:rsid w:val="001631DA"/>
    <w:rsid w:val="0016348A"/>
    <w:rsid w:val="001634D0"/>
    <w:rsid w:val="00163692"/>
    <w:rsid w:val="0016385A"/>
    <w:rsid w:val="00163A56"/>
    <w:rsid w:val="00163BCC"/>
    <w:rsid w:val="00163C0B"/>
    <w:rsid w:val="00163C20"/>
    <w:rsid w:val="00163C54"/>
    <w:rsid w:val="0016419C"/>
    <w:rsid w:val="001641E6"/>
    <w:rsid w:val="00164487"/>
    <w:rsid w:val="001644D2"/>
    <w:rsid w:val="001645C3"/>
    <w:rsid w:val="00164816"/>
    <w:rsid w:val="0016494D"/>
    <w:rsid w:val="00164A31"/>
    <w:rsid w:val="00164D1E"/>
    <w:rsid w:val="00165206"/>
    <w:rsid w:val="0016570F"/>
    <w:rsid w:val="001657A6"/>
    <w:rsid w:val="00165D1C"/>
    <w:rsid w:val="00165DD8"/>
    <w:rsid w:val="00166042"/>
    <w:rsid w:val="001661B8"/>
    <w:rsid w:val="001663B2"/>
    <w:rsid w:val="00166448"/>
    <w:rsid w:val="0016660B"/>
    <w:rsid w:val="001666A6"/>
    <w:rsid w:val="00166972"/>
    <w:rsid w:val="00166988"/>
    <w:rsid w:val="00166ADC"/>
    <w:rsid w:val="00166FC8"/>
    <w:rsid w:val="001670EA"/>
    <w:rsid w:val="00167278"/>
    <w:rsid w:val="001674C8"/>
    <w:rsid w:val="00167535"/>
    <w:rsid w:val="0016776F"/>
    <w:rsid w:val="00167837"/>
    <w:rsid w:val="00167894"/>
    <w:rsid w:val="00167E25"/>
    <w:rsid w:val="00167F8A"/>
    <w:rsid w:val="00167FC2"/>
    <w:rsid w:val="0017028F"/>
    <w:rsid w:val="001702B2"/>
    <w:rsid w:val="00170367"/>
    <w:rsid w:val="001705FB"/>
    <w:rsid w:val="00170AAC"/>
    <w:rsid w:val="00170BF1"/>
    <w:rsid w:val="00170D3F"/>
    <w:rsid w:val="00170E31"/>
    <w:rsid w:val="00171088"/>
    <w:rsid w:val="0017114C"/>
    <w:rsid w:val="001711EF"/>
    <w:rsid w:val="001712A6"/>
    <w:rsid w:val="00171607"/>
    <w:rsid w:val="001719FB"/>
    <w:rsid w:val="00171ED0"/>
    <w:rsid w:val="00172125"/>
    <w:rsid w:val="00172535"/>
    <w:rsid w:val="00172627"/>
    <w:rsid w:val="001726C5"/>
    <w:rsid w:val="00172927"/>
    <w:rsid w:val="00172A55"/>
    <w:rsid w:val="00172E20"/>
    <w:rsid w:val="00172E50"/>
    <w:rsid w:val="00172EDD"/>
    <w:rsid w:val="00173050"/>
    <w:rsid w:val="001732EC"/>
    <w:rsid w:val="00173C12"/>
    <w:rsid w:val="00174029"/>
    <w:rsid w:val="00174193"/>
    <w:rsid w:val="001741B7"/>
    <w:rsid w:val="00174366"/>
    <w:rsid w:val="001745CD"/>
    <w:rsid w:val="0017480E"/>
    <w:rsid w:val="0017484D"/>
    <w:rsid w:val="00174A9A"/>
    <w:rsid w:val="00174AC7"/>
    <w:rsid w:val="00174BFF"/>
    <w:rsid w:val="00175292"/>
    <w:rsid w:val="001752F9"/>
    <w:rsid w:val="0017566C"/>
    <w:rsid w:val="001756D7"/>
    <w:rsid w:val="00175788"/>
    <w:rsid w:val="001757FB"/>
    <w:rsid w:val="001758CD"/>
    <w:rsid w:val="001759A3"/>
    <w:rsid w:val="00175CCF"/>
    <w:rsid w:val="00175DED"/>
    <w:rsid w:val="00176079"/>
    <w:rsid w:val="0017664B"/>
    <w:rsid w:val="0017665C"/>
    <w:rsid w:val="0017667D"/>
    <w:rsid w:val="00176CA7"/>
    <w:rsid w:val="00177050"/>
    <w:rsid w:val="00177278"/>
    <w:rsid w:val="001772D2"/>
    <w:rsid w:val="00177641"/>
    <w:rsid w:val="001778C0"/>
    <w:rsid w:val="00177AD2"/>
    <w:rsid w:val="0018010E"/>
    <w:rsid w:val="001806CB"/>
    <w:rsid w:val="001808E5"/>
    <w:rsid w:val="001809C3"/>
    <w:rsid w:val="00180B5C"/>
    <w:rsid w:val="00180B73"/>
    <w:rsid w:val="00180BBD"/>
    <w:rsid w:val="00180CF3"/>
    <w:rsid w:val="0018103D"/>
    <w:rsid w:val="001815A8"/>
    <w:rsid w:val="00181785"/>
    <w:rsid w:val="00181787"/>
    <w:rsid w:val="001818DE"/>
    <w:rsid w:val="0018191F"/>
    <w:rsid w:val="00181CE1"/>
    <w:rsid w:val="00181E18"/>
    <w:rsid w:val="00181FF8"/>
    <w:rsid w:val="00182111"/>
    <w:rsid w:val="00182260"/>
    <w:rsid w:val="00182265"/>
    <w:rsid w:val="001825B3"/>
    <w:rsid w:val="00182638"/>
    <w:rsid w:val="001826C3"/>
    <w:rsid w:val="001827C1"/>
    <w:rsid w:val="00182A70"/>
    <w:rsid w:val="00182AD0"/>
    <w:rsid w:val="00182B4E"/>
    <w:rsid w:val="00182CAE"/>
    <w:rsid w:val="00182E37"/>
    <w:rsid w:val="00183149"/>
    <w:rsid w:val="00183307"/>
    <w:rsid w:val="001834EA"/>
    <w:rsid w:val="00183762"/>
    <w:rsid w:val="001838BB"/>
    <w:rsid w:val="00183B04"/>
    <w:rsid w:val="00183E9F"/>
    <w:rsid w:val="001840FA"/>
    <w:rsid w:val="0018413B"/>
    <w:rsid w:val="001842CC"/>
    <w:rsid w:val="00184345"/>
    <w:rsid w:val="00184525"/>
    <w:rsid w:val="001845A4"/>
    <w:rsid w:val="00184B77"/>
    <w:rsid w:val="00184D6C"/>
    <w:rsid w:val="0018528F"/>
    <w:rsid w:val="001852AD"/>
    <w:rsid w:val="00185E30"/>
    <w:rsid w:val="00186021"/>
    <w:rsid w:val="00186767"/>
    <w:rsid w:val="00186823"/>
    <w:rsid w:val="001869AC"/>
    <w:rsid w:val="00186CC2"/>
    <w:rsid w:val="00186E16"/>
    <w:rsid w:val="00186EFC"/>
    <w:rsid w:val="00187056"/>
    <w:rsid w:val="00187069"/>
    <w:rsid w:val="0018775A"/>
    <w:rsid w:val="001877FE"/>
    <w:rsid w:val="00187850"/>
    <w:rsid w:val="001879F5"/>
    <w:rsid w:val="00187B4C"/>
    <w:rsid w:val="00187B8D"/>
    <w:rsid w:val="00190079"/>
    <w:rsid w:val="001900AD"/>
    <w:rsid w:val="001902D1"/>
    <w:rsid w:val="0019084C"/>
    <w:rsid w:val="00190ACE"/>
    <w:rsid w:val="00190B07"/>
    <w:rsid w:val="00190CE8"/>
    <w:rsid w:val="00190D94"/>
    <w:rsid w:val="00190E81"/>
    <w:rsid w:val="00190F6E"/>
    <w:rsid w:val="0019140E"/>
    <w:rsid w:val="001918CE"/>
    <w:rsid w:val="00192050"/>
    <w:rsid w:val="001923C5"/>
    <w:rsid w:val="001926B8"/>
    <w:rsid w:val="00192732"/>
    <w:rsid w:val="001929FF"/>
    <w:rsid w:val="00192B7E"/>
    <w:rsid w:val="00192BCF"/>
    <w:rsid w:val="00192C83"/>
    <w:rsid w:val="001930CF"/>
    <w:rsid w:val="00193152"/>
    <w:rsid w:val="00193261"/>
    <w:rsid w:val="0019341C"/>
    <w:rsid w:val="0019350F"/>
    <w:rsid w:val="00193B6A"/>
    <w:rsid w:val="00193BD2"/>
    <w:rsid w:val="00194427"/>
    <w:rsid w:val="00194689"/>
    <w:rsid w:val="00194703"/>
    <w:rsid w:val="001947EC"/>
    <w:rsid w:val="0019485C"/>
    <w:rsid w:val="0019486B"/>
    <w:rsid w:val="00194A96"/>
    <w:rsid w:val="00194C6B"/>
    <w:rsid w:val="00194C87"/>
    <w:rsid w:val="0019500A"/>
    <w:rsid w:val="001955A3"/>
    <w:rsid w:val="001956A7"/>
    <w:rsid w:val="00195B4F"/>
    <w:rsid w:val="00195DE6"/>
    <w:rsid w:val="00195E50"/>
    <w:rsid w:val="0019616F"/>
    <w:rsid w:val="001961E8"/>
    <w:rsid w:val="0019622E"/>
    <w:rsid w:val="0019653B"/>
    <w:rsid w:val="00196649"/>
    <w:rsid w:val="0019667D"/>
    <w:rsid w:val="001966A7"/>
    <w:rsid w:val="00196B73"/>
    <w:rsid w:val="001970F4"/>
    <w:rsid w:val="001972CE"/>
    <w:rsid w:val="0019772B"/>
    <w:rsid w:val="00197882"/>
    <w:rsid w:val="00197AA5"/>
    <w:rsid w:val="001A0294"/>
    <w:rsid w:val="001A02F6"/>
    <w:rsid w:val="001A04B7"/>
    <w:rsid w:val="001A05E7"/>
    <w:rsid w:val="001A066F"/>
    <w:rsid w:val="001A098A"/>
    <w:rsid w:val="001A0A28"/>
    <w:rsid w:val="001A0BC6"/>
    <w:rsid w:val="001A0C07"/>
    <w:rsid w:val="001A0CBB"/>
    <w:rsid w:val="001A0DE9"/>
    <w:rsid w:val="001A0E3E"/>
    <w:rsid w:val="001A0EEE"/>
    <w:rsid w:val="001A133B"/>
    <w:rsid w:val="001A1E72"/>
    <w:rsid w:val="001A1FAC"/>
    <w:rsid w:val="001A202D"/>
    <w:rsid w:val="001A21E4"/>
    <w:rsid w:val="001A22D7"/>
    <w:rsid w:val="001A24C5"/>
    <w:rsid w:val="001A24D0"/>
    <w:rsid w:val="001A2583"/>
    <w:rsid w:val="001A25A7"/>
    <w:rsid w:val="001A290A"/>
    <w:rsid w:val="001A2A46"/>
    <w:rsid w:val="001A2A65"/>
    <w:rsid w:val="001A2A89"/>
    <w:rsid w:val="001A2BE3"/>
    <w:rsid w:val="001A2FDC"/>
    <w:rsid w:val="001A31B7"/>
    <w:rsid w:val="001A34FC"/>
    <w:rsid w:val="001A350D"/>
    <w:rsid w:val="001A3751"/>
    <w:rsid w:val="001A38A7"/>
    <w:rsid w:val="001A3B3B"/>
    <w:rsid w:val="001A3BE8"/>
    <w:rsid w:val="001A3CAE"/>
    <w:rsid w:val="001A457B"/>
    <w:rsid w:val="001A4627"/>
    <w:rsid w:val="001A475F"/>
    <w:rsid w:val="001A4979"/>
    <w:rsid w:val="001A4A31"/>
    <w:rsid w:val="001A4FF3"/>
    <w:rsid w:val="001A5099"/>
    <w:rsid w:val="001A54B4"/>
    <w:rsid w:val="001A55C8"/>
    <w:rsid w:val="001A5662"/>
    <w:rsid w:val="001A56B7"/>
    <w:rsid w:val="001A56F9"/>
    <w:rsid w:val="001A5854"/>
    <w:rsid w:val="001A5975"/>
    <w:rsid w:val="001A5B67"/>
    <w:rsid w:val="001A5B75"/>
    <w:rsid w:val="001A5BF9"/>
    <w:rsid w:val="001A5DAD"/>
    <w:rsid w:val="001A5F75"/>
    <w:rsid w:val="001A650F"/>
    <w:rsid w:val="001A65CA"/>
    <w:rsid w:val="001A67E4"/>
    <w:rsid w:val="001A681A"/>
    <w:rsid w:val="001A6923"/>
    <w:rsid w:val="001A6AB9"/>
    <w:rsid w:val="001A6ED1"/>
    <w:rsid w:val="001A7100"/>
    <w:rsid w:val="001A768A"/>
    <w:rsid w:val="001A7902"/>
    <w:rsid w:val="001A794B"/>
    <w:rsid w:val="001A7C32"/>
    <w:rsid w:val="001A7D78"/>
    <w:rsid w:val="001A7E30"/>
    <w:rsid w:val="001B01C0"/>
    <w:rsid w:val="001B01E8"/>
    <w:rsid w:val="001B02B7"/>
    <w:rsid w:val="001B0328"/>
    <w:rsid w:val="001B06B6"/>
    <w:rsid w:val="001B0A9A"/>
    <w:rsid w:val="001B0C52"/>
    <w:rsid w:val="001B0C64"/>
    <w:rsid w:val="001B0E04"/>
    <w:rsid w:val="001B0E74"/>
    <w:rsid w:val="001B13FE"/>
    <w:rsid w:val="001B14EF"/>
    <w:rsid w:val="001B15D3"/>
    <w:rsid w:val="001B160C"/>
    <w:rsid w:val="001B1C61"/>
    <w:rsid w:val="001B1DC0"/>
    <w:rsid w:val="001B1E42"/>
    <w:rsid w:val="001B1FA3"/>
    <w:rsid w:val="001B1FF3"/>
    <w:rsid w:val="001B2018"/>
    <w:rsid w:val="001B2F7E"/>
    <w:rsid w:val="001B2FBD"/>
    <w:rsid w:val="001B3232"/>
    <w:rsid w:val="001B3287"/>
    <w:rsid w:val="001B3443"/>
    <w:rsid w:val="001B35FD"/>
    <w:rsid w:val="001B365F"/>
    <w:rsid w:val="001B3A8B"/>
    <w:rsid w:val="001B3D84"/>
    <w:rsid w:val="001B4326"/>
    <w:rsid w:val="001B468C"/>
    <w:rsid w:val="001B47E1"/>
    <w:rsid w:val="001B4A65"/>
    <w:rsid w:val="001B4E3D"/>
    <w:rsid w:val="001B5196"/>
    <w:rsid w:val="001B5670"/>
    <w:rsid w:val="001B5766"/>
    <w:rsid w:val="001B5780"/>
    <w:rsid w:val="001B57A0"/>
    <w:rsid w:val="001B589F"/>
    <w:rsid w:val="001B5B5B"/>
    <w:rsid w:val="001B5BF3"/>
    <w:rsid w:val="001B5FE6"/>
    <w:rsid w:val="001B61BF"/>
    <w:rsid w:val="001B66E4"/>
    <w:rsid w:val="001B6996"/>
    <w:rsid w:val="001B6A04"/>
    <w:rsid w:val="001B6D12"/>
    <w:rsid w:val="001B727A"/>
    <w:rsid w:val="001B77F3"/>
    <w:rsid w:val="001B7846"/>
    <w:rsid w:val="001B78EF"/>
    <w:rsid w:val="001B7B55"/>
    <w:rsid w:val="001B7D6C"/>
    <w:rsid w:val="001B7E7F"/>
    <w:rsid w:val="001C0233"/>
    <w:rsid w:val="001C0326"/>
    <w:rsid w:val="001C0608"/>
    <w:rsid w:val="001C090F"/>
    <w:rsid w:val="001C09D5"/>
    <w:rsid w:val="001C0C26"/>
    <w:rsid w:val="001C0CAA"/>
    <w:rsid w:val="001C14F6"/>
    <w:rsid w:val="001C17D3"/>
    <w:rsid w:val="001C192F"/>
    <w:rsid w:val="001C198D"/>
    <w:rsid w:val="001C1B81"/>
    <w:rsid w:val="001C1E07"/>
    <w:rsid w:val="001C1F36"/>
    <w:rsid w:val="001C1FDC"/>
    <w:rsid w:val="001C2068"/>
    <w:rsid w:val="001C21AD"/>
    <w:rsid w:val="001C2268"/>
    <w:rsid w:val="001C23CE"/>
    <w:rsid w:val="001C23F5"/>
    <w:rsid w:val="001C249B"/>
    <w:rsid w:val="001C24B9"/>
    <w:rsid w:val="001C263B"/>
    <w:rsid w:val="001C26D1"/>
    <w:rsid w:val="001C29A8"/>
    <w:rsid w:val="001C2CB2"/>
    <w:rsid w:val="001C2D3C"/>
    <w:rsid w:val="001C2E4F"/>
    <w:rsid w:val="001C30A5"/>
    <w:rsid w:val="001C34EB"/>
    <w:rsid w:val="001C34EF"/>
    <w:rsid w:val="001C3634"/>
    <w:rsid w:val="001C3754"/>
    <w:rsid w:val="001C3817"/>
    <w:rsid w:val="001C3895"/>
    <w:rsid w:val="001C3994"/>
    <w:rsid w:val="001C3C42"/>
    <w:rsid w:val="001C4402"/>
    <w:rsid w:val="001C4491"/>
    <w:rsid w:val="001C4553"/>
    <w:rsid w:val="001C48CC"/>
    <w:rsid w:val="001C4987"/>
    <w:rsid w:val="001C49F2"/>
    <w:rsid w:val="001C49FF"/>
    <w:rsid w:val="001C527D"/>
    <w:rsid w:val="001C55F1"/>
    <w:rsid w:val="001C5653"/>
    <w:rsid w:val="001C57AF"/>
    <w:rsid w:val="001C5815"/>
    <w:rsid w:val="001C5A53"/>
    <w:rsid w:val="001C5E75"/>
    <w:rsid w:val="001C5FED"/>
    <w:rsid w:val="001C60B0"/>
    <w:rsid w:val="001C624D"/>
    <w:rsid w:val="001C6301"/>
    <w:rsid w:val="001C632F"/>
    <w:rsid w:val="001C6BEC"/>
    <w:rsid w:val="001C6CE6"/>
    <w:rsid w:val="001C7266"/>
    <w:rsid w:val="001C7331"/>
    <w:rsid w:val="001C7A19"/>
    <w:rsid w:val="001C7F78"/>
    <w:rsid w:val="001D0027"/>
    <w:rsid w:val="001D00CF"/>
    <w:rsid w:val="001D01FE"/>
    <w:rsid w:val="001D04A8"/>
    <w:rsid w:val="001D060A"/>
    <w:rsid w:val="001D0792"/>
    <w:rsid w:val="001D07CD"/>
    <w:rsid w:val="001D093D"/>
    <w:rsid w:val="001D0940"/>
    <w:rsid w:val="001D0A75"/>
    <w:rsid w:val="001D0CD1"/>
    <w:rsid w:val="001D11C5"/>
    <w:rsid w:val="001D1410"/>
    <w:rsid w:val="001D1449"/>
    <w:rsid w:val="001D1799"/>
    <w:rsid w:val="001D17A4"/>
    <w:rsid w:val="001D183B"/>
    <w:rsid w:val="001D1B2F"/>
    <w:rsid w:val="001D1C66"/>
    <w:rsid w:val="001D1CA3"/>
    <w:rsid w:val="001D221B"/>
    <w:rsid w:val="001D2268"/>
    <w:rsid w:val="001D2423"/>
    <w:rsid w:val="001D2AB6"/>
    <w:rsid w:val="001D2F4A"/>
    <w:rsid w:val="001D3029"/>
    <w:rsid w:val="001D37BA"/>
    <w:rsid w:val="001D37CB"/>
    <w:rsid w:val="001D39B8"/>
    <w:rsid w:val="001D3AC1"/>
    <w:rsid w:val="001D3F6F"/>
    <w:rsid w:val="001D4197"/>
    <w:rsid w:val="001D42AD"/>
    <w:rsid w:val="001D4551"/>
    <w:rsid w:val="001D45CC"/>
    <w:rsid w:val="001D47D6"/>
    <w:rsid w:val="001D4BE2"/>
    <w:rsid w:val="001D4E4E"/>
    <w:rsid w:val="001D4E57"/>
    <w:rsid w:val="001D4F87"/>
    <w:rsid w:val="001D4FF9"/>
    <w:rsid w:val="001D5002"/>
    <w:rsid w:val="001D501D"/>
    <w:rsid w:val="001D54EB"/>
    <w:rsid w:val="001D5608"/>
    <w:rsid w:val="001D5627"/>
    <w:rsid w:val="001D59E9"/>
    <w:rsid w:val="001D5AD8"/>
    <w:rsid w:val="001D5B59"/>
    <w:rsid w:val="001D5B97"/>
    <w:rsid w:val="001D5CF2"/>
    <w:rsid w:val="001D5F44"/>
    <w:rsid w:val="001D6025"/>
    <w:rsid w:val="001D619C"/>
    <w:rsid w:val="001D62FB"/>
    <w:rsid w:val="001D6340"/>
    <w:rsid w:val="001D63C4"/>
    <w:rsid w:val="001D65B8"/>
    <w:rsid w:val="001D6AF2"/>
    <w:rsid w:val="001D6D1F"/>
    <w:rsid w:val="001D6E01"/>
    <w:rsid w:val="001D715D"/>
    <w:rsid w:val="001D7869"/>
    <w:rsid w:val="001D7D7E"/>
    <w:rsid w:val="001D7F31"/>
    <w:rsid w:val="001E0164"/>
    <w:rsid w:val="001E0336"/>
    <w:rsid w:val="001E046A"/>
    <w:rsid w:val="001E05E2"/>
    <w:rsid w:val="001E0679"/>
    <w:rsid w:val="001E0A61"/>
    <w:rsid w:val="001E0AEE"/>
    <w:rsid w:val="001E0D5E"/>
    <w:rsid w:val="001E1324"/>
    <w:rsid w:val="001E14D5"/>
    <w:rsid w:val="001E1915"/>
    <w:rsid w:val="001E1A66"/>
    <w:rsid w:val="001E1CB0"/>
    <w:rsid w:val="001E1ED3"/>
    <w:rsid w:val="001E2322"/>
    <w:rsid w:val="001E2861"/>
    <w:rsid w:val="001E2BB2"/>
    <w:rsid w:val="001E2C26"/>
    <w:rsid w:val="001E2CDD"/>
    <w:rsid w:val="001E316C"/>
    <w:rsid w:val="001E3258"/>
    <w:rsid w:val="001E33B1"/>
    <w:rsid w:val="001E3466"/>
    <w:rsid w:val="001E36B2"/>
    <w:rsid w:val="001E3F34"/>
    <w:rsid w:val="001E424B"/>
    <w:rsid w:val="001E4319"/>
    <w:rsid w:val="001E441F"/>
    <w:rsid w:val="001E474B"/>
    <w:rsid w:val="001E4769"/>
    <w:rsid w:val="001E4BCC"/>
    <w:rsid w:val="001E4D6E"/>
    <w:rsid w:val="001E50EC"/>
    <w:rsid w:val="001E50F7"/>
    <w:rsid w:val="001E52FE"/>
    <w:rsid w:val="001E5567"/>
    <w:rsid w:val="001E5796"/>
    <w:rsid w:val="001E5835"/>
    <w:rsid w:val="001E5B94"/>
    <w:rsid w:val="001E5D5C"/>
    <w:rsid w:val="001E5E89"/>
    <w:rsid w:val="001E62AE"/>
    <w:rsid w:val="001E630A"/>
    <w:rsid w:val="001E634A"/>
    <w:rsid w:val="001E67C6"/>
    <w:rsid w:val="001E682C"/>
    <w:rsid w:val="001E69BC"/>
    <w:rsid w:val="001E6C29"/>
    <w:rsid w:val="001E72DE"/>
    <w:rsid w:val="001E73DD"/>
    <w:rsid w:val="001E743F"/>
    <w:rsid w:val="001E7467"/>
    <w:rsid w:val="001E75EA"/>
    <w:rsid w:val="001E7B26"/>
    <w:rsid w:val="001E7BE9"/>
    <w:rsid w:val="001E7C0B"/>
    <w:rsid w:val="001F015C"/>
    <w:rsid w:val="001F0228"/>
    <w:rsid w:val="001F0463"/>
    <w:rsid w:val="001F0649"/>
    <w:rsid w:val="001F070F"/>
    <w:rsid w:val="001F0C22"/>
    <w:rsid w:val="001F0C24"/>
    <w:rsid w:val="001F1192"/>
    <w:rsid w:val="001F12DB"/>
    <w:rsid w:val="001F1438"/>
    <w:rsid w:val="001F171A"/>
    <w:rsid w:val="001F1763"/>
    <w:rsid w:val="001F1A49"/>
    <w:rsid w:val="001F1E07"/>
    <w:rsid w:val="001F1E1D"/>
    <w:rsid w:val="001F1F7D"/>
    <w:rsid w:val="001F1FD7"/>
    <w:rsid w:val="001F246F"/>
    <w:rsid w:val="001F269E"/>
    <w:rsid w:val="001F2A81"/>
    <w:rsid w:val="001F2D7A"/>
    <w:rsid w:val="001F2E2E"/>
    <w:rsid w:val="001F2F1D"/>
    <w:rsid w:val="001F2F78"/>
    <w:rsid w:val="001F2FA2"/>
    <w:rsid w:val="001F31E0"/>
    <w:rsid w:val="001F336B"/>
    <w:rsid w:val="001F33C6"/>
    <w:rsid w:val="001F3520"/>
    <w:rsid w:val="001F354D"/>
    <w:rsid w:val="001F3A0D"/>
    <w:rsid w:val="001F3CB9"/>
    <w:rsid w:val="001F3D41"/>
    <w:rsid w:val="001F3F37"/>
    <w:rsid w:val="001F45D6"/>
    <w:rsid w:val="001F4713"/>
    <w:rsid w:val="001F4831"/>
    <w:rsid w:val="001F4B4A"/>
    <w:rsid w:val="001F526D"/>
    <w:rsid w:val="001F5471"/>
    <w:rsid w:val="001F5636"/>
    <w:rsid w:val="001F56C6"/>
    <w:rsid w:val="001F57D0"/>
    <w:rsid w:val="001F5C14"/>
    <w:rsid w:val="001F5D04"/>
    <w:rsid w:val="001F5EE3"/>
    <w:rsid w:val="001F6113"/>
    <w:rsid w:val="001F6153"/>
    <w:rsid w:val="001F624D"/>
    <w:rsid w:val="001F629D"/>
    <w:rsid w:val="001F6507"/>
    <w:rsid w:val="001F6F0A"/>
    <w:rsid w:val="001F6F83"/>
    <w:rsid w:val="001F7151"/>
    <w:rsid w:val="001F781C"/>
    <w:rsid w:val="001F789D"/>
    <w:rsid w:val="001F7967"/>
    <w:rsid w:val="001F7C72"/>
    <w:rsid w:val="002009AE"/>
    <w:rsid w:val="00200B56"/>
    <w:rsid w:val="00200C61"/>
    <w:rsid w:val="00200DF6"/>
    <w:rsid w:val="002014A8"/>
    <w:rsid w:val="00201661"/>
    <w:rsid w:val="00201B8C"/>
    <w:rsid w:val="00201E50"/>
    <w:rsid w:val="00201F15"/>
    <w:rsid w:val="00201F57"/>
    <w:rsid w:val="002023EB"/>
    <w:rsid w:val="0020258B"/>
    <w:rsid w:val="002026CD"/>
    <w:rsid w:val="002027BE"/>
    <w:rsid w:val="00202B99"/>
    <w:rsid w:val="00202D23"/>
    <w:rsid w:val="0020324C"/>
    <w:rsid w:val="002032DE"/>
    <w:rsid w:val="002033FC"/>
    <w:rsid w:val="00203645"/>
    <w:rsid w:val="00203846"/>
    <w:rsid w:val="00203966"/>
    <w:rsid w:val="00203AED"/>
    <w:rsid w:val="00203B01"/>
    <w:rsid w:val="00203C8C"/>
    <w:rsid w:val="00203CF8"/>
    <w:rsid w:val="002040AE"/>
    <w:rsid w:val="002041A1"/>
    <w:rsid w:val="00204257"/>
    <w:rsid w:val="002044BB"/>
    <w:rsid w:val="0020452B"/>
    <w:rsid w:val="00204942"/>
    <w:rsid w:val="00204AB4"/>
    <w:rsid w:val="00204B52"/>
    <w:rsid w:val="00204DA1"/>
    <w:rsid w:val="00204DF6"/>
    <w:rsid w:val="00204E37"/>
    <w:rsid w:val="00204E66"/>
    <w:rsid w:val="002054E7"/>
    <w:rsid w:val="00205726"/>
    <w:rsid w:val="0020576F"/>
    <w:rsid w:val="00205807"/>
    <w:rsid w:val="002058AE"/>
    <w:rsid w:val="00205A06"/>
    <w:rsid w:val="00205A7A"/>
    <w:rsid w:val="00205B7A"/>
    <w:rsid w:val="00205BD2"/>
    <w:rsid w:val="00205D3C"/>
    <w:rsid w:val="00205DFC"/>
    <w:rsid w:val="00205EB0"/>
    <w:rsid w:val="00206056"/>
    <w:rsid w:val="002060B8"/>
    <w:rsid w:val="002062B4"/>
    <w:rsid w:val="002067E8"/>
    <w:rsid w:val="002068F8"/>
    <w:rsid w:val="00206F06"/>
    <w:rsid w:val="0020702E"/>
    <w:rsid w:val="002071C9"/>
    <w:rsid w:val="002071E3"/>
    <w:rsid w:val="00207538"/>
    <w:rsid w:val="0020757C"/>
    <w:rsid w:val="0020789C"/>
    <w:rsid w:val="00207962"/>
    <w:rsid w:val="00207A28"/>
    <w:rsid w:val="00207E79"/>
    <w:rsid w:val="00207F43"/>
    <w:rsid w:val="0021010A"/>
    <w:rsid w:val="002101B2"/>
    <w:rsid w:val="00210558"/>
    <w:rsid w:val="002106A9"/>
    <w:rsid w:val="0021088B"/>
    <w:rsid w:val="002108B5"/>
    <w:rsid w:val="002109A8"/>
    <w:rsid w:val="002109B1"/>
    <w:rsid w:val="00210A00"/>
    <w:rsid w:val="00210B09"/>
    <w:rsid w:val="00210C9E"/>
    <w:rsid w:val="00210E90"/>
    <w:rsid w:val="00210EB7"/>
    <w:rsid w:val="00211181"/>
    <w:rsid w:val="0021121A"/>
    <w:rsid w:val="00211262"/>
    <w:rsid w:val="002116C5"/>
    <w:rsid w:val="00211840"/>
    <w:rsid w:val="002119C7"/>
    <w:rsid w:val="00211C2F"/>
    <w:rsid w:val="00211CBA"/>
    <w:rsid w:val="00211FBC"/>
    <w:rsid w:val="0021207A"/>
    <w:rsid w:val="002121E3"/>
    <w:rsid w:val="0021224F"/>
    <w:rsid w:val="002126BE"/>
    <w:rsid w:val="002127EE"/>
    <w:rsid w:val="00212963"/>
    <w:rsid w:val="00212B47"/>
    <w:rsid w:val="00212BFD"/>
    <w:rsid w:val="00212C8E"/>
    <w:rsid w:val="00212F52"/>
    <w:rsid w:val="002132AD"/>
    <w:rsid w:val="00213419"/>
    <w:rsid w:val="002134A3"/>
    <w:rsid w:val="00213559"/>
    <w:rsid w:val="002135A0"/>
    <w:rsid w:val="002135AF"/>
    <w:rsid w:val="00213805"/>
    <w:rsid w:val="00213A34"/>
    <w:rsid w:val="00213CF7"/>
    <w:rsid w:val="00213D09"/>
    <w:rsid w:val="00213F68"/>
    <w:rsid w:val="002140AE"/>
    <w:rsid w:val="00214339"/>
    <w:rsid w:val="00214399"/>
    <w:rsid w:val="002144CF"/>
    <w:rsid w:val="00214992"/>
    <w:rsid w:val="002149BA"/>
    <w:rsid w:val="002149CC"/>
    <w:rsid w:val="00214EDA"/>
    <w:rsid w:val="00215025"/>
    <w:rsid w:val="0021547A"/>
    <w:rsid w:val="00215955"/>
    <w:rsid w:val="00215A02"/>
    <w:rsid w:val="00215AE6"/>
    <w:rsid w:val="00215DA4"/>
    <w:rsid w:val="00215F83"/>
    <w:rsid w:val="00215FE9"/>
    <w:rsid w:val="00216188"/>
    <w:rsid w:val="0021634C"/>
    <w:rsid w:val="002165E3"/>
    <w:rsid w:val="0021698F"/>
    <w:rsid w:val="00216A70"/>
    <w:rsid w:val="00216CFD"/>
    <w:rsid w:val="00216FE2"/>
    <w:rsid w:val="002171A8"/>
    <w:rsid w:val="002174D2"/>
    <w:rsid w:val="0021761B"/>
    <w:rsid w:val="0021781C"/>
    <w:rsid w:val="0021795A"/>
    <w:rsid w:val="00217E4B"/>
    <w:rsid w:val="00217EB4"/>
    <w:rsid w:val="00217EF5"/>
    <w:rsid w:val="00217F48"/>
    <w:rsid w:val="00220248"/>
    <w:rsid w:val="0022051D"/>
    <w:rsid w:val="0022083A"/>
    <w:rsid w:val="00220A79"/>
    <w:rsid w:val="00220B10"/>
    <w:rsid w:val="00220B5C"/>
    <w:rsid w:val="00220C0A"/>
    <w:rsid w:val="00220E5F"/>
    <w:rsid w:val="002212B5"/>
    <w:rsid w:val="002213B6"/>
    <w:rsid w:val="00221507"/>
    <w:rsid w:val="002215A2"/>
    <w:rsid w:val="0022170F"/>
    <w:rsid w:val="002217D7"/>
    <w:rsid w:val="00221B4F"/>
    <w:rsid w:val="00221D4C"/>
    <w:rsid w:val="00221FF4"/>
    <w:rsid w:val="00222502"/>
    <w:rsid w:val="00222630"/>
    <w:rsid w:val="0022266F"/>
    <w:rsid w:val="002226BB"/>
    <w:rsid w:val="002228C2"/>
    <w:rsid w:val="00222C32"/>
    <w:rsid w:val="00222D3D"/>
    <w:rsid w:val="00222F53"/>
    <w:rsid w:val="00222FE9"/>
    <w:rsid w:val="00223029"/>
    <w:rsid w:val="0022324D"/>
    <w:rsid w:val="002232A4"/>
    <w:rsid w:val="0022397B"/>
    <w:rsid w:val="00223C14"/>
    <w:rsid w:val="00223CA8"/>
    <w:rsid w:val="00223F22"/>
    <w:rsid w:val="002243C0"/>
    <w:rsid w:val="002248C1"/>
    <w:rsid w:val="00224CC4"/>
    <w:rsid w:val="00224DD3"/>
    <w:rsid w:val="00224E46"/>
    <w:rsid w:val="00224F40"/>
    <w:rsid w:val="00225125"/>
    <w:rsid w:val="002255CA"/>
    <w:rsid w:val="00225696"/>
    <w:rsid w:val="00225B34"/>
    <w:rsid w:val="00225B67"/>
    <w:rsid w:val="00225DD5"/>
    <w:rsid w:val="00225F5C"/>
    <w:rsid w:val="00226142"/>
    <w:rsid w:val="00226210"/>
    <w:rsid w:val="00226548"/>
    <w:rsid w:val="002265C6"/>
    <w:rsid w:val="00226668"/>
    <w:rsid w:val="002268D7"/>
    <w:rsid w:val="00226C61"/>
    <w:rsid w:val="00226DEC"/>
    <w:rsid w:val="002274CD"/>
    <w:rsid w:val="00227C15"/>
    <w:rsid w:val="00227C5A"/>
    <w:rsid w:val="00227E7B"/>
    <w:rsid w:val="002300E8"/>
    <w:rsid w:val="00230562"/>
    <w:rsid w:val="002305A5"/>
    <w:rsid w:val="002307FB"/>
    <w:rsid w:val="0023084F"/>
    <w:rsid w:val="00230931"/>
    <w:rsid w:val="002310C1"/>
    <w:rsid w:val="00231314"/>
    <w:rsid w:val="002313AC"/>
    <w:rsid w:val="002313C6"/>
    <w:rsid w:val="00231735"/>
    <w:rsid w:val="002317F2"/>
    <w:rsid w:val="00231959"/>
    <w:rsid w:val="00231A1E"/>
    <w:rsid w:val="00231AA3"/>
    <w:rsid w:val="00231DEE"/>
    <w:rsid w:val="00231E68"/>
    <w:rsid w:val="002326D5"/>
    <w:rsid w:val="002327CA"/>
    <w:rsid w:val="0023282D"/>
    <w:rsid w:val="002329D4"/>
    <w:rsid w:val="00232A26"/>
    <w:rsid w:val="00232D06"/>
    <w:rsid w:val="002330BB"/>
    <w:rsid w:val="002330C4"/>
    <w:rsid w:val="002332B3"/>
    <w:rsid w:val="002335EB"/>
    <w:rsid w:val="00233762"/>
    <w:rsid w:val="00233765"/>
    <w:rsid w:val="00233809"/>
    <w:rsid w:val="00233A3D"/>
    <w:rsid w:val="00233C1B"/>
    <w:rsid w:val="002341EA"/>
    <w:rsid w:val="0023472D"/>
    <w:rsid w:val="002347CC"/>
    <w:rsid w:val="0023480C"/>
    <w:rsid w:val="00234CFE"/>
    <w:rsid w:val="00234D66"/>
    <w:rsid w:val="00235105"/>
    <w:rsid w:val="0023531F"/>
    <w:rsid w:val="00235426"/>
    <w:rsid w:val="002354B7"/>
    <w:rsid w:val="0023587E"/>
    <w:rsid w:val="00235988"/>
    <w:rsid w:val="00235A4F"/>
    <w:rsid w:val="00235B01"/>
    <w:rsid w:val="00235BD5"/>
    <w:rsid w:val="00235EAB"/>
    <w:rsid w:val="00235FC0"/>
    <w:rsid w:val="002361E6"/>
    <w:rsid w:val="002362AA"/>
    <w:rsid w:val="002362DE"/>
    <w:rsid w:val="0023631E"/>
    <w:rsid w:val="00236D94"/>
    <w:rsid w:val="00236EF3"/>
    <w:rsid w:val="00237299"/>
    <w:rsid w:val="00237393"/>
    <w:rsid w:val="002373B8"/>
    <w:rsid w:val="00237F77"/>
    <w:rsid w:val="00237F98"/>
    <w:rsid w:val="00240046"/>
    <w:rsid w:val="00240715"/>
    <w:rsid w:val="00240877"/>
    <w:rsid w:val="00240936"/>
    <w:rsid w:val="00240BB2"/>
    <w:rsid w:val="00240C2D"/>
    <w:rsid w:val="00241318"/>
    <w:rsid w:val="00241473"/>
    <w:rsid w:val="00241649"/>
    <w:rsid w:val="00241762"/>
    <w:rsid w:val="002418D9"/>
    <w:rsid w:val="00241D24"/>
    <w:rsid w:val="00241F1B"/>
    <w:rsid w:val="0024200A"/>
    <w:rsid w:val="00242408"/>
    <w:rsid w:val="00242504"/>
    <w:rsid w:val="00242782"/>
    <w:rsid w:val="002427BD"/>
    <w:rsid w:val="002427C0"/>
    <w:rsid w:val="00242C7A"/>
    <w:rsid w:val="00242DE5"/>
    <w:rsid w:val="0024310F"/>
    <w:rsid w:val="002432CD"/>
    <w:rsid w:val="002433B3"/>
    <w:rsid w:val="00243C78"/>
    <w:rsid w:val="00243EA9"/>
    <w:rsid w:val="002440F6"/>
    <w:rsid w:val="002442CD"/>
    <w:rsid w:val="00244A9E"/>
    <w:rsid w:val="00244CEF"/>
    <w:rsid w:val="00244E8E"/>
    <w:rsid w:val="00244ED3"/>
    <w:rsid w:val="0024502D"/>
    <w:rsid w:val="0024544B"/>
    <w:rsid w:val="00245610"/>
    <w:rsid w:val="00245673"/>
    <w:rsid w:val="0024572B"/>
    <w:rsid w:val="00245790"/>
    <w:rsid w:val="0024584E"/>
    <w:rsid w:val="00245D0E"/>
    <w:rsid w:val="002461E9"/>
    <w:rsid w:val="0024646B"/>
    <w:rsid w:val="002465B2"/>
    <w:rsid w:val="002468BA"/>
    <w:rsid w:val="00246A18"/>
    <w:rsid w:val="00246B5D"/>
    <w:rsid w:val="00246BF7"/>
    <w:rsid w:val="00246C38"/>
    <w:rsid w:val="00246F30"/>
    <w:rsid w:val="00246F47"/>
    <w:rsid w:val="00246F6A"/>
    <w:rsid w:val="0024701A"/>
    <w:rsid w:val="002470E8"/>
    <w:rsid w:val="0024726B"/>
    <w:rsid w:val="00247492"/>
    <w:rsid w:val="002475B5"/>
    <w:rsid w:val="002475EA"/>
    <w:rsid w:val="002477F0"/>
    <w:rsid w:val="002477F7"/>
    <w:rsid w:val="0024797F"/>
    <w:rsid w:val="00247B20"/>
    <w:rsid w:val="00247BAA"/>
    <w:rsid w:val="00247CA4"/>
    <w:rsid w:val="00247D9B"/>
    <w:rsid w:val="00247FFA"/>
    <w:rsid w:val="002500A8"/>
    <w:rsid w:val="0025027D"/>
    <w:rsid w:val="00250532"/>
    <w:rsid w:val="002506EE"/>
    <w:rsid w:val="0025072A"/>
    <w:rsid w:val="00250760"/>
    <w:rsid w:val="00250BA1"/>
    <w:rsid w:val="00250E00"/>
    <w:rsid w:val="0025119E"/>
    <w:rsid w:val="00251269"/>
    <w:rsid w:val="00251358"/>
    <w:rsid w:val="0025136F"/>
    <w:rsid w:val="00251370"/>
    <w:rsid w:val="002513A8"/>
    <w:rsid w:val="00251BB2"/>
    <w:rsid w:val="00251D07"/>
    <w:rsid w:val="00251D83"/>
    <w:rsid w:val="00251F49"/>
    <w:rsid w:val="002522B6"/>
    <w:rsid w:val="00252487"/>
    <w:rsid w:val="00252519"/>
    <w:rsid w:val="002525E3"/>
    <w:rsid w:val="0025281A"/>
    <w:rsid w:val="00252966"/>
    <w:rsid w:val="002534D8"/>
    <w:rsid w:val="002534F0"/>
    <w:rsid w:val="002535C0"/>
    <w:rsid w:val="0025367B"/>
    <w:rsid w:val="00253851"/>
    <w:rsid w:val="00253CE6"/>
    <w:rsid w:val="00253D58"/>
    <w:rsid w:val="00254021"/>
    <w:rsid w:val="00254243"/>
    <w:rsid w:val="002548C6"/>
    <w:rsid w:val="00254925"/>
    <w:rsid w:val="00254B02"/>
    <w:rsid w:val="00254C49"/>
    <w:rsid w:val="00254C73"/>
    <w:rsid w:val="00254EF3"/>
    <w:rsid w:val="00255081"/>
    <w:rsid w:val="00255255"/>
    <w:rsid w:val="0025536A"/>
    <w:rsid w:val="002553C6"/>
    <w:rsid w:val="002553DC"/>
    <w:rsid w:val="00255593"/>
    <w:rsid w:val="0025560C"/>
    <w:rsid w:val="00255744"/>
    <w:rsid w:val="002557E9"/>
    <w:rsid w:val="00255C69"/>
    <w:rsid w:val="00255C72"/>
    <w:rsid w:val="00255ECC"/>
    <w:rsid w:val="00256456"/>
    <w:rsid w:val="00256A08"/>
    <w:rsid w:val="00256D4E"/>
    <w:rsid w:val="00256F3F"/>
    <w:rsid w:val="00256FCD"/>
    <w:rsid w:val="002573E4"/>
    <w:rsid w:val="0025745D"/>
    <w:rsid w:val="0025756A"/>
    <w:rsid w:val="00257779"/>
    <w:rsid w:val="002578A8"/>
    <w:rsid w:val="00257903"/>
    <w:rsid w:val="002579FE"/>
    <w:rsid w:val="0026022D"/>
    <w:rsid w:val="00260254"/>
    <w:rsid w:val="0026035C"/>
    <w:rsid w:val="0026079A"/>
    <w:rsid w:val="002608EA"/>
    <w:rsid w:val="00260BE2"/>
    <w:rsid w:val="00260D9A"/>
    <w:rsid w:val="00260DB8"/>
    <w:rsid w:val="00260E20"/>
    <w:rsid w:val="002611D4"/>
    <w:rsid w:val="00261260"/>
    <w:rsid w:val="00261443"/>
    <w:rsid w:val="00261513"/>
    <w:rsid w:val="002616C2"/>
    <w:rsid w:val="002617DB"/>
    <w:rsid w:val="002619C0"/>
    <w:rsid w:val="00261BE6"/>
    <w:rsid w:val="00261D23"/>
    <w:rsid w:val="00261DE9"/>
    <w:rsid w:val="00261EB7"/>
    <w:rsid w:val="00261F79"/>
    <w:rsid w:val="0026202C"/>
    <w:rsid w:val="002624CB"/>
    <w:rsid w:val="002627A3"/>
    <w:rsid w:val="0026311C"/>
    <w:rsid w:val="002632E9"/>
    <w:rsid w:val="0026363A"/>
    <w:rsid w:val="0026366F"/>
    <w:rsid w:val="00263822"/>
    <w:rsid w:val="00263872"/>
    <w:rsid w:val="002639BD"/>
    <w:rsid w:val="00263A76"/>
    <w:rsid w:val="00263B08"/>
    <w:rsid w:val="00263C18"/>
    <w:rsid w:val="00263E11"/>
    <w:rsid w:val="00263E28"/>
    <w:rsid w:val="00263FE1"/>
    <w:rsid w:val="002640C7"/>
    <w:rsid w:val="002644FA"/>
    <w:rsid w:val="002648C7"/>
    <w:rsid w:val="00264F43"/>
    <w:rsid w:val="00265120"/>
    <w:rsid w:val="002654B8"/>
    <w:rsid w:val="00265747"/>
    <w:rsid w:val="00265809"/>
    <w:rsid w:val="0026583C"/>
    <w:rsid w:val="0026584E"/>
    <w:rsid w:val="00265B36"/>
    <w:rsid w:val="00265CD9"/>
    <w:rsid w:val="00265DDA"/>
    <w:rsid w:val="0026668C"/>
    <w:rsid w:val="002668A6"/>
    <w:rsid w:val="00266990"/>
    <w:rsid w:val="00266AC1"/>
    <w:rsid w:val="00267048"/>
    <w:rsid w:val="002670F4"/>
    <w:rsid w:val="00267325"/>
    <w:rsid w:val="00267566"/>
    <w:rsid w:val="0026758E"/>
    <w:rsid w:val="0026763A"/>
    <w:rsid w:val="00267FD4"/>
    <w:rsid w:val="002701DF"/>
    <w:rsid w:val="002703AA"/>
    <w:rsid w:val="002704FF"/>
    <w:rsid w:val="00270677"/>
    <w:rsid w:val="00270E59"/>
    <w:rsid w:val="00270ECD"/>
    <w:rsid w:val="002716F4"/>
    <w:rsid w:val="0027177F"/>
    <w:rsid w:val="0027178C"/>
    <w:rsid w:val="002719DC"/>
    <w:rsid w:val="002719FA"/>
    <w:rsid w:val="00271AF1"/>
    <w:rsid w:val="00271D61"/>
    <w:rsid w:val="00271EBE"/>
    <w:rsid w:val="00271F61"/>
    <w:rsid w:val="00271FC6"/>
    <w:rsid w:val="002720B3"/>
    <w:rsid w:val="00272575"/>
    <w:rsid w:val="00272668"/>
    <w:rsid w:val="002728AC"/>
    <w:rsid w:val="002728BB"/>
    <w:rsid w:val="002728E9"/>
    <w:rsid w:val="002728F7"/>
    <w:rsid w:val="002729C3"/>
    <w:rsid w:val="00272C33"/>
    <w:rsid w:val="00272DF5"/>
    <w:rsid w:val="00272E9F"/>
    <w:rsid w:val="00272FE0"/>
    <w:rsid w:val="002731DE"/>
    <w:rsid w:val="002731E0"/>
    <w:rsid w:val="0027330B"/>
    <w:rsid w:val="00273876"/>
    <w:rsid w:val="00273AD8"/>
    <w:rsid w:val="00273B5A"/>
    <w:rsid w:val="00273BAB"/>
    <w:rsid w:val="00273DAC"/>
    <w:rsid w:val="00273FF4"/>
    <w:rsid w:val="00274019"/>
    <w:rsid w:val="002742A9"/>
    <w:rsid w:val="002743F9"/>
    <w:rsid w:val="002744CA"/>
    <w:rsid w:val="002744D0"/>
    <w:rsid w:val="002744DF"/>
    <w:rsid w:val="002744E0"/>
    <w:rsid w:val="00274A55"/>
    <w:rsid w:val="00274CB7"/>
    <w:rsid w:val="00274E66"/>
    <w:rsid w:val="00275240"/>
    <w:rsid w:val="00275294"/>
    <w:rsid w:val="002754C8"/>
    <w:rsid w:val="0027556E"/>
    <w:rsid w:val="0027580D"/>
    <w:rsid w:val="002758D8"/>
    <w:rsid w:val="00275CA8"/>
    <w:rsid w:val="00275D4E"/>
    <w:rsid w:val="00275F7E"/>
    <w:rsid w:val="00276009"/>
    <w:rsid w:val="002760CF"/>
    <w:rsid w:val="0027610D"/>
    <w:rsid w:val="002762EA"/>
    <w:rsid w:val="0027637F"/>
    <w:rsid w:val="00276453"/>
    <w:rsid w:val="002764A5"/>
    <w:rsid w:val="0027657F"/>
    <w:rsid w:val="00276722"/>
    <w:rsid w:val="00276760"/>
    <w:rsid w:val="002769B8"/>
    <w:rsid w:val="00276A85"/>
    <w:rsid w:val="00276E78"/>
    <w:rsid w:val="00276EE8"/>
    <w:rsid w:val="00277265"/>
    <w:rsid w:val="0027739B"/>
    <w:rsid w:val="002774FB"/>
    <w:rsid w:val="00277596"/>
    <w:rsid w:val="00277901"/>
    <w:rsid w:val="00277AF1"/>
    <w:rsid w:val="00277E29"/>
    <w:rsid w:val="00280219"/>
    <w:rsid w:val="002803AD"/>
    <w:rsid w:val="002803F4"/>
    <w:rsid w:val="002804C0"/>
    <w:rsid w:val="002804E8"/>
    <w:rsid w:val="00280765"/>
    <w:rsid w:val="0028095B"/>
    <w:rsid w:val="00280962"/>
    <w:rsid w:val="0028096F"/>
    <w:rsid w:val="002818BA"/>
    <w:rsid w:val="002818E1"/>
    <w:rsid w:val="00281D1A"/>
    <w:rsid w:val="00281DAA"/>
    <w:rsid w:val="00281E8E"/>
    <w:rsid w:val="00282052"/>
    <w:rsid w:val="002822BF"/>
    <w:rsid w:val="002825E6"/>
    <w:rsid w:val="00282A11"/>
    <w:rsid w:val="00282C8A"/>
    <w:rsid w:val="002830E2"/>
    <w:rsid w:val="00283141"/>
    <w:rsid w:val="00283418"/>
    <w:rsid w:val="002834E1"/>
    <w:rsid w:val="00283580"/>
    <w:rsid w:val="0028393D"/>
    <w:rsid w:val="00283B76"/>
    <w:rsid w:val="00283C3F"/>
    <w:rsid w:val="00283E85"/>
    <w:rsid w:val="00283F3A"/>
    <w:rsid w:val="00283F99"/>
    <w:rsid w:val="002841F1"/>
    <w:rsid w:val="0028469B"/>
    <w:rsid w:val="0028495A"/>
    <w:rsid w:val="00284975"/>
    <w:rsid w:val="00284A7A"/>
    <w:rsid w:val="00284E2D"/>
    <w:rsid w:val="0028519E"/>
    <w:rsid w:val="00285296"/>
    <w:rsid w:val="002856A5"/>
    <w:rsid w:val="002857C2"/>
    <w:rsid w:val="00285AC3"/>
    <w:rsid w:val="00285E36"/>
    <w:rsid w:val="00285EDA"/>
    <w:rsid w:val="00286129"/>
    <w:rsid w:val="0028647F"/>
    <w:rsid w:val="002864F8"/>
    <w:rsid w:val="00286777"/>
    <w:rsid w:val="00286818"/>
    <w:rsid w:val="00286948"/>
    <w:rsid w:val="002872DC"/>
    <w:rsid w:val="002872ED"/>
    <w:rsid w:val="002875A6"/>
    <w:rsid w:val="00287726"/>
    <w:rsid w:val="002877B1"/>
    <w:rsid w:val="002879AB"/>
    <w:rsid w:val="002879CE"/>
    <w:rsid w:val="00287A55"/>
    <w:rsid w:val="00287D48"/>
    <w:rsid w:val="00287FBB"/>
    <w:rsid w:val="0028A834"/>
    <w:rsid w:val="00290185"/>
    <w:rsid w:val="00290195"/>
    <w:rsid w:val="00290238"/>
    <w:rsid w:val="002902CE"/>
    <w:rsid w:val="002902DA"/>
    <w:rsid w:val="0029035E"/>
    <w:rsid w:val="00290405"/>
    <w:rsid w:val="002905C2"/>
    <w:rsid w:val="00290684"/>
    <w:rsid w:val="00290B2B"/>
    <w:rsid w:val="00290B33"/>
    <w:rsid w:val="00290C24"/>
    <w:rsid w:val="00291058"/>
    <w:rsid w:val="002911AB"/>
    <w:rsid w:val="002912BB"/>
    <w:rsid w:val="00291317"/>
    <w:rsid w:val="002913A0"/>
    <w:rsid w:val="002913DA"/>
    <w:rsid w:val="002916E3"/>
    <w:rsid w:val="00291AB9"/>
    <w:rsid w:val="00291B1C"/>
    <w:rsid w:val="00291B3A"/>
    <w:rsid w:val="00291C4A"/>
    <w:rsid w:val="00291D01"/>
    <w:rsid w:val="00292059"/>
    <w:rsid w:val="002921B4"/>
    <w:rsid w:val="002921E1"/>
    <w:rsid w:val="002921E4"/>
    <w:rsid w:val="002924F9"/>
    <w:rsid w:val="00292733"/>
    <w:rsid w:val="00292922"/>
    <w:rsid w:val="00292F46"/>
    <w:rsid w:val="00292F54"/>
    <w:rsid w:val="00293181"/>
    <w:rsid w:val="002931B3"/>
    <w:rsid w:val="00293325"/>
    <w:rsid w:val="00293381"/>
    <w:rsid w:val="002937AF"/>
    <w:rsid w:val="00293A63"/>
    <w:rsid w:val="00293D35"/>
    <w:rsid w:val="00293F6C"/>
    <w:rsid w:val="00294022"/>
    <w:rsid w:val="002940C8"/>
    <w:rsid w:val="0029418D"/>
    <w:rsid w:val="002941DD"/>
    <w:rsid w:val="00294302"/>
    <w:rsid w:val="0029453E"/>
    <w:rsid w:val="002947B2"/>
    <w:rsid w:val="00294ADF"/>
    <w:rsid w:val="00294C07"/>
    <w:rsid w:val="00294E71"/>
    <w:rsid w:val="002951E4"/>
    <w:rsid w:val="00295280"/>
    <w:rsid w:val="0029534B"/>
    <w:rsid w:val="002954E5"/>
    <w:rsid w:val="002955D7"/>
    <w:rsid w:val="00295741"/>
    <w:rsid w:val="00295909"/>
    <w:rsid w:val="00295AF2"/>
    <w:rsid w:val="00295C91"/>
    <w:rsid w:val="00295F44"/>
    <w:rsid w:val="0029649F"/>
    <w:rsid w:val="002964FA"/>
    <w:rsid w:val="00296626"/>
    <w:rsid w:val="00296896"/>
    <w:rsid w:val="00296975"/>
    <w:rsid w:val="00296AF3"/>
    <w:rsid w:val="00296BFC"/>
    <w:rsid w:val="00296DA6"/>
    <w:rsid w:val="00296E58"/>
    <w:rsid w:val="00296EFD"/>
    <w:rsid w:val="00297151"/>
    <w:rsid w:val="0029717E"/>
    <w:rsid w:val="002972D2"/>
    <w:rsid w:val="002974C5"/>
    <w:rsid w:val="00297C76"/>
    <w:rsid w:val="002A058A"/>
    <w:rsid w:val="002A0632"/>
    <w:rsid w:val="002A065B"/>
    <w:rsid w:val="002A073C"/>
    <w:rsid w:val="002A0862"/>
    <w:rsid w:val="002A0A35"/>
    <w:rsid w:val="002A0C1C"/>
    <w:rsid w:val="002A10D3"/>
    <w:rsid w:val="002A10DA"/>
    <w:rsid w:val="002A119F"/>
    <w:rsid w:val="002A157D"/>
    <w:rsid w:val="002A1770"/>
    <w:rsid w:val="002A17BF"/>
    <w:rsid w:val="002A19FA"/>
    <w:rsid w:val="002A1A7A"/>
    <w:rsid w:val="002A1D1E"/>
    <w:rsid w:val="002A1DCB"/>
    <w:rsid w:val="002A2393"/>
    <w:rsid w:val="002A2439"/>
    <w:rsid w:val="002A2BB9"/>
    <w:rsid w:val="002A2C04"/>
    <w:rsid w:val="002A2FE8"/>
    <w:rsid w:val="002A2FF0"/>
    <w:rsid w:val="002A3161"/>
    <w:rsid w:val="002A3361"/>
    <w:rsid w:val="002A363F"/>
    <w:rsid w:val="002A3723"/>
    <w:rsid w:val="002A38A6"/>
    <w:rsid w:val="002A3921"/>
    <w:rsid w:val="002A3B99"/>
    <w:rsid w:val="002A3BD4"/>
    <w:rsid w:val="002A4012"/>
    <w:rsid w:val="002A4264"/>
    <w:rsid w:val="002A4334"/>
    <w:rsid w:val="002A4395"/>
    <w:rsid w:val="002A476B"/>
    <w:rsid w:val="002A4A7E"/>
    <w:rsid w:val="002A4E86"/>
    <w:rsid w:val="002A4ECA"/>
    <w:rsid w:val="002A514B"/>
    <w:rsid w:val="002A516E"/>
    <w:rsid w:val="002A519C"/>
    <w:rsid w:val="002A531A"/>
    <w:rsid w:val="002A5377"/>
    <w:rsid w:val="002A5AC4"/>
    <w:rsid w:val="002A5B1A"/>
    <w:rsid w:val="002A5B50"/>
    <w:rsid w:val="002A5C30"/>
    <w:rsid w:val="002A5D06"/>
    <w:rsid w:val="002A5EA9"/>
    <w:rsid w:val="002A5F37"/>
    <w:rsid w:val="002A5FA2"/>
    <w:rsid w:val="002A60CD"/>
    <w:rsid w:val="002A6104"/>
    <w:rsid w:val="002A65CB"/>
    <w:rsid w:val="002A66BA"/>
    <w:rsid w:val="002A66EA"/>
    <w:rsid w:val="002A66F6"/>
    <w:rsid w:val="002A6B0F"/>
    <w:rsid w:val="002A6F10"/>
    <w:rsid w:val="002A7036"/>
    <w:rsid w:val="002A72F1"/>
    <w:rsid w:val="002A7368"/>
    <w:rsid w:val="002A7A32"/>
    <w:rsid w:val="002A7BA6"/>
    <w:rsid w:val="002B0010"/>
    <w:rsid w:val="002B017E"/>
    <w:rsid w:val="002B038D"/>
    <w:rsid w:val="002B06A5"/>
    <w:rsid w:val="002B06E3"/>
    <w:rsid w:val="002B0734"/>
    <w:rsid w:val="002B0738"/>
    <w:rsid w:val="002B079F"/>
    <w:rsid w:val="002B087B"/>
    <w:rsid w:val="002B106E"/>
    <w:rsid w:val="002B11E6"/>
    <w:rsid w:val="002B127A"/>
    <w:rsid w:val="002B12C4"/>
    <w:rsid w:val="002B1526"/>
    <w:rsid w:val="002B167F"/>
    <w:rsid w:val="002B1D53"/>
    <w:rsid w:val="002B20D7"/>
    <w:rsid w:val="002B20E6"/>
    <w:rsid w:val="002B2460"/>
    <w:rsid w:val="002B2698"/>
    <w:rsid w:val="002B2718"/>
    <w:rsid w:val="002B2881"/>
    <w:rsid w:val="002B2990"/>
    <w:rsid w:val="002B2C1A"/>
    <w:rsid w:val="002B2C56"/>
    <w:rsid w:val="002B2DE5"/>
    <w:rsid w:val="002B30A1"/>
    <w:rsid w:val="002B30C7"/>
    <w:rsid w:val="002B3457"/>
    <w:rsid w:val="002B364E"/>
    <w:rsid w:val="002B37FA"/>
    <w:rsid w:val="002B3914"/>
    <w:rsid w:val="002B393E"/>
    <w:rsid w:val="002B3983"/>
    <w:rsid w:val="002B3EF9"/>
    <w:rsid w:val="002B3F31"/>
    <w:rsid w:val="002B4001"/>
    <w:rsid w:val="002B40B1"/>
    <w:rsid w:val="002B42A3"/>
    <w:rsid w:val="002B4389"/>
    <w:rsid w:val="002B4417"/>
    <w:rsid w:val="002B44F0"/>
    <w:rsid w:val="002B45D5"/>
    <w:rsid w:val="002B46EE"/>
    <w:rsid w:val="002B48EE"/>
    <w:rsid w:val="002B5E53"/>
    <w:rsid w:val="002B5F34"/>
    <w:rsid w:val="002B5F86"/>
    <w:rsid w:val="002B60FB"/>
    <w:rsid w:val="002B6786"/>
    <w:rsid w:val="002B680D"/>
    <w:rsid w:val="002B6B00"/>
    <w:rsid w:val="002B701E"/>
    <w:rsid w:val="002B70BD"/>
    <w:rsid w:val="002B73C7"/>
    <w:rsid w:val="002B74A1"/>
    <w:rsid w:val="002B753C"/>
    <w:rsid w:val="002B75F1"/>
    <w:rsid w:val="002B7651"/>
    <w:rsid w:val="002B7770"/>
    <w:rsid w:val="002B78A1"/>
    <w:rsid w:val="002B7BEB"/>
    <w:rsid w:val="002B7CE7"/>
    <w:rsid w:val="002C02AA"/>
    <w:rsid w:val="002C06D9"/>
    <w:rsid w:val="002C070D"/>
    <w:rsid w:val="002C0A5C"/>
    <w:rsid w:val="002C0BAE"/>
    <w:rsid w:val="002C0C50"/>
    <w:rsid w:val="002C0CDD"/>
    <w:rsid w:val="002C0D03"/>
    <w:rsid w:val="002C0EA9"/>
    <w:rsid w:val="002C10BC"/>
    <w:rsid w:val="002C18AF"/>
    <w:rsid w:val="002C1D9C"/>
    <w:rsid w:val="002C1DED"/>
    <w:rsid w:val="002C236C"/>
    <w:rsid w:val="002C260E"/>
    <w:rsid w:val="002C26DC"/>
    <w:rsid w:val="002C2995"/>
    <w:rsid w:val="002C2F3C"/>
    <w:rsid w:val="002C30D7"/>
    <w:rsid w:val="002C3473"/>
    <w:rsid w:val="002C39E2"/>
    <w:rsid w:val="002C3A9C"/>
    <w:rsid w:val="002C3D14"/>
    <w:rsid w:val="002C3F0E"/>
    <w:rsid w:val="002C3FBB"/>
    <w:rsid w:val="002C3FD9"/>
    <w:rsid w:val="002C3FE6"/>
    <w:rsid w:val="002C4017"/>
    <w:rsid w:val="002C44B7"/>
    <w:rsid w:val="002C4718"/>
    <w:rsid w:val="002C471C"/>
    <w:rsid w:val="002C4B03"/>
    <w:rsid w:val="002C4C18"/>
    <w:rsid w:val="002C5004"/>
    <w:rsid w:val="002C5696"/>
    <w:rsid w:val="002C58CB"/>
    <w:rsid w:val="002C5CB6"/>
    <w:rsid w:val="002C5CFC"/>
    <w:rsid w:val="002C5D85"/>
    <w:rsid w:val="002C5F34"/>
    <w:rsid w:val="002C5FB1"/>
    <w:rsid w:val="002C6459"/>
    <w:rsid w:val="002C6584"/>
    <w:rsid w:val="002C6746"/>
    <w:rsid w:val="002C6C7C"/>
    <w:rsid w:val="002C6CFB"/>
    <w:rsid w:val="002C72CC"/>
    <w:rsid w:val="002C7308"/>
    <w:rsid w:val="002C7552"/>
    <w:rsid w:val="002C7695"/>
    <w:rsid w:val="002C7E48"/>
    <w:rsid w:val="002D0327"/>
    <w:rsid w:val="002D0347"/>
    <w:rsid w:val="002D05EE"/>
    <w:rsid w:val="002D0A8A"/>
    <w:rsid w:val="002D0BD1"/>
    <w:rsid w:val="002D0C0A"/>
    <w:rsid w:val="002D0E8D"/>
    <w:rsid w:val="002D15B7"/>
    <w:rsid w:val="002D15CF"/>
    <w:rsid w:val="002D181F"/>
    <w:rsid w:val="002D1A04"/>
    <w:rsid w:val="002D1AFD"/>
    <w:rsid w:val="002D1D20"/>
    <w:rsid w:val="002D1D65"/>
    <w:rsid w:val="002D2107"/>
    <w:rsid w:val="002D2400"/>
    <w:rsid w:val="002D2461"/>
    <w:rsid w:val="002D24F6"/>
    <w:rsid w:val="002D2AB8"/>
    <w:rsid w:val="002D2B10"/>
    <w:rsid w:val="002D2B49"/>
    <w:rsid w:val="002D2E9B"/>
    <w:rsid w:val="002D2EAC"/>
    <w:rsid w:val="002D3879"/>
    <w:rsid w:val="002D3A57"/>
    <w:rsid w:val="002D3DE8"/>
    <w:rsid w:val="002D426E"/>
    <w:rsid w:val="002D4306"/>
    <w:rsid w:val="002D4C51"/>
    <w:rsid w:val="002D4DD4"/>
    <w:rsid w:val="002D4F07"/>
    <w:rsid w:val="002D4F55"/>
    <w:rsid w:val="002D50D5"/>
    <w:rsid w:val="002D5237"/>
    <w:rsid w:val="002D5685"/>
    <w:rsid w:val="002D58D4"/>
    <w:rsid w:val="002D5987"/>
    <w:rsid w:val="002D5FEA"/>
    <w:rsid w:val="002D600B"/>
    <w:rsid w:val="002D6416"/>
    <w:rsid w:val="002D66AB"/>
    <w:rsid w:val="002D67A8"/>
    <w:rsid w:val="002D6819"/>
    <w:rsid w:val="002D6BD3"/>
    <w:rsid w:val="002D6E6A"/>
    <w:rsid w:val="002D70EE"/>
    <w:rsid w:val="002D71AC"/>
    <w:rsid w:val="002D7707"/>
    <w:rsid w:val="002D7B3E"/>
    <w:rsid w:val="002E0382"/>
    <w:rsid w:val="002E0C73"/>
    <w:rsid w:val="002E0D09"/>
    <w:rsid w:val="002E0F69"/>
    <w:rsid w:val="002E10C5"/>
    <w:rsid w:val="002E14B5"/>
    <w:rsid w:val="002E158A"/>
    <w:rsid w:val="002E15B5"/>
    <w:rsid w:val="002E1950"/>
    <w:rsid w:val="002E19A3"/>
    <w:rsid w:val="002E1A11"/>
    <w:rsid w:val="002E1A1D"/>
    <w:rsid w:val="002E1A6A"/>
    <w:rsid w:val="002E1AEB"/>
    <w:rsid w:val="002E1DBF"/>
    <w:rsid w:val="002E1ED7"/>
    <w:rsid w:val="002E23D7"/>
    <w:rsid w:val="002E250B"/>
    <w:rsid w:val="002E269F"/>
    <w:rsid w:val="002E2777"/>
    <w:rsid w:val="002E2951"/>
    <w:rsid w:val="002E32E9"/>
    <w:rsid w:val="002E330D"/>
    <w:rsid w:val="002E33E0"/>
    <w:rsid w:val="002E3425"/>
    <w:rsid w:val="002E345E"/>
    <w:rsid w:val="002E3942"/>
    <w:rsid w:val="002E3B30"/>
    <w:rsid w:val="002E3BAF"/>
    <w:rsid w:val="002E3BBE"/>
    <w:rsid w:val="002E4081"/>
    <w:rsid w:val="002E408D"/>
    <w:rsid w:val="002E41F8"/>
    <w:rsid w:val="002E42C2"/>
    <w:rsid w:val="002E4A49"/>
    <w:rsid w:val="002E4CCE"/>
    <w:rsid w:val="002E4FB1"/>
    <w:rsid w:val="002E5224"/>
    <w:rsid w:val="002E5235"/>
    <w:rsid w:val="002E5752"/>
    <w:rsid w:val="002E57F7"/>
    <w:rsid w:val="002E58C7"/>
    <w:rsid w:val="002E5B78"/>
    <w:rsid w:val="002E5C1D"/>
    <w:rsid w:val="002E5E0E"/>
    <w:rsid w:val="002E5FC4"/>
    <w:rsid w:val="002E6020"/>
    <w:rsid w:val="002E6080"/>
    <w:rsid w:val="002E60F2"/>
    <w:rsid w:val="002E613A"/>
    <w:rsid w:val="002E63CB"/>
    <w:rsid w:val="002E64A2"/>
    <w:rsid w:val="002E6B44"/>
    <w:rsid w:val="002E6B95"/>
    <w:rsid w:val="002E6BB3"/>
    <w:rsid w:val="002E6BD5"/>
    <w:rsid w:val="002E6F91"/>
    <w:rsid w:val="002E75F4"/>
    <w:rsid w:val="002E7882"/>
    <w:rsid w:val="002E7BDE"/>
    <w:rsid w:val="002E7CAE"/>
    <w:rsid w:val="002E7D67"/>
    <w:rsid w:val="002E7DEF"/>
    <w:rsid w:val="002F0284"/>
    <w:rsid w:val="002F0466"/>
    <w:rsid w:val="002F0635"/>
    <w:rsid w:val="002F087B"/>
    <w:rsid w:val="002F0A7D"/>
    <w:rsid w:val="002F0A93"/>
    <w:rsid w:val="002F0AC1"/>
    <w:rsid w:val="002F0F74"/>
    <w:rsid w:val="002F0FC4"/>
    <w:rsid w:val="002F190C"/>
    <w:rsid w:val="002F1928"/>
    <w:rsid w:val="002F1D15"/>
    <w:rsid w:val="002F1EFA"/>
    <w:rsid w:val="002F1F4C"/>
    <w:rsid w:val="002F2407"/>
    <w:rsid w:val="002F2583"/>
    <w:rsid w:val="002F287D"/>
    <w:rsid w:val="002F2B4E"/>
    <w:rsid w:val="002F3482"/>
    <w:rsid w:val="002F3618"/>
    <w:rsid w:val="002F3641"/>
    <w:rsid w:val="002F36CE"/>
    <w:rsid w:val="002F38A9"/>
    <w:rsid w:val="002F390E"/>
    <w:rsid w:val="002F397F"/>
    <w:rsid w:val="002F3A79"/>
    <w:rsid w:val="002F3AE3"/>
    <w:rsid w:val="002F3B7B"/>
    <w:rsid w:val="002F3E1C"/>
    <w:rsid w:val="002F3E6C"/>
    <w:rsid w:val="002F3FA7"/>
    <w:rsid w:val="002F43AE"/>
    <w:rsid w:val="002F4467"/>
    <w:rsid w:val="002F4712"/>
    <w:rsid w:val="002F4823"/>
    <w:rsid w:val="002F4859"/>
    <w:rsid w:val="002F4A4C"/>
    <w:rsid w:val="002F4A76"/>
    <w:rsid w:val="002F4BA1"/>
    <w:rsid w:val="002F4E8C"/>
    <w:rsid w:val="002F5391"/>
    <w:rsid w:val="002F5578"/>
    <w:rsid w:val="002F58C1"/>
    <w:rsid w:val="002F5B9B"/>
    <w:rsid w:val="002F5CBA"/>
    <w:rsid w:val="002F5EC9"/>
    <w:rsid w:val="002F5F8E"/>
    <w:rsid w:val="002F62B7"/>
    <w:rsid w:val="002F66DB"/>
    <w:rsid w:val="002F68BD"/>
    <w:rsid w:val="002F6AEA"/>
    <w:rsid w:val="002F6D26"/>
    <w:rsid w:val="002F6DF0"/>
    <w:rsid w:val="002F6F7E"/>
    <w:rsid w:val="002F70AA"/>
    <w:rsid w:val="002F7396"/>
    <w:rsid w:val="002F7423"/>
    <w:rsid w:val="002F78DB"/>
    <w:rsid w:val="002F7C82"/>
    <w:rsid w:val="002F7F63"/>
    <w:rsid w:val="00300BA0"/>
    <w:rsid w:val="00301020"/>
    <w:rsid w:val="00301303"/>
    <w:rsid w:val="003013D8"/>
    <w:rsid w:val="003014A3"/>
    <w:rsid w:val="00301589"/>
    <w:rsid w:val="00301651"/>
    <w:rsid w:val="003016A3"/>
    <w:rsid w:val="003018FE"/>
    <w:rsid w:val="00301FCC"/>
    <w:rsid w:val="0030200A"/>
    <w:rsid w:val="00302129"/>
    <w:rsid w:val="003025F9"/>
    <w:rsid w:val="00302B49"/>
    <w:rsid w:val="00302B63"/>
    <w:rsid w:val="00302C1E"/>
    <w:rsid w:val="00302C32"/>
    <w:rsid w:val="00302CF8"/>
    <w:rsid w:val="003030F1"/>
    <w:rsid w:val="003031A7"/>
    <w:rsid w:val="00303256"/>
    <w:rsid w:val="0030351C"/>
    <w:rsid w:val="003035CA"/>
    <w:rsid w:val="00303896"/>
    <w:rsid w:val="003038C7"/>
    <w:rsid w:val="00303ABB"/>
    <w:rsid w:val="00303CDC"/>
    <w:rsid w:val="003043D4"/>
    <w:rsid w:val="00304578"/>
    <w:rsid w:val="0030464B"/>
    <w:rsid w:val="00304682"/>
    <w:rsid w:val="003046BC"/>
    <w:rsid w:val="00304CA3"/>
    <w:rsid w:val="0030554B"/>
    <w:rsid w:val="003057B3"/>
    <w:rsid w:val="00305858"/>
    <w:rsid w:val="003059B5"/>
    <w:rsid w:val="00305BBC"/>
    <w:rsid w:val="00305C81"/>
    <w:rsid w:val="00305CD1"/>
    <w:rsid w:val="003061FE"/>
    <w:rsid w:val="00306A95"/>
    <w:rsid w:val="00306B0A"/>
    <w:rsid w:val="00306C5B"/>
    <w:rsid w:val="00306CE3"/>
    <w:rsid w:val="00306D91"/>
    <w:rsid w:val="00306E86"/>
    <w:rsid w:val="00306E9C"/>
    <w:rsid w:val="00306F28"/>
    <w:rsid w:val="00306F90"/>
    <w:rsid w:val="00307053"/>
    <w:rsid w:val="0030723D"/>
    <w:rsid w:val="0030756A"/>
    <w:rsid w:val="003077B5"/>
    <w:rsid w:val="0030786C"/>
    <w:rsid w:val="00307A61"/>
    <w:rsid w:val="00307C42"/>
    <w:rsid w:val="00307CC4"/>
    <w:rsid w:val="00307F65"/>
    <w:rsid w:val="00307FC8"/>
    <w:rsid w:val="0031004D"/>
    <w:rsid w:val="00310056"/>
    <w:rsid w:val="00310095"/>
    <w:rsid w:val="00310142"/>
    <w:rsid w:val="003101E6"/>
    <w:rsid w:val="0031026A"/>
    <w:rsid w:val="003102A2"/>
    <w:rsid w:val="003102E9"/>
    <w:rsid w:val="003103C8"/>
    <w:rsid w:val="003106C4"/>
    <w:rsid w:val="0031079F"/>
    <w:rsid w:val="00310A2D"/>
    <w:rsid w:val="00310D60"/>
    <w:rsid w:val="00310DBE"/>
    <w:rsid w:val="00310DBF"/>
    <w:rsid w:val="00310F61"/>
    <w:rsid w:val="00310FE3"/>
    <w:rsid w:val="00311524"/>
    <w:rsid w:val="00311764"/>
    <w:rsid w:val="00311C7E"/>
    <w:rsid w:val="00311C8B"/>
    <w:rsid w:val="00311E45"/>
    <w:rsid w:val="00311E93"/>
    <w:rsid w:val="00311EC8"/>
    <w:rsid w:val="00312053"/>
    <w:rsid w:val="00312084"/>
    <w:rsid w:val="003121CF"/>
    <w:rsid w:val="0031220B"/>
    <w:rsid w:val="00312219"/>
    <w:rsid w:val="003122EA"/>
    <w:rsid w:val="00312615"/>
    <w:rsid w:val="0031274E"/>
    <w:rsid w:val="00312AF0"/>
    <w:rsid w:val="00312DA8"/>
    <w:rsid w:val="00312E19"/>
    <w:rsid w:val="00312FFA"/>
    <w:rsid w:val="0031309C"/>
    <w:rsid w:val="0031342C"/>
    <w:rsid w:val="00313B6C"/>
    <w:rsid w:val="00313C4C"/>
    <w:rsid w:val="00314202"/>
    <w:rsid w:val="003143B8"/>
    <w:rsid w:val="00314821"/>
    <w:rsid w:val="00314A0E"/>
    <w:rsid w:val="00314E65"/>
    <w:rsid w:val="0031501A"/>
    <w:rsid w:val="003152CB"/>
    <w:rsid w:val="0031532D"/>
    <w:rsid w:val="00315882"/>
    <w:rsid w:val="00315CC3"/>
    <w:rsid w:val="00315FF2"/>
    <w:rsid w:val="003165CF"/>
    <w:rsid w:val="00316657"/>
    <w:rsid w:val="00316686"/>
    <w:rsid w:val="003168A0"/>
    <w:rsid w:val="00316C22"/>
    <w:rsid w:val="00316E12"/>
    <w:rsid w:val="00316EFD"/>
    <w:rsid w:val="00316FB2"/>
    <w:rsid w:val="003171FD"/>
    <w:rsid w:val="00317750"/>
    <w:rsid w:val="003178EA"/>
    <w:rsid w:val="00317918"/>
    <w:rsid w:val="00317A9C"/>
    <w:rsid w:val="00317F30"/>
    <w:rsid w:val="0032014A"/>
    <w:rsid w:val="003201D3"/>
    <w:rsid w:val="00320254"/>
    <w:rsid w:val="0032085F"/>
    <w:rsid w:val="00320C66"/>
    <w:rsid w:val="00320D7D"/>
    <w:rsid w:val="00320F66"/>
    <w:rsid w:val="00320FB4"/>
    <w:rsid w:val="00321014"/>
    <w:rsid w:val="0032112F"/>
    <w:rsid w:val="003212D6"/>
    <w:rsid w:val="003216C5"/>
    <w:rsid w:val="0032187F"/>
    <w:rsid w:val="00321E4B"/>
    <w:rsid w:val="00321F4D"/>
    <w:rsid w:val="00322259"/>
    <w:rsid w:val="00322571"/>
    <w:rsid w:val="003225CC"/>
    <w:rsid w:val="00322662"/>
    <w:rsid w:val="003226B7"/>
    <w:rsid w:val="00322740"/>
    <w:rsid w:val="00322814"/>
    <w:rsid w:val="00322973"/>
    <w:rsid w:val="00322A3B"/>
    <w:rsid w:val="00322AEF"/>
    <w:rsid w:val="00322E25"/>
    <w:rsid w:val="003230C6"/>
    <w:rsid w:val="0032311F"/>
    <w:rsid w:val="00323134"/>
    <w:rsid w:val="003231EE"/>
    <w:rsid w:val="00323270"/>
    <w:rsid w:val="0032334C"/>
    <w:rsid w:val="00323351"/>
    <w:rsid w:val="003233DE"/>
    <w:rsid w:val="003234F6"/>
    <w:rsid w:val="003234FB"/>
    <w:rsid w:val="0032360E"/>
    <w:rsid w:val="003237F7"/>
    <w:rsid w:val="00323A1F"/>
    <w:rsid w:val="00323CBC"/>
    <w:rsid w:val="00323F23"/>
    <w:rsid w:val="00324182"/>
    <w:rsid w:val="003241BC"/>
    <w:rsid w:val="003244EE"/>
    <w:rsid w:val="003245E1"/>
    <w:rsid w:val="0032466B"/>
    <w:rsid w:val="0032478F"/>
    <w:rsid w:val="003248C7"/>
    <w:rsid w:val="0032493E"/>
    <w:rsid w:val="0032496F"/>
    <w:rsid w:val="003249C8"/>
    <w:rsid w:val="00324E6B"/>
    <w:rsid w:val="00324E85"/>
    <w:rsid w:val="003250C6"/>
    <w:rsid w:val="003251E5"/>
    <w:rsid w:val="003251FF"/>
    <w:rsid w:val="00325590"/>
    <w:rsid w:val="00325660"/>
    <w:rsid w:val="003256E4"/>
    <w:rsid w:val="00325761"/>
    <w:rsid w:val="003257CB"/>
    <w:rsid w:val="00325909"/>
    <w:rsid w:val="00325EEE"/>
    <w:rsid w:val="0032607B"/>
    <w:rsid w:val="003262AD"/>
    <w:rsid w:val="00326321"/>
    <w:rsid w:val="0032647F"/>
    <w:rsid w:val="003267FC"/>
    <w:rsid w:val="00326888"/>
    <w:rsid w:val="00326D7D"/>
    <w:rsid w:val="00326FD8"/>
    <w:rsid w:val="00327054"/>
    <w:rsid w:val="0032721D"/>
    <w:rsid w:val="003273C3"/>
    <w:rsid w:val="00327477"/>
    <w:rsid w:val="0032755E"/>
    <w:rsid w:val="0032768F"/>
    <w:rsid w:val="00327B44"/>
    <w:rsid w:val="00327B4F"/>
    <w:rsid w:val="00327CEF"/>
    <w:rsid w:val="0032DEEB"/>
    <w:rsid w:val="003307F6"/>
    <w:rsid w:val="00330963"/>
    <w:rsid w:val="00330AC0"/>
    <w:rsid w:val="00330D41"/>
    <w:rsid w:val="00330DB1"/>
    <w:rsid w:val="00330E08"/>
    <w:rsid w:val="00331040"/>
    <w:rsid w:val="00331213"/>
    <w:rsid w:val="003314D3"/>
    <w:rsid w:val="003314E1"/>
    <w:rsid w:val="003317AE"/>
    <w:rsid w:val="00331983"/>
    <w:rsid w:val="003319D9"/>
    <w:rsid w:val="00331B85"/>
    <w:rsid w:val="00331C6D"/>
    <w:rsid w:val="00331D06"/>
    <w:rsid w:val="00331D25"/>
    <w:rsid w:val="00331D8D"/>
    <w:rsid w:val="00332306"/>
    <w:rsid w:val="003325CF"/>
    <w:rsid w:val="00332AFD"/>
    <w:rsid w:val="00332EE7"/>
    <w:rsid w:val="00332F52"/>
    <w:rsid w:val="003330EB"/>
    <w:rsid w:val="00333725"/>
    <w:rsid w:val="003338BD"/>
    <w:rsid w:val="00333D90"/>
    <w:rsid w:val="00333E88"/>
    <w:rsid w:val="00333FED"/>
    <w:rsid w:val="00334086"/>
    <w:rsid w:val="003341E2"/>
    <w:rsid w:val="00334349"/>
    <w:rsid w:val="00334614"/>
    <w:rsid w:val="0033469D"/>
    <w:rsid w:val="0033482D"/>
    <w:rsid w:val="00334DCC"/>
    <w:rsid w:val="00334E40"/>
    <w:rsid w:val="00334F3F"/>
    <w:rsid w:val="00335439"/>
    <w:rsid w:val="003356CA"/>
    <w:rsid w:val="003359F7"/>
    <w:rsid w:val="00335BC1"/>
    <w:rsid w:val="00335C92"/>
    <w:rsid w:val="00336023"/>
    <w:rsid w:val="003363C8"/>
    <w:rsid w:val="0033649D"/>
    <w:rsid w:val="00336605"/>
    <w:rsid w:val="00336617"/>
    <w:rsid w:val="003366DF"/>
    <w:rsid w:val="003366E7"/>
    <w:rsid w:val="00336772"/>
    <w:rsid w:val="003368A0"/>
    <w:rsid w:val="003368FE"/>
    <w:rsid w:val="00336ACC"/>
    <w:rsid w:val="00336CEE"/>
    <w:rsid w:val="00336D5E"/>
    <w:rsid w:val="0033710C"/>
    <w:rsid w:val="003372B5"/>
    <w:rsid w:val="0033733C"/>
    <w:rsid w:val="0033757E"/>
    <w:rsid w:val="0033776F"/>
    <w:rsid w:val="00337C33"/>
    <w:rsid w:val="00337C6C"/>
    <w:rsid w:val="00337D25"/>
    <w:rsid w:val="00337D87"/>
    <w:rsid w:val="00337F0C"/>
    <w:rsid w:val="003400B0"/>
    <w:rsid w:val="0034021E"/>
    <w:rsid w:val="003402A7"/>
    <w:rsid w:val="003402CD"/>
    <w:rsid w:val="003402EB"/>
    <w:rsid w:val="003403EF"/>
    <w:rsid w:val="00340485"/>
    <w:rsid w:val="003404C7"/>
    <w:rsid w:val="0034085C"/>
    <w:rsid w:val="00340A78"/>
    <w:rsid w:val="00340BA9"/>
    <w:rsid w:val="00340C7B"/>
    <w:rsid w:val="003410D9"/>
    <w:rsid w:val="0034132D"/>
    <w:rsid w:val="00341437"/>
    <w:rsid w:val="0034152D"/>
    <w:rsid w:val="00341568"/>
    <w:rsid w:val="003415FD"/>
    <w:rsid w:val="00341AD2"/>
    <w:rsid w:val="00341BDF"/>
    <w:rsid w:val="00341CD2"/>
    <w:rsid w:val="00341DCB"/>
    <w:rsid w:val="00342133"/>
    <w:rsid w:val="0034225B"/>
    <w:rsid w:val="003424E3"/>
    <w:rsid w:val="00342659"/>
    <w:rsid w:val="00342767"/>
    <w:rsid w:val="00342974"/>
    <w:rsid w:val="003429F0"/>
    <w:rsid w:val="003432F6"/>
    <w:rsid w:val="003436F9"/>
    <w:rsid w:val="00343742"/>
    <w:rsid w:val="00343761"/>
    <w:rsid w:val="00343983"/>
    <w:rsid w:val="00343A78"/>
    <w:rsid w:val="00343C1D"/>
    <w:rsid w:val="00343CF5"/>
    <w:rsid w:val="00344027"/>
    <w:rsid w:val="003442A1"/>
    <w:rsid w:val="0034435F"/>
    <w:rsid w:val="00344625"/>
    <w:rsid w:val="00344CC9"/>
    <w:rsid w:val="00344EFB"/>
    <w:rsid w:val="00345280"/>
    <w:rsid w:val="00345B8F"/>
    <w:rsid w:val="00345E42"/>
    <w:rsid w:val="0034601C"/>
    <w:rsid w:val="0034676A"/>
    <w:rsid w:val="00346989"/>
    <w:rsid w:val="00346E25"/>
    <w:rsid w:val="00346E7E"/>
    <w:rsid w:val="00346F4E"/>
    <w:rsid w:val="00347099"/>
    <w:rsid w:val="003471B8"/>
    <w:rsid w:val="0034737A"/>
    <w:rsid w:val="003476AB"/>
    <w:rsid w:val="0034778F"/>
    <w:rsid w:val="00347955"/>
    <w:rsid w:val="003479A2"/>
    <w:rsid w:val="00347BEF"/>
    <w:rsid w:val="00347C55"/>
    <w:rsid w:val="00347D5C"/>
    <w:rsid w:val="00347E0B"/>
    <w:rsid w:val="00347EB8"/>
    <w:rsid w:val="00347FC2"/>
    <w:rsid w:val="003503A9"/>
    <w:rsid w:val="00350583"/>
    <w:rsid w:val="003505E4"/>
    <w:rsid w:val="0035074A"/>
    <w:rsid w:val="0035097A"/>
    <w:rsid w:val="00350C9A"/>
    <w:rsid w:val="00350D82"/>
    <w:rsid w:val="0035100F"/>
    <w:rsid w:val="003511B3"/>
    <w:rsid w:val="003512AA"/>
    <w:rsid w:val="003513E2"/>
    <w:rsid w:val="00351436"/>
    <w:rsid w:val="00351565"/>
    <w:rsid w:val="00351571"/>
    <w:rsid w:val="003516D7"/>
    <w:rsid w:val="003518CF"/>
    <w:rsid w:val="00351DC6"/>
    <w:rsid w:val="00352070"/>
    <w:rsid w:val="003521B5"/>
    <w:rsid w:val="00352240"/>
    <w:rsid w:val="00352936"/>
    <w:rsid w:val="0035295D"/>
    <w:rsid w:val="00352A22"/>
    <w:rsid w:val="00352AB7"/>
    <w:rsid w:val="00352ABE"/>
    <w:rsid w:val="00352C4F"/>
    <w:rsid w:val="0035323D"/>
    <w:rsid w:val="00353371"/>
    <w:rsid w:val="0035398D"/>
    <w:rsid w:val="00353BC7"/>
    <w:rsid w:val="00353C2E"/>
    <w:rsid w:val="00353CD7"/>
    <w:rsid w:val="00353D27"/>
    <w:rsid w:val="003540A4"/>
    <w:rsid w:val="003541AB"/>
    <w:rsid w:val="003541D5"/>
    <w:rsid w:val="0035439F"/>
    <w:rsid w:val="003545A9"/>
    <w:rsid w:val="00354779"/>
    <w:rsid w:val="0035482A"/>
    <w:rsid w:val="0035495D"/>
    <w:rsid w:val="00354CA1"/>
    <w:rsid w:val="00355589"/>
    <w:rsid w:val="00355630"/>
    <w:rsid w:val="00355982"/>
    <w:rsid w:val="00355A46"/>
    <w:rsid w:val="00355AA6"/>
    <w:rsid w:val="00355D5D"/>
    <w:rsid w:val="00355F85"/>
    <w:rsid w:val="00356116"/>
    <w:rsid w:val="00356290"/>
    <w:rsid w:val="003564D3"/>
    <w:rsid w:val="00356610"/>
    <w:rsid w:val="0035697A"/>
    <w:rsid w:val="00356A1A"/>
    <w:rsid w:val="00356B89"/>
    <w:rsid w:val="00356C19"/>
    <w:rsid w:val="003572DE"/>
    <w:rsid w:val="003575A9"/>
    <w:rsid w:val="00357713"/>
    <w:rsid w:val="0035786C"/>
    <w:rsid w:val="0035790E"/>
    <w:rsid w:val="00357A01"/>
    <w:rsid w:val="00357B22"/>
    <w:rsid w:val="00357BB0"/>
    <w:rsid w:val="00357C59"/>
    <w:rsid w:val="00357D77"/>
    <w:rsid w:val="00360484"/>
    <w:rsid w:val="0036050E"/>
    <w:rsid w:val="00360CD7"/>
    <w:rsid w:val="00360E4E"/>
    <w:rsid w:val="00361068"/>
    <w:rsid w:val="0036115E"/>
    <w:rsid w:val="00361265"/>
    <w:rsid w:val="003613A3"/>
    <w:rsid w:val="003616D9"/>
    <w:rsid w:val="0036175B"/>
    <w:rsid w:val="00361DA7"/>
    <w:rsid w:val="00361F25"/>
    <w:rsid w:val="003622AF"/>
    <w:rsid w:val="00362CD7"/>
    <w:rsid w:val="00362DC5"/>
    <w:rsid w:val="00362DF0"/>
    <w:rsid w:val="00362ED1"/>
    <w:rsid w:val="0036319F"/>
    <w:rsid w:val="00363632"/>
    <w:rsid w:val="00363811"/>
    <w:rsid w:val="00363828"/>
    <w:rsid w:val="00363962"/>
    <w:rsid w:val="00363C15"/>
    <w:rsid w:val="00363CA0"/>
    <w:rsid w:val="00363DBE"/>
    <w:rsid w:val="00363E0C"/>
    <w:rsid w:val="00363F3B"/>
    <w:rsid w:val="00364052"/>
    <w:rsid w:val="00364242"/>
    <w:rsid w:val="003645A4"/>
    <w:rsid w:val="003646CD"/>
    <w:rsid w:val="003648E8"/>
    <w:rsid w:val="00364ACB"/>
    <w:rsid w:val="00364DD6"/>
    <w:rsid w:val="00364DFF"/>
    <w:rsid w:val="00364E5E"/>
    <w:rsid w:val="00364EC9"/>
    <w:rsid w:val="00364EF0"/>
    <w:rsid w:val="00364F0A"/>
    <w:rsid w:val="00364FC8"/>
    <w:rsid w:val="00364FF5"/>
    <w:rsid w:val="003653E0"/>
    <w:rsid w:val="00365433"/>
    <w:rsid w:val="003654A1"/>
    <w:rsid w:val="0036550F"/>
    <w:rsid w:val="00365867"/>
    <w:rsid w:val="003658EA"/>
    <w:rsid w:val="003658F7"/>
    <w:rsid w:val="00365AEB"/>
    <w:rsid w:val="00365CDC"/>
    <w:rsid w:val="00365DDC"/>
    <w:rsid w:val="00366203"/>
    <w:rsid w:val="003664B2"/>
    <w:rsid w:val="003668FD"/>
    <w:rsid w:val="00366E0D"/>
    <w:rsid w:val="00367140"/>
    <w:rsid w:val="00367446"/>
    <w:rsid w:val="00367744"/>
    <w:rsid w:val="00367801"/>
    <w:rsid w:val="00367B08"/>
    <w:rsid w:val="00367DA3"/>
    <w:rsid w:val="00367EF9"/>
    <w:rsid w:val="00370018"/>
    <w:rsid w:val="00370234"/>
    <w:rsid w:val="00370355"/>
    <w:rsid w:val="003706F1"/>
    <w:rsid w:val="0037082D"/>
    <w:rsid w:val="00370984"/>
    <w:rsid w:val="00370A3D"/>
    <w:rsid w:val="00370AA5"/>
    <w:rsid w:val="00370AAA"/>
    <w:rsid w:val="00370CE7"/>
    <w:rsid w:val="00370D25"/>
    <w:rsid w:val="00371157"/>
    <w:rsid w:val="003712E4"/>
    <w:rsid w:val="00371560"/>
    <w:rsid w:val="003717B7"/>
    <w:rsid w:val="00371A5C"/>
    <w:rsid w:val="00371BD6"/>
    <w:rsid w:val="00371D7B"/>
    <w:rsid w:val="00371DB7"/>
    <w:rsid w:val="003720CF"/>
    <w:rsid w:val="003720FF"/>
    <w:rsid w:val="00372159"/>
    <w:rsid w:val="003722FB"/>
    <w:rsid w:val="00372B9A"/>
    <w:rsid w:val="00372D33"/>
    <w:rsid w:val="00372DE2"/>
    <w:rsid w:val="00372E53"/>
    <w:rsid w:val="00372F7E"/>
    <w:rsid w:val="003730B8"/>
    <w:rsid w:val="00373573"/>
    <w:rsid w:val="003735F7"/>
    <w:rsid w:val="00373689"/>
    <w:rsid w:val="003736E3"/>
    <w:rsid w:val="003736E8"/>
    <w:rsid w:val="00373790"/>
    <w:rsid w:val="003738AB"/>
    <w:rsid w:val="00373935"/>
    <w:rsid w:val="00373990"/>
    <w:rsid w:val="00373D09"/>
    <w:rsid w:val="00373EDD"/>
    <w:rsid w:val="003743B9"/>
    <w:rsid w:val="0037454C"/>
    <w:rsid w:val="0037454E"/>
    <w:rsid w:val="00374745"/>
    <w:rsid w:val="00374775"/>
    <w:rsid w:val="003747F3"/>
    <w:rsid w:val="0037487A"/>
    <w:rsid w:val="00374F73"/>
    <w:rsid w:val="003754AB"/>
    <w:rsid w:val="0037561F"/>
    <w:rsid w:val="00375AC8"/>
    <w:rsid w:val="00375F77"/>
    <w:rsid w:val="0037616E"/>
    <w:rsid w:val="003763A5"/>
    <w:rsid w:val="0037647C"/>
    <w:rsid w:val="00376703"/>
    <w:rsid w:val="00376B8B"/>
    <w:rsid w:val="00376BDE"/>
    <w:rsid w:val="00376EDB"/>
    <w:rsid w:val="00376EF4"/>
    <w:rsid w:val="00377063"/>
    <w:rsid w:val="00377103"/>
    <w:rsid w:val="003772BA"/>
    <w:rsid w:val="003772C6"/>
    <w:rsid w:val="0037730B"/>
    <w:rsid w:val="0037746A"/>
    <w:rsid w:val="00377711"/>
    <w:rsid w:val="003779EA"/>
    <w:rsid w:val="00377A3D"/>
    <w:rsid w:val="00377A78"/>
    <w:rsid w:val="00377C48"/>
    <w:rsid w:val="00377DB2"/>
    <w:rsid w:val="0037A8ED"/>
    <w:rsid w:val="00380066"/>
    <w:rsid w:val="00380078"/>
    <w:rsid w:val="003800F9"/>
    <w:rsid w:val="003801AD"/>
    <w:rsid w:val="003803F7"/>
    <w:rsid w:val="003804B5"/>
    <w:rsid w:val="00380604"/>
    <w:rsid w:val="003807A8"/>
    <w:rsid w:val="00380C78"/>
    <w:rsid w:val="00380DC5"/>
    <w:rsid w:val="0038131D"/>
    <w:rsid w:val="003816FB"/>
    <w:rsid w:val="003817A5"/>
    <w:rsid w:val="00381B64"/>
    <w:rsid w:val="00381BBE"/>
    <w:rsid w:val="00381E9D"/>
    <w:rsid w:val="00381FA8"/>
    <w:rsid w:val="00382053"/>
    <w:rsid w:val="00382579"/>
    <w:rsid w:val="00382903"/>
    <w:rsid w:val="00382AD2"/>
    <w:rsid w:val="00382BC7"/>
    <w:rsid w:val="00382BD5"/>
    <w:rsid w:val="00382EE2"/>
    <w:rsid w:val="003838F8"/>
    <w:rsid w:val="00383B61"/>
    <w:rsid w:val="00383E35"/>
    <w:rsid w:val="0038418A"/>
    <w:rsid w:val="003841E5"/>
    <w:rsid w:val="0038440D"/>
    <w:rsid w:val="0038452B"/>
    <w:rsid w:val="00384653"/>
    <w:rsid w:val="003846FF"/>
    <w:rsid w:val="00384AB7"/>
    <w:rsid w:val="00384BF6"/>
    <w:rsid w:val="00384D72"/>
    <w:rsid w:val="00384E25"/>
    <w:rsid w:val="00384ED4"/>
    <w:rsid w:val="0038527B"/>
    <w:rsid w:val="0038560C"/>
    <w:rsid w:val="0038573F"/>
    <w:rsid w:val="0038589E"/>
    <w:rsid w:val="00385AD4"/>
    <w:rsid w:val="00385C51"/>
    <w:rsid w:val="00385DD8"/>
    <w:rsid w:val="00385E7F"/>
    <w:rsid w:val="00385F1D"/>
    <w:rsid w:val="00385FEE"/>
    <w:rsid w:val="0038614D"/>
    <w:rsid w:val="0038620F"/>
    <w:rsid w:val="003865EC"/>
    <w:rsid w:val="003868B5"/>
    <w:rsid w:val="003869BB"/>
    <w:rsid w:val="00386B5C"/>
    <w:rsid w:val="00386D1C"/>
    <w:rsid w:val="00386E28"/>
    <w:rsid w:val="003872D2"/>
    <w:rsid w:val="0038762B"/>
    <w:rsid w:val="0038765F"/>
    <w:rsid w:val="00387694"/>
    <w:rsid w:val="00387778"/>
    <w:rsid w:val="00387785"/>
    <w:rsid w:val="00387803"/>
    <w:rsid w:val="00387924"/>
    <w:rsid w:val="00387B65"/>
    <w:rsid w:val="00387E6E"/>
    <w:rsid w:val="00387F4B"/>
    <w:rsid w:val="003901A8"/>
    <w:rsid w:val="00390357"/>
    <w:rsid w:val="003904BC"/>
    <w:rsid w:val="00390642"/>
    <w:rsid w:val="00390782"/>
    <w:rsid w:val="00390850"/>
    <w:rsid w:val="00390EF0"/>
    <w:rsid w:val="003910F1"/>
    <w:rsid w:val="00391214"/>
    <w:rsid w:val="003918C9"/>
    <w:rsid w:val="00391919"/>
    <w:rsid w:val="00391BEB"/>
    <w:rsid w:val="00391DDB"/>
    <w:rsid w:val="0039210E"/>
    <w:rsid w:val="003922C1"/>
    <w:rsid w:val="00392562"/>
    <w:rsid w:val="003925B9"/>
    <w:rsid w:val="00392910"/>
    <w:rsid w:val="00392B3E"/>
    <w:rsid w:val="00392FE0"/>
    <w:rsid w:val="003931FC"/>
    <w:rsid w:val="0039320B"/>
    <w:rsid w:val="003933B5"/>
    <w:rsid w:val="0039384D"/>
    <w:rsid w:val="0039388C"/>
    <w:rsid w:val="00393937"/>
    <w:rsid w:val="00393B86"/>
    <w:rsid w:val="00393B94"/>
    <w:rsid w:val="00394393"/>
    <w:rsid w:val="003943F0"/>
    <w:rsid w:val="003945B7"/>
    <w:rsid w:val="003945DB"/>
    <w:rsid w:val="00394622"/>
    <w:rsid w:val="0039479B"/>
    <w:rsid w:val="00394A04"/>
    <w:rsid w:val="00394A87"/>
    <w:rsid w:val="00394B30"/>
    <w:rsid w:val="00394C3F"/>
    <w:rsid w:val="00394DC5"/>
    <w:rsid w:val="0039500C"/>
    <w:rsid w:val="003950E7"/>
    <w:rsid w:val="0039525C"/>
    <w:rsid w:val="003952E9"/>
    <w:rsid w:val="00395366"/>
    <w:rsid w:val="0039550C"/>
    <w:rsid w:val="0039575B"/>
    <w:rsid w:val="00395A71"/>
    <w:rsid w:val="00395B98"/>
    <w:rsid w:val="00395C23"/>
    <w:rsid w:val="00395E08"/>
    <w:rsid w:val="00395E1C"/>
    <w:rsid w:val="00395F8C"/>
    <w:rsid w:val="00396063"/>
    <w:rsid w:val="0039639E"/>
    <w:rsid w:val="00396699"/>
    <w:rsid w:val="003969A8"/>
    <w:rsid w:val="00396F5C"/>
    <w:rsid w:val="00397197"/>
    <w:rsid w:val="00397863"/>
    <w:rsid w:val="00397BE8"/>
    <w:rsid w:val="00397FA2"/>
    <w:rsid w:val="003A0096"/>
    <w:rsid w:val="003A0698"/>
    <w:rsid w:val="003A073A"/>
    <w:rsid w:val="003A0785"/>
    <w:rsid w:val="003A0838"/>
    <w:rsid w:val="003A090C"/>
    <w:rsid w:val="003A0AEA"/>
    <w:rsid w:val="003A0B92"/>
    <w:rsid w:val="003A0CCF"/>
    <w:rsid w:val="003A0DC3"/>
    <w:rsid w:val="003A0F8C"/>
    <w:rsid w:val="003A0FA9"/>
    <w:rsid w:val="003A1987"/>
    <w:rsid w:val="003A1B2D"/>
    <w:rsid w:val="003A1EEA"/>
    <w:rsid w:val="003A208C"/>
    <w:rsid w:val="003A21C9"/>
    <w:rsid w:val="003A2392"/>
    <w:rsid w:val="003A256D"/>
    <w:rsid w:val="003A2848"/>
    <w:rsid w:val="003A2A86"/>
    <w:rsid w:val="003A2B5E"/>
    <w:rsid w:val="003A2E4F"/>
    <w:rsid w:val="003A2FF1"/>
    <w:rsid w:val="003A303E"/>
    <w:rsid w:val="003A310C"/>
    <w:rsid w:val="003A312A"/>
    <w:rsid w:val="003A321C"/>
    <w:rsid w:val="003A3765"/>
    <w:rsid w:val="003A3A66"/>
    <w:rsid w:val="003A3BA0"/>
    <w:rsid w:val="003A3F2B"/>
    <w:rsid w:val="003A4248"/>
    <w:rsid w:val="003A42FC"/>
    <w:rsid w:val="003A4438"/>
    <w:rsid w:val="003A447A"/>
    <w:rsid w:val="003A479C"/>
    <w:rsid w:val="003A4A58"/>
    <w:rsid w:val="003A4B5D"/>
    <w:rsid w:val="003A4B92"/>
    <w:rsid w:val="003A5013"/>
    <w:rsid w:val="003A5078"/>
    <w:rsid w:val="003A50F6"/>
    <w:rsid w:val="003A5569"/>
    <w:rsid w:val="003A5694"/>
    <w:rsid w:val="003A5AB7"/>
    <w:rsid w:val="003A5ADF"/>
    <w:rsid w:val="003A5B42"/>
    <w:rsid w:val="003A5BCC"/>
    <w:rsid w:val="003A5F3D"/>
    <w:rsid w:val="003A614D"/>
    <w:rsid w:val="003A6169"/>
    <w:rsid w:val="003A62DD"/>
    <w:rsid w:val="003A63F5"/>
    <w:rsid w:val="003A6463"/>
    <w:rsid w:val="003A64FA"/>
    <w:rsid w:val="003A674D"/>
    <w:rsid w:val="003A69FD"/>
    <w:rsid w:val="003A6B09"/>
    <w:rsid w:val="003A6B4D"/>
    <w:rsid w:val="003A6C7F"/>
    <w:rsid w:val="003A6D3D"/>
    <w:rsid w:val="003A6E43"/>
    <w:rsid w:val="003A6FAC"/>
    <w:rsid w:val="003A775A"/>
    <w:rsid w:val="003A7B79"/>
    <w:rsid w:val="003A7B9D"/>
    <w:rsid w:val="003A7CAD"/>
    <w:rsid w:val="003A7FF2"/>
    <w:rsid w:val="003B00C0"/>
    <w:rsid w:val="003B0144"/>
    <w:rsid w:val="003B0240"/>
    <w:rsid w:val="003B0396"/>
    <w:rsid w:val="003B03E7"/>
    <w:rsid w:val="003B06B8"/>
    <w:rsid w:val="003B082D"/>
    <w:rsid w:val="003B0A23"/>
    <w:rsid w:val="003B0A2A"/>
    <w:rsid w:val="003B0A73"/>
    <w:rsid w:val="003B0AB0"/>
    <w:rsid w:val="003B0DAB"/>
    <w:rsid w:val="003B0FF6"/>
    <w:rsid w:val="003B10F8"/>
    <w:rsid w:val="003B1191"/>
    <w:rsid w:val="003B1362"/>
    <w:rsid w:val="003B13BD"/>
    <w:rsid w:val="003B1418"/>
    <w:rsid w:val="003B156A"/>
    <w:rsid w:val="003B1641"/>
    <w:rsid w:val="003B1924"/>
    <w:rsid w:val="003B1CAC"/>
    <w:rsid w:val="003B1D52"/>
    <w:rsid w:val="003B200D"/>
    <w:rsid w:val="003B20E5"/>
    <w:rsid w:val="003B213A"/>
    <w:rsid w:val="003B2188"/>
    <w:rsid w:val="003B21D6"/>
    <w:rsid w:val="003B22A0"/>
    <w:rsid w:val="003B22DB"/>
    <w:rsid w:val="003B289D"/>
    <w:rsid w:val="003B2DD6"/>
    <w:rsid w:val="003B2EDF"/>
    <w:rsid w:val="003B302E"/>
    <w:rsid w:val="003B32E7"/>
    <w:rsid w:val="003B34B1"/>
    <w:rsid w:val="003B3677"/>
    <w:rsid w:val="003B3718"/>
    <w:rsid w:val="003B3D3B"/>
    <w:rsid w:val="003B3D79"/>
    <w:rsid w:val="003B3EC1"/>
    <w:rsid w:val="003B3F6F"/>
    <w:rsid w:val="003B4068"/>
    <w:rsid w:val="003B4162"/>
    <w:rsid w:val="003B4311"/>
    <w:rsid w:val="003B43AD"/>
    <w:rsid w:val="003B456E"/>
    <w:rsid w:val="003B4680"/>
    <w:rsid w:val="003B46E8"/>
    <w:rsid w:val="003B4939"/>
    <w:rsid w:val="003B49C8"/>
    <w:rsid w:val="003B4B70"/>
    <w:rsid w:val="003B4E93"/>
    <w:rsid w:val="003B513E"/>
    <w:rsid w:val="003B520F"/>
    <w:rsid w:val="003B52CC"/>
    <w:rsid w:val="003B5434"/>
    <w:rsid w:val="003B5615"/>
    <w:rsid w:val="003B566D"/>
    <w:rsid w:val="003B5A1E"/>
    <w:rsid w:val="003B5C2F"/>
    <w:rsid w:val="003B5C3B"/>
    <w:rsid w:val="003B5D69"/>
    <w:rsid w:val="003B5F7E"/>
    <w:rsid w:val="003B6024"/>
    <w:rsid w:val="003B65A0"/>
    <w:rsid w:val="003B6733"/>
    <w:rsid w:val="003B68E8"/>
    <w:rsid w:val="003B69F6"/>
    <w:rsid w:val="003B7061"/>
    <w:rsid w:val="003B71BB"/>
    <w:rsid w:val="003B71D4"/>
    <w:rsid w:val="003B71DA"/>
    <w:rsid w:val="003B7394"/>
    <w:rsid w:val="003B74B8"/>
    <w:rsid w:val="003B759D"/>
    <w:rsid w:val="003B787C"/>
    <w:rsid w:val="003B788C"/>
    <w:rsid w:val="003B7DD1"/>
    <w:rsid w:val="003B7E82"/>
    <w:rsid w:val="003C07D7"/>
    <w:rsid w:val="003C0CB8"/>
    <w:rsid w:val="003C0CB9"/>
    <w:rsid w:val="003C0CBE"/>
    <w:rsid w:val="003C0F07"/>
    <w:rsid w:val="003C0F7B"/>
    <w:rsid w:val="003C0FEC"/>
    <w:rsid w:val="003C122A"/>
    <w:rsid w:val="003C12CE"/>
    <w:rsid w:val="003C15B8"/>
    <w:rsid w:val="003C17A0"/>
    <w:rsid w:val="003C1DED"/>
    <w:rsid w:val="003C2113"/>
    <w:rsid w:val="003C2475"/>
    <w:rsid w:val="003C261D"/>
    <w:rsid w:val="003C2AC8"/>
    <w:rsid w:val="003C2B87"/>
    <w:rsid w:val="003C2CEF"/>
    <w:rsid w:val="003C2E41"/>
    <w:rsid w:val="003C2F04"/>
    <w:rsid w:val="003C2FDC"/>
    <w:rsid w:val="003C3487"/>
    <w:rsid w:val="003C35F7"/>
    <w:rsid w:val="003C3787"/>
    <w:rsid w:val="003C379F"/>
    <w:rsid w:val="003C388C"/>
    <w:rsid w:val="003C38A3"/>
    <w:rsid w:val="003C3970"/>
    <w:rsid w:val="003C39E5"/>
    <w:rsid w:val="003C3B3B"/>
    <w:rsid w:val="003C3C3E"/>
    <w:rsid w:val="003C40CB"/>
    <w:rsid w:val="003C43DA"/>
    <w:rsid w:val="003C45DA"/>
    <w:rsid w:val="003C46DF"/>
    <w:rsid w:val="003C4B4C"/>
    <w:rsid w:val="003C4BE9"/>
    <w:rsid w:val="003C4CFF"/>
    <w:rsid w:val="003C51D5"/>
    <w:rsid w:val="003C5696"/>
    <w:rsid w:val="003C579F"/>
    <w:rsid w:val="003C5C0A"/>
    <w:rsid w:val="003C5E77"/>
    <w:rsid w:val="003C5FF1"/>
    <w:rsid w:val="003C6000"/>
    <w:rsid w:val="003C625A"/>
    <w:rsid w:val="003C653B"/>
    <w:rsid w:val="003C690B"/>
    <w:rsid w:val="003C69BC"/>
    <w:rsid w:val="003C6AE1"/>
    <w:rsid w:val="003C6EF0"/>
    <w:rsid w:val="003C7044"/>
    <w:rsid w:val="003C71F3"/>
    <w:rsid w:val="003C72B3"/>
    <w:rsid w:val="003C7455"/>
    <w:rsid w:val="003C74EB"/>
    <w:rsid w:val="003C74F4"/>
    <w:rsid w:val="003C7739"/>
    <w:rsid w:val="003C78F0"/>
    <w:rsid w:val="003C7909"/>
    <w:rsid w:val="003C7CF3"/>
    <w:rsid w:val="003C7D36"/>
    <w:rsid w:val="003C7D3B"/>
    <w:rsid w:val="003C7D59"/>
    <w:rsid w:val="003C7F1B"/>
    <w:rsid w:val="003C7F6A"/>
    <w:rsid w:val="003D008C"/>
    <w:rsid w:val="003D062E"/>
    <w:rsid w:val="003D063F"/>
    <w:rsid w:val="003D072C"/>
    <w:rsid w:val="003D0A85"/>
    <w:rsid w:val="003D0BD0"/>
    <w:rsid w:val="003D16F2"/>
    <w:rsid w:val="003D17F9"/>
    <w:rsid w:val="003D1943"/>
    <w:rsid w:val="003D1CEA"/>
    <w:rsid w:val="003D1D48"/>
    <w:rsid w:val="003D1FFF"/>
    <w:rsid w:val="003D2166"/>
    <w:rsid w:val="003D24C9"/>
    <w:rsid w:val="003D276F"/>
    <w:rsid w:val="003D283B"/>
    <w:rsid w:val="003D29EE"/>
    <w:rsid w:val="003D2C6A"/>
    <w:rsid w:val="003D2CDA"/>
    <w:rsid w:val="003D2D88"/>
    <w:rsid w:val="003D2FD0"/>
    <w:rsid w:val="003D3428"/>
    <w:rsid w:val="003D38F6"/>
    <w:rsid w:val="003D3D01"/>
    <w:rsid w:val="003D40AB"/>
    <w:rsid w:val="003D41EA"/>
    <w:rsid w:val="003D45D3"/>
    <w:rsid w:val="003D46BA"/>
    <w:rsid w:val="003D479C"/>
    <w:rsid w:val="003D4850"/>
    <w:rsid w:val="003D4D2F"/>
    <w:rsid w:val="003D4EAE"/>
    <w:rsid w:val="003D4EC8"/>
    <w:rsid w:val="003D4EEC"/>
    <w:rsid w:val="003D52C7"/>
    <w:rsid w:val="003D535A"/>
    <w:rsid w:val="003D5BA2"/>
    <w:rsid w:val="003D5C7B"/>
    <w:rsid w:val="003D5CBB"/>
    <w:rsid w:val="003D6066"/>
    <w:rsid w:val="003D606C"/>
    <w:rsid w:val="003D6282"/>
    <w:rsid w:val="003D66FD"/>
    <w:rsid w:val="003D692F"/>
    <w:rsid w:val="003D6A17"/>
    <w:rsid w:val="003D75CF"/>
    <w:rsid w:val="003D770F"/>
    <w:rsid w:val="003D777E"/>
    <w:rsid w:val="003D78EB"/>
    <w:rsid w:val="003D79C0"/>
    <w:rsid w:val="003D7BE2"/>
    <w:rsid w:val="003D7D20"/>
    <w:rsid w:val="003D7F61"/>
    <w:rsid w:val="003E01AD"/>
    <w:rsid w:val="003E0616"/>
    <w:rsid w:val="003E0712"/>
    <w:rsid w:val="003E09A6"/>
    <w:rsid w:val="003E09CF"/>
    <w:rsid w:val="003E0B66"/>
    <w:rsid w:val="003E0C21"/>
    <w:rsid w:val="003E0C46"/>
    <w:rsid w:val="003E0E23"/>
    <w:rsid w:val="003E1097"/>
    <w:rsid w:val="003E117A"/>
    <w:rsid w:val="003E1206"/>
    <w:rsid w:val="003E196A"/>
    <w:rsid w:val="003E1F7B"/>
    <w:rsid w:val="003E24B2"/>
    <w:rsid w:val="003E250B"/>
    <w:rsid w:val="003E27EA"/>
    <w:rsid w:val="003E27F3"/>
    <w:rsid w:val="003E2AFB"/>
    <w:rsid w:val="003E3463"/>
    <w:rsid w:val="003E3751"/>
    <w:rsid w:val="003E3899"/>
    <w:rsid w:val="003E4327"/>
    <w:rsid w:val="003E447C"/>
    <w:rsid w:val="003E4730"/>
    <w:rsid w:val="003E48F2"/>
    <w:rsid w:val="003E4AA0"/>
    <w:rsid w:val="003E4B2C"/>
    <w:rsid w:val="003E4C0B"/>
    <w:rsid w:val="003E4CA0"/>
    <w:rsid w:val="003E4D4E"/>
    <w:rsid w:val="003E4D89"/>
    <w:rsid w:val="003E4EAE"/>
    <w:rsid w:val="003E4F9A"/>
    <w:rsid w:val="003E5265"/>
    <w:rsid w:val="003E5275"/>
    <w:rsid w:val="003E559A"/>
    <w:rsid w:val="003E5A83"/>
    <w:rsid w:val="003E5A91"/>
    <w:rsid w:val="003E5A9A"/>
    <w:rsid w:val="003E5AB2"/>
    <w:rsid w:val="003E6020"/>
    <w:rsid w:val="003E6063"/>
    <w:rsid w:val="003E6218"/>
    <w:rsid w:val="003E6386"/>
    <w:rsid w:val="003E6437"/>
    <w:rsid w:val="003E6A29"/>
    <w:rsid w:val="003E6C34"/>
    <w:rsid w:val="003E6FF2"/>
    <w:rsid w:val="003E7065"/>
    <w:rsid w:val="003E70EA"/>
    <w:rsid w:val="003E72EC"/>
    <w:rsid w:val="003E73BA"/>
    <w:rsid w:val="003E7703"/>
    <w:rsid w:val="003E785C"/>
    <w:rsid w:val="003E7AF0"/>
    <w:rsid w:val="003E7BE3"/>
    <w:rsid w:val="003E7F00"/>
    <w:rsid w:val="003F05D9"/>
    <w:rsid w:val="003F068D"/>
    <w:rsid w:val="003F0955"/>
    <w:rsid w:val="003F0B93"/>
    <w:rsid w:val="003F0C75"/>
    <w:rsid w:val="003F0E22"/>
    <w:rsid w:val="003F104D"/>
    <w:rsid w:val="003F1490"/>
    <w:rsid w:val="003F1A79"/>
    <w:rsid w:val="003F206E"/>
    <w:rsid w:val="003F20B7"/>
    <w:rsid w:val="003F25AE"/>
    <w:rsid w:val="003F2622"/>
    <w:rsid w:val="003F26C1"/>
    <w:rsid w:val="003F26F2"/>
    <w:rsid w:val="003F2AF3"/>
    <w:rsid w:val="003F2FF3"/>
    <w:rsid w:val="003F30F7"/>
    <w:rsid w:val="003F34D3"/>
    <w:rsid w:val="003F36B3"/>
    <w:rsid w:val="003F383B"/>
    <w:rsid w:val="003F3B30"/>
    <w:rsid w:val="003F3CCB"/>
    <w:rsid w:val="003F4351"/>
    <w:rsid w:val="003F4441"/>
    <w:rsid w:val="003F44AC"/>
    <w:rsid w:val="003F4960"/>
    <w:rsid w:val="003F4BCB"/>
    <w:rsid w:val="003F4FCE"/>
    <w:rsid w:val="003F50AE"/>
    <w:rsid w:val="003F5366"/>
    <w:rsid w:val="003F5459"/>
    <w:rsid w:val="003F573F"/>
    <w:rsid w:val="003F60B0"/>
    <w:rsid w:val="003F61B0"/>
    <w:rsid w:val="003F632D"/>
    <w:rsid w:val="003F645B"/>
    <w:rsid w:val="003F6585"/>
    <w:rsid w:val="003F66D5"/>
    <w:rsid w:val="003F6B9A"/>
    <w:rsid w:val="003F6FE1"/>
    <w:rsid w:val="003F702D"/>
    <w:rsid w:val="003F733F"/>
    <w:rsid w:val="003F7383"/>
    <w:rsid w:val="003F7558"/>
    <w:rsid w:val="003F75EC"/>
    <w:rsid w:val="003F7685"/>
    <w:rsid w:val="003F7B91"/>
    <w:rsid w:val="003F7C35"/>
    <w:rsid w:val="003F7C64"/>
    <w:rsid w:val="003F7F5F"/>
    <w:rsid w:val="004003AC"/>
    <w:rsid w:val="00400464"/>
    <w:rsid w:val="00400474"/>
    <w:rsid w:val="0040060E"/>
    <w:rsid w:val="004006FB"/>
    <w:rsid w:val="00400768"/>
    <w:rsid w:val="00400DAB"/>
    <w:rsid w:val="00400F00"/>
    <w:rsid w:val="004010B5"/>
    <w:rsid w:val="00401199"/>
    <w:rsid w:val="00401340"/>
    <w:rsid w:val="00401955"/>
    <w:rsid w:val="004019F1"/>
    <w:rsid w:val="00401ACD"/>
    <w:rsid w:val="00401B84"/>
    <w:rsid w:val="00401DE8"/>
    <w:rsid w:val="00402067"/>
    <w:rsid w:val="004022F0"/>
    <w:rsid w:val="004023D8"/>
    <w:rsid w:val="00402417"/>
    <w:rsid w:val="00402E0F"/>
    <w:rsid w:val="0040324B"/>
    <w:rsid w:val="004033BF"/>
    <w:rsid w:val="0040363F"/>
    <w:rsid w:val="00403734"/>
    <w:rsid w:val="00403736"/>
    <w:rsid w:val="00403741"/>
    <w:rsid w:val="00403828"/>
    <w:rsid w:val="00403923"/>
    <w:rsid w:val="00403A7E"/>
    <w:rsid w:val="00403AB9"/>
    <w:rsid w:val="00403B37"/>
    <w:rsid w:val="00403DAC"/>
    <w:rsid w:val="00403F84"/>
    <w:rsid w:val="00403F85"/>
    <w:rsid w:val="00403FEE"/>
    <w:rsid w:val="0040447F"/>
    <w:rsid w:val="0040473D"/>
    <w:rsid w:val="004047B9"/>
    <w:rsid w:val="00404803"/>
    <w:rsid w:val="004049BA"/>
    <w:rsid w:val="00404CF4"/>
    <w:rsid w:val="00404D38"/>
    <w:rsid w:val="00404E99"/>
    <w:rsid w:val="00404F8B"/>
    <w:rsid w:val="00405256"/>
    <w:rsid w:val="0040544E"/>
    <w:rsid w:val="00405B55"/>
    <w:rsid w:val="00405BED"/>
    <w:rsid w:val="00405D52"/>
    <w:rsid w:val="00405DD4"/>
    <w:rsid w:val="00405E47"/>
    <w:rsid w:val="00405F8C"/>
    <w:rsid w:val="00406171"/>
    <w:rsid w:val="0040629A"/>
    <w:rsid w:val="004063DE"/>
    <w:rsid w:val="00406A9B"/>
    <w:rsid w:val="00406C01"/>
    <w:rsid w:val="00406EE4"/>
    <w:rsid w:val="00406FA1"/>
    <w:rsid w:val="0040726F"/>
    <w:rsid w:val="004078C4"/>
    <w:rsid w:val="00407D6A"/>
    <w:rsid w:val="00407E67"/>
    <w:rsid w:val="00410031"/>
    <w:rsid w:val="00410320"/>
    <w:rsid w:val="0041040D"/>
    <w:rsid w:val="004105DF"/>
    <w:rsid w:val="0041082E"/>
    <w:rsid w:val="00410AB7"/>
    <w:rsid w:val="00410CD0"/>
    <w:rsid w:val="00410E80"/>
    <w:rsid w:val="0041118C"/>
    <w:rsid w:val="0041139E"/>
    <w:rsid w:val="0041148B"/>
    <w:rsid w:val="004115A2"/>
    <w:rsid w:val="0041167A"/>
    <w:rsid w:val="004117E0"/>
    <w:rsid w:val="004118D2"/>
    <w:rsid w:val="004119B2"/>
    <w:rsid w:val="00411ACD"/>
    <w:rsid w:val="00411C56"/>
    <w:rsid w:val="00411D69"/>
    <w:rsid w:val="004120CE"/>
    <w:rsid w:val="00412499"/>
    <w:rsid w:val="004128E4"/>
    <w:rsid w:val="00412B35"/>
    <w:rsid w:val="004134A2"/>
    <w:rsid w:val="00413747"/>
    <w:rsid w:val="00413AC7"/>
    <w:rsid w:val="00413B9B"/>
    <w:rsid w:val="00413BCB"/>
    <w:rsid w:val="00414834"/>
    <w:rsid w:val="00414895"/>
    <w:rsid w:val="00414BE4"/>
    <w:rsid w:val="00414C78"/>
    <w:rsid w:val="00414E8D"/>
    <w:rsid w:val="00414F59"/>
    <w:rsid w:val="00414FDC"/>
    <w:rsid w:val="00415133"/>
    <w:rsid w:val="004151D1"/>
    <w:rsid w:val="0041524A"/>
    <w:rsid w:val="00415765"/>
    <w:rsid w:val="00415907"/>
    <w:rsid w:val="00415B1D"/>
    <w:rsid w:val="00415C01"/>
    <w:rsid w:val="00415C81"/>
    <w:rsid w:val="00416150"/>
    <w:rsid w:val="0041615A"/>
    <w:rsid w:val="00416388"/>
    <w:rsid w:val="00416401"/>
    <w:rsid w:val="0041652D"/>
    <w:rsid w:val="0041663D"/>
    <w:rsid w:val="00416731"/>
    <w:rsid w:val="0041674F"/>
    <w:rsid w:val="004167B3"/>
    <w:rsid w:val="00416830"/>
    <w:rsid w:val="00416A65"/>
    <w:rsid w:val="00416C8B"/>
    <w:rsid w:val="00416E51"/>
    <w:rsid w:val="00416F4C"/>
    <w:rsid w:val="00417320"/>
    <w:rsid w:val="00417445"/>
    <w:rsid w:val="004175C8"/>
    <w:rsid w:val="0041793A"/>
    <w:rsid w:val="00417980"/>
    <w:rsid w:val="00417A04"/>
    <w:rsid w:val="00417A57"/>
    <w:rsid w:val="004206CF"/>
    <w:rsid w:val="004207CD"/>
    <w:rsid w:val="004207EB"/>
    <w:rsid w:val="00420B81"/>
    <w:rsid w:val="00420C17"/>
    <w:rsid w:val="00420FF7"/>
    <w:rsid w:val="00420FF8"/>
    <w:rsid w:val="00421117"/>
    <w:rsid w:val="00421360"/>
    <w:rsid w:val="00421462"/>
    <w:rsid w:val="004218C0"/>
    <w:rsid w:val="00421AAD"/>
    <w:rsid w:val="00421D5B"/>
    <w:rsid w:val="00421F43"/>
    <w:rsid w:val="00422016"/>
    <w:rsid w:val="004222DB"/>
    <w:rsid w:val="004226AA"/>
    <w:rsid w:val="004226D6"/>
    <w:rsid w:val="00422891"/>
    <w:rsid w:val="00422D91"/>
    <w:rsid w:val="00422E8B"/>
    <w:rsid w:val="00423081"/>
    <w:rsid w:val="004232C4"/>
    <w:rsid w:val="00423426"/>
    <w:rsid w:val="004237A4"/>
    <w:rsid w:val="00423AC4"/>
    <w:rsid w:val="00423BD7"/>
    <w:rsid w:val="00423CA7"/>
    <w:rsid w:val="00423D87"/>
    <w:rsid w:val="00423F09"/>
    <w:rsid w:val="004241A6"/>
    <w:rsid w:val="004243F5"/>
    <w:rsid w:val="00424E56"/>
    <w:rsid w:val="00424FB0"/>
    <w:rsid w:val="00425588"/>
    <w:rsid w:val="0042566D"/>
    <w:rsid w:val="00425750"/>
    <w:rsid w:val="0042606F"/>
    <w:rsid w:val="00426333"/>
    <w:rsid w:val="00426611"/>
    <w:rsid w:val="004267A2"/>
    <w:rsid w:val="004268B1"/>
    <w:rsid w:val="00426EF9"/>
    <w:rsid w:val="004270A0"/>
    <w:rsid w:val="004274F8"/>
    <w:rsid w:val="0042762F"/>
    <w:rsid w:val="00427AEE"/>
    <w:rsid w:val="00427B80"/>
    <w:rsid w:val="00427F63"/>
    <w:rsid w:val="004301CB"/>
    <w:rsid w:val="004301CC"/>
    <w:rsid w:val="004301D6"/>
    <w:rsid w:val="004303D2"/>
    <w:rsid w:val="004303E0"/>
    <w:rsid w:val="004305A1"/>
    <w:rsid w:val="004305B1"/>
    <w:rsid w:val="004305BE"/>
    <w:rsid w:val="004305CB"/>
    <w:rsid w:val="004306C4"/>
    <w:rsid w:val="00430A55"/>
    <w:rsid w:val="00431130"/>
    <w:rsid w:val="004311BD"/>
    <w:rsid w:val="004312E5"/>
    <w:rsid w:val="00431672"/>
    <w:rsid w:val="0043170D"/>
    <w:rsid w:val="004317EA"/>
    <w:rsid w:val="00431D56"/>
    <w:rsid w:val="00431D62"/>
    <w:rsid w:val="00431F9A"/>
    <w:rsid w:val="00431F9C"/>
    <w:rsid w:val="00431FEB"/>
    <w:rsid w:val="00432303"/>
    <w:rsid w:val="00432314"/>
    <w:rsid w:val="00432378"/>
    <w:rsid w:val="00432584"/>
    <w:rsid w:val="00432AD0"/>
    <w:rsid w:val="00432DEB"/>
    <w:rsid w:val="004330E7"/>
    <w:rsid w:val="00433159"/>
    <w:rsid w:val="0043320F"/>
    <w:rsid w:val="0043322D"/>
    <w:rsid w:val="00433428"/>
    <w:rsid w:val="0043383B"/>
    <w:rsid w:val="00433906"/>
    <w:rsid w:val="004339CF"/>
    <w:rsid w:val="00433B32"/>
    <w:rsid w:val="00433C70"/>
    <w:rsid w:val="00433CF6"/>
    <w:rsid w:val="004340BC"/>
    <w:rsid w:val="00434218"/>
    <w:rsid w:val="00434275"/>
    <w:rsid w:val="004343A2"/>
    <w:rsid w:val="00434482"/>
    <w:rsid w:val="00434762"/>
    <w:rsid w:val="004347B7"/>
    <w:rsid w:val="00434814"/>
    <w:rsid w:val="0043491E"/>
    <w:rsid w:val="00434B69"/>
    <w:rsid w:val="00435673"/>
    <w:rsid w:val="004359F9"/>
    <w:rsid w:val="00435A1F"/>
    <w:rsid w:val="00435A57"/>
    <w:rsid w:val="00435D22"/>
    <w:rsid w:val="00435D6D"/>
    <w:rsid w:val="00435F29"/>
    <w:rsid w:val="004360A6"/>
    <w:rsid w:val="004360B3"/>
    <w:rsid w:val="0043618F"/>
    <w:rsid w:val="004361B9"/>
    <w:rsid w:val="004361DE"/>
    <w:rsid w:val="00436555"/>
    <w:rsid w:val="0043657C"/>
    <w:rsid w:val="004367D8"/>
    <w:rsid w:val="004367E4"/>
    <w:rsid w:val="00436AEA"/>
    <w:rsid w:val="00436AF2"/>
    <w:rsid w:val="00436DBB"/>
    <w:rsid w:val="00436E68"/>
    <w:rsid w:val="00436F0A"/>
    <w:rsid w:val="004370D0"/>
    <w:rsid w:val="00437190"/>
    <w:rsid w:val="004377A8"/>
    <w:rsid w:val="00437BC8"/>
    <w:rsid w:val="004402BF"/>
    <w:rsid w:val="004406A7"/>
    <w:rsid w:val="00440809"/>
    <w:rsid w:val="004409CE"/>
    <w:rsid w:val="004409EA"/>
    <w:rsid w:val="00440A94"/>
    <w:rsid w:val="00440D44"/>
    <w:rsid w:val="00440D65"/>
    <w:rsid w:val="00440D84"/>
    <w:rsid w:val="00440DF6"/>
    <w:rsid w:val="00440E70"/>
    <w:rsid w:val="00440ED3"/>
    <w:rsid w:val="00441044"/>
    <w:rsid w:val="00441282"/>
    <w:rsid w:val="004412FD"/>
    <w:rsid w:val="00441745"/>
    <w:rsid w:val="00441756"/>
    <w:rsid w:val="00441824"/>
    <w:rsid w:val="00441D18"/>
    <w:rsid w:val="00441DDF"/>
    <w:rsid w:val="00441F76"/>
    <w:rsid w:val="00442646"/>
    <w:rsid w:val="00442A87"/>
    <w:rsid w:val="00442A8B"/>
    <w:rsid w:val="00442B4C"/>
    <w:rsid w:val="00442E90"/>
    <w:rsid w:val="00442F2F"/>
    <w:rsid w:val="00442F30"/>
    <w:rsid w:val="00442F65"/>
    <w:rsid w:val="00443285"/>
    <w:rsid w:val="004434B5"/>
    <w:rsid w:val="004435E6"/>
    <w:rsid w:val="00443677"/>
    <w:rsid w:val="00443821"/>
    <w:rsid w:val="00443857"/>
    <w:rsid w:val="004439B2"/>
    <w:rsid w:val="00443A82"/>
    <w:rsid w:val="00443D5F"/>
    <w:rsid w:val="004440CE"/>
    <w:rsid w:val="004446A0"/>
    <w:rsid w:val="00444829"/>
    <w:rsid w:val="00444889"/>
    <w:rsid w:val="0044498F"/>
    <w:rsid w:val="00444C12"/>
    <w:rsid w:val="00444C76"/>
    <w:rsid w:val="00444D9B"/>
    <w:rsid w:val="00444F3F"/>
    <w:rsid w:val="00445465"/>
    <w:rsid w:val="004454AA"/>
    <w:rsid w:val="0044550C"/>
    <w:rsid w:val="004457E1"/>
    <w:rsid w:val="0044597C"/>
    <w:rsid w:val="00445D14"/>
    <w:rsid w:val="00446487"/>
    <w:rsid w:val="004465C2"/>
    <w:rsid w:val="004465F0"/>
    <w:rsid w:val="0044668F"/>
    <w:rsid w:val="004468A1"/>
    <w:rsid w:val="00446B25"/>
    <w:rsid w:val="00447127"/>
    <w:rsid w:val="0044713C"/>
    <w:rsid w:val="004471FF"/>
    <w:rsid w:val="00447281"/>
    <w:rsid w:val="004472EC"/>
    <w:rsid w:val="00447447"/>
    <w:rsid w:val="0044745A"/>
    <w:rsid w:val="004475B0"/>
    <w:rsid w:val="00447A5E"/>
    <w:rsid w:val="00447C56"/>
    <w:rsid w:val="00447D40"/>
    <w:rsid w:val="00447D9C"/>
    <w:rsid w:val="00447DBE"/>
    <w:rsid w:val="00447E31"/>
    <w:rsid w:val="00447F57"/>
    <w:rsid w:val="0045031B"/>
    <w:rsid w:val="0045035A"/>
    <w:rsid w:val="00450419"/>
    <w:rsid w:val="004504BE"/>
    <w:rsid w:val="004504FA"/>
    <w:rsid w:val="00450730"/>
    <w:rsid w:val="00450930"/>
    <w:rsid w:val="00450A3C"/>
    <w:rsid w:val="00450AC9"/>
    <w:rsid w:val="00450B23"/>
    <w:rsid w:val="00450BC0"/>
    <w:rsid w:val="00450D88"/>
    <w:rsid w:val="00450DD3"/>
    <w:rsid w:val="00450E4A"/>
    <w:rsid w:val="00450E6E"/>
    <w:rsid w:val="00450E83"/>
    <w:rsid w:val="00450EEE"/>
    <w:rsid w:val="00451072"/>
    <w:rsid w:val="0045136B"/>
    <w:rsid w:val="004517E3"/>
    <w:rsid w:val="00451979"/>
    <w:rsid w:val="00451A68"/>
    <w:rsid w:val="00451A8A"/>
    <w:rsid w:val="00451A99"/>
    <w:rsid w:val="00451DD9"/>
    <w:rsid w:val="00451E38"/>
    <w:rsid w:val="00451EC8"/>
    <w:rsid w:val="0045208C"/>
    <w:rsid w:val="0045237F"/>
    <w:rsid w:val="004523C3"/>
    <w:rsid w:val="004523D8"/>
    <w:rsid w:val="0045263A"/>
    <w:rsid w:val="00452B2C"/>
    <w:rsid w:val="00452BF1"/>
    <w:rsid w:val="00452C55"/>
    <w:rsid w:val="00452F1C"/>
    <w:rsid w:val="004531A9"/>
    <w:rsid w:val="00453506"/>
    <w:rsid w:val="004536C3"/>
    <w:rsid w:val="00453923"/>
    <w:rsid w:val="004539A0"/>
    <w:rsid w:val="00453BA2"/>
    <w:rsid w:val="004541A4"/>
    <w:rsid w:val="004542C3"/>
    <w:rsid w:val="004547EA"/>
    <w:rsid w:val="0045482E"/>
    <w:rsid w:val="004548F4"/>
    <w:rsid w:val="00454A4E"/>
    <w:rsid w:val="00454A5F"/>
    <w:rsid w:val="00454B51"/>
    <w:rsid w:val="00454B9B"/>
    <w:rsid w:val="0045561A"/>
    <w:rsid w:val="00455739"/>
    <w:rsid w:val="0045583C"/>
    <w:rsid w:val="004559F1"/>
    <w:rsid w:val="00455AB2"/>
    <w:rsid w:val="00456076"/>
    <w:rsid w:val="0045637E"/>
    <w:rsid w:val="0045668D"/>
    <w:rsid w:val="00456869"/>
    <w:rsid w:val="004568C3"/>
    <w:rsid w:val="004569E7"/>
    <w:rsid w:val="00456AAD"/>
    <w:rsid w:val="00456AC3"/>
    <w:rsid w:val="00456DFC"/>
    <w:rsid w:val="00456E5E"/>
    <w:rsid w:val="00456F05"/>
    <w:rsid w:val="00456F69"/>
    <w:rsid w:val="004571F0"/>
    <w:rsid w:val="0045724D"/>
    <w:rsid w:val="00457379"/>
    <w:rsid w:val="004573A9"/>
    <w:rsid w:val="004575CB"/>
    <w:rsid w:val="0045760D"/>
    <w:rsid w:val="00457858"/>
    <w:rsid w:val="00457A9F"/>
    <w:rsid w:val="00457CE9"/>
    <w:rsid w:val="00460099"/>
    <w:rsid w:val="004601D6"/>
    <w:rsid w:val="004602AD"/>
    <w:rsid w:val="004608DF"/>
    <w:rsid w:val="00460AE9"/>
    <w:rsid w:val="00460B0B"/>
    <w:rsid w:val="00460B58"/>
    <w:rsid w:val="00460C2D"/>
    <w:rsid w:val="00460D0D"/>
    <w:rsid w:val="00460DFD"/>
    <w:rsid w:val="00460E6C"/>
    <w:rsid w:val="00461023"/>
    <w:rsid w:val="00461088"/>
    <w:rsid w:val="00461129"/>
    <w:rsid w:val="004613D7"/>
    <w:rsid w:val="004613F0"/>
    <w:rsid w:val="00461666"/>
    <w:rsid w:val="00461686"/>
    <w:rsid w:val="00461844"/>
    <w:rsid w:val="004618C5"/>
    <w:rsid w:val="004618DE"/>
    <w:rsid w:val="00461928"/>
    <w:rsid w:val="00461A1D"/>
    <w:rsid w:val="00461C10"/>
    <w:rsid w:val="00461DC2"/>
    <w:rsid w:val="00461E75"/>
    <w:rsid w:val="00461EDB"/>
    <w:rsid w:val="00461FCF"/>
    <w:rsid w:val="004620DC"/>
    <w:rsid w:val="00462245"/>
    <w:rsid w:val="0046231A"/>
    <w:rsid w:val="004623CE"/>
    <w:rsid w:val="004627FC"/>
    <w:rsid w:val="00462BDD"/>
    <w:rsid w:val="00462C9B"/>
    <w:rsid w:val="00462FAC"/>
    <w:rsid w:val="00463146"/>
    <w:rsid w:val="004635AD"/>
    <w:rsid w:val="0046377C"/>
    <w:rsid w:val="0046386A"/>
    <w:rsid w:val="00463CB5"/>
    <w:rsid w:val="00464631"/>
    <w:rsid w:val="004647B1"/>
    <w:rsid w:val="004649D8"/>
    <w:rsid w:val="00464B15"/>
    <w:rsid w:val="00464B61"/>
    <w:rsid w:val="00464B79"/>
    <w:rsid w:val="00464C23"/>
    <w:rsid w:val="00464CAB"/>
    <w:rsid w:val="004651F4"/>
    <w:rsid w:val="00465310"/>
    <w:rsid w:val="00465550"/>
    <w:rsid w:val="00465796"/>
    <w:rsid w:val="00465938"/>
    <w:rsid w:val="00465AF4"/>
    <w:rsid w:val="00465B9C"/>
    <w:rsid w:val="00466152"/>
    <w:rsid w:val="0046631C"/>
    <w:rsid w:val="004665BD"/>
    <w:rsid w:val="004665E2"/>
    <w:rsid w:val="004668F5"/>
    <w:rsid w:val="00466A18"/>
    <w:rsid w:val="00466AA6"/>
    <w:rsid w:val="00466BF6"/>
    <w:rsid w:val="00466D12"/>
    <w:rsid w:val="00466DD3"/>
    <w:rsid w:val="004670BD"/>
    <w:rsid w:val="0046717D"/>
    <w:rsid w:val="00467327"/>
    <w:rsid w:val="00467596"/>
    <w:rsid w:val="004678A7"/>
    <w:rsid w:val="00467BBF"/>
    <w:rsid w:val="004701FF"/>
    <w:rsid w:val="004705FB"/>
    <w:rsid w:val="00470829"/>
    <w:rsid w:val="004708A2"/>
    <w:rsid w:val="00470B6A"/>
    <w:rsid w:val="00470F62"/>
    <w:rsid w:val="0047101B"/>
    <w:rsid w:val="004713A2"/>
    <w:rsid w:val="004713CD"/>
    <w:rsid w:val="0047162C"/>
    <w:rsid w:val="00471771"/>
    <w:rsid w:val="00471C03"/>
    <w:rsid w:val="00471E66"/>
    <w:rsid w:val="00471E69"/>
    <w:rsid w:val="00471E84"/>
    <w:rsid w:val="00471E8F"/>
    <w:rsid w:val="004721E5"/>
    <w:rsid w:val="00472432"/>
    <w:rsid w:val="0047248B"/>
    <w:rsid w:val="004728FE"/>
    <w:rsid w:val="00472AA3"/>
    <w:rsid w:val="00472BC8"/>
    <w:rsid w:val="00472EAA"/>
    <w:rsid w:val="00472EF4"/>
    <w:rsid w:val="00472F84"/>
    <w:rsid w:val="00473255"/>
    <w:rsid w:val="00473398"/>
    <w:rsid w:val="004733AC"/>
    <w:rsid w:val="00473582"/>
    <w:rsid w:val="0047403F"/>
    <w:rsid w:val="004744E9"/>
    <w:rsid w:val="00474BD4"/>
    <w:rsid w:val="00474D70"/>
    <w:rsid w:val="00474E17"/>
    <w:rsid w:val="00474F98"/>
    <w:rsid w:val="0047518E"/>
    <w:rsid w:val="00475310"/>
    <w:rsid w:val="004756EF"/>
    <w:rsid w:val="00475804"/>
    <w:rsid w:val="00475813"/>
    <w:rsid w:val="00475815"/>
    <w:rsid w:val="00475DE8"/>
    <w:rsid w:val="004760A7"/>
    <w:rsid w:val="00476170"/>
    <w:rsid w:val="0047686C"/>
    <w:rsid w:val="00476B26"/>
    <w:rsid w:val="00476F4D"/>
    <w:rsid w:val="00477219"/>
    <w:rsid w:val="00477B9E"/>
    <w:rsid w:val="00477E48"/>
    <w:rsid w:val="00477E4C"/>
    <w:rsid w:val="004801FD"/>
    <w:rsid w:val="0048026D"/>
    <w:rsid w:val="00480316"/>
    <w:rsid w:val="004805FF"/>
    <w:rsid w:val="00480AB3"/>
    <w:rsid w:val="00480E7C"/>
    <w:rsid w:val="00480FAF"/>
    <w:rsid w:val="004810FD"/>
    <w:rsid w:val="0048116C"/>
    <w:rsid w:val="004811A7"/>
    <w:rsid w:val="0048135B"/>
    <w:rsid w:val="00481831"/>
    <w:rsid w:val="004818C1"/>
    <w:rsid w:val="00481C35"/>
    <w:rsid w:val="00481E1D"/>
    <w:rsid w:val="00482128"/>
    <w:rsid w:val="004825AB"/>
    <w:rsid w:val="00482624"/>
    <w:rsid w:val="0048280E"/>
    <w:rsid w:val="0048289A"/>
    <w:rsid w:val="00482DF1"/>
    <w:rsid w:val="004830A8"/>
    <w:rsid w:val="00483351"/>
    <w:rsid w:val="00483506"/>
    <w:rsid w:val="00483A40"/>
    <w:rsid w:val="00483B59"/>
    <w:rsid w:val="00483BDB"/>
    <w:rsid w:val="00483DEB"/>
    <w:rsid w:val="004840AE"/>
    <w:rsid w:val="0048437D"/>
    <w:rsid w:val="004843C8"/>
    <w:rsid w:val="004846DC"/>
    <w:rsid w:val="00484719"/>
    <w:rsid w:val="004847DD"/>
    <w:rsid w:val="00484984"/>
    <w:rsid w:val="00484AF6"/>
    <w:rsid w:val="00484FA8"/>
    <w:rsid w:val="0048514B"/>
    <w:rsid w:val="00485359"/>
    <w:rsid w:val="00485418"/>
    <w:rsid w:val="00485561"/>
    <w:rsid w:val="00485583"/>
    <w:rsid w:val="0048588D"/>
    <w:rsid w:val="00485967"/>
    <w:rsid w:val="00485BD9"/>
    <w:rsid w:val="00485F0B"/>
    <w:rsid w:val="00486085"/>
    <w:rsid w:val="00486111"/>
    <w:rsid w:val="004862BD"/>
    <w:rsid w:val="00486354"/>
    <w:rsid w:val="004867E2"/>
    <w:rsid w:val="00486A49"/>
    <w:rsid w:val="00486B38"/>
    <w:rsid w:val="00486D13"/>
    <w:rsid w:val="00486D26"/>
    <w:rsid w:val="00486D7C"/>
    <w:rsid w:val="00486E32"/>
    <w:rsid w:val="00486F32"/>
    <w:rsid w:val="00487088"/>
    <w:rsid w:val="00487255"/>
    <w:rsid w:val="004874A3"/>
    <w:rsid w:val="00487622"/>
    <w:rsid w:val="004879BA"/>
    <w:rsid w:val="00487B36"/>
    <w:rsid w:val="00487C5D"/>
    <w:rsid w:val="00487EEE"/>
    <w:rsid w:val="0048D52F"/>
    <w:rsid w:val="00490039"/>
    <w:rsid w:val="0049012D"/>
    <w:rsid w:val="00490794"/>
    <w:rsid w:val="004908CC"/>
    <w:rsid w:val="00490A43"/>
    <w:rsid w:val="00490B18"/>
    <w:rsid w:val="00490EA6"/>
    <w:rsid w:val="00490ECA"/>
    <w:rsid w:val="00491304"/>
    <w:rsid w:val="004913A5"/>
    <w:rsid w:val="0049147B"/>
    <w:rsid w:val="004915B7"/>
    <w:rsid w:val="00491721"/>
    <w:rsid w:val="00491778"/>
    <w:rsid w:val="00491B71"/>
    <w:rsid w:val="00491E0A"/>
    <w:rsid w:val="00492896"/>
    <w:rsid w:val="004929A9"/>
    <w:rsid w:val="00492BC6"/>
    <w:rsid w:val="00492CEC"/>
    <w:rsid w:val="00492E3C"/>
    <w:rsid w:val="00492E78"/>
    <w:rsid w:val="00492FD0"/>
    <w:rsid w:val="00493287"/>
    <w:rsid w:val="004932A2"/>
    <w:rsid w:val="004934F7"/>
    <w:rsid w:val="00493619"/>
    <w:rsid w:val="004936DD"/>
    <w:rsid w:val="0049394E"/>
    <w:rsid w:val="00493B4C"/>
    <w:rsid w:val="00493F80"/>
    <w:rsid w:val="00494034"/>
    <w:rsid w:val="00494244"/>
    <w:rsid w:val="0049452A"/>
    <w:rsid w:val="004947A6"/>
    <w:rsid w:val="004952A2"/>
    <w:rsid w:val="00495399"/>
    <w:rsid w:val="004954E6"/>
    <w:rsid w:val="00495586"/>
    <w:rsid w:val="00495E68"/>
    <w:rsid w:val="00495EFA"/>
    <w:rsid w:val="00496375"/>
    <w:rsid w:val="004964E4"/>
    <w:rsid w:val="0049650F"/>
    <w:rsid w:val="00496636"/>
    <w:rsid w:val="0049663E"/>
    <w:rsid w:val="00496A53"/>
    <w:rsid w:val="00496C22"/>
    <w:rsid w:val="00496F05"/>
    <w:rsid w:val="00497144"/>
    <w:rsid w:val="004978C8"/>
    <w:rsid w:val="00497988"/>
    <w:rsid w:val="00497A4F"/>
    <w:rsid w:val="00497AD5"/>
    <w:rsid w:val="00497D6A"/>
    <w:rsid w:val="00497DAE"/>
    <w:rsid w:val="00497FAB"/>
    <w:rsid w:val="004A0139"/>
    <w:rsid w:val="004A06E7"/>
    <w:rsid w:val="004A0764"/>
    <w:rsid w:val="004A0AF7"/>
    <w:rsid w:val="004A0C0D"/>
    <w:rsid w:val="004A0C5B"/>
    <w:rsid w:val="004A0DD4"/>
    <w:rsid w:val="004A12D3"/>
    <w:rsid w:val="004A18D6"/>
    <w:rsid w:val="004A1C32"/>
    <w:rsid w:val="004A1D23"/>
    <w:rsid w:val="004A1EB2"/>
    <w:rsid w:val="004A1FBA"/>
    <w:rsid w:val="004A2048"/>
    <w:rsid w:val="004A20A6"/>
    <w:rsid w:val="004A20F7"/>
    <w:rsid w:val="004A2178"/>
    <w:rsid w:val="004A244C"/>
    <w:rsid w:val="004A2798"/>
    <w:rsid w:val="004A2BCA"/>
    <w:rsid w:val="004A2C2D"/>
    <w:rsid w:val="004A2CB1"/>
    <w:rsid w:val="004A2E90"/>
    <w:rsid w:val="004A2ED5"/>
    <w:rsid w:val="004A2FA2"/>
    <w:rsid w:val="004A2FD1"/>
    <w:rsid w:val="004A303F"/>
    <w:rsid w:val="004A38E9"/>
    <w:rsid w:val="004A3A0E"/>
    <w:rsid w:val="004A3B4B"/>
    <w:rsid w:val="004A3D41"/>
    <w:rsid w:val="004A3D7F"/>
    <w:rsid w:val="004A3DF2"/>
    <w:rsid w:val="004A3F5C"/>
    <w:rsid w:val="004A416B"/>
    <w:rsid w:val="004A43D2"/>
    <w:rsid w:val="004A44CA"/>
    <w:rsid w:val="004A45CB"/>
    <w:rsid w:val="004A469D"/>
    <w:rsid w:val="004A4AB9"/>
    <w:rsid w:val="004A4AFD"/>
    <w:rsid w:val="004A4E0A"/>
    <w:rsid w:val="004A4E8A"/>
    <w:rsid w:val="004A524C"/>
    <w:rsid w:val="004A5CBF"/>
    <w:rsid w:val="004A5EE8"/>
    <w:rsid w:val="004A6018"/>
    <w:rsid w:val="004A6120"/>
    <w:rsid w:val="004A6191"/>
    <w:rsid w:val="004A62F1"/>
    <w:rsid w:val="004A65A6"/>
    <w:rsid w:val="004A65C8"/>
    <w:rsid w:val="004A6602"/>
    <w:rsid w:val="004A6603"/>
    <w:rsid w:val="004A67D8"/>
    <w:rsid w:val="004A6B8B"/>
    <w:rsid w:val="004A6D94"/>
    <w:rsid w:val="004A6D98"/>
    <w:rsid w:val="004A7055"/>
    <w:rsid w:val="004A7678"/>
    <w:rsid w:val="004A7F1F"/>
    <w:rsid w:val="004A7F70"/>
    <w:rsid w:val="004B0194"/>
    <w:rsid w:val="004B01F3"/>
    <w:rsid w:val="004B095F"/>
    <w:rsid w:val="004B09BB"/>
    <w:rsid w:val="004B0C86"/>
    <w:rsid w:val="004B0D7A"/>
    <w:rsid w:val="004B0E0D"/>
    <w:rsid w:val="004B0F8A"/>
    <w:rsid w:val="004B125C"/>
    <w:rsid w:val="004B126E"/>
    <w:rsid w:val="004B12DB"/>
    <w:rsid w:val="004B1448"/>
    <w:rsid w:val="004B144B"/>
    <w:rsid w:val="004B14BB"/>
    <w:rsid w:val="004B1675"/>
    <w:rsid w:val="004B1A79"/>
    <w:rsid w:val="004B1B71"/>
    <w:rsid w:val="004B1CF0"/>
    <w:rsid w:val="004B1CFB"/>
    <w:rsid w:val="004B1F10"/>
    <w:rsid w:val="004B2035"/>
    <w:rsid w:val="004B2131"/>
    <w:rsid w:val="004B2174"/>
    <w:rsid w:val="004B2802"/>
    <w:rsid w:val="004B2ABD"/>
    <w:rsid w:val="004B2B52"/>
    <w:rsid w:val="004B3120"/>
    <w:rsid w:val="004B3176"/>
    <w:rsid w:val="004B319E"/>
    <w:rsid w:val="004B33D3"/>
    <w:rsid w:val="004B36BE"/>
    <w:rsid w:val="004B3B1D"/>
    <w:rsid w:val="004B3C02"/>
    <w:rsid w:val="004B3C9C"/>
    <w:rsid w:val="004B3D01"/>
    <w:rsid w:val="004B3DB6"/>
    <w:rsid w:val="004B4122"/>
    <w:rsid w:val="004B462B"/>
    <w:rsid w:val="004B47C6"/>
    <w:rsid w:val="004B4911"/>
    <w:rsid w:val="004B491A"/>
    <w:rsid w:val="004B4A19"/>
    <w:rsid w:val="004B4A95"/>
    <w:rsid w:val="004B4C38"/>
    <w:rsid w:val="004B4DB5"/>
    <w:rsid w:val="004B4FF9"/>
    <w:rsid w:val="004B5110"/>
    <w:rsid w:val="004B5201"/>
    <w:rsid w:val="004B54E0"/>
    <w:rsid w:val="004B5696"/>
    <w:rsid w:val="004B5CB0"/>
    <w:rsid w:val="004B5D20"/>
    <w:rsid w:val="004B5DE1"/>
    <w:rsid w:val="004B61F9"/>
    <w:rsid w:val="004B61FE"/>
    <w:rsid w:val="004B665F"/>
    <w:rsid w:val="004B6A2B"/>
    <w:rsid w:val="004B6A34"/>
    <w:rsid w:val="004B6CEF"/>
    <w:rsid w:val="004B6E62"/>
    <w:rsid w:val="004B6F87"/>
    <w:rsid w:val="004B719C"/>
    <w:rsid w:val="004B73DB"/>
    <w:rsid w:val="004B74F8"/>
    <w:rsid w:val="004B7577"/>
    <w:rsid w:val="004B75CB"/>
    <w:rsid w:val="004B77A6"/>
    <w:rsid w:val="004B7A76"/>
    <w:rsid w:val="004B7C4F"/>
    <w:rsid w:val="004B7C71"/>
    <w:rsid w:val="004B7CD0"/>
    <w:rsid w:val="004C01F4"/>
    <w:rsid w:val="004C070D"/>
    <w:rsid w:val="004C0846"/>
    <w:rsid w:val="004C0934"/>
    <w:rsid w:val="004C0AAB"/>
    <w:rsid w:val="004C0BE5"/>
    <w:rsid w:val="004C0E4E"/>
    <w:rsid w:val="004C0F48"/>
    <w:rsid w:val="004C15AF"/>
    <w:rsid w:val="004C16F0"/>
    <w:rsid w:val="004C176B"/>
    <w:rsid w:val="004C1862"/>
    <w:rsid w:val="004C1F25"/>
    <w:rsid w:val="004C1FFB"/>
    <w:rsid w:val="004C2105"/>
    <w:rsid w:val="004C2446"/>
    <w:rsid w:val="004C24F6"/>
    <w:rsid w:val="004C25E2"/>
    <w:rsid w:val="004C268F"/>
    <w:rsid w:val="004C2901"/>
    <w:rsid w:val="004C2A07"/>
    <w:rsid w:val="004C2C55"/>
    <w:rsid w:val="004C2E65"/>
    <w:rsid w:val="004C2FEC"/>
    <w:rsid w:val="004C32F8"/>
    <w:rsid w:val="004C3404"/>
    <w:rsid w:val="004C3627"/>
    <w:rsid w:val="004C3631"/>
    <w:rsid w:val="004C366D"/>
    <w:rsid w:val="004C36DA"/>
    <w:rsid w:val="004C3815"/>
    <w:rsid w:val="004C3C20"/>
    <w:rsid w:val="004C3C6E"/>
    <w:rsid w:val="004C3E8F"/>
    <w:rsid w:val="004C4055"/>
    <w:rsid w:val="004C40DA"/>
    <w:rsid w:val="004C45B7"/>
    <w:rsid w:val="004C49EE"/>
    <w:rsid w:val="004C4AAF"/>
    <w:rsid w:val="004C4B13"/>
    <w:rsid w:val="004C4DED"/>
    <w:rsid w:val="004C4E33"/>
    <w:rsid w:val="004C50B9"/>
    <w:rsid w:val="004C5301"/>
    <w:rsid w:val="004C5355"/>
    <w:rsid w:val="004C54F0"/>
    <w:rsid w:val="004C551D"/>
    <w:rsid w:val="004C59C9"/>
    <w:rsid w:val="004C5ABC"/>
    <w:rsid w:val="004C5BF2"/>
    <w:rsid w:val="004C66C4"/>
    <w:rsid w:val="004C69B5"/>
    <w:rsid w:val="004C6ACA"/>
    <w:rsid w:val="004C6BCF"/>
    <w:rsid w:val="004C6C18"/>
    <w:rsid w:val="004C6C22"/>
    <w:rsid w:val="004C6CCD"/>
    <w:rsid w:val="004C6DF1"/>
    <w:rsid w:val="004C70E1"/>
    <w:rsid w:val="004C7188"/>
    <w:rsid w:val="004C72E3"/>
    <w:rsid w:val="004C73A7"/>
    <w:rsid w:val="004C7839"/>
    <w:rsid w:val="004C78A3"/>
    <w:rsid w:val="004C7D5D"/>
    <w:rsid w:val="004C7E75"/>
    <w:rsid w:val="004D0058"/>
    <w:rsid w:val="004D0A70"/>
    <w:rsid w:val="004D0C15"/>
    <w:rsid w:val="004D0C37"/>
    <w:rsid w:val="004D0C89"/>
    <w:rsid w:val="004D0E39"/>
    <w:rsid w:val="004D0EBE"/>
    <w:rsid w:val="004D14B6"/>
    <w:rsid w:val="004D14BE"/>
    <w:rsid w:val="004D1631"/>
    <w:rsid w:val="004D174A"/>
    <w:rsid w:val="004D1B2F"/>
    <w:rsid w:val="004D1CD3"/>
    <w:rsid w:val="004D2174"/>
    <w:rsid w:val="004D2D04"/>
    <w:rsid w:val="004D2E14"/>
    <w:rsid w:val="004D2F42"/>
    <w:rsid w:val="004D3012"/>
    <w:rsid w:val="004D3030"/>
    <w:rsid w:val="004D315C"/>
    <w:rsid w:val="004D36C8"/>
    <w:rsid w:val="004D3851"/>
    <w:rsid w:val="004D395B"/>
    <w:rsid w:val="004D3B08"/>
    <w:rsid w:val="004D3DC5"/>
    <w:rsid w:val="004D402A"/>
    <w:rsid w:val="004D4158"/>
    <w:rsid w:val="004D443C"/>
    <w:rsid w:val="004D4530"/>
    <w:rsid w:val="004D45A5"/>
    <w:rsid w:val="004D46AC"/>
    <w:rsid w:val="004D47D3"/>
    <w:rsid w:val="004D4851"/>
    <w:rsid w:val="004D48CA"/>
    <w:rsid w:val="004D4A08"/>
    <w:rsid w:val="004D4A53"/>
    <w:rsid w:val="004D4AB0"/>
    <w:rsid w:val="004D4AD0"/>
    <w:rsid w:val="004D4F16"/>
    <w:rsid w:val="004D4F1C"/>
    <w:rsid w:val="004D5156"/>
    <w:rsid w:val="004D5190"/>
    <w:rsid w:val="004D54C5"/>
    <w:rsid w:val="004D58BF"/>
    <w:rsid w:val="004D5972"/>
    <w:rsid w:val="004D5CB9"/>
    <w:rsid w:val="004D5D1E"/>
    <w:rsid w:val="004D5DE0"/>
    <w:rsid w:val="004D5F34"/>
    <w:rsid w:val="004D5FF3"/>
    <w:rsid w:val="004D60F4"/>
    <w:rsid w:val="004D62BB"/>
    <w:rsid w:val="004D6495"/>
    <w:rsid w:val="004D691B"/>
    <w:rsid w:val="004D6951"/>
    <w:rsid w:val="004D6BB7"/>
    <w:rsid w:val="004D7071"/>
    <w:rsid w:val="004D70CC"/>
    <w:rsid w:val="004D73AD"/>
    <w:rsid w:val="004D74AC"/>
    <w:rsid w:val="004D7532"/>
    <w:rsid w:val="004D7589"/>
    <w:rsid w:val="004D76BE"/>
    <w:rsid w:val="004D772C"/>
    <w:rsid w:val="004D778B"/>
    <w:rsid w:val="004D7AF8"/>
    <w:rsid w:val="004E0264"/>
    <w:rsid w:val="004E0275"/>
    <w:rsid w:val="004E0306"/>
    <w:rsid w:val="004E0320"/>
    <w:rsid w:val="004E0333"/>
    <w:rsid w:val="004E03B7"/>
    <w:rsid w:val="004E0509"/>
    <w:rsid w:val="004E06CB"/>
    <w:rsid w:val="004E0C0F"/>
    <w:rsid w:val="004E0C48"/>
    <w:rsid w:val="004E0CDF"/>
    <w:rsid w:val="004E0CF2"/>
    <w:rsid w:val="004E0DE7"/>
    <w:rsid w:val="004E121A"/>
    <w:rsid w:val="004E13C2"/>
    <w:rsid w:val="004E16DD"/>
    <w:rsid w:val="004E170F"/>
    <w:rsid w:val="004E183E"/>
    <w:rsid w:val="004E221E"/>
    <w:rsid w:val="004E2227"/>
    <w:rsid w:val="004E2485"/>
    <w:rsid w:val="004E26B4"/>
    <w:rsid w:val="004E2A43"/>
    <w:rsid w:val="004E2C56"/>
    <w:rsid w:val="004E2CBC"/>
    <w:rsid w:val="004E2D16"/>
    <w:rsid w:val="004E2F64"/>
    <w:rsid w:val="004E3006"/>
    <w:rsid w:val="004E307E"/>
    <w:rsid w:val="004E3243"/>
    <w:rsid w:val="004E324E"/>
    <w:rsid w:val="004E33DA"/>
    <w:rsid w:val="004E33E5"/>
    <w:rsid w:val="004E34AB"/>
    <w:rsid w:val="004E35F7"/>
    <w:rsid w:val="004E3AA1"/>
    <w:rsid w:val="004E3FAE"/>
    <w:rsid w:val="004E408F"/>
    <w:rsid w:val="004E41D8"/>
    <w:rsid w:val="004E42B8"/>
    <w:rsid w:val="004E4335"/>
    <w:rsid w:val="004E4648"/>
    <w:rsid w:val="004E4C2C"/>
    <w:rsid w:val="004E4FC2"/>
    <w:rsid w:val="004E50AA"/>
    <w:rsid w:val="004E50F5"/>
    <w:rsid w:val="004E530F"/>
    <w:rsid w:val="004E5495"/>
    <w:rsid w:val="004E566D"/>
    <w:rsid w:val="004E576B"/>
    <w:rsid w:val="004E582F"/>
    <w:rsid w:val="004E59FF"/>
    <w:rsid w:val="004E5AC1"/>
    <w:rsid w:val="004E5ACF"/>
    <w:rsid w:val="004E5BAC"/>
    <w:rsid w:val="004E5EBD"/>
    <w:rsid w:val="004E5FDC"/>
    <w:rsid w:val="004E62A6"/>
    <w:rsid w:val="004E6420"/>
    <w:rsid w:val="004E661C"/>
    <w:rsid w:val="004E6BE6"/>
    <w:rsid w:val="004E6CC9"/>
    <w:rsid w:val="004E7350"/>
    <w:rsid w:val="004E7814"/>
    <w:rsid w:val="004E7A46"/>
    <w:rsid w:val="004E7F25"/>
    <w:rsid w:val="004F0107"/>
    <w:rsid w:val="004F02BE"/>
    <w:rsid w:val="004F063B"/>
    <w:rsid w:val="004F0D0F"/>
    <w:rsid w:val="004F13EE"/>
    <w:rsid w:val="004F17A0"/>
    <w:rsid w:val="004F1901"/>
    <w:rsid w:val="004F19E0"/>
    <w:rsid w:val="004F1A02"/>
    <w:rsid w:val="004F1D55"/>
    <w:rsid w:val="004F2022"/>
    <w:rsid w:val="004F23BF"/>
    <w:rsid w:val="004F23D5"/>
    <w:rsid w:val="004F2633"/>
    <w:rsid w:val="004F26D5"/>
    <w:rsid w:val="004F280D"/>
    <w:rsid w:val="004F294E"/>
    <w:rsid w:val="004F2C75"/>
    <w:rsid w:val="004F2D02"/>
    <w:rsid w:val="004F2EF4"/>
    <w:rsid w:val="004F303B"/>
    <w:rsid w:val="004F3170"/>
    <w:rsid w:val="004F3192"/>
    <w:rsid w:val="004F3355"/>
    <w:rsid w:val="004F33C8"/>
    <w:rsid w:val="004F3411"/>
    <w:rsid w:val="004F35A5"/>
    <w:rsid w:val="004F3A3C"/>
    <w:rsid w:val="004F3A6B"/>
    <w:rsid w:val="004F3D30"/>
    <w:rsid w:val="004F3D43"/>
    <w:rsid w:val="004F3E50"/>
    <w:rsid w:val="004F3EEF"/>
    <w:rsid w:val="004F3F3E"/>
    <w:rsid w:val="004F415C"/>
    <w:rsid w:val="004F447A"/>
    <w:rsid w:val="004F4644"/>
    <w:rsid w:val="004F47CB"/>
    <w:rsid w:val="004F48A0"/>
    <w:rsid w:val="004F49FD"/>
    <w:rsid w:val="004F4C70"/>
    <w:rsid w:val="004F4CFF"/>
    <w:rsid w:val="004F4F9F"/>
    <w:rsid w:val="004F50E8"/>
    <w:rsid w:val="004F52AB"/>
    <w:rsid w:val="004F52EF"/>
    <w:rsid w:val="004F5300"/>
    <w:rsid w:val="004F54D7"/>
    <w:rsid w:val="004F59B4"/>
    <w:rsid w:val="004F5C21"/>
    <w:rsid w:val="004F5C6A"/>
    <w:rsid w:val="004F5EF8"/>
    <w:rsid w:val="004F5F0A"/>
    <w:rsid w:val="004F6577"/>
    <w:rsid w:val="004F6617"/>
    <w:rsid w:val="004F6663"/>
    <w:rsid w:val="004F6818"/>
    <w:rsid w:val="004F6BEC"/>
    <w:rsid w:val="004F6D5E"/>
    <w:rsid w:val="004F6DA2"/>
    <w:rsid w:val="004F76FA"/>
    <w:rsid w:val="004F797B"/>
    <w:rsid w:val="004F7B90"/>
    <w:rsid w:val="004F7C05"/>
    <w:rsid w:val="004F7EF1"/>
    <w:rsid w:val="005005F5"/>
    <w:rsid w:val="00500731"/>
    <w:rsid w:val="00500A15"/>
    <w:rsid w:val="00500C32"/>
    <w:rsid w:val="00500E1C"/>
    <w:rsid w:val="00500E6C"/>
    <w:rsid w:val="005010CB"/>
    <w:rsid w:val="005010E0"/>
    <w:rsid w:val="005010FA"/>
    <w:rsid w:val="005016C5"/>
    <w:rsid w:val="005019D2"/>
    <w:rsid w:val="00501AD6"/>
    <w:rsid w:val="00501C94"/>
    <w:rsid w:val="0050240F"/>
    <w:rsid w:val="005024E9"/>
    <w:rsid w:val="005028A4"/>
    <w:rsid w:val="00502A28"/>
    <w:rsid w:val="00502E24"/>
    <w:rsid w:val="00502FF6"/>
    <w:rsid w:val="0050302B"/>
    <w:rsid w:val="005030E2"/>
    <w:rsid w:val="00503115"/>
    <w:rsid w:val="005033CC"/>
    <w:rsid w:val="00503408"/>
    <w:rsid w:val="00503DC7"/>
    <w:rsid w:val="00503F4D"/>
    <w:rsid w:val="00503FE7"/>
    <w:rsid w:val="00504187"/>
    <w:rsid w:val="00504459"/>
    <w:rsid w:val="00504D9C"/>
    <w:rsid w:val="00504ECF"/>
    <w:rsid w:val="00505069"/>
    <w:rsid w:val="005054F1"/>
    <w:rsid w:val="00505543"/>
    <w:rsid w:val="00505615"/>
    <w:rsid w:val="00505626"/>
    <w:rsid w:val="0050587B"/>
    <w:rsid w:val="00505885"/>
    <w:rsid w:val="00505A12"/>
    <w:rsid w:val="00505A4B"/>
    <w:rsid w:val="00505B18"/>
    <w:rsid w:val="00505CC6"/>
    <w:rsid w:val="00506432"/>
    <w:rsid w:val="00506605"/>
    <w:rsid w:val="005067F3"/>
    <w:rsid w:val="0050682F"/>
    <w:rsid w:val="0050684B"/>
    <w:rsid w:val="00506929"/>
    <w:rsid w:val="00506AE3"/>
    <w:rsid w:val="00506E26"/>
    <w:rsid w:val="00507005"/>
    <w:rsid w:val="005073FE"/>
    <w:rsid w:val="00507403"/>
    <w:rsid w:val="00507481"/>
    <w:rsid w:val="005076AC"/>
    <w:rsid w:val="00507938"/>
    <w:rsid w:val="00507C57"/>
    <w:rsid w:val="00507C67"/>
    <w:rsid w:val="005102F2"/>
    <w:rsid w:val="0051047B"/>
    <w:rsid w:val="00510682"/>
    <w:rsid w:val="00510685"/>
    <w:rsid w:val="005106FF"/>
    <w:rsid w:val="00510763"/>
    <w:rsid w:val="005107B5"/>
    <w:rsid w:val="005107BE"/>
    <w:rsid w:val="005109DE"/>
    <w:rsid w:val="00510AF0"/>
    <w:rsid w:val="00510DBD"/>
    <w:rsid w:val="00511303"/>
    <w:rsid w:val="005114C1"/>
    <w:rsid w:val="00511662"/>
    <w:rsid w:val="005119D3"/>
    <w:rsid w:val="005119FB"/>
    <w:rsid w:val="00511D72"/>
    <w:rsid w:val="0051242B"/>
    <w:rsid w:val="005124CF"/>
    <w:rsid w:val="00512687"/>
    <w:rsid w:val="00512746"/>
    <w:rsid w:val="0051283A"/>
    <w:rsid w:val="00512B1A"/>
    <w:rsid w:val="00512C40"/>
    <w:rsid w:val="00512D22"/>
    <w:rsid w:val="00513380"/>
    <w:rsid w:val="00513515"/>
    <w:rsid w:val="00513575"/>
    <w:rsid w:val="00513649"/>
    <w:rsid w:val="005137EA"/>
    <w:rsid w:val="00513A79"/>
    <w:rsid w:val="00513AEB"/>
    <w:rsid w:val="00513BF8"/>
    <w:rsid w:val="00513C7C"/>
    <w:rsid w:val="00513D02"/>
    <w:rsid w:val="00513DEE"/>
    <w:rsid w:val="00513FF9"/>
    <w:rsid w:val="0051406A"/>
    <w:rsid w:val="00514261"/>
    <w:rsid w:val="005143A3"/>
    <w:rsid w:val="005146A8"/>
    <w:rsid w:val="00514780"/>
    <w:rsid w:val="00514AB7"/>
    <w:rsid w:val="00514CBC"/>
    <w:rsid w:val="005151FF"/>
    <w:rsid w:val="0051533E"/>
    <w:rsid w:val="00515470"/>
    <w:rsid w:val="005157C6"/>
    <w:rsid w:val="00515A02"/>
    <w:rsid w:val="00515B12"/>
    <w:rsid w:val="00515CCB"/>
    <w:rsid w:val="00515D50"/>
    <w:rsid w:val="00515E76"/>
    <w:rsid w:val="00515E96"/>
    <w:rsid w:val="005163C9"/>
    <w:rsid w:val="005166A1"/>
    <w:rsid w:val="00516734"/>
    <w:rsid w:val="005167BD"/>
    <w:rsid w:val="00517142"/>
    <w:rsid w:val="005171B0"/>
    <w:rsid w:val="00517345"/>
    <w:rsid w:val="005176E6"/>
    <w:rsid w:val="005176EF"/>
    <w:rsid w:val="0051787F"/>
    <w:rsid w:val="005178C6"/>
    <w:rsid w:val="00517CBD"/>
    <w:rsid w:val="00517D2E"/>
    <w:rsid w:val="00517DF2"/>
    <w:rsid w:val="00520004"/>
    <w:rsid w:val="005200A7"/>
    <w:rsid w:val="005202FC"/>
    <w:rsid w:val="005203F7"/>
    <w:rsid w:val="0052051D"/>
    <w:rsid w:val="005207E1"/>
    <w:rsid w:val="00520AA8"/>
    <w:rsid w:val="005215B9"/>
    <w:rsid w:val="00521782"/>
    <w:rsid w:val="00521ABA"/>
    <w:rsid w:val="00521AC0"/>
    <w:rsid w:val="00521EAE"/>
    <w:rsid w:val="00521F2E"/>
    <w:rsid w:val="00521F97"/>
    <w:rsid w:val="00521FEB"/>
    <w:rsid w:val="0052223D"/>
    <w:rsid w:val="00522287"/>
    <w:rsid w:val="00522534"/>
    <w:rsid w:val="0052268E"/>
    <w:rsid w:val="00522799"/>
    <w:rsid w:val="00522880"/>
    <w:rsid w:val="00522AD5"/>
    <w:rsid w:val="00522C09"/>
    <w:rsid w:val="00522F87"/>
    <w:rsid w:val="00522FF7"/>
    <w:rsid w:val="0052306A"/>
    <w:rsid w:val="005231B7"/>
    <w:rsid w:val="0052394B"/>
    <w:rsid w:val="00523AF0"/>
    <w:rsid w:val="00523E30"/>
    <w:rsid w:val="00524292"/>
    <w:rsid w:val="005243A2"/>
    <w:rsid w:val="00524878"/>
    <w:rsid w:val="005249E4"/>
    <w:rsid w:val="00524AD1"/>
    <w:rsid w:val="00524F04"/>
    <w:rsid w:val="00525083"/>
    <w:rsid w:val="00525173"/>
    <w:rsid w:val="00525251"/>
    <w:rsid w:val="0052549B"/>
    <w:rsid w:val="0052565F"/>
    <w:rsid w:val="0052570D"/>
    <w:rsid w:val="00525839"/>
    <w:rsid w:val="0052598A"/>
    <w:rsid w:val="00525B32"/>
    <w:rsid w:val="00525C4C"/>
    <w:rsid w:val="00525C5E"/>
    <w:rsid w:val="00525D24"/>
    <w:rsid w:val="0052602C"/>
    <w:rsid w:val="00526057"/>
    <w:rsid w:val="00526106"/>
    <w:rsid w:val="005261E0"/>
    <w:rsid w:val="005265AA"/>
    <w:rsid w:val="005267AF"/>
    <w:rsid w:val="005268CB"/>
    <w:rsid w:val="005269E8"/>
    <w:rsid w:val="00526A6E"/>
    <w:rsid w:val="00526AE8"/>
    <w:rsid w:val="00526B67"/>
    <w:rsid w:val="00526BA8"/>
    <w:rsid w:val="00526BC6"/>
    <w:rsid w:val="00526CFB"/>
    <w:rsid w:val="00526F7A"/>
    <w:rsid w:val="005270F4"/>
    <w:rsid w:val="00527669"/>
    <w:rsid w:val="005276D4"/>
    <w:rsid w:val="00530019"/>
    <w:rsid w:val="00530570"/>
    <w:rsid w:val="00530790"/>
    <w:rsid w:val="005307CE"/>
    <w:rsid w:val="00530828"/>
    <w:rsid w:val="00530A3E"/>
    <w:rsid w:val="00530D54"/>
    <w:rsid w:val="00530EA0"/>
    <w:rsid w:val="00530F76"/>
    <w:rsid w:val="005314F2"/>
    <w:rsid w:val="005320BC"/>
    <w:rsid w:val="0053210E"/>
    <w:rsid w:val="00532149"/>
    <w:rsid w:val="00532151"/>
    <w:rsid w:val="00532360"/>
    <w:rsid w:val="00532564"/>
    <w:rsid w:val="005326D2"/>
    <w:rsid w:val="00532D68"/>
    <w:rsid w:val="00532DF3"/>
    <w:rsid w:val="00532DFA"/>
    <w:rsid w:val="00532FA7"/>
    <w:rsid w:val="00533224"/>
    <w:rsid w:val="00533281"/>
    <w:rsid w:val="0053336E"/>
    <w:rsid w:val="005333DC"/>
    <w:rsid w:val="0053386D"/>
    <w:rsid w:val="00533EC1"/>
    <w:rsid w:val="0053416A"/>
    <w:rsid w:val="0053470E"/>
    <w:rsid w:val="00534A0B"/>
    <w:rsid w:val="00534BC4"/>
    <w:rsid w:val="005352E9"/>
    <w:rsid w:val="00535484"/>
    <w:rsid w:val="0053562E"/>
    <w:rsid w:val="00535B6E"/>
    <w:rsid w:val="00535D51"/>
    <w:rsid w:val="00535DB8"/>
    <w:rsid w:val="00535E10"/>
    <w:rsid w:val="00536052"/>
    <w:rsid w:val="0053684E"/>
    <w:rsid w:val="00536A92"/>
    <w:rsid w:val="00536B08"/>
    <w:rsid w:val="00536B41"/>
    <w:rsid w:val="00536C72"/>
    <w:rsid w:val="00536D7F"/>
    <w:rsid w:val="00536DA8"/>
    <w:rsid w:val="00536F39"/>
    <w:rsid w:val="00537588"/>
    <w:rsid w:val="00537826"/>
    <w:rsid w:val="00537A01"/>
    <w:rsid w:val="00537AAF"/>
    <w:rsid w:val="00537DE1"/>
    <w:rsid w:val="005400E7"/>
    <w:rsid w:val="0054041B"/>
    <w:rsid w:val="00540503"/>
    <w:rsid w:val="0054053C"/>
    <w:rsid w:val="005405AC"/>
    <w:rsid w:val="00540C52"/>
    <w:rsid w:val="00540CB7"/>
    <w:rsid w:val="00541023"/>
    <w:rsid w:val="00541317"/>
    <w:rsid w:val="005414CA"/>
    <w:rsid w:val="0054189B"/>
    <w:rsid w:val="005418AD"/>
    <w:rsid w:val="0054196E"/>
    <w:rsid w:val="00541C27"/>
    <w:rsid w:val="00541CA2"/>
    <w:rsid w:val="00541F5C"/>
    <w:rsid w:val="005420E5"/>
    <w:rsid w:val="00542183"/>
    <w:rsid w:val="005423F3"/>
    <w:rsid w:val="00542574"/>
    <w:rsid w:val="005425CC"/>
    <w:rsid w:val="00542631"/>
    <w:rsid w:val="0054281A"/>
    <w:rsid w:val="00542DC6"/>
    <w:rsid w:val="00542F02"/>
    <w:rsid w:val="00542FD2"/>
    <w:rsid w:val="00543562"/>
    <w:rsid w:val="005437D2"/>
    <w:rsid w:val="005438A6"/>
    <w:rsid w:val="005439FA"/>
    <w:rsid w:val="00543AFA"/>
    <w:rsid w:val="00544258"/>
    <w:rsid w:val="00544475"/>
    <w:rsid w:val="00544485"/>
    <w:rsid w:val="00544624"/>
    <w:rsid w:val="005447A6"/>
    <w:rsid w:val="00544A65"/>
    <w:rsid w:val="00544DD4"/>
    <w:rsid w:val="00544E2C"/>
    <w:rsid w:val="00544E5D"/>
    <w:rsid w:val="005451D2"/>
    <w:rsid w:val="00545973"/>
    <w:rsid w:val="00545D86"/>
    <w:rsid w:val="00545E25"/>
    <w:rsid w:val="00545EE6"/>
    <w:rsid w:val="00545F70"/>
    <w:rsid w:val="00546389"/>
    <w:rsid w:val="0054645B"/>
    <w:rsid w:val="005464FB"/>
    <w:rsid w:val="0054650B"/>
    <w:rsid w:val="005466EB"/>
    <w:rsid w:val="005468A2"/>
    <w:rsid w:val="005468F5"/>
    <w:rsid w:val="00546A7F"/>
    <w:rsid w:val="00546EF6"/>
    <w:rsid w:val="005470C4"/>
    <w:rsid w:val="00547566"/>
    <w:rsid w:val="00547649"/>
    <w:rsid w:val="00547AD0"/>
    <w:rsid w:val="00547C18"/>
    <w:rsid w:val="00547E75"/>
    <w:rsid w:val="00550078"/>
    <w:rsid w:val="005501CC"/>
    <w:rsid w:val="005502F1"/>
    <w:rsid w:val="00550514"/>
    <w:rsid w:val="005505DF"/>
    <w:rsid w:val="00550C19"/>
    <w:rsid w:val="00550D1A"/>
    <w:rsid w:val="00550EE1"/>
    <w:rsid w:val="0055115E"/>
    <w:rsid w:val="0055136C"/>
    <w:rsid w:val="00551845"/>
    <w:rsid w:val="00551FBD"/>
    <w:rsid w:val="00551FE9"/>
    <w:rsid w:val="0055208C"/>
    <w:rsid w:val="005520F3"/>
    <w:rsid w:val="00552140"/>
    <w:rsid w:val="0055217A"/>
    <w:rsid w:val="005522FD"/>
    <w:rsid w:val="00552769"/>
    <w:rsid w:val="005529E2"/>
    <w:rsid w:val="00552ACD"/>
    <w:rsid w:val="00552AF4"/>
    <w:rsid w:val="00552C41"/>
    <w:rsid w:val="00552CDE"/>
    <w:rsid w:val="00552F0C"/>
    <w:rsid w:val="0055302B"/>
    <w:rsid w:val="0055336D"/>
    <w:rsid w:val="0055337A"/>
    <w:rsid w:val="00553992"/>
    <w:rsid w:val="00553C70"/>
    <w:rsid w:val="00553E6C"/>
    <w:rsid w:val="00554023"/>
    <w:rsid w:val="00554207"/>
    <w:rsid w:val="005545A9"/>
    <w:rsid w:val="00554A7D"/>
    <w:rsid w:val="00554BFD"/>
    <w:rsid w:val="00554C1E"/>
    <w:rsid w:val="005550CB"/>
    <w:rsid w:val="005550E7"/>
    <w:rsid w:val="00555322"/>
    <w:rsid w:val="0055555F"/>
    <w:rsid w:val="00555795"/>
    <w:rsid w:val="0055585C"/>
    <w:rsid w:val="005559C5"/>
    <w:rsid w:val="00555CD0"/>
    <w:rsid w:val="00555F6A"/>
    <w:rsid w:val="00556455"/>
    <w:rsid w:val="005564FB"/>
    <w:rsid w:val="0055688D"/>
    <w:rsid w:val="00556941"/>
    <w:rsid w:val="005569C5"/>
    <w:rsid w:val="00556B16"/>
    <w:rsid w:val="00556CC7"/>
    <w:rsid w:val="00556CDF"/>
    <w:rsid w:val="00556D7A"/>
    <w:rsid w:val="00556E57"/>
    <w:rsid w:val="00556F68"/>
    <w:rsid w:val="005572C7"/>
    <w:rsid w:val="005573EE"/>
    <w:rsid w:val="00557490"/>
    <w:rsid w:val="0055749E"/>
    <w:rsid w:val="0055749F"/>
    <w:rsid w:val="00557660"/>
    <w:rsid w:val="005576B4"/>
    <w:rsid w:val="005579D6"/>
    <w:rsid w:val="00557DE2"/>
    <w:rsid w:val="00557DEE"/>
    <w:rsid w:val="0056001B"/>
    <w:rsid w:val="00560156"/>
    <w:rsid w:val="005605E8"/>
    <w:rsid w:val="0056064F"/>
    <w:rsid w:val="00560747"/>
    <w:rsid w:val="0056077B"/>
    <w:rsid w:val="00560BBF"/>
    <w:rsid w:val="00560C03"/>
    <w:rsid w:val="00560DCE"/>
    <w:rsid w:val="00561301"/>
    <w:rsid w:val="00561875"/>
    <w:rsid w:val="0056189A"/>
    <w:rsid w:val="00561AAF"/>
    <w:rsid w:val="00561B01"/>
    <w:rsid w:val="00561CF2"/>
    <w:rsid w:val="005621D5"/>
    <w:rsid w:val="005621EE"/>
    <w:rsid w:val="0056233A"/>
    <w:rsid w:val="00562531"/>
    <w:rsid w:val="005626AA"/>
    <w:rsid w:val="00562938"/>
    <w:rsid w:val="00562BC0"/>
    <w:rsid w:val="00562F8E"/>
    <w:rsid w:val="00563218"/>
    <w:rsid w:val="0056334E"/>
    <w:rsid w:val="00563645"/>
    <w:rsid w:val="00563742"/>
    <w:rsid w:val="00563A3F"/>
    <w:rsid w:val="00563D96"/>
    <w:rsid w:val="00563E06"/>
    <w:rsid w:val="00563E2D"/>
    <w:rsid w:val="0056404E"/>
    <w:rsid w:val="0056431D"/>
    <w:rsid w:val="00564446"/>
    <w:rsid w:val="0056449C"/>
    <w:rsid w:val="00564567"/>
    <w:rsid w:val="005645A9"/>
    <w:rsid w:val="0056480E"/>
    <w:rsid w:val="005649ED"/>
    <w:rsid w:val="00564A75"/>
    <w:rsid w:val="00564C88"/>
    <w:rsid w:val="00564D9E"/>
    <w:rsid w:val="00564E81"/>
    <w:rsid w:val="00564EEC"/>
    <w:rsid w:val="005650ED"/>
    <w:rsid w:val="005651B8"/>
    <w:rsid w:val="005651C3"/>
    <w:rsid w:val="00565294"/>
    <w:rsid w:val="0056568C"/>
    <w:rsid w:val="0056577D"/>
    <w:rsid w:val="005659C9"/>
    <w:rsid w:val="00565B34"/>
    <w:rsid w:val="00565C44"/>
    <w:rsid w:val="00565E9F"/>
    <w:rsid w:val="005663C7"/>
    <w:rsid w:val="00566488"/>
    <w:rsid w:val="0056654A"/>
    <w:rsid w:val="005668A2"/>
    <w:rsid w:val="00566BD2"/>
    <w:rsid w:val="00566D0C"/>
    <w:rsid w:val="00566DEF"/>
    <w:rsid w:val="00566E71"/>
    <w:rsid w:val="0056710E"/>
    <w:rsid w:val="005675EE"/>
    <w:rsid w:val="005679C7"/>
    <w:rsid w:val="00567A2F"/>
    <w:rsid w:val="00567CEF"/>
    <w:rsid w:val="00570431"/>
    <w:rsid w:val="00570690"/>
    <w:rsid w:val="005707ED"/>
    <w:rsid w:val="0057081D"/>
    <w:rsid w:val="0057086B"/>
    <w:rsid w:val="00570A47"/>
    <w:rsid w:val="00570CE4"/>
    <w:rsid w:val="0057103E"/>
    <w:rsid w:val="0057109B"/>
    <w:rsid w:val="00571B30"/>
    <w:rsid w:val="00571D22"/>
    <w:rsid w:val="005720A5"/>
    <w:rsid w:val="005721ED"/>
    <w:rsid w:val="00572358"/>
    <w:rsid w:val="005728B9"/>
    <w:rsid w:val="00572A5D"/>
    <w:rsid w:val="00572CA4"/>
    <w:rsid w:val="00572DA6"/>
    <w:rsid w:val="00572ED8"/>
    <w:rsid w:val="00572F8B"/>
    <w:rsid w:val="005732F9"/>
    <w:rsid w:val="005733C3"/>
    <w:rsid w:val="005736F3"/>
    <w:rsid w:val="0057381F"/>
    <w:rsid w:val="00573A2C"/>
    <w:rsid w:val="00573CB9"/>
    <w:rsid w:val="00573DB5"/>
    <w:rsid w:val="005742CA"/>
    <w:rsid w:val="00574453"/>
    <w:rsid w:val="0057449F"/>
    <w:rsid w:val="00574740"/>
    <w:rsid w:val="005749F8"/>
    <w:rsid w:val="00574A7D"/>
    <w:rsid w:val="00574BC0"/>
    <w:rsid w:val="00575155"/>
    <w:rsid w:val="00575267"/>
    <w:rsid w:val="005752DD"/>
    <w:rsid w:val="00575355"/>
    <w:rsid w:val="00575629"/>
    <w:rsid w:val="00575754"/>
    <w:rsid w:val="00575883"/>
    <w:rsid w:val="00575A4B"/>
    <w:rsid w:val="00575BE0"/>
    <w:rsid w:val="00575EDA"/>
    <w:rsid w:val="00575F91"/>
    <w:rsid w:val="00576013"/>
    <w:rsid w:val="00576042"/>
    <w:rsid w:val="0057606C"/>
    <w:rsid w:val="00576804"/>
    <w:rsid w:val="00576961"/>
    <w:rsid w:val="00576A3A"/>
    <w:rsid w:val="00576EA5"/>
    <w:rsid w:val="00576F24"/>
    <w:rsid w:val="00576FE3"/>
    <w:rsid w:val="00577140"/>
    <w:rsid w:val="00577198"/>
    <w:rsid w:val="005773CA"/>
    <w:rsid w:val="005773DA"/>
    <w:rsid w:val="00577B7A"/>
    <w:rsid w:val="00577C3E"/>
    <w:rsid w:val="00577CB9"/>
    <w:rsid w:val="00577D48"/>
    <w:rsid w:val="00577FFC"/>
    <w:rsid w:val="005803B3"/>
    <w:rsid w:val="0058058F"/>
    <w:rsid w:val="005806D1"/>
    <w:rsid w:val="0058096D"/>
    <w:rsid w:val="00580C07"/>
    <w:rsid w:val="00580DFB"/>
    <w:rsid w:val="00581253"/>
    <w:rsid w:val="005816F9"/>
    <w:rsid w:val="00581718"/>
    <w:rsid w:val="00581BE9"/>
    <w:rsid w:val="00581EF6"/>
    <w:rsid w:val="00582110"/>
    <w:rsid w:val="005823E8"/>
    <w:rsid w:val="00582617"/>
    <w:rsid w:val="005826F6"/>
    <w:rsid w:val="0058296A"/>
    <w:rsid w:val="005830F7"/>
    <w:rsid w:val="005831AB"/>
    <w:rsid w:val="005835CB"/>
    <w:rsid w:val="00583610"/>
    <w:rsid w:val="005838D7"/>
    <w:rsid w:val="00583972"/>
    <w:rsid w:val="00583AF9"/>
    <w:rsid w:val="00584710"/>
    <w:rsid w:val="005847A5"/>
    <w:rsid w:val="00584851"/>
    <w:rsid w:val="00584889"/>
    <w:rsid w:val="005848B7"/>
    <w:rsid w:val="005849BD"/>
    <w:rsid w:val="00585852"/>
    <w:rsid w:val="005858B4"/>
    <w:rsid w:val="00585C1C"/>
    <w:rsid w:val="00585C20"/>
    <w:rsid w:val="00585EA4"/>
    <w:rsid w:val="00585F0D"/>
    <w:rsid w:val="00586209"/>
    <w:rsid w:val="00586239"/>
    <w:rsid w:val="00586351"/>
    <w:rsid w:val="00586352"/>
    <w:rsid w:val="005864AF"/>
    <w:rsid w:val="005864D8"/>
    <w:rsid w:val="00586511"/>
    <w:rsid w:val="0058667E"/>
    <w:rsid w:val="00586788"/>
    <w:rsid w:val="0058687F"/>
    <w:rsid w:val="0058691F"/>
    <w:rsid w:val="005869A4"/>
    <w:rsid w:val="00586B2F"/>
    <w:rsid w:val="00586D7A"/>
    <w:rsid w:val="00586EB5"/>
    <w:rsid w:val="00586F9A"/>
    <w:rsid w:val="00587190"/>
    <w:rsid w:val="005878BB"/>
    <w:rsid w:val="00587C5F"/>
    <w:rsid w:val="00587D75"/>
    <w:rsid w:val="00587DD5"/>
    <w:rsid w:val="00587FE1"/>
    <w:rsid w:val="00590019"/>
    <w:rsid w:val="00590209"/>
    <w:rsid w:val="00590317"/>
    <w:rsid w:val="0059057F"/>
    <w:rsid w:val="00590AF1"/>
    <w:rsid w:val="00590B1E"/>
    <w:rsid w:val="00590B62"/>
    <w:rsid w:val="00590DC0"/>
    <w:rsid w:val="00590FF1"/>
    <w:rsid w:val="0059101F"/>
    <w:rsid w:val="005915F8"/>
    <w:rsid w:val="00591E20"/>
    <w:rsid w:val="00591EF2"/>
    <w:rsid w:val="005920AE"/>
    <w:rsid w:val="005923CC"/>
    <w:rsid w:val="0059275A"/>
    <w:rsid w:val="00592871"/>
    <w:rsid w:val="005928E2"/>
    <w:rsid w:val="00592BC4"/>
    <w:rsid w:val="00592ED7"/>
    <w:rsid w:val="00592F4D"/>
    <w:rsid w:val="00593043"/>
    <w:rsid w:val="0059305B"/>
    <w:rsid w:val="005934FB"/>
    <w:rsid w:val="0059367F"/>
    <w:rsid w:val="005936D7"/>
    <w:rsid w:val="00593707"/>
    <w:rsid w:val="00593811"/>
    <w:rsid w:val="0059383D"/>
    <w:rsid w:val="005939AC"/>
    <w:rsid w:val="00593ADF"/>
    <w:rsid w:val="00593C04"/>
    <w:rsid w:val="00593C6C"/>
    <w:rsid w:val="005940A3"/>
    <w:rsid w:val="005941C0"/>
    <w:rsid w:val="0059435F"/>
    <w:rsid w:val="00594483"/>
    <w:rsid w:val="00594A75"/>
    <w:rsid w:val="00594EFA"/>
    <w:rsid w:val="00595408"/>
    <w:rsid w:val="00595448"/>
    <w:rsid w:val="005954C2"/>
    <w:rsid w:val="005954F8"/>
    <w:rsid w:val="0059554B"/>
    <w:rsid w:val="005958BF"/>
    <w:rsid w:val="00595C8E"/>
    <w:rsid w:val="00595E84"/>
    <w:rsid w:val="00595F2A"/>
    <w:rsid w:val="00595F6D"/>
    <w:rsid w:val="00596149"/>
    <w:rsid w:val="005964D1"/>
    <w:rsid w:val="005966D3"/>
    <w:rsid w:val="0059674F"/>
    <w:rsid w:val="0059678C"/>
    <w:rsid w:val="005967B1"/>
    <w:rsid w:val="005967D0"/>
    <w:rsid w:val="0059685A"/>
    <w:rsid w:val="0059696B"/>
    <w:rsid w:val="00596A3D"/>
    <w:rsid w:val="00596B51"/>
    <w:rsid w:val="00596EA0"/>
    <w:rsid w:val="0059708E"/>
    <w:rsid w:val="0059729A"/>
    <w:rsid w:val="005977ED"/>
    <w:rsid w:val="00597B10"/>
    <w:rsid w:val="005A039A"/>
    <w:rsid w:val="005A03A1"/>
    <w:rsid w:val="005A03E7"/>
    <w:rsid w:val="005A0494"/>
    <w:rsid w:val="005A04D4"/>
    <w:rsid w:val="005A0B81"/>
    <w:rsid w:val="005A0C59"/>
    <w:rsid w:val="005A0E7B"/>
    <w:rsid w:val="005A0F88"/>
    <w:rsid w:val="005A1424"/>
    <w:rsid w:val="005A147B"/>
    <w:rsid w:val="005A14F0"/>
    <w:rsid w:val="005A193A"/>
    <w:rsid w:val="005A1B52"/>
    <w:rsid w:val="005A1CA1"/>
    <w:rsid w:val="005A2088"/>
    <w:rsid w:val="005A233E"/>
    <w:rsid w:val="005A2356"/>
    <w:rsid w:val="005A2420"/>
    <w:rsid w:val="005A24C7"/>
    <w:rsid w:val="005A24E7"/>
    <w:rsid w:val="005A24F2"/>
    <w:rsid w:val="005A250E"/>
    <w:rsid w:val="005A25C0"/>
    <w:rsid w:val="005A2937"/>
    <w:rsid w:val="005A3075"/>
    <w:rsid w:val="005A32AD"/>
    <w:rsid w:val="005A3322"/>
    <w:rsid w:val="005A340F"/>
    <w:rsid w:val="005A3494"/>
    <w:rsid w:val="005A36CE"/>
    <w:rsid w:val="005A37FA"/>
    <w:rsid w:val="005A3A91"/>
    <w:rsid w:val="005A3B9F"/>
    <w:rsid w:val="005A3CED"/>
    <w:rsid w:val="005A3D23"/>
    <w:rsid w:val="005A4048"/>
    <w:rsid w:val="005A4249"/>
    <w:rsid w:val="005A42FA"/>
    <w:rsid w:val="005A44E5"/>
    <w:rsid w:val="005A451C"/>
    <w:rsid w:val="005A4645"/>
    <w:rsid w:val="005A48EB"/>
    <w:rsid w:val="005A4A41"/>
    <w:rsid w:val="005A4D60"/>
    <w:rsid w:val="005A4FE3"/>
    <w:rsid w:val="005A5081"/>
    <w:rsid w:val="005A52C5"/>
    <w:rsid w:val="005A532E"/>
    <w:rsid w:val="005A64D8"/>
    <w:rsid w:val="005A6783"/>
    <w:rsid w:val="005A68CF"/>
    <w:rsid w:val="005A6A4C"/>
    <w:rsid w:val="005A6CFB"/>
    <w:rsid w:val="005A7130"/>
    <w:rsid w:val="005A73F4"/>
    <w:rsid w:val="005A77E1"/>
    <w:rsid w:val="005A7CF7"/>
    <w:rsid w:val="005B0024"/>
    <w:rsid w:val="005B0237"/>
    <w:rsid w:val="005B0305"/>
    <w:rsid w:val="005B0375"/>
    <w:rsid w:val="005B03F7"/>
    <w:rsid w:val="005B0489"/>
    <w:rsid w:val="005B04CB"/>
    <w:rsid w:val="005B0BAC"/>
    <w:rsid w:val="005B0C89"/>
    <w:rsid w:val="005B0D08"/>
    <w:rsid w:val="005B117D"/>
    <w:rsid w:val="005B11CB"/>
    <w:rsid w:val="005B1210"/>
    <w:rsid w:val="005B1817"/>
    <w:rsid w:val="005B18B7"/>
    <w:rsid w:val="005B1A93"/>
    <w:rsid w:val="005B1DDB"/>
    <w:rsid w:val="005B1E1C"/>
    <w:rsid w:val="005B1FE3"/>
    <w:rsid w:val="005B209B"/>
    <w:rsid w:val="005B21CB"/>
    <w:rsid w:val="005B2284"/>
    <w:rsid w:val="005B240B"/>
    <w:rsid w:val="005B2A17"/>
    <w:rsid w:val="005B2ABB"/>
    <w:rsid w:val="005B2E43"/>
    <w:rsid w:val="005B3013"/>
    <w:rsid w:val="005B30A8"/>
    <w:rsid w:val="005B313E"/>
    <w:rsid w:val="005B3551"/>
    <w:rsid w:val="005B3601"/>
    <w:rsid w:val="005B3632"/>
    <w:rsid w:val="005B3AC8"/>
    <w:rsid w:val="005B3AF2"/>
    <w:rsid w:val="005B3C7E"/>
    <w:rsid w:val="005B405B"/>
    <w:rsid w:val="005B4136"/>
    <w:rsid w:val="005B4187"/>
    <w:rsid w:val="005B42EB"/>
    <w:rsid w:val="005B4359"/>
    <w:rsid w:val="005B4377"/>
    <w:rsid w:val="005B47CD"/>
    <w:rsid w:val="005B4833"/>
    <w:rsid w:val="005B4F22"/>
    <w:rsid w:val="005B51AA"/>
    <w:rsid w:val="005B57FC"/>
    <w:rsid w:val="005B58A9"/>
    <w:rsid w:val="005B5CAF"/>
    <w:rsid w:val="005B5D58"/>
    <w:rsid w:val="005B6075"/>
    <w:rsid w:val="005B67CD"/>
    <w:rsid w:val="005B68BF"/>
    <w:rsid w:val="005B69FB"/>
    <w:rsid w:val="005B6F6D"/>
    <w:rsid w:val="005B7BD1"/>
    <w:rsid w:val="005B7BD5"/>
    <w:rsid w:val="005B7D04"/>
    <w:rsid w:val="005B7D3A"/>
    <w:rsid w:val="005B7E5F"/>
    <w:rsid w:val="005C0183"/>
    <w:rsid w:val="005C065F"/>
    <w:rsid w:val="005C06AD"/>
    <w:rsid w:val="005C073A"/>
    <w:rsid w:val="005C09C4"/>
    <w:rsid w:val="005C0B3B"/>
    <w:rsid w:val="005C0B9A"/>
    <w:rsid w:val="005C0D65"/>
    <w:rsid w:val="005C0DA5"/>
    <w:rsid w:val="005C0DC5"/>
    <w:rsid w:val="005C0E45"/>
    <w:rsid w:val="005C1044"/>
    <w:rsid w:val="005C1643"/>
    <w:rsid w:val="005C1734"/>
    <w:rsid w:val="005C1AB8"/>
    <w:rsid w:val="005C1F3F"/>
    <w:rsid w:val="005C2623"/>
    <w:rsid w:val="005C27C6"/>
    <w:rsid w:val="005C2909"/>
    <w:rsid w:val="005C297C"/>
    <w:rsid w:val="005C3078"/>
    <w:rsid w:val="005C3433"/>
    <w:rsid w:val="005C372A"/>
    <w:rsid w:val="005C3CF8"/>
    <w:rsid w:val="005C4054"/>
    <w:rsid w:val="005C491D"/>
    <w:rsid w:val="005C4A6C"/>
    <w:rsid w:val="005C4A7B"/>
    <w:rsid w:val="005C4E08"/>
    <w:rsid w:val="005C4F55"/>
    <w:rsid w:val="005C5077"/>
    <w:rsid w:val="005C50D7"/>
    <w:rsid w:val="005C534B"/>
    <w:rsid w:val="005C5582"/>
    <w:rsid w:val="005C5690"/>
    <w:rsid w:val="005C56CB"/>
    <w:rsid w:val="005C5831"/>
    <w:rsid w:val="005C5913"/>
    <w:rsid w:val="005C5A26"/>
    <w:rsid w:val="005C5AEB"/>
    <w:rsid w:val="005C6279"/>
    <w:rsid w:val="005C65B6"/>
    <w:rsid w:val="005C6600"/>
    <w:rsid w:val="005C696E"/>
    <w:rsid w:val="005C6F66"/>
    <w:rsid w:val="005C6FBB"/>
    <w:rsid w:val="005C7303"/>
    <w:rsid w:val="005C77B5"/>
    <w:rsid w:val="005C7A74"/>
    <w:rsid w:val="005C7B07"/>
    <w:rsid w:val="005C7F0C"/>
    <w:rsid w:val="005D0021"/>
    <w:rsid w:val="005D01A7"/>
    <w:rsid w:val="005D09F9"/>
    <w:rsid w:val="005D0CA0"/>
    <w:rsid w:val="005D0D20"/>
    <w:rsid w:val="005D0EF8"/>
    <w:rsid w:val="005D114E"/>
    <w:rsid w:val="005D122F"/>
    <w:rsid w:val="005D125E"/>
    <w:rsid w:val="005D12A5"/>
    <w:rsid w:val="005D138D"/>
    <w:rsid w:val="005D1637"/>
    <w:rsid w:val="005D173C"/>
    <w:rsid w:val="005D1818"/>
    <w:rsid w:val="005D1ACE"/>
    <w:rsid w:val="005D1D44"/>
    <w:rsid w:val="005D21E1"/>
    <w:rsid w:val="005D2AC7"/>
    <w:rsid w:val="005D2CBC"/>
    <w:rsid w:val="005D2DEE"/>
    <w:rsid w:val="005D2E30"/>
    <w:rsid w:val="005D3329"/>
    <w:rsid w:val="005D34D7"/>
    <w:rsid w:val="005D36C5"/>
    <w:rsid w:val="005D3BCD"/>
    <w:rsid w:val="005D3D77"/>
    <w:rsid w:val="005D4315"/>
    <w:rsid w:val="005D4473"/>
    <w:rsid w:val="005D456F"/>
    <w:rsid w:val="005D49FC"/>
    <w:rsid w:val="005D4A11"/>
    <w:rsid w:val="005D4B11"/>
    <w:rsid w:val="005D4C80"/>
    <w:rsid w:val="005D4D0F"/>
    <w:rsid w:val="005D4D22"/>
    <w:rsid w:val="005D4D79"/>
    <w:rsid w:val="005D50C3"/>
    <w:rsid w:val="005D51D4"/>
    <w:rsid w:val="005D5290"/>
    <w:rsid w:val="005D5412"/>
    <w:rsid w:val="005D5677"/>
    <w:rsid w:val="005D5713"/>
    <w:rsid w:val="005D5DCD"/>
    <w:rsid w:val="005D6351"/>
    <w:rsid w:val="005D637B"/>
    <w:rsid w:val="005D6445"/>
    <w:rsid w:val="005D6806"/>
    <w:rsid w:val="005D6934"/>
    <w:rsid w:val="005D6A0B"/>
    <w:rsid w:val="005D6AE4"/>
    <w:rsid w:val="005D6F92"/>
    <w:rsid w:val="005D7163"/>
    <w:rsid w:val="005D7374"/>
    <w:rsid w:val="005D756A"/>
    <w:rsid w:val="005D7581"/>
    <w:rsid w:val="005D76DA"/>
    <w:rsid w:val="005D7954"/>
    <w:rsid w:val="005D79D1"/>
    <w:rsid w:val="005D7A62"/>
    <w:rsid w:val="005D7DB8"/>
    <w:rsid w:val="005D7EC2"/>
    <w:rsid w:val="005E0775"/>
    <w:rsid w:val="005E0A3F"/>
    <w:rsid w:val="005E0C7B"/>
    <w:rsid w:val="005E0E26"/>
    <w:rsid w:val="005E1311"/>
    <w:rsid w:val="005E1347"/>
    <w:rsid w:val="005E17B4"/>
    <w:rsid w:val="005E1AEF"/>
    <w:rsid w:val="005E1AF8"/>
    <w:rsid w:val="005E1D04"/>
    <w:rsid w:val="005E1D84"/>
    <w:rsid w:val="005E1DB8"/>
    <w:rsid w:val="005E1FBA"/>
    <w:rsid w:val="005E20FE"/>
    <w:rsid w:val="005E2207"/>
    <w:rsid w:val="005E2A8B"/>
    <w:rsid w:val="005E2CFE"/>
    <w:rsid w:val="005E2E44"/>
    <w:rsid w:val="005E2E82"/>
    <w:rsid w:val="005E30C8"/>
    <w:rsid w:val="005E335B"/>
    <w:rsid w:val="005E335D"/>
    <w:rsid w:val="005E33A4"/>
    <w:rsid w:val="005E3482"/>
    <w:rsid w:val="005E3486"/>
    <w:rsid w:val="005E36D0"/>
    <w:rsid w:val="005E3770"/>
    <w:rsid w:val="005E39CA"/>
    <w:rsid w:val="005E3AA1"/>
    <w:rsid w:val="005E3C84"/>
    <w:rsid w:val="005E3CF1"/>
    <w:rsid w:val="005E3D0F"/>
    <w:rsid w:val="005E3D43"/>
    <w:rsid w:val="005E3DB8"/>
    <w:rsid w:val="005E3F5D"/>
    <w:rsid w:val="005E4107"/>
    <w:rsid w:val="005E4342"/>
    <w:rsid w:val="005E4373"/>
    <w:rsid w:val="005E491E"/>
    <w:rsid w:val="005E51AF"/>
    <w:rsid w:val="005E5431"/>
    <w:rsid w:val="005E5450"/>
    <w:rsid w:val="005E5566"/>
    <w:rsid w:val="005E5618"/>
    <w:rsid w:val="005E5681"/>
    <w:rsid w:val="005E5852"/>
    <w:rsid w:val="005E59E9"/>
    <w:rsid w:val="005E5DA9"/>
    <w:rsid w:val="005E5FF4"/>
    <w:rsid w:val="005E6193"/>
    <w:rsid w:val="005E61E8"/>
    <w:rsid w:val="005E6392"/>
    <w:rsid w:val="005E6680"/>
    <w:rsid w:val="005E67F5"/>
    <w:rsid w:val="005E6883"/>
    <w:rsid w:val="005E6D3D"/>
    <w:rsid w:val="005E6E05"/>
    <w:rsid w:val="005E706D"/>
    <w:rsid w:val="005E70BA"/>
    <w:rsid w:val="005E7290"/>
    <w:rsid w:val="005E7328"/>
    <w:rsid w:val="005E73F3"/>
    <w:rsid w:val="005E75FB"/>
    <w:rsid w:val="005E772F"/>
    <w:rsid w:val="005E77A9"/>
    <w:rsid w:val="005E7AE9"/>
    <w:rsid w:val="005E7B68"/>
    <w:rsid w:val="005E7C5C"/>
    <w:rsid w:val="005E7F36"/>
    <w:rsid w:val="005F04E2"/>
    <w:rsid w:val="005F0BDC"/>
    <w:rsid w:val="005F0D87"/>
    <w:rsid w:val="005F1059"/>
    <w:rsid w:val="005F10FA"/>
    <w:rsid w:val="005F1217"/>
    <w:rsid w:val="005F13B3"/>
    <w:rsid w:val="005F1522"/>
    <w:rsid w:val="005F1701"/>
    <w:rsid w:val="005F18A8"/>
    <w:rsid w:val="005F1AAF"/>
    <w:rsid w:val="005F1B14"/>
    <w:rsid w:val="005F1C4C"/>
    <w:rsid w:val="005F1EB7"/>
    <w:rsid w:val="005F2423"/>
    <w:rsid w:val="005F29AA"/>
    <w:rsid w:val="005F2F10"/>
    <w:rsid w:val="005F2F52"/>
    <w:rsid w:val="005F3132"/>
    <w:rsid w:val="005F3161"/>
    <w:rsid w:val="005F31B2"/>
    <w:rsid w:val="005F33AF"/>
    <w:rsid w:val="005F38B1"/>
    <w:rsid w:val="005F3E61"/>
    <w:rsid w:val="005F3EF0"/>
    <w:rsid w:val="005F44CA"/>
    <w:rsid w:val="005F4B9B"/>
    <w:rsid w:val="005F4CC6"/>
    <w:rsid w:val="005F4D3F"/>
    <w:rsid w:val="005F4ECA"/>
    <w:rsid w:val="005F5124"/>
    <w:rsid w:val="005F5534"/>
    <w:rsid w:val="005F5611"/>
    <w:rsid w:val="005F5727"/>
    <w:rsid w:val="005F5737"/>
    <w:rsid w:val="005F57B6"/>
    <w:rsid w:val="005F57FF"/>
    <w:rsid w:val="005F58EE"/>
    <w:rsid w:val="005F5B4A"/>
    <w:rsid w:val="005F5B66"/>
    <w:rsid w:val="005F5BD5"/>
    <w:rsid w:val="005F5CBB"/>
    <w:rsid w:val="005F5CE3"/>
    <w:rsid w:val="005F5E5E"/>
    <w:rsid w:val="005F636F"/>
    <w:rsid w:val="005F63F4"/>
    <w:rsid w:val="005F65C1"/>
    <w:rsid w:val="005F67EB"/>
    <w:rsid w:val="005F6BD6"/>
    <w:rsid w:val="005F6D95"/>
    <w:rsid w:val="005F70B9"/>
    <w:rsid w:val="005F70F4"/>
    <w:rsid w:val="005F72EC"/>
    <w:rsid w:val="005F734C"/>
    <w:rsid w:val="005F74AB"/>
    <w:rsid w:val="005F75AA"/>
    <w:rsid w:val="005F7C91"/>
    <w:rsid w:val="005F7E0A"/>
    <w:rsid w:val="005F7E76"/>
    <w:rsid w:val="0060017E"/>
    <w:rsid w:val="00600429"/>
    <w:rsid w:val="00600516"/>
    <w:rsid w:val="006005FB"/>
    <w:rsid w:val="00600945"/>
    <w:rsid w:val="00600E47"/>
    <w:rsid w:val="00601098"/>
    <w:rsid w:val="00601130"/>
    <w:rsid w:val="006017B6"/>
    <w:rsid w:val="0060180C"/>
    <w:rsid w:val="006018B4"/>
    <w:rsid w:val="00601A62"/>
    <w:rsid w:val="00601C8C"/>
    <w:rsid w:val="00601DB2"/>
    <w:rsid w:val="006021BA"/>
    <w:rsid w:val="00602247"/>
    <w:rsid w:val="00602268"/>
    <w:rsid w:val="0060233D"/>
    <w:rsid w:val="006023D9"/>
    <w:rsid w:val="00602ABA"/>
    <w:rsid w:val="00602B42"/>
    <w:rsid w:val="00602DFE"/>
    <w:rsid w:val="006032F0"/>
    <w:rsid w:val="0060334A"/>
    <w:rsid w:val="006034F7"/>
    <w:rsid w:val="0060361B"/>
    <w:rsid w:val="00603645"/>
    <w:rsid w:val="00603842"/>
    <w:rsid w:val="006038E3"/>
    <w:rsid w:val="00603B0D"/>
    <w:rsid w:val="00603E14"/>
    <w:rsid w:val="00603FCA"/>
    <w:rsid w:val="00603FF3"/>
    <w:rsid w:val="00604048"/>
    <w:rsid w:val="00604112"/>
    <w:rsid w:val="006041B8"/>
    <w:rsid w:val="006041BE"/>
    <w:rsid w:val="006043C7"/>
    <w:rsid w:val="006044AA"/>
    <w:rsid w:val="00604AC6"/>
    <w:rsid w:val="00604C9E"/>
    <w:rsid w:val="00604D04"/>
    <w:rsid w:val="00605314"/>
    <w:rsid w:val="006054D2"/>
    <w:rsid w:val="00605D19"/>
    <w:rsid w:val="00605FDD"/>
    <w:rsid w:val="006060CE"/>
    <w:rsid w:val="006061BD"/>
    <w:rsid w:val="006067C4"/>
    <w:rsid w:val="006067D3"/>
    <w:rsid w:val="00606971"/>
    <w:rsid w:val="006069AC"/>
    <w:rsid w:val="00606B54"/>
    <w:rsid w:val="00606C61"/>
    <w:rsid w:val="00606E31"/>
    <w:rsid w:val="006071E2"/>
    <w:rsid w:val="00607251"/>
    <w:rsid w:val="0060766E"/>
    <w:rsid w:val="00607AFF"/>
    <w:rsid w:val="00607B2A"/>
    <w:rsid w:val="00607F28"/>
    <w:rsid w:val="00607F43"/>
    <w:rsid w:val="00607F4C"/>
    <w:rsid w:val="0060E78C"/>
    <w:rsid w:val="006103F0"/>
    <w:rsid w:val="00610D60"/>
    <w:rsid w:val="00610FDB"/>
    <w:rsid w:val="0061130B"/>
    <w:rsid w:val="00611460"/>
    <w:rsid w:val="00611F36"/>
    <w:rsid w:val="00611F9F"/>
    <w:rsid w:val="0061235D"/>
    <w:rsid w:val="00612440"/>
    <w:rsid w:val="00612CBD"/>
    <w:rsid w:val="00612CCC"/>
    <w:rsid w:val="00613202"/>
    <w:rsid w:val="006134EA"/>
    <w:rsid w:val="00613657"/>
    <w:rsid w:val="006136DD"/>
    <w:rsid w:val="00613768"/>
    <w:rsid w:val="00613A9A"/>
    <w:rsid w:val="00613AC5"/>
    <w:rsid w:val="00613B0B"/>
    <w:rsid w:val="00613CB1"/>
    <w:rsid w:val="006141BB"/>
    <w:rsid w:val="006141C0"/>
    <w:rsid w:val="006141E4"/>
    <w:rsid w:val="00614226"/>
    <w:rsid w:val="00614228"/>
    <w:rsid w:val="006147C9"/>
    <w:rsid w:val="00614815"/>
    <w:rsid w:val="00614D06"/>
    <w:rsid w:val="00614FEA"/>
    <w:rsid w:val="0061502E"/>
    <w:rsid w:val="006151F9"/>
    <w:rsid w:val="00615573"/>
    <w:rsid w:val="00615644"/>
    <w:rsid w:val="00615773"/>
    <w:rsid w:val="00615A58"/>
    <w:rsid w:val="00615AA6"/>
    <w:rsid w:val="00615BC6"/>
    <w:rsid w:val="006162A5"/>
    <w:rsid w:val="0061647B"/>
    <w:rsid w:val="00616544"/>
    <w:rsid w:val="00616E0B"/>
    <w:rsid w:val="0061789E"/>
    <w:rsid w:val="006178C4"/>
    <w:rsid w:val="006178F6"/>
    <w:rsid w:val="0061794C"/>
    <w:rsid w:val="00617B67"/>
    <w:rsid w:val="00617DC1"/>
    <w:rsid w:val="00617DDA"/>
    <w:rsid w:val="00620088"/>
    <w:rsid w:val="00620495"/>
    <w:rsid w:val="0062050D"/>
    <w:rsid w:val="006206B5"/>
    <w:rsid w:val="00620C6F"/>
    <w:rsid w:val="00620C8E"/>
    <w:rsid w:val="00620E8F"/>
    <w:rsid w:val="00620F46"/>
    <w:rsid w:val="00620FD4"/>
    <w:rsid w:val="006211C0"/>
    <w:rsid w:val="006211DB"/>
    <w:rsid w:val="006212CB"/>
    <w:rsid w:val="00621464"/>
    <w:rsid w:val="00621648"/>
    <w:rsid w:val="006216ED"/>
    <w:rsid w:val="00621986"/>
    <w:rsid w:val="00621ACB"/>
    <w:rsid w:val="00621BB1"/>
    <w:rsid w:val="00621D19"/>
    <w:rsid w:val="00621EB7"/>
    <w:rsid w:val="00621F45"/>
    <w:rsid w:val="00622199"/>
    <w:rsid w:val="0062291B"/>
    <w:rsid w:val="00622961"/>
    <w:rsid w:val="00622BB5"/>
    <w:rsid w:val="00622F69"/>
    <w:rsid w:val="00623066"/>
    <w:rsid w:val="0062307B"/>
    <w:rsid w:val="006232D4"/>
    <w:rsid w:val="006233B3"/>
    <w:rsid w:val="00623758"/>
    <w:rsid w:val="0062385E"/>
    <w:rsid w:val="00623A5E"/>
    <w:rsid w:val="00623BDC"/>
    <w:rsid w:val="00623E98"/>
    <w:rsid w:val="00623EA4"/>
    <w:rsid w:val="00624135"/>
    <w:rsid w:val="0062444B"/>
    <w:rsid w:val="00624473"/>
    <w:rsid w:val="0062457D"/>
    <w:rsid w:val="00624625"/>
    <w:rsid w:val="006246AC"/>
    <w:rsid w:val="00624B52"/>
    <w:rsid w:val="00624D0B"/>
    <w:rsid w:val="00625090"/>
    <w:rsid w:val="006250C6"/>
    <w:rsid w:val="006255D7"/>
    <w:rsid w:val="00625808"/>
    <w:rsid w:val="00625D73"/>
    <w:rsid w:val="00625DE4"/>
    <w:rsid w:val="00626043"/>
    <w:rsid w:val="006260EF"/>
    <w:rsid w:val="00626293"/>
    <w:rsid w:val="00626886"/>
    <w:rsid w:val="00627036"/>
    <w:rsid w:val="00627537"/>
    <w:rsid w:val="00627932"/>
    <w:rsid w:val="00627F07"/>
    <w:rsid w:val="006300C8"/>
    <w:rsid w:val="00630224"/>
    <w:rsid w:val="00630276"/>
    <w:rsid w:val="006306C1"/>
    <w:rsid w:val="006309CC"/>
    <w:rsid w:val="0063116F"/>
    <w:rsid w:val="006311A7"/>
    <w:rsid w:val="006311BF"/>
    <w:rsid w:val="006311E1"/>
    <w:rsid w:val="00631278"/>
    <w:rsid w:val="0063127C"/>
    <w:rsid w:val="006313BA"/>
    <w:rsid w:val="006314A4"/>
    <w:rsid w:val="00631971"/>
    <w:rsid w:val="00631DF4"/>
    <w:rsid w:val="00631E14"/>
    <w:rsid w:val="006322EE"/>
    <w:rsid w:val="00632442"/>
    <w:rsid w:val="00632589"/>
    <w:rsid w:val="0063276E"/>
    <w:rsid w:val="00632D09"/>
    <w:rsid w:val="00632DE5"/>
    <w:rsid w:val="0063358B"/>
    <w:rsid w:val="006335D0"/>
    <w:rsid w:val="00634175"/>
    <w:rsid w:val="00634298"/>
    <w:rsid w:val="00634832"/>
    <w:rsid w:val="00634AAB"/>
    <w:rsid w:val="00634B25"/>
    <w:rsid w:val="00634F6F"/>
    <w:rsid w:val="00634FA0"/>
    <w:rsid w:val="006353C0"/>
    <w:rsid w:val="00635790"/>
    <w:rsid w:val="00635C60"/>
    <w:rsid w:val="00635CDD"/>
    <w:rsid w:val="00635DB5"/>
    <w:rsid w:val="00635DEB"/>
    <w:rsid w:val="00636046"/>
    <w:rsid w:val="00636085"/>
    <w:rsid w:val="0063638E"/>
    <w:rsid w:val="006364D3"/>
    <w:rsid w:val="0063667A"/>
    <w:rsid w:val="0063671B"/>
    <w:rsid w:val="00636834"/>
    <w:rsid w:val="00636A20"/>
    <w:rsid w:val="00636B72"/>
    <w:rsid w:val="00636D6C"/>
    <w:rsid w:val="00636E77"/>
    <w:rsid w:val="006373E5"/>
    <w:rsid w:val="0063747F"/>
    <w:rsid w:val="006376DE"/>
    <w:rsid w:val="00637735"/>
    <w:rsid w:val="0063779B"/>
    <w:rsid w:val="006379B6"/>
    <w:rsid w:val="00637A2D"/>
    <w:rsid w:val="00637B78"/>
    <w:rsid w:val="00637EBB"/>
    <w:rsid w:val="00640116"/>
    <w:rsid w:val="00640499"/>
    <w:rsid w:val="006404A0"/>
    <w:rsid w:val="00640632"/>
    <w:rsid w:val="006408AC"/>
    <w:rsid w:val="006408FD"/>
    <w:rsid w:val="00640B8B"/>
    <w:rsid w:val="00640FB5"/>
    <w:rsid w:val="00641436"/>
    <w:rsid w:val="00641459"/>
    <w:rsid w:val="00641463"/>
    <w:rsid w:val="00641672"/>
    <w:rsid w:val="006417A0"/>
    <w:rsid w:val="0064189B"/>
    <w:rsid w:val="00641B37"/>
    <w:rsid w:val="00641D96"/>
    <w:rsid w:val="00641D9C"/>
    <w:rsid w:val="00641F18"/>
    <w:rsid w:val="006420D6"/>
    <w:rsid w:val="0064216B"/>
    <w:rsid w:val="006423AB"/>
    <w:rsid w:val="00642761"/>
    <w:rsid w:val="00642837"/>
    <w:rsid w:val="00642D93"/>
    <w:rsid w:val="006435ED"/>
    <w:rsid w:val="006436C4"/>
    <w:rsid w:val="00643721"/>
    <w:rsid w:val="006437D0"/>
    <w:rsid w:val="0064382C"/>
    <w:rsid w:val="00643D9F"/>
    <w:rsid w:val="00644160"/>
    <w:rsid w:val="006443AE"/>
    <w:rsid w:val="0064452B"/>
    <w:rsid w:val="0064468F"/>
    <w:rsid w:val="00644A7F"/>
    <w:rsid w:val="00644CB4"/>
    <w:rsid w:val="0064501D"/>
    <w:rsid w:val="0064518F"/>
    <w:rsid w:val="00645273"/>
    <w:rsid w:val="00645659"/>
    <w:rsid w:val="006456B8"/>
    <w:rsid w:val="006458C6"/>
    <w:rsid w:val="006458D7"/>
    <w:rsid w:val="006458FF"/>
    <w:rsid w:val="00645F6A"/>
    <w:rsid w:val="00645FEC"/>
    <w:rsid w:val="00646888"/>
    <w:rsid w:val="00646B1A"/>
    <w:rsid w:val="00646B80"/>
    <w:rsid w:val="00646C88"/>
    <w:rsid w:val="006473F4"/>
    <w:rsid w:val="00647454"/>
    <w:rsid w:val="0064777C"/>
    <w:rsid w:val="0064789B"/>
    <w:rsid w:val="006478AB"/>
    <w:rsid w:val="0064794E"/>
    <w:rsid w:val="006479D0"/>
    <w:rsid w:val="00647BE3"/>
    <w:rsid w:val="00647FEB"/>
    <w:rsid w:val="0065015D"/>
    <w:rsid w:val="006501D3"/>
    <w:rsid w:val="006501DB"/>
    <w:rsid w:val="006503C3"/>
    <w:rsid w:val="00650549"/>
    <w:rsid w:val="0065063A"/>
    <w:rsid w:val="006506C6"/>
    <w:rsid w:val="00650B47"/>
    <w:rsid w:val="00650CBC"/>
    <w:rsid w:val="00650CE1"/>
    <w:rsid w:val="00650CF1"/>
    <w:rsid w:val="00650D50"/>
    <w:rsid w:val="00650EEC"/>
    <w:rsid w:val="006510D0"/>
    <w:rsid w:val="006510F7"/>
    <w:rsid w:val="0065115A"/>
    <w:rsid w:val="006511B6"/>
    <w:rsid w:val="0065131C"/>
    <w:rsid w:val="00651366"/>
    <w:rsid w:val="0065157C"/>
    <w:rsid w:val="00652013"/>
    <w:rsid w:val="0065205D"/>
    <w:rsid w:val="00652271"/>
    <w:rsid w:val="006522BA"/>
    <w:rsid w:val="00652562"/>
    <w:rsid w:val="00652742"/>
    <w:rsid w:val="006528E8"/>
    <w:rsid w:val="00653165"/>
    <w:rsid w:val="006531ED"/>
    <w:rsid w:val="006532DA"/>
    <w:rsid w:val="0065331B"/>
    <w:rsid w:val="00653463"/>
    <w:rsid w:val="006534BB"/>
    <w:rsid w:val="006534DF"/>
    <w:rsid w:val="006539E2"/>
    <w:rsid w:val="00653A88"/>
    <w:rsid w:val="00653B04"/>
    <w:rsid w:val="00653C65"/>
    <w:rsid w:val="00653F3C"/>
    <w:rsid w:val="00654237"/>
    <w:rsid w:val="0065441D"/>
    <w:rsid w:val="006546CF"/>
    <w:rsid w:val="0065470E"/>
    <w:rsid w:val="00654A5C"/>
    <w:rsid w:val="00654BCF"/>
    <w:rsid w:val="00654D93"/>
    <w:rsid w:val="00655192"/>
    <w:rsid w:val="00655535"/>
    <w:rsid w:val="0065560B"/>
    <w:rsid w:val="00655A5B"/>
    <w:rsid w:val="00655B45"/>
    <w:rsid w:val="00655CC5"/>
    <w:rsid w:val="00655CEE"/>
    <w:rsid w:val="00655E05"/>
    <w:rsid w:val="00655EAA"/>
    <w:rsid w:val="00656088"/>
    <w:rsid w:val="00656235"/>
    <w:rsid w:val="00656633"/>
    <w:rsid w:val="00656634"/>
    <w:rsid w:val="006567F9"/>
    <w:rsid w:val="00656809"/>
    <w:rsid w:val="00656844"/>
    <w:rsid w:val="006569F0"/>
    <w:rsid w:val="00656E1C"/>
    <w:rsid w:val="00657024"/>
    <w:rsid w:val="00657404"/>
    <w:rsid w:val="00657654"/>
    <w:rsid w:val="00657736"/>
    <w:rsid w:val="00657836"/>
    <w:rsid w:val="00657837"/>
    <w:rsid w:val="00657A48"/>
    <w:rsid w:val="00657B67"/>
    <w:rsid w:val="00657C1E"/>
    <w:rsid w:val="00657D84"/>
    <w:rsid w:val="00657FF8"/>
    <w:rsid w:val="0065C9DE"/>
    <w:rsid w:val="00660029"/>
    <w:rsid w:val="006603CC"/>
    <w:rsid w:val="00660545"/>
    <w:rsid w:val="006605E6"/>
    <w:rsid w:val="00660640"/>
    <w:rsid w:val="00660677"/>
    <w:rsid w:val="00660797"/>
    <w:rsid w:val="006608E7"/>
    <w:rsid w:val="00660919"/>
    <w:rsid w:val="00660C94"/>
    <w:rsid w:val="00660D64"/>
    <w:rsid w:val="00660EE5"/>
    <w:rsid w:val="00660F34"/>
    <w:rsid w:val="00661078"/>
    <w:rsid w:val="0066128A"/>
    <w:rsid w:val="006613D8"/>
    <w:rsid w:val="0066180C"/>
    <w:rsid w:val="006618DB"/>
    <w:rsid w:val="006619CC"/>
    <w:rsid w:val="00661A00"/>
    <w:rsid w:val="00661AA0"/>
    <w:rsid w:val="00661C3D"/>
    <w:rsid w:val="00661C53"/>
    <w:rsid w:val="00662043"/>
    <w:rsid w:val="006620B9"/>
    <w:rsid w:val="0066214E"/>
    <w:rsid w:val="006623D6"/>
    <w:rsid w:val="00662773"/>
    <w:rsid w:val="00662983"/>
    <w:rsid w:val="00662CB4"/>
    <w:rsid w:val="00662D4C"/>
    <w:rsid w:val="00662E77"/>
    <w:rsid w:val="00662EAE"/>
    <w:rsid w:val="006631C4"/>
    <w:rsid w:val="0066337D"/>
    <w:rsid w:val="00663467"/>
    <w:rsid w:val="006634DD"/>
    <w:rsid w:val="006637FC"/>
    <w:rsid w:val="00663A26"/>
    <w:rsid w:val="00663C28"/>
    <w:rsid w:val="00663D19"/>
    <w:rsid w:val="00663F40"/>
    <w:rsid w:val="00664099"/>
    <w:rsid w:val="00664145"/>
    <w:rsid w:val="006641D8"/>
    <w:rsid w:val="00664421"/>
    <w:rsid w:val="006646BA"/>
    <w:rsid w:val="00664751"/>
    <w:rsid w:val="006647AA"/>
    <w:rsid w:val="006648C2"/>
    <w:rsid w:val="00664CDF"/>
    <w:rsid w:val="00664DD5"/>
    <w:rsid w:val="00665288"/>
    <w:rsid w:val="00665306"/>
    <w:rsid w:val="00665431"/>
    <w:rsid w:val="0066550A"/>
    <w:rsid w:val="0066573C"/>
    <w:rsid w:val="0066581E"/>
    <w:rsid w:val="00665ED9"/>
    <w:rsid w:val="00665F8C"/>
    <w:rsid w:val="006666CB"/>
    <w:rsid w:val="006666F5"/>
    <w:rsid w:val="00666728"/>
    <w:rsid w:val="00666741"/>
    <w:rsid w:val="00666A20"/>
    <w:rsid w:val="00666C3B"/>
    <w:rsid w:val="00666DA3"/>
    <w:rsid w:val="00666EBD"/>
    <w:rsid w:val="0066724F"/>
    <w:rsid w:val="0066729B"/>
    <w:rsid w:val="006672A9"/>
    <w:rsid w:val="0066743F"/>
    <w:rsid w:val="006676AB"/>
    <w:rsid w:val="00667856"/>
    <w:rsid w:val="00667E52"/>
    <w:rsid w:val="0066AA22"/>
    <w:rsid w:val="0067036D"/>
    <w:rsid w:val="00670401"/>
    <w:rsid w:val="0067084B"/>
    <w:rsid w:val="00670BFA"/>
    <w:rsid w:val="00670D09"/>
    <w:rsid w:val="00670D99"/>
    <w:rsid w:val="00670DEE"/>
    <w:rsid w:val="00670E2B"/>
    <w:rsid w:val="00670F9A"/>
    <w:rsid w:val="00671215"/>
    <w:rsid w:val="00671345"/>
    <w:rsid w:val="006713E7"/>
    <w:rsid w:val="006714E8"/>
    <w:rsid w:val="00671573"/>
    <w:rsid w:val="00671779"/>
    <w:rsid w:val="006717A7"/>
    <w:rsid w:val="00671EC2"/>
    <w:rsid w:val="0067255B"/>
    <w:rsid w:val="006728B9"/>
    <w:rsid w:val="00672FC1"/>
    <w:rsid w:val="00673067"/>
    <w:rsid w:val="006730FB"/>
    <w:rsid w:val="006734BB"/>
    <w:rsid w:val="00673683"/>
    <w:rsid w:val="00673686"/>
    <w:rsid w:val="0067399B"/>
    <w:rsid w:val="00673B0F"/>
    <w:rsid w:val="00674318"/>
    <w:rsid w:val="00674522"/>
    <w:rsid w:val="00674654"/>
    <w:rsid w:val="00674BFB"/>
    <w:rsid w:val="00674C39"/>
    <w:rsid w:val="0067523C"/>
    <w:rsid w:val="0067535B"/>
    <w:rsid w:val="00675469"/>
    <w:rsid w:val="0067590B"/>
    <w:rsid w:val="006759EC"/>
    <w:rsid w:val="00675B67"/>
    <w:rsid w:val="00675D56"/>
    <w:rsid w:val="00675DB9"/>
    <w:rsid w:val="00675F83"/>
    <w:rsid w:val="0067624E"/>
    <w:rsid w:val="00676583"/>
    <w:rsid w:val="006766C4"/>
    <w:rsid w:val="00676735"/>
    <w:rsid w:val="00676855"/>
    <w:rsid w:val="00676A94"/>
    <w:rsid w:val="00676D0F"/>
    <w:rsid w:val="0067714F"/>
    <w:rsid w:val="0067719D"/>
    <w:rsid w:val="00677485"/>
    <w:rsid w:val="00677595"/>
    <w:rsid w:val="00677759"/>
    <w:rsid w:val="00677A65"/>
    <w:rsid w:val="00677E59"/>
    <w:rsid w:val="0068036B"/>
    <w:rsid w:val="006803AF"/>
    <w:rsid w:val="0068047B"/>
    <w:rsid w:val="00680590"/>
    <w:rsid w:val="006805C8"/>
    <w:rsid w:val="00680811"/>
    <w:rsid w:val="00680989"/>
    <w:rsid w:val="00680FC3"/>
    <w:rsid w:val="00681280"/>
    <w:rsid w:val="00681504"/>
    <w:rsid w:val="006817DC"/>
    <w:rsid w:val="00681A34"/>
    <w:rsid w:val="00681BA7"/>
    <w:rsid w:val="00681C8D"/>
    <w:rsid w:val="00681E0E"/>
    <w:rsid w:val="00681E2C"/>
    <w:rsid w:val="00681E2D"/>
    <w:rsid w:val="00681E91"/>
    <w:rsid w:val="00681EF2"/>
    <w:rsid w:val="006821EB"/>
    <w:rsid w:val="00682238"/>
    <w:rsid w:val="006822D0"/>
    <w:rsid w:val="006823BB"/>
    <w:rsid w:val="00682469"/>
    <w:rsid w:val="00682A0C"/>
    <w:rsid w:val="00682BAA"/>
    <w:rsid w:val="00682DAE"/>
    <w:rsid w:val="00682F1B"/>
    <w:rsid w:val="00682FB6"/>
    <w:rsid w:val="00682FB8"/>
    <w:rsid w:val="00683209"/>
    <w:rsid w:val="00683255"/>
    <w:rsid w:val="00683313"/>
    <w:rsid w:val="00683A8C"/>
    <w:rsid w:val="00683A92"/>
    <w:rsid w:val="00683A99"/>
    <w:rsid w:val="00683C2E"/>
    <w:rsid w:val="00683D72"/>
    <w:rsid w:val="0068407B"/>
    <w:rsid w:val="006843D5"/>
    <w:rsid w:val="006848E8"/>
    <w:rsid w:val="00684B8D"/>
    <w:rsid w:val="00684D78"/>
    <w:rsid w:val="00684DCC"/>
    <w:rsid w:val="00684EA2"/>
    <w:rsid w:val="00684EBA"/>
    <w:rsid w:val="00684FFF"/>
    <w:rsid w:val="006856DE"/>
    <w:rsid w:val="006857E3"/>
    <w:rsid w:val="006863A5"/>
    <w:rsid w:val="00686422"/>
    <w:rsid w:val="006867AD"/>
    <w:rsid w:val="00686A6B"/>
    <w:rsid w:val="00686AA9"/>
    <w:rsid w:val="00686B50"/>
    <w:rsid w:val="00686BC7"/>
    <w:rsid w:val="00687069"/>
    <w:rsid w:val="006870D9"/>
    <w:rsid w:val="00687225"/>
    <w:rsid w:val="00687522"/>
    <w:rsid w:val="00687771"/>
    <w:rsid w:val="006878BD"/>
    <w:rsid w:val="00687A4A"/>
    <w:rsid w:val="00687B80"/>
    <w:rsid w:val="00687DDD"/>
    <w:rsid w:val="00687DE4"/>
    <w:rsid w:val="006900F5"/>
    <w:rsid w:val="00690330"/>
    <w:rsid w:val="0069038E"/>
    <w:rsid w:val="00690402"/>
    <w:rsid w:val="0069041F"/>
    <w:rsid w:val="0069079B"/>
    <w:rsid w:val="00690829"/>
    <w:rsid w:val="00690F85"/>
    <w:rsid w:val="006912A5"/>
    <w:rsid w:val="006912B7"/>
    <w:rsid w:val="006917D9"/>
    <w:rsid w:val="00691879"/>
    <w:rsid w:val="00691959"/>
    <w:rsid w:val="006919AA"/>
    <w:rsid w:val="00691BD2"/>
    <w:rsid w:val="00691BD6"/>
    <w:rsid w:val="00691C4D"/>
    <w:rsid w:val="00692644"/>
    <w:rsid w:val="00692696"/>
    <w:rsid w:val="00692883"/>
    <w:rsid w:val="00692C19"/>
    <w:rsid w:val="00692CF7"/>
    <w:rsid w:val="00692D35"/>
    <w:rsid w:val="00692E80"/>
    <w:rsid w:val="006932BD"/>
    <w:rsid w:val="006934F9"/>
    <w:rsid w:val="006936B4"/>
    <w:rsid w:val="006939CA"/>
    <w:rsid w:val="00693D0F"/>
    <w:rsid w:val="00693E55"/>
    <w:rsid w:val="0069409D"/>
    <w:rsid w:val="006941F4"/>
    <w:rsid w:val="006945B8"/>
    <w:rsid w:val="00694767"/>
    <w:rsid w:val="0069476E"/>
    <w:rsid w:val="00694A16"/>
    <w:rsid w:val="00694BD7"/>
    <w:rsid w:val="0069541D"/>
    <w:rsid w:val="00695913"/>
    <w:rsid w:val="00695978"/>
    <w:rsid w:val="00695C13"/>
    <w:rsid w:val="0069615D"/>
    <w:rsid w:val="006965A3"/>
    <w:rsid w:val="00696765"/>
    <w:rsid w:val="006969BC"/>
    <w:rsid w:val="006969F7"/>
    <w:rsid w:val="00696A2F"/>
    <w:rsid w:val="00696C24"/>
    <w:rsid w:val="00696C27"/>
    <w:rsid w:val="00696D95"/>
    <w:rsid w:val="00697115"/>
    <w:rsid w:val="0069713F"/>
    <w:rsid w:val="00697A4E"/>
    <w:rsid w:val="00697B7E"/>
    <w:rsid w:val="00697C45"/>
    <w:rsid w:val="00697C79"/>
    <w:rsid w:val="00697DED"/>
    <w:rsid w:val="00697F11"/>
    <w:rsid w:val="00698940"/>
    <w:rsid w:val="006A00D9"/>
    <w:rsid w:val="006A030C"/>
    <w:rsid w:val="006A03B7"/>
    <w:rsid w:val="006A0524"/>
    <w:rsid w:val="006A0B8E"/>
    <w:rsid w:val="006A0BF4"/>
    <w:rsid w:val="006A0D94"/>
    <w:rsid w:val="006A0EB2"/>
    <w:rsid w:val="006A1038"/>
    <w:rsid w:val="006A103B"/>
    <w:rsid w:val="006A126E"/>
    <w:rsid w:val="006A1854"/>
    <w:rsid w:val="006A1899"/>
    <w:rsid w:val="006A209B"/>
    <w:rsid w:val="006A2158"/>
    <w:rsid w:val="006A22B3"/>
    <w:rsid w:val="006A2468"/>
    <w:rsid w:val="006A2570"/>
    <w:rsid w:val="006A2E4C"/>
    <w:rsid w:val="006A2E92"/>
    <w:rsid w:val="006A312E"/>
    <w:rsid w:val="006A383C"/>
    <w:rsid w:val="006A3BA4"/>
    <w:rsid w:val="006A3D6C"/>
    <w:rsid w:val="006A3E40"/>
    <w:rsid w:val="006A4347"/>
    <w:rsid w:val="006A4790"/>
    <w:rsid w:val="006A4A08"/>
    <w:rsid w:val="006A4CFB"/>
    <w:rsid w:val="006A5024"/>
    <w:rsid w:val="006A5084"/>
    <w:rsid w:val="006A5288"/>
    <w:rsid w:val="006A52C0"/>
    <w:rsid w:val="006A5693"/>
    <w:rsid w:val="006A5A9C"/>
    <w:rsid w:val="006A5B48"/>
    <w:rsid w:val="006A5CD9"/>
    <w:rsid w:val="006A5D5D"/>
    <w:rsid w:val="006A5F63"/>
    <w:rsid w:val="006A5F8F"/>
    <w:rsid w:val="006A5FAE"/>
    <w:rsid w:val="006A6042"/>
    <w:rsid w:val="006A632D"/>
    <w:rsid w:val="006A6B5C"/>
    <w:rsid w:val="006A6F9C"/>
    <w:rsid w:val="006A72D1"/>
    <w:rsid w:val="006A7320"/>
    <w:rsid w:val="006A741D"/>
    <w:rsid w:val="006A74A3"/>
    <w:rsid w:val="006A77CA"/>
    <w:rsid w:val="006A7884"/>
    <w:rsid w:val="006A7A00"/>
    <w:rsid w:val="006A7A35"/>
    <w:rsid w:val="006A7C16"/>
    <w:rsid w:val="006A7DA6"/>
    <w:rsid w:val="006A7E30"/>
    <w:rsid w:val="006A82F2"/>
    <w:rsid w:val="006B00BE"/>
    <w:rsid w:val="006B02A5"/>
    <w:rsid w:val="006B035A"/>
    <w:rsid w:val="006B0392"/>
    <w:rsid w:val="006B03B6"/>
    <w:rsid w:val="006B0444"/>
    <w:rsid w:val="006B05C7"/>
    <w:rsid w:val="006B082D"/>
    <w:rsid w:val="006B09AA"/>
    <w:rsid w:val="006B0BDF"/>
    <w:rsid w:val="006B0CE5"/>
    <w:rsid w:val="006B0D32"/>
    <w:rsid w:val="006B0E12"/>
    <w:rsid w:val="006B0ECC"/>
    <w:rsid w:val="006B0FD0"/>
    <w:rsid w:val="006B113C"/>
    <w:rsid w:val="006B1181"/>
    <w:rsid w:val="006B12B1"/>
    <w:rsid w:val="006B16A4"/>
    <w:rsid w:val="006B17B5"/>
    <w:rsid w:val="006B1848"/>
    <w:rsid w:val="006B19B3"/>
    <w:rsid w:val="006B1AFF"/>
    <w:rsid w:val="006B2128"/>
    <w:rsid w:val="006B2286"/>
    <w:rsid w:val="006B2385"/>
    <w:rsid w:val="006B261C"/>
    <w:rsid w:val="006B2734"/>
    <w:rsid w:val="006B2D10"/>
    <w:rsid w:val="006B2D18"/>
    <w:rsid w:val="006B3037"/>
    <w:rsid w:val="006B3054"/>
    <w:rsid w:val="006B3CA2"/>
    <w:rsid w:val="006B3D01"/>
    <w:rsid w:val="006B4248"/>
    <w:rsid w:val="006B4608"/>
    <w:rsid w:val="006B4632"/>
    <w:rsid w:val="006B4652"/>
    <w:rsid w:val="006B486B"/>
    <w:rsid w:val="006B4AD0"/>
    <w:rsid w:val="006B4D90"/>
    <w:rsid w:val="006B4E4E"/>
    <w:rsid w:val="006B5078"/>
    <w:rsid w:val="006B5108"/>
    <w:rsid w:val="006B5123"/>
    <w:rsid w:val="006B5287"/>
    <w:rsid w:val="006B528F"/>
    <w:rsid w:val="006B557E"/>
    <w:rsid w:val="006B56BB"/>
    <w:rsid w:val="006B586A"/>
    <w:rsid w:val="006B5DC3"/>
    <w:rsid w:val="006B5E2D"/>
    <w:rsid w:val="006B602B"/>
    <w:rsid w:val="006B60FE"/>
    <w:rsid w:val="006B61E4"/>
    <w:rsid w:val="006B6352"/>
    <w:rsid w:val="006B63B9"/>
    <w:rsid w:val="006B65DD"/>
    <w:rsid w:val="006B65FF"/>
    <w:rsid w:val="006B6C46"/>
    <w:rsid w:val="006B6D21"/>
    <w:rsid w:val="006B6D8F"/>
    <w:rsid w:val="006B6E58"/>
    <w:rsid w:val="006B730C"/>
    <w:rsid w:val="006B783C"/>
    <w:rsid w:val="006B7BAF"/>
    <w:rsid w:val="006B7C4E"/>
    <w:rsid w:val="006B7C88"/>
    <w:rsid w:val="006B7D29"/>
    <w:rsid w:val="006C0424"/>
    <w:rsid w:val="006C0576"/>
    <w:rsid w:val="006C07F1"/>
    <w:rsid w:val="006C0839"/>
    <w:rsid w:val="006C085E"/>
    <w:rsid w:val="006C0B07"/>
    <w:rsid w:val="006C0E38"/>
    <w:rsid w:val="006C0ED6"/>
    <w:rsid w:val="006C0FAC"/>
    <w:rsid w:val="006C1180"/>
    <w:rsid w:val="006C118B"/>
    <w:rsid w:val="006C1226"/>
    <w:rsid w:val="006C129F"/>
    <w:rsid w:val="006C169E"/>
    <w:rsid w:val="006C1973"/>
    <w:rsid w:val="006C1C14"/>
    <w:rsid w:val="006C1F20"/>
    <w:rsid w:val="006C2047"/>
    <w:rsid w:val="006C22B3"/>
    <w:rsid w:val="006C24B9"/>
    <w:rsid w:val="006C2500"/>
    <w:rsid w:val="006C2551"/>
    <w:rsid w:val="006C2573"/>
    <w:rsid w:val="006C25CB"/>
    <w:rsid w:val="006C26F0"/>
    <w:rsid w:val="006C277D"/>
    <w:rsid w:val="006C28F0"/>
    <w:rsid w:val="006C29DF"/>
    <w:rsid w:val="006C2AD9"/>
    <w:rsid w:val="006C2EC6"/>
    <w:rsid w:val="006C2FBC"/>
    <w:rsid w:val="006C31AC"/>
    <w:rsid w:val="006C33FE"/>
    <w:rsid w:val="006C391A"/>
    <w:rsid w:val="006C3940"/>
    <w:rsid w:val="006C3994"/>
    <w:rsid w:val="006C3BC2"/>
    <w:rsid w:val="006C3CC0"/>
    <w:rsid w:val="006C3E0C"/>
    <w:rsid w:val="006C3EF1"/>
    <w:rsid w:val="006C410E"/>
    <w:rsid w:val="006C422B"/>
    <w:rsid w:val="006C4BC6"/>
    <w:rsid w:val="006C4D4B"/>
    <w:rsid w:val="006C4F72"/>
    <w:rsid w:val="006C52C4"/>
    <w:rsid w:val="006C5380"/>
    <w:rsid w:val="006C5B93"/>
    <w:rsid w:val="006C6315"/>
    <w:rsid w:val="006C649A"/>
    <w:rsid w:val="006C65E5"/>
    <w:rsid w:val="006C666E"/>
    <w:rsid w:val="006C666F"/>
    <w:rsid w:val="006C66AA"/>
    <w:rsid w:val="006C68EA"/>
    <w:rsid w:val="006C6D0F"/>
    <w:rsid w:val="006C6EF1"/>
    <w:rsid w:val="006C7023"/>
    <w:rsid w:val="006C7060"/>
    <w:rsid w:val="006C70FC"/>
    <w:rsid w:val="006C7107"/>
    <w:rsid w:val="006C7667"/>
    <w:rsid w:val="006C77A8"/>
    <w:rsid w:val="006C7C78"/>
    <w:rsid w:val="006C7FA9"/>
    <w:rsid w:val="006D0320"/>
    <w:rsid w:val="006D067E"/>
    <w:rsid w:val="006D086A"/>
    <w:rsid w:val="006D0B24"/>
    <w:rsid w:val="006D0C79"/>
    <w:rsid w:val="006D0C8F"/>
    <w:rsid w:val="006D0EF8"/>
    <w:rsid w:val="006D0F9F"/>
    <w:rsid w:val="006D0FD1"/>
    <w:rsid w:val="006D1365"/>
    <w:rsid w:val="006D1C69"/>
    <w:rsid w:val="006D1CA8"/>
    <w:rsid w:val="006D1D6E"/>
    <w:rsid w:val="006D2175"/>
    <w:rsid w:val="006D21CF"/>
    <w:rsid w:val="006D222E"/>
    <w:rsid w:val="006D22FA"/>
    <w:rsid w:val="006D2437"/>
    <w:rsid w:val="006D255C"/>
    <w:rsid w:val="006D29C4"/>
    <w:rsid w:val="006D2EF3"/>
    <w:rsid w:val="006D3244"/>
    <w:rsid w:val="006D32CB"/>
    <w:rsid w:val="006D340F"/>
    <w:rsid w:val="006D36D9"/>
    <w:rsid w:val="006D37D8"/>
    <w:rsid w:val="006D3853"/>
    <w:rsid w:val="006D3933"/>
    <w:rsid w:val="006D3C4A"/>
    <w:rsid w:val="006D4098"/>
    <w:rsid w:val="006D4494"/>
    <w:rsid w:val="006D45F6"/>
    <w:rsid w:val="006D4E0A"/>
    <w:rsid w:val="006D4FD9"/>
    <w:rsid w:val="006D5042"/>
    <w:rsid w:val="006D506B"/>
    <w:rsid w:val="006D54C9"/>
    <w:rsid w:val="006D56AC"/>
    <w:rsid w:val="006D57E6"/>
    <w:rsid w:val="006D58D5"/>
    <w:rsid w:val="006D595D"/>
    <w:rsid w:val="006D59C2"/>
    <w:rsid w:val="006D5B85"/>
    <w:rsid w:val="006D5F55"/>
    <w:rsid w:val="006D6196"/>
    <w:rsid w:val="006D6332"/>
    <w:rsid w:val="006D64D9"/>
    <w:rsid w:val="006D6B3E"/>
    <w:rsid w:val="006D6CB5"/>
    <w:rsid w:val="006D6DDC"/>
    <w:rsid w:val="006D6DE2"/>
    <w:rsid w:val="006D6EF2"/>
    <w:rsid w:val="006D701A"/>
    <w:rsid w:val="006D7128"/>
    <w:rsid w:val="006D71F4"/>
    <w:rsid w:val="006D724C"/>
    <w:rsid w:val="006D7548"/>
    <w:rsid w:val="006D7681"/>
    <w:rsid w:val="006D76EE"/>
    <w:rsid w:val="006D7AB7"/>
    <w:rsid w:val="006D7B2E"/>
    <w:rsid w:val="006D7F13"/>
    <w:rsid w:val="006E01E9"/>
    <w:rsid w:val="006E02B6"/>
    <w:rsid w:val="006E02EA"/>
    <w:rsid w:val="006E0642"/>
    <w:rsid w:val="006E065E"/>
    <w:rsid w:val="006E0968"/>
    <w:rsid w:val="006E0C2B"/>
    <w:rsid w:val="006E0C46"/>
    <w:rsid w:val="006E0F5E"/>
    <w:rsid w:val="006E1147"/>
    <w:rsid w:val="006E1310"/>
    <w:rsid w:val="006E13FF"/>
    <w:rsid w:val="006E176B"/>
    <w:rsid w:val="006E1D6B"/>
    <w:rsid w:val="006E2323"/>
    <w:rsid w:val="006E28E7"/>
    <w:rsid w:val="006E2AF6"/>
    <w:rsid w:val="006E2B49"/>
    <w:rsid w:val="006E2D22"/>
    <w:rsid w:val="006E2EDB"/>
    <w:rsid w:val="006E2EE4"/>
    <w:rsid w:val="006E3109"/>
    <w:rsid w:val="006E31D8"/>
    <w:rsid w:val="006E31FD"/>
    <w:rsid w:val="006E3638"/>
    <w:rsid w:val="006E38DE"/>
    <w:rsid w:val="006E3922"/>
    <w:rsid w:val="006E3A1D"/>
    <w:rsid w:val="006E3BDF"/>
    <w:rsid w:val="006E3DAF"/>
    <w:rsid w:val="006E4099"/>
    <w:rsid w:val="006E44BB"/>
    <w:rsid w:val="006E4617"/>
    <w:rsid w:val="006E4906"/>
    <w:rsid w:val="006E4B7D"/>
    <w:rsid w:val="006E4D4A"/>
    <w:rsid w:val="006E4EED"/>
    <w:rsid w:val="006E526D"/>
    <w:rsid w:val="006E56EE"/>
    <w:rsid w:val="006E5747"/>
    <w:rsid w:val="006E5DA1"/>
    <w:rsid w:val="006E5E96"/>
    <w:rsid w:val="006E6117"/>
    <w:rsid w:val="006E6157"/>
    <w:rsid w:val="006E6246"/>
    <w:rsid w:val="006E6985"/>
    <w:rsid w:val="006E6D1E"/>
    <w:rsid w:val="006E6EE9"/>
    <w:rsid w:val="006E6F8C"/>
    <w:rsid w:val="006E7112"/>
    <w:rsid w:val="006E7387"/>
    <w:rsid w:val="006E7458"/>
    <w:rsid w:val="006E7500"/>
    <w:rsid w:val="006E7C87"/>
    <w:rsid w:val="006E7D4E"/>
    <w:rsid w:val="006E7F8F"/>
    <w:rsid w:val="006F04F7"/>
    <w:rsid w:val="006F04FE"/>
    <w:rsid w:val="006F07AA"/>
    <w:rsid w:val="006F0939"/>
    <w:rsid w:val="006F09F7"/>
    <w:rsid w:val="006F0AAC"/>
    <w:rsid w:val="006F0AAE"/>
    <w:rsid w:val="006F0F69"/>
    <w:rsid w:val="006F1047"/>
    <w:rsid w:val="006F1073"/>
    <w:rsid w:val="006F14F6"/>
    <w:rsid w:val="006F1B7E"/>
    <w:rsid w:val="006F210D"/>
    <w:rsid w:val="006F21BD"/>
    <w:rsid w:val="006F21E8"/>
    <w:rsid w:val="006F2A23"/>
    <w:rsid w:val="006F2B32"/>
    <w:rsid w:val="006F2C14"/>
    <w:rsid w:val="006F2E16"/>
    <w:rsid w:val="006F3024"/>
    <w:rsid w:val="006F3083"/>
    <w:rsid w:val="006F3431"/>
    <w:rsid w:val="006F3AF1"/>
    <w:rsid w:val="006F3CB3"/>
    <w:rsid w:val="006F42A9"/>
    <w:rsid w:val="006F4428"/>
    <w:rsid w:val="006F4828"/>
    <w:rsid w:val="006F4862"/>
    <w:rsid w:val="006F49D1"/>
    <w:rsid w:val="006F4FF1"/>
    <w:rsid w:val="006F521E"/>
    <w:rsid w:val="006F5999"/>
    <w:rsid w:val="006F5B5B"/>
    <w:rsid w:val="006F5C04"/>
    <w:rsid w:val="006F5D10"/>
    <w:rsid w:val="006F5E0F"/>
    <w:rsid w:val="006F6129"/>
    <w:rsid w:val="006F65B3"/>
    <w:rsid w:val="006F6715"/>
    <w:rsid w:val="006F6B10"/>
    <w:rsid w:val="006F6E22"/>
    <w:rsid w:val="006F6EE1"/>
    <w:rsid w:val="006F70FF"/>
    <w:rsid w:val="006F7146"/>
    <w:rsid w:val="006F7377"/>
    <w:rsid w:val="006F753A"/>
    <w:rsid w:val="006F7650"/>
    <w:rsid w:val="006F765A"/>
    <w:rsid w:val="006F789B"/>
    <w:rsid w:val="006F7D3A"/>
    <w:rsid w:val="006F7E46"/>
    <w:rsid w:val="007001E9"/>
    <w:rsid w:val="007007C8"/>
    <w:rsid w:val="00700DAA"/>
    <w:rsid w:val="00701275"/>
    <w:rsid w:val="00701830"/>
    <w:rsid w:val="00701A02"/>
    <w:rsid w:val="00701A03"/>
    <w:rsid w:val="00701C1E"/>
    <w:rsid w:val="00701CBA"/>
    <w:rsid w:val="00701DFE"/>
    <w:rsid w:val="00702262"/>
    <w:rsid w:val="007022BC"/>
    <w:rsid w:val="007025AB"/>
    <w:rsid w:val="00702F5F"/>
    <w:rsid w:val="007030A7"/>
    <w:rsid w:val="00703160"/>
    <w:rsid w:val="007032D8"/>
    <w:rsid w:val="0070341A"/>
    <w:rsid w:val="007034F0"/>
    <w:rsid w:val="00703B20"/>
    <w:rsid w:val="00703C15"/>
    <w:rsid w:val="00703CAC"/>
    <w:rsid w:val="00704382"/>
    <w:rsid w:val="007043BB"/>
    <w:rsid w:val="00704503"/>
    <w:rsid w:val="00704544"/>
    <w:rsid w:val="00704781"/>
    <w:rsid w:val="00704820"/>
    <w:rsid w:val="00704F70"/>
    <w:rsid w:val="00704F89"/>
    <w:rsid w:val="00705147"/>
    <w:rsid w:val="00705191"/>
    <w:rsid w:val="007054B2"/>
    <w:rsid w:val="0070563C"/>
    <w:rsid w:val="00705695"/>
    <w:rsid w:val="00705716"/>
    <w:rsid w:val="00705D5E"/>
    <w:rsid w:val="00705E51"/>
    <w:rsid w:val="00705EDD"/>
    <w:rsid w:val="0070601F"/>
    <w:rsid w:val="007066A1"/>
    <w:rsid w:val="0070678E"/>
    <w:rsid w:val="00706BFE"/>
    <w:rsid w:val="00706C17"/>
    <w:rsid w:val="00706C18"/>
    <w:rsid w:val="00706CC7"/>
    <w:rsid w:val="00706E39"/>
    <w:rsid w:val="00706E60"/>
    <w:rsid w:val="00707015"/>
    <w:rsid w:val="0070750D"/>
    <w:rsid w:val="007075C7"/>
    <w:rsid w:val="0070764E"/>
    <w:rsid w:val="00707818"/>
    <w:rsid w:val="00707931"/>
    <w:rsid w:val="00707A1D"/>
    <w:rsid w:val="00707DDC"/>
    <w:rsid w:val="00707F00"/>
    <w:rsid w:val="00707F56"/>
    <w:rsid w:val="007102EC"/>
    <w:rsid w:val="007103C9"/>
    <w:rsid w:val="0071040E"/>
    <w:rsid w:val="007105A4"/>
    <w:rsid w:val="00710A70"/>
    <w:rsid w:val="00710A9E"/>
    <w:rsid w:val="00711155"/>
    <w:rsid w:val="007111FF"/>
    <w:rsid w:val="0071167B"/>
    <w:rsid w:val="0071187A"/>
    <w:rsid w:val="00711917"/>
    <w:rsid w:val="007119B5"/>
    <w:rsid w:val="00711D3C"/>
    <w:rsid w:val="00711E24"/>
    <w:rsid w:val="0071207B"/>
    <w:rsid w:val="00712284"/>
    <w:rsid w:val="0071238E"/>
    <w:rsid w:val="007123D6"/>
    <w:rsid w:val="0071241E"/>
    <w:rsid w:val="007125C1"/>
    <w:rsid w:val="00712613"/>
    <w:rsid w:val="00712D9A"/>
    <w:rsid w:val="00712F65"/>
    <w:rsid w:val="007131F3"/>
    <w:rsid w:val="00713558"/>
    <w:rsid w:val="0071370E"/>
    <w:rsid w:val="00713936"/>
    <w:rsid w:val="00713C22"/>
    <w:rsid w:val="00713CA7"/>
    <w:rsid w:val="00713E9D"/>
    <w:rsid w:val="00713FA4"/>
    <w:rsid w:val="00713FB7"/>
    <w:rsid w:val="00714070"/>
    <w:rsid w:val="00714289"/>
    <w:rsid w:val="007144D7"/>
    <w:rsid w:val="0071453C"/>
    <w:rsid w:val="00714848"/>
    <w:rsid w:val="00714B76"/>
    <w:rsid w:val="007151B2"/>
    <w:rsid w:val="00715394"/>
    <w:rsid w:val="00715398"/>
    <w:rsid w:val="0071542F"/>
    <w:rsid w:val="007155AE"/>
    <w:rsid w:val="0071573D"/>
    <w:rsid w:val="0071594A"/>
    <w:rsid w:val="00715DE8"/>
    <w:rsid w:val="007160C8"/>
    <w:rsid w:val="0071636E"/>
    <w:rsid w:val="00716390"/>
    <w:rsid w:val="0071658E"/>
    <w:rsid w:val="007167CD"/>
    <w:rsid w:val="00716AAD"/>
    <w:rsid w:val="00716B31"/>
    <w:rsid w:val="00716CD6"/>
    <w:rsid w:val="00716ED0"/>
    <w:rsid w:val="00717158"/>
    <w:rsid w:val="0071722E"/>
    <w:rsid w:val="0071729E"/>
    <w:rsid w:val="007174F5"/>
    <w:rsid w:val="00717DB6"/>
    <w:rsid w:val="00717E82"/>
    <w:rsid w:val="0071ED00"/>
    <w:rsid w:val="0072018C"/>
    <w:rsid w:val="00720221"/>
    <w:rsid w:val="00720B0A"/>
    <w:rsid w:val="00720BAC"/>
    <w:rsid w:val="00720D08"/>
    <w:rsid w:val="00720D66"/>
    <w:rsid w:val="0072107C"/>
    <w:rsid w:val="007216D6"/>
    <w:rsid w:val="007216F5"/>
    <w:rsid w:val="007218B9"/>
    <w:rsid w:val="007218F7"/>
    <w:rsid w:val="0072195A"/>
    <w:rsid w:val="0072196A"/>
    <w:rsid w:val="007219D1"/>
    <w:rsid w:val="007219F2"/>
    <w:rsid w:val="00721A75"/>
    <w:rsid w:val="00721B3A"/>
    <w:rsid w:val="00721CDE"/>
    <w:rsid w:val="00721DBE"/>
    <w:rsid w:val="00722362"/>
    <w:rsid w:val="0072245C"/>
    <w:rsid w:val="007226EC"/>
    <w:rsid w:val="00722735"/>
    <w:rsid w:val="00722AE6"/>
    <w:rsid w:val="00722CCD"/>
    <w:rsid w:val="00722D81"/>
    <w:rsid w:val="00722F20"/>
    <w:rsid w:val="00722F28"/>
    <w:rsid w:val="00722FBD"/>
    <w:rsid w:val="007231EE"/>
    <w:rsid w:val="00723234"/>
    <w:rsid w:val="007236E6"/>
    <w:rsid w:val="00723782"/>
    <w:rsid w:val="00723E41"/>
    <w:rsid w:val="00723FE0"/>
    <w:rsid w:val="00724034"/>
    <w:rsid w:val="00724291"/>
    <w:rsid w:val="00724313"/>
    <w:rsid w:val="00724902"/>
    <w:rsid w:val="00724ABC"/>
    <w:rsid w:val="00724BAE"/>
    <w:rsid w:val="00724D9F"/>
    <w:rsid w:val="00724EDF"/>
    <w:rsid w:val="007250B0"/>
    <w:rsid w:val="007251D4"/>
    <w:rsid w:val="0072520A"/>
    <w:rsid w:val="00725492"/>
    <w:rsid w:val="00725705"/>
    <w:rsid w:val="00725878"/>
    <w:rsid w:val="0072592B"/>
    <w:rsid w:val="00725B24"/>
    <w:rsid w:val="00725EE5"/>
    <w:rsid w:val="007263B9"/>
    <w:rsid w:val="00726521"/>
    <w:rsid w:val="00726821"/>
    <w:rsid w:val="00726CB9"/>
    <w:rsid w:val="0072705B"/>
    <w:rsid w:val="0072792F"/>
    <w:rsid w:val="0072796F"/>
    <w:rsid w:val="00730089"/>
    <w:rsid w:val="00730332"/>
    <w:rsid w:val="00730341"/>
    <w:rsid w:val="007309A8"/>
    <w:rsid w:val="00730D6C"/>
    <w:rsid w:val="00730DA9"/>
    <w:rsid w:val="007319B5"/>
    <w:rsid w:val="00731A71"/>
    <w:rsid w:val="00731DE6"/>
    <w:rsid w:val="00731E5C"/>
    <w:rsid w:val="00731F16"/>
    <w:rsid w:val="00731FA5"/>
    <w:rsid w:val="00731FD3"/>
    <w:rsid w:val="007320AA"/>
    <w:rsid w:val="007326EF"/>
    <w:rsid w:val="00732902"/>
    <w:rsid w:val="00732B14"/>
    <w:rsid w:val="00732B2A"/>
    <w:rsid w:val="00733063"/>
    <w:rsid w:val="007334F8"/>
    <w:rsid w:val="00733569"/>
    <w:rsid w:val="0073382E"/>
    <w:rsid w:val="007339CD"/>
    <w:rsid w:val="00733A80"/>
    <w:rsid w:val="00733CB0"/>
    <w:rsid w:val="00733D3C"/>
    <w:rsid w:val="00733E18"/>
    <w:rsid w:val="00733EBC"/>
    <w:rsid w:val="00733F8D"/>
    <w:rsid w:val="007346DA"/>
    <w:rsid w:val="0073487B"/>
    <w:rsid w:val="0073488A"/>
    <w:rsid w:val="00734A6C"/>
    <w:rsid w:val="007354A9"/>
    <w:rsid w:val="007358B3"/>
    <w:rsid w:val="00735997"/>
    <w:rsid w:val="007359A6"/>
    <w:rsid w:val="007359D8"/>
    <w:rsid w:val="00735D5C"/>
    <w:rsid w:val="00736298"/>
    <w:rsid w:val="007362D4"/>
    <w:rsid w:val="00736813"/>
    <w:rsid w:val="00736F3D"/>
    <w:rsid w:val="00736F63"/>
    <w:rsid w:val="00737145"/>
    <w:rsid w:val="007371E4"/>
    <w:rsid w:val="00737375"/>
    <w:rsid w:val="00737568"/>
    <w:rsid w:val="0073763D"/>
    <w:rsid w:val="00737660"/>
    <w:rsid w:val="007376CC"/>
    <w:rsid w:val="00737784"/>
    <w:rsid w:val="00737A21"/>
    <w:rsid w:val="00737CF0"/>
    <w:rsid w:val="00737F06"/>
    <w:rsid w:val="00737FE4"/>
    <w:rsid w:val="0074032F"/>
    <w:rsid w:val="00740401"/>
    <w:rsid w:val="0074046B"/>
    <w:rsid w:val="0074061C"/>
    <w:rsid w:val="007407AD"/>
    <w:rsid w:val="007407C7"/>
    <w:rsid w:val="00740A75"/>
    <w:rsid w:val="00740BB4"/>
    <w:rsid w:val="00740C28"/>
    <w:rsid w:val="0074119E"/>
    <w:rsid w:val="007415DD"/>
    <w:rsid w:val="00741D67"/>
    <w:rsid w:val="00741DA0"/>
    <w:rsid w:val="00741EDA"/>
    <w:rsid w:val="00742097"/>
    <w:rsid w:val="007422F7"/>
    <w:rsid w:val="007426AE"/>
    <w:rsid w:val="00742838"/>
    <w:rsid w:val="00742A94"/>
    <w:rsid w:val="00742BEB"/>
    <w:rsid w:val="00742CBC"/>
    <w:rsid w:val="00742CFB"/>
    <w:rsid w:val="00742D7C"/>
    <w:rsid w:val="00742E2A"/>
    <w:rsid w:val="00742EE4"/>
    <w:rsid w:val="00743275"/>
    <w:rsid w:val="00743301"/>
    <w:rsid w:val="007433F7"/>
    <w:rsid w:val="0074340F"/>
    <w:rsid w:val="00743811"/>
    <w:rsid w:val="007438EC"/>
    <w:rsid w:val="0074391B"/>
    <w:rsid w:val="00743A27"/>
    <w:rsid w:val="00743C7F"/>
    <w:rsid w:val="007440FD"/>
    <w:rsid w:val="00744175"/>
    <w:rsid w:val="00744A74"/>
    <w:rsid w:val="00744F14"/>
    <w:rsid w:val="00744F49"/>
    <w:rsid w:val="00745377"/>
    <w:rsid w:val="0074596E"/>
    <w:rsid w:val="00745982"/>
    <w:rsid w:val="00745B8F"/>
    <w:rsid w:val="00745D33"/>
    <w:rsid w:val="00745FE1"/>
    <w:rsid w:val="00746005"/>
    <w:rsid w:val="0074611D"/>
    <w:rsid w:val="007462E5"/>
    <w:rsid w:val="0074635D"/>
    <w:rsid w:val="00746369"/>
    <w:rsid w:val="007463D4"/>
    <w:rsid w:val="00746432"/>
    <w:rsid w:val="0074674B"/>
    <w:rsid w:val="00746EC0"/>
    <w:rsid w:val="00746EEA"/>
    <w:rsid w:val="00746FCB"/>
    <w:rsid w:val="007478EF"/>
    <w:rsid w:val="007479BE"/>
    <w:rsid w:val="00747AAA"/>
    <w:rsid w:val="00747B24"/>
    <w:rsid w:val="00747B68"/>
    <w:rsid w:val="00747D56"/>
    <w:rsid w:val="00747FD2"/>
    <w:rsid w:val="00750146"/>
    <w:rsid w:val="00750BC6"/>
    <w:rsid w:val="00750C50"/>
    <w:rsid w:val="00751266"/>
    <w:rsid w:val="0075129B"/>
    <w:rsid w:val="007514B8"/>
    <w:rsid w:val="00751A23"/>
    <w:rsid w:val="00751E67"/>
    <w:rsid w:val="00751F16"/>
    <w:rsid w:val="0075241A"/>
    <w:rsid w:val="00752856"/>
    <w:rsid w:val="00752A28"/>
    <w:rsid w:val="00752A77"/>
    <w:rsid w:val="00752C14"/>
    <w:rsid w:val="00752C80"/>
    <w:rsid w:val="00752EB7"/>
    <w:rsid w:val="00752F22"/>
    <w:rsid w:val="00752FD3"/>
    <w:rsid w:val="0075309C"/>
    <w:rsid w:val="00753538"/>
    <w:rsid w:val="007536CE"/>
    <w:rsid w:val="00753B1B"/>
    <w:rsid w:val="00753CAC"/>
    <w:rsid w:val="00753DF9"/>
    <w:rsid w:val="00754312"/>
    <w:rsid w:val="007544FB"/>
    <w:rsid w:val="007545BA"/>
    <w:rsid w:val="007547BE"/>
    <w:rsid w:val="00754870"/>
    <w:rsid w:val="00754983"/>
    <w:rsid w:val="00754C1E"/>
    <w:rsid w:val="00754E4E"/>
    <w:rsid w:val="007552D8"/>
    <w:rsid w:val="0075539D"/>
    <w:rsid w:val="007554A7"/>
    <w:rsid w:val="007555D6"/>
    <w:rsid w:val="00755CE0"/>
    <w:rsid w:val="00755D21"/>
    <w:rsid w:val="0075650F"/>
    <w:rsid w:val="007567CC"/>
    <w:rsid w:val="00756C88"/>
    <w:rsid w:val="00756E99"/>
    <w:rsid w:val="0075782C"/>
    <w:rsid w:val="00757969"/>
    <w:rsid w:val="00757A9E"/>
    <w:rsid w:val="00757BF5"/>
    <w:rsid w:val="00757D7C"/>
    <w:rsid w:val="00757E20"/>
    <w:rsid w:val="00757E5A"/>
    <w:rsid w:val="00757E80"/>
    <w:rsid w:val="00757FAA"/>
    <w:rsid w:val="007601F6"/>
    <w:rsid w:val="00760498"/>
    <w:rsid w:val="007604EE"/>
    <w:rsid w:val="007605B1"/>
    <w:rsid w:val="00760804"/>
    <w:rsid w:val="00760A93"/>
    <w:rsid w:val="00760E57"/>
    <w:rsid w:val="007610C6"/>
    <w:rsid w:val="00761155"/>
    <w:rsid w:val="0076117F"/>
    <w:rsid w:val="00761596"/>
    <w:rsid w:val="00761BA7"/>
    <w:rsid w:val="00761CDA"/>
    <w:rsid w:val="00761FC0"/>
    <w:rsid w:val="0076231F"/>
    <w:rsid w:val="00762661"/>
    <w:rsid w:val="0076269A"/>
    <w:rsid w:val="00762AC9"/>
    <w:rsid w:val="00762B89"/>
    <w:rsid w:val="007630C5"/>
    <w:rsid w:val="007630FE"/>
    <w:rsid w:val="00763118"/>
    <w:rsid w:val="00763220"/>
    <w:rsid w:val="007632C5"/>
    <w:rsid w:val="00763393"/>
    <w:rsid w:val="007637F0"/>
    <w:rsid w:val="00763AA2"/>
    <w:rsid w:val="00764120"/>
    <w:rsid w:val="007646DD"/>
    <w:rsid w:val="00764921"/>
    <w:rsid w:val="00764A73"/>
    <w:rsid w:val="00764C9F"/>
    <w:rsid w:val="00764FD2"/>
    <w:rsid w:val="00764FDE"/>
    <w:rsid w:val="00765492"/>
    <w:rsid w:val="00765530"/>
    <w:rsid w:val="00765C4F"/>
    <w:rsid w:val="007660B1"/>
    <w:rsid w:val="0076632D"/>
    <w:rsid w:val="007665B1"/>
    <w:rsid w:val="0076664A"/>
    <w:rsid w:val="007666F3"/>
    <w:rsid w:val="0076672A"/>
    <w:rsid w:val="00766D82"/>
    <w:rsid w:val="00766F95"/>
    <w:rsid w:val="0076707E"/>
    <w:rsid w:val="00767531"/>
    <w:rsid w:val="007676BD"/>
    <w:rsid w:val="007677CB"/>
    <w:rsid w:val="007679A0"/>
    <w:rsid w:val="007679C7"/>
    <w:rsid w:val="00767D01"/>
    <w:rsid w:val="00767DA9"/>
    <w:rsid w:val="007701F3"/>
    <w:rsid w:val="00770200"/>
    <w:rsid w:val="007702DE"/>
    <w:rsid w:val="0077043B"/>
    <w:rsid w:val="00770733"/>
    <w:rsid w:val="0077082B"/>
    <w:rsid w:val="00770B65"/>
    <w:rsid w:val="00770DF3"/>
    <w:rsid w:val="00771057"/>
    <w:rsid w:val="007711B1"/>
    <w:rsid w:val="0077121E"/>
    <w:rsid w:val="00771307"/>
    <w:rsid w:val="00771746"/>
    <w:rsid w:val="00771B66"/>
    <w:rsid w:val="00771CB9"/>
    <w:rsid w:val="00771E86"/>
    <w:rsid w:val="00772216"/>
    <w:rsid w:val="007722E0"/>
    <w:rsid w:val="0077242D"/>
    <w:rsid w:val="007726BD"/>
    <w:rsid w:val="007727BD"/>
    <w:rsid w:val="00772919"/>
    <w:rsid w:val="007729B9"/>
    <w:rsid w:val="00772AE1"/>
    <w:rsid w:val="00772F59"/>
    <w:rsid w:val="00772F6D"/>
    <w:rsid w:val="0077319C"/>
    <w:rsid w:val="00773567"/>
    <w:rsid w:val="00773746"/>
    <w:rsid w:val="00773803"/>
    <w:rsid w:val="007739B0"/>
    <w:rsid w:val="00773BAB"/>
    <w:rsid w:val="00773C42"/>
    <w:rsid w:val="00773CBA"/>
    <w:rsid w:val="0077407D"/>
    <w:rsid w:val="0077459A"/>
    <w:rsid w:val="0077467C"/>
    <w:rsid w:val="00774BE2"/>
    <w:rsid w:val="00774DE8"/>
    <w:rsid w:val="00774E82"/>
    <w:rsid w:val="007750EB"/>
    <w:rsid w:val="00775191"/>
    <w:rsid w:val="00775696"/>
    <w:rsid w:val="0077584E"/>
    <w:rsid w:val="007759C6"/>
    <w:rsid w:val="007759E7"/>
    <w:rsid w:val="00775A60"/>
    <w:rsid w:val="00775B10"/>
    <w:rsid w:val="00775CD0"/>
    <w:rsid w:val="00775E45"/>
    <w:rsid w:val="00775E71"/>
    <w:rsid w:val="007760C0"/>
    <w:rsid w:val="007762E9"/>
    <w:rsid w:val="00776390"/>
    <w:rsid w:val="007765B7"/>
    <w:rsid w:val="0077666B"/>
    <w:rsid w:val="00776C7E"/>
    <w:rsid w:val="00776E74"/>
    <w:rsid w:val="00776EE3"/>
    <w:rsid w:val="00776F24"/>
    <w:rsid w:val="00776FC6"/>
    <w:rsid w:val="007772BF"/>
    <w:rsid w:val="00777511"/>
    <w:rsid w:val="00777576"/>
    <w:rsid w:val="007776DF"/>
    <w:rsid w:val="00777C00"/>
    <w:rsid w:val="00777C91"/>
    <w:rsid w:val="00777CB1"/>
    <w:rsid w:val="00777DA6"/>
    <w:rsid w:val="00777DC6"/>
    <w:rsid w:val="007801D3"/>
    <w:rsid w:val="007803AD"/>
    <w:rsid w:val="00780433"/>
    <w:rsid w:val="007804FF"/>
    <w:rsid w:val="00780ACA"/>
    <w:rsid w:val="00780B93"/>
    <w:rsid w:val="00780BC2"/>
    <w:rsid w:val="00780D4C"/>
    <w:rsid w:val="00780DA2"/>
    <w:rsid w:val="00780E5A"/>
    <w:rsid w:val="00780F55"/>
    <w:rsid w:val="00781CD6"/>
    <w:rsid w:val="00781D22"/>
    <w:rsid w:val="00782321"/>
    <w:rsid w:val="007824AE"/>
    <w:rsid w:val="00782674"/>
    <w:rsid w:val="007829B9"/>
    <w:rsid w:val="00782A18"/>
    <w:rsid w:val="0078306E"/>
    <w:rsid w:val="00783160"/>
    <w:rsid w:val="00783229"/>
    <w:rsid w:val="00783353"/>
    <w:rsid w:val="0078360B"/>
    <w:rsid w:val="00783637"/>
    <w:rsid w:val="00783902"/>
    <w:rsid w:val="007839AA"/>
    <w:rsid w:val="0078513B"/>
    <w:rsid w:val="00785169"/>
    <w:rsid w:val="0078519C"/>
    <w:rsid w:val="007851BB"/>
    <w:rsid w:val="00785205"/>
    <w:rsid w:val="0078544C"/>
    <w:rsid w:val="0078569D"/>
    <w:rsid w:val="00785799"/>
    <w:rsid w:val="00785CDF"/>
    <w:rsid w:val="00785EDA"/>
    <w:rsid w:val="00785F96"/>
    <w:rsid w:val="00786490"/>
    <w:rsid w:val="00786630"/>
    <w:rsid w:val="007868DF"/>
    <w:rsid w:val="00786A88"/>
    <w:rsid w:val="00786AA1"/>
    <w:rsid w:val="007871BF"/>
    <w:rsid w:val="0078743F"/>
    <w:rsid w:val="00787564"/>
    <w:rsid w:val="007879FA"/>
    <w:rsid w:val="0078B994"/>
    <w:rsid w:val="0079012E"/>
    <w:rsid w:val="00790156"/>
    <w:rsid w:val="007902D9"/>
    <w:rsid w:val="00790344"/>
    <w:rsid w:val="007904C1"/>
    <w:rsid w:val="00790880"/>
    <w:rsid w:val="00790A41"/>
    <w:rsid w:val="00790C0A"/>
    <w:rsid w:val="00790D5F"/>
    <w:rsid w:val="00790D80"/>
    <w:rsid w:val="00790EB6"/>
    <w:rsid w:val="007910F9"/>
    <w:rsid w:val="0079111F"/>
    <w:rsid w:val="0079138F"/>
    <w:rsid w:val="0079142B"/>
    <w:rsid w:val="0079160E"/>
    <w:rsid w:val="00791774"/>
    <w:rsid w:val="00791C1C"/>
    <w:rsid w:val="00791CB9"/>
    <w:rsid w:val="00791F46"/>
    <w:rsid w:val="00792327"/>
    <w:rsid w:val="00792337"/>
    <w:rsid w:val="0079256D"/>
    <w:rsid w:val="007926AF"/>
    <w:rsid w:val="0079272E"/>
    <w:rsid w:val="007929C6"/>
    <w:rsid w:val="00792A5E"/>
    <w:rsid w:val="00792B37"/>
    <w:rsid w:val="00792CF2"/>
    <w:rsid w:val="00792FA3"/>
    <w:rsid w:val="0079306B"/>
    <w:rsid w:val="00793184"/>
    <w:rsid w:val="0079339F"/>
    <w:rsid w:val="00793568"/>
    <w:rsid w:val="00793729"/>
    <w:rsid w:val="00793A87"/>
    <w:rsid w:val="00793AB9"/>
    <w:rsid w:val="00793CEA"/>
    <w:rsid w:val="007941AA"/>
    <w:rsid w:val="00794295"/>
    <w:rsid w:val="007942EA"/>
    <w:rsid w:val="0079434B"/>
    <w:rsid w:val="0079489D"/>
    <w:rsid w:val="0079493F"/>
    <w:rsid w:val="00794E8C"/>
    <w:rsid w:val="007950E2"/>
    <w:rsid w:val="00795143"/>
    <w:rsid w:val="0079524D"/>
    <w:rsid w:val="00795311"/>
    <w:rsid w:val="007954AB"/>
    <w:rsid w:val="0079550A"/>
    <w:rsid w:val="00795998"/>
    <w:rsid w:val="00795B8E"/>
    <w:rsid w:val="00795F45"/>
    <w:rsid w:val="007961C9"/>
    <w:rsid w:val="0079622E"/>
    <w:rsid w:val="00796643"/>
    <w:rsid w:val="00796711"/>
    <w:rsid w:val="00796E09"/>
    <w:rsid w:val="007971ED"/>
    <w:rsid w:val="0079746A"/>
    <w:rsid w:val="007974B7"/>
    <w:rsid w:val="00797837"/>
    <w:rsid w:val="0079789C"/>
    <w:rsid w:val="00797B70"/>
    <w:rsid w:val="00797C7E"/>
    <w:rsid w:val="007A0032"/>
    <w:rsid w:val="007A042C"/>
    <w:rsid w:val="007A05DD"/>
    <w:rsid w:val="007A0654"/>
    <w:rsid w:val="007A07C7"/>
    <w:rsid w:val="007A0B94"/>
    <w:rsid w:val="007A1077"/>
    <w:rsid w:val="007A1175"/>
    <w:rsid w:val="007A140D"/>
    <w:rsid w:val="007A14C5"/>
    <w:rsid w:val="007A17CF"/>
    <w:rsid w:val="007A18C9"/>
    <w:rsid w:val="007A2084"/>
    <w:rsid w:val="007A2537"/>
    <w:rsid w:val="007A27A6"/>
    <w:rsid w:val="007A29AE"/>
    <w:rsid w:val="007A2A22"/>
    <w:rsid w:val="007A2CAD"/>
    <w:rsid w:val="007A3205"/>
    <w:rsid w:val="007A35A1"/>
    <w:rsid w:val="007A3871"/>
    <w:rsid w:val="007A39C5"/>
    <w:rsid w:val="007A3E38"/>
    <w:rsid w:val="007A3FC3"/>
    <w:rsid w:val="007A41DC"/>
    <w:rsid w:val="007A43CA"/>
    <w:rsid w:val="007A47F2"/>
    <w:rsid w:val="007A49F8"/>
    <w:rsid w:val="007A4A10"/>
    <w:rsid w:val="007A4CC8"/>
    <w:rsid w:val="007A4D69"/>
    <w:rsid w:val="007A4DAC"/>
    <w:rsid w:val="007A4DB2"/>
    <w:rsid w:val="007A4E3B"/>
    <w:rsid w:val="007A5268"/>
    <w:rsid w:val="007A55E3"/>
    <w:rsid w:val="007A5703"/>
    <w:rsid w:val="007A5892"/>
    <w:rsid w:val="007A59D0"/>
    <w:rsid w:val="007A59F5"/>
    <w:rsid w:val="007A5B44"/>
    <w:rsid w:val="007A5B59"/>
    <w:rsid w:val="007A5C9B"/>
    <w:rsid w:val="007A5D77"/>
    <w:rsid w:val="007A5FE4"/>
    <w:rsid w:val="007A6038"/>
    <w:rsid w:val="007A605B"/>
    <w:rsid w:val="007A607B"/>
    <w:rsid w:val="007A612A"/>
    <w:rsid w:val="007A6320"/>
    <w:rsid w:val="007A68B4"/>
    <w:rsid w:val="007A697D"/>
    <w:rsid w:val="007A69AD"/>
    <w:rsid w:val="007A6E20"/>
    <w:rsid w:val="007A7471"/>
    <w:rsid w:val="007A7A92"/>
    <w:rsid w:val="007A7D5F"/>
    <w:rsid w:val="007A7F0F"/>
    <w:rsid w:val="007A7F8C"/>
    <w:rsid w:val="007B007C"/>
    <w:rsid w:val="007B04DC"/>
    <w:rsid w:val="007B0532"/>
    <w:rsid w:val="007B06A8"/>
    <w:rsid w:val="007B08D2"/>
    <w:rsid w:val="007B099C"/>
    <w:rsid w:val="007B09AE"/>
    <w:rsid w:val="007B0ACB"/>
    <w:rsid w:val="007B0E88"/>
    <w:rsid w:val="007B0E8F"/>
    <w:rsid w:val="007B149B"/>
    <w:rsid w:val="007B15DA"/>
    <w:rsid w:val="007B1760"/>
    <w:rsid w:val="007B1AFB"/>
    <w:rsid w:val="007B1BCE"/>
    <w:rsid w:val="007B1CD8"/>
    <w:rsid w:val="007B1D38"/>
    <w:rsid w:val="007B2082"/>
    <w:rsid w:val="007B20C0"/>
    <w:rsid w:val="007B20D1"/>
    <w:rsid w:val="007B220B"/>
    <w:rsid w:val="007B2294"/>
    <w:rsid w:val="007B22F7"/>
    <w:rsid w:val="007B23D2"/>
    <w:rsid w:val="007B2512"/>
    <w:rsid w:val="007B2966"/>
    <w:rsid w:val="007B296B"/>
    <w:rsid w:val="007B2D7E"/>
    <w:rsid w:val="007B2D83"/>
    <w:rsid w:val="007B2FDD"/>
    <w:rsid w:val="007B3015"/>
    <w:rsid w:val="007B3318"/>
    <w:rsid w:val="007B347B"/>
    <w:rsid w:val="007B3505"/>
    <w:rsid w:val="007B3B4D"/>
    <w:rsid w:val="007B3C41"/>
    <w:rsid w:val="007B3C74"/>
    <w:rsid w:val="007B3D89"/>
    <w:rsid w:val="007B3F2A"/>
    <w:rsid w:val="007B3FC7"/>
    <w:rsid w:val="007B45F3"/>
    <w:rsid w:val="007B4685"/>
    <w:rsid w:val="007B4F77"/>
    <w:rsid w:val="007B5300"/>
    <w:rsid w:val="007B5698"/>
    <w:rsid w:val="007B56B5"/>
    <w:rsid w:val="007B57DD"/>
    <w:rsid w:val="007B5936"/>
    <w:rsid w:val="007B608A"/>
    <w:rsid w:val="007B61A4"/>
    <w:rsid w:val="007B69CD"/>
    <w:rsid w:val="007B6B62"/>
    <w:rsid w:val="007B6D2E"/>
    <w:rsid w:val="007B6DFA"/>
    <w:rsid w:val="007B71E6"/>
    <w:rsid w:val="007B7911"/>
    <w:rsid w:val="007B7937"/>
    <w:rsid w:val="007B7C07"/>
    <w:rsid w:val="007C0333"/>
    <w:rsid w:val="007C0871"/>
    <w:rsid w:val="007C0A3B"/>
    <w:rsid w:val="007C0BAE"/>
    <w:rsid w:val="007C0C73"/>
    <w:rsid w:val="007C0DAA"/>
    <w:rsid w:val="007C10C0"/>
    <w:rsid w:val="007C118B"/>
    <w:rsid w:val="007C1333"/>
    <w:rsid w:val="007C1479"/>
    <w:rsid w:val="007C14A8"/>
    <w:rsid w:val="007C172E"/>
    <w:rsid w:val="007C1988"/>
    <w:rsid w:val="007C1B59"/>
    <w:rsid w:val="007C2210"/>
    <w:rsid w:val="007C22A4"/>
    <w:rsid w:val="007C2406"/>
    <w:rsid w:val="007C244B"/>
    <w:rsid w:val="007C284F"/>
    <w:rsid w:val="007C2BE1"/>
    <w:rsid w:val="007C2CDE"/>
    <w:rsid w:val="007C3095"/>
    <w:rsid w:val="007C30A4"/>
    <w:rsid w:val="007C317F"/>
    <w:rsid w:val="007C3479"/>
    <w:rsid w:val="007C3758"/>
    <w:rsid w:val="007C379B"/>
    <w:rsid w:val="007C3A38"/>
    <w:rsid w:val="007C3D12"/>
    <w:rsid w:val="007C426B"/>
    <w:rsid w:val="007C43C1"/>
    <w:rsid w:val="007C4947"/>
    <w:rsid w:val="007C4B02"/>
    <w:rsid w:val="007C4D1C"/>
    <w:rsid w:val="007C4E23"/>
    <w:rsid w:val="007C4F3E"/>
    <w:rsid w:val="007C52A4"/>
    <w:rsid w:val="007C5552"/>
    <w:rsid w:val="007C577A"/>
    <w:rsid w:val="007C5C5F"/>
    <w:rsid w:val="007C5CF4"/>
    <w:rsid w:val="007C5F36"/>
    <w:rsid w:val="007C61B2"/>
    <w:rsid w:val="007C641D"/>
    <w:rsid w:val="007C68D6"/>
    <w:rsid w:val="007C698E"/>
    <w:rsid w:val="007C6A97"/>
    <w:rsid w:val="007C6AFC"/>
    <w:rsid w:val="007C6CE2"/>
    <w:rsid w:val="007C6D78"/>
    <w:rsid w:val="007C6D9C"/>
    <w:rsid w:val="007C6E6F"/>
    <w:rsid w:val="007C6EF2"/>
    <w:rsid w:val="007C6EFD"/>
    <w:rsid w:val="007C6FC3"/>
    <w:rsid w:val="007C708A"/>
    <w:rsid w:val="007C7231"/>
    <w:rsid w:val="007C7234"/>
    <w:rsid w:val="007C7363"/>
    <w:rsid w:val="007C75B9"/>
    <w:rsid w:val="007C77ED"/>
    <w:rsid w:val="007C7979"/>
    <w:rsid w:val="007C7B53"/>
    <w:rsid w:val="007C7DDB"/>
    <w:rsid w:val="007D00F2"/>
    <w:rsid w:val="007D0228"/>
    <w:rsid w:val="007D022C"/>
    <w:rsid w:val="007D0809"/>
    <w:rsid w:val="007D09FF"/>
    <w:rsid w:val="007D0E12"/>
    <w:rsid w:val="007D1058"/>
    <w:rsid w:val="007D1186"/>
    <w:rsid w:val="007D11F0"/>
    <w:rsid w:val="007D138F"/>
    <w:rsid w:val="007D19DC"/>
    <w:rsid w:val="007D19DF"/>
    <w:rsid w:val="007D1B15"/>
    <w:rsid w:val="007D1CEE"/>
    <w:rsid w:val="007D1EB3"/>
    <w:rsid w:val="007D1EE5"/>
    <w:rsid w:val="007D1FC1"/>
    <w:rsid w:val="007D2049"/>
    <w:rsid w:val="007D2087"/>
    <w:rsid w:val="007D24EC"/>
    <w:rsid w:val="007D2A28"/>
    <w:rsid w:val="007D2B1A"/>
    <w:rsid w:val="007D2B3A"/>
    <w:rsid w:val="007D2B5D"/>
    <w:rsid w:val="007D2BA0"/>
    <w:rsid w:val="007D2C9E"/>
    <w:rsid w:val="007D2CC7"/>
    <w:rsid w:val="007D2D8A"/>
    <w:rsid w:val="007D2EF0"/>
    <w:rsid w:val="007D317D"/>
    <w:rsid w:val="007D331D"/>
    <w:rsid w:val="007D346A"/>
    <w:rsid w:val="007D349A"/>
    <w:rsid w:val="007D3503"/>
    <w:rsid w:val="007D3506"/>
    <w:rsid w:val="007D357A"/>
    <w:rsid w:val="007D3689"/>
    <w:rsid w:val="007D374A"/>
    <w:rsid w:val="007D3998"/>
    <w:rsid w:val="007D39FF"/>
    <w:rsid w:val="007D3DCD"/>
    <w:rsid w:val="007D3E97"/>
    <w:rsid w:val="007D41C3"/>
    <w:rsid w:val="007D4234"/>
    <w:rsid w:val="007D4833"/>
    <w:rsid w:val="007D49FF"/>
    <w:rsid w:val="007D4A54"/>
    <w:rsid w:val="007D4A60"/>
    <w:rsid w:val="007D4BA7"/>
    <w:rsid w:val="007D50F0"/>
    <w:rsid w:val="007D548F"/>
    <w:rsid w:val="007D56C0"/>
    <w:rsid w:val="007D5752"/>
    <w:rsid w:val="007D5AE7"/>
    <w:rsid w:val="007D5FB7"/>
    <w:rsid w:val="007D6119"/>
    <w:rsid w:val="007D636C"/>
    <w:rsid w:val="007D638E"/>
    <w:rsid w:val="007D6630"/>
    <w:rsid w:val="007D673D"/>
    <w:rsid w:val="007D683A"/>
    <w:rsid w:val="007D68CD"/>
    <w:rsid w:val="007D69C8"/>
    <w:rsid w:val="007D6A49"/>
    <w:rsid w:val="007D6C9E"/>
    <w:rsid w:val="007D711F"/>
    <w:rsid w:val="007D712A"/>
    <w:rsid w:val="007D712D"/>
    <w:rsid w:val="007D72A3"/>
    <w:rsid w:val="007D73EF"/>
    <w:rsid w:val="007D7440"/>
    <w:rsid w:val="007D7693"/>
    <w:rsid w:val="007D77B5"/>
    <w:rsid w:val="007D7A10"/>
    <w:rsid w:val="007D7C21"/>
    <w:rsid w:val="007D7EC9"/>
    <w:rsid w:val="007E00FB"/>
    <w:rsid w:val="007E01EB"/>
    <w:rsid w:val="007E0631"/>
    <w:rsid w:val="007E0783"/>
    <w:rsid w:val="007E0806"/>
    <w:rsid w:val="007E09BF"/>
    <w:rsid w:val="007E0B73"/>
    <w:rsid w:val="007E11AB"/>
    <w:rsid w:val="007E121F"/>
    <w:rsid w:val="007E1248"/>
    <w:rsid w:val="007E148F"/>
    <w:rsid w:val="007E14C3"/>
    <w:rsid w:val="007E1749"/>
    <w:rsid w:val="007E180D"/>
    <w:rsid w:val="007E19C0"/>
    <w:rsid w:val="007E206A"/>
    <w:rsid w:val="007E2199"/>
    <w:rsid w:val="007E2216"/>
    <w:rsid w:val="007E31A9"/>
    <w:rsid w:val="007E31AF"/>
    <w:rsid w:val="007E327D"/>
    <w:rsid w:val="007E356A"/>
    <w:rsid w:val="007E367B"/>
    <w:rsid w:val="007E3842"/>
    <w:rsid w:val="007E385B"/>
    <w:rsid w:val="007E389E"/>
    <w:rsid w:val="007E3B5A"/>
    <w:rsid w:val="007E3CF8"/>
    <w:rsid w:val="007E405D"/>
    <w:rsid w:val="007E44A0"/>
    <w:rsid w:val="007E46BC"/>
    <w:rsid w:val="007E4D3D"/>
    <w:rsid w:val="007E4F2B"/>
    <w:rsid w:val="007E51F4"/>
    <w:rsid w:val="007E5C92"/>
    <w:rsid w:val="007E5DDA"/>
    <w:rsid w:val="007E5F3D"/>
    <w:rsid w:val="007E6222"/>
    <w:rsid w:val="007E622B"/>
    <w:rsid w:val="007E62A7"/>
    <w:rsid w:val="007E6B8F"/>
    <w:rsid w:val="007E6ED2"/>
    <w:rsid w:val="007E719C"/>
    <w:rsid w:val="007E71EB"/>
    <w:rsid w:val="007E723B"/>
    <w:rsid w:val="007E7568"/>
    <w:rsid w:val="007E7A76"/>
    <w:rsid w:val="007E7A96"/>
    <w:rsid w:val="007E7CC9"/>
    <w:rsid w:val="007E7D43"/>
    <w:rsid w:val="007E7DC5"/>
    <w:rsid w:val="007F009A"/>
    <w:rsid w:val="007F03E8"/>
    <w:rsid w:val="007F0635"/>
    <w:rsid w:val="007F06E5"/>
    <w:rsid w:val="007F086A"/>
    <w:rsid w:val="007F0AD5"/>
    <w:rsid w:val="007F0DBD"/>
    <w:rsid w:val="007F0F6E"/>
    <w:rsid w:val="007F114A"/>
    <w:rsid w:val="007F151B"/>
    <w:rsid w:val="007F1602"/>
    <w:rsid w:val="007F169C"/>
    <w:rsid w:val="007F171B"/>
    <w:rsid w:val="007F17A1"/>
    <w:rsid w:val="007F186D"/>
    <w:rsid w:val="007F1C35"/>
    <w:rsid w:val="007F1F23"/>
    <w:rsid w:val="007F203E"/>
    <w:rsid w:val="007F20EB"/>
    <w:rsid w:val="007F2164"/>
    <w:rsid w:val="007F2220"/>
    <w:rsid w:val="007F2338"/>
    <w:rsid w:val="007F234A"/>
    <w:rsid w:val="007F236C"/>
    <w:rsid w:val="007F24EB"/>
    <w:rsid w:val="007F2C26"/>
    <w:rsid w:val="007F2FF5"/>
    <w:rsid w:val="007F300B"/>
    <w:rsid w:val="007F3460"/>
    <w:rsid w:val="007F34BE"/>
    <w:rsid w:val="007F35B8"/>
    <w:rsid w:val="007F380F"/>
    <w:rsid w:val="007F3A2D"/>
    <w:rsid w:val="007F3B13"/>
    <w:rsid w:val="007F41C5"/>
    <w:rsid w:val="007F4953"/>
    <w:rsid w:val="007F49F0"/>
    <w:rsid w:val="007F4B3E"/>
    <w:rsid w:val="007F54F0"/>
    <w:rsid w:val="007F588A"/>
    <w:rsid w:val="007F5C29"/>
    <w:rsid w:val="007F5CDE"/>
    <w:rsid w:val="007F60C2"/>
    <w:rsid w:val="007F6133"/>
    <w:rsid w:val="007F61C3"/>
    <w:rsid w:val="007F61D2"/>
    <w:rsid w:val="007F6282"/>
    <w:rsid w:val="007F6303"/>
    <w:rsid w:val="007F63C8"/>
    <w:rsid w:val="007F63CA"/>
    <w:rsid w:val="007F642D"/>
    <w:rsid w:val="007F6588"/>
    <w:rsid w:val="007F66EA"/>
    <w:rsid w:val="007F672C"/>
    <w:rsid w:val="007F6B19"/>
    <w:rsid w:val="007F6B78"/>
    <w:rsid w:val="007F6E5D"/>
    <w:rsid w:val="007F76D6"/>
    <w:rsid w:val="007F7C8D"/>
    <w:rsid w:val="007F7D7F"/>
    <w:rsid w:val="007F7DDF"/>
    <w:rsid w:val="007F7E3D"/>
    <w:rsid w:val="00800034"/>
    <w:rsid w:val="0080025E"/>
    <w:rsid w:val="008007A8"/>
    <w:rsid w:val="00800C18"/>
    <w:rsid w:val="00800E01"/>
    <w:rsid w:val="00800F20"/>
    <w:rsid w:val="00800F3D"/>
    <w:rsid w:val="008011DF"/>
    <w:rsid w:val="008011E6"/>
    <w:rsid w:val="0080135F"/>
    <w:rsid w:val="00801391"/>
    <w:rsid w:val="008014C1"/>
    <w:rsid w:val="008014F7"/>
    <w:rsid w:val="00801713"/>
    <w:rsid w:val="00801863"/>
    <w:rsid w:val="00801CBF"/>
    <w:rsid w:val="008022B1"/>
    <w:rsid w:val="008023C4"/>
    <w:rsid w:val="008023D9"/>
    <w:rsid w:val="00802810"/>
    <w:rsid w:val="00802CED"/>
    <w:rsid w:val="008031A8"/>
    <w:rsid w:val="008031E5"/>
    <w:rsid w:val="00803386"/>
    <w:rsid w:val="0080338F"/>
    <w:rsid w:val="008034AC"/>
    <w:rsid w:val="008036CB"/>
    <w:rsid w:val="00803775"/>
    <w:rsid w:val="00803923"/>
    <w:rsid w:val="00803928"/>
    <w:rsid w:val="00803ACF"/>
    <w:rsid w:val="00803B56"/>
    <w:rsid w:val="00803CD3"/>
    <w:rsid w:val="00803CDF"/>
    <w:rsid w:val="00803E61"/>
    <w:rsid w:val="00803F3A"/>
    <w:rsid w:val="00804277"/>
    <w:rsid w:val="00804748"/>
    <w:rsid w:val="00804890"/>
    <w:rsid w:val="00804C01"/>
    <w:rsid w:val="00804C59"/>
    <w:rsid w:val="00804C7A"/>
    <w:rsid w:val="00804CF4"/>
    <w:rsid w:val="00804D39"/>
    <w:rsid w:val="00804FB6"/>
    <w:rsid w:val="008052E9"/>
    <w:rsid w:val="00805A38"/>
    <w:rsid w:val="00805AAA"/>
    <w:rsid w:val="00805DD9"/>
    <w:rsid w:val="008063F6"/>
    <w:rsid w:val="00806489"/>
    <w:rsid w:val="00806662"/>
    <w:rsid w:val="00806677"/>
    <w:rsid w:val="008066D7"/>
    <w:rsid w:val="008071DA"/>
    <w:rsid w:val="0080730A"/>
    <w:rsid w:val="008078EC"/>
    <w:rsid w:val="008079A2"/>
    <w:rsid w:val="00807A42"/>
    <w:rsid w:val="00807B6A"/>
    <w:rsid w:val="00807E0C"/>
    <w:rsid w:val="008101D5"/>
    <w:rsid w:val="00810305"/>
    <w:rsid w:val="008108C2"/>
    <w:rsid w:val="00810A82"/>
    <w:rsid w:val="00810D45"/>
    <w:rsid w:val="00810F74"/>
    <w:rsid w:val="008111BB"/>
    <w:rsid w:val="00811538"/>
    <w:rsid w:val="008116EE"/>
    <w:rsid w:val="00811CE9"/>
    <w:rsid w:val="00811D3E"/>
    <w:rsid w:val="00811EAB"/>
    <w:rsid w:val="0081229C"/>
    <w:rsid w:val="008123A8"/>
    <w:rsid w:val="00812532"/>
    <w:rsid w:val="008127AF"/>
    <w:rsid w:val="00812A76"/>
    <w:rsid w:val="00812AA6"/>
    <w:rsid w:val="00812B46"/>
    <w:rsid w:val="00812FEB"/>
    <w:rsid w:val="00813149"/>
    <w:rsid w:val="0081321D"/>
    <w:rsid w:val="0081345E"/>
    <w:rsid w:val="00813A42"/>
    <w:rsid w:val="00813ACE"/>
    <w:rsid w:val="00813AF9"/>
    <w:rsid w:val="00813B3B"/>
    <w:rsid w:val="00813DCF"/>
    <w:rsid w:val="00814108"/>
    <w:rsid w:val="008143C4"/>
    <w:rsid w:val="0081484F"/>
    <w:rsid w:val="008148EE"/>
    <w:rsid w:val="0081491B"/>
    <w:rsid w:val="00814C58"/>
    <w:rsid w:val="00814DC9"/>
    <w:rsid w:val="00814E34"/>
    <w:rsid w:val="00814E43"/>
    <w:rsid w:val="00814ECF"/>
    <w:rsid w:val="008152DE"/>
    <w:rsid w:val="00815426"/>
    <w:rsid w:val="008155AA"/>
    <w:rsid w:val="008155B1"/>
    <w:rsid w:val="008155ED"/>
    <w:rsid w:val="0081560B"/>
    <w:rsid w:val="00815630"/>
    <w:rsid w:val="00815700"/>
    <w:rsid w:val="00815707"/>
    <w:rsid w:val="008158AC"/>
    <w:rsid w:val="00815AD3"/>
    <w:rsid w:val="00815B16"/>
    <w:rsid w:val="00815D4F"/>
    <w:rsid w:val="0081623D"/>
    <w:rsid w:val="00816733"/>
    <w:rsid w:val="008167AD"/>
    <w:rsid w:val="00816B18"/>
    <w:rsid w:val="00816C4E"/>
    <w:rsid w:val="00816E3B"/>
    <w:rsid w:val="00816F75"/>
    <w:rsid w:val="0081715B"/>
    <w:rsid w:val="008172F8"/>
    <w:rsid w:val="008173B3"/>
    <w:rsid w:val="0081747A"/>
    <w:rsid w:val="00817576"/>
    <w:rsid w:val="0081765D"/>
    <w:rsid w:val="00817841"/>
    <w:rsid w:val="00817932"/>
    <w:rsid w:val="00817B70"/>
    <w:rsid w:val="00817CBA"/>
    <w:rsid w:val="00817F18"/>
    <w:rsid w:val="0081EC0B"/>
    <w:rsid w:val="0082019B"/>
    <w:rsid w:val="008201C3"/>
    <w:rsid w:val="008205A8"/>
    <w:rsid w:val="008205A9"/>
    <w:rsid w:val="008206A1"/>
    <w:rsid w:val="00820DF0"/>
    <w:rsid w:val="00820EC8"/>
    <w:rsid w:val="00820F2A"/>
    <w:rsid w:val="008218FB"/>
    <w:rsid w:val="00821984"/>
    <w:rsid w:val="00821CCC"/>
    <w:rsid w:val="00821E5F"/>
    <w:rsid w:val="00822286"/>
    <w:rsid w:val="00822A3C"/>
    <w:rsid w:val="00822A64"/>
    <w:rsid w:val="00822B22"/>
    <w:rsid w:val="008231D0"/>
    <w:rsid w:val="008233AC"/>
    <w:rsid w:val="008235C5"/>
    <w:rsid w:val="0082364F"/>
    <w:rsid w:val="00823780"/>
    <w:rsid w:val="008237C5"/>
    <w:rsid w:val="00823A95"/>
    <w:rsid w:val="00823BC1"/>
    <w:rsid w:val="00823E76"/>
    <w:rsid w:val="008240B1"/>
    <w:rsid w:val="00824195"/>
    <w:rsid w:val="0082433D"/>
    <w:rsid w:val="00824757"/>
    <w:rsid w:val="008247E2"/>
    <w:rsid w:val="0082480B"/>
    <w:rsid w:val="00824B2B"/>
    <w:rsid w:val="008255CA"/>
    <w:rsid w:val="008258E4"/>
    <w:rsid w:val="00825947"/>
    <w:rsid w:val="00825EDB"/>
    <w:rsid w:val="00825EE2"/>
    <w:rsid w:val="00825F95"/>
    <w:rsid w:val="00826110"/>
    <w:rsid w:val="008263E7"/>
    <w:rsid w:val="008264EB"/>
    <w:rsid w:val="008267CF"/>
    <w:rsid w:val="00826B8F"/>
    <w:rsid w:val="00826DA7"/>
    <w:rsid w:val="0082758A"/>
    <w:rsid w:val="00827657"/>
    <w:rsid w:val="008278F0"/>
    <w:rsid w:val="00827965"/>
    <w:rsid w:val="00827A63"/>
    <w:rsid w:val="00827EAA"/>
    <w:rsid w:val="00827FDF"/>
    <w:rsid w:val="008305E1"/>
    <w:rsid w:val="00830689"/>
    <w:rsid w:val="008309D6"/>
    <w:rsid w:val="00830A6A"/>
    <w:rsid w:val="00830AE6"/>
    <w:rsid w:val="00830E25"/>
    <w:rsid w:val="00830E9D"/>
    <w:rsid w:val="00831014"/>
    <w:rsid w:val="0083143C"/>
    <w:rsid w:val="00831784"/>
    <w:rsid w:val="00831B0F"/>
    <w:rsid w:val="00831C90"/>
    <w:rsid w:val="00831E8A"/>
    <w:rsid w:val="00831F56"/>
    <w:rsid w:val="0083200E"/>
    <w:rsid w:val="00832070"/>
    <w:rsid w:val="00832090"/>
    <w:rsid w:val="00832227"/>
    <w:rsid w:val="00832458"/>
    <w:rsid w:val="00832520"/>
    <w:rsid w:val="0083267B"/>
    <w:rsid w:val="008326CE"/>
    <w:rsid w:val="008329FD"/>
    <w:rsid w:val="00832A41"/>
    <w:rsid w:val="00832A7C"/>
    <w:rsid w:val="00832AF7"/>
    <w:rsid w:val="00832BBE"/>
    <w:rsid w:val="00832CC4"/>
    <w:rsid w:val="0083309D"/>
    <w:rsid w:val="008334D0"/>
    <w:rsid w:val="0083384A"/>
    <w:rsid w:val="00833A56"/>
    <w:rsid w:val="00833B9D"/>
    <w:rsid w:val="00834101"/>
    <w:rsid w:val="00834636"/>
    <w:rsid w:val="00834786"/>
    <w:rsid w:val="00834980"/>
    <w:rsid w:val="00834B96"/>
    <w:rsid w:val="00834D3D"/>
    <w:rsid w:val="00834E0C"/>
    <w:rsid w:val="00834FB1"/>
    <w:rsid w:val="0083549E"/>
    <w:rsid w:val="0083563A"/>
    <w:rsid w:val="00835C76"/>
    <w:rsid w:val="00835EC0"/>
    <w:rsid w:val="00835FE0"/>
    <w:rsid w:val="008362D2"/>
    <w:rsid w:val="00836633"/>
    <w:rsid w:val="0083663B"/>
    <w:rsid w:val="0083678F"/>
    <w:rsid w:val="00836837"/>
    <w:rsid w:val="00836C7B"/>
    <w:rsid w:val="00837077"/>
    <w:rsid w:val="008370D1"/>
    <w:rsid w:val="008370E4"/>
    <w:rsid w:val="00837713"/>
    <w:rsid w:val="00837847"/>
    <w:rsid w:val="00837860"/>
    <w:rsid w:val="00837C28"/>
    <w:rsid w:val="00840012"/>
    <w:rsid w:val="0084024C"/>
    <w:rsid w:val="0084043B"/>
    <w:rsid w:val="008404CF"/>
    <w:rsid w:val="0084056C"/>
    <w:rsid w:val="00840588"/>
    <w:rsid w:val="008405AB"/>
    <w:rsid w:val="00840636"/>
    <w:rsid w:val="0084070F"/>
    <w:rsid w:val="00840984"/>
    <w:rsid w:val="00840BEC"/>
    <w:rsid w:val="00840C58"/>
    <w:rsid w:val="00840E70"/>
    <w:rsid w:val="00840EB8"/>
    <w:rsid w:val="00841177"/>
    <w:rsid w:val="008414D9"/>
    <w:rsid w:val="0084166D"/>
    <w:rsid w:val="008417C3"/>
    <w:rsid w:val="00841A81"/>
    <w:rsid w:val="00841D76"/>
    <w:rsid w:val="0084258E"/>
    <w:rsid w:val="008426E3"/>
    <w:rsid w:val="00842874"/>
    <w:rsid w:val="00842943"/>
    <w:rsid w:val="00842CBC"/>
    <w:rsid w:val="00842CD0"/>
    <w:rsid w:val="00843049"/>
    <w:rsid w:val="008430F2"/>
    <w:rsid w:val="008430FC"/>
    <w:rsid w:val="008431D7"/>
    <w:rsid w:val="0084333F"/>
    <w:rsid w:val="00843D0D"/>
    <w:rsid w:val="00843D6E"/>
    <w:rsid w:val="00844001"/>
    <w:rsid w:val="008445A6"/>
    <w:rsid w:val="00844859"/>
    <w:rsid w:val="00844912"/>
    <w:rsid w:val="008449AC"/>
    <w:rsid w:val="0084562E"/>
    <w:rsid w:val="00845895"/>
    <w:rsid w:val="008459EE"/>
    <w:rsid w:val="0084609E"/>
    <w:rsid w:val="0084686A"/>
    <w:rsid w:val="00846988"/>
    <w:rsid w:val="00846A81"/>
    <w:rsid w:val="00846C9F"/>
    <w:rsid w:val="00846DE1"/>
    <w:rsid w:val="00846E50"/>
    <w:rsid w:val="00846EE1"/>
    <w:rsid w:val="008471B6"/>
    <w:rsid w:val="00847291"/>
    <w:rsid w:val="00847538"/>
    <w:rsid w:val="00847B6F"/>
    <w:rsid w:val="00847D1D"/>
    <w:rsid w:val="00847FB0"/>
    <w:rsid w:val="0085025A"/>
    <w:rsid w:val="008508C3"/>
    <w:rsid w:val="00850ADF"/>
    <w:rsid w:val="00850B71"/>
    <w:rsid w:val="00850C57"/>
    <w:rsid w:val="00850E68"/>
    <w:rsid w:val="00850EBF"/>
    <w:rsid w:val="00850FD7"/>
    <w:rsid w:val="00851470"/>
    <w:rsid w:val="0085162C"/>
    <w:rsid w:val="00851651"/>
    <w:rsid w:val="0085173C"/>
    <w:rsid w:val="0085174E"/>
    <w:rsid w:val="00851B8B"/>
    <w:rsid w:val="00851C96"/>
    <w:rsid w:val="0085209B"/>
    <w:rsid w:val="00852205"/>
    <w:rsid w:val="008523D6"/>
    <w:rsid w:val="00852423"/>
    <w:rsid w:val="008525A5"/>
    <w:rsid w:val="008525EA"/>
    <w:rsid w:val="00852674"/>
    <w:rsid w:val="00852995"/>
    <w:rsid w:val="008529A8"/>
    <w:rsid w:val="00852AA2"/>
    <w:rsid w:val="008530D4"/>
    <w:rsid w:val="008533E2"/>
    <w:rsid w:val="008533FB"/>
    <w:rsid w:val="00853570"/>
    <w:rsid w:val="00853873"/>
    <w:rsid w:val="00853D10"/>
    <w:rsid w:val="00853D8D"/>
    <w:rsid w:val="0085488F"/>
    <w:rsid w:val="008549A4"/>
    <w:rsid w:val="00854B63"/>
    <w:rsid w:val="00854D30"/>
    <w:rsid w:val="00854EBB"/>
    <w:rsid w:val="00854F03"/>
    <w:rsid w:val="00855375"/>
    <w:rsid w:val="008556CE"/>
    <w:rsid w:val="00855850"/>
    <w:rsid w:val="008558C8"/>
    <w:rsid w:val="00855951"/>
    <w:rsid w:val="008559A1"/>
    <w:rsid w:val="008559C2"/>
    <w:rsid w:val="00855AE4"/>
    <w:rsid w:val="00855CB9"/>
    <w:rsid w:val="00855F76"/>
    <w:rsid w:val="00856348"/>
    <w:rsid w:val="008563ED"/>
    <w:rsid w:val="00856517"/>
    <w:rsid w:val="00856551"/>
    <w:rsid w:val="0085656F"/>
    <w:rsid w:val="008569D4"/>
    <w:rsid w:val="00856B66"/>
    <w:rsid w:val="008570FA"/>
    <w:rsid w:val="00857253"/>
    <w:rsid w:val="008573D4"/>
    <w:rsid w:val="0085755D"/>
    <w:rsid w:val="00857638"/>
    <w:rsid w:val="008576D7"/>
    <w:rsid w:val="00857A98"/>
    <w:rsid w:val="00857CE1"/>
    <w:rsid w:val="00857F58"/>
    <w:rsid w:val="008600B2"/>
    <w:rsid w:val="00860199"/>
    <w:rsid w:val="00860277"/>
    <w:rsid w:val="008604AE"/>
    <w:rsid w:val="00860516"/>
    <w:rsid w:val="0086059B"/>
    <w:rsid w:val="0086060C"/>
    <w:rsid w:val="00860A13"/>
    <w:rsid w:val="00860CC9"/>
    <w:rsid w:val="00860DED"/>
    <w:rsid w:val="008611B2"/>
    <w:rsid w:val="00861401"/>
    <w:rsid w:val="00861413"/>
    <w:rsid w:val="008616B7"/>
    <w:rsid w:val="00861A5F"/>
    <w:rsid w:val="00861E72"/>
    <w:rsid w:val="008623C6"/>
    <w:rsid w:val="00862492"/>
    <w:rsid w:val="008625A2"/>
    <w:rsid w:val="00862616"/>
    <w:rsid w:val="00862900"/>
    <w:rsid w:val="00862AD1"/>
    <w:rsid w:val="00862E3F"/>
    <w:rsid w:val="00862E61"/>
    <w:rsid w:val="008630D6"/>
    <w:rsid w:val="00863106"/>
    <w:rsid w:val="0086322E"/>
    <w:rsid w:val="0086325D"/>
    <w:rsid w:val="00863633"/>
    <w:rsid w:val="00863914"/>
    <w:rsid w:val="00863956"/>
    <w:rsid w:val="00863969"/>
    <w:rsid w:val="00863ACF"/>
    <w:rsid w:val="00863C44"/>
    <w:rsid w:val="00863DC8"/>
    <w:rsid w:val="00863DEA"/>
    <w:rsid w:val="00863E8F"/>
    <w:rsid w:val="00864061"/>
    <w:rsid w:val="008640A6"/>
    <w:rsid w:val="008641A6"/>
    <w:rsid w:val="0086446A"/>
    <w:rsid w:val="008644AD"/>
    <w:rsid w:val="00864874"/>
    <w:rsid w:val="00864B93"/>
    <w:rsid w:val="00864D2C"/>
    <w:rsid w:val="00864EB4"/>
    <w:rsid w:val="0086540A"/>
    <w:rsid w:val="00865735"/>
    <w:rsid w:val="008658C8"/>
    <w:rsid w:val="00865C50"/>
    <w:rsid w:val="00865DDB"/>
    <w:rsid w:val="0086623C"/>
    <w:rsid w:val="00866632"/>
    <w:rsid w:val="00866978"/>
    <w:rsid w:val="00866C88"/>
    <w:rsid w:val="0086703E"/>
    <w:rsid w:val="00867068"/>
    <w:rsid w:val="008673D4"/>
    <w:rsid w:val="00867447"/>
    <w:rsid w:val="00867538"/>
    <w:rsid w:val="008675A1"/>
    <w:rsid w:val="00867EF7"/>
    <w:rsid w:val="00867F15"/>
    <w:rsid w:val="00867FB7"/>
    <w:rsid w:val="0087060A"/>
    <w:rsid w:val="00870694"/>
    <w:rsid w:val="00870A3D"/>
    <w:rsid w:val="00870EF4"/>
    <w:rsid w:val="00870F27"/>
    <w:rsid w:val="00870F44"/>
    <w:rsid w:val="00870F7D"/>
    <w:rsid w:val="00871102"/>
    <w:rsid w:val="00871180"/>
    <w:rsid w:val="00871427"/>
    <w:rsid w:val="008716A3"/>
    <w:rsid w:val="00871904"/>
    <w:rsid w:val="00871907"/>
    <w:rsid w:val="00871E20"/>
    <w:rsid w:val="00871F0D"/>
    <w:rsid w:val="00871F98"/>
    <w:rsid w:val="00872096"/>
    <w:rsid w:val="008721AB"/>
    <w:rsid w:val="0087237E"/>
    <w:rsid w:val="00872490"/>
    <w:rsid w:val="00872523"/>
    <w:rsid w:val="00872573"/>
    <w:rsid w:val="0087278B"/>
    <w:rsid w:val="00872911"/>
    <w:rsid w:val="00872B07"/>
    <w:rsid w:val="00872B42"/>
    <w:rsid w:val="00872C4F"/>
    <w:rsid w:val="00872CCD"/>
    <w:rsid w:val="00872EC0"/>
    <w:rsid w:val="00872F9B"/>
    <w:rsid w:val="008731CF"/>
    <w:rsid w:val="0087350E"/>
    <w:rsid w:val="00873694"/>
    <w:rsid w:val="00873722"/>
    <w:rsid w:val="008739B3"/>
    <w:rsid w:val="00873CB1"/>
    <w:rsid w:val="00873D90"/>
    <w:rsid w:val="00873F4E"/>
    <w:rsid w:val="00873F56"/>
    <w:rsid w:val="00873FC8"/>
    <w:rsid w:val="0087421C"/>
    <w:rsid w:val="00874549"/>
    <w:rsid w:val="00874698"/>
    <w:rsid w:val="00874733"/>
    <w:rsid w:val="00874AC6"/>
    <w:rsid w:val="00874DB2"/>
    <w:rsid w:val="00874DE0"/>
    <w:rsid w:val="00875036"/>
    <w:rsid w:val="0087521F"/>
    <w:rsid w:val="00875401"/>
    <w:rsid w:val="0087544C"/>
    <w:rsid w:val="00875735"/>
    <w:rsid w:val="0087574E"/>
    <w:rsid w:val="00875B48"/>
    <w:rsid w:val="00875B8E"/>
    <w:rsid w:val="00875B8F"/>
    <w:rsid w:val="00875C1E"/>
    <w:rsid w:val="008764C8"/>
    <w:rsid w:val="008767FC"/>
    <w:rsid w:val="00876A8C"/>
    <w:rsid w:val="00876A93"/>
    <w:rsid w:val="00876C06"/>
    <w:rsid w:val="008773BF"/>
    <w:rsid w:val="008776B1"/>
    <w:rsid w:val="00877932"/>
    <w:rsid w:val="00877B99"/>
    <w:rsid w:val="00877E94"/>
    <w:rsid w:val="00877EFE"/>
    <w:rsid w:val="008800DE"/>
    <w:rsid w:val="00880291"/>
    <w:rsid w:val="0088030E"/>
    <w:rsid w:val="00880510"/>
    <w:rsid w:val="008807D3"/>
    <w:rsid w:val="008808A5"/>
    <w:rsid w:val="00880D4A"/>
    <w:rsid w:val="0088139B"/>
    <w:rsid w:val="008815E1"/>
    <w:rsid w:val="00881726"/>
    <w:rsid w:val="008817F0"/>
    <w:rsid w:val="00881B7D"/>
    <w:rsid w:val="00881C3C"/>
    <w:rsid w:val="00881C48"/>
    <w:rsid w:val="00881DB3"/>
    <w:rsid w:val="00881EC3"/>
    <w:rsid w:val="00882005"/>
    <w:rsid w:val="00882057"/>
    <w:rsid w:val="00882100"/>
    <w:rsid w:val="008822AA"/>
    <w:rsid w:val="00882303"/>
    <w:rsid w:val="00882449"/>
    <w:rsid w:val="00882685"/>
    <w:rsid w:val="008828E6"/>
    <w:rsid w:val="008829D6"/>
    <w:rsid w:val="00882AE4"/>
    <w:rsid w:val="00882C0B"/>
    <w:rsid w:val="00882EB9"/>
    <w:rsid w:val="008832B3"/>
    <w:rsid w:val="0088335B"/>
    <w:rsid w:val="008835B1"/>
    <w:rsid w:val="00883A6E"/>
    <w:rsid w:val="00883C93"/>
    <w:rsid w:val="00883D89"/>
    <w:rsid w:val="00883E81"/>
    <w:rsid w:val="00883EC8"/>
    <w:rsid w:val="00884226"/>
    <w:rsid w:val="008843FD"/>
    <w:rsid w:val="008846FD"/>
    <w:rsid w:val="0088489D"/>
    <w:rsid w:val="00884A53"/>
    <w:rsid w:val="00884B26"/>
    <w:rsid w:val="00884B5C"/>
    <w:rsid w:val="00884C63"/>
    <w:rsid w:val="00884DB3"/>
    <w:rsid w:val="00884E2E"/>
    <w:rsid w:val="00885020"/>
    <w:rsid w:val="00885644"/>
    <w:rsid w:val="00885908"/>
    <w:rsid w:val="00885918"/>
    <w:rsid w:val="00885CC9"/>
    <w:rsid w:val="00885DFB"/>
    <w:rsid w:val="00885E80"/>
    <w:rsid w:val="00885F2E"/>
    <w:rsid w:val="00886077"/>
    <w:rsid w:val="00886345"/>
    <w:rsid w:val="008864B7"/>
    <w:rsid w:val="0088665F"/>
    <w:rsid w:val="0088683E"/>
    <w:rsid w:val="00886A63"/>
    <w:rsid w:val="00886BE9"/>
    <w:rsid w:val="00886C5C"/>
    <w:rsid w:val="00886CB0"/>
    <w:rsid w:val="00887074"/>
    <w:rsid w:val="008877C1"/>
    <w:rsid w:val="008878AB"/>
    <w:rsid w:val="00887A0D"/>
    <w:rsid w:val="00887D9F"/>
    <w:rsid w:val="00887E46"/>
    <w:rsid w:val="00887EAE"/>
    <w:rsid w:val="00890060"/>
    <w:rsid w:val="00890497"/>
    <w:rsid w:val="00890598"/>
    <w:rsid w:val="00890731"/>
    <w:rsid w:val="00890A06"/>
    <w:rsid w:val="00890A14"/>
    <w:rsid w:val="00890A26"/>
    <w:rsid w:val="00890C72"/>
    <w:rsid w:val="00890E50"/>
    <w:rsid w:val="00890E86"/>
    <w:rsid w:val="00890EED"/>
    <w:rsid w:val="008913B7"/>
    <w:rsid w:val="008915CF"/>
    <w:rsid w:val="00891799"/>
    <w:rsid w:val="00891C87"/>
    <w:rsid w:val="008920D2"/>
    <w:rsid w:val="008921AE"/>
    <w:rsid w:val="0089227B"/>
    <w:rsid w:val="008923EE"/>
    <w:rsid w:val="00892623"/>
    <w:rsid w:val="008926D2"/>
    <w:rsid w:val="00892ACE"/>
    <w:rsid w:val="00892EBF"/>
    <w:rsid w:val="0089385D"/>
    <w:rsid w:val="008939B0"/>
    <w:rsid w:val="00893E44"/>
    <w:rsid w:val="00894351"/>
    <w:rsid w:val="00894893"/>
    <w:rsid w:val="00894A36"/>
    <w:rsid w:val="00894D5E"/>
    <w:rsid w:val="008952D6"/>
    <w:rsid w:val="00895328"/>
    <w:rsid w:val="00895365"/>
    <w:rsid w:val="0089541B"/>
    <w:rsid w:val="008954D5"/>
    <w:rsid w:val="008959E7"/>
    <w:rsid w:val="00895BB1"/>
    <w:rsid w:val="00895F28"/>
    <w:rsid w:val="00895FBE"/>
    <w:rsid w:val="00896194"/>
    <w:rsid w:val="00896269"/>
    <w:rsid w:val="00896297"/>
    <w:rsid w:val="00896346"/>
    <w:rsid w:val="00896373"/>
    <w:rsid w:val="00896413"/>
    <w:rsid w:val="008964B4"/>
    <w:rsid w:val="00896771"/>
    <w:rsid w:val="0089677E"/>
    <w:rsid w:val="00896B39"/>
    <w:rsid w:val="00896B64"/>
    <w:rsid w:val="00896B99"/>
    <w:rsid w:val="00896BBD"/>
    <w:rsid w:val="00896D20"/>
    <w:rsid w:val="00896E8C"/>
    <w:rsid w:val="00896F85"/>
    <w:rsid w:val="00897025"/>
    <w:rsid w:val="008970EF"/>
    <w:rsid w:val="00897106"/>
    <w:rsid w:val="008971A0"/>
    <w:rsid w:val="00897214"/>
    <w:rsid w:val="008972E4"/>
    <w:rsid w:val="00897523"/>
    <w:rsid w:val="0089757F"/>
    <w:rsid w:val="00897660"/>
    <w:rsid w:val="0089782E"/>
    <w:rsid w:val="00897B18"/>
    <w:rsid w:val="00897B97"/>
    <w:rsid w:val="00897FC9"/>
    <w:rsid w:val="008A0162"/>
    <w:rsid w:val="008A0252"/>
    <w:rsid w:val="008A0466"/>
    <w:rsid w:val="008A04F2"/>
    <w:rsid w:val="008A0BDF"/>
    <w:rsid w:val="008A0D10"/>
    <w:rsid w:val="008A0EB8"/>
    <w:rsid w:val="008A10E8"/>
    <w:rsid w:val="008A1307"/>
    <w:rsid w:val="008A1387"/>
    <w:rsid w:val="008A1A96"/>
    <w:rsid w:val="008A1B34"/>
    <w:rsid w:val="008A2208"/>
    <w:rsid w:val="008A2360"/>
    <w:rsid w:val="008A271A"/>
    <w:rsid w:val="008A27AD"/>
    <w:rsid w:val="008A2EB8"/>
    <w:rsid w:val="008A2F78"/>
    <w:rsid w:val="008A2FDC"/>
    <w:rsid w:val="008A30DA"/>
    <w:rsid w:val="008A31E9"/>
    <w:rsid w:val="008A33BF"/>
    <w:rsid w:val="008A375C"/>
    <w:rsid w:val="008A37BF"/>
    <w:rsid w:val="008A37FA"/>
    <w:rsid w:val="008A3904"/>
    <w:rsid w:val="008A40CC"/>
    <w:rsid w:val="008A41A4"/>
    <w:rsid w:val="008A4216"/>
    <w:rsid w:val="008A4B14"/>
    <w:rsid w:val="008A4C51"/>
    <w:rsid w:val="008A4C66"/>
    <w:rsid w:val="008A4E73"/>
    <w:rsid w:val="008A4FC2"/>
    <w:rsid w:val="008A56D5"/>
    <w:rsid w:val="008A594A"/>
    <w:rsid w:val="008A5976"/>
    <w:rsid w:val="008A5C48"/>
    <w:rsid w:val="008A5CE9"/>
    <w:rsid w:val="008A5EBE"/>
    <w:rsid w:val="008A60E2"/>
    <w:rsid w:val="008A62C7"/>
    <w:rsid w:val="008A6591"/>
    <w:rsid w:val="008A6715"/>
    <w:rsid w:val="008A6A46"/>
    <w:rsid w:val="008A6BBB"/>
    <w:rsid w:val="008A6CD5"/>
    <w:rsid w:val="008A6D53"/>
    <w:rsid w:val="008A6DC4"/>
    <w:rsid w:val="008A6DC6"/>
    <w:rsid w:val="008A7119"/>
    <w:rsid w:val="008A7312"/>
    <w:rsid w:val="008A73EF"/>
    <w:rsid w:val="008A7438"/>
    <w:rsid w:val="008A7448"/>
    <w:rsid w:val="008A7578"/>
    <w:rsid w:val="008A762A"/>
    <w:rsid w:val="008A7B93"/>
    <w:rsid w:val="008B0072"/>
    <w:rsid w:val="008B0347"/>
    <w:rsid w:val="008B0412"/>
    <w:rsid w:val="008B0588"/>
    <w:rsid w:val="008B06FA"/>
    <w:rsid w:val="008B0803"/>
    <w:rsid w:val="008B090B"/>
    <w:rsid w:val="008B0945"/>
    <w:rsid w:val="008B0C7E"/>
    <w:rsid w:val="008B0ECA"/>
    <w:rsid w:val="008B0F68"/>
    <w:rsid w:val="008B113A"/>
    <w:rsid w:val="008B12FB"/>
    <w:rsid w:val="008B1334"/>
    <w:rsid w:val="008B15FF"/>
    <w:rsid w:val="008B164B"/>
    <w:rsid w:val="008B17BC"/>
    <w:rsid w:val="008B1A69"/>
    <w:rsid w:val="008B1DA8"/>
    <w:rsid w:val="008B1F3D"/>
    <w:rsid w:val="008B216C"/>
    <w:rsid w:val="008B2354"/>
    <w:rsid w:val="008B27A8"/>
    <w:rsid w:val="008B2814"/>
    <w:rsid w:val="008B2A93"/>
    <w:rsid w:val="008B2CDB"/>
    <w:rsid w:val="008B32F2"/>
    <w:rsid w:val="008B35C3"/>
    <w:rsid w:val="008B3633"/>
    <w:rsid w:val="008B36F6"/>
    <w:rsid w:val="008B372F"/>
    <w:rsid w:val="008B38E9"/>
    <w:rsid w:val="008B39FF"/>
    <w:rsid w:val="008B3A1A"/>
    <w:rsid w:val="008B3EC8"/>
    <w:rsid w:val="008B4536"/>
    <w:rsid w:val="008B45E9"/>
    <w:rsid w:val="008B46BE"/>
    <w:rsid w:val="008B4741"/>
    <w:rsid w:val="008B47F0"/>
    <w:rsid w:val="008B486E"/>
    <w:rsid w:val="008B4901"/>
    <w:rsid w:val="008B49E0"/>
    <w:rsid w:val="008B4EB8"/>
    <w:rsid w:val="008B4EC5"/>
    <w:rsid w:val="008B4F9D"/>
    <w:rsid w:val="008B51B8"/>
    <w:rsid w:val="008B53A1"/>
    <w:rsid w:val="008B54C1"/>
    <w:rsid w:val="008B60DC"/>
    <w:rsid w:val="008B62F6"/>
    <w:rsid w:val="008B66DF"/>
    <w:rsid w:val="008B6701"/>
    <w:rsid w:val="008B6AFE"/>
    <w:rsid w:val="008B6C38"/>
    <w:rsid w:val="008B6CE2"/>
    <w:rsid w:val="008B721B"/>
    <w:rsid w:val="008B7236"/>
    <w:rsid w:val="008B73C2"/>
    <w:rsid w:val="008B73FA"/>
    <w:rsid w:val="008B756C"/>
    <w:rsid w:val="008B793C"/>
    <w:rsid w:val="008B7997"/>
    <w:rsid w:val="008B7A38"/>
    <w:rsid w:val="008B7C58"/>
    <w:rsid w:val="008B7DCA"/>
    <w:rsid w:val="008B7EC5"/>
    <w:rsid w:val="008B7FF4"/>
    <w:rsid w:val="008C0105"/>
    <w:rsid w:val="008C0278"/>
    <w:rsid w:val="008C044E"/>
    <w:rsid w:val="008C07F6"/>
    <w:rsid w:val="008C0948"/>
    <w:rsid w:val="008C0A25"/>
    <w:rsid w:val="008C0BC6"/>
    <w:rsid w:val="008C0C7E"/>
    <w:rsid w:val="008C0D41"/>
    <w:rsid w:val="008C0E56"/>
    <w:rsid w:val="008C0F32"/>
    <w:rsid w:val="008C1186"/>
    <w:rsid w:val="008C1290"/>
    <w:rsid w:val="008C13B4"/>
    <w:rsid w:val="008C13FF"/>
    <w:rsid w:val="008C15F5"/>
    <w:rsid w:val="008C17CD"/>
    <w:rsid w:val="008C1900"/>
    <w:rsid w:val="008C1954"/>
    <w:rsid w:val="008C2150"/>
    <w:rsid w:val="008C2284"/>
    <w:rsid w:val="008C24E9"/>
    <w:rsid w:val="008C26BB"/>
    <w:rsid w:val="008C2776"/>
    <w:rsid w:val="008C29D5"/>
    <w:rsid w:val="008C2A12"/>
    <w:rsid w:val="008C2AF3"/>
    <w:rsid w:val="008C2BCA"/>
    <w:rsid w:val="008C2D2D"/>
    <w:rsid w:val="008C2F01"/>
    <w:rsid w:val="008C3349"/>
    <w:rsid w:val="008C3529"/>
    <w:rsid w:val="008C3792"/>
    <w:rsid w:val="008C384F"/>
    <w:rsid w:val="008C387A"/>
    <w:rsid w:val="008C3DC0"/>
    <w:rsid w:val="008C3FA2"/>
    <w:rsid w:val="008C40E4"/>
    <w:rsid w:val="008C4353"/>
    <w:rsid w:val="008C4DDD"/>
    <w:rsid w:val="008C4DE6"/>
    <w:rsid w:val="008C4DEA"/>
    <w:rsid w:val="008C4DFB"/>
    <w:rsid w:val="008C4FCC"/>
    <w:rsid w:val="008C5367"/>
    <w:rsid w:val="008C5809"/>
    <w:rsid w:val="008C5942"/>
    <w:rsid w:val="008C5DF2"/>
    <w:rsid w:val="008C5E76"/>
    <w:rsid w:val="008C6206"/>
    <w:rsid w:val="008C6576"/>
    <w:rsid w:val="008C67AE"/>
    <w:rsid w:val="008C6812"/>
    <w:rsid w:val="008C6BF9"/>
    <w:rsid w:val="008C7178"/>
    <w:rsid w:val="008C7317"/>
    <w:rsid w:val="008C768D"/>
    <w:rsid w:val="008C77C9"/>
    <w:rsid w:val="008C7987"/>
    <w:rsid w:val="008C7B3F"/>
    <w:rsid w:val="008C7E66"/>
    <w:rsid w:val="008C7FF9"/>
    <w:rsid w:val="008D0533"/>
    <w:rsid w:val="008D0749"/>
    <w:rsid w:val="008D0C8D"/>
    <w:rsid w:val="008D0D90"/>
    <w:rsid w:val="008D0DAC"/>
    <w:rsid w:val="008D0FD3"/>
    <w:rsid w:val="008D1026"/>
    <w:rsid w:val="008D1111"/>
    <w:rsid w:val="008D1307"/>
    <w:rsid w:val="008D132A"/>
    <w:rsid w:val="008D1664"/>
    <w:rsid w:val="008D1977"/>
    <w:rsid w:val="008D1B0F"/>
    <w:rsid w:val="008D1B31"/>
    <w:rsid w:val="008D1BFB"/>
    <w:rsid w:val="008D1C17"/>
    <w:rsid w:val="008D2168"/>
    <w:rsid w:val="008D2513"/>
    <w:rsid w:val="008D258D"/>
    <w:rsid w:val="008D2A1E"/>
    <w:rsid w:val="008D2B75"/>
    <w:rsid w:val="008D2C45"/>
    <w:rsid w:val="008D2D37"/>
    <w:rsid w:val="008D2FAD"/>
    <w:rsid w:val="008D3099"/>
    <w:rsid w:val="008D3757"/>
    <w:rsid w:val="008D381F"/>
    <w:rsid w:val="008D3BDA"/>
    <w:rsid w:val="008D3E5C"/>
    <w:rsid w:val="008D41A2"/>
    <w:rsid w:val="008D41E1"/>
    <w:rsid w:val="008D42BF"/>
    <w:rsid w:val="008D42CB"/>
    <w:rsid w:val="008D43A7"/>
    <w:rsid w:val="008D43E8"/>
    <w:rsid w:val="008D48C9"/>
    <w:rsid w:val="008D49F4"/>
    <w:rsid w:val="008D4AEB"/>
    <w:rsid w:val="008D5376"/>
    <w:rsid w:val="008D564E"/>
    <w:rsid w:val="008D5695"/>
    <w:rsid w:val="008D5AB5"/>
    <w:rsid w:val="008D5B79"/>
    <w:rsid w:val="008D5D60"/>
    <w:rsid w:val="008D6381"/>
    <w:rsid w:val="008D693E"/>
    <w:rsid w:val="008D6AB1"/>
    <w:rsid w:val="008D6B0C"/>
    <w:rsid w:val="008D6B71"/>
    <w:rsid w:val="008D6F01"/>
    <w:rsid w:val="008D711A"/>
    <w:rsid w:val="008D73F0"/>
    <w:rsid w:val="008D7592"/>
    <w:rsid w:val="008D7657"/>
    <w:rsid w:val="008D7806"/>
    <w:rsid w:val="008D784D"/>
    <w:rsid w:val="008D7E2A"/>
    <w:rsid w:val="008D7F6A"/>
    <w:rsid w:val="008D7FA8"/>
    <w:rsid w:val="008E01D8"/>
    <w:rsid w:val="008E0267"/>
    <w:rsid w:val="008E026C"/>
    <w:rsid w:val="008E0331"/>
    <w:rsid w:val="008E040E"/>
    <w:rsid w:val="008E04DD"/>
    <w:rsid w:val="008E0568"/>
    <w:rsid w:val="008E065A"/>
    <w:rsid w:val="008E06A4"/>
    <w:rsid w:val="008E0B65"/>
    <w:rsid w:val="008E0C77"/>
    <w:rsid w:val="008E0D27"/>
    <w:rsid w:val="008E0DAC"/>
    <w:rsid w:val="008E0DAF"/>
    <w:rsid w:val="008E0E9F"/>
    <w:rsid w:val="008E1085"/>
    <w:rsid w:val="008E1159"/>
    <w:rsid w:val="008E149B"/>
    <w:rsid w:val="008E1570"/>
    <w:rsid w:val="008E1700"/>
    <w:rsid w:val="008E1851"/>
    <w:rsid w:val="008E1BC1"/>
    <w:rsid w:val="008E1F53"/>
    <w:rsid w:val="008E215D"/>
    <w:rsid w:val="008E25F8"/>
    <w:rsid w:val="008E2B7B"/>
    <w:rsid w:val="008E2DAA"/>
    <w:rsid w:val="008E3174"/>
    <w:rsid w:val="008E339C"/>
    <w:rsid w:val="008E3469"/>
    <w:rsid w:val="008E35DD"/>
    <w:rsid w:val="008E36C1"/>
    <w:rsid w:val="008E3871"/>
    <w:rsid w:val="008E399A"/>
    <w:rsid w:val="008E3E35"/>
    <w:rsid w:val="008E3F40"/>
    <w:rsid w:val="008E3FB5"/>
    <w:rsid w:val="008E4137"/>
    <w:rsid w:val="008E41AE"/>
    <w:rsid w:val="008E4360"/>
    <w:rsid w:val="008E4552"/>
    <w:rsid w:val="008E48AA"/>
    <w:rsid w:val="008E4B4B"/>
    <w:rsid w:val="008E4D61"/>
    <w:rsid w:val="008E555E"/>
    <w:rsid w:val="008E5AE2"/>
    <w:rsid w:val="008E5B7F"/>
    <w:rsid w:val="008E5CA2"/>
    <w:rsid w:val="008E615E"/>
    <w:rsid w:val="008E625F"/>
    <w:rsid w:val="008E6303"/>
    <w:rsid w:val="008E6367"/>
    <w:rsid w:val="008E640D"/>
    <w:rsid w:val="008E6983"/>
    <w:rsid w:val="008E6D44"/>
    <w:rsid w:val="008E708F"/>
    <w:rsid w:val="008E727A"/>
    <w:rsid w:val="008E73D6"/>
    <w:rsid w:val="008E77A8"/>
    <w:rsid w:val="008E7BF5"/>
    <w:rsid w:val="008E7CB9"/>
    <w:rsid w:val="008E7D04"/>
    <w:rsid w:val="008F0019"/>
    <w:rsid w:val="008F029E"/>
    <w:rsid w:val="008F08E7"/>
    <w:rsid w:val="008F0F82"/>
    <w:rsid w:val="008F12DF"/>
    <w:rsid w:val="008F1569"/>
    <w:rsid w:val="008F15EC"/>
    <w:rsid w:val="008F17D2"/>
    <w:rsid w:val="008F1865"/>
    <w:rsid w:val="008F18C2"/>
    <w:rsid w:val="008F19E1"/>
    <w:rsid w:val="008F1B48"/>
    <w:rsid w:val="008F1D5B"/>
    <w:rsid w:val="008F1DA6"/>
    <w:rsid w:val="008F1E48"/>
    <w:rsid w:val="008F2039"/>
    <w:rsid w:val="008F2398"/>
    <w:rsid w:val="008F264D"/>
    <w:rsid w:val="008F270A"/>
    <w:rsid w:val="008F298C"/>
    <w:rsid w:val="008F29D2"/>
    <w:rsid w:val="008F2B95"/>
    <w:rsid w:val="008F2C4E"/>
    <w:rsid w:val="008F3045"/>
    <w:rsid w:val="008F3066"/>
    <w:rsid w:val="008F30B4"/>
    <w:rsid w:val="008F31FF"/>
    <w:rsid w:val="008F33DB"/>
    <w:rsid w:val="008F34B8"/>
    <w:rsid w:val="008F3798"/>
    <w:rsid w:val="008F37F5"/>
    <w:rsid w:val="008F3A3F"/>
    <w:rsid w:val="008F3F32"/>
    <w:rsid w:val="008F43F8"/>
    <w:rsid w:val="008F4675"/>
    <w:rsid w:val="008F48D3"/>
    <w:rsid w:val="008F4A05"/>
    <w:rsid w:val="008F4D32"/>
    <w:rsid w:val="008F4E34"/>
    <w:rsid w:val="008F4FF0"/>
    <w:rsid w:val="008F5121"/>
    <w:rsid w:val="008F51FA"/>
    <w:rsid w:val="008F5410"/>
    <w:rsid w:val="008F54F4"/>
    <w:rsid w:val="008F5A15"/>
    <w:rsid w:val="008F5F86"/>
    <w:rsid w:val="008F61EE"/>
    <w:rsid w:val="008F6261"/>
    <w:rsid w:val="008F6328"/>
    <w:rsid w:val="008F6334"/>
    <w:rsid w:val="008F6539"/>
    <w:rsid w:val="008F6790"/>
    <w:rsid w:val="008F67A2"/>
    <w:rsid w:val="008F6AB6"/>
    <w:rsid w:val="008F6BBC"/>
    <w:rsid w:val="008F6BD7"/>
    <w:rsid w:val="008F70DC"/>
    <w:rsid w:val="008F7240"/>
    <w:rsid w:val="008F731A"/>
    <w:rsid w:val="008F7657"/>
    <w:rsid w:val="008F768A"/>
    <w:rsid w:val="008F77A0"/>
    <w:rsid w:val="008F7CA6"/>
    <w:rsid w:val="008F7F61"/>
    <w:rsid w:val="008F7F7D"/>
    <w:rsid w:val="0090001C"/>
    <w:rsid w:val="00900042"/>
    <w:rsid w:val="0090020C"/>
    <w:rsid w:val="00900410"/>
    <w:rsid w:val="00900506"/>
    <w:rsid w:val="00900541"/>
    <w:rsid w:val="009005B8"/>
    <w:rsid w:val="009005B9"/>
    <w:rsid w:val="009006A1"/>
    <w:rsid w:val="009009EB"/>
    <w:rsid w:val="00900C67"/>
    <w:rsid w:val="00900E43"/>
    <w:rsid w:val="0090104F"/>
    <w:rsid w:val="00901158"/>
    <w:rsid w:val="009011C3"/>
    <w:rsid w:val="0090126A"/>
    <w:rsid w:val="0090132D"/>
    <w:rsid w:val="00901488"/>
    <w:rsid w:val="0090156C"/>
    <w:rsid w:val="009016CD"/>
    <w:rsid w:val="00901C3C"/>
    <w:rsid w:val="00901E29"/>
    <w:rsid w:val="00902060"/>
    <w:rsid w:val="0090217B"/>
    <w:rsid w:val="009021C9"/>
    <w:rsid w:val="009029D1"/>
    <w:rsid w:val="00902B96"/>
    <w:rsid w:val="00902DDE"/>
    <w:rsid w:val="00902EB3"/>
    <w:rsid w:val="00902F5C"/>
    <w:rsid w:val="0090304F"/>
    <w:rsid w:val="00903374"/>
    <w:rsid w:val="00903478"/>
    <w:rsid w:val="0090381C"/>
    <w:rsid w:val="009038A3"/>
    <w:rsid w:val="00903BCD"/>
    <w:rsid w:val="00903C99"/>
    <w:rsid w:val="00904086"/>
    <w:rsid w:val="009040C8"/>
    <w:rsid w:val="009043BA"/>
    <w:rsid w:val="009047D4"/>
    <w:rsid w:val="0090489E"/>
    <w:rsid w:val="009048E5"/>
    <w:rsid w:val="0090492C"/>
    <w:rsid w:val="00904F1B"/>
    <w:rsid w:val="0090503C"/>
    <w:rsid w:val="00905230"/>
    <w:rsid w:val="00905266"/>
    <w:rsid w:val="00905391"/>
    <w:rsid w:val="00905770"/>
    <w:rsid w:val="00905C5C"/>
    <w:rsid w:val="00905C70"/>
    <w:rsid w:val="00905D15"/>
    <w:rsid w:val="00905EA2"/>
    <w:rsid w:val="009060DE"/>
    <w:rsid w:val="009060F4"/>
    <w:rsid w:val="00906163"/>
    <w:rsid w:val="00906170"/>
    <w:rsid w:val="009061B2"/>
    <w:rsid w:val="00906597"/>
    <w:rsid w:val="00906A54"/>
    <w:rsid w:val="00906A84"/>
    <w:rsid w:val="00906C89"/>
    <w:rsid w:val="00906D4D"/>
    <w:rsid w:val="00906E8D"/>
    <w:rsid w:val="0090713D"/>
    <w:rsid w:val="009072A7"/>
    <w:rsid w:val="009074E1"/>
    <w:rsid w:val="00907689"/>
    <w:rsid w:val="00907738"/>
    <w:rsid w:val="00907AB5"/>
    <w:rsid w:val="00907B01"/>
    <w:rsid w:val="00907D3B"/>
    <w:rsid w:val="00907FE7"/>
    <w:rsid w:val="00910197"/>
    <w:rsid w:val="00910204"/>
    <w:rsid w:val="0091076A"/>
    <w:rsid w:val="009109A6"/>
    <w:rsid w:val="00910D45"/>
    <w:rsid w:val="00910E5F"/>
    <w:rsid w:val="00910FA5"/>
    <w:rsid w:val="00911124"/>
    <w:rsid w:val="00911204"/>
    <w:rsid w:val="009112F7"/>
    <w:rsid w:val="00911BD5"/>
    <w:rsid w:val="00911CA9"/>
    <w:rsid w:val="00911F3C"/>
    <w:rsid w:val="0091206E"/>
    <w:rsid w:val="0091213F"/>
    <w:rsid w:val="00912269"/>
    <w:rsid w:val="009122AF"/>
    <w:rsid w:val="00912499"/>
    <w:rsid w:val="009127BC"/>
    <w:rsid w:val="0091287C"/>
    <w:rsid w:val="009128A5"/>
    <w:rsid w:val="00912D54"/>
    <w:rsid w:val="00912E11"/>
    <w:rsid w:val="00912E6C"/>
    <w:rsid w:val="00913094"/>
    <w:rsid w:val="0091346C"/>
    <w:rsid w:val="009136E2"/>
    <w:rsid w:val="0091378D"/>
    <w:rsid w:val="0091389F"/>
    <w:rsid w:val="00913A26"/>
    <w:rsid w:val="00913C24"/>
    <w:rsid w:val="00913E37"/>
    <w:rsid w:val="00914168"/>
    <w:rsid w:val="009145DA"/>
    <w:rsid w:val="009146C1"/>
    <w:rsid w:val="009148C9"/>
    <w:rsid w:val="0091502A"/>
    <w:rsid w:val="00915054"/>
    <w:rsid w:val="00915582"/>
    <w:rsid w:val="00915693"/>
    <w:rsid w:val="009157D2"/>
    <w:rsid w:val="009159ED"/>
    <w:rsid w:val="00915BAB"/>
    <w:rsid w:val="00916B2B"/>
    <w:rsid w:val="00916F49"/>
    <w:rsid w:val="009171F7"/>
    <w:rsid w:val="00917207"/>
    <w:rsid w:val="0091736E"/>
    <w:rsid w:val="00917CC6"/>
    <w:rsid w:val="0091C8A8"/>
    <w:rsid w:val="009202C9"/>
    <w:rsid w:val="00920414"/>
    <w:rsid w:val="009208F7"/>
    <w:rsid w:val="00920900"/>
    <w:rsid w:val="00920B47"/>
    <w:rsid w:val="00920CEF"/>
    <w:rsid w:val="00921292"/>
    <w:rsid w:val="009219E1"/>
    <w:rsid w:val="00921F01"/>
    <w:rsid w:val="00921F09"/>
    <w:rsid w:val="00921F52"/>
    <w:rsid w:val="00922138"/>
    <w:rsid w:val="0092219D"/>
    <w:rsid w:val="00922223"/>
    <w:rsid w:val="00922467"/>
    <w:rsid w:val="009224E6"/>
    <w:rsid w:val="00922517"/>
    <w:rsid w:val="009225FD"/>
    <w:rsid w:val="009226BA"/>
    <w:rsid w:val="00922722"/>
    <w:rsid w:val="0092272E"/>
    <w:rsid w:val="00922826"/>
    <w:rsid w:val="00922891"/>
    <w:rsid w:val="0092296B"/>
    <w:rsid w:val="00922A63"/>
    <w:rsid w:val="0092323D"/>
    <w:rsid w:val="009232C7"/>
    <w:rsid w:val="009234DA"/>
    <w:rsid w:val="00923665"/>
    <w:rsid w:val="009236E9"/>
    <w:rsid w:val="00923709"/>
    <w:rsid w:val="009237E0"/>
    <w:rsid w:val="00923D6C"/>
    <w:rsid w:val="00924181"/>
    <w:rsid w:val="009242FA"/>
    <w:rsid w:val="0092431F"/>
    <w:rsid w:val="0092442A"/>
    <w:rsid w:val="009244C8"/>
    <w:rsid w:val="00924558"/>
    <w:rsid w:val="0092481A"/>
    <w:rsid w:val="00924A80"/>
    <w:rsid w:val="00924ABC"/>
    <w:rsid w:val="00924BD5"/>
    <w:rsid w:val="00924E2F"/>
    <w:rsid w:val="00924E8D"/>
    <w:rsid w:val="009250F3"/>
    <w:rsid w:val="0092572C"/>
    <w:rsid w:val="00925C4B"/>
    <w:rsid w:val="00925CCD"/>
    <w:rsid w:val="00925D1C"/>
    <w:rsid w:val="00925E2C"/>
    <w:rsid w:val="009260FB"/>
    <w:rsid w:val="009261E6"/>
    <w:rsid w:val="00926763"/>
    <w:rsid w:val="009268E1"/>
    <w:rsid w:val="00926952"/>
    <w:rsid w:val="00926ECF"/>
    <w:rsid w:val="009271D0"/>
    <w:rsid w:val="009271D2"/>
    <w:rsid w:val="00927314"/>
    <w:rsid w:val="009278CC"/>
    <w:rsid w:val="00927938"/>
    <w:rsid w:val="00927B17"/>
    <w:rsid w:val="00927B5A"/>
    <w:rsid w:val="00927C67"/>
    <w:rsid w:val="00927D10"/>
    <w:rsid w:val="00927EC9"/>
    <w:rsid w:val="00927ED5"/>
    <w:rsid w:val="00930234"/>
    <w:rsid w:val="00930565"/>
    <w:rsid w:val="009306B6"/>
    <w:rsid w:val="00930806"/>
    <w:rsid w:val="00930828"/>
    <w:rsid w:val="009309E2"/>
    <w:rsid w:val="00930AB1"/>
    <w:rsid w:val="00930C0C"/>
    <w:rsid w:val="0093116C"/>
    <w:rsid w:val="00931356"/>
    <w:rsid w:val="00931453"/>
    <w:rsid w:val="00931858"/>
    <w:rsid w:val="009319C8"/>
    <w:rsid w:val="00931BD5"/>
    <w:rsid w:val="00931C32"/>
    <w:rsid w:val="00931E80"/>
    <w:rsid w:val="00931F5E"/>
    <w:rsid w:val="00931FD7"/>
    <w:rsid w:val="00932118"/>
    <w:rsid w:val="00932127"/>
    <w:rsid w:val="0093223D"/>
    <w:rsid w:val="00932520"/>
    <w:rsid w:val="009326CF"/>
    <w:rsid w:val="00932753"/>
    <w:rsid w:val="00932B77"/>
    <w:rsid w:val="00932D6C"/>
    <w:rsid w:val="00932DB5"/>
    <w:rsid w:val="00932E81"/>
    <w:rsid w:val="00932E94"/>
    <w:rsid w:val="00932F4D"/>
    <w:rsid w:val="009332D8"/>
    <w:rsid w:val="00933642"/>
    <w:rsid w:val="00933678"/>
    <w:rsid w:val="009338BC"/>
    <w:rsid w:val="009338CE"/>
    <w:rsid w:val="00933A5B"/>
    <w:rsid w:val="00933AF0"/>
    <w:rsid w:val="00933E3D"/>
    <w:rsid w:val="00934028"/>
    <w:rsid w:val="00934298"/>
    <w:rsid w:val="009345CA"/>
    <w:rsid w:val="00934990"/>
    <w:rsid w:val="00934C05"/>
    <w:rsid w:val="00934DC5"/>
    <w:rsid w:val="00934DF2"/>
    <w:rsid w:val="00934F7D"/>
    <w:rsid w:val="0093572F"/>
    <w:rsid w:val="00935D3B"/>
    <w:rsid w:val="00935DEC"/>
    <w:rsid w:val="00935E1C"/>
    <w:rsid w:val="00935F23"/>
    <w:rsid w:val="00935FE1"/>
    <w:rsid w:val="00936553"/>
    <w:rsid w:val="0093658F"/>
    <w:rsid w:val="00936746"/>
    <w:rsid w:val="00936797"/>
    <w:rsid w:val="009369AC"/>
    <w:rsid w:val="00936C30"/>
    <w:rsid w:val="00936C4A"/>
    <w:rsid w:val="00936CF9"/>
    <w:rsid w:val="00936DFF"/>
    <w:rsid w:val="00937193"/>
    <w:rsid w:val="00937369"/>
    <w:rsid w:val="009373C0"/>
    <w:rsid w:val="00937434"/>
    <w:rsid w:val="0093762E"/>
    <w:rsid w:val="0093797D"/>
    <w:rsid w:val="009379C1"/>
    <w:rsid w:val="00937A82"/>
    <w:rsid w:val="00937B55"/>
    <w:rsid w:val="00937CA8"/>
    <w:rsid w:val="00937F14"/>
    <w:rsid w:val="00937F80"/>
    <w:rsid w:val="00940327"/>
    <w:rsid w:val="00940498"/>
    <w:rsid w:val="0094052E"/>
    <w:rsid w:val="0094103F"/>
    <w:rsid w:val="0094110B"/>
    <w:rsid w:val="009414BA"/>
    <w:rsid w:val="00941551"/>
    <w:rsid w:val="0094164C"/>
    <w:rsid w:val="00941ADA"/>
    <w:rsid w:val="00941B92"/>
    <w:rsid w:val="009423DE"/>
    <w:rsid w:val="0094286C"/>
    <w:rsid w:val="00942903"/>
    <w:rsid w:val="00942A37"/>
    <w:rsid w:val="00942CE0"/>
    <w:rsid w:val="00943475"/>
    <w:rsid w:val="00943755"/>
    <w:rsid w:val="00943879"/>
    <w:rsid w:val="009439DB"/>
    <w:rsid w:val="00943CF8"/>
    <w:rsid w:val="00943E9A"/>
    <w:rsid w:val="00943F8E"/>
    <w:rsid w:val="009440DE"/>
    <w:rsid w:val="0094466F"/>
    <w:rsid w:val="00944855"/>
    <w:rsid w:val="009449E4"/>
    <w:rsid w:val="00944EF4"/>
    <w:rsid w:val="00945039"/>
    <w:rsid w:val="009450DE"/>
    <w:rsid w:val="00945107"/>
    <w:rsid w:val="0094514F"/>
    <w:rsid w:val="009451B7"/>
    <w:rsid w:val="00945522"/>
    <w:rsid w:val="009456F1"/>
    <w:rsid w:val="00945D14"/>
    <w:rsid w:val="00945E7F"/>
    <w:rsid w:val="00945ECE"/>
    <w:rsid w:val="00945EDB"/>
    <w:rsid w:val="009463DA"/>
    <w:rsid w:val="00946405"/>
    <w:rsid w:val="00946498"/>
    <w:rsid w:val="009464D8"/>
    <w:rsid w:val="009466A0"/>
    <w:rsid w:val="009466E7"/>
    <w:rsid w:val="0094673E"/>
    <w:rsid w:val="00947343"/>
    <w:rsid w:val="00947344"/>
    <w:rsid w:val="00947825"/>
    <w:rsid w:val="00947828"/>
    <w:rsid w:val="00947B3C"/>
    <w:rsid w:val="00947C53"/>
    <w:rsid w:val="00947D4F"/>
    <w:rsid w:val="009500AB"/>
    <w:rsid w:val="00950118"/>
    <w:rsid w:val="00950213"/>
    <w:rsid w:val="0095035A"/>
    <w:rsid w:val="00950610"/>
    <w:rsid w:val="009509C9"/>
    <w:rsid w:val="00950A39"/>
    <w:rsid w:val="00950AD8"/>
    <w:rsid w:val="00950D07"/>
    <w:rsid w:val="00950E07"/>
    <w:rsid w:val="00951304"/>
    <w:rsid w:val="00951840"/>
    <w:rsid w:val="00951883"/>
    <w:rsid w:val="00951B40"/>
    <w:rsid w:val="00951F10"/>
    <w:rsid w:val="009526FD"/>
    <w:rsid w:val="009527B0"/>
    <w:rsid w:val="00952805"/>
    <w:rsid w:val="00952BBA"/>
    <w:rsid w:val="0095301E"/>
    <w:rsid w:val="00953111"/>
    <w:rsid w:val="0095356E"/>
    <w:rsid w:val="009535CF"/>
    <w:rsid w:val="00953705"/>
    <w:rsid w:val="009537CB"/>
    <w:rsid w:val="00953B02"/>
    <w:rsid w:val="00953CCD"/>
    <w:rsid w:val="00953D64"/>
    <w:rsid w:val="00953E6F"/>
    <w:rsid w:val="00953EE1"/>
    <w:rsid w:val="0095431C"/>
    <w:rsid w:val="00954349"/>
    <w:rsid w:val="0095446F"/>
    <w:rsid w:val="009547D3"/>
    <w:rsid w:val="009548EA"/>
    <w:rsid w:val="00954C0F"/>
    <w:rsid w:val="00954C55"/>
    <w:rsid w:val="00954FCB"/>
    <w:rsid w:val="00955008"/>
    <w:rsid w:val="0095530B"/>
    <w:rsid w:val="00955526"/>
    <w:rsid w:val="00955659"/>
    <w:rsid w:val="0095568A"/>
    <w:rsid w:val="009557C1"/>
    <w:rsid w:val="00955986"/>
    <w:rsid w:val="00955C4F"/>
    <w:rsid w:val="00955CF7"/>
    <w:rsid w:val="00955E6F"/>
    <w:rsid w:val="00955F80"/>
    <w:rsid w:val="00956759"/>
    <w:rsid w:val="009568E8"/>
    <w:rsid w:val="009569EC"/>
    <w:rsid w:val="00956ADD"/>
    <w:rsid w:val="00956CFF"/>
    <w:rsid w:val="00956D72"/>
    <w:rsid w:val="00956F44"/>
    <w:rsid w:val="009571B6"/>
    <w:rsid w:val="009573BC"/>
    <w:rsid w:val="00957546"/>
    <w:rsid w:val="00957750"/>
    <w:rsid w:val="00957931"/>
    <w:rsid w:val="00957C17"/>
    <w:rsid w:val="00957E92"/>
    <w:rsid w:val="009603F2"/>
    <w:rsid w:val="00960A9C"/>
    <w:rsid w:val="00960B2E"/>
    <w:rsid w:val="00960C95"/>
    <w:rsid w:val="00960D5A"/>
    <w:rsid w:val="00960D6E"/>
    <w:rsid w:val="00960E68"/>
    <w:rsid w:val="00960F8D"/>
    <w:rsid w:val="0096101E"/>
    <w:rsid w:val="009611D1"/>
    <w:rsid w:val="009612B0"/>
    <w:rsid w:val="00961321"/>
    <w:rsid w:val="009615C8"/>
    <w:rsid w:val="009617CC"/>
    <w:rsid w:val="009617F3"/>
    <w:rsid w:val="009618D7"/>
    <w:rsid w:val="00961A99"/>
    <w:rsid w:val="00961AB5"/>
    <w:rsid w:val="00961BED"/>
    <w:rsid w:val="00962088"/>
    <w:rsid w:val="0096212F"/>
    <w:rsid w:val="009625E9"/>
    <w:rsid w:val="009627DD"/>
    <w:rsid w:val="00962C54"/>
    <w:rsid w:val="00962E38"/>
    <w:rsid w:val="0096336D"/>
    <w:rsid w:val="009633AF"/>
    <w:rsid w:val="009634B3"/>
    <w:rsid w:val="00963B1B"/>
    <w:rsid w:val="00963CEA"/>
    <w:rsid w:val="00963D7B"/>
    <w:rsid w:val="00963E4E"/>
    <w:rsid w:val="00963E91"/>
    <w:rsid w:val="00964088"/>
    <w:rsid w:val="009645A2"/>
    <w:rsid w:val="009645F3"/>
    <w:rsid w:val="00964A18"/>
    <w:rsid w:val="00964F7A"/>
    <w:rsid w:val="00964FC0"/>
    <w:rsid w:val="00965362"/>
    <w:rsid w:val="00965430"/>
    <w:rsid w:val="0096565F"/>
    <w:rsid w:val="00965E1F"/>
    <w:rsid w:val="0096638E"/>
    <w:rsid w:val="009666D8"/>
    <w:rsid w:val="0096689D"/>
    <w:rsid w:val="00966964"/>
    <w:rsid w:val="00966B4A"/>
    <w:rsid w:val="00966D4E"/>
    <w:rsid w:val="00966D77"/>
    <w:rsid w:val="00966D89"/>
    <w:rsid w:val="00967165"/>
    <w:rsid w:val="009672E3"/>
    <w:rsid w:val="00967503"/>
    <w:rsid w:val="009676A9"/>
    <w:rsid w:val="00967889"/>
    <w:rsid w:val="009678D7"/>
    <w:rsid w:val="00967DB4"/>
    <w:rsid w:val="00967E62"/>
    <w:rsid w:val="00970216"/>
    <w:rsid w:val="009703AB"/>
    <w:rsid w:val="00970455"/>
    <w:rsid w:val="009705F3"/>
    <w:rsid w:val="00970709"/>
    <w:rsid w:val="00970BD2"/>
    <w:rsid w:val="00970C04"/>
    <w:rsid w:val="00971419"/>
    <w:rsid w:val="0097179C"/>
    <w:rsid w:val="009719C8"/>
    <w:rsid w:val="00971DE3"/>
    <w:rsid w:val="00971EFC"/>
    <w:rsid w:val="009721DA"/>
    <w:rsid w:val="00972375"/>
    <w:rsid w:val="009724D6"/>
    <w:rsid w:val="00972684"/>
    <w:rsid w:val="009726A3"/>
    <w:rsid w:val="0097275B"/>
    <w:rsid w:val="0097282C"/>
    <w:rsid w:val="00972BC1"/>
    <w:rsid w:val="00972E4F"/>
    <w:rsid w:val="00973026"/>
    <w:rsid w:val="0097387A"/>
    <w:rsid w:val="00973B23"/>
    <w:rsid w:val="00973F8B"/>
    <w:rsid w:val="0097414C"/>
    <w:rsid w:val="00974346"/>
    <w:rsid w:val="009743F8"/>
    <w:rsid w:val="0097449E"/>
    <w:rsid w:val="00974931"/>
    <w:rsid w:val="00974ACC"/>
    <w:rsid w:val="00974AD2"/>
    <w:rsid w:val="00974B59"/>
    <w:rsid w:val="00974D3F"/>
    <w:rsid w:val="00974DB8"/>
    <w:rsid w:val="00974DBD"/>
    <w:rsid w:val="00975133"/>
    <w:rsid w:val="009753F2"/>
    <w:rsid w:val="009758B3"/>
    <w:rsid w:val="00975958"/>
    <w:rsid w:val="00975AD5"/>
    <w:rsid w:val="00975BA8"/>
    <w:rsid w:val="00975C65"/>
    <w:rsid w:val="00975C97"/>
    <w:rsid w:val="009760C8"/>
    <w:rsid w:val="00976171"/>
    <w:rsid w:val="009762C6"/>
    <w:rsid w:val="00976447"/>
    <w:rsid w:val="0097671C"/>
    <w:rsid w:val="00976A33"/>
    <w:rsid w:val="00976C10"/>
    <w:rsid w:val="00976C6E"/>
    <w:rsid w:val="00976CA3"/>
    <w:rsid w:val="00976F55"/>
    <w:rsid w:val="009770FD"/>
    <w:rsid w:val="0097723D"/>
    <w:rsid w:val="00977279"/>
    <w:rsid w:val="00977334"/>
    <w:rsid w:val="0097734A"/>
    <w:rsid w:val="0097745B"/>
    <w:rsid w:val="00977702"/>
    <w:rsid w:val="00977711"/>
    <w:rsid w:val="0097795E"/>
    <w:rsid w:val="00977A15"/>
    <w:rsid w:val="00977A58"/>
    <w:rsid w:val="00977DA5"/>
    <w:rsid w:val="00977F97"/>
    <w:rsid w:val="0098014B"/>
    <w:rsid w:val="00980725"/>
    <w:rsid w:val="0098094A"/>
    <w:rsid w:val="00980A41"/>
    <w:rsid w:val="00980BFB"/>
    <w:rsid w:val="00981382"/>
    <w:rsid w:val="009813BA"/>
    <w:rsid w:val="00981670"/>
    <w:rsid w:val="00981728"/>
    <w:rsid w:val="009819FE"/>
    <w:rsid w:val="00981B4E"/>
    <w:rsid w:val="00982000"/>
    <w:rsid w:val="00982145"/>
    <w:rsid w:val="009821AC"/>
    <w:rsid w:val="0098241E"/>
    <w:rsid w:val="0098252D"/>
    <w:rsid w:val="00982590"/>
    <w:rsid w:val="009825E8"/>
    <w:rsid w:val="00982809"/>
    <w:rsid w:val="00982A3C"/>
    <w:rsid w:val="00982B0F"/>
    <w:rsid w:val="00983177"/>
    <w:rsid w:val="0098340B"/>
    <w:rsid w:val="0098366B"/>
    <w:rsid w:val="00983C0E"/>
    <w:rsid w:val="00983EFA"/>
    <w:rsid w:val="0098441E"/>
    <w:rsid w:val="00984603"/>
    <w:rsid w:val="00984B4D"/>
    <w:rsid w:val="00984CB7"/>
    <w:rsid w:val="00984D31"/>
    <w:rsid w:val="00984E04"/>
    <w:rsid w:val="0098504F"/>
    <w:rsid w:val="0098516C"/>
    <w:rsid w:val="009853DB"/>
    <w:rsid w:val="009854AC"/>
    <w:rsid w:val="00985519"/>
    <w:rsid w:val="0098558A"/>
    <w:rsid w:val="00985BA3"/>
    <w:rsid w:val="00985C54"/>
    <w:rsid w:val="00985CD0"/>
    <w:rsid w:val="00985FE7"/>
    <w:rsid w:val="009863C4"/>
    <w:rsid w:val="009864B2"/>
    <w:rsid w:val="0098665A"/>
    <w:rsid w:val="009866BE"/>
    <w:rsid w:val="00986715"/>
    <w:rsid w:val="00986729"/>
    <w:rsid w:val="00986830"/>
    <w:rsid w:val="00986877"/>
    <w:rsid w:val="0098691B"/>
    <w:rsid w:val="009869A7"/>
    <w:rsid w:val="00986EB7"/>
    <w:rsid w:val="00987009"/>
    <w:rsid w:val="0098724E"/>
    <w:rsid w:val="009875C0"/>
    <w:rsid w:val="009878A5"/>
    <w:rsid w:val="00987CAD"/>
    <w:rsid w:val="00987EB1"/>
    <w:rsid w:val="009900DB"/>
    <w:rsid w:val="0099021C"/>
    <w:rsid w:val="00990367"/>
    <w:rsid w:val="009905A8"/>
    <w:rsid w:val="009906F2"/>
    <w:rsid w:val="00990820"/>
    <w:rsid w:val="00990CFB"/>
    <w:rsid w:val="00990E2F"/>
    <w:rsid w:val="00990E7A"/>
    <w:rsid w:val="00991380"/>
    <w:rsid w:val="00991610"/>
    <w:rsid w:val="00991648"/>
    <w:rsid w:val="0099176A"/>
    <w:rsid w:val="0099192E"/>
    <w:rsid w:val="00991955"/>
    <w:rsid w:val="00991D0F"/>
    <w:rsid w:val="00991E6D"/>
    <w:rsid w:val="009923CB"/>
    <w:rsid w:val="0099248C"/>
    <w:rsid w:val="009924C3"/>
    <w:rsid w:val="00992576"/>
    <w:rsid w:val="00992874"/>
    <w:rsid w:val="00992906"/>
    <w:rsid w:val="009929F2"/>
    <w:rsid w:val="00992E93"/>
    <w:rsid w:val="00993102"/>
    <w:rsid w:val="0099321B"/>
    <w:rsid w:val="009934C5"/>
    <w:rsid w:val="0099361B"/>
    <w:rsid w:val="009936A6"/>
    <w:rsid w:val="00993796"/>
    <w:rsid w:val="009937D9"/>
    <w:rsid w:val="00993877"/>
    <w:rsid w:val="00993A7C"/>
    <w:rsid w:val="00993A99"/>
    <w:rsid w:val="00993ADB"/>
    <w:rsid w:val="00993DA2"/>
    <w:rsid w:val="00993ED9"/>
    <w:rsid w:val="009947B2"/>
    <w:rsid w:val="009947E0"/>
    <w:rsid w:val="009948DC"/>
    <w:rsid w:val="00994DC2"/>
    <w:rsid w:val="00995565"/>
    <w:rsid w:val="009956EA"/>
    <w:rsid w:val="00995C90"/>
    <w:rsid w:val="00995CA1"/>
    <w:rsid w:val="00995D12"/>
    <w:rsid w:val="00995D99"/>
    <w:rsid w:val="00995E69"/>
    <w:rsid w:val="00995FF2"/>
    <w:rsid w:val="0099601C"/>
    <w:rsid w:val="00996772"/>
    <w:rsid w:val="0099681F"/>
    <w:rsid w:val="009968C9"/>
    <w:rsid w:val="00996AD0"/>
    <w:rsid w:val="00996AFF"/>
    <w:rsid w:val="009970F1"/>
    <w:rsid w:val="0099773B"/>
    <w:rsid w:val="00997BAB"/>
    <w:rsid w:val="00997C01"/>
    <w:rsid w:val="00997D5E"/>
    <w:rsid w:val="00997DE9"/>
    <w:rsid w:val="009A02B6"/>
    <w:rsid w:val="009A05F3"/>
    <w:rsid w:val="009A0C7E"/>
    <w:rsid w:val="009A0DEC"/>
    <w:rsid w:val="009A0E4B"/>
    <w:rsid w:val="009A0F68"/>
    <w:rsid w:val="009A12EF"/>
    <w:rsid w:val="009A165B"/>
    <w:rsid w:val="009A1733"/>
    <w:rsid w:val="009A1AEA"/>
    <w:rsid w:val="009A1E79"/>
    <w:rsid w:val="009A206C"/>
    <w:rsid w:val="009A206E"/>
    <w:rsid w:val="009A2826"/>
    <w:rsid w:val="009A29EA"/>
    <w:rsid w:val="009A29F5"/>
    <w:rsid w:val="009A2C34"/>
    <w:rsid w:val="009A2C76"/>
    <w:rsid w:val="009A2DFA"/>
    <w:rsid w:val="009A2F5C"/>
    <w:rsid w:val="009A2F69"/>
    <w:rsid w:val="009A3230"/>
    <w:rsid w:val="009A337D"/>
    <w:rsid w:val="009A3426"/>
    <w:rsid w:val="009A3943"/>
    <w:rsid w:val="009A3E24"/>
    <w:rsid w:val="009A3F10"/>
    <w:rsid w:val="009A4012"/>
    <w:rsid w:val="009A40B8"/>
    <w:rsid w:val="009A41FA"/>
    <w:rsid w:val="009A45EE"/>
    <w:rsid w:val="009A4A89"/>
    <w:rsid w:val="009A4ABF"/>
    <w:rsid w:val="009A4B15"/>
    <w:rsid w:val="009A4BB3"/>
    <w:rsid w:val="009A5118"/>
    <w:rsid w:val="009A5542"/>
    <w:rsid w:val="009A561F"/>
    <w:rsid w:val="009A562A"/>
    <w:rsid w:val="009A5670"/>
    <w:rsid w:val="009A588C"/>
    <w:rsid w:val="009A5972"/>
    <w:rsid w:val="009A59E0"/>
    <w:rsid w:val="009A5AD7"/>
    <w:rsid w:val="009A5B7E"/>
    <w:rsid w:val="009A6015"/>
    <w:rsid w:val="009A61B4"/>
    <w:rsid w:val="009A66A4"/>
    <w:rsid w:val="009A6897"/>
    <w:rsid w:val="009A6BCC"/>
    <w:rsid w:val="009A6D9E"/>
    <w:rsid w:val="009A6FDE"/>
    <w:rsid w:val="009A70E1"/>
    <w:rsid w:val="009A7200"/>
    <w:rsid w:val="009A7576"/>
    <w:rsid w:val="009A7A53"/>
    <w:rsid w:val="009A7AB1"/>
    <w:rsid w:val="009A7ADC"/>
    <w:rsid w:val="009B0033"/>
    <w:rsid w:val="009B0409"/>
    <w:rsid w:val="009B042F"/>
    <w:rsid w:val="009B0487"/>
    <w:rsid w:val="009B04F7"/>
    <w:rsid w:val="009B09C8"/>
    <w:rsid w:val="009B0B44"/>
    <w:rsid w:val="009B1548"/>
    <w:rsid w:val="009B15F5"/>
    <w:rsid w:val="009B1765"/>
    <w:rsid w:val="009B18C1"/>
    <w:rsid w:val="009B197E"/>
    <w:rsid w:val="009B1D6D"/>
    <w:rsid w:val="009B230F"/>
    <w:rsid w:val="009B2A67"/>
    <w:rsid w:val="009B2C2C"/>
    <w:rsid w:val="009B2E08"/>
    <w:rsid w:val="009B2EAC"/>
    <w:rsid w:val="009B3591"/>
    <w:rsid w:val="009B3C26"/>
    <w:rsid w:val="009B3CF0"/>
    <w:rsid w:val="009B3D74"/>
    <w:rsid w:val="009B3EEE"/>
    <w:rsid w:val="009B4125"/>
    <w:rsid w:val="009B4372"/>
    <w:rsid w:val="009B4412"/>
    <w:rsid w:val="009B4616"/>
    <w:rsid w:val="009B5483"/>
    <w:rsid w:val="009B57EA"/>
    <w:rsid w:val="009B5910"/>
    <w:rsid w:val="009B5B1D"/>
    <w:rsid w:val="009B5BBA"/>
    <w:rsid w:val="009B5E96"/>
    <w:rsid w:val="009B6091"/>
    <w:rsid w:val="009B6147"/>
    <w:rsid w:val="009B633C"/>
    <w:rsid w:val="009B637D"/>
    <w:rsid w:val="009B65BB"/>
    <w:rsid w:val="009B6901"/>
    <w:rsid w:val="009B6BF4"/>
    <w:rsid w:val="009B6DFB"/>
    <w:rsid w:val="009B73C1"/>
    <w:rsid w:val="009B73DD"/>
    <w:rsid w:val="009B7752"/>
    <w:rsid w:val="009B78B5"/>
    <w:rsid w:val="009B7908"/>
    <w:rsid w:val="009B798B"/>
    <w:rsid w:val="009B7A55"/>
    <w:rsid w:val="009C004D"/>
    <w:rsid w:val="009C0095"/>
    <w:rsid w:val="009C0301"/>
    <w:rsid w:val="009C053F"/>
    <w:rsid w:val="009C0604"/>
    <w:rsid w:val="009C0991"/>
    <w:rsid w:val="009C0D71"/>
    <w:rsid w:val="009C0D81"/>
    <w:rsid w:val="009C1265"/>
    <w:rsid w:val="009C15AA"/>
    <w:rsid w:val="009C17FF"/>
    <w:rsid w:val="009C18A4"/>
    <w:rsid w:val="009C1A03"/>
    <w:rsid w:val="009C1B1E"/>
    <w:rsid w:val="009C1C62"/>
    <w:rsid w:val="009C1D8C"/>
    <w:rsid w:val="009C1FE2"/>
    <w:rsid w:val="009C2098"/>
    <w:rsid w:val="009C2185"/>
    <w:rsid w:val="009C21F9"/>
    <w:rsid w:val="009C2344"/>
    <w:rsid w:val="009C2539"/>
    <w:rsid w:val="009C270D"/>
    <w:rsid w:val="009C2D51"/>
    <w:rsid w:val="009C3192"/>
    <w:rsid w:val="009C31DC"/>
    <w:rsid w:val="009C3C77"/>
    <w:rsid w:val="009C3F4B"/>
    <w:rsid w:val="009C4096"/>
    <w:rsid w:val="009C423A"/>
    <w:rsid w:val="009C4353"/>
    <w:rsid w:val="009C4369"/>
    <w:rsid w:val="009C449E"/>
    <w:rsid w:val="009C46F5"/>
    <w:rsid w:val="009C497A"/>
    <w:rsid w:val="009C4A39"/>
    <w:rsid w:val="009C4C03"/>
    <w:rsid w:val="009C4CA1"/>
    <w:rsid w:val="009C4E76"/>
    <w:rsid w:val="009C4FD3"/>
    <w:rsid w:val="009C5032"/>
    <w:rsid w:val="009C5174"/>
    <w:rsid w:val="009C5247"/>
    <w:rsid w:val="009C5606"/>
    <w:rsid w:val="009C5864"/>
    <w:rsid w:val="009C5CE7"/>
    <w:rsid w:val="009C5CFF"/>
    <w:rsid w:val="009C5DEB"/>
    <w:rsid w:val="009C6109"/>
    <w:rsid w:val="009C61D3"/>
    <w:rsid w:val="009C61DC"/>
    <w:rsid w:val="009C62CC"/>
    <w:rsid w:val="009C6473"/>
    <w:rsid w:val="009C64CF"/>
    <w:rsid w:val="009C6512"/>
    <w:rsid w:val="009C66AB"/>
    <w:rsid w:val="009C6737"/>
    <w:rsid w:val="009C6953"/>
    <w:rsid w:val="009C69C6"/>
    <w:rsid w:val="009C6CB6"/>
    <w:rsid w:val="009C6D40"/>
    <w:rsid w:val="009C6E9D"/>
    <w:rsid w:val="009C6F10"/>
    <w:rsid w:val="009C6F59"/>
    <w:rsid w:val="009C72D7"/>
    <w:rsid w:val="009C753E"/>
    <w:rsid w:val="009C7773"/>
    <w:rsid w:val="009C7A12"/>
    <w:rsid w:val="009C7CF2"/>
    <w:rsid w:val="009C7D52"/>
    <w:rsid w:val="009C7DB4"/>
    <w:rsid w:val="009C7EF4"/>
    <w:rsid w:val="009D0068"/>
    <w:rsid w:val="009D00A5"/>
    <w:rsid w:val="009D01A1"/>
    <w:rsid w:val="009D0379"/>
    <w:rsid w:val="009D038B"/>
    <w:rsid w:val="009D0512"/>
    <w:rsid w:val="009D07AA"/>
    <w:rsid w:val="009D0861"/>
    <w:rsid w:val="009D092F"/>
    <w:rsid w:val="009D0EC5"/>
    <w:rsid w:val="009D10D3"/>
    <w:rsid w:val="009D117E"/>
    <w:rsid w:val="009D1383"/>
    <w:rsid w:val="009D148F"/>
    <w:rsid w:val="009D1587"/>
    <w:rsid w:val="009D1937"/>
    <w:rsid w:val="009D19B1"/>
    <w:rsid w:val="009D1CBB"/>
    <w:rsid w:val="009D1DC4"/>
    <w:rsid w:val="009D2318"/>
    <w:rsid w:val="009D231E"/>
    <w:rsid w:val="009D235E"/>
    <w:rsid w:val="009D281A"/>
    <w:rsid w:val="009D282A"/>
    <w:rsid w:val="009D2C14"/>
    <w:rsid w:val="009D2C5A"/>
    <w:rsid w:val="009D2F0A"/>
    <w:rsid w:val="009D2F1F"/>
    <w:rsid w:val="009D3111"/>
    <w:rsid w:val="009D316F"/>
    <w:rsid w:val="009D3304"/>
    <w:rsid w:val="009D3467"/>
    <w:rsid w:val="009D3870"/>
    <w:rsid w:val="009D3ADA"/>
    <w:rsid w:val="009D3B02"/>
    <w:rsid w:val="009D3BF7"/>
    <w:rsid w:val="009D3C5C"/>
    <w:rsid w:val="009D3CF9"/>
    <w:rsid w:val="009D3D70"/>
    <w:rsid w:val="009D4402"/>
    <w:rsid w:val="009D459B"/>
    <w:rsid w:val="009D45E4"/>
    <w:rsid w:val="009D467C"/>
    <w:rsid w:val="009D468E"/>
    <w:rsid w:val="009D48E5"/>
    <w:rsid w:val="009D4B09"/>
    <w:rsid w:val="009D4D9E"/>
    <w:rsid w:val="009D4F78"/>
    <w:rsid w:val="009D539B"/>
    <w:rsid w:val="009D5528"/>
    <w:rsid w:val="009D57E9"/>
    <w:rsid w:val="009D581A"/>
    <w:rsid w:val="009D5A1B"/>
    <w:rsid w:val="009D5BFB"/>
    <w:rsid w:val="009D5C43"/>
    <w:rsid w:val="009D5F3B"/>
    <w:rsid w:val="009D6032"/>
    <w:rsid w:val="009D62EE"/>
    <w:rsid w:val="009D646E"/>
    <w:rsid w:val="009D69DE"/>
    <w:rsid w:val="009D6A53"/>
    <w:rsid w:val="009D6A72"/>
    <w:rsid w:val="009D6E93"/>
    <w:rsid w:val="009D6EAD"/>
    <w:rsid w:val="009D7066"/>
    <w:rsid w:val="009D71DB"/>
    <w:rsid w:val="009D72FC"/>
    <w:rsid w:val="009D7370"/>
    <w:rsid w:val="009D74C4"/>
    <w:rsid w:val="009D7590"/>
    <w:rsid w:val="009D75AE"/>
    <w:rsid w:val="009D7608"/>
    <w:rsid w:val="009D766B"/>
    <w:rsid w:val="009D7743"/>
    <w:rsid w:val="009D78B0"/>
    <w:rsid w:val="009D792E"/>
    <w:rsid w:val="009D7A4D"/>
    <w:rsid w:val="009D7BBC"/>
    <w:rsid w:val="009D7D93"/>
    <w:rsid w:val="009E02FE"/>
    <w:rsid w:val="009E0777"/>
    <w:rsid w:val="009E0C2F"/>
    <w:rsid w:val="009E0CE1"/>
    <w:rsid w:val="009E0D8C"/>
    <w:rsid w:val="009E11DA"/>
    <w:rsid w:val="009E1242"/>
    <w:rsid w:val="009E14A3"/>
    <w:rsid w:val="009E14D8"/>
    <w:rsid w:val="009E163C"/>
    <w:rsid w:val="009E16EB"/>
    <w:rsid w:val="009E17E1"/>
    <w:rsid w:val="009E17FB"/>
    <w:rsid w:val="009E1C33"/>
    <w:rsid w:val="009E1C67"/>
    <w:rsid w:val="009E1C7F"/>
    <w:rsid w:val="009E1EAA"/>
    <w:rsid w:val="009E206D"/>
    <w:rsid w:val="009E2108"/>
    <w:rsid w:val="009E2362"/>
    <w:rsid w:val="009E237F"/>
    <w:rsid w:val="009E25CE"/>
    <w:rsid w:val="009E2701"/>
    <w:rsid w:val="009E2AFA"/>
    <w:rsid w:val="009E2BE6"/>
    <w:rsid w:val="009E2BEA"/>
    <w:rsid w:val="009E2E3C"/>
    <w:rsid w:val="009E30EE"/>
    <w:rsid w:val="009E3222"/>
    <w:rsid w:val="009E3237"/>
    <w:rsid w:val="009E33B7"/>
    <w:rsid w:val="009E37C3"/>
    <w:rsid w:val="009E37D9"/>
    <w:rsid w:val="009E3AC7"/>
    <w:rsid w:val="009E4015"/>
    <w:rsid w:val="009E406A"/>
    <w:rsid w:val="009E408C"/>
    <w:rsid w:val="009E40A3"/>
    <w:rsid w:val="009E44E5"/>
    <w:rsid w:val="009E4695"/>
    <w:rsid w:val="009E46A1"/>
    <w:rsid w:val="009E4949"/>
    <w:rsid w:val="009E4992"/>
    <w:rsid w:val="009E4DFC"/>
    <w:rsid w:val="009E4E9A"/>
    <w:rsid w:val="009E4FA1"/>
    <w:rsid w:val="009E5119"/>
    <w:rsid w:val="009E51C2"/>
    <w:rsid w:val="009E53E7"/>
    <w:rsid w:val="009E53EE"/>
    <w:rsid w:val="009E5654"/>
    <w:rsid w:val="009E614D"/>
    <w:rsid w:val="009E6472"/>
    <w:rsid w:val="009E676E"/>
    <w:rsid w:val="009E6818"/>
    <w:rsid w:val="009E6980"/>
    <w:rsid w:val="009E6BB2"/>
    <w:rsid w:val="009E6C8D"/>
    <w:rsid w:val="009E6CBE"/>
    <w:rsid w:val="009E6EDB"/>
    <w:rsid w:val="009E6F60"/>
    <w:rsid w:val="009E6F7E"/>
    <w:rsid w:val="009E7023"/>
    <w:rsid w:val="009E70CB"/>
    <w:rsid w:val="009E712E"/>
    <w:rsid w:val="009E7306"/>
    <w:rsid w:val="009E763A"/>
    <w:rsid w:val="009E77CE"/>
    <w:rsid w:val="009E7A00"/>
    <w:rsid w:val="009E7A57"/>
    <w:rsid w:val="009E7C2D"/>
    <w:rsid w:val="009E7D03"/>
    <w:rsid w:val="009E7D41"/>
    <w:rsid w:val="009F0477"/>
    <w:rsid w:val="009F0481"/>
    <w:rsid w:val="009F0955"/>
    <w:rsid w:val="009F0974"/>
    <w:rsid w:val="009F0B4B"/>
    <w:rsid w:val="009F0E2E"/>
    <w:rsid w:val="009F0EB5"/>
    <w:rsid w:val="009F1144"/>
    <w:rsid w:val="009F1210"/>
    <w:rsid w:val="009F13E5"/>
    <w:rsid w:val="009F17CA"/>
    <w:rsid w:val="009F18C5"/>
    <w:rsid w:val="009F1A7D"/>
    <w:rsid w:val="009F1E9F"/>
    <w:rsid w:val="009F1EE5"/>
    <w:rsid w:val="009F1FEE"/>
    <w:rsid w:val="009F23A5"/>
    <w:rsid w:val="009F24C9"/>
    <w:rsid w:val="009F289E"/>
    <w:rsid w:val="009F28F7"/>
    <w:rsid w:val="009F2B59"/>
    <w:rsid w:val="009F2EAE"/>
    <w:rsid w:val="009F30A9"/>
    <w:rsid w:val="009F330C"/>
    <w:rsid w:val="009F33CC"/>
    <w:rsid w:val="009F3A86"/>
    <w:rsid w:val="009F3AEB"/>
    <w:rsid w:val="009F3C4A"/>
    <w:rsid w:val="009F3EE6"/>
    <w:rsid w:val="009F41C8"/>
    <w:rsid w:val="009F44F7"/>
    <w:rsid w:val="009F45EC"/>
    <w:rsid w:val="009F47FE"/>
    <w:rsid w:val="009F487D"/>
    <w:rsid w:val="009F496B"/>
    <w:rsid w:val="009F4DA1"/>
    <w:rsid w:val="009F4E3A"/>
    <w:rsid w:val="009F4F38"/>
    <w:rsid w:val="009F4F6A"/>
    <w:rsid w:val="009F4F82"/>
    <w:rsid w:val="009F4FC2"/>
    <w:rsid w:val="009F5046"/>
    <w:rsid w:val="009F560A"/>
    <w:rsid w:val="009F5A68"/>
    <w:rsid w:val="009F5D69"/>
    <w:rsid w:val="009F5F39"/>
    <w:rsid w:val="009F60A0"/>
    <w:rsid w:val="009F6159"/>
    <w:rsid w:val="009F6359"/>
    <w:rsid w:val="009F6398"/>
    <w:rsid w:val="009F6650"/>
    <w:rsid w:val="009F67D8"/>
    <w:rsid w:val="009F68CF"/>
    <w:rsid w:val="009F6906"/>
    <w:rsid w:val="009F6A07"/>
    <w:rsid w:val="009F6B50"/>
    <w:rsid w:val="009F6CA0"/>
    <w:rsid w:val="009F703C"/>
    <w:rsid w:val="009F7051"/>
    <w:rsid w:val="009F70CD"/>
    <w:rsid w:val="009F71D4"/>
    <w:rsid w:val="009F7261"/>
    <w:rsid w:val="009F7586"/>
    <w:rsid w:val="009F7612"/>
    <w:rsid w:val="009F77F1"/>
    <w:rsid w:val="009F7AE9"/>
    <w:rsid w:val="009F7B1B"/>
    <w:rsid w:val="009F7DC9"/>
    <w:rsid w:val="00A0003B"/>
    <w:rsid w:val="00A0006C"/>
    <w:rsid w:val="00A00260"/>
    <w:rsid w:val="00A00631"/>
    <w:rsid w:val="00A00819"/>
    <w:rsid w:val="00A009EB"/>
    <w:rsid w:val="00A00B7C"/>
    <w:rsid w:val="00A00E5C"/>
    <w:rsid w:val="00A00F68"/>
    <w:rsid w:val="00A00FA4"/>
    <w:rsid w:val="00A01044"/>
    <w:rsid w:val="00A01054"/>
    <w:rsid w:val="00A014E3"/>
    <w:rsid w:val="00A01545"/>
    <w:rsid w:val="00A016FD"/>
    <w:rsid w:val="00A01719"/>
    <w:rsid w:val="00A01748"/>
    <w:rsid w:val="00A01CD1"/>
    <w:rsid w:val="00A01F04"/>
    <w:rsid w:val="00A02006"/>
    <w:rsid w:val="00A0203B"/>
    <w:rsid w:val="00A02388"/>
    <w:rsid w:val="00A024A4"/>
    <w:rsid w:val="00A02797"/>
    <w:rsid w:val="00A0290C"/>
    <w:rsid w:val="00A02ABF"/>
    <w:rsid w:val="00A02B86"/>
    <w:rsid w:val="00A02E0E"/>
    <w:rsid w:val="00A02FBE"/>
    <w:rsid w:val="00A030A9"/>
    <w:rsid w:val="00A0320F"/>
    <w:rsid w:val="00A03467"/>
    <w:rsid w:val="00A03689"/>
    <w:rsid w:val="00A03AB1"/>
    <w:rsid w:val="00A04084"/>
    <w:rsid w:val="00A0477D"/>
    <w:rsid w:val="00A0489C"/>
    <w:rsid w:val="00A04DA3"/>
    <w:rsid w:val="00A04F46"/>
    <w:rsid w:val="00A05533"/>
    <w:rsid w:val="00A0597D"/>
    <w:rsid w:val="00A05A7C"/>
    <w:rsid w:val="00A05B01"/>
    <w:rsid w:val="00A05B7D"/>
    <w:rsid w:val="00A05CF6"/>
    <w:rsid w:val="00A05EFA"/>
    <w:rsid w:val="00A06559"/>
    <w:rsid w:val="00A067C9"/>
    <w:rsid w:val="00A068B3"/>
    <w:rsid w:val="00A06DD0"/>
    <w:rsid w:val="00A06DE1"/>
    <w:rsid w:val="00A06EFD"/>
    <w:rsid w:val="00A0730C"/>
    <w:rsid w:val="00A07897"/>
    <w:rsid w:val="00A07A36"/>
    <w:rsid w:val="00A07AD5"/>
    <w:rsid w:val="00A07E12"/>
    <w:rsid w:val="00A10067"/>
    <w:rsid w:val="00A10252"/>
    <w:rsid w:val="00A10660"/>
    <w:rsid w:val="00A10819"/>
    <w:rsid w:val="00A10E12"/>
    <w:rsid w:val="00A10FBA"/>
    <w:rsid w:val="00A11005"/>
    <w:rsid w:val="00A113B2"/>
    <w:rsid w:val="00A113C7"/>
    <w:rsid w:val="00A1146B"/>
    <w:rsid w:val="00A11829"/>
    <w:rsid w:val="00A12019"/>
    <w:rsid w:val="00A12122"/>
    <w:rsid w:val="00A121EB"/>
    <w:rsid w:val="00A12660"/>
    <w:rsid w:val="00A128BE"/>
    <w:rsid w:val="00A12AEC"/>
    <w:rsid w:val="00A12DF3"/>
    <w:rsid w:val="00A12E6C"/>
    <w:rsid w:val="00A12EB4"/>
    <w:rsid w:val="00A12F9B"/>
    <w:rsid w:val="00A1308D"/>
    <w:rsid w:val="00A13204"/>
    <w:rsid w:val="00A133C1"/>
    <w:rsid w:val="00A13417"/>
    <w:rsid w:val="00A135E1"/>
    <w:rsid w:val="00A13688"/>
    <w:rsid w:val="00A1368F"/>
    <w:rsid w:val="00A1372D"/>
    <w:rsid w:val="00A13A61"/>
    <w:rsid w:val="00A13B64"/>
    <w:rsid w:val="00A13BBF"/>
    <w:rsid w:val="00A13BEB"/>
    <w:rsid w:val="00A13C49"/>
    <w:rsid w:val="00A13D00"/>
    <w:rsid w:val="00A13DA5"/>
    <w:rsid w:val="00A13EAF"/>
    <w:rsid w:val="00A13F99"/>
    <w:rsid w:val="00A14290"/>
    <w:rsid w:val="00A146A0"/>
    <w:rsid w:val="00A1477A"/>
    <w:rsid w:val="00A147CC"/>
    <w:rsid w:val="00A147D4"/>
    <w:rsid w:val="00A148A6"/>
    <w:rsid w:val="00A149C8"/>
    <w:rsid w:val="00A15042"/>
    <w:rsid w:val="00A151F1"/>
    <w:rsid w:val="00A155C1"/>
    <w:rsid w:val="00A1569D"/>
    <w:rsid w:val="00A15ADA"/>
    <w:rsid w:val="00A15D3C"/>
    <w:rsid w:val="00A15D3D"/>
    <w:rsid w:val="00A15F01"/>
    <w:rsid w:val="00A1651F"/>
    <w:rsid w:val="00A1658C"/>
    <w:rsid w:val="00A166D8"/>
    <w:rsid w:val="00A16867"/>
    <w:rsid w:val="00A16D05"/>
    <w:rsid w:val="00A16E36"/>
    <w:rsid w:val="00A17096"/>
    <w:rsid w:val="00A17182"/>
    <w:rsid w:val="00A175C8"/>
    <w:rsid w:val="00A176EC"/>
    <w:rsid w:val="00A177A3"/>
    <w:rsid w:val="00A17845"/>
    <w:rsid w:val="00A179B7"/>
    <w:rsid w:val="00A17D1B"/>
    <w:rsid w:val="00A17E50"/>
    <w:rsid w:val="00A17E69"/>
    <w:rsid w:val="00A2012E"/>
    <w:rsid w:val="00A2024A"/>
    <w:rsid w:val="00A20774"/>
    <w:rsid w:val="00A207FB"/>
    <w:rsid w:val="00A20A4B"/>
    <w:rsid w:val="00A20F1F"/>
    <w:rsid w:val="00A211D0"/>
    <w:rsid w:val="00A21275"/>
    <w:rsid w:val="00A21283"/>
    <w:rsid w:val="00A217E7"/>
    <w:rsid w:val="00A219F5"/>
    <w:rsid w:val="00A21C1E"/>
    <w:rsid w:val="00A21C64"/>
    <w:rsid w:val="00A21D5E"/>
    <w:rsid w:val="00A22079"/>
    <w:rsid w:val="00A22297"/>
    <w:rsid w:val="00A22A02"/>
    <w:rsid w:val="00A22B9A"/>
    <w:rsid w:val="00A22BDF"/>
    <w:rsid w:val="00A22D71"/>
    <w:rsid w:val="00A22F62"/>
    <w:rsid w:val="00A230D2"/>
    <w:rsid w:val="00A2310B"/>
    <w:rsid w:val="00A23279"/>
    <w:rsid w:val="00A232D7"/>
    <w:rsid w:val="00A2344D"/>
    <w:rsid w:val="00A23529"/>
    <w:rsid w:val="00A235AB"/>
    <w:rsid w:val="00A23656"/>
    <w:rsid w:val="00A23726"/>
    <w:rsid w:val="00A239AB"/>
    <w:rsid w:val="00A239DB"/>
    <w:rsid w:val="00A239F8"/>
    <w:rsid w:val="00A23BBF"/>
    <w:rsid w:val="00A23BF1"/>
    <w:rsid w:val="00A23F9D"/>
    <w:rsid w:val="00A2406D"/>
    <w:rsid w:val="00A24283"/>
    <w:rsid w:val="00A2458D"/>
    <w:rsid w:val="00A247BB"/>
    <w:rsid w:val="00A24850"/>
    <w:rsid w:val="00A24897"/>
    <w:rsid w:val="00A24938"/>
    <w:rsid w:val="00A24961"/>
    <w:rsid w:val="00A24A67"/>
    <w:rsid w:val="00A24B10"/>
    <w:rsid w:val="00A24D6B"/>
    <w:rsid w:val="00A24F93"/>
    <w:rsid w:val="00A2510B"/>
    <w:rsid w:val="00A25167"/>
    <w:rsid w:val="00A2517A"/>
    <w:rsid w:val="00A2517F"/>
    <w:rsid w:val="00A253E8"/>
    <w:rsid w:val="00A25604"/>
    <w:rsid w:val="00A257C5"/>
    <w:rsid w:val="00A25879"/>
    <w:rsid w:val="00A2593B"/>
    <w:rsid w:val="00A25A72"/>
    <w:rsid w:val="00A25F66"/>
    <w:rsid w:val="00A26364"/>
    <w:rsid w:val="00A263F4"/>
    <w:rsid w:val="00A263FD"/>
    <w:rsid w:val="00A2681B"/>
    <w:rsid w:val="00A26915"/>
    <w:rsid w:val="00A26B41"/>
    <w:rsid w:val="00A27031"/>
    <w:rsid w:val="00A2703F"/>
    <w:rsid w:val="00A272F2"/>
    <w:rsid w:val="00A277E9"/>
    <w:rsid w:val="00A27D45"/>
    <w:rsid w:val="00A27F7E"/>
    <w:rsid w:val="00A3037D"/>
    <w:rsid w:val="00A30492"/>
    <w:rsid w:val="00A305D8"/>
    <w:rsid w:val="00A30875"/>
    <w:rsid w:val="00A30B3D"/>
    <w:rsid w:val="00A30E9B"/>
    <w:rsid w:val="00A3104E"/>
    <w:rsid w:val="00A31079"/>
    <w:rsid w:val="00A311B9"/>
    <w:rsid w:val="00A3127C"/>
    <w:rsid w:val="00A31826"/>
    <w:rsid w:val="00A319E0"/>
    <w:rsid w:val="00A31A13"/>
    <w:rsid w:val="00A31A1A"/>
    <w:rsid w:val="00A31B03"/>
    <w:rsid w:val="00A31BBA"/>
    <w:rsid w:val="00A31D20"/>
    <w:rsid w:val="00A31D7D"/>
    <w:rsid w:val="00A31E23"/>
    <w:rsid w:val="00A31F93"/>
    <w:rsid w:val="00A321AF"/>
    <w:rsid w:val="00A3238D"/>
    <w:rsid w:val="00A32458"/>
    <w:rsid w:val="00A3273C"/>
    <w:rsid w:val="00A3288B"/>
    <w:rsid w:val="00A32925"/>
    <w:rsid w:val="00A32A54"/>
    <w:rsid w:val="00A32BF8"/>
    <w:rsid w:val="00A33175"/>
    <w:rsid w:val="00A3341E"/>
    <w:rsid w:val="00A33548"/>
    <w:rsid w:val="00A33860"/>
    <w:rsid w:val="00A33A65"/>
    <w:rsid w:val="00A33BCB"/>
    <w:rsid w:val="00A33C78"/>
    <w:rsid w:val="00A33EDF"/>
    <w:rsid w:val="00A3415E"/>
    <w:rsid w:val="00A341AF"/>
    <w:rsid w:val="00A342F5"/>
    <w:rsid w:val="00A34376"/>
    <w:rsid w:val="00A344E5"/>
    <w:rsid w:val="00A34504"/>
    <w:rsid w:val="00A3463E"/>
    <w:rsid w:val="00A34916"/>
    <w:rsid w:val="00A34944"/>
    <w:rsid w:val="00A34B5F"/>
    <w:rsid w:val="00A34DFD"/>
    <w:rsid w:val="00A34F1D"/>
    <w:rsid w:val="00A35143"/>
    <w:rsid w:val="00A351C5"/>
    <w:rsid w:val="00A35614"/>
    <w:rsid w:val="00A35740"/>
    <w:rsid w:val="00A357C3"/>
    <w:rsid w:val="00A35AED"/>
    <w:rsid w:val="00A35EB8"/>
    <w:rsid w:val="00A35FFA"/>
    <w:rsid w:val="00A36159"/>
    <w:rsid w:val="00A363DA"/>
    <w:rsid w:val="00A3644F"/>
    <w:rsid w:val="00A36671"/>
    <w:rsid w:val="00A36AE7"/>
    <w:rsid w:val="00A36F40"/>
    <w:rsid w:val="00A37004"/>
    <w:rsid w:val="00A370F5"/>
    <w:rsid w:val="00A3712B"/>
    <w:rsid w:val="00A37183"/>
    <w:rsid w:val="00A3722C"/>
    <w:rsid w:val="00A37375"/>
    <w:rsid w:val="00A373CB"/>
    <w:rsid w:val="00A3741E"/>
    <w:rsid w:val="00A379D1"/>
    <w:rsid w:val="00A37A81"/>
    <w:rsid w:val="00A37ADC"/>
    <w:rsid w:val="00A37BE0"/>
    <w:rsid w:val="00A37D48"/>
    <w:rsid w:val="00A37EF7"/>
    <w:rsid w:val="00A3B6EE"/>
    <w:rsid w:val="00A40228"/>
    <w:rsid w:val="00A408F7"/>
    <w:rsid w:val="00A409D2"/>
    <w:rsid w:val="00A40B17"/>
    <w:rsid w:val="00A40C09"/>
    <w:rsid w:val="00A40CB4"/>
    <w:rsid w:val="00A4104A"/>
    <w:rsid w:val="00A411B9"/>
    <w:rsid w:val="00A4125E"/>
    <w:rsid w:val="00A414C4"/>
    <w:rsid w:val="00A41680"/>
    <w:rsid w:val="00A41C0B"/>
    <w:rsid w:val="00A41D8A"/>
    <w:rsid w:val="00A41FA0"/>
    <w:rsid w:val="00A42051"/>
    <w:rsid w:val="00A42079"/>
    <w:rsid w:val="00A42082"/>
    <w:rsid w:val="00A42423"/>
    <w:rsid w:val="00A427E8"/>
    <w:rsid w:val="00A42850"/>
    <w:rsid w:val="00A42877"/>
    <w:rsid w:val="00A42CCF"/>
    <w:rsid w:val="00A42DA7"/>
    <w:rsid w:val="00A42F5A"/>
    <w:rsid w:val="00A42F86"/>
    <w:rsid w:val="00A43094"/>
    <w:rsid w:val="00A431E6"/>
    <w:rsid w:val="00A43620"/>
    <w:rsid w:val="00A437AB"/>
    <w:rsid w:val="00A43B61"/>
    <w:rsid w:val="00A43FF9"/>
    <w:rsid w:val="00A441B5"/>
    <w:rsid w:val="00A445EF"/>
    <w:rsid w:val="00A445F1"/>
    <w:rsid w:val="00A44B9C"/>
    <w:rsid w:val="00A44D50"/>
    <w:rsid w:val="00A4512D"/>
    <w:rsid w:val="00A45181"/>
    <w:rsid w:val="00A451B8"/>
    <w:rsid w:val="00A451E5"/>
    <w:rsid w:val="00A45519"/>
    <w:rsid w:val="00A455CA"/>
    <w:rsid w:val="00A456B7"/>
    <w:rsid w:val="00A45A25"/>
    <w:rsid w:val="00A45B24"/>
    <w:rsid w:val="00A45CDE"/>
    <w:rsid w:val="00A45D77"/>
    <w:rsid w:val="00A45DF9"/>
    <w:rsid w:val="00A4602E"/>
    <w:rsid w:val="00A4608D"/>
    <w:rsid w:val="00A46126"/>
    <w:rsid w:val="00A46165"/>
    <w:rsid w:val="00A4639C"/>
    <w:rsid w:val="00A4666D"/>
    <w:rsid w:val="00A467F0"/>
    <w:rsid w:val="00A46B5C"/>
    <w:rsid w:val="00A46B73"/>
    <w:rsid w:val="00A46E20"/>
    <w:rsid w:val="00A46E7F"/>
    <w:rsid w:val="00A46EDE"/>
    <w:rsid w:val="00A46FCF"/>
    <w:rsid w:val="00A4727E"/>
    <w:rsid w:val="00A473D0"/>
    <w:rsid w:val="00A475F8"/>
    <w:rsid w:val="00A476AD"/>
    <w:rsid w:val="00A47836"/>
    <w:rsid w:val="00A47B63"/>
    <w:rsid w:val="00A47D58"/>
    <w:rsid w:val="00A47FC4"/>
    <w:rsid w:val="00A500B8"/>
    <w:rsid w:val="00A50111"/>
    <w:rsid w:val="00A50112"/>
    <w:rsid w:val="00A50244"/>
    <w:rsid w:val="00A50423"/>
    <w:rsid w:val="00A50524"/>
    <w:rsid w:val="00A5057A"/>
    <w:rsid w:val="00A505BB"/>
    <w:rsid w:val="00A5081B"/>
    <w:rsid w:val="00A5091E"/>
    <w:rsid w:val="00A50FF6"/>
    <w:rsid w:val="00A5123F"/>
    <w:rsid w:val="00A51265"/>
    <w:rsid w:val="00A512F5"/>
    <w:rsid w:val="00A516AB"/>
    <w:rsid w:val="00A51833"/>
    <w:rsid w:val="00A51986"/>
    <w:rsid w:val="00A51C03"/>
    <w:rsid w:val="00A51ED0"/>
    <w:rsid w:val="00A53286"/>
    <w:rsid w:val="00A53369"/>
    <w:rsid w:val="00A536CB"/>
    <w:rsid w:val="00A53969"/>
    <w:rsid w:val="00A539EC"/>
    <w:rsid w:val="00A53C7D"/>
    <w:rsid w:val="00A53FF0"/>
    <w:rsid w:val="00A540E0"/>
    <w:rsid w:val="00A54303"/>
    <w:rsid w:val="00A5474B"/>
    <w:rsid w:val="00A54824"/>
    <w:rsid w:val="00A55193"/>
    <w:rsid w:val="00A55247"/>
    <w:rsid w:val="00A553E4"/>
    <w:rsid w:val="00A557EA"/>
    <w:rsid w:val="00A5589D"/>
    <w:rsid w:val="00A55999"/>
    <w:rsid w:val="00A55B00"/>
    <w:rsid w:val="00A55E21"/>
    <w:rsid w:val="00A563B1"/>
    <w:rsid w:val="00A5647E"/>
    <w:rsid w:val="00A56645"/>
    <w:rsid w:val="00A567AE"/>
    <w:rsid w:val="00A568B2"/>
    <w:rsid w:val="00A56A6E"/>
    <w:rsid w:val="00A56CD7"/>
    <w:rsid w:val="00A56F17"/>
    <w:rsid w:val="00A56F4E"/>
    <w:rsid w:val="00A57080"/>
    <w:rsid w:val="00A57193"/>
    <w:rsid w:val="00A57242"/>
    <w:rsid w:val="00A57291"/>
    <w:rsid w:val="00A57811"/>
    <w:rsid w:val="00A600F0"/>
    <w:rsid w:val="00A6030B"/>
    <w:rsid w:val="00A6032E"/>
    <w:rsid w:val="00A603A9"/>
    <w:rsid w:val="00A604B2"/>
    <w:rsid w:val="00A60603"/>
    <w:rsid w:val="00A6082A"/>
    <w:rsid w:val="00A60AB2"/>
    <w:rsid w:val="00A60C85"/>
    <w:rsid w:val="00A60FCE"/>
    <w:rsid w:val="00A612D3"/>
    <w:rsid w:val="00A613D5"/>
    <w:rsid w:val="00A6184E"/>
    <w:rsid w:val="00A61A6D"/>
    <w:rsid w:val="00A61A79"/>
    <w:rsid w:val="00A61B61"/>
    <w:rsid w:val="00A61C2F"/>
    <w:rsid w:val="00A61C3D"/>
    <w:rsid w:val="00A62221"/>
    <w:rsid w:val="00A62246"/>
    <w:rsid w:val="00A6245D"/>
    <w:rsid w:val="00A627D7"/>
    <w:rsid w:val="00A62B28"/>
    <w:rsid w:val="00A62E41"/>
    <w:rsid w:val="00A62FC3"/>
    <w:rsid w:val="00A631CA"/>
    <w:rsid w:val="00A631D0"/>
    <w:rsid w:val="00A63E7F"/>
    <w:rsid w:val="00A64337"/>
    <w:rsid w:val="00A6440B"/>
    <w:rsid w:val="00A6455D"/>
    <w:rsid w:val="00A649B6"/>
    <w:rsid w:val="00A64A8E"/>
    <w:rsid w:val="00A64B72"/>
    <w:rsid w:val="00A64C0E"/>
    <w:rsid w:val="00A64D42"/>
    <w:rsid w:val="00A64F3E"/>
    <w:rsid w:val="00A656C7"/>
    <w:rsid w:val="00A657D1"/>
    <w:rsid w:val="00A65BA4"/>
    <w:rsid w:val="00A65DD0"/>
    <w:rsid w:val="00A65FF1"/>
    <w:rsid w:val="00A6600F"/>
    <w:rsid w:val="00A665E5"/>
    <w:rsid w:val="00A66991"/>
    <w:rsid w:val="00A66BFC"/>
    <w:rsid w:val="00A66D39"/>
    <w:rsid w:val="00A67231"/>
    <w:rsid w:val="00A67360"/>
    <w:rsid w:val="00A6737D"/>
    <w:rsid w:val="00A67536"/>
    <w:rsid w:val="00A6776B"/>
    <w:rsid w:val="00A677E4"/>
    <w:rsid w:val="00A67ABB"/>
    <w:rsid w:val="00A67C90"/>
    <w:rsid w:val="00A67D17"/>
    <w:rsid w:val="00A67D99"/>
    <w:rsid w:val="00A67DA2"/>
    <w:rsid w:val="00A67FFE"/>
    <w:rsid w:val="00A7051B"/>
    <w:rsid w:val="00A705AF"/>
    <w:rsid w:val="00A70A1D"/>
    <w:rsid w:val="00A70B48"/>
    <w:rsid w:val="00A70C94"/>
    <w:rsid w:val="00A70CB9"/>
    <w:rsid w:val="00A70CC4"/>
    <w:rsid w:val="00A7106E"/>
    <w:rsid w:val="00A710D7"/>
    <w:rsid w:val="00A7139C"/>
    <w:rsid w:val="00A715BF"/>
    <w:rsid w:val="00A715F7"/>
    <w:rsid w:val="00A716E7"/>
    <w:rsid w:val="00A71723"/>
    <w:rsid w:val="00A71743"/>
    <w:rsid w:val="00A71B74"/>
    <w:rsid w:val="00A71EE3"/>
    <w:rsid w:val="00A71FE4"/>
    <w:rsid w:val="00A7209D"/>
    <w:rsid w:val="00A723A3"/>
    <w:rsid w:val="00A7240E"/>
    <w:rsid w:val="00A72454"/>
    <w:rsid w:val="00A726B1"/>
    <w:rsid w:val="00A72878"/>
    <w:rsid w:val="00A72D7E"/>
    <w:rsid w:val="00A7339C"/>
    <w:rsid w:val="00A73483"/>
    <w:rsid w:val="00A73536"/>
    <w:rsid w:val="00A7366E"/>
    <w:rsid w:val="00A7368D"/>
    <w:rsid w:val="00A738D8"/>
    <w:rsid w:val="00A73CBF"/>
    <w:rsid w:val="00A73D8C"/>
    <w:rsid w:val="00A73FDD"/>
    <w:rsid w:val="00A7407A"/>
    <w:rsid w:val="00A7437C"/>
    <w:rsid w:val="00A744CE"/>
    <w:rsid w:val="00A744D0"/>
    <w:rsid w:val="00A74509"/>
    <w:rsid w:val="00A7458E"/>
    <w:rsid w:val="00A747CE"/>
    <w:rsid w:val="00A748FE"/>
    <w:rsid w:val="00A74D7F"/>
    <w:rsid w:val="00A74DD1"/>
    <w:rsid w:val="00A74E62"/>
    <w:rsid w:val="00A74EC9"/>
    <w:rsid w:val="00A74F7B"/>
    <w:rsid w:val="00A7540A"/>
    <w:rsid w:val="00A75580"/>
    <w:rsid w:val="00A75627"/>
    <w:rsid w:val="00A75C78"/>
    <w:rsid w:val="00A75D01"/>
    <w:rsid w:val="00A75EC0"/>
    <w:rsid w:val="00A76104"/>
    <w:rsid w:val="00A761A2"/>
    <w:rsid w:val="00A76330"/>
    <w:rsid w:val="00A7671B"/>
    <w:rsid w:val="00A76A9F"/>
    <w:rsid w:val="00A76CDD"/>
    <w:rsid w:val="00A76D9D"/>
    <w:rsid w:val="00A76ECA"/>
    <w:rsid w:val="00A7706A"/>
    <w:rsid w:val="00A7720E"/>
    <w:rsid w:val="00A773A7"/>
    <w:rsid w:val="00A77495"/>
    <w:rsid w:val="00A77696"/>
    <w:rsid w:val="00A776F9"/>
    <w:rsid w:val="00A77EF8"/>
    <w:rsid w:val="00A80005"/>
    <w:rsid w:val="00A80454"/>
    <w:rsid w:val="00A80512"/>
    <w:rsid w:val="00A80557"/>
    <w:rsid w:val="00A80604"/>
    <w:rsid w:val="00A80787"/>
    <w:rsid w:val="00A80E0D"/>
    <w:rsid w:val="00A81412"/>
    <w:rsid w:val="00A81872"/>
    <w:rsid w:val="00A81B8A"/>
    <w:rsid w:val="00A81C6E"/>
    <w:rsid w:val="00A81D33"/>
    <w:rsid w:val="00A821B4"/>
    <w:rsid w:val="00A82911"/>
    <w:rsid w:val="00A82A18"/>
    <w:rsid w:val="00A82A83"/>
    <w:rsid w:val="00A82B1E"/>
    <w:rsid w:val="00A82B2A"/>
    <w:rsid w:val="00A82C0B"/>
    <w:rsid w:val="00A82F16"/>
    <w:rsid w:val="00A82F1A"/>
    <w:rsid w:val="00A82F75"/>
    <w:rsid w:val="00A831F2"/>
    <w:rsid w:val="00A8358B"/>
    <w:rsid w:val="00A835F4"/>
    <w:rsid w:val="00A83789"/>
    <w:rsid w:val="00A83DA6"/>
    <w:rsid w:val="00A83DFA"/>
    <w:rsid w:val="00A83F36"/>
    <w:rsid w:val="00A84120"/>
    <w:rsid w:val="00A84197"/>
    <w:rsid w:val="00A8429A"/>
    <w:rsid w:val="00A843A6"/>
    <w:rsid w:val="00A84D6B"/>
    <w:rsid w:val="00A84DE5"/>
    <w:rsid w:val="00A84E2B"/>
    <w:rsid w:val="00A8511E"/>
    <w:rsid w:val="00A851A9"/>
    <w:rsid w:val="00A851DB"/>
    <w:rsid w:val="00A85515"/>
    <w:rsid w:val="00A8551B"/>
    <w:rsid w:val="00A855A5"/>
    <w:rsid w:val="00A858BB"/>
    <w:rsid w:val="00A85D20"/>
    <w:rsid w:val="00A85D7D"/>
    <w:rsid w:val="00A85F4D"/>
    <w:rsid w:val="00A85F5D"/>
    <w:rsid w:val="00A86045"/>
    <w:rsid w:val="00A860BF"/>
    <w:rsid w:val="00A8619B"/>
    <w:rsid w:val="00A861CB"/>
    <w:rsid w:val="00A8622A"/>
    <w:rsid w:val="00A86396"/>
    <w:rsid w:val="00A86919"/>
    <w:rsid w:val="00A86B70"/>
    <w:rsid w:val="00A86F36"/>
    <w:rsid w:val="00A8710C"/>
    <w:rsid w:val="00A873FD"/>
    <w:rsid w:val="00A8765E"/>
    <w:rsid w:val="00A878D6"/>
    <w:rsid w:val="00A879C6"/>
    <w:rsid w:val="00A87A69"/>
    <w:rsid w:val="00A900A1"/>
    <w:rsid w:val="00A9031A"/>
    <w:rsid w:val="00A90722"/>
    <w:rsid w:val="00A90846"/>
    <w:rsid w:val="00A90A6A"/>
    <w:rsid w:val="00A9102D"/>
    <w:rsid w:val="00A91161"/>
    <w:rsid w:val="00A91670"/>
    <w:rsid w:val="00A916E3"/>
    <w:rsid w:val="00A917DB"/>
    <w:rsid w:val="00A91A60"/>
    <w:rsid w:val="00A91B52"/>
    <w:rsid w:val="00A920F5"/>
    <w:rsid w:val="00A92103"/>
    <w:rsid w:val="00A9219A"/>
    <w:rsid w:val="00A921B5"/>
    <w:rsid w:val="00A92248"/>
    <w:rsid w:val="00A92502"/>
    <w:rsid w:val="00A925A4"/>
    <w:rsid w:val="00A926E3"/>
    <w:rsid w:val="00A928C9"/>
    <w:rsid w:val="00A92C82"/>
    <w:rsid w:val="00A92EB3"/>
    <w:rsid w:val="00A930AE"/>
    <w:rsid w:val="00A931FF"/>
    <w:rsid w:val="00A9335C"/>
    <w:rsid w:val="00A9356F"/>
    <w:rsid w:val="00A935A5"/>
    <w:rsid w:val="00A93772"/>
    <w:rsid w:val="00A93817"/>
    <w:rsid w:val="00A93843"/>
    <w:rsid w:val="00A93AE3"/>
    <w:rsid w:val="00A93B98"/>
    <w:rsid w:val="00A940AB"/>
    <w:rsid w:val="00A9458F"/>
    <w:rsid w:val="00A94753"/>
    <w:rsid w:val="00A9497C"/>
    <w:rsid w:val="00A94E30"/>
    <w:rsid w:val="00A94F8F"/>
    <w:rsid w:val="00A94FE4"/>
    <w:rsid w:val="00A950BB"/>
    <w:rsid w:val="00A95298"/>
    <w:rsid w:val="00A954A7"/>
    <w:rsid w:val="00A95898"/>
    <w:rsid w:val="00A958CA"/>
    <w:rsid w:val="00A95C7B"/>
    <w:rsid w:val="00A96004"/>
    <w:rsid w:val="00A96009"/>
    <w:rsid w:val="00A9601B"/>
    <w:rsid w:val="00A9614F"/>
    <w:rsid w:val="00A961FF"/>
    <w:rsid w:val="00A96C9A"/>
    <w:rsid w:val="00A96DD0"/>
    <w:rsid w:val="00A97370"/>
    <w:rsid w:val="00A97417"/>
    <w:rsid w:val="00A97845"/>
    <w:rsid w:val="00A978DF"/>
    <w:rsid w:val="00A97923"/>
    <w:rsid w:val="00A97E63"/>
    <w:rsid w:val="00A97F6F"/>
    <w:rsid w:val="00AA0394"/>
    <w:rsid w:val="00AA0398"/>
    <w:rsid w:val="00AA0770"/>
    <w:rsid w:val="00AA0798"/>
    <w:rsid w:val="00AA087B"/>
    <w:rsid w:val="00AA0920"/>
    <w:rsid w:val="00AA09FA"/>
    <w:rsid w:val="00AA0A29"/>
    <w:rsid w:val="00AA0E20"/>
    <w:rsid w:val="00AA0F54"/>
    <w:rsid w:val="00AA0FE7"/>
    <w:rsid w:val="00AA1172"/>
    <w:rsid w:val="00AA1338"/>
    <w:rsid w:val="00AA1387"/>
    <w:rsid w:val="00AA13FD"/>
    <w:rsid w:val="00AA1404"/>
    <w:rsid w:val="00AA1559"/>
    <w:rsid w:val="00AA1574"/>
    <w:rsid w:val="00AA1A95"/>
    <w:rsid w:val="00AA1CFD"/>
    <w:rsid w:val="00AA2021"/>
    <w:rsid w:val="00AA20C5"/>
    <w:rsid w:val="00AA2121"/>
    <w:rsid w:val="00AA260F"/>
    <w:rsid w:val="00AA2748"/>
    <w:rsid w:val="00AA280F"/>
    <w:rsid w:val="00AA2A77"/>
    <w:rsid w:val="00AA2B57"/>
    <w:rsid w:val="00AA2BAD"/>
    <w:rsid w:val="00AA2D05"/>
    <w:rsid w:val="00AA2FCC"/>
    <w:rsid w:val="00AA2FFF"/>
    <w:rsid w:val="00AA3066"/>
    <w:rsid w:val="00AA30C3"/>
    <w:rsid w:val="00AA3216"/>
    <w:rsid w:val="00AA35C0"/>
    <w:rsid w:val="00AA35E2"/>
    <w:rsid w:val="00AA35F9"/>
    <w:rsid w:val="00AA37A6"/>
    <w:rsid w:val="00AA392A"/>
    <w:rsid w:val="00AA3E11"/>
    <w:rsid w:val="00AA436F"/>
    <w:rsid w:val="00AA459F"/>
    <w:rsid w:val="00AA4B3E"/>
    <w:rsid w:val="00AA4F3E"/>
    <w:rsid w:val="00AA50AB"/>
    <w:rsid w:val="00AA5131"/>
    <w:rsid w:val="00AA5147"/>
    <w:rsid w:val="00AA52E7"/>
    <w:rsid w:val="00AA556B"/>
    <w:rsid w:val="00AA56E4"/>
    <w:rsid w:val="00AA5972"/>
    <w:rsid w:val="00AA59A4"/>
    <w:rsid w:val="00AA5D68"/>
    <w:rsid w:val="00AA632F"/>
    <w:rsid w:val="00AA6511"/>
    <w:rsid w:val="00AA651E"/>
    <w:rsid w:val="00AA69E2"/>
    <w:rsid w:val="00AA6C2E"/>
    <w:rsid w:val="00AA70CA"/>
    <w:rsid w:val="00AA713D"/>
    <w:rsid w:val="00AA718E"/>
    <w:rsid w:val="00AA7395"/>
    <w:rsid w:val="00AA74A6"/>
    <w:rsid w:val="00AA7562"/>
    <w:rsid w:val="00AA75DF"/>
    <w:rsid w:val="00AA7AC4"/>
    <w:rsid w:val="00AA7ACF"/>
    <w:rsid w:val="00AA7B1D"/>
    <w:rsid w:val="00AA7C20"/>
    <w:rsid w:val="00AA7D35"/>
    <w:rsid w:val="00AA7D89"/>
    <w:rsid w:val="00AB05CB"/>
    <w:rsid w:val="00AB07EA"/>
    <w:rsid w:val="00AB07F9"/>
    <w:rsid w:val="00AB0A80"/>
    <w:rsid w:val="00AB0BD8"/>
    <w:rsid w:val="00AB0D02"/>
    <w:rsid w:val="00AB0F03"/>
    <w:rsid w:val="00AB1053"/>
    <w:rsid w:val="00AB10F1"/>
    <w:rsid w:val="00AB1166"/>
    <w:rsid w:val="00AB1304"/>
    <w:rsid w:val="00AB133E"/>
    <w:rsid w:val="00AB13CE"/>
    <w:rsid w:val="00AB163D"/>
    <w:rsid w:val="00AB1B6B"/>
    <w:rsid w:val="00AB1EE7"/>
    <w:rsid w:val="00AB1EFF"/>
    <w:rsid w:val="00AB2003"/>
    <w:rsid w:val="00AB20E2"/>
    <w:rsid w:val="00AB21CA"/>
    <w:rsid w:val="00AB2215"/>
    <w:rsid w:val="00AB237F"/>
    <w:rsid w:val="00AB23CF"/>
    <w:rsid w:val="00AB244E"/>
    <w:rsid w:val="00AB27F6"/>
    <w:rsid w:val="00AB280D"/>
    <w:rsid w:val="00AB2B0C"/>
    <w:rsid w:val="00AB2B61"/>
    <w:rsid w:val="00AB2DDB"/>
    <w:rsid w:val="00AB3056"/>
    <w:rsid w:val="00AB35F5"/>
    <w:rsid w:val="00AB369E"/>
    <w:rsid w:val="00AB36EF"/>
    <w:rsid w:val="00AB376E"/>
    <w:rsid w:val="00AB37EC"/>
    <w:rsid w:val="00AB3A8C"/>
    <w:rsid w:val="00AB3B09"/>
    <w:rsid w:val="00AB3C3A"/>
    <w:rsid w:val="00AB3D03"/>
    <w:rsid w:val="00AB3DC5"/>
    <w:rsid w:val="00AB4119"/>
    <w:rsid w:val="00AB41AE"/>
    <w:rsid w:val="00AB4201"/>
    <w:rsid w:val="00AB4365"/>
    <w:rsid w:val="00AB452D"/>
    <w:rsid w:val="00AB4734"/>
    <w:rsid w:val="00AB479A"/>
    <w:rsid w:val="00AB4B37"/>
    <w:rsid w:val="00AB4C5F"/>
    <w:rsid w:val="00AB5019"/>
    <w:rsid w:val="00AB50E4"/>
    <w:rsid w:val="00AB51FF"/>
    <w:rsid w:val="00AB5309"/>
    <w:rsid w:val="00AB5762"/>
    <w:rsid w:val="00AB5915"/>
    <w:rsid w:val="00AB5E1E"/>
    <w:rsid w:val="00AB5FEE"/>
    <w:rsid w:val="00AB613E"/>
    <w:rsid w:val="00AB6300"/>
    <w:rsid w:val="00AB635A"/>
    <w:rsid w:val="00AB66D6"/>
    <w:rsid w:val="00AB6A05"/>
    <w:rsid w:val="00AB6DB3"/>
    <w:rsid w:val="00AB6DDD"/>
    <w:rsid w:val="00AB705E"/>
    <w:rsid w:val="00AB78ED"/>
    <w:rsid w:val="00AB7A96"/>
    <w:rsid w:val="00AB7AC8"/>
    <w:rsid w:val="00AB7C02"/>
    <w:rsid w:val="00AC00F2"/>
    <w:rsid w:val="00AC052D"/>
    <w:rsid w:val="00AC0715"/>
    <w:rsid w:val="00AC0909"/>
    <w:rsid w:val="00AC09EE"/>
    <w:rsid w:val="00AC0D09"/>
    <w:rsid w:val="00AC0ED9"/>
    <w:rsid w:val="00AC1213"/>
    <w:rsid w:val="00AC12F6"/>
    <w:rsid w:val="00AC13BF"/>
    <w:rsid w:val="00AC13F2"/>
    <w:rsid w:val="00AC1804"/>
    <w:rsid w:val="00AC1B7C"/>
    <w:rsid w:val="00AC1BC4"/>
    <w:rsid w:val="00AC1F37"/>
    <w:rsid w:val="00AC1FDB"/>
    <w:rsid w:val="00AC20CC"/>
    <w:rsid w:val="00AC2355"/>
    <w:rsid w:val="00AC2679"/>
    <w:rsid w:val="00AC28DA"/>
    <w:rsid w:val="00AC29D0"/>
    <w:rsid w:val="00AC2A89"/>
    <w:rsid w:val="00AC2BDE"/>
    <w:rsid w:val="00AC2C43"/>
    <w:rsid w:val="00AC2E51"/>
    <w:rsid w:val="00AC2E5C"/>
    <w:rsid w:val="00AC31C1"/>
    <w:rsid w:val="00AC370D"/>
    <w:rsid w:val="00AC3866"/>
    <w:rsid w:val="00AC3F19"/>
    <w:rsid w:val="00AC41CE"/>
    <w:rsid w:val="00AC4233"/>
    <w:rsid w:val="00AC43C3"/>
    <w:rsid w:val="00AC4491"/>
    <w:rsid w:val="00AC458E"/>
    <w:rsid w:val="00AC486B"/>
    <w:rsid w:val="00AC4899"/>
    <w:rsid w:val="00AC48CD"/>
    <w:rsid w:val="00AC497E"/>
    <w:rsid w:val="00AC49EB"/>
    <w:rsid w:val="00AC49FA"/>
    <w:rsid w:val="00AC4A8E"/>
    <w:rsid w:val="00AC4B54"/>
    <w:rsid w:val="00AC4B62"/>
    <w:rsid w:val="00AC4BE4"/>
    <w:rsid w:val="00AC4C93"/>
    <w:rsid w:val="00AC4F9A"/>
    <w:rsid w:val="00AC5234"/>
    <w:rsid w:val="00AC54DB"/>
    <w:rsid w:val="00AC55EA"/>
    <w:rsid w:val="00AC565F"/>
    <w:rsid w:val="00AC5775"/>
    <w:rsid w:val="00AC579F"/>
    <w:rsid w:val="00AC598F"/>
    <w:rsid w:val="00AC5EE4"/>
    <w:rsid w:val="00AC5EFF"/>
    <w:rsid w:val="00AC5F50"/>
    <w:rsid w:val="00AC6237"/>
    <w:rsid w:val="00AC6373"/>
    <w:rsid w:val="00AC64AE"/>
    <w:rsid w:val="00AC6666"/>
    <w:rsid w:val="00AC6725"/>
    <w:rsid w:val="00AC672C"/>
    <w:rsid w:val="00AC6BF9"/>
    <w:rsid w:val="00AC7499"/>
    <w:rsid w:val="00AC7748"/>
    <w:rsid w:val="00AC7A20"/>
    <w:rsid w:val="00AC7F1B"/>
    <w:rsid w:val="00AD0191"/>
    <w:rsid w:val="00AD0376"/>
    <w:rsid w:val="00AD03A1"/>
    <w:rsid w:val="00AD0405"/>
    <w:rsid w:val="00AD05E6"/>
    <w:rsid w:val="00AD0AA3"/>
    <w:rsid w:val="00AD0B7D"/>
    <w:rsid w:val="00AD0B82"/>
    <w:rsid w:val="00AD0CC0"/>
    <w:rsid w:val="00AD0D09"/>
    <w:rsid w:val="00AD0D3F"/>
    <w:rsid w:val="00AD0D57"/>
    <w:rsid w:val="00AD0FA9"/>
    <w:rsid w:val="00AD14E4"/>
    <w:rsid w:val="00AD17EF"/>
    <w:rsid w:val="00AD18AB"/>
    <w:rsid w:val="00AD196A"/>
    <w:rsid w:val="00AD1A13"/>
    <w:rsid w:val="00AD2007"/>
    <w:rsid w:val="00AD20D5"/>
    <w:rsid w:val="00AD2331"/>
    <w:rsid w:val="00AD238D"/>
    <w:rsid w:val="00AD2526"/>
    <w:rsid w:val="00AD2A03"/>
    <w:rsid w:val="00AD30CD"/>
    <w:rsid w:val="00AD3411"/>
    <w:rsid w:val="00AD38C2"/>
    <w:rsid w:val="00AD38E9"/>
    <w:rsid w:val="00AD397E"/>
    <w:rsid w:val="00AD3A3C"/>
    <w:rsid w:val="00AD3AFA"/>
    <w:rsid w:val="00AD3B96"/>
    <w:rsid w:val="00AD4041"/>
    <w:rsid w:val="00AD4184"/>
    <w:rsid w:val="00AD437E"/>
    <w:rsid w:val="00AD43B5"/>
    <w:rsid w:val="00AD4451"/>
    <w:rsid w:val="00AD4ADB"/>
    <w:rsid w:val="00AD4B8C"/>
    <w:rsid w:val="00AD4BE1"/>
    <w:rsid w:val="00AD4E75"/>
    <w:rsid w:val="00AD4FBC"/>
    <w:rsid w:val="00AD5030"/>
    <w:rsid w:val="00AD5294"/>
    <w:rsid w:val="00AD532B"/>
    <w:rsid w:val="00AD5386"/>
    <w:rsid w:val="00AD594F"/>
    <w:rsid w:val="00AD59C4"/>
    <w:rsid w:val="00AD5F2F"/>
    <w:rsid w:val="00AD6040"/>
    <w:rsid w:val="00AD606D"/>
    <w:rsid w:val="00AD635C"/>
    <w:rsid w:val="00AD6642"/>
    <w:rsid w:val="00AD6A33"/>
    <w:rsid w:val="00AD7B36"/>
    <w:rsid w:val="00AD7BFA"/>
    <w:rsid w:val="00AD7CC6"/>
    <w:rsid w:val="00AD7D20"/>
    <w:rsid w:val="00AD7D3E"/>
    <w:rsid w:val="00AD7DFA"/>
    <w:rsid w:val="00AD7E35"/>
    <w:rsid w:val="00AE028B"/>
    <w:rsid w:val="00AE0552"/>
    <w:rsid w:val="00AE05BC"/>
    <w:rsid w:val="00AE0BD7"/>
    <w:rsid w:val="00AE0C38"/>
    <w:rsid w:val="00AE0EE3"/>
    <w:rsid w:val="00AE11C3"/>
    <w:rsid w:val="00AE16CC"/>
    <w:rsid w:val="00AE173F"/>
    <w:rsid w:val="00AE1A61"/>
    <w:rsid w:val="00AE1A82"/>
    <w:rsid w:val="00AE1CF2"/>
    <w:rsid w:val="00AE1D7D"/>
    <w:rsid w:val="00AE2221"/>
    <w:rsid w:val="00AE2749"/>
    <w:rsid w:val="00AE27C0"/>
    <w:rsid w:val="00AE2993"/>
    <w:rsid w:val="00AE2A8B"/>
    <w:rsid w:val="00AE2F32"/>
    <w:rsid w:val="00AE3182"/>
    <w:rsid w:val="00AE3337"/>
    <w:rsid w:val="00AE33A7"/>
    <w:rsid w:val="00AE34F4"/>
    <w:rsid w:val="00AE3622"/>
    <w:rsid w:val="00AE3872"/>
    <w:rsid w:val="00AE38A6"/>
    <w:rsid w:val="00AE3A5E"/>
    <w:rsid w:val="00AE3C66"/>
    <w:rsid w:val="00AE3F64"/>
    <w:rsid w:val="00AE40E0"/>
    <w:rsid w:val="00AE4453"/>
    <w:rsid w:val="00AE474A"/>
    <w:rsid w:val="00AE49E8"/>
    <w:rsid w:val="00AE4CBF"/>
    <w:rsid w:val="00AE57CB"/>
    <w:rsid w:val="00AE57FB"/>
    <w:rsid w:val="00AE5D5F"/>
    <w:rsid w:val="00AE5DF2"/>
    <w:rsid w:val="00AE5F87"/>
    <w:rsid w:val="00AE61ED"/>
    <w:rsid w:val="00AE6582"/>
    <w:rsid w:val="00AE6D78"/>
    <w:rsid w:val="00AE705C"/>
    <w:rsid w:val="00AE70B3"/>
    <w:rsid w:val="00AE742C"/>
    <w:rsid w:val="00AE747F"/>
    <w:rsid w:val="00AE74E3"/>
    <w:rsid w:val="00AE78DE"/>
    <w:rsid w:val="00AE7A50"/>
    <w:rsid w:val="00AE7C16"/>
    <w:rsid w:val="00AE7DD1"/>
    <w:rsid w:val="00AE7F7E"/>
    <w:rsid w:val="00AF022B"/>
    <w:rsid w:val="00AF022F"/>
    <w:rsid w:val="00AF0335"/>
    <w:rsid w:val="00AF0337"/>
    <w:rsid w:val="00AF03BA"/>
    <w:rsid w:val="00AF063C"/>
    <w:rsid w:val="00AF0AB3"/>
    <w:rsid w:val="00AF116E"/>
    <w:rsid w:val="00AF1E95"/>
    <w:rsid w:val="00AF20AA"/>
    <w:rsid w:val="00AF2767"/>
    <w:rsid w:val="00AF2916"/>
    <w:rsid w:val="00AF2DC7"/>
    <w:rsid w:val="00AF301A"/>
    <w:rsid w:val="00AF31AE"/>
    <w:rsid w:val="00AF3AA9"/>
    <w:rsid w:val="00AF3B5C"/>
    <w:rsid w:val="00AF3C65"/>
    <w:rsid w:val="00AF3E20"/>
    <w:rsid w:val="00AF3E2C"/>
    <w:rsid w:val="00AF3ED9"/>
    <w:rsid w:val="00AF3FB5"/>
    <w:rsid w:val="00AF402C"/>
    <w:rsid w:val="00AF40AB"/>
    <w:rsid w:val="00AF439C"/>
    <w:rsid w:val="00AF43CA"/>
    <w:rsid w:val="00AF46BA"/>
    <w:rsid w:val="00AF4878"/>
    <w:rsid w:val="00AF49ED"/>
    <w:rsid w:val="00AF4D5E"/>
    <w:rsid w:val="00AF4D8F"/>
    <w:rsid w:val="00AF4F4F"/>
    <w:rsid w:val="00AF4F67"/>
    <w:rsid w:val="00AF4FD1"/>
    <w:rsid w:val="00AF5366"/>
    <w:rsid w:val="00AF5739"/>
    <w:rsid w:val="00AF580E"/>
    <w:rsid w:val="00AF5826"/>
    <w:rsid w:val="00AF58BB"/>
    <w:rsid w:val="00AF5F5C"/>
    <w:rsid w:val="00AF609D"/>
    <w:rsid w:val="00AF620F"/>
    <w:rsid w:val="00AF6214"/>
    <w:rsid w:val="00AF6574"/>
    <w:rsid w:val="00AF6983"/>
    <w:rsid w:val="00AF6999"/>
    <w:rsid w:val="00AF6B08"/>
    <w:rsid w:val="00AF6EBB"/>
    <w:rsid w:val="00AF7117"/>
    <w:rsid w:val="00AF724B"/>
    <w:rsid w:val="00AF7378"/>
    <w:rsid w:val="00AF7386"/>
    <w:rsid w:val="00AF7934"/>
    <w:rsid w:val="00AFEC2C"/>
    <w:rsid w:val="00B000B2"/>
    <w:rsid w:val="00B004B6"/>
    <w:rsid w:val="00B0064C"/>
    <w:rsid w:val="00B008CF"/>
    <w:rsid w:val="00B00997"/>
    <w:rsid w:val="00B00B81"/>
    <w:rsid w:val="00B01234"/>
    <w:rsid w:val="00B01AD7"/>
    <w:rsid w:val="00B01EC4"/>
    <w:rsid w:val="00B022AC"/>
    <w:rsid w:val="00B022E0"/>
    <w:rsid w:val="00B02403"/>
    <w:rsid w:val="00B02512"/>
    <w:rsid w:val="00B0254E"/>
    <w:rsid w:val="00B025C1"/>
    <w:rsid w:val="00B02698"/>
    <w:rsid w:val="00B02DF0"/>
    <w:rsid w:val="00B02FC5"/>
    <w:rsid w:val="00B032DC"/>
    <w:rsid w:val="00B034AD"/>
    <w:rsid w:val="00B0355B"/>
    <w:rsid w:val="00B036F7"/>
    <w:rsid w:val="00B03778"/>
    <w:rsid w:val="00B03B07"/>
    <w:rsid w:val="00B03C4A"/>
    <w:rsid w:val="00B03C83"/>
    <w:rsid w:val="00B03E35"/>
    <w:rsid w:val="00B03ECC"/>
    <w:rsid w:val="00B03FD6"/>
    <w:rsid w:val="00B042D8"/>
    <w:rsid w:val="00B04580"/>
    <w:rsid w:val="00B04B09"/>
    <w:rsid w:val="00B04D8A"/>
    <w:rsid w:val="00B04ECF"/>
    <w:rsid w:val="00B05715"/>
    <w:rsid w:val="00B05E10"/>
    <w:rsid w:val="00B05E5D"/>
    <w:rsid w:val="00B05FB8"/>
    <w:rsid w:val="00B062A8"/>
    <w:rsid w:val="00B066BB"/>
    <w:rsid w:val="00B06888"/>
    <w:rsid w:val="00B0688E"/>
    <w:rsid w:val="00B06B23"/>
    <w:rsid w:val="00B06BAD"/>
    <w:rsid w:val="00B06CF0"/>
    <w:rsid w:val="00B06E40"/>
    <w:rsid w:val="00B0719B"/>
    <w:rsid w:val="00B07233"/>
    <w:rsid w:val="00B073C8"/>
    <w:rsid w:val="00B07584"/>
    <w:rsid w:val="00B07608"/>
    <w:rsid w:val="00B07722"/>
    <w:rsid w:val="00B0772B"/>
    <w:rsid w:val="00B0776A"/>
    <w:rsid w:val="00B07861"/>
    <w:rsid w:val="00B078A9"/>
    <w:rsid w:val="00B07E4A"/>
    <w:rsid w:val="00B07EE5"/>
    <w:rsid w:val="00B100B1"/>
    <w:rsid w:val="00B1018D"/>
    <w:rsid w:val="00B10315"/>
    <w:rsid w:val="00B1059F"/>
    <w:rsid w:val="00B105B3"/>
    <w:rsid w:val="00B10B18"/>
    <w:rsid w:val="00B1141A"/>
    <w:rsid w:val="00B114E8"/>
    <w:rsid w:val="00B116AB"/>
    <w:rsid w:val="00B1200F"/>
    <w:rsid w:val="00B122A2"/>
    <w:rsid w:val="00B12317"/>
    <w:rsid w:val="00B12694"/>
    <w:rsid w:val="00B127B1"/>
    <w:rsid w:val="00B12817"/>
    <w:rsid w:val="00B12BBB"/>
    <w:rsid w:val="00B12C14"/>
    <w:rsid w:val="00B12C3A"/>
    <w:rsid w:val="00B12ED9"/>
    <w:rsid w:val="00B12F84"/>
    <w:rsid w:val="00B1318E"/>
    <w:rsid w:val="00B13529"/>
    <w:rsid w:val="00B136DE"/>
    <w:rsid w:val="00B13949"/>
    <w:rsid w:val="00B13A7B"/>
    <w:rsid w:val="00B1417C"/>
    <w:rsid w:val="00B14321"/>
    <w:rsid w:val="00B14358"/>
    <w:rsid w:val="00B143A9"/>
    <w:rsid w:val="00B147E5"/>
    <w:rsid w:val="00B14B03"/>
    <w:rsid w:val="00B14B19"/>
    <w:rsid w:val="00B14CFA"/>
    <w:rsid w:val="00B14D9D"/>
    <w:rsid w:val="00B14EFD"/>
    <w:rsid w:val="00B15273"/>
    <w:rsid w:val="00B15313"/>
    <w:rsid w:val="00B156A4"/>
    <w:rsid w:val="00B15864"/>
    <w:rsid w:val="00B15A4E"/>
    <w:rsid w:val="00B15B78"/>
    <w:rsid w:val="00B15FC0"/>
    <w:rsid w:val="00B16256"/>
    <w:rsid w:val="00B163F2"/>
    <w:rsid w:val="00B1662E"/>
    <w:rsid w:val="00B166D5"/>
    <w:rsid w:val="00B167FB"/>
    <w:rsid w:val="00B168EF"/>
    <w:rsid w:val="00B169A6"/>
    <w:rsid w:val="00B16A51"/>
    <w:rsid w:val="00B1700D"/>
    <w:rsid w:val="00B17366"/>
    <w:rsid w:val="00B174ED"/>
    <w:rsid w:val="00B17644"/>
    <w:rsid w:val="00B176AB"/>
    <w:rsid w:val="00B17DAE"/>
    <w:rsid w:val="00B20069"/>
    <w:rsid w:val="00B202C9"/>
    <w:rsid w:val="00B2087A"/>
    <w:rsid w:val="00B20D2D"/>
    <w:rsid w:val="00B210F2"/>
    <w:rsid w:val="00B212AE"/>
    <w:rsid w:val="00B213BD"/>
    <w:rsid w:val="00B2168A"/>
    <w:rsid w:val="00B217F9"/>
    <w:rsid w:val="00B2199A"/>
    <w:rsid w:val="00B219AF"/>
    <w:rsid w:val="00B21AFA"/>
    <w:rsid w:val="00B21BE2"/>
    <w:rsid w:val="00B21BF7"/>
    <w:rsid w:val="00B21CF2"/>
    <w:rsid w:val="00B21D39"/>
    <w:rsid w:val="00B21E41"/>
    <w:rsid w:val="00B21EEA"/>
    <w:rsid w:val="00B2204E"/>
    <w:rsid w:val="00B2230F"/>
    <w:rsid w:val="00B223A9"/>
    <w:rsid w:val="00B223C3"/>
    <w:rsid w:val="00B22529"/>
    <w:rsid w:val="00B22547"/>
    <w:rsid w:val="00B22682"/>
    <w:rsid w:val="00B227B8"/>
    <w:rsid w:val="00B227B9"/>
    <w:rsid w:val="00B22891"/>
    <w:rsid w:val="00B22919"/>
    <w:rsid w:val="00B22967"/>
    <w:rsid w:val="00B22A69"/>
    <w:rsid w:val="00B22D9A"/>
    <w:rsid w:val="00B22FB7"/>
    <w:rsid w:val="00B23401"/>
    <w:rsid w:val="00B23742"/>
    <w:rsid w:val="00B23750"/>
    <w:rsid w:val="00B23930"/>
    <w:rsid w:val="00B2402E"/>
    <w:rsid w:val="00B24141"/>
    <w:rsid w:val="00B242AC"/>
    <w:rsid w:val="00B246CD"/>
    <w:rsid w:val="00B248D3"/>
    <w:rsid w:val="00B24901"/>
    <w:rsid w:val="00B24B25"/>
    <w:rsid w:val="00B24B88"/>
    <w:rsid w:val="00B24B93"/>
    <w:rsid w:val="00B24E58"/>
    <w:rsid w:val="00B24FD1"/>
    <w:rsid w:val="00B24FDF"/>
    <w:rsid w:val="00B250A3"/>
    <w:rsid w:val="00B25139"/>
    <w:rsid w:val="00B25440"/>
    <w:rsid w:val="00B2547E"/>
    <w:rsid w:val="00B255BC"/>
    <w:rsid w:val="00B25607"/>
    <w:rsid w:val="00B2590F"/>
    <w:rsid w:val="00B25BC5"/>
    <w:rsid w:val="00B25BFF"/>
    <w:rsid w:val="00B25D5E"/>
    <w:rsid w:val="00B25FD8"/>
    <w:rsid w:val="00B2601D"/>
    <w:rsid w:val="00B260BB"/>
    <w:rsid w:val="00B2638F"/>
    <w:rsid w:val="00B26B63"/>
    <w:rsid w:val="00B26CE4"/>
    <w:rsid w:val="00B26EA2"/>
    <w:rsid w:val="00B26EED"/>
    <w:rsid w:val="00B27269"/>
    <w:rsid w:val="00B27660"/>
    <w:rsid w:val="00B2771F"/>
    <w:rsid w:val="00B27ADC"/>
    <w:rsid w:val="00B27B36"/>
    <w:rsid w:val="00B27CC5"/>
    <w:rsid w:val="00B27EC7"/>
    <w:rsid w:val="00B3000B"/>
    <w:rsid w:val="00B301C5"/>
    <w:rsid w:val="00B301CB"/>
    <w:rsid w:val="00B302A0"/>
    <w:rsid w:val="00B30672"/>
    <w:rsid w:val="00B307E3"/>
    <w:rsid w:val="00B30B8A"/>
    <w:rsid w:val="00B30BF1"/>
    <w:rsid w:val="00B30C59"/>
    <w:rsid w:val="00B30D23"/>
    <w:rsid w:val="00B30D55"/>
    <w:rsid w:val="00B31168"/>
    <w:rsid w:val="00B31590"/>
    <w:rsid w:val="00B3159D"/>
    <w:rsid w:val="00B318C8"/>
    <w:rsid w:val="00B31950"/>
    <w:rsid w:val="00B31A54"/>
    <w:rsid w:val="00B31B38"/>
    <w:rsid w:val="00B31D1C"/>
    <w:rsid w:val="00B31D71"/>
    <w:rsid w:val="00B31EC1"/>
    <w:rsid w:val="00B32222"/>
    <w:rsid w:val="00B32242"/>
    <w:rsid w:val="00B3243E"/>
    <w:rsid w:val="00B3279A"/>
    <w:rsid w:val="00B32BF1"/>
    <w:rsid w:val="00B32CA5"/>
    <w:rsid w:val="00B32D1C"/>
    <w:rsid w:val="00B32D83"/>
    <w:rsid w:val="00B32E8B"/>
    <w:rsid w:val="00B32EA4"/>
    <w:rsid w:val="00B3331C"/>
    <w:rsid w:val="00B335D1"/>
    <w:rsid w:val="00B33604"/>
    <w:rsid w:val="00B3376C"/>
    <w:rsid w:val="00B33836"/>
    <w:rsid w:val="00B3396E"/>
    <w:rsid w:val="00B33E3D"/>
    <w:rsid w:val="00B33EE3"/>
    <w:rsid w:val="00B34192"/>
    <w:rsid w:val="00B34740"/>
    <w:rsid w:val="00B348CA"/>
    <w:rsid w:val="00B34CB0"/>
    <w:rsid w:val="00B34CB6"/>
    <w:rsid w:val="00B350CD"/>
    <w:rsid w:val="00B352C4"/>
    <w:rsid w:val="00B354ED"/>
    <w:rsid w:val="00B355BA"/>
    <w:rsid w:val="00B35D0D"/>
    <w:rsid w:val="00B3618D"/>
    <w:rsid w:val="00B3620E"/>
    <w:rsid w:val="00B36233"/>
    <w:rsid w:val="00B3624B"/>
    <w:rsid w:val="00B36A45"/>
    <w:rsid w:val="00B36F61"/>
    <w:rsid w:val="00B372E6"/>
    <w:rsid w:val="00B374E4"/>
    <w:rsid w:val="00B37762"/>
    <w:rsid w:val="00B379D6"/>
    <w:rsid w:val="00B37E40"/>
    <w:rsid w:val="00B402F9"/>
    <w:rsid w:val="00B40B50"/>
    <w:rsid w:val="00B40D59"/>
    <w:rsid w:val="00B40DB5"/>
    <w:rsid w:val="00B41168"/>
    <w:rsid w:val="00B411AD"/>
    <w:rsid w:val="00B4127D"/>
    <w:rsid w:val="00B4137B"/>
    <w:rsid w:val="00B41841"/>
    <w:rsid w:val="00B418BE"/>
    <w:rsid w:val="00B419EF"/>
    <w:rsid w:val="00B41A1D"/>
    <w:rsid w:val="00B41DAA"/>
    <w:rsid w:val="00B4244C"/>
    <w:rsid w:val="00B42821"/>
    <w:rsid w:val="00B42851"/>
    <w:rsid w:val="00B4286E"/>
    <w:rsid w:val="00B42984"/>
    <w:rsid w:val="00B429C9"/>
    <w:rsid w:val="00B429D3"/>
    <w:rsid w:val="00B42A8A"/>
    <w:rsid w:val="00B42AF5"/>
    <w:rsid w:val="00B42C57"/>
    <w:rsid w:val="00B42CFF"/>
    <w:rsid w:val="00B431FB"/>
    <w:rsid w:val="00B434DD"/>
    <w:rsid w:val="00B435E8"/>
    <w:rsid w:val="00B4375F"/>
    <w:rsid w:val="00B4387F"/>
    <w:rsid w:val="00B43BCE"/>
    <w:rsid w:val="00B43C7E"/>
    <w:rsid w:val="00B44308"/>
    <w:rsid w:val="00B44478"/>
    <w:rsid w:val="00B445E3"/>
    <w:rsid w:val="00B44EAB"/>
    <w:rsid w:val="00B44F00"/>
    <w:rsid w:val="00B450B0"/>
    <w:rsid w:val="00B450F1"/>
    <w:rsid w:val="00B45688"/>
    <w:rsid w:val="00B4592C"/>
    <w:rsid w:val="00B459CF"/>
    <w:rsid w:val="00B45A47"/>
    <w:rsid w:val="00B45A93"/>
    <w:rsid w:val="00B45AC7"/>
    <w:rsid w:val="00B45BFC"/>
    <w:rsid w:val="00B45F23"/>
    <w:rsid w:val="00B4685B"/>
    <w:rsid w:val="00B472EA"/>
    <w:rsid w:val="00B476FD"/>
    <w:rsid w:val="00B4791B"/>
    <w:rsid w:val="00B47EE0"/>
    <w:rsid w:val="00B47F07"/>
    <w:rsid w:val="00B47F26"/>
    <w:rsid w:val="00B47FB3"/>
    <w:rsid w:val="00B504A5"/>
    <w:rsid w:val="00B505D0"/>
    <w:rsid w:val="00B506E3"/>
    <w:rsid w:val="00B5084B"/>
    <w:rsid w:val="00B5092D"/>
    <w:rsid w:val="00B50C63"/>
    <w:rsid w:val="00B50D5C"/>
    <w:rsid w:val="00B50F4D"/>
    <w:rsid w:val="00B50FCB"/>
    <w:rsid w:val="00B51163"/>
    <w:rsid w:val="00B5125A"/>
    <w:rsid w:val="00B513FC"/>
    <w:rsid w:val="00B51511"/>
    <w:rsid w:val="00B51556"/>
    <w:rsid w:val="00B517BF"/>
    <w:rsid w:val="00B518BC"/>
    <w:rsid w:val="00B518F5"/>
    <w:rsid w:val="00B51A8B"/>
    <w:rsid w:val="00B51B7A"/>
    <w:rsid w:val="00B51BD3"/>
    <w:rsid w:val="00B51F42"/>
    <w:rsid w:val="00B5205A"/>
    <w:rsid w:val="00B52075"/>
    <w:rsid w:val="00B52221"/>
    <w:rsid w:val="00B523D6"/>
    <w:rsid w:val="00B523DB"/>
    <w:rsid w:val="00B52714"/>
    <w:rsid w:val="00B528DB"/>
    <w:rsid w:val="00B52A2C"/>
    <w:rsid w:val="00B52AF1"/>
    <w:rsid w:val="00B52B01"/>
    <w:rsid w:val="00B52D76"/>
    <w:rsid w:val="00B52EEB"/>
    <w:rsid w:val="00B53089"/>
    <w:rsid w:val="00B530E6"/>
    <w:rsid w:val="00B53186"/>
    <w:rsid w:val="00B535FE"/>
    <w:rsid w:val="00B5372F"/>
    <w:rsid w:val="00B537F9"/>
    <w:rsid w:val="00B53A30"/>
    <w:rsid w:val="00B53A82"/>
    <w:rsid w:val="00B53BE7"/>
    <w:rsid w:val="00B53C72"/>
    <w:rsid w:val="00B53C90"/>
    <w:rsid w:val="00B542E6"/>
    <w:rsid w:val="00B54422"/>
    <w:rsid w:val="00B54446"/>
    <w:rsid w:val="00B54716"/>
    <w:rsid w:val="00B54784"/>
    <w:rsid w:val="00B54997"/>
    <w:rsid w:val="00B54BFD"/>
    <w:rsid w:val="00B54C57"/>
    <w:rsid w:val="00B54DAB"/>
    <w:rsid w:val="00B54E35"/>
    <w:rsid w:val="00B54F5C"/>
    <w:rsid w:val="00B54F5F"/>
    <w:rsid w:val="00B55195"/>
    <w:rsid w:val="00B5530F"/>
    <w:rsid w:val="00B55420"/>
    <w:rsid w:val="00B5543F"/>
    <w:rsid w:val="00B5547D"/>
    <w:rsid w:val="00B55823"/>
    <w:rsid w:val="00B55C0B"/>
    <w:rsid w:val="00B55C6F"/>
    <w:rsid w:val="00B55E20"/>
    <w:rsid w:val="00B55E7D"/>
    <w:rsid w:val="00B55E87"/>
    <w:rsid w:val="00B55FF9"/>
    <w:rsid w:val="00B564ED"/>
    <w:rsid w:val="00B56901"/>
    <w:rsid w:val="00B569EA"/>
    <w:rsid w:val="00B56B21"/>
    <w:rsid w:val="00B56DBA"/>
    <w:rsid w:val="00B57094"/>
    <w:rsid w:val="00B57136"/>
    <w:rsid w:val="00B573FF"/>
    <w:rsid w:val="00B57974"/>
    <w:rsid w:val="00B57AE1"/>
    <w:rsid w:val="00B57CBD"/>
    <w:rsid w:val="00B6003B"/>
    <w:rsid w:val="00B600D2"/>
    <w:rsid w:val="00B60494"/>
    <w:rsid w:val="00B608B4"/>
    <w:rsid w:val="00B60CB3"/>
    <w:rsid w:val="00B60F58"/>
    <w:rsid w:val="00B61129"/>
    <w:rsid w:val="00B61302"/>
    <w:rsid w:val="00B616B8"/>
    <w:rsid w:val="00B617D5"/>
    <w:rsid w:val="00B61910"/>
    <w:rsid w:val="00B61A28"/>
    <w:rsid w:val="00B6227B"/>
    <w:rsid w:val="00B623E2"/>
    <w:rsid w:val="00B62436"/>
    <w:rsid w:val="00B624A2"/>
    <w:rsid w:val="00B624C7"/>
    <w:rsid w:val="00B62A14"/>
    <w:rsid w:val="00B62BA6"/>
    <w:rsid w:val="00B62BFB"/>
    <w:rsid w:val="00B62DAB"/>
    <w:rsid w:val="00B630A3"/>
    <w:rsid w:val="00B63159"/>
    <w:rsid w:val="00B631FC"/>
    <w:rsid w:val="00B63257"/>
    <w:rsid w:val="00B6341E"/>
    <w:rsid w:val="00B634EF"/>
    <w:rsid w:val="00B63970"/>
    <w:rsid w:val="00B63F55"/>
    <w:rsid w:val="00B646BA"/>
    <w:rsid w:val="00B6492F"/>
    <w:rsid w:val="00B64941"/>
    <w:rsid w:val="00B64A74"/>
    <w:rsid w:val="00B64E93"/>
    <w:rsid w:val="00B64F53"/>
    <w:rsid w:val="00B6511E"/>
    <w:rsid w:val="00B65277"/>
    <w:rsid w:val="00B653DF"/>
    <w:rsid w:val="00B6598E"/>
    <w:rsid w:val="00B65A29"/>
    <w:rsid w:val="00B65BB3"/>
    <w:rsid w:val="00B65D31"/>
    <w:rsid w:val="00B65E0D"/>
    <w:rsid w:val="00B6618E"/>
    <w:rsid w:val="00B66929"/>
    <w:rsid w:val="00B66CD6"/>
    <w:rsid w:val="00B678B6"/>
    <w:rsid w:val="00B67AE5"/>
    <w:rsid w:val="00B67B8A"/>
    <w:rsid w:val="00B67C80"/>
    <w:rsid w:val="00B67DF3"/>
    <w:rsid w:val="00B67E7F"/>
    <w:rsid w:val="00B67EE9"/>
    <w:rsid w:val="00B7010C"/>
    <w:rsid w:val="00B70375"/>
    <w:rsid w:val="00B70424"/>
    <w:rsid w:val="00B70545"/>
    <w:rsid w:val="00B70670"/>
    <w:rsid w:val="00B706E5"/>
    <w:rsid w:val="00B70845"/>
    <w:rsid w:val="00B70B2A"/>
    <w:rsid w:val="00B70D05"/>
    <w:rsid w:val="00B70DFB"/>
    <w:rsid w:val="00B710B0"/>
    <w:rsid w:val="00B71618"/>
    <w:rsid w:val="00B71B75"/>
    <w:rsid w:val="00B71B8C"/>
    <w:rsid w:val="00B71D5B"/>
    <w:rsid w:val="00B7254C"/>
    <w:rsid w:val="00B72589"/>
    <w:rsid w:val="00B72722"/>
    <w:rsid w:val="00B72B84"/>
    <w:rsid w:val="00B72D31"/>
    <w:rsid w:val="00B72E7B"/>
    <w:rsid w:val="00B7329E"/>
    <w:rsid w:val="00B732F0"/>
    <w:rsid w:val="00B736CA"/>
    <w:rsid w:val="00B73E9B"/>
    <w:rsid w:val="00B74079"/>
    <w:rsid w:val="00B743C4"/>
    <w:rsid w:val="00B74774"/>
    <w:rsid w:val="00B74B6B"/>
    <w:rsid w:val="00B74C90"/>
    <w:rsid w:val="00B74D42"/>
    <w:rsid w:val="00B74DEA"/>
    <w:rsid w:val="00B74E29"/>
    <w:rsid w:val="00B751EB"/>
    <w:rsid w:val="00B7540F"/>
    <w:rsid w:val="00B75419"/>
    <w:rsid w:val="00B755CB"/>
    <w:rsid w:val="00B75821"/>
    <w:rsid w:val="00B75A04"/>
    <w:rsid w:val="00B75E90"/>
    <w:rsid w:val="00B76328"/>
    <w:rsid w:val="00B7654B"/>
    <w:rsid w:val="00B7697F"/>
    <w:rsid w:val="00B76AD6"/>
    <w:rsid w:val="00B76C29"/>
    <w:rsid w:val="00B76D44"/>
    <w:rsid w:val="00B76DE5"/>
    <w:rsid w:val="00B76F05"/>
    <w:rsid w:val="00B76FD2"/>
    <w:rsid w:val="00B778C3"/>
    <w:rsid w:val="00B80190"/>
    <w:rsid w:val="00B80218"/>
    <w:rsid w:val="00B802AB"/>
    <w:rsid w:val="00B80804"/>
    <w:rsid w:val="00B80ADB"/>
    <w:rsid w:val="00B80B81"/>
    <w:rsid w:val="00B80D61"/>
    <w:rsid w:val="00B80FD4"/>
    <w:rsid w:val="00B8105A"/>
    <w:rsid w:val="00B8125F"/>
    <w:rsid w:val="00B81261"/>
    <w:rsid w:val="00B81265"/>
    <w:rsid w:val="00B812F8"/>
    <w:rsid w:val="00B8148D"/>
    <w:rsid w:val="00B814F9"/>
    <w:rsid w:val="00B81546"/>
    <w:rsid w:val="00B81A55"/>
    <w:rsid w:val="00B81CF5"/>
    <w:rsid w:val="00B820C1"/>
    <w:rsid w:val="00B82232"/>
    <w:rsid w:val="00B8236E"/>
    <w:rsid w:val="00B82595"/>
    <w:rsid w:val="00B8287A"/>
    <w:rsid w:val="00B82B5E"/>
    <w:rsid w:val="00B82BDE"/>
    <w:rsid w:val="00B82EAC"/>
    <w:rsid w:val="00B82FBE"/>
    <w:rsid w:val="00B83019"/>
    <w:rsid w:val="00B83091"/>
    <w:rsid w:val="00B83196"/>
    <w:rsid w:val="00B8338D"/>
    <w:rsid w:val="00B834B4"/>
    <w:rsid w:val="00B83584"/>
    <w:rsid w:val="00B83849"/>
    <w:rsid w:val="00B839B2"/>
    <w:rsid w:val="00B83AFE"/>
    <w:rsid w:val="00B83B96"/>
    <w:rsid w:val="00B83E2A"/>
    <w:rsid w:val="00B83FC8"/>
    <w:rsid w:val="00B84275"/>
    <w:rsid w:val="00B844BE"/>
    <w:rsid w:val="00B8454A"/>
    <w:rsid w:val="00B8472D"/>
    <w:rsid w:val="00B847A4"/>
    <w:rsid w:val="00B84D95"/>
    <w:rsid w:val="00B851A0"/>
    <w:rsid w:val="00B85629"/>
    <w:rsid w:val="00B85988"/>
    <w:rsid w:val="00B85BD0"/>
    <w:rsid w:val="00B85E52"/>
    <w:rsid w:val="00B85F22"/>
    <w:rsid w:val="00B86142"/>
    <w:rsid w:val="00B86159"/>
    <w:rsid w:val="00B8634E"/>
    <w:rsid w:val="00B86450"/>
    <w:rsid w:val="00B864A6"/>
    <w:rsid w:val="00B869EC"/>
    <w:rsid w:val="00B86E7A"/>
    <w:rsid w:val="00B8717D"/>
    <w:rsid w:val="00B872E1"/>
    <w:rsid w:val="00B87C96"/>
    <w:rsid w:val="00B87EE9"/>
    <w:rsid w:val="00B90251"/>
    <w:rsid w:val="00B902B7"/>
    <w:rsid w:val="00B904B2"/>
    <w:rsid w:val="00B905B5"/>
    <w:rsid w:val="00B909AE"/>
    <w:rsid w:val="00B91279"/>
    <w:rsid w:val="00B9145E"/>
    <w:rsid w:val="00B91495"/>
    <w:rsid w:val="00B917B1"/>
    <w:rsid w:val="00B91871"/>
    <w:rsid w:val="00B91C34"/>
    <w:rsid w:val="00B91C42"/>
    <w:rsid w:val="00B91D4A"/>
    <w:rsid w:val="00B91FC7"/>
    <w:rsid w:val="00B9204E"/>
    <w:rsid w:val="00B9205E"/>
    <w:rsid w:val="00B922F5"/>
    <w:rsid w:val="00B9267D"/>
    <w:rsid w:val="00B92833"/>
    <w:rsid w:val="00B92A99"/>
    <w:rsid w:val="00B92ABE"/>
    <w:rsid w:val="00B92C98"/>
    <w:rsid w:val="00B92E41"/>
    <w:rsid w:val="00B92F68"/>
    <w:rsid w:val="00B92FDB"/>
    <w:rsid w:val="00B930E3"/>
    <w:rsid w:val="00B93138"/>
    <w:rsid w:val="00B93715"/>
    <w:rsid w:val="00B938F2"/>
    <w:rsid w:val="00B93BC7"/>
    <w:rsid w:val="00B9402D"/>
    <w:rsid w:val="00B94252"/>
    <w:rsid w:val="00B94255"/>
    <w:rsid w:val="00B94273"/>
    <w:rsid w:val="00B942BD"/>
    <w:rsid w:val="00B94BBA"/>
    <w:rsid w:val="00B94BD4"/>
    <w:rsid w:val="00B94C18"/>
    <w:rsid w:val="00B94DF4"/>
    <w:rsid w:val="00B9511E"/>
    <w:rsid w:val="00B952A5"/>
    <w:rsid w:val="00B955A2"/>
    <w:rsid w:val="00B95738"/>
    <w:rsid w:val="00B964B5"/>
    <w:rsid w:val="00B9672F"/>
    <w:rsid w:val="00B96946"/>
    <w:rsid w:val="00B96B9D"/>
    <w:rsid w:val="00B96F5F"/>
    <w:rsid w:val="00B9715A"/>
    <w:rsid w:val="00B97242"/>
    <w:rsid w:val="00B97792"/>
    <w:rsid w:val="00B97B11"/>
    <w:rsid w:val="00B996CD"/>
    <w:rsid w:val="00BA070D"/>
    <w:rsid w:val="00BA0913"/>
    <w:rsid w:val="00BA1154"/>
    <w:rsid w:val="00BA11F6"/>
    <w:rsid w:val="00BA13AF"/>
    <w:rsid w:val="00BA13F9"/>
    <w:rsid w:val="00BA14BE"/>
    <w:rsid w:val="00BA1591"/>
    <w:rsid w:val="00BA159C"/>
    <w:rsid w:val="00BA1666"/>
    <w:rsid w:val="00BA1696"/>
    <w:rsid w:val="00BA1770"/>
    <w:rsid w:val="00BA1CBD"/>
    <w:rsid w:val="00BA1E70"/>
    <w:rsid w:val="00BA21C3"/>
    <w:rsid w:val="00BA22EA"/>
    <w:rsid w:val="00BA2732"/>
    <w:rsid w:val="00BA278D"/>
    <w:rsid w:val="00BA27F2"/>
    <w:rsid w:val="00BA293D"/>
    <w:rsid w:val="00BA2981"/>
    <w:rsid w:val="00BA2ACE"/>
    <w:rsid w:val="00BA2EA3"/>
    <w:rsid w:val="00BA3139"/>
    <w:rsid w:val="00BA3901"/>
    <w:rsid w:val="00BA39C8"/>
    <w:rsid w:val="00BA3F1A"/>
    <w:rsid w:val="00BA447C"/>
    <w:rsid w:val="00BA4535"/>
    <w:rsid w:val="00BA46A5"/>
    <w:rsid w:val="00BA4707"/>
    <w:rsid w:val="00BA48C8"/>
    <w:rsid w:val="00BA4928"/>
    <w:rsid w:val="00BA49BC"/>
    <w:rsid w:val="00BA4A32"/>
    <w:rsid w:val="00BA4E68"/>
    <w:rsid w:val="00BA50CA"/>
    <w:rsid w:val="00BA5205"/>
    <w:rsid w:val="00BA5284"/>
    <w:rsid w:val="00BA5631"/>
    <w:rsid w:val="00BA56B7"/>
    <w:rsid w:val="00BA57B4"/>
    <w:rsid w:val="00BA5BBB"/>
    <w:rsid w:val="00BA5CAB"/>
    <w:rsid w:val="00BA5D53"/>
    <w:rsid w:val="00BA5DC5"/>
    <w:rsid w:val="00BA6ACA"/>
    <w:rsid w:val="00BA6E72"/>
    <w:rsid w:val="00BA6E9E"/>
    <w:rsid w:val="00BA7357"/>
    <w:rsid w:val="00BA7562"/>
    <w:rsid w:val="00BA7753"/>
    <w:rsid w:val="00BA7A1E"/>
    <w:rsid w:val="00BA7C10"/>
    <w:rsid w:val="00BA7CA9"/>
    <w:rsid w:val="00BA7E0E"/>
    <w:rsid w:val="00BA7EAF"/>
    <w:rsid w:val="00BA7ED4"/>
    <w:rsid w:val="00BB0067"/>
    <w:rsid w:val="00BB019C"/>
    <w:rsid w:val="00BB022F"/>
    <w:rsid w:val="00BB046F"/>
    <w:rsid w:val="00BB09CA"/>
    <w:rsid w:val="00BB0C56"/>
    <w:rsid w:val="00BB0F27"/>
    <w:rsid w:val="00BB109C"/>
    <w:rsid w:val="00BB1207"/>
    <w:rsid w:val="00BB125E"/>
    <w:rsid w:val="00BB15F9"/>
    <w:rsid w:val="00BB17F1"/>
    <w:rsid w:val="00BB1870"/>
    <w:rsid w:val="00BB19E4"/>
    <w:rsid w:val="00BB1A44"/>
    <w:rsid w:val="00BB1AAF"/>
    <w:rsid w:val="00BB1CE5"/>
    <w:rsid w:val="00BB1EA3"/>
    <w:rsid w:val="00BB1F7B"/>
    <w:rsid w:val="00BB297B"/>
    <w:rsid w:val="00BB2B95"/>
    <w:rsid w:val="00BB2CC1"/>
    <w:rsid w:val="00BB2F6C"/>
    <w:rsid w:val="00BB3527"/>
    <w:rsid w:val="00BB3875"/>
    <w:rsid w:val="00BB3901"/>
    <w:rsid w:val="00BB3D36"/>
    <w:rsid w:val="00BB3E7B"/>
    <w:rsid w:val="00BB3EA0"/>
    <w:rsid w:val="00BB4339"/>
    <w:rsid w:val="00BB4773"/>
    <w:rsid w:val="00BB4BB2"/>
    <w:rsid w:val="00BB4D68"/>
    <w:rsid w:val="00BB5330"/>
    <w:rsid w:val="00BB57AE"/>
    <w:rsid w:val="00BB5860"/>
    <w:rsid w:val="00BB5E30"/>
    <w:rsid w:val="00BB608B"/>
    <w:rsid w:val="00BB64ED"/>
    <w:rsid w:val="00BB6992"/>
    <w:rsid w:val="00BB6A7B"/>
    <w:rsid w:val="00BB6AAD"/>
    <w:rsid w:val="00BB6AEC"/>
    <w:rsid w:val="00BB6E2C"/>
    <w:rsid w:val="00BB7046"/>
    <w:rsid w:val="00BB70A7"/>
    <w:rsid w:val="00BB72F1"/>
    <w:rsid w:val="00BB7369"/>
    <w:rsid w:val="00BB738E"/>
    <w:rsid w:val="00BB74CA"/>
    <w:rsid w:val="00BB755E"/>
    <w:rsid w:val="00BB76B0"/>
    <w:rsid w:val="00BB7826"/>
    <w:rsid w:val="00BB7C98"/>
    <w:rsid w:val="00BB7DE2"/>
    <w:rsid w:val="00BC001D"/>
    <w:rsid w:val="00BC00F0"/>
    <w:rsid w:val="00BC02EB"/>
    <w:rsid w:val="00BC0364"/>
    <w:rsid w:val="00BC067B"/>
    <w:rsid w:val="00BC06BE"/>
    <w:rsid w:val="00BC09D4"/>
    <w:rsid w:val="00BC0A08"/>
    <w:rsid w:val="00BC0CE1"/>
    <w:rsid w:val="00BC0D14"/>
    <w:rsid w:val="00BC0E5F"/>
    <w:rsid w:val="00BC0F6B"/>
    <w:rsid w:val="00BC1330"/>
    <w:rsid w:val="00BC1555"/>
    <w:rsid w:val="00BC1565"/>
    <w:rsid w:val="00BC18CF"/>
    <w:rsid w:val="00BC1AAB"/>
    <w:rsid w:val="00BC21AA"/>
    <w:rsid w:val="00BC2353"/>
    <w:rsid w:val="00BC2A4E"/>
    <w:rsid w:val="00BC30BC"/>
    <w:rsid w:val="00BC33F0"/>
    <w:rsid w:val="00BC3799"/>
    <w:rsid w:val="00BC3815"/>
    <w:rsid w:val="00BC3991"/>
    <w:rsid w:val="00BC3BDA"/>
    <w:rsid w:val="00BC3CD2"/>
    <w:rsid w:val="00BC3EB4"/>
    <w:rsid w:val="00BC3F85"/>
    <w:rsid w:val="00BC46DA"/>
    <w:rsid w:val="00BC4A19"/>
    <w:rsid w:val="00BC4A37"/>
    <w:rsid w:val="00BC4E21"/>
    <w:rsid w:val="00BC4E6D"/>
    <w:rsid w:val="00BC50E3"/>
    <w:rsid w:val="00BC5292"/>
    <w:rsid w:val="00BC53D9"/>
    <w:rsid w:val="00BC53DB"/>
    <w:rsid w:val="00BC542A"/>
    <w:rsid w:val="00BC59BD"/>
    <w:rsid w:val="00BC5CE1"/>
    <w:rsid w:val="00BC5D57"/>
    <w:rsid w:val="00BC60EE"/>
    <w:rsid w:val="00BC628A"/>
    <w:rsid w:val="00BC680C"/>
    <w:rsid w:val="00BC68CB"/>
    <w:rsid w:val="00BC6B87"/>
    <w:rsid w:val="00BC6C9A"/>
    <w:rsid w:val="00BC6CE4"/>
    <w:rsid w:val="00BC7126"/>
    <w:rsid w:val="00BC7807"/>
    <w:rsid w:val="00BC7CC7"/>
    <w:rsid w:val="00BC7CE3"/>
    <w:rsid w:val="00BC7CF5"/>
    <w:rsid w:val="00BC7D82"/>
    <w:rsid w:val="00BC7E7B"/>
    <w:rsid w:val="00BC7E90"/>
    <w:rsid w:val="00BD033A"/>
    <w:rsid w:val="00BD0617"/>
    <w:rsid w:val="00BD0645"/>
    <w:rsid w:val="00BD06DB"/>
    <w:rsid w:val="00BD09B7"/>
    <w:rsid w:val="00BD09F5"/>
    <w:rsid w:val="00BD0C6E"/>
    <w:rsid w:val="00BD0D72"/>
    <w:rsid w:val="00BD0ECC"/>
    <w:rsid w:val="00BD10B6"/>
    <w:rsid w:val="00BD1239"/>
    <w:rsid w:val="00BD1455"/>
    <w:rsid w:val="00BD171E"/>
    <w:rsid w:val="00BD1A93"/>
    <w:rsid w:val="00BD1CF0"/>
    <w:rsid w:val="00BD1E19"/>
    <w:rsid w:val="00BD1E5B"/>
    <w:rsid w:val="00BD1E9A"/>
    <w:rsid w:val="00BD1EE1"/>
    <w:rsid w:val="00BD2417"/>
    <w:rsid w:val="00BD24B1"/>
    <w:rsid w:val="00BD256C"/>
    <w:rsid w:val="00BD2A36"/>
    <w:rsid w:val="00BD2DF6"/>
    <w:rsid w:val="00BD2E9B"/>
    <w:rsid w:val="00BD304A"/>
    <w:rsid w:val="00BD3113"/>
    <w:rsid w:val="00BD3148"/>
    <w:rsid w:val="00BD37D6"/>
    <w:rsid w:val="00BD3C1D"/>
    <w:rsid w:val="00BD3CBA"/>
    <w:rsid w:val="00BD3D5C"/>
    <w:rsid w:val="00BD3E92"/>
    <w:rsid w:val="00BD3F0C"/>
    <w:rsid w:val="00BD4000"/>
    <w:rsid w:val="00BD41AC"/>
    <w:rsid w:val="00BD45A1"/>
    <w:rsid w:val="00BD470E"/>
    <w:rsid w:val="00BD4889"/>
    <w:rsid w:val="00BD4E7A"/>
    <w:rsid w:val="00BD5388"/>
    <w:rsid w:val="00BD5422"/>
    <w:rsid w:val="00BD56AC"/>
    <w:rsid w:val="00BD5B99"/>
    <w:rsid w:val="00BD5D3C"/>
    <w:rsid w:val="00BD5E2F"/>
    <w:rsid w:val="00BD5FC5"/>
    <w:rsid w:val="00BD6124"/>
    <w:rsid w:val="00BD6641"/>
    <w:rsid w:val="00BD6888"/>
    <w:rsid w:val="00BD695B"/>
    <w:rsid w:val="00BD6BFF"/>
    <w:rsid w:val="00BD6D39"/>
    <w:rsid w:val="00BD7222"/>
    <w:rsid w:val="00BD746B"/>
    <w:rsid w:val="00BD74CA"/>
    <w:rsid w:val="00BD75D0"/>
    <w:rsid w:val="00BD77BB"/>
    <w:rsid w:val="00BD77C9"/>
    <w:rsid w:val="00BD7DEA"/>
    <w:rsid w:val="00BE003F"/>
    <w:rsid w:val="00BE00AA"/>
    <w:rsid w:val="00BE053A"/>
    <w:rsid w:val="00BE0570"/>
    <w:rsid w:val="00BE0626"/>
    <w:rsid w:val="00BE0A65"/>
    <w:rsid w:val="00BE10CE"/>
    <w:rsid w:val="00BE15A4"/>
    <w:rsid w:val="00BE19F2"/>
    <w:rsid w:val="00BE2159"/>
    <w:rsid w:val="00BE218B"/>
    <w:rsid w:val="00BE22AA"/>
    <w:rsid w:val="00BE2606"/>
    <w:rsid w:val="00BE28CD"/>
    <w:rsid w:val="00BE3931"/>
    <w:rsid w:val="00BE39E7"/>
    <w:rsid w:val="00BE3DE5"/>
    <w:rsid w:val="00BE409F"/>
    <w:rsid w:val="00BE4260"/>
    <w:rsid w:val="00BE454D"/>
    <w:rsid w:val="00BE4732"/>
    <w:rsid w:val="00BE4E41"/>
    <w:rsid w:val="00BE4F83"/>
    <w:rsid w:val="00BE5215"/>
    <w:rsid w:val="00BE54F7"/>
    <w:rsid w:val="00BE5605"/>
    <w:rsid w:val="00BE56CE"/>
    <w:rsid w:val="00BE5B63"/>
    <w:rsid w:val="00BE6115"/>
    <w:rsid w:val="00BE6580"/>
    <w:rsid w:val="00BE65CE"/>
    <w:rsid w:val="00BE667A"/>
    <w:rsid w:val="00BE6734"/>
    <w:rsid w:val="00BE6800"/>
    <w:rsid w:val="00BE6823"/>
    <w:rsid w:val="00BE6C2D"/>
    <w:rsid w:val="00BE6C57"/>
    <w:rsid w:val="00BE6D81"/>
    <w:rsid w:val="00BE6FAA"/>
    <w:rsid w:val="00BE7278"/>
    <w:rsid w:val="00BE7362"/>
    <w:rsid w:val="00BE7405"/>
    <w:rsid w:val="00BE7489"/>
    <w:rsid w:val="00BE77F3"/>
    <w:rsid w:val="00BE7854"/>
    <w:rsid w:val="00BE7985"/>
    <w:rsid w:val="00BE7D65"/>
    <w:rsid w:val="00BE7F68"/>
    <w:rsid w:val="00BF02AE"/>
    <w:rsid w:val="00BF0384"/>
    <w:rsid w:val="00BF0749"/>
    <w:rsid w:val="00BF09E4"/>
    <w:rsid w:val="00BF0D55"/>
    <w:rsid w:val="00BF0DE8"/>
    <w:rsid w:val="00BF0FCC"/>
    <w:rsid w:val="00BF128A"/>
    <w:rsid w:val="00BF138E"/>
    <w:rsid w:val="00BF1545"/>
    <w:rsid w:val="00BF1C8E"/>
    <w:rsid w:val="00BF1CCC"/>
    <w:rsid w:val="00BF1E45"/>
    <w:rsid w:val="00BF1E73"/>
    <w:rsid w:val="00BF1EE5"/>
    <w:rsid w:val="00BF1F63"/>
    <w:rsid w:val="00BF2389"/>
    <w:rsid w:val="00BF24CE"/>
    <w:rsid w:val="00BF260E"/>
    <w:rsid w:val="00BF2633"/>
    <w:rsid w:val="00BF2689"/>
    <w:rsid w:val="00BF2737"/>
    <w:rsid w:val="00BF274F"/>
    <w:rsid w:val="00BF27AA"/>
    <w:rsid w:val="00BF27BF"/>
    <w:rsid w:val="00BF2824"/>
    <w:rsid w:val="00BF28EB"/>
    <w:rsid w:val="00BF2C72"/>
    <w:rsid w:val="00BF3094"/>
    <w:rsid w:val="00BF3214"/>
    <w:rsid w:val="00BF34CC"/>
    <w:rsid w:val="00BF3614"/>
    <w:rsid w:val="00BF3887"/>
    <w:rsid w:val="00BF3FDE"/>
    <w:rsid w:val="00BF4156"/>
    <w:rsid w:val="00BF4231"/>
    <w:rsid w:val="00BF435B"/>
    <w:rsid w:val="00BF44EC"/>
    <w:rsid w:val="00BF46F0"/>
    <w:rsid w:val="00BF4816"/>
    <w:rsid w:val="00BF4B92"/>
    <w:rsid w:val="00BF52BA"/>
    <w:rsid w:val="00BF58C6"/>
    <w:rsid w:val="00BF5E21"/>
    <w:rsid w:val="00BF6082"/>
    <w:rsid w:val="00BF624F"/>
    <w:rsid w:val="00BF649B"/>
    <w:rsid w:val="00BF663C"/>
    <w:rsid w:val="00BF675E"/>
    <w:rsid w:val="00BF6ACF"/>
    <w:rsid w:val="00BF6CC2"/>
    <w:rsid w:val="00BF741A"/>
    <w:rsid w:val="00BF74FA"/>
    <w:rsid w:val="00BF7AD3"/>
    <w:rsid w:val="00C001A9"/>
    <w:rsid w:val="00C00275"/>
    <w:rsid w:val="00C002E2"/>
    <w:rsid w:val="00C005F0"/>
    <w:rsid w:val="00C006B2"/>
    <w:rsid w:val="00C0091F"/>
    <w:rsid w:val="00C00930"/>
    <w:rsid w:val="00C00EDC"/>
    <w:rsid w:val="00C00F63"/>
    <w:rsid w:val="00C014CA"/>
    <w:rsid w:val="00C0154C"/>
    <w:rsid w:val="00C015AD"/>
    <w:rsid w:val="00C01802"/>
    <w:rsid w:val="00C01915"/>
    <w:rsid w:val="00C01B4B"/>
    <w:rsid w:val="00C01C0D"/>
    <w:rsid w:val="00C01E1F"/>
    <w:rsid w:val="00C0205C"/>
    <w:rsid w:val="00C02249"/>
    <w:rsid w:val="00C02268"/>
    <w:rsid w:val="00C02471"/>
    <w:rsid w:val="00C02610"/>
    <w:rsid w:val="00C02865"/>
    <w:rsid w:val="00C02990"/>
    <w:rsid w:val="00C02DB9"/>
    <w:rsid w:val="00C02E6F"/>
    <w:rsid w:val="00C03090"/>
    <w:rsid w:val="00C031B9"/>
    <w:rsid w:val="00C03324"/>
    <w:rsid w:val="00C0334E"/>
    <w:rsid w:val="00C034B3"/>
    <w:rsid w:val="00C03689"/>
    <w:rsid w:val="00C03CB5"/>
    <w:rsid w:val="00C03FE4"/>
    <w:rsid w:val="00C0402F"/>
    <w:rsid w:val="00C04102"/>
    <w:rsid w:val="00C041BF"/>
    <w:rsid w:val="00C0457F"/>
    <w:rsid w:val="00C048C7"/>
    <w:rsid w:val="00C04F07"/>
    <w:rsid w:val="00C0500C"/>
    <w:rsid w:val="00C054B4"/>
    <w:rsid w:val="00C05506"/>
    <w:rsid w:val="00C05D2E"/>
    <w:rsid w:val="00C05F56"/>
    <w:rsid w:val="00C05F94"/>
    <w:rsid w:val="00C060AD"/>
    <w:rsid w:val="00C060BB"/>
    <w:rsid w:val="00C0639A"/>
    <w:rsid w:val="00C0646B"/>
    <w:rsid w:val="00C0649D"/>
    <w:rsid w:val="00C0670D"/>
    <w:rsid w:val="00C067A3"/>
    <w:rsid w:val="00C06A70"/>
    <w:rsid w:val="00C06E24"/>
    <w:rsid w:val="00C06EC5"/>
    <w:rsid w:val="00C074FF"/>
    <w:rsid w:val="00C076CB"/>
    <w:rsid w:val="00C076E9"/>
    <w:rsid w:val="00C07718"/>
    <w:rsid w:val="00C07C1B"/>
    <w:rsid w:val="00C07C1F"/>
    <w:rsid w:val="00C07CE2"/>
    <w:rsid w:val="00C07CFB"/>
    <w:rsid w:val="00C10173"/>
    <w:rsid w:val="00C10290"/>
    <w:rsid w:val="00C1040D"/>
    <w:rsid w:val="00C108A8"/>
    <w:rsid w:val="00C10961"/>
    <w:rsid w:val="00C10D0F"/>
    <w:rsid w:val="00C11092"/>
    <w:rsid w:val="00C1139A"/>
    <w:rsid w:val="00C113BF"/>
    <w:rsid w:val="00C117BC"/>
    <w:rsid w:val="00C117D9"/>
    <w:rsid w:val="00C11807"/>
    <w:rsid w:val="00C11E24"/>
    <w:rsid w:val="00C11E40"/>
    <w:rsid w:val="00C11F7B"/>
    <w:rsid w:val="00C12059"/>
    <w:rsid w:val="00C121CB"/>
    <w:rsid w:val="00C12285"/>
    <w:rsid w:val="00C122E6"/>
    <w:rsid w:val="00C12A3F"/>
    <w:rsid w:val="00C12A6D"/>
    <w:rsid w:val="00C12ADA"/>
    <w:rsid w:val="00C12B83"/>
    <w:rsid w:val="00C130A2"/>
    <w:rsid w:val="00C130A5"/>
    <w:rsid w:val="00C1317B"/>
    <w:rsid w:val="00C131DD"/>
    <w:rsid w:val="00C134F9"/>
    <w:rsid w:val="00C13551"/>
    <w:rsid w:val="00C13B82"/>
    <w:rsid w:val="00C13F1A"/>
    <w:rsid w:val="00C13F66"/>
    <w:rsid w:val="00C14286"/>
    <w:rsid w:val="00C1431C"/>
    <w:rsid w:val="00C1464C"/>
    <w:rsid w:val="00C14771"/>
    <w:rsid w:val="00C14792"/>
    <w:rsid w:val="00C14A5B"/>
    <w:rsid w:val="00C14D77"/>
    <w:rsid w:val="00C14E12"/>
    <w:rsid w:val="00C14F06"/>
    <w:rsid w:val="00C150C5"/>
    <w:rsid w:val="00C1514C"/>
    <w:rsid w:val="00C15227"/>
    <w:rsid w:val="00C15309"/>
    <w:rsid w:val="00C1567B"/>
    <w:rsid w:val="00C157D0"/>
    <w:rsid w:val="00C15B95"/>
    <w:rsid w:val="00C15D06"/>
    <w:rsid w:val="00C161F5"/>
    <w:rsid w:val="00C1624E"/>
    <w:rsid w:val="00C1625C"/>
    <w:rsid w:val="00C162E6"/>
    <w:rsid w:val="00C16647"/>
    <w:rsid w:val="00C16694"/>
    <w:rsid w:val="00C16931"/>
    <w:rsid w:val="00C16BAC"/>
    <w:rsid w:val="00C16CEF"/>
    <w:rsid w:val="00C16D91"/>
    <w:rsid w:val="00C16D93"/>
    <w:rsid w:val="00C16EBB"/>
    <w:rsid w:val="00C16F6B"/>
    <w:rsid w:val="00C174BE"/>
    <w:rsid w:val="00C174D8"/>
    <w:rsid w:val="00C1790A"/>
    <w:rsid w:val="00C17C07"/>
    <w:rsid w:val="00C17C73"/>
    <w:rsid w:val="00C17E2A"/>
    <w:rsid w:val="00C17E41"/>
    <w:rsid w:val="00C20362"/>
    <w:rsid w:val="00C2043C"/>
    <w:rsid w:val="00C2055D"/>
    <w:rsid w:val="00C20574"/>
    <w:rsid w:val="00C2098E"/>
    <w:rsid w:val="00C20F98"/>
    <w:rsid w:val="00C20FCB"/>
    <w:rsid w:val="00C2140C"/>
    <w:rsid w:val="00C2157A"/>
    <w:rsid w:val="00C215A8"/>
    <w:rsid w:val="00C215E4"/>
    <w:rsid w:val="00C2176E"/>
    <w:rsid w:val="00C21B3F"/>
    <w:rsid w:val="00C21D95"/>
    <w:rsid w:val="00C21E0C"/>
    <w:rsid w:val="00C221E7"/>
    <w:rsid w:val="00C22483"/>
    <w:rsid w:val="00C2265E"/>
    <w:rsid w:val="00C2271B"/>
    <w:rsid w:val="00C22B1E"/>
    <w:rsid w:val="00C22D24"/>
    <w:rsid w:val="00C22EEE"/>
    <w:rsid w:val="00C23073"/>
    <w:rsid w:val="00C2307A"/>
    <w:rsid w:val="00C2311A"/>
    <w:rsid w:val="00C23219"/>
    <w:rsid w:val="00C23407"/>
    <w:rsid w:val="00C23430"/>
    <w:rsid w:val="00C23598"/>
    <w:rsid w:val="00C23BDB"/>
    <w:rsid w:val="00C23C4B"/>
    <w:rsid w:val="00C23D98"/>
    <w:rsid w:val="00C24001"/>
    <w:rsid w:val="00C2403E"/>
    <w:rsid w:val="00C244DD"/>
    <w:rsid w:val="00C24610"/>
    <w:rsid w:val="00C24E96"/>
    <w:rsid w:val="00C24FF6"/>
    <w:rsid w:val="00C251CF"/>
    <w:rsid w:val="00C25432"/>
    <w:rsid w:val="00C2545C"/>
    <w:rsid w:val="00C25662"/>
    <w:rsid w:val="00C25691"/>
    <w:rsid w:val="00C25A5D"/>
    <w:rsid w:val="00C25A69"/>
    <w:rsid w:val="00C25ABE"/>
    <w:rsid w:val="00C25FBF"/>
    <w:rsid w:val="00C26349"/>
    <w:rsid w:val="00C264D0"/>
    <w:rsid w:val="00C26626"/>
    <w:rsid w:val="00C26727"/>
    <w:rsid w:val="00C269D0"/>
    <w:rsid w:val="00C26C9D"/>
    <w:rsid w:val="00C26D44"/>
    <w:rsid w:val="00C26FA1"/>
    <w:rsid w:val="00C26FC6"/>
    <w:rsid w:val="00C27BBE"/>
    <w:rsid w:val="00C27CB0"/>
    <w:rsid w:val="00C27CE5"/>
    <w:rsid w:val="00C27D04"/>
    <w:rsid w:val="00C27D67"/>
    <w:rsid w:val="00C27E59"/>
    <w:rsid w:val="00C27F25"/>
    <w:rsid w:val="00C27F90"/>
    <w:rsid w:val="00C30834"/>
    <w:rsid w:val="00C309F8"/>
    <w:rsid w:val="00C30B46"/>
    <w:rsid w:val="00C30C1C"/>
    <w:rsid w:val="00C315B8"/>
    <w:rsid w:val="00C3171B"/>
    <w:rsid w:val="00C319DD"/>
    <w:rsid w:val="00C31B3F"/>
    <w:rsid w:val="00C31E37"/>
    <w:rsid w:val="00C31EE3"/>
    <w:rsid w:val="00C31F0A"/>
    <w:rsid w:val="00C3279C"/>
    <w:rsid w:val="00C32B7A"/>
    <w:rsid w:val="00C32CD5"/>
    <w:rsid w:val="00C339CD"/>
    <w:rsid w:val="00C33A2C"/>
    <w:rsid w:val="00C33A41"/>
    <w:rsid w:val="00C33EC7"/>
    <w:rsid w:val="00C33FD3"/>
    <w:rsid w:val="00C34043"/>
    <w:rsid w:val="00C34079"/>
    <w:rsid w:val="00C340D3"/>
    <w:rsid w:val="00C3422D"/>
    <w:rsid w:val="00C3467F"/>
    <w:rsid w:val="00C34949"/>
    <w:rsid w:val="00C3494B"/>
    <w:rsid w:val="00C3497C"/>
    <w:rsid w:val="00C34AEF"/>
    <w:rsid w:val="00C34C1B"/>
    <w:rsid w:val="00C34CFB"/>
    <w:rsid w:val="00C35396"/>
    <w:rsid w:val="00C3563B"/>
    <w:rsid w:val="00C35745"/>
    <w:rsid w:val="00C35993"/>
    <w:rsid w:val="00C35A3F"/>
    <w:rsid w:val="00C35A9B"/>
    <w:rsid w:val="00C35BA3"/>
    <w:rsid w:val="00C35C64"/>
    <w:rsid w:val="00C35C86"/>
    <w:rsid w:val="00C35CEB"/>
    <w:rsid w:val="00C35DEF"/>
    <w:rsid w:val="00C3603A"/>
    <w:rsid w:val="00C362A6"/>
    <w:rsid w:val="00C3635C"/>
    <w:rsid w:val="00C363A7"/>
    <w:rsid w:val="00C36679"/>
    <w:rsid w:val="00C3668E"/>
    <w:rsid w:val="00C3682E"/>
    <w:rsid w:val="00C3691D"/>
    <w:rsid w:val="00C36B7D"/>
    <w:rsid w:val="00C36FC4"/>
    <w:rsid w:val="00C37039"/>
    <w:rsid w:val="00C37085"/>
    <w:rsid w:val="00C3718C"/>
    <w:rsid w:val="00C37506"/>
    <w:rsid w:val="00C37564"/>
    <w:rsid w:val="00C37F19"/>
    <w:rsid w:val="00C39663"/>
    <w:rsid w:val="00C4013F"/>
    <w:rsid w:val="00C4015B"/>
    <w:rsid w:val="00C40386"/>
    <w:rsid w:val="00C405C1"/>
    <w:rsid w:val="00C4067E"/>
    <w:rsid w:val="00C4096A"/>
    <w:rsid w:val="00C40AB2"/>
    <w:rsid w:val="00C40D99"/>
    <w:rsid w:val="00C412D8"/>
    <w:rsid w:val="00C419D3"/>
    <w:rsid w:val="00C41ADA"/>
    <w:rsid w:val="00C41D1F"/>
    <w:rsid w:val="00C420FE"/>
    <w:rsid w:val="00C427D2"/>
    <w:rsid w:val="00C42879"/>
    <w:rsid w:val="00C42936"/>
    <w:rsid w:val="00C42CA3"/>
    <w:rsid w:val="00C430C9"/>
    <w:rsid w:val="00C43635"/>
    <w:rsid w:val="00C43689"/>
    <w:rsid w:val="00C436E8"/>
    <w:rsid w:val="00C439F6"/>
    <w:rsid w:val="00C445E0"/>
    <w:rsid w:val="00C44B96"/>
    <w:rsid w:val="00C44DA7"/>
    <w:rsid w:val="00C44E18"/>
    <w:rsid w:val="00C44FDA"/>
    <w:rsid w:val="00C45015"/>
    <w:rsid w:val="00C45149"/>
    <w:rsid w:val="00C453AB"/>
    <w:rsid w:val="00C455C8"/>
    <w:rsid w:val="00C458F6"/>
    <w:rsid w:val="00C45B64"/>
    <w:rsid w:val="00C45EA7"/>
    <w:rsid w:val="00C460A8"/>
    <w:rsid w:val="00C461D7"/>
    <w:rsid w:val="00C4631F"/>
    <w:rsid w:val="00C46789"/>
    <w:rsid w:val="00C46A16"/>
    <w:rsid w:val="00C46CBC"/>
    <w:rsid w:val="00C46E00"/>
    <w:rsid w:val="00C46ECF"/>
    <w:rsid w:val="00C46EEF"/>
    <w:rsid w:val="00C47547"/>
    <w:rsid w:val="00C4770F"/>
    <w:rsid w:val="00C478D5"/>
    <w:rsid w:val="00C47BA1"/>
    <w:rsid w:val="00C47D56"/>
    <w:rsid w:val="00C47F82"/>
    <w:rsid w:val="00C500E6"/>
    <w:rsid w:val="00C5043F"/>
    <w:rsid w:val="00C50559"/>
    <w:rsid w:val="00C50A0A"/>
    <w:rsid w:val="00C50E16"/>
    <w:rsid w:val="00C50E86"/>
    <w:rsid w:val="00C50EEE"/>
    <w:rsid w:val="00C50F0C"/>
    <w:rsid w:val="00C511BA"/>
    <w:rsid w:val="00C5130D"/>
    <w:rsid w:val="00C514E3"/>
    <w:rsid w:val="00C51C29"/>
    <w:rsid w:val="00C51C9B"/>
    <w:rsid w:val="00C51F13"/>
    <w:rsid w:val="00C51FFE"/>
    <w:rsid w:val="00C522C5"/>
    <w:rsid w:val="00C52340"/>
    <w:rsid w:val="00C524DC"/>
    <w:rsid w:val="00C526CE"/>
    <w:rsid w:val="00C5277E"/>
    <w:rsid w:val="00C52825"/>
    <w:rsid w:val="00C5299B"/>
    <w:rsid w:val="00C52DA5"/>
    <w:rsid w:val="00C52E7E"/>
    <w:rsid w:val="00C52FAD"/>
    <w:rsid w:val="00C52FBA"/>
    <w:rsid w:val="00C53279"/>
    <w:rsid w:val="00C534B2"/>
    <w:rsid w:val="00C536EE"/>
    <w:rsid w:val="00C536F5"/>
    <w:rsid w:val="00C53786"/>
    <w:rsid w:val="00C5388E"/>
    <w:rsid w:val="00C53C20"/>
    <w:rsid w:val="00C53CF1"/>
    <w:rsid w:val="00C53DEE"/>
    <w:rsid w:val="00C53E33"/>
    <w:rsid w:val="00C53EDF"/>
    <w:rsid w:val="00C5411E"/>
    <w:rsid w:val="00C543B2"/>
    <w:rsid w:val="00C54580"/>
    <w:rsid w:val="00C5488D"/>
    <w:rsid w:val="00C54914"/>
    <w:rsid w:val="00C54976"/>
    <w:rsid w:val="00C54B80"/>
    <w:rsid w:val="00C55258"/>
    <w:rsid w:val="00C55556"/>
    <w:rsid w:val="00C555B7"/>
    <w:rsid w:val="00C55813"/>
    <w:rsid w:val="00C55883"/>
    <w:rsid w:val="00C558DC"/>
    <w:rsid w:val="00C559ED"/>
    <w:rsid w:val="00C55D42"/>
    <w:rsid w:val="00C55FC4"/>
    <w:rsid w:val="00C5600C"/>
    <w:rsid w:val="00C563E7"/>
    <w:rsid w:val="00C56A93"/>
    <w:rsid w:val="00C56C73"/>
    <w:rsid w:val="00C57077"/>
    <w:rsid w:val="00C571FE"/>
    <w:rsid w:val="00C572FC"/>
    <w:rsid w:val="00C57365"/>
    <w:rsid w:val="00C573A0"/>
    <w:rsid w:val="00C573FF"/>
    <w:rsid w:val="00C5743C"/>
    <w:rsid w:val="00C57718"/>
    <w:rsid w:val="00C578A3"/>
    <w:rsid w:val="00C57B80"/>
    <w:rsid w:val="00C57F17"/>
    <w:rsid w:val="00C601F0"/>
    <w:rsid w:val="00C60559"/>
    <w:rsid w:val="00C60749"/>
    <w:rsid w:val="00C607E7"/>
    <w:rsid w:val="00C6087D"/>
    <w:rsid w:val="00C608D9"/>
    <w:rsid w:val="00C60CDB"/>
    <w:rsid w:val="00C61259"/>
    <w:rsid w:val="00C61668"/>
    <w:rsid w:val="00C61A7D"/>
    <w:rsid w:val="00C61CD9"/>
    <w:rsid w:val="00C6224E"/>
    <w:rsid w:val="00C62257"/>
    <w:rsid w:val="00C62389"/>
    <w:rsid w:val="00C62399"/>
    <w:rsid w:val="00C62552"/>
    <w:rsid w:val="00C62591"/>
    <w:rsid w:val="00C626B5"/>
    <w:rsid w:val="00C62789"/>
    <w:rsid w:val="00C628F0"/>
    <w:rsid w:val="00C62C08"/>
    <w:rsid w:val="00C62C34"/>
    <w:rsid w:val="00C62E15"/>
    <w:rsid w:val="00C62F4E"/>
    <w:rsid w:val="00C630B0"/>
    <w:rsid w:val="00C6311B"/>
    <w:rsid w:val="00C631C8"/>
    <w:rsid w:val="00C6330F"/>
    <w:rsid w:val="00C636AD"/>
    <w:rsid w:val="00C63730"/>
    <w:rsid w:val="00C63778"/>
    <w:rsid w:val="00C638B2"/>
    <w:rsid w:val="00C63986"/>
    <w:rsid w:val="00C63ACE"/>
    <w:rsid w:val="00C63AE6"/>
    <w:rsid w:val="00C63B9D"/>
    <w:rsid w:val="00C63CD0"/>
    <w:rsid w:val="00C63E5F"/>
    <w:rsid w:val="00C63FD5"/>
    <w:rsid w:val="00C64073"/>
    <w:rsid w:val="00C6409D"/>
    <w:rsid w:val="00C642B7"/>
    <w:rsid w:val="00C645AC"/>
    <w:rsid w:val="00C6478C"/>
    <w:rsid w:val="00C64A17"/>
    <w:rsid w:val="00C64B4C"/>
    <w:rsid w:val="00C64C7E"/>
    <w:rsid w:val="00C64C9A"/>
    <w:rsid w:val="00C64E49"/>
    <w:rsid w:val="00C64FBD"/>
    <w:rsid w:val="00C650CE"/>
    <w:rsid w:val="00C653F7"/>
    <w:rsid w:val="00C65692"/>
    <w:rsid w:val="00C65B1B"/>
    <w:rsid w:val="00C6600A"/>
    <w:rsid w:val="00C660E3"/>
    <w:rsid w:val="00C6621B"/>
    <w:rsid w:val="00C6637C"/>
    <w:rsid w:val="00C663FF"/>
    <w:rsid w:val="00C66420"/>
    <w:rsid w:val="00C667AA"/>
    <w:rsid w:val="00C66AD7"/>
    <w:rsid w:val="00C66B57"/>
    <w:rsid w:val="00C67002"/>
    <w:rsid w:val="00C67034"/>
    <w:rsid w:val="00C670FC"/>
    <w:rsid w:val="00C675FD"/>
    <w:rsid w:val="00C6778D"/>
    <w:rsid w:val="00C677DC"/>
    <w:rsid w:val="00C679C0"/>
    <w:rsid w:val="00C67EF7"/>
    <w:rsid w:val="00C700C8"/>
    <w:rsid w:val="00C70643"/>
    <w:rsid w:val="00C70756"/>
    <w:rsid w:val="00C707DB"/>
    <w:rsid w:val="00C70ADB"/>
    <w:rsid w:val="00C70AF4"/>
    <w:rsid w:val="00C70B65"/>
    <w:rsid w:val="00C70C12"/>
    <w:rsid w:val="00C70D31"/>
    <w:rsid w:val="00C70DFD"/>
    <w:rsid w:val="00C71100"/>
    <w:rsid w:val="00C71141"/>
    <w:rsid w:val="00C712EB"/>
    <w:rsid w:val="00C71768"/>
    <w:rsid w:val="00C71A1A"/>
    <w:rsid w:val="00C71D52"/>
    <w:rsid w:val="00C72848"/>
    <w:rsid w:val="00C72D69"/>
    <w:rsid w:val="00C732BC"/>
    <w:rsid w:val="00C732ED"/>
    <w:rsid w:val="00C734F4"/>
    <w:rsid w:val="00C7367D"/>
    <w:rsid w:val="00C7373D"/>
    <w:rsid w:val="00C73D13"/>
    <w:rsid w:val="00C73F4F"/>
    <w:rsid w:val="00C741E8"/>
    <w:rsid w:val="00C741F9"/>
    <w:rsid w:val="00C74365"/>
    <w:rsid w:val="00C743A5"/>
    <w:rsid w:val="00C743F1"/>
    <w:rsid w:val="00C74982"/>
    <w:rsid w:val="00C74A63"/>
    <w:rsid w:val="00C74D80"/>
    <w:rsid w:val="00C74D8A"/>
    <w:rsid w:val="00C75128"/>
    <w:rsid w:val="00C751A5"/>
    <w:rsid w:val="00C75536"/>
    <w:rsid w:val="00C75688"/>
    <w:rsid w:val="00C75720"/>
    <w:rsid w:val="00C757FF"/>
    <w:rsid w:val="00C75A16"/>
    <w:rsid w:val="00C75CD6"/>
    <w:rsid w:val="00C75D40"/>
    <w:rsid w:val="00C75E52"/>
    <w:rsid w:val="00C7603C"/>
    <w:rsid w:val="00C76112"/>
    <w:rsid w:val="00C7613F"/>
    <w:rsid w:val="00C7683B"/>
    <w:rsid w:val="00C76A4C"/>
    <w:rsid w:val="00C76AA0"/>
    <w:rsid w:val="00C76B48"/>
    <w:rsid w:val="00C76CAF"/>
    <w:rsid w:val="00C76EC8"/>
    <w:rsid w:val="00C770C5"/>
    <w:rsid w:val="00C77169"/>
    <w:rsid w:val="00C774A7"/>
    <w:rsid w:val="00C7785F"/>
    <w:rsid w:val="00C77E1E"/>
    <w:rsid w:val="00C77FC2"/>
    <w:rsid w:val="00C800E5"/>
    <w:rsid w:val="00C803ED"/>
    <w:rsid w:val="00C80492"/>
    <w:rsid w:val="00C80648"/>
    <w:rsid w:val="00C8069A"/>
    <w:rsid w:val="00C80E4D"/>
    <w:rsid w:val="00C80FB5"/>
    <w:rsid w:val="00C81046"/>
    <w:rsid w:val="00C8111A"/>
    <w:rsid w:val="00C8137A"/>
    <w:rsid w:val="00C8156A"/>
    <w:rsid w:val="00C81790"/>
    <w:rsid w:val="00C8180C"/>
    <w:rsid w:val="00C819BA"/>
    <w:rsid w:val="00C81BBE"/>
    <w:rsid w:val="00C821A5"/>
    <w:rsid w:val="00C8231E"/>
    <w:rsid w:val="00C8273A"/>
    <w:rsid w:val="00C82C16"/>
    <w:rsid w:val="00C82EEB"/>
    <w:rsid w:val="00C83318"/>
    <w:rsid w:val="00C835C9"/>
    <w:rsid w:val="00C83750"/>
    <w:rsid w:val="00C83827"/>
    <w:rsid w:val="00C8383B"/>
    <w:rsid w:val="00C839AB"/>
    <w:rsid w:val="00C83B0A"/>
    <w:rsid w:val="00C83C24"/>
    <w:rsid w:val="00C83DFB"/>
    <w:rsid w:val="00C8418B"/>
    <w:rsid w:val="00C84457"/>
    <w:rsid w:val="00C84700"/>
    <w:rsid w:val="00C84A2E"/>
    <w:rsid w:val="00C84AB6"/>
    <w:rsid w:val="00C84B81"/>
    <w:rsid w:val="00C84E97"/>
    <w:rsid w:val="00C84EB8"/>
    <w:rsid w:val="00C851DD"/>
    <w:rsid w:val="00C85253"/>
    <w:rsid w:val="00C852D6"/>
    <w:rsid w:val="00C8533C"/>
    <w:rsid w:val="00C85673"/>
    <w:rsid w:val="00C85D08"/>
    <w:rsid w:val="00C861D8"/>
    <w:rsid w:val="00C8636C"/>
    <w:rsid w:val="00C8642F"/>
    <w:rsid w:val="00C868A7"/>
    <w:rsid w:val="00C873AC"/>
    <w:rsid w:val="00C873DC"/>
    <w:rsid w:val="00C87841"/>
    <w:rsid w:val="00C878DA"/>
    <w:rsid w:val="00C87A92"/>
    <w:rsid w:val="00C87AA4"/>
    <w:rsid w:val="00C87B46"/>
    <w:rsid w:val="00C87B5A"/>
    <w:rsid w:val="00C87B5F"/>
    <w:rsid w:val="00C87C89"/>
    <w:rsid w:val="00C87E61"/>
    <w:rsid w:val="00C87ED7"/>
    <w:rsid w:val="00C90238"/>
    <w:rsid w:val="00C90814"/>
    <w:rsid w:val="00C90992"/>
    <w:rsid w:val="00C90A08"/>
    <w:rsid w:val="00C90ACF"/>
    <w:rsid w:val="00C90BEF"/>
    <w:rsid w:val="00C91023"/>
    <w:rsid w:val="00C91206"/>
    <w:rsid w:val="00C915C5"/>
    <w:rsid w:val="00C91A08"/>
    <w:rsid w:val="00C91A9A"/>
    <w:rsid w:val="00C91C19"/>
    <w:rsid w:val="00C91C5C"/>
    <w:rsid w:val="00C91EB1"/>
    <w:rsid w:val="00C9238D"/>
    <w:rsid w:val="00C925F7"/>
    <w:rsid w:val="00C928A9"/>
    <w:rsid w:val="00C929AF"/>
    <w:rsid w:val="00C92ADF"/>
    <w:rsid w:val="00C92AEC"/>
    <w:rsid w:val="00C92C6C"/>
    <w:rsid w:val="00C92E7D"/>
    <w:rsid w:val="00C92F34"/>
    <w:rsid w:val="00C93079"/>
    <w:rsid w:val="00C931F5"/>
    <w:rsid w:val="00C93307"/>
    <w:rsid w:val="00C9353D"/>
    <w:rsid w:val="00C93B7A"/>
    <w:rsid w:val="00C93F41"/>
    <w:rsid w:val="00C94376"/>
    <w:rsid w:val="00C94779"/>
    <w:rsid w:val="00C9478D"/>
    <w:rsid w:val="00C948B0"/>
    <w:rsid w:val="00C94962"/>
    <w:rsid w:val="00C94A0C"/>
    <w:rsid w:val="00C94C81"/>
    <w:rsid w:val="00C94EBB"/>
    <w:rsid w:val="00C94F8A"/>
    <w:rsid w:val="00C95190"/>
    <w:rsid w:val="00C953FD"/>
    <w:rsid w:val="00C9563E"/>
    <w:rsid w:val="00C9564E"/>
    <w:rsid w:val="00C95753"/>
    <w:rsid w:val="00C95780"/>
    <w:rsid w:val="00C95920"/>
    <w:rsid w:val="00C961DA"/>
    <w:rsid w:val="00C963FB"/>
    <w:rsid w:val="00C96488"/>
    <w:rsid w:val="00C96515"/>
    <w:rsid w:val="00C96620"/>
    <w:rsid w:val="00C96797"/>
    <w:rsid w:val="00C96A0D"/>
    <w:rsid w:val="00C96B60"/>
    <w:rsid w:val="00C96EC7"/>
    <w:rsid w:val="00C971DC"/>
    <w:rsid w:val="00C97339"/>
    <w:rsid w:val="00C97434"/>
    <w:rsid w:val="00C9772C"/>
    <w:rsid w:val="00C97883"/>
    <w:rsid w:val="00C97B83"/>
    <w:rsid w:val="00C97C97"/>
    <w:rsid w:val="00C97DB1"/>
    <w:rsid w:val="00C97DF1"/>
    <w:rsid w:val="00C97F1D"/>
    <w:rsid w:val="00C97F80"/>
    <w:rsid w:val="00CA0170"/>
    <w:rsid w:val="00CA0377"/>
    <w:rsid w:val="00CA0426"/>
    <w:rsid w:val="00CA055C"/>
    <w:rsid w:val="00CA067E"/>
    <w:rsid w:val="00CA068C"/>
    <w:rsid w:val="00CA071F"/>
    <w:rsid w:val="00CA0751"/>
    <w:rsid w:val="00CA0782"/>
    <w:rsid w:val="00CA07AB"/>
    <w:rsid w:val="00CA08A4"/>
    <w:rsid w:val="00CA08AD"/>
    <w:rsid w:val="00CA091D"/>
    <w:rsid w:val="00CA0A99"/>
    <w:rsid w:val="00CA0E8C"/>
    <w:rsid w:val="00CA0EBB"/>
    <w:rsid w:val="00CA1057"/>
    <w:rsid w:val="00CA1290"/>
    <w:rsid w:val="00CA130A"/>
    <w:rsid w:val="00CA1380"/>
    <w:rsid w:val="00CA1487"/>
    <w:rsid w:val="00CA14C9"/>
    <w:rsid w:val="00CA16B7"/>
    <w:rsid w:val="00CA1950"/>
    <w:rsid w:val="00CA1C14"/>
    <w:rsid w:val="00CA20B8"/>
    <w:rsid w:val="00CA2161"/>
    <w:rsid w:val="00CA2288"/>
    <w:rsid w:val="00CA2338"/>
    <w:rsid w:val="00CA233F"/>
    <w:rsid w:val="00CA291B"/>
    <w:rsid w:val="00CA291F"/>
    <w:rsid w:val="00CA2AD0"/>
    <w:rsid w:val="00CA2C33"/>
    <w:rsid w:val="00CA2CAD"/>
    <w:rsid w:val="00CA2DF1"/>
    <w:rsid w:val="00CA2E99"/>
    <w:rsid w:val="00CA3185"/>
    <w:rsid w:val="00CA3485"/>
    <w:rsid w:val="00CA34BB"/>
    <w:rsid w:val="00CA3818"/>
    <w:rsid w:val="00CA3B14"/>
    <w:rsid w:val="00CA3B59"/>
    <w:rsid w:val="00CA3BE8"/>
    <w:rsid w:val="00CA3E17"/>
    <w:rsid w:val="00CA3E64"/>
    <w:rsid w:val="00CA3FA6"/>
    <w:rsid w:val="00CA4248"/>
    <w:rsid w:val="00CA42FA"/>
    <w:rsid w:val="00CA439E"/>
    <w:rsid w:val="00CA443D"/>
    <w:rsid w:val="00CA44C2"/>
    <w:rsid w:val="00CA44EB"/>
    <w:rsid w:val="00CA44ED"/>
    <w:rsid w:val="00CA47FB"/>
    <w:rsid w:val="00CA4AAE"/>
    <w:rsid w:val="00CA4BE3"/>
    <w:rsid w:val="00CA4C92"/>
    <w:rsid w:val="00CA5214"/>
    <w:rsid w:val="00CA5263"/>
    <w:rsid w:val="00CA52B7"/>
    <w:rsid w:val="00CA52DC"/>
    <w:rsid w:val="00CA5A29"/>
    <w:rsid w:val="00CA5B88"/>
    <w:rsid w:val="00CA6123"/>
    <w:rsid w:val="00CA62AE"/>
    <w:rsid w:val="00CA630C"/>
    <w:rsid w:val="00CA636F"/>
    <w:rsid w:val="00CA6500"/>
    <w:rsid w:val="00CA65FC"/>
    <w:rsid w:val="00CA6B43"/>
    <w:rsid w:val="00CA6C16"/>
    <w:rsid w:val="00CA6E63"/>
    <w:rsid w:val="00CA6F11"/>
    <w:rsid w:val="00CA70C3"/>
    <w:rsid w:val="00CA747F"/>
    <w:rsid w:val="00CA773B"/>
    <w:rsid w:val="00CA7748"/>
    <w:rsid w:val="00CA78B4"/>
    <w:rsid w:val="00CA7F11"/>
    <w:rsid w:val="00CB03EA"/>
    <w:rsid w:val="00CB04AF"/>
    <w:rsid w:val="00CB0568"/>
    <w:rsid w:val="00CB0859"/>
    <w:rsid w:val="00CB0AC9"/>
    <w:rsid w:val="00CB0F54"/>
    <w:rsid w:val="00CB17DD"/>
    <w:rsid w:val="00CB1909"/>
    <w:rsid w:val="00CB1BD1"/>
    <w:rsid w:val="00CB1CA8"/>
    <w:rsid w:val="00CB1F61"/>
    <w:rsid w:val="00CB21E0"/>
    <w:rsid w:val="00CB2322"/>
    <w:rsid w:val="00CB25A3"/>
    <w:rsid w:val="00CB27A2"/>
    <w:rsid w:val="00CB2887"/>
    <w:rsid w:val="00CB29C5"/>
    <w:rsid w:val="00CB2A31"/>
    <w:rsid w:val="00CB2B01"/>
    <w:rsid w:val="00CB2B22"/>
    <w:rsid w:val="00CB2FF7"/>
    <w:rsid w:val="00CB3047"/>
    <w:rsid w:val="00CB30B5"/>
    <w:rsid w:val="00CB3454"/>
    <w:rsid w:val="00CB3470"/>
    <w:rsid w:val="00CB34CF"/>
    <w:rsid w:val="00CB37C5"/>
    <w:rsid w:val="00CB3CC3"/>
    <w:rsid w:val="00CB4075"/>
    <w:rsid w:val="00CB43C5"/>
    <w:rsid w:val="00CB4430"/>
    <w:rsid w:val="00CB4BAD"/>
    <w:rsid w:val="00CB4BD9"/>
    <w:rsid w:val="00CB4CEC"/>
    <w:rsid w:val="00CB575B"/>
    <w:rsid w:val="00CB5779"/>
    <w:rsid w:val="00CB5857"/>
    <w:rsid w:val="00CB587C"/>
    <w:rsid w:val="00CB5B1A"/>
    <w:rsid w:val="00CB5C35"/>
    <w:rsid w:val="00CB5D32"/>
    <w:rsid w:val="00CB60B5"/>
    <w:rsid w:val="00CB69CB"/>
    <w:rsid w:val="00CB6B2D"/>
    <w:rsid w:val="00CB6BA7"/>
    <w:rsid w:val="00CB6BB1"/>
    <w:rsid w:val="00CB6E8D"/>
    <w:rsid w:val="00CB6FC4"/>
    <w:rsid w:val="00CB7133"/>
    <w:rsid w:val="00CB72B6"/>
    <w:rsid w:val="00CB7438"/>
    <w:rsid w:val="00CB7461"/>
    <w:rsid w:val="00CB7945"/>
    <w:rsid w:val="00CB7A5E"/>
    <w:rsid w:val="00CB7C02"/>
    <w:rsid w:val="00CB7D7B"/>
    <w:rsid w:val="00CC00C4"/>
    <w:rsid w:val="00CC01FA"/>
    <w:rsid w:val="00CC0392"/>
    <w:rsid w:val="00CC0C5B"/>
    <w:rsid w:val="00CC12F6"/>
    <w:rsid w:val="00CC16C1"/>
    <w:rsid w:val="00CC1814"/>
    <w:rsid w:val="00CC184B"/>
    <w:rsid w:val="00CC193B"/>
    <w:rsid w:val="00CC1C4E"/>
    <w:rsid w:val="00CC1E87"/>
    <w:rsid w:val="00CC220B"/>
    <w:rsid w:val="00CC24BB"/>
    <w:rsid w:val="00CC2662"/>
    <w:rsid w:val="00CC2776"/>
    <w:rsid w:val="00CC2823"/>
    <w:rsid w:val="00CC2B8B"/>
    <w:rsid w:val="00CC2BD6"/>
    <w:rsid w:val="00CC2C4C"/>
    <w:rsid w:val="00CC2E81"/>
    <w:rsid w:val="00CC2EDF"/>
    <w:rsid w:val="00CC329D"/>
    <w:rsid w:val="00CC32A9"/>
    <w:rsid w:val="00CC335C"/>
    <w:rsid w:val="00CC33DD"/>
    <w:rsid w:val="00CC3534"/>
    <w:rsid w:val="00CC375A"/>
    <w:rsid w:val="00CC3A9B"/>
    <w:rsid w:val="00CC3ADA"/>
    <w:rsid w:val="00CC3BBB"/>
    <w:rsid w:val="00CC3C47"/>
    <w:rsid w:val="00CC3E34"/>
    <w:rsid w:val="00CC3FD2"/>
    <w:rsid w:val="00CC4169"/>
    <w:rsid w:val="00CC42BB"/>
    <w:rsid w:val="00CC4520"/>
    <w:rsid w:val="00CC48A0"/>
    <w:rsid w:val="00CC4987"/>
    <w:rsid w:val="00CC4AF0"/>
    <w:rsid w:val="00CC4CDD"/>
    <w:rsid w:val="00CC4D2C"/>
    <w:rsid w:val="00CC516E"/>
    <w:rsid w:val="00CC5207"/>
    <w:rsid w:val="00CC52E6"/>
    <w:rsid w:val="00CC52F6"/>
    <w:rsid w:val="00CC53B9"/>
    <w:rsid w:val="00CC5761"/>
    <w:rsid w:val="00CC58CA"/>
    <w:rsid w:val="00CC58E4"/>
    <w:rsid w:val="00CC58ED"/>
    <w:rsid w:val="00CC5B69"/>
    <w:rsid w:val="00CC5C43"/>
    <w:rsid w:val="00CC5CBA"/>
    <w:rsid w:val="00CC5FD4"/>
    <w:rsid w:val="00CC600C"/>
    <w:rsid w:val="00CC60AD"/>
    <w:rsid w:val="00CC61E0"/>
    <w:rsid w:val="00CC6293"/>
    <w:rsid w:val="00CC63C9"/>
    <w:rsid w:val="00CC67F2"/>
    <w:rsid w:val="00CC689E"/>
    <w:rsid w:val="00CC68B6"/>
    <w:rsid w:val="00CC69F4"/>
    <w:rsid w:val="00CC6A5C"/>
    <w:rsid w:val="00CC6C01"/>
    <w:rsid w:val="00CC6D77"/>
    <w:rsid w:val="00CC6F0A"/>
    <w:rsid w:val="00CC7096"/>
    <w:rsid w:val="00CC7433"/>
    <w:rsid w:val="00CC7D24"/>
    <w:rsid w:val="00CC7D2D"/>
    <w:rsid w:val="00CD02AE"/>
    <w:rsid w:val="00CD0302"/>
    <w:rsid w:val="00CD038B"/>
    <w:rsid w:val="00CD03DC"/>
    <w:rsid w:val="00CD0408"/>
    <w:rsid w:val="00CD05A9"/>
    <w:rsid w:val="00CD08A0"/>
    <w:rsid w:val="00CD09BE"/>
    <w:rsid w:val="00CD0FC6"/>
    <w:rsid w:val="00CD1495"/>
    <w:rsid w:val="00CD14A2"/>
    <w:rsid w:val="00CD1576"/>
    <w:rsid w:val="00CD1854"/>
    <w:rsid w:val="00CD19BB"/>
    <w:rsid w:val="00CD1A1C"/>
    <w:rsid w:val="00CD1A22"/>
    <w:rsid w:val="00CD1A2C"/>
    <w:rsid w:val="00CD1AEC"/>
    <w:rsid w:val="00CD1B3A"/>
    <w:rsid w:val="00CD1C12"/>
    <w:rsid w:val="00CD1E52"/>
    <w:rsid w:val="00CD275F"/>
    <w:rsid w:val="00CD2A4F"/>
    <w:rsid w:val="00CD2AA5"/>
    <w:rsid w:val="00CD2B37"/>
    <w:rsid w:val="00CD2C4B"/>
    <w:rsid w:val="00CD2E9F"/>
    <w:rsid w:val="00CD3212"/>
    <w:rsid w:val="00CD32DD"/>
    <w:rsid w:val="00CD334A"/>
    <w:rsid w:val="00CD3512"/>
    <w:rsid w:val="00CD3515"/>
    <w:rsid w:val="00CD35D2"/>
    <w:rsid w:val="00CD3C66"/>
    <w:rsid w:val="00CD3F93"/>
    <w:rsid w:val="00CD3FC0"/>
    <w:rsid w:val="00CD4254"/>
    <w:rsid w:val="00CD4587"/>
    <w:rsid w:val="00CD4730"/>
    <w:rsid w:val="00CD47EA"/>
    <w:rsid w:val="00CD4878"/>
    <w:rsid w:val="00CD4999"/>
    <w:rsid w:val="00CD4A94"/>
    <w:rsid w:val="00CD4B25"/>
    <w:rsid w:val="00CD4C95"/>
    <w:rsid w:val="00CD4CDB"/>
    <w:rsid w:val="00CD4E63"/>
    <w:rsid w:val="00CD4F23"/>
    <w:rsid w:val="00CD506D"/>
    <w:rsid w:val="00CD506F"/>
    <w:rsid w:val="00CD5196"/>
    <w:rsid w:val="00CD5222"/>
    <w:rsid w:val="00CD5313"/>
    <w:rsid w:val="00CD534C"/>
    <w:rsid w:val="00CD5464"/>
    <w:rsid w:val="00CD5595"/>
    <w:rsid w:val="00CD56B3"/>
    <w:rsid w:val="00CD5A0F"/>
    <w:rsid w:val="00CD5A10"/>
    <w:rsid w:val="00CD5B09"/>
    <w:rsid w:val="00CD5F5C"/>
    <w:rsid w:val="00CD6065"/>
    <w:rsid w:val="00CD6260"/>
    <w:rsid w:val="00CD6273"/>
    <w:rsid w:val="00CD635E"/>
    <w:rsid w:val="00CD69D3"/>
    <w:rsid w:val="00CD69F8"/>
    <w:rsid w:val="00CD6C0E"/>
    <w:rsid w:val="00CD6C30"/>
    <w:rsid w:val="00CD6DF6"/>
    <w:rsid w:val="00CD758F"/>
    <w:rsid w:val="00CD7730"/>
    <w:rsid w:val="00CD77B4"/>
    <w:rsid w:val="00CD7884"/>
    <w:rsid w:val="00CD7B75"/>
    <w:rsid w:val="00CD7D42"/>
    <w:rsid w:val="00CE00C9"/>
    <w:rsid w:val="00CE03CA"/>
    <w:rsid w:val="00CE0417"/>
    <w:rsid w:val="00CE0741"/>
    <w:rsid w:val="00CE0A51"/>
    <w:rsid w:val="00CE0BB0"/>
    <w:rsid w:val="00CE0C02"/>
    <w:rsid w:val="00CE0F7C"/>
    <w:rsid w:val="00CE1743"/>
    <w:rsid w:val="00CE1E3D"/>
    <w:rsid w:val="00CE217F"/>
    <w:rsid w:val="00CE2275"/>
    <w:rsid w:val="00CE22F1"/>
    <w:rsid w:val="00CE23B2"/>
    <w:rsid w:val="00CE23B4"/>
    <w:rsid w:val="00CE2BB8"/>
    <w:rsid w:val="00CE2D48"/>
    <w:rsid w:val="00CE2FEC"/>
    <w:rsid w:val="00CE3076"/>
    <w:rsid w:val="00CE3128"/>
    <w:rsid w:val="00CE3456"/>
    <w:rsid w:val="00CE3485"/>
    <w:rsid w:val="00CE350B"/>
    <w:rsid w:val="00CE350D"/>
    <w:rsid w:val="00CE3BF2"/>
    <w:rsid w:val="00CE4640"/>
    <w:rsid w:val="00CE4681"/>
    <w:rsid w:val="00CE47DE"/>
    <w:rsid w:val="00CE4B21"/>
    <w:rsid w:val="00CE4BF0"/>
    <w:rsid w:val="00CE50F2"/>
    <w:rsid w:val="00CE51F6"/>
    <w:rsid w:val="00CE54C6"/>
    <w:rsid w:val="00CE552D"/>
    <w:rsid w:val="00CE55F2"/>
    <w:rsid w:val="00CE5772"/>
    <w:rsid w:val="00CE57BE"/>
    <w:rsid w:val="00CE5F3D"/>
    <w:rsid w:val="00CE6502"/>
    <w:rsid w:val="00CE6976"/>
    <w:rsid w:val="00CE6AB0"/>
    <w:rsid w:val="00CE6AE3"/>
    <w:rsid w:val="00CE6C5B"/>
    <w:rsid w:val="00CE6CE1"/>
    <w:rsid w:val="00CE7010"/>
    <w:rsid w:val="00CE726F"/>
    <w:rsid w:val="00CE7454"/>
    <w:rsid w:val="00CE7512"/>
    <w:rsid w:val="00CE77A0"/>
    <w:rsid w:val="00CE7995"/>
    <w:rsid w:val="00CE7D40"/>
    <w:rsid w:val="00CE7DDD"/>
    <w:rsid w:val="00CE7E3A"/>
    <w:rsid w:val="00CE7EA9"/>
    <w:rsid w:val="00CF0168"/>
    <w:rsid w:val="00CF0465"/>
    <w:rsid w:val="00CF061F"/>
    <w:rsid w:val="00CF065F"/>
    <w:rsid w:val="00CF0703"/>
    <w:rsid w:val="00CF07C4"/>
    <w:rsid w:val="00CF088C"/>
    <w:rsid w:val="00CF08C8"/>
    <w:rsid w:val="00CF0A8E"/>
    <w:rsid w:val="00CF0AAB"/>
    <w:rsid w:val="00CF0AB8"/>
    <w:rsid w:val="00CF0B49"/>
    <w:rsid w:val="00CF0CBD"/>
    <w:rsid w:val="00CF0EF3"/>
    <w:rsid w:val="00CF1450"/>
    <w:rsid w:val="00CF15F0"/>
    <w:rsid w:val="00CF17BC"/>
    <w:rsid w:val="00CF1C45"/>
    <w:rsid w:val="00CF1CAA"/>
    <w:rsid w:val="00CF220F"/>
    <w:rsid w:val="00CF22D2"/>
    <w:rsid w:val="00CF22FA"/>
    <w:rsid w:val="00CF27F1"/>
    <w:rsid w:val="00CF2979"/>
    <w:rsid w:val="00CF2A53"/>
    <w:rsid w:val="00CF2CD8"/>
    <w:rsid w:val="00CF3379"/>
    <w:rsid w:val="00CF351C"/>
    <w:rsid w:val="00CF35AE"/>
    <w:rsid w:val="00CF3C9E"/>
    <w:rsid w:val="00CF3D5F"/>
    <w:rsid w:val="00CF4090"/>
    <w:rsid w:val="00CF46BD"/>
    <w:rsid w:val="00CF4813"/>
    <w:rsid w:val="00CF48BA"/>
    <w:rsid w:val="00CF493D"/>
    <w:rsid w:val="00CF4942"/>
    <w:rsid w:val="00CF4D16"/>
    <w:rsid w:val="00CF4F93"/>
    <w:rsid w:val="00CF53F3"/>
    <w:rsid w:val="00CF54FB"/>
    <w:rsid w:val="00CF550C"/>
    <w:rsid w:val="00CF5602"/>
    <w:rsid w:val="00CF56E5"/>
    <w:rsid w:val="00CF5D8E"/>
    <w:rsid w:val="00CF5D9C"/>
    <w:rsid w:val="00CF5F96"/>
    <w:rsid w:val="00CF61AD"/>
    <w:rsid w:val="00CF61B6"/>
    <w:rsid w:val="00CF69F1"/>
    <w:rsid w:val="00CF69F3"/>
    <w:rsid w:val="00CF6B67"/>
    <w:rsid w:val="00CF6C09"/>
    <w:rsid w:val="00CF6F12"/>
    <w:rsid w:val="00CF724C"/>
    <w:rsid w:val="00CF788A"/>
    <w:rsid w:val="00CF797B"/>
    <w:rsid w:val="00CF79F3"/>
    <w:rsid w:val="00CF7ADD"/>
    <w:rsid w:val="00CF7B8E"/>
    <w:rsid w:val="00CF7C0C"/>
    <w:rsid w:val="00CF7D3C"/>
    <w:rsid w:val="00CF7DFB"/>
    <w:rsid w:val="00CF7FFC"/>
    <w:rsid w:val="00D00046"/>
    <w:rsid w:val="00D002FD"/>
    <w:rsid w:val="00D006AD"/>
    <w:rsid w:val="00D006C2"/>
    <w:rsid w:val="00D00824"/>
    <w:rsid w:val="00D008EF"/>
    <w:rsid w:val="00D00F6D"/>
    <w:rsid w:val="00D00FD4"/>
    <w:rsid w:val="00D0119D"/>
    <w:rsid w:val="00D012B6"/>
    <w:rsid w:val="00D019A7"/>
    <w:rsid w:val="00D019DC"/>
    <w:rsid w:val="00D01EBA"/>
    <w:rsid w:val="00D01F48"/>
    <w:rsid w:val="00D0217E"/>
    <w:rsid w:val="00D022DA"/>
    <w:rsid w:val="00D024C8"/>
    <w:rsid w:val="00D024FD"/>
    <w:rsid w:val="00D025B6"/>
    <w:rsid w:val="00D02CB8"/>
    <w:rsid w:val="00D02CC7"/>
    <w:rsid w:val="00D02DBB"/>
    <w:rsid w:val="00D03500"/>
    <w:rsid w:val="00D036D2"/>
    <w:rsid w:val="00D038D8"/>
    <w:rsid w:val="00D03936"/>
    <w:rsid w:val="00D03989"/>
    <w:rsid w:val="00D03E22"/>
    <w:rsid w:val="00D044A5"/>
    <w:rsid w:val="00D04500"/>
    <w:rsid w:val="00D04693"/>
    <w:rsid w:val="00D04789"/>
    <w:rsid w:val="00D0487F"/>
    <w:rsid w:val="00D04CEA"/>
    <w:rsid w:val="00D04EAD"/>
    <w:rsid w:val="00D05305"/>
    <w:rsid w:val="00D0531B"/>
    <w:rsid w:val="00D056D3"/>
    <w:rsid w:val="00D05BE9"/>
    <w:rsid w:val="00D05CAF"/>
    <w:rsid w:val="00D05D1C"/>
    <w:rsid w:val="00D05D59"/>
    <w:rsid w:val="00D05DF2"/>
    <w:rsid w:val="00D06066"/>
    <w:rsid w:val="00D0616B"/>
    <w:rsid w:val="00D06325"/>
    <w:rsid w:val="00D06545"/>
    <w:rsid w:val="00D06561"/>
    <w:rsid w:val="00D069BE"/>
    <w:rsid w:val="00D06ABB"/>
    <w:rsid w:val="00D06C0D"/>
    <w:rsid w:val="00D070C5"/>
    <w:rsid w:val="00D07288"/>
    <w:rsid w:val="00D07C63"/>
    <w:rsid w:val="00D10417"/>
    <w:rsid w:val="00D10AD3"/>
    <w:rsid w:val="00D10E76"/>
    <w:rsid w:val="00D1118B"/>
    <w:rsid w:val="00D1123C"/>
    <w:rsid w:val="00D112A6"/>
    <w:rsid w:val="00D11420"/>
    <w:rsid w:val="00D11585"/>
    <w:rsid w:val="00D11652"/>
    <w:rsid w:val="00D117E1"/>
    <w:rsid w:val="00D11975"/>
    <w:rsid w:val="00D11DCD"/>
    <w:rsid w:val="00D1218A"/>
    <w:rsid w:val="00D124C7"/>
    <w:rsid w:val="00D125B8"/>
    <w:rsid w:val="00D12686"/>
    <w:rsid w:val="00D1270B"/>
    <w:rsid w:val="00D12851"/>
    <w:rsid w:val="00D1298D"/>
    <w:rsid w:val="00D12A5F"/>
    <w:rsid w:val="00D12AA3"/>
    <w:rsid w:val="00D12B9C"/>
    <w:rsid w:val="00D12EE6"/>
    <w:rsid w:val="00D12EFC"/>
    <w:rsid w:val="00D130B4"/>
    <w:rsid w:val="00D131D4"/>
    <w:rsid w:val="00D132A7"/>
    <w:rsid w:val="00D13564"/>
    <w:rsid w:val="00D138E1"/>
    <w:rsid w:val="00D1392F"/>
    <w:rsid w:val="00D13DF6"/>
    <w:rsid w:val="00D1402C"/>
    <w:rsid w:val="00D14147"/>
    <w:rsid w:val="00D147EB"/>
    <w:rsid w:val="00D1496C"/>
    <w:rsid w:val="00D149CE"/>
    <w:rsid w:val="00D14F15"/>
    <w:rsid w:val="00D14F51"/>
    <w:rsid w:val="00D15084"/>
    <w:rsid w:val="00D15522"/>
    <w:rsid w:val="00D15646"/>
    <w:rsid w:val="00D157A2"/>
    <w:rsid w:val="00D15814"/>
    <w:rsid w:val="00D159DB"/>
    <w:rsid w:val="00D15C24"/>
    <w:rsid w:val="00D15E3E"/>
    <w:rsid w:val="00D15E4A"/>
    <w:rsid w:val="00D15E6C"/>
    <w:rsid w:val="00D15E70"/>
    <w:rsid w:val="00D15F66"/>
    <w:rsid w:val="00D161D6"/>
    <w:rsid w:val="00D16493"/>
    <w:rsid w:val="00D165FF"/>
    <w:rsid w:val="00D168D0"/>
    <w:rsid w:val="00D16BD2"/>
    <w:rsid w:val="00D16D0F"/>
    <w:rsid w:val="00D16E6F"/>
    <w:rsid w:val="00D16F81"/>
    <w:rsid w:val="00D16FAF"/>
    <w:rsid w:val="00D17016"/>
    <w:rsid w:val="00D17042"/>
    <w:rsid w:val="00D171A2"/>
    <w:rsid w:val="00D1730A"/>
    <w:rsid w:val="00D179A2"/>
    <w:rsid w:val="00D17A86"/>
    <w:rsid w:val="00D17AB6"/>
    <w:rsid w:val="00D17EE9"/>
    <w:rsid w:val="00D2036B"/>
    <w:rsid w:val="00D21319"/>
    <w:rsid w:val="00D215ED"/>
    <w:rsid w:val="00D2167C"/>
    <w:rsid w:val="00D2168A"/>
    <w:rsid w:val="00D2173E"/>
    <w:rsid w:val="00D21AC1"/>
    <w:rsid w:val="00D21C14"/>
    <w:rsid w:val="00D21C69"/>
    <w:rsid w:val="00D21F47"/>
    <w:rsid w:val="00D22019"/>
    <w:rsid w:val="00D222B4"/>
    <w:rsid w:val="00D2247C"/>
    <w:rsid w:val="00D224DC"/>
    <w:rsid w:val="00D2258E"/>
    <w:rsid w:val="00D22752"/>
    <w:rsid w:val="00D228D0"/>
    <w:rsid w:val="00D22BF9"/>
    <w:rsid w:val="00D23151"/>
    <w:rsid w:val="00D23636"/>
    <w:rsid w:val="00D236E5"/>
    <w:rsid w:val="00D238C4"/>
    <w:rsid w:val="00D23907"/>
    <w:rsid w:val="00D23B05"/>
    <w:rsid w:val="00D23C43"/>
    <w:rsid w:val="00D23E81"/>
    <w:rsid w:val="00D23F91"/>
    <w:rsid w:val="00D23F98"/>
    <w:rsid w:val="00D24030"/>
    <w:rsid w:val="00D2405B"/>
    <w:rsid w:val="00D2423F"/>
    <w:rsid w:val="00D247C4"/>
    <w:rsid w:val="00D24977"/>
    <w:rsid w:val="00D24A62"/>
    <w:rsid w:val="00D24DFD"/>
    <w:rsid w:val="00D24E3A"/>
    <w:rsid w:val="00D24E40"/>
    <w:rsid w:val="00D24F87"/>
    <w:rsid w:val="00D250A6"/>
    <w:rsid w:val="00D253AD"/>
    <w:rsid w:val="00D256DF"/>
    <w:rsid w:val="00D257EE"/>
    <w:rsid w:val="00D258E5"/>
    <w:rsid w:val="00D25AEC"/>
    <w:rsid w:val="00D25B2F"/>
    <w:rsid w:val="00D262F0"/>
    <w:rsid w:val="00D264AD"/>
    <w:rsid w:val="00D264FF"/>
    <w:rsid w:val="00D26A3D"/>
    <w:rsid w:val="00D26E82"/>
    <w:rsid w:val="00D26FAD"/>
    <w:rsid w:val="00D272FD"/>
    <w:rsid w:val="00D273E1"/>
    <w:rsid w:val="00D273F5"/>
    <w:rsid w:val="00D275C8"/>
    <w:rsid w:val="00D278C4"/>
    <w:rsid w:val="00D27B5F"/>
    <w:rsid w:val="00D27C33"/>
    <w:rsid w:val="00D27D07"/>
    <w:rsid w:val="00D27E3F"/>
    <w:rsid w:val="00D27EB0"/>
    <w:rsid w:val="00D30397"/>
    <w:rsid w:val="00D3047C"/>
    <w:rsid w:val="00D3059A"/>
    <w:rsid w:val="00D30C3D"/>
    <w:rsid w:val="00D30C52"/>
    <w:rsid w:val="00D30D75"/>
    <w:rsid w:val="00D30ECF"/>
    <w:rsid w:val="00D310D2"/>
    <w:rsid w:val="00D311F5"/>
    <w:rsid w:val="00D31304"/>
    <w:rsid w:val="00D314F0"/>
    <w:rsid w:val="00D3192F"/>
    <w:rsid w:val="00D31A41"/>
    <w:rsid w:val="00D32007"/>
    <w:rsid w:val="00D32095"/>
    <w:rsid w:val="00D324BF"/>
    <w:rsid w:val="00D3251D"/>
    <w:rsid w:val="00D32848"/>
    <w:rsid w:val="00D328C3"/>
    <w:rsid w:val="00D32D75"/>
    <w:rsid w:val="00D32EAB"/>
    <w:rsid w:val="00D33000"/>
    <w:rsid w:val="00D3304D"/>
    <w:rsid w:val="00D33208"/>
    <w:rsid w:val="00D333D2"/>
    <w:rsid w:val="00D334F3"/>
    <w:rsid w:val="00D33683"/>
    <w:rsid w:val="00D339FC"/>
    <w:rsid w:val="00D33A56"/>
    <w:rsid w:val="00D33AD3"/>
    <w:rsid w:val="00D33EBD"/>
    <w:rsid w:val="00D33F25"/>
    <w:rsid w:val="00D34394"/>
    <w:rsid w:val="00D343F3"/>
    <w:rsid w:val="00D3443F"/>
    <w:rsid w:val="00D34521"/>
    <w:rsid w:val="00D34579"/>
    <w:rsid w:val="00D34667"/>
    <w:rsid w:val="00D34965"/>
    <w:rsid w:val="00D34990"/>
    <w:rsid w:val="00D34C51"/>
    <w:rsid w:val="00D34C59"/>
    <w:rsid w:val="00D351A3"/>
    <w:rsid w:val="00D353F8"/>
    <w:rsid w:val="00D35423"/>
    <w:rsid w:val="00D3587A"/>
    <w:rsid w:val="00D35A78"/>
    <w:rsid w:val="00D35BD2"/>
    <w:rsid w:val="00D35CD8"/>
    <w:rsid w:val="00D35E7E"/>
    <w:rsid w:val="00D35FE9"/>
    <w:rsid w:val="00D36018"/>
    <w:rsid w:val="00D36128"/>
    <w:rsid w:val="00D361DA"/>
    <w:rsid w:val="00D3663C"/>
    <w:rsid w:val="00D366DA"/>
    <w:rsid w:val="00D3705D"/>
    <w:rsid w:val="00D3724F"/>
    <w:rsid w:val="00D3727B"/>
    <w:rsid w:val="00D373E5"/>
    <w:rsid w:val="00D375D1"/>
    <w:rsid w:val="00D378DE"/>
    <w:rsid w:val="00D37BC1"/>
    <w:rsid w:val="00D37D76"/>
    <w:rsid w:val="00D401E1"/>
    <w:rsid w:val="00D40459"/>
    <w:rsid w:val="00D406BA"/>
    <w:rsid w:val="00D408B4"/>
    <w:rsid w:val="00D40908"/>
    <w:rsid w:val="00D40C52"/>
    <w:rsid w:val="00D40F97"/>
    <w:rsid w:val="00D41097"/>
    <w:rsid w:val="00D412D1"/>
    <w:rsid w:val="00D413C8"/>
    <w:rsid w:val="00D413FF"/>
    <w:rsid w:val="00D414C8"/>
    <w:rsid w:val="00D4167D"/>
    <w:rsid w:val="00D41AB3"/>
    <w:rsid w:val="00D41AB9"/>
    <w:rsid w:val="00D41C8B"/>
    <w:rsid w:val="00D41E36"/>
    <w:rsid w:val="00D4218B"/>
    <w:rsid w:val="00D42296"/>
    <w:rsid w:val="00D4253D"/>
    <w:rsid w:val="00D42666"/>
    <w:rsid w:val="00D4268E"/>
    <w:rsid w:val="00D42B1C"/>
    <w:rsid w:val="00D42B2E"/>
    <w:rsid w:val="00D42B35"/>
    <w:rsid w:val="00D42B49"/>
    <w:rsid w:val="00D42BB8"/>
    <w:rsid w:val="00D42CE0"/>
    <w:rsid w:val="00D42E35"/>
    <w:rsid w:val="00D42EA1"/>
    <w:rsid w:val="00D42F11"/>
    <w:rsid w:val="00D42F69"/>
    <w:rsid w:val="00D43064"/>
    <w:rsid w:val="00D43424"/>
    <w:rsid w:val="00D434BC"/>
    <w:rsid w:val="00D434DD"/>
    <w:rsid w:val="00D436BF"/>
    <w:rsid w:val="00D43814"/>
    <w:rsid w:val="00D438C9"/>
    <w:rsid w:val="00D43AB7"/>
    <w:rsid w:val="00D441CC"/>
    <w:rsid w:val="00D441FA"/>
    <w:rsid w:val="00D44208"/>
    <w:rsid w:val="00D442AD"/>
    <w:rsid w:val="00D44457"/>
    <w:rsid w:val="00D44670"/>
    <w:rsid w:val="00D4491F"/>
    <w:rsid w:val="00D44961"/>
    <w:rsid w:val="00D44970"/>
    <w:rsid w:val="00D44E82"/>
    <w:rsid w:val="00D45239"/>
    <w:rsid w:val="00D45424"/>
    <w:rsid w:val="00D455AC"/>
    <w:rsid w:val="00D455F4"/>
    <w:rsid w:val="00D459CF"/>
    <w:rsid w:val="00D45D94"/>
    <w:rsid w:val="00D45DA6"/>
    <w:rsid w:val="00D45F4C"/>
    <w:rsid w:val="00D46173"/>
    <w:rsid w:val="00D4628B"/>
    <w:rsid w:val="00D46347"/>
    <w:rsid w:val="00D463F2"/>
    <w:rsid w:val="00D46733"/>
    <w:rsid w:val="00D46872"/>
    <w:rsid w:val="00D470E4"/>
    <w:rsid w:val="00D474F3"/>
    <w:rsid w:val="00D474FF"/>
    <w:rsid w:val="00D4766C"/>
    <w:rsid w:val="00D47805"/>
    <w:rsid w:val="00D47815"/>
    <w:rsid w:val="00D47CC4"/>
    <w:rsid w:val="00D47E09"/>
    <w:rsid w:val="00D50321"/>
    <w:rsid w:val="00D50534"/>
    <w:rsid w:val="00D510D0"/>
    <w:rsid w:val="00D5134E"/>
    <w:rsid w:val="00D514D6"/>
    <w:rsid w:val="00D51514"/>
    <w:rsid w:val="00D5164D"/>
    <w:rsid w:val="00D519B9"/>
    <w:rsid w:val="00D51A02"/>
    <w:rsid w:val="00D51EFA"/>
    <w:rsid w:val="00D51F41"/>
    <w:rsid w:val="00D52001"/>
    <w:rsid w:val="00D521D9"/>
    <w:rsid w:val="00D524C7"/>
    <w:rsid w:val="00D524C8"/>
    <w:rsid w:val="00D5258D"/>
    <w:rsid w:val="00D525D8"/>
    <w:rsid w:val="00D525DA"/>
    <w:rsid w:val="00D525E5"/>
    <w:rsid w:val="00D52665"/>
    <w:rsid w:val="00D52B4D"/>
    <w:rsid w:val="00D52C28"/>
    <w:rsid w:val="00D531A4"/>
    <w:rsid w:val="00D5364F"/>
    <w:rsid w:val="00D53731"/>
    <w:rsid w:val="00D5381D"/>
    <w:rsid w:val="00D5382D"/>
    <w:rsid w:val="00D53C1E"/>
    <w:rsid w:val="00D53DC1"/>
    <w:rsid w:val="00D53EAC"/>
    <w:rsid w:val="00D5404A"/>
    <w:rsid w:val="00D54143"/>
    <w:rsid w:val="00D54421"/>
    <w:rsid w:val="00D54479"/>
    <w:rsid w:val="00D544C3"/>
    <w:rsid w:val="00D546D8"/>
    <w:rsid w:val="00D54858"/>
    <w:rsid w:val="00D5491B"/>
    <w:rsid w:val="00D54B24"/>
    <w:rsid w:val="00D54B76"/>
    <w:rsid w:val="00D54F49"/>
    <w:rsid w:val="00D5507C"/>
    <w:rsid w:val="00D55110"/>
    <w:rsid w:val="00D557F2"/>
    <w:rsid w:val="00D5597F"/>
    <w:rsid w:val="00D559C5"/>
    <w:rsid w:val="00D55AE1"/>
    <w:rsid w:val="00D55C1D"/>
    <w:rsid w:val="00D55F17"/>
    <w:rsid w:val="00D55F6B"/>
    <w:rsid w:val="00D5612A"/>
    <w:rsid w:val="00D566FA"/>
    <w:rsid w:val="00D56909"/>
    <w:rsid w:val="00D56D64"/>
    <w:rsid w:val="00D56F01"/>
    <w:rsid w:val="00D57171"/>
    <w:rsid w:val="00D57229"/>
    <w:rsid w:val="00D5724F"/>
    <w:rsid w:val="00D574E4"/>
    <w:rsid w:val="00D575C3"/>
    <w:rsid w:val="00D576BC"/>
    <w:rsid w:val="00D576FB"/>
    <w:rsid w:val="00D5782C"/>
    <w:rsid w:val="00D57861"/>
    <w:rsid w:val="00D57940"/>
    <w:rsid w:val="00D57948"/>
    <w:rsid w:val="00D57FD9"/>
    <w:rsid w:val="00D602F1"/>
    <w:rsid w:val="00D60712"/>
    <w:rsid w:val="00D60936"/>
    <w:rsid w:val="00D60A23"/>
    <w:rsid w:val="00D60D72"/>
    <w:rsid w:val="00D60E0D"/>
    <w:rsid w:val="00D60E25"/>
    <w:rsid w:val="00D60FCD"/>
    <w:rsid w:val="00D6178C"/>
    <w:rsid w:val="00D61832"/>
    <w:rsid w:val="00D618D6"/>
    <w:rsid w:val="00D61FBE"/>
    <w:rsid w:val="00D6204C"/>
    <w:rsid w:val="00D620F5"/>
    <w:rsid w:val="00D6240E"/>
    <w:rsid w:val="00D6251F"/>
    <w:rsid w:val="00D625EF"/>
    <w:rsid w:val="00D6267E"/>
    <w:rsid w:val="00D6279C"/>
    <w:rsid w:val="00D62855"/>
    <w:rsid w:val="00D62A51"/>
    <w:rsid w:val="00D62CA7"/>
    <w:rsid w:val="00D62D19"/>
    <w:rsid w:val="00D62D93"/>
    <w:rsid w:val="00D62E90"/>
    <w:rsid w:val="00D62F4C"/>
    <w:rsid w:val="00D6305A"/>
    <w:rsid w:val="00D631D3"/>
    <w:rsid w:val="00D63493"/>
    <w:rsid w:val="00D63572"/>
    <w:rsid w:val="00D635D0"/>
    <w:rsid w:val="00D636C4"/>
    <w:rsid w:val="00D63731"/>
    <w:rsid w:val="00D638B8"/>
    <w:rsid w:val="00D63C69"/>
    <w:rsid w:val="00D63CFF"/>
    <w:rsid w:val="00D63D65"/>
    <w:rsid w:val="00D63DF4"/>
    <w:rsid w:val="00D64671"/>
    <w:rsid w:val="00D64744"/>
    <w:rsid w:val="00D64797"/>
    <w:rsid w:val="00D65D5B"/>
    <w:rsid w:val="00D662AA"/>
    <w:rsid w:val="00D66A0E"/>
    <w:rsid w:val="00D66A4D"/>
    <w:rsid w:val="00D66CED"/>
    <w:rsid w:val="00D66F1F"/>
    <w:rsid w:val="00D67206"/>
    <w:rsid w:val="00D67B3D"/>
    <w:rsid w:val="00D7049D"/>
    <w:rsid w:val="00D70666"/>
    <w:rsid w:val="00D70778"/>
    <w:rsid w:val="00D70B7B"/>
    <w:rsid w:val="00D70B8D"/>
    <w:rsid w:val="00D70D73"/>
    <w:rsid w:val="00D70E24"/>
    <w:rsid w:val="00D70F0F"/>
    <w:rsid w:val="00D71290"/>
    <w:rsid w:val="00D71459"/>
    <w:rsid w:val="00D71763"/>
    <w:rsid w:val="00D717B0"/>
    <w:rsid w:val="00D71B62"/>
    <w:rsid w:val="00D71F22"/>
    <w:rsid w:val="00D72202"/>
    <w:rsid w:val="00D722D2"/>
    <w:rsid w:val="00D72601"/>
    <w:rsid w:val="00D7291A"/>
    <w:rsid w:val="00D72A0F"/>
    <w:rsid w:val="00D72B61"/>
    <w:rsid w:val="00D72BA5"/>
    <w:rsid w:val="00D72C6B"/>
    <w:rsid w:val="00D731C9"/>
    <w:rsid w:val="00D731E5"/>
    <w:rsid w:val="00D737A0"/>
    <w:rsid w:val="00D73821"/>
    <w:rsid w:val="00D7391E"/>
    <w:rsid w:val="00D73D1E"/>
    <w:rsid w:val="00D73E3D"/>
    <w:rsid w:val="00D73E5A"/>
    <w:rsid w:val="00D73EB5"/>
    <w:rsid w:val="00D746B6"/>
    <w:rsid w:val="00D746E8"/>
    <w:rsid w:val="00D74778"/>
    <w:rsid w:val="00D74DE1"/>
    <w:rsid w:val="00D750DB"/>
    <w:rsid w:val="00D7524B"/>
    <w:rsid w:val="00D75488"/>
    <w:rsid w:val="00D75621"/>
    <w:rsid w:val="00D75880"/>
    <w:rsid w:val="00D75B34"/>
    <w:rsid w:val="00D75F3F"/>
    <w:rsid w:val="00D76659"/>
    <w:rsid w:val="00D76674"/>
    <w:rsid w:val="00D76A70"/>
    <w:rsid w:val="00D76B72"/>
    <w:rsid w:val="00D77327"/>
    <w:rsid w:val="00D77727"/>
    <w:rsid w:val="00D77AB3"/>
    <w:rsid w:val="00D77C3A"/>
    <w:rsid w:val="00D77C45"/>
    <w:rsid w:val="00D77D33"/>
    <w:rsid w:val="00D77DE8"/>
    <w:rsid w:val="00D77F1E"/>
    <w:rsid w:val="00D80032"/>
    <w:rsid w:val="00D800A3"/>
    <w:rsid w:val="00D802A5"/>
    <w:rsid w:val="00D802D1"/>
    <w:rsid w:val="00D80815"/>
    <w:rsid w:val="00D80C7F"/>
    <w:rsid w:val="00D81118"/>
    <w:rsid w:val="00D81336"/>
    <w:rsid w:val="00D814DB"/>
    <w:rsid w:val="00D81CD7"/>
    <w:rsid w:val="00D81D82"/>
    <w:rsid w:val="00D821FA"/>
    <w:rsid w:val="00D824F3"/>
    <w:rsid w:val="00D825E3"/>
    <w:rsid w:val="00D82629"/>
    <w:rsid w:val="00D82BAF"/>
    <w:rsid w:val="00D83572"/>
    <w:rsid w:val="00D83667"/>
    <w:rsid w:val="00D83671"/>
    <w:rsid w:val="00D837AC"/>
    <w:rsid w:val="00D839C8"/>
    <w:rsid w:val="00D839F2"/>
    <w:rsid w:val="00D83C7F"/>
    <w:rsid w:val="00D83FE3"/>
    <w:rsid w:val="00D846D2"/>
    <w:rsid w:val="00D84908"/>
    <w:rsid w:val="00D84AD9"/>
    <w:rsid w:val="00D84D58"/>
    <w:rsid w:val="00D84F72"/>
    <w:rsid w:val="00D852D1"/>
    <w:rsid w:val="00D8554D"/>
    <w:rsid w:val="00D856A4"/>
    <w:rsid w:val="00D856AD"/>
    <w:rsid w:val="00D85A5E"/>
    <w:rsid w:val="00D85B91"/>
    <w:rsid w:val="00D85CAE"/>
    <w:rsid w:val="00D86395"/>
    <w:rsid w:val="00D8663A"/>
    <w:rsid w:val="00D866AD"/>
    <w:rsid w:val="00D86A6A"/>
    <w:rsid w:val="00D86E9E"/>
    <w:rsid w:val="00D86FDA"/>
    <w:rsid w:val="00D8715E"/>
    <w:rsid w:val="00D8735B"/>
    <w:rsid w:val="00D875FF"/>
    <w:rsid w:val="00D87679"/>
    <w:rsid w:val="00D877F1"/>
    <w:rsid w:val="00D8789B"/>
    <w:rsid w:val="00D87927"/>
    <w:rsid w:val="00D87DE4"/>
    <w:rsid w:val="00D9021B"/>
    <w:rsid w:val="00D9027B"/>
    <w:rsid w:val="00D9069A"/>
    <w:rsid w:val="00D906E6"/>
    <w:rsid w:val="00D907F3"/>
    <w:rsid w:val="00D909F1"/>
    <w:rsid w:val="00D91027"/>
    <w:rsid w:val="00D91393"/>
    <w:rsid w:val="00D9177C"/>
    <w:rsid w:val="00D917AB"/>
    <w:rsid w:val="00D91E6A"/>
    <w:rsid w:val="00D91EA7"/>
    <w:rsid w:val="00D91F71"/>
    <w:rsid w:val="00D92028"/>
    <w:rsid w:val="00D924CB"/>
    <w:rsid w:val="00D92783"/>
    <w:rsid w:val="00D92A91"/>
    <w:rsid w:val="00D92ABE"/>
    <w:rsid w:val="00D92E4F"/>
    <w:rsid w:val="00D93050"/>
    <w:rsid w:val="00D933AF"/>
    <w:rsid w:val="00D93584"/>
    <w:rsid w:val="00D937DE"/>
    <w:rsid w:val="00D93819"/>
    <w:rsid w:val="00D93A8C"/>
    <w:rsid w:val="00D93B57"/>
    <w:rsid w:val="00D93F19"/>
    <w:rsid w:val="00D94326"/>
    <w:rsid w:val="00D9446E"/>
    <w:rsid w:val="00D94661"/>
    <w:rsid w:val="00D94856"/>
    <w:rsid w:val="00D94DE5"/>
    <w:rsid w:val="00D94F0B"/>
    <w:rsid w:val="00D94F83"/>
    <w:rsid w:val="00D953DF"/>
    <w:rsid w:val="00D95561"/>
    <w:rsid w:val="00D95897"/>
    <w:rsid w:val="00D958EF"/>
    <w:rsid w:val="00D958F6"/>
    <w:rsid w:val="00D95BA3"/>
    <w:rsid w:val="00D95BC4"/>
    <w:rsid w:val="00D95EE2"/>
    <w:rsid w:val="00D95F53"/>
    <w:rsid w:val="00D9601C"/>
    <w:rsid w:val="00D96035"/>
    <w:rsid w:val="00D960E5"/>
    <w:rsid w:val="00D96192"/>
    <w:rsid w:val="00D961B1"/>
    <w:rsid w:val="00D963F3"/>
    <w:rsid w:val="00D966B8"/>
    <w:rsid w:val="00D969BB"/>
    <w:rsid w:val="00D96AF4"/>
    <w:rsid w:val="00D96B2F"/>
    <w:rsid w:val="00D96D71"/>
    <w:rsid w:val="00D96E23"/>
    <w:rsid w:val="00D97214"/>
    <w:rsid w:val="00D97352"/>
    <w:rsid w:val="00D97564"/>
    <w:rsid w:val="00D97693"/>
    <w:rsid w:val="00D978E6"/>
    <w:rsid w:val="00D97BDD"/>
    <w:rsid w:val="00D97DF0"/>
    <w:rsid w:val="00D97F77"/>
    <w:rsid w:val="00DA0280"/>
    <w:rsid w:val="00DA034B"/>
    <w:rsid w:val="00DA034F"/>
    <w:rsid w:val="00DA0953"/>
    <w:rsid w:val="00DA0E86"/>
    <w:rsid w:val="00DA11CE"/>
    <w:rsid w:val="00DA1535"/>
    <w:rsid w:val="00DA1A5B"/>
    <w:rsid w:val="00DA1CB1"/>
    <w:rsid w:val="00DA1D22"/>
    <w:rsid w:val="00DA1F89"/>
    <w:rsid w:val="00DA2071"/>
    <w:rsid w:val="00DA20D7"/>
    <w:rsid w:val="00DA2315"/>
    <w:rsid w:val="00DA23FF"/>
    <w:rsid w:val="00DA256F"/>
    <w:rsid w:val="00DA263E"/>
    <w:rsid w:val="00DA28F3"/>
    <w:rsid w:val="00DA2967"/>
    <w:rsid w:val="00DA29BE"/>
    <w:rsid w:val="00DA2BFB"/>
    <w:rsid w:val="00DA2C99"/>
    <w:rsid w:val="00DA2FC1"/>
    <w:rsid w:val="00DA3008"/>
    <w:rsid w:val="00DA303E"/>
    <w:rsid w:val="00DA331A"/>
    <w:rsid w:val="00DA3538"/>
    <w:rsid w:val="00DA358A"/>
    <w:rsid w:val="00DA359A"/>
    <w:rsid w:val="00DA37AF"/>
    <w:rsid w:val="00DA39AD"/>
    <w:rsid w:val="00DA3A30"/>
    <w:rsid w:val="00DA3C39"/>
    <w:rsid w:val="00DA3D1D"/>
    <w:rsid w:val="00DA3D6D"/>
    <w:rsid w:val="00DA3F37"/>
    <w:rsid w:val="00DA427B"/>
    <w:rsid w:val="00DA42F6"/>
    <w:rsid w:val="00DA4804"/>
    <w:rsid w:val="00DA49B2"/>
    <w:rsid w:val="00DA49BB"/>
    <w:rsid w:val="00DA4CE7"/>
    <w:rsid w:val="00DA4E19"/>
    <w:rsid w:val="00DA5016"/>
    <w:rsid w:val="00DA5241"/>
    <w:rsid w:val="00DA5539"/>
    <w:rsid w:val="00DA56D0"/>
    <w:rsid w:val="00DA57BC"/>
    <w:rsid w:val="00DA5B22"/>
    <w:rsid w:val="00DA5C07"/>
    <w:rsid w:val="00DA6525"/>
    <w:rsid w:val="00DA6671"/>
    <w:rsid w:val="00DA68A2"/>
    <w:rsid w:val="00DA6A78"/>
    <w:rsid w:val="00DA72C6"/>
    <w:rsid w:val="00DA72E8"/>
    <w:rsid w:val="00DA74FB"/>
    <w:rsid w:val="00DA7762"/>
    <w:rsid w:val="00DA79C8"/>
    <w:rsid w:val="00DA7A5F"/>
    <w:rsid w:val="00DA7C14"/>
    <w:rsid w:val="00DA7EDC"/>
    <w:rsid w:val="00DB0031"/>
    <w:rsid w:val="00DB0138"/>
    <w:rsid w:val="00DB047D"/>
    <w:rsid w:val="00DB064C"/>
    <w:rsid w:val="00DB0A22"/>
    <w:rsid w:val="00DB0A53"/>
    <w:rsid w:val="00DB0A85"/>
    <w:rsid w:val="00DB0DFD"/>
    <w:rsid w:val="00DB10A4"/>
    <w:rsid w:val="00DB1116"/>
    <w:rsid w:val="00DB1150"/>
    <w:rsid w:val="00DB1584"/>
    <w:rsid w:val="00DB1CA7"/>
    <w:rsid w:val="00DB1DF3"/>
    <w:rsid w:val="00DB20EE"/>
    <w:rsid w:val="00DB2216"/>
    <w:rsid w:val="00DB27BB"/>
    <w:rsid w:val="00DB290A"/>
    <w:rsid w:val="00DB2980"/>
    <w:rsid w:val="00DB2995"/>
    <w:rsid w:val="00DB2B39"/>
    <w:rsid w:val="00DB2C9D"/>
    <w:rsid w:val="00DB2EB3"/>
    <w:rsid w:val="00DB2F91"/>
    <w:rsid w:val="00DB34CB"/>
    <w:rsid w:val="00DB360C"/>
    <w:rsid w:val="00DB369B"/>
    <w:rsid w:val="00DB38AC"/>
    <w:rsid w:val="00DB393A"/>
    <w:rsid w:val="00DB3B04"/>
    <w:rsid w:val="00DB3D79"/>
    <w:rsid w:val="00DB3E39"/>
    <w:rsid w:val="00DB4383"/>
    <w:rsid w:val="00DB4A6F"/>
    <w:rsid w:val="00DB4AC1"/>
    <w:rsid w:val="00DB4FEC"/>
    <w:rsid w:val="00DB501D"/>
    <w:rsid w:val="00DB50D2"/>
    <w:rsid w:val="00DB51D6"/>
    <w:rsid w:val="00DB523D"/>
    <w:rsid w:val="00DB538E"/>
    <w:rsid w:val="00DB546A"/>
    <w:rsid w:val="00DB582A"/>
    <w:rsid w:val="00DB58D8"/>
    <w:rsid w:val="00DB59CE"/>
    <w:rsid w:val="00DB5FDF"/>
    <w:rsid w:val="00DB6286"/>
    <w:rsid w:val="00DB643B"/>
    <w:rsid w:val="00DB645F"/>
    <w:rsid w:val="00DB6B5F"/>
    <w:rsid w:val="00DB6CE3"/>
    <w:rsid w:val="00DB71B7"/>
    <w:rsid w:val="00DB74CB"/>
    <w:rsid w:val="00DB76E9"/>
    <w:rsid w:val="00DB7711"/>
    <w:rsid w:val="00DB783C"/>
    <w:rsid w:val="00DB786D"/>
    <w:rsid w:val="00DB7B3E"/>
    <w:rsid w:val="00DB7BD8"/>
    <w:rsid w:val="00DB7C11"/>
    <w:rsid w:val="00DB7E99"/>
    <w:rsid w:val="00DB7F7C"/>
    <w:rsid w:val="00DC055D"/>
    <w:rsid w:val="00DC05A7"/>
    <w:rsid w:val="00DC0747"/>
    <w:rsid w:val="00DC08D7"/>
    <w:rsid w:val="00DC0A67"/>
    <w:rsid w:val="00DC0B11"/>
    <w:rsid w:val="00DC0B43"/>
    <w:rsid w:val="00DC0CA2"/>
    <w:rsid w:val="00DC0CB4"/>
    <w:rsid w:val="00DC0D26"/>
    <w:rsid w:val="00DC123D"/>
    <w:rsid w:val="00DC1314"/>
    <w:rsid w:val="00DC1561"/>
    <w:rsid w:val="00DC193F"/>
    <w:rsid w:val="00DC1A5C"/>
    <w:rsid w:val="00DC1BB8"/>
    <w:rsid w:val="00DC1D5E"/>
    <w:rsid w:val="00DC1E3A"/>
    <w:rsid w:val="00DC2226"/>
    <w:rsid w:val="00DC2313"/>
    <w:rsid w:val="00DC23A8"/>
    <w:rsid w:val="00DC26E3"/>
    <w:rsid w:val="00DC286C"/>
    <w:rsid w:val="00DC291B"/>
    <w:rsid w:val="00DC360B"/>
    <w:rsid w:val="00DC385D"/>
    <w:rsid w:val="00DC3984"/>
    <w:rsid w:val="00DC3F69"/>
    <w:rsid w:val="00DC48FA"/>
    <w:rsid w:val="00DC4909"/>
    <w:rsid w:val="00DC4BC7"/>
    <w:rsid w:val="00DC4ED5"/>
    <w:rsid w:val="00DC4F10"/>
    <w:rsid w:val="00DC505A"/>
    <w:rsid w:val="00DC5119"/>
    <w:rsid w:val="00DC51F2"/>
    <w:rsid w:val="00DC5220"/>
    <w:rsid w:val="00DC5406"/>
    <w:rsid w:val="00DC54BF"/>
    <w:rsid w:val="00DC54D5"/>
    <w:rsid w:val="00DC54E3"/>
    <w:rsid w:val="00DC564F"/>
    <w:rsid w:val="00DC5928"/>
    <w:rsid w:val="00DC5A2A"/>
    <w:rsid w:val="00DC5C34"/>
    <w:rsid w:val="00DC5C64"/>
    <w:rsid w:val="00DC5CA3"/>
    <w:rsid w:val="00DC5DA0"/>
    <w:rsid w:val="00DC5DBF"/>
    <w:rsid w:val="00DC5EB9"/>
    <w:rsid w:val="00DC61ED"/>
    <w:rsid w:val="00DC6363"/>
    <w:rsid w:val="00DC6CFF"/>
    <w:rsid w:val="00DC6E05"/>
    <w:rsid w:val="00DC6F5C"/>
    <w:rsid w:val="00DC71CB"/>
    <w:rsid w:val="00DC7433"/>
    <w:rsid w:val="00DC7910"/>
    <w:rsid w:val="00DC79C3"/>
    <w:rsid w:val="00DC7AF6"/>
    <w:rsid w:val="00DC7EED"/>
    <w:rsid w:val="00DD041B"/>
    <w:rsid w:val="00DD058A"/>
    <w:rsid w:val="00DD05F2"/>
    <w:rsid w:val="00DD06E8"/>
    <w:rsid w:val="00DD0729"/>
    <w:rsid w:val="00DD0793"/>
    <w:rsid w:val="00DD0C80"/>
    <w:rsid w:val="00DD1655"/>
    <w:rsid w:val="00DD1669"/>
    <w:rsid w:val="00DD1A8E"/>
    <w:rsid w:val="00DD1C53"/>
    <w:rsid w:val="00DD1C71"/>
    <w:rsid w:val="00DD1EAD"/>
    <w:rsid w:val="00DD2041"/>
    <w:rsid w:val="00DD2061"/>
    <w:rsid w:val="00DD218F"/>
    <w:rsid w:val="00DD27BE"/>
    <w:rsid w:val="00DD282A"/>
    <w:rsid w:val="00DD28DA"/>
    <w:rsid w:val="00DD29C7"/>
    <w:rsid w:val="00DD2A98"/>
    <w:rsid w:val="00DD2BA7"/>
    <w:rsid w:val="00DD345C"/>
    <w:rsid w:val="00DD34F0"/>
    <w:rsid w:val="00DD372A"/>
    <w:rsid w:val="00DD43B8"/>
    <w:rsid w:val="00DD46EF"/>
    <w:rsid w:val="00DD488C"/>
    <w:rsid w:val="00DD4896"/>
    <w:rsid w:val="00DD4DC3"/>
    <w:rsid w:val="00DD50ED"/>
    <w:rsid w:val="00DD52A7"/>
    <w:rsid w:val="00DD5542"/>
    <w:rsid w:val="00DD5774"/>
    <w:rsid w:val="00DD58C3"/>
    <w:rsid w:val="00DD5A5A"/>
    <w:rsid w:val="00DD5ED9"/>
    <w:rsid w:val="00DD66C9"/>
    <w:rsid w:val="00DD6A2B"/>
    <w:rsid w:val="00DD6B36"/>
    <w:rsid w:val="00DD6D84"/>
    <w:rsid w:val="00DD728C"/>
    <w:rsid w:val="00DD74A0"/>
    <w:rsid w:val="00DD7583"/>
    <w:rsid w:val="00DD7602"/>
    <w:rsid w:val="00DD762D"/>
    <w:rsid w:val="00DD7915"/>
    <w:rsid w:val="00DD79A3"/>
    <w:rsid w:val="00DD7AAA"/>
    <w:rsid w:val="00DD7CAF"/>
    <w:rsid w:val="00DD7DAB"/>
    <w:rsid w:val="00DD7DD0"/>
    <w:rsid w:val="00DE03FF"/>
    <w:rsid w:val="00DE05B6"/>
    <w:rsid w:val="00DE08B1"/>
    <w:rsid w:val="00DE0905"/>
    <w:rsid w:val="00DE0B72"/>
    <w:rsid w:val="00DE0D64"/>
    <w:rsid w:val="00DE10DD"/>
    <w:rsid w:val="00DE13F9"/>
    <w:rsid w:val="00DE1FE9"/>
    <w:rsid w:val="00DE20B2"/>
    <w:rsid w:val="00DE2539"/>
    <w:rsid w:val="00DE25B4"/>
    <w:rsid w:val="00DE2799"/>
    <w:rsid w:val="00DE2855"/>
    <w:rsid w:val="00DE2CEE"/>
    <w:rsid w:val="00DE305C"/>
    <w:rsid w:val="00DE306D"/>
    <w:rsid w:val="00DE31A4"/>
    <w:rsid w:val="00DE31C6"/>
    <w:rsid w:val="00DE3355"/>
    <w:rsid w:val="00DE3447"/>
    <w:rsid w:val="00DE377B"/>
    <w:rsid w:val="00DE37ED"/>
    <w:rsid w:val="00DE3E1F"/>
    <w:rsid w:val="00DE40F4"/>
    <w:rsid w:val="00DE41B3"/>
    <w:rsid w:val="00DE41E6"/>
    <w:rsid w:val="00DE44C9"/>
    <w:rsid w:val="00DE470F"/>
    <w:rsid w:val="00DE47E5"/>
    <w:rsid w:val="00DE485C"/>
    <w:rsid w:val="00DE49F8"/>
    <w:rsid w:val="00DE5292"/>
    <w:rsid w:val="00DE5347"/>
    <w:rsid w:val="00DE55DE"/>
    <w:rsid w:val="00DE58C5"/>
    <w:rsid w:val="00DE5963"/>
    <w:rsid w:val="00DE5C22"/>
    <w:rsid w:val="00DE5D07"/>
    <w:rsid w:val="00DE5EA5"/>
    <w:rsid w:val="00DE60F5"/>
    <w:rsid w:val="00DE63EC"/>
    <w:rsid w:val="00DE643F"/>
    <w:rsid w:val="00DE65D1"/>
    <w:rsid w:val="00DE66F2"/>
    <w:rsid w:val="00DE66F6"/>
    <w:rsid w:val="00DE6C8A"/>
    <w:rsid w:val="00DE6C99"/>
    <w:rsid w:val="00DE713E"/>
    <w:rsid w:val="00DE7356"/>
    <w:rsid w:val="00DE7461"/>
    <w:rsid w:val="00DE7CEF"/>
    <w:rsid w:val="00DE7E7F"/>
    <w:rsid w:val="00DE7FE0"/>
    <w:rsid w:val="00DE7FFC"/>
    <w:rsid w:val="00DF029E"/>
    <w:rsid w:val="00DF043B"/>
    <w:rsid w:val="00DF0461"/>
    <w:rsid w:val="00DF048B"/>
    <w:rsid w:val="00DF0B50"/>
    <w:rsid w:val="00DF0D6A"/>
    <w:rsid w:val="00DF0F2C"/>
    <w:rsid w:val="00DF10A0"/>
    <w:rsid w:val="00DF1132"/>
    <w:rsid w:val="00DF1334"/>
    <w:rsid w:val="00DF15D3"/>
    <w:rsid w:val="00DF17BB"/>
    <w:rsid w:val="00DF1A91"/>
    <w:rsid w:val="00DF1EDF"/>
    <w:rsid w:val="00DF1F02"/>
    <w:rsid w:val="00DF2328"/>
    <w:rsid w:val="00DF235A"/>
    <w:rsid w:val="00DF24B9"/>
    <w:rsid w:val="00DF2537"/>
    <w:rsid w:val="00DF2676"/>
    <w:rsid w:val="00DF2D9E"/>
    <w:rsid w:val="00DF2DEF"/>
    <w:rsid w:val="00DF2F98"/>
    <w:rsid w:val="00DF3000"/>
    <w:rsid w:val="00DF30B1"/>
    <w:rsid w:val="00DF3158"/>
    <w:rsid w:val="00DF315F"/>
    <w:rsid w:val="00DF32C9"/>
    <w:rsid w:val="00DF3395"/>
    <w:rsid w:val="00DF33DC"/>
    <w:rsid w:val="00DF35B5"/>
    <w:rsid w:val="00DF35E9"/>
    <w:rsid w:val="00DF3A9F"/>
    <w:rsid w:val="00DF3AF4"/>
    <w:rsid w:val="00DF3DEB"/>
    <w:rsid w:val="00DF3FC5"/>
    <w:rsid w:val="00DF402B"/>
    <w:rsid w:val="00DF4299"/>
    <w:rsid w:val="00DF4495"/>
    <w:rsid w:val="00DF44EB"/>
    <w:rsid w:val="00DF4838"/>
    <w:rsid w:val="00DF485F"/>
    <w:rsid w:val="00DF486F"/>
    <w:rsid w:val="00DF4C3D"/>
    <w:rsid w:val="00DF4C62"/>
    <w:rsid w:val="00DF51F5"/>
    <w:rsid w:val="00DF52F0"/>
    <w:rsid w:val="00DF5430"/>
    <w:rsid w:val="00DF551D"/>
    <w:rsid w:val="00DF5824"/>
    <w:rsid w:val="00DF5A2A"/>
    <w:rsid w:val="00DF5B5B"/>
    <w:rsid w:val="00DF5CA8"/>
    <w:rsid w:val="00DF5DB8"/>
    <w:rsid w:val="00DF6032"/>
    <w:rsid w:val="00DF65DD"/>
    <w:rsid w:val="00DF663F"/>
    <w:rsid w:val="00DF6918"/>
    <w:rsid w:val="00DF6C26"/>
    <w:rsid w:val="00DF6E10"/>
    <w:rsid w:val="00DF6F83"/>
    <w:rsid w:val="00DF6FFD"/>
    <w:rsid w:val="00DF7136"/>
    <w:rsid w:val="00DF7619"/>
    <w:rsid w:val="00DF7867"/>
    <w:rsid w:val="00DF788C"/>
    <w:rsid w:val="00DF7CE2"/>
    <w:rsid w:val="00DF7D92"/>
    <w:rsid w:val="00DF7DDD"/>
    <w:rsid w:val="00E00319"/>
    <w:rsid w:val="00E0038F"/>
    <w:rsid w:val="00E0039C"/>
    <w:rsid w:val="00E004D5"/>
    <w:rsid w:val="00E0066F"/>
    <w:rsid w:val="00E006D4"/>
    <w:rsid w:val="00E008A7"/>
    <w:rsid w:val="00E00A20"/>
    <w:rsid w:val="00E00EE1"/>
    <w:rsid w:val="00E012D4"/>
    <w:rsid w:val="00E0135A"/>
    <w:rsid w:val="00E01942"/>
    <w:rsid w:val="00E019A2"/>
    <w:rsid w:val="00E01BDF"/>
    <w:rsid w:val="00E01E01"/>
    <w:rsid w:val="00E01EDD"/>
    <w:rsid w:val="00E025C0"/>
    <w:rsid w:val="00E026FE"/>
    <w:rsid w:val="00E02720"/>
    <w:rsid w:val="00E027A6"/>
    <w:rsid w:val="00E02848"/>
    <w:rsid w:val="00E02BF7"/>
    <w:rsid w:val="00E0385C"/>
    <w:rsid w:val="00E03989"/>
    <w:rsid w:val="00E03CBA"/>
    <w:rsid w:val="00E03E28"/>
    <w:rsid w:val="00E040CF"/>
    <w:rsid w:val="00E04147"/>
    <w:rsid w:val="00E04234"/>
    <w:rsid w:val="00E042D8"/>
    <w:rsid w:val="00E04DD9"/>
    <w:rsid w:val="00E05089"/>
    <w:rsid w:val="00E05328"/>
    <w:rsid w:val="00E05363"/>
    <w:rsid w:val="00E059DD"/>
    <w:rsid w:val="00E05C4E"/>
    <w:rsid w:val="00E0623D"/>
    <w:rsid w:val="00E064CD"/>
    <w:rsid w:val="00E0665F"/>
    <w:rsid w:val="00E06BAD"/>
    <w:rsid w:val="00E06E23"/>
    <w:rsid w:val="00E06FF7"/>
    <w:rsid w:val="00E070DA"/>
    <w:rsid w:val="00E0776F"/>
    <w:rsid w:val="00E07D84"/>
    <w:rsid w:val="00E07DF9"/>
    <w:rsid w:val="00E07EE7"/>
    <w:rsid w:val="00E10212"/>
    <w:rsid w:val="00E10511"/>
    <w:rsid w:val="00E105BF"/>
    <w:rsid w:val="00E105EB"/>
    <w:rsid w:val="00E10B59"/>
    <w:rsid w:val="00E10C78"/>
    <w:rsid w:val="00E1103B"/>
    <w:rsid w:val="00E11088"/>
    <w:rsid w:val="00E112E8"/>
    <w:rsid w:val="00E1155F"/>
    <w:rsid w:val="00E1163F"/>
    <w:rsid w:val="00E116F3"/>
    <w:rsid w:val="00E11BDF"/>
    <w:rsid w:val="00E11BE9"/>
    <w:rsid w:val="00E11EE7"/>
    <w:rsid w:val="00E12262"/>
    <w:rsid w:val="00E123BE"/>
    <w:rsid w:val="00E1249A"/>
    <w:rsid w:val="00E1259B"/>
    <w:rsid w:val="00E125C3"/>
    <w:rsid w:val="00E12894"/>
    <w:rsid w:val="00E12A00"/>
    <w:rsid w:val="00E12A85"/>
    <w:rsid w:val="00E12AAB"/>
    <w:rsid w:val="00E12DFB"/>
    <w:rsid w:val="00E12E4C"/>
    <w:rsid w:val="00E1317D"/>
    <w:rsid w:val="00E133FE"/>
    <w:rsid w:val="00E13706"/>
    <w:rsid w:val="00E13AB1"/>
    <w:rsid w:val="00E1417F"/>
    <w:rsid w:val="00E142C3"/>
    <w:rsid w:val="00E14328"/>
    <w:rsid w:val="00E14351"/>
    <w:rsid w:val="00E14438"/>
    <w:rsid w:val="00E14469"/>
    <w:rsid w:val="00E14541"/>
    <w:rsid w:val="00E1484C"/>
    <w:rsid w:val="00E1496B"/>
    <w:rsid w:val="00E149B1"/>
    <w:rsid w:val="00E14A1D"/>
    <w:rsid w:val="00E14AFC"/>
    <w:rsid w:val="00E14B3A"/>
    <w:rsid w:val="00E14C27"/>
    <w:rsid w:val="00E1505E"/>
    <w:rsid w:val="00E15C97"/>
    <w:rsid w:val="00E15DFF"/>
    <w:rsid w:val="00E15E62"/>
    <w:rsid w:val="00E16756"/>
    <w:rsid w:val="00E16B47"/>
    <w:rsid w:val="00E16DB4"/>
    <w:rsid w:val="00E16F0D"/>
    <w:rsid w:val="00E17091"/>
    <w:rsid w:val="00E175EB"/>
    <w:rsid w:val="00E17863"/>
    <w:rsid w:val="00E178D9"/>
    <w:rsid w:val="00E179EF"/>
    <w:rsid w:val="00E17B44"/>
    <w:rsid w:val="00E17B8C"/>
    <w:rsid w:val="00E17D26"/>
    <w:rsid w:val="00E17FAE"/>
    <w:rsid w:val="00E2017B"/>
    <w:rsid w:val="00E2063F"/>
    <w:rsid w:val="00E207D3"/>
    <w:rsid w:val="00E2086A"/>
    <w:rsid w:val="00E20AFE"/>
    <w:rsid w:val="00E20CE2"/>
    <w:rsid w:val="00E20FCB"/>
    <w:rsid w:val="00E211F1"/>
    <w:rsid w:val="00E213D1"/>
    <w:rsid w:val="00E21506"/>
    <w:rsid w:val="00E215DF"/>
    <w:rsid w:val="00E21616"/>
    <w:rsid w:val="00E2162C"/>
    <w:rsid w:val="00E2169B"/>
    <w:rsid w:val="00E216F4"/>
    <w:rsid w:val="00E2184A"/>
    <w:rsid w:val="00E21BF7"/>
    <w:rsid w:val="00E22152"/>
    <w:rsid w:val="00E221A7"/>
    <w:rsid w:val="00E226F8"/>
    <w:rsid w:val="00E22A35"/>
    <w:rsid w:val="00E22B05"/>
    <w:rsid w:val="00E22B76"/>
    <w:rsid w:val="00E22C5D"/>
    <w:rsid w:val="00E22C6B"/>
    <w:rsid w:val="00E232BE"/>
    <w:rsid w:val="00E23597"/>
    <w:rsid w:val="00E236C5"/>
    <w:rsid w:val="00E23B61"/>
    <w:rsid w:val="00E23D56"/>
    <w:rsid w:val="00E23F89"/>
    <w:rsid w:val="00E24098"/>
    <w:rsid w:val="00E2413C"/>
    <w:rsid w:val="00E24166"/>
    <w:rsid w:val="00E24295"/>
    <w:rsid w:val="00E245A4"/>
    <w:rsid w:val="00E24A32"/>
    <w:rsid w:val="00E24B19"/>
    <w:rsid w:val="00E2513A"/>
    <w:rsid w:val="00E257B9"/>
    <w:rsid w:val="00E257E7"/>
    <w:rsid w:val="00E25A01"/>
    <w:rsid w:val="00E25AFA"/>
    <w:rsid w:val="00E25E23"/>
    <w:rsid w:val="00E25E9C"/>
    <w:rsid w:val="00E261D1"/>
    <w:rsid w:val="00E26890"/>
    <w:rsid w:val="00E26A6E"/>
    <w:rsid w:val="00E26BFF"/>
    <w:rsid w:val="00E26CD0"/>
    <w:rsid w:val="00E2703F"/>
    <w:rsid w:val="00E271A9"/>
    <w:rsid w:val="00E274D0"/>
    <w:rsid w:val="00E27580"/>
    <w:rsid w:val="00E27890"/>
    <w:rsid w:val="00E27B93"/>
    <w:rsid w:val="00E27CDA"/>
    <w:rsid w:val="00E27D35"/>
    <w:rsid w:val="00E27FEA"/>
    <w:rsid w:val="00E27FF6"/>
    <w:rsid w:val="00E30094"/>
    <w:rsid w:val="00E308A0"/>
    <w:rsid w:val="00E30936"/>
    <w:rsid w:val="00E30CD5"/>
    <w:rsid w:val="00E310C6"/>
    <w:rsid w:val="00E3124D"/>
    <w:rsid w:val="00E3132B"/>
    <w:rsid w:val="00E31481"/>
    <w:rsid w:val="00E3183D"/>
    <w:rsid w:val="00E318D1"/>
    <w:rsid w:val="00E32001"/>
    <w:rsid w:val="00E3205C"/>
    <w:rsid w:val="00E32089"/>
    <w:rsid w:val="00E32471"/>
    <w:rsid w:val="00E3248F"/>
    <w:rsid w:val="00E32C5A"/>
    <w:rsid w:val="00E3310F"/>
    <w:rsid w:val="00E3393D"/>
    <w:rsid w:val="00E33AA1"/>
    <w:rsid w:val="00E33AB7"/>
    <w:rsid w:val="00E33E49"/>
    <w:rsid w:val="00E34307"/>
    <w:rsid w:val="00E34DB9"/>
    <w:rsid w:val="00E35091"/>
    <w:rsid w:val="00E35145"/>
    <w:rsid w:val="00E353A8"/>
    <w:rsid w:val="00E3546B"/>
    <w:rsid w:val="00E3569B"/>
    <w:rsid w:val="00E35A59"/>
    <w:rsid w:val="00E35A71"/>
    <w:rsid w:val="00E35CDD"/>
    <w:rsid w:val="00E35CE3"/>
    <w:rsid w:val="00E35E45"/>
    <w:rsid w:val="00E36206"/>
    <w:rsid w:val="00E3624F"/>
    <w:rsid w:val="00E364F8"/>
    <w:rsid w:val="00E365F2"/>
    <w:rsid w:val="00E369F8"/>
    <w:rsid w:val="00E36A79"/>
    <w:rsid w:val="00E36B12"/>
    <w:rsid w:val="00E36D35"/>
    <w:rsid w:val="00E36D49"/>
    <w:rsid w:val="00E37360"/>
    <w:rsid w:val="00E376F8"/>
    <w:rsid w:val="00E37871"/>
    <w:rsid w:val="00E37CC8"/>
    <w:rsid w:val="00E37FCF"/>
    <w:rsid w:val="00E4007F"/>
    <w:rsid w:val="00E400DC"/>
    <w:rsid w:val="00E402E6"/>
    <w:rsid w:val="00E40614"/>
    <w:rsid w:val="00E4086F"/>
    <w:rsid w:val="00E408B4"/>
    <w:rsid w:val="00E40900"/>
    <w:rsid w:val="00E40C09"/>
    <w:rsid w:val="00E40C1B"/>
    <w:rsid w:val="00E40F04"/>
    <w:rsid w:val="00E40F82"/>
    <w:rsid w:val="00E40FC3"/>
    <w:rsid w:val="00E4115F"/>
    <w:rsid w:val="00E416EF"/>
    <w:rsid w:val="00E41800"/>
    <w:rsid w:val="00E4180B"/>
    <w:rsid w:val="00E41853"/>
    <w:rsid w:val="00E41A97"/>
    <w:rsid w:val="00E41ADB"/>
    <w:rsid w:val="00E41DF0"/>
    <w:rsid w:val="00E4202A"/>
    <w:rsid w:val="00E423DB"/>
    <w:rsid w:val="00E42CF3"/>
    <w:rsid w:val="00E42D7F"/>
    <w:rsid w:val="00E42ED4"/>
    <w:rsid w:val="00E42F00"/>
    <w:rsid w:val="00E43502"/>
    <w:rsid w:val="00E4357B"/>
    <w:rsid w:val="00E435AE"/>
    <w:rsid w:val="00E43677"/>
    <w:rsid w:val="00E438CD"/>
    <w:rsid w:val="00E439EC"/>
    <w:rsid w:val="00E43B3C"/>
    <w:rsid w:val="00E43DF9"/>
    <w:rsid w:val="00E4408C"/>
    <w:rsid w:val="00E44284"/>
    <w:rsid w:val="00E44557"/>
    <w:rsid w:val="00E4466E"/>
    <w:rsid w:val="00E4468B"/>
    <w:rsid w:val="00E44A00"/>
    <w:rsid w:val="00E44A9F"/>
    <w:rsid w:val="00E454DA"/>
    <w:rsid w:val="00E4566E"/>
    <w:rsid w:val="00E456BE"/>
    <w:rsid w:val="00E4571A"/>
    <w:rsid w:val="00E4575F"/>
    <w:rsid w:val="00E45B42"/>
    <w:rsid w:val="00E4627F"/>
    <w:rsid w:val="00E465B7"/>
    <w:rsid w:val="00E4666F"/>
    <w:rsid w:val="00E46BFD"/>
    <w:rsid w:val="00E46C29"/>
    <w:rsid w:val="00E46C9C"/>
    <w:rsid w:val="00E46E2F"/>
    <w:rsid w:val="00E46F21"/>
    <w:rsid w:val="00E46F5D"/>
    <w:rsid w:val="00E4726D"/>
    <w:rsid w:val="00E4741E"/>
    <w:rsid w:val="00E47433"/>
    <w:rsid w:val="00E47646"/>
    <w:rsid w:val="00E476E2"/>
    <w:rsid w:val="00E4777F"/>
    <w:rsid w:val="00E47825"/>
    <w:rsid w:val="00E47DF7"/>
    <w:rsid w:val="00E50091"/>
    <w:rsid w:val="00E50188"/>
    <w:rsid w:val="00E50485"/>
    <w:rsid w:val="00E50773"/>
    <w:rsid w:val="00E50AD6"/>
    <w:rsid w:val="00E50C91"/>
    <w:rsid w:val="00E50D8D"/>
    <w:rsid w:val="00E50DFF"/>
    <w:rsid w:val="00E511C8"/>
    <w:rsid w:val="00E513E5"/>
    <w:rsid w:val="00E515CB"/>
    <w:rsid w:val="00E51700"/>
    <w:rsid w:val="00E5197D"/>
    <w:rsid w:val="00E519E9"/>
    <w:rsid w:val="00E51B21"/>
    <w:rsid w:val="00E51D6B"/>
    <w:rsid w:val="00E51DA9"/>
    <w:rsid w:val="00E51F68"/>
    <w:rsid w:val="00E51FE5"/>
    <w:rsid w:val="00E52117"/>
    <w:rsid w:val="00E52260"/>
    <w:rsid w:val="00E52282"/>
    <w:rsid w:val="00E52492"/>
    <w:rsid w:val="00E52754"/>
    <w:rsid w:val="00E5282D"/>
    <w:rsid w:val="00E52AF8"/>
    <w:rsid w:val="00E52B39"/>
    <w:rsid w:val="00E53265"/>
    <w:rsid w:val="00E53401"/>
    <w:rsid w:val="00E53405"/>
    <w:rsid w:val="00E534AD"/>
    <w:rsid w:val="00E534D0"/>
    <w:rsid w:val="00E53A57"/>
    <w:rsid w:val="00E53B18"/>
    <w:rsid w:val="00E53BEE"/>
    <w:rsid w:val="00E53CC0"/>
    <w:rsid w:val="00E53E34"/>
    <w:rsid w:val="00E53EA6"/>
    <w:rsid w:val="00E53F8C"/>
    <w:rsid w:val="00E53FA7"/>
    <w:rsid w:val="00E5448F"/>
    <w:rsid w:val="00E5464D"/>
    <w:rsid w:val="00E5481E"/>
    <w:rsid w:val="00E550F0"/>
    <w:rsid w:val="00E55359"/>
    <w:rsid w:val="00E553C7"/>
    <w:rsid w:val="00E556CE"/>
    <w:rsid w:val="00E55AD8"/>
    <w:rsid w:val="00E55F88"/>
    <w:rsid w:val="00E56310"/>
    <w:rsid w:val="00E5633C"/>
    <w:rsid w:val="00E563C9"/>
    <w:rsid w:val="00E5657F"/>
    <w:rsid w:val="00E5671B"/>
    <w:rsid w:val="00E5681A"/>
    <w:rsid w:val="00E5682B"/>
    <w:rsid w:val="00E56868"/>
    <w:rsid w:val="00E5699C"/>
    <w:rsid w:val="00E56D9C"/>
    <w:rsid w:val="00E56DCC"/>
    <w:rsid w:val="00E56EF7"/>
    <w:rsid w:val="00E5716C"/>
    <w:rsid w:val="00E57234"/>
    <w:rsid w:val="00E5774D"/>
    <w:rsid w:val="00E5792D"/>
    <w:rsid w:val="00E57A07"/>
    <w:rsid w:val="00E57A2D"/>
    <w:rsid w:val="00E6012D"/>
    <w:rsid w:val="00E6039B"/>
    <w:rsid w:val="00E60525"/>
    <w:rsid w:val="00E6058F"/>
    <w:rsid w:val="00E609DB"/>
    <w:rsid w:val="00E609F6"/>
    <w:rsid w:val="00E60A65"/>
    <w:rsid w:val="00E60E1F"/>
    <w:rsid w:val="00E60E75"/>
    <w:rsid w:val="00E61055"/>
    <w:rsid w:val="00E611DA"/>
    <w:rsid w:val="00E612D3"/>
    <w:rsid w:val="00E61366"/>
    <w:rsid w:val="00E61564"/>
    <w:rsid w:val="00E618C3"/>
    <w:rsid w:val="00E61C60"/>
    <w:rsid w:val="00E61CF3"/>
    <w:rsid w:val="00E6256E"/>
    <w:rsid w:val="00E625AE"/>
    <w:rsid w:val="00E62637"/>
    <w:rsid w:val="00E626E3"/>
    <w:rsid w:val="00E6285E"/>
    <w:rsid w:val="00E629CF"/>
    <w:rsid w:val="00E62F85"/>
    <w:rsid w:val="00E62FFB"/>
    <w:rsid w:val="00E632C7"/>
    <w:rsid w:val="00E633B3"/>
    <w:rsid w:val="00E637E5"/>
    <w:rsid w:val="00E639B6"/>
    <w:rsid w:val="00E63A1E"/>
    <w:rsid w:val="00E63AC6"/>
    <w:rsid w:val="00E64074"/>
    <w:rsid w:val="00E6425D"/>
    <w:rsid w:val="00E6434B"/>
    <w:rsid w:val="00E64411"/>
    <w:rsid w:val="00E6463D"/>
    <w:rsid w:val="00E64978"/>
    <w:rsid w:val="00E64B9D"/>
    <w:rsid w:val="00E64BD4"/>
    <w:rsid w:val="00E64F73"/>
    <w:rsid w:val="00E64F8B"/>
    <w:rsid w:val="00E64FC4"/>
    <w:rsid w:val="00E65015"/>
    <w:rsid w:val="00E6508F"/>
    <w:rsid w:val="00E65291"/>
    <w:rsid w:val="00E65475"/>
    <w:rsid w:val="00E655C2"/>
    <w:rsid w:val="00E658ED"/>
    <w:rsid w:val="00E65A63"/>
    <w:rsid w:val="00E65EAC"/>
    <w:rsid w:val="00E65EF0"/>
    <w:rsid w:val="00E65F00"/>
    <w:rsid w:val="00E6608A"/>
    <w:rsid w:val="00E6618A"/>
    <w:rsid w:val="00E6619A"/>
    <w:rsid w:val="00E667E7"/>
    <w:rsid w:val="00E66CE0"/>
    <w:rsid w:val="00E66E37"/>
    <w:rsid w:val="00E67156"/>
    <w:rsid w:val="00E672BF"/>
    <w:rsid w:val="00E6737C"/>
    <w:rsid w:val="00E673AD"/>
    <w:rsid w:val="00E67698"/>
    <w:rsid w:val="00E67BB4"/>
    <w:rsid w:val="00E67CEC"/>
    <w:rsid w:val="00E701DF"/>
    <w:rsid w:val="00E7073D"/>
    <w:rsid w:val="00E70AB5"/>
    <w:rsid w:val="00E70BA5"/>
    <w:rsid w:val="00E70BE7"/>
    <w:rsid w:val="00E70C56"/>
    <w:rsid w:val="00E70D79"/>
    <w:rsid w:val="00E70F63"/>
    <w:rsid w:val="00E70FF3"/>
    <w:rsid w:val="00E7103B"/>
    <w:rsid w:val="00E710BB"/>
    <w:rsid w:val="00E712E1"/>
    <w:rsid w:val="00E71400"/>
    <w:rsid w:val="00E71435"/>
    <w:rsid w:val="00E71461"/>
    <w:rsid w:val="00E7146C"/>
    <w:rsid w:val="00E7151E"/>
    <w:rsid w:val="00E7160B"/>
    <w:rsid w:val="00E718C1"/>
    <w:rsid w:val="00E71998"/>
    <w:rsid w:val="00E71DAB"/>
    <w:rsid w:val="00E71DD9"/>
    <w:rsid w:val="00E7203E"/>
    <w:rsid w:val="00E721EF"/>
    <w:rsid w:val="00E72507"/>
    <w:rsid w:val="00E72557"/>
    <w:rsid w:val="00E725C1"/>
    <w:rsid w:val="00E72733"/>
    <w:rsid w:val="00E72BC1"/>
    <w:rsid w:val="00E72BE4"/>
    <w:rsid w:val="00E72E9B"/>
    <w:rsid w:val="00E72F30"/>
    <w:rsid w:val="00E73064"/>
    <w:rsid w:val="00E730DF"/>
    <w:rsid w:val="00E73142"/>
    <w:rsid w:val="00E7354A"/>
    <w:rsid w:val="00E73678"/>
    <w:rsid w:val="00E7371B"/>
    <w:rsid w:val="00E73724"/>
    <w:rsid w:val="00E73968"/>
    <w:rsid w:val="00E73AD0"/>
    <w:rsid w:val="00E73B82"/>
    <w:rsid w:val="00E73D3E"/>
    <w:rsid w:val="00E73D4E"/>
    <w:rsid w:val="00E73DF2"/>
    <w:rsid w:val="00E73F8E"/>
    <w:rsid w:val="00E73F9C"/>
    <w:rsid w:val="00E74063"/>
    <w:rsid w:val="00E74086"/>
    <w:rsid w:val="00E74B16"/>
    <w:rsid w:val="00E74C79"/>
    <w:rsid w:val="00E74E4E"/>
    <w:rsid w:val="00E75094"/>
    <w:rsid w:val="00E75246"/>
    <w:rsid w:val="00E7558D"/>
    <w:rsid w:val="00E7585B"/>
    <w:rsid w:val="00E7590E"/>
    <w:rsid w:val="00E75B66"/>
    <w:rsid w:val="00E75D64"/>
    <w:rsid w:val="00E75E40"/>
    <w:rsid w:val="00E76176"/>
    <w:rsid w:val="00E7622B"/>
    <w:rsid w:val="00E7662C"/>
    <w:rsid w:val="00E76890"/>
    <w:rsid w:val="00E76C54"/>
    <w:rsid w:val="00E77133"/>
    <w:rsid w:val="00E771F7"/>
    <w:rsid w:val="00E771FA"/>
    <w:rsid w:val="00E775FB"/>
    <w:rsid w:val="00E77841"/>
    <w:rsid w:val="00E7796C"/>
    <w:rsid w:val="00E77DF8"/>
    <w:rsid w:val="00E802CC"/>
    <w:rsid w:val="00E80625"/>
    <w:rsid w:val="00E806FD"/>
    <w:rsid w:val="00E80741"/>
    <w:rsid w:val="00E8079C"/>
    <w:rsid w:val="00E8081E"/>
    <w:rsid w:val="00E80B8D"/>
    <w:rsid w:val="00E80C32"/>
    <w:rsid w:val="00E80F76"/>
    <w:rsid w:val="00E81251"/>
    <w:rsid w:val="00E8177F"/>
    <w:rsid w:val="00E819D5"/>
    <w:rsid w:val="00E81D6D"/>
    <w:rsid w:val="00E81DBE"/>
    <w:rsid w:val="00E81E65"/>
    <w:rsid w:val="00E81EE1"/>
    <w:rsid w:val="00E81F10"/>
    <w:rsid w:val="00E82062"/>
    <w:rsid w:val="00E82211"/>
    <w:rsid w:val="00E824B3"/>
    <w:rsid w:val="00E82707"/>
    <w:rsid w:val="00E82A01"/>
    <w:rsid w:val="00E82A14"/>
    <w:rsid w:val="00E82B5A"/>
    <w:rsid w:val="00E82DAC"/>
    <w:rsid w:val="00E82ECD"/>
    <w:rsid w:val="00E8320E"/>
    <w:rsid w:val="00E83361"/>
    <w:rsid w:val="00E83586"/>
    <w:rsid w:val="00E8389A"/>
    <w:rsid w:val="00E838DE"/>
    <w:rsid w:val="00E839D4"/>
    <w:rsid w:val="00E83AFA"/>
    <w:rsid w:val="00E83B5F"/>
    <w:rsid w:val="00E83D14"/>
    <w:rsid w:val="00E83F5B"/>
    <w:rsid w:val="00E840F6"/>
    <w:rsid w:val="00E8427D"/>
    <w:rsid w:val="00E84411"/>
    <w:rsid w:val="00E846D5"/>
    <w:rsid w:val="00E849DA"/>
    <w:rsid w:val="00E84B60"/>
    <w:rsid w:val="00E84FA4"/>
    <w:rsid w:val="00E85172"/>
    <w:rsid w:val="00E85215"/>
    <w:rsid w:val="00E85771"/>
    <w:rsid w:val="00E857C1"/>
    <w:rsid w:val="00E8587F"/>
    <w:rsid w:val="00E85976"/>
    <w:rsid w:val="00E859BA"/>
    <w:rsid w:val="00E86144"/>
    <w:rsid w:val="00E86253"/>
    <w:rsid w:val="00E8653F"/>
    <w:rsid w:val="00E869AD"/>
    <w:rsid w:val="00E86DFA"/>
    <w:rsid w:val="00E87078"/>
    <w:rsid w:val="00E871CA"/>
    <w:rsid w:val="00E872D4"/>
    <w:rsid w:val="00E87706"/>
    <w:rsid w:val="00E879A6"/>
    <w:rsid w:val="00E87B05"/>
    <w:rsid w:val="00E87DC1"/>
    <w:rsid w:val="00E87F07"/>
    <w:rsid w:val="00E90039"/>
    <w:rsid w:val="00E90139"/>
    <w:rsid w:val="00E90175"/>
    <w:rsid w:val="00E9021D"/>
    <w:rsid w:val="00E90421"/>
    <w:rsid w:val="00E90450"/>
    <w:rsid w:val="00E908A4"/>
    <w:rsid w:val="00E90936"/>
    <w:rsid w:val="00E90947"/>
    <w:rsid w:val="00E90985"/>
    <w:rsid w:val="00E909EC"/>
    <w:rsid w:val="00E90A1E"/>
    <w:rsid w:val="00E90DB9"/>
    <w:rsid w:val="00E9114E"/>
    <w:rsid w:val="00E912D0"/>
    <w:rsid w:val="00E91321"/>
    <w:rsid w:val="00E9153F"/>
    <w:rsid w:val="00E91A33"/>
    <w:rsid w:val="00E91C87"/>
    <w:rsid w:val="00E91C95"/>
    <w:rsid w:val="00E91E4B"/>
    <w:rsid w:val="00E92294"/>
    <w:rsid w:val="00E927C6"/>
    <w:rsid w:val="00E92872"/>
    <w:rsid w:val="00E92BA1"/>
    <w:rsid w:val="00E92ECA"/>
    <w:rsid w:val="00E930BB"/>
    <w:rsid w:val="00E933F0"/>
    <w:rsid w:val="00E9350B"/>
    <w:rsid w:val="00E93B76"/>
    <w:rsid w:val="00E93B7C"/>
    <w:rsid w:val="00E940FC"/>
    <w:rsid w:val="00E941A7"/>
    <w:rsid w:val="00E941C7"/>
    <w:rsid w:val="00E943C1"/>
    <w:rsid w:val="00E9462E"/>
    <w:rsid w:val="00E946A4"/>
    <w:rsid w:val="00E94ABE"/>
    <w:rsid w:val="00E94BB4"/>
    <w:rsid w:val="00E94BE9"/>
    <w:rsid w:val="00E952BA"/>
    <w:rsid w:val="00E952EB"/>
    <w:rsid w:val="00E952F1"/>
    <w:rsid w:val="00E9546D"/>
    <w:rsid w:val="00E956AB"/>
    <w:rsid w:val="00E95BC6"/>
    <w:rsid w:val="00E9602A"/>
    <w:rsid w:val="00E96444"/>
    <w:rsid w:val="00E96902"/>
    <w:rsid w:val="00E9692D"/>
    <w:rsid w:val="00E96B89"/>
    <w:rsid w:val="00E96BAC"/>
    <w:rsid w:val="00E96F82"/>
    <w:rsid w:val="00E97248"/>
    <w:rsid w:val="00E9745A"/>
    <w:rsid w:val="00E97544"/>
    <w:rsid w:val="00E97ADF"/>
    <w:rsid w:val="00E97E16"/>
    <w:rsid w:val="00E97E69"/>
    <w:rsid w:val="00E97F2B"/>
    <w:rsid w:val="00EA005A"/>
    <w:rsid w:val="00EA065A"/>
    <w:rsid w:val="00EA06F2"/>
    <w:rsid w:val="00EA0711"/>
    <w:rsid w:val="00EA07F4"/>
    <w:rsid w:val="00EA0959"/>
    <w:rsid w:val="00EA0A67"/>
    <w:rsid w:val="00EA0BC6"/>
    <w:rsid w:val="00EA0DD2"/>
    <w:rsid w:val="00EA0E3F"/>
    <w:rsid w:val="00EA0F67"/>
    <w:rsid w:val="00EA11C9"/>
    <w:rsid w:val="00EA14E3"/>
    <w:rsid w:val="00EA1523"/>
    <w:rsid w:val="00EA1C9C"/>
    <w:rsid w:val="00EA1E3C"/>
    <w:rsid w:val="00EA21C2"/>
    <w:rsid w:val="00EA226B"/>
    <w:rsid w:val="00EA2293"/>
    <w:rsid w:val="00EA259A"/>
    <w:rsid w:val="00EA25C2"/>
    <w:rsid w:val="00EA277C"/>
    <w:rsid w:val="00EA282C"/>
    <w:rsid w:val="00EA2C4C"/>
    <w:rsid w:val="00EA2C89"/>
    <w:rsid w:val="00EA3106"/>
    <w:rsid w:val="00EA3248"/>
    <w:rsid w:val="00EA338B"/>
    <w:rsid w:val="00EA36D9"/>
    <w:rsid w:val="00EA37A9"/>
    <w:rsid w:val="00EA3840"/>
    <w:rsid w:val="00EA3903"/>
    <w:rsid w:val="00EA3E88"/>
    <w:rsid w:val="00EA403B"/>
    <w:rsid w:val="00EA42CE"/>
    <w:rsid w:val="00EA432D"/>
    <w:rsid w:val="00EA44D8"/>
    <w:rsid w:val="00EA4628"/>
    <w:rsid w:val="00EA464E"/>
    <w:rsid w:val="00EA470E"/>
    <w:rsid w:val="00EA47A7"/>
    <w:rsid w:val="00EA4AD5"/>
    <w:rsid w:val="00EA4D4B"/>
    <w:rsid w:val="00EA5408"/>
    <w:rsid w:val="00EA54E2"/>
    <w:rsid w:val="00EA5518"/>
    <w:rsid w:val="00EA5609"/>
    <w:rsid w:val="00EA579D"/>
    <w:rsid w:val="00EA57EB"/>
    <w:rsid w:val="00EA5887"/>
    <w:rsid w:val="00EA596B"/>
    <w:rsid w:val="00EA5A60"/>
    <w:rsid w:val="00EA5CFE"/>
    <w:rsid w:val="00EA5F7A"/>
    <w:rsid w:val="00EA6008"/>
    <w:rsid w:val="00EA608D"/>
    <w:rsid w:val="00EA6597"/>
    <w:rsid w:val="00EA65D4"/>
    <w:rsid w:val="00EA697A"/>
    <w:rsid w:val="00EA6D84"/>
    <w:rsid w:val="00EA74A1"/>
    <w:rsid w:val="00EA759A"/>
    <w:rsid w:val="00EA770C"/>
    <w:rsid w:val="00EA77D8"/>
    <w:rsid w:val="00EA78B9"/>
    <w:rsid w:val="00EA7936"/>
    <w:rsid w:val="00EA7A75"/>
    <w:rsid w:val="00EA7AD0"/>
    <w:rsid w:val="00EA7B3F"/>
    <w:rsid w:val="00EB0194"/>
    <w:rsid w:val="00EB04F4"/>
    <w:rsid w:val="00EB05BB"/>
    <w:rsid w:val="00EB06A8"/>
    <w:rsid w:val="00EB07ED"/>
    <w:rsid w:val="00EB09E0"/>
    <w:rsid w:val="00EB0EED"/>
    <w:rsid w:val="00EB129A"/>
    <w:rsid w:val="00EB12B2"/>
    <w:rsid w:val="00EB139A"/>
    <w:rsid w:val="00EB147B"/>
    <w:rsid w:val="00EB1525"/>
    <w:rsid w:val="00EB1620"/>
    <w:rsid w:val="00EB1A1F"/>
    <w:rsid w:val="00EB1D75"/>
    <w:rsid w:val="00EB1DDE"/>
    <w:rsid w:val="00EB1EAD"/>
    <w:rsid w:val="00EB1F9C"/>
    <w:rsid w:val="00EB2583"/>
    <w:rsid w:val="00EB284C"/>
    <w:rsid w:val="00EB2A54"/>
    <w:rsid w:val="00EB2ECC"/>
    <w:rsid w:val="00EB2F44"/>
    <w:rsid w:val="00EB2F50"/>
    <w:rsid w:val="00EB2F96"/>
    <w:rsid w:val="00EB2FD3"/>
    <w:rsid w:val="00EB3226"/>
    <w:rsid w:val="00EB32E7"/>
    <w:rsid w:val="00EB3616"/>
    <w:rsid w:val="00EB3643"/>
    <w:rsid w:val="00EB36FB"/>
    <w:rsid w:val="00EB38CF"/>
    <w:rsid w:val="00EB3CA0"/>
    <w:rsid w:val="00EB3DE4"/>
    <w:rsid w:val="00EB3E02"/>
    <w:rsid w:val="00EB41C1"/>
    <w:rsid w:val="00EB434A"/>
    <w:rsid w:val="00EB4B25"/>
    <w:rsid w:val="00EB4E8C"/>
    <w:rsid w:val="00EB4F34"/>
    <w:rsid w:val="00EB52C5"/>
    <w:rsid w:val="00EB5945"/>
    <w:rsid w:val="00EB5A3F"/>
    <w:rsid w:val="00EB5DC4"/>
    <w:rsid w:val="00EB6234"/>
    <w:rsid w:val="00EB6289"/>
    <w:rsid w:val="00EB62BB"/>
    <w:rsid w:val="00EB6708"/>
    <w:rsid w:val="00EB6713"/>
    <w:rsid w:val="00EB6741"/>
    <w:rsid w:val="00EB6ADE"/>
    <w:rsid w:val="00EB6DA8"/>
    <w:rsid w:val="00EB7271"/>
    <w:rsid w:val="00EB732D"/>
    <w:rsid w:val="00EB73A9"/>
    <w:rsid w:val="00EB73C9"/>
    <w:rsid w:val="00EB74F3"/>
    <w:rsid w:val="00EB7809"/>
    <w:rsid w:val="00EB7A22"/>
    <w:rsid w:val="00EB7EBC"/>
    <w:rsid w:val="00EB7FAE"/>
    <w:rsid w:val="00EC006E"/>
    <w:rsid w:val="00EC046D"/>
    <w:rsid w:val="00EC058D"/>
    <w:rsid w:val="00EC0760"/>
    <w:rsid w:val="00EC07C3"/>
    <w:rsid w:val="00EC0906"/>
    <w:rsid w:val="00EC1090"/>
    <w:rsid w:val="00EC162A"/>
    <w:rsid w:val="00EC164F"/>
    <w:rsid w:val="00EC17C8"/>
    <w:rsid w:val="00EC1830"/>
    <w:rsid w:val="00EC18D1"/>
    <w:rsid w:val="00EC1D55"/>
    <w:rsid w:val="00EC1D9B"/>
    <w:rsid w:val="00EC213A"/>
    <w:rsid w:val="00EC21A9"/>
    <w:rsid w:val="00EC22CE"/>
    <w:rsid w:val="00EC22F2"/>
    <w:rsid w:val="00EC27C5"/>
    <w:rsid w:val="00EC2C65"/>
    <w:rsid w:val="00EC2CAD"/>
    <w:rsid w:val="00EC31C3"/>
    <w:rsid w:val="00EC3278"/>
    <w:rsid w:val="00EC3586"/>
    <w:rsid w:val="00EC363A"/>
    <w:rsid w:val="00EC374D"/>
    <w:rsid w:val="00EC3EE0"/>
    <w:rsid w:val="00EC3F08"/>
    <w:rsid w:val="00EC3FF1"/>
    <w:rsid w:val="00EC406F"/>
    <w:rsid w:val="00EC416A"/>
    <w:rsid w:val="00EC423D"/>
    <w:rsid w:val="00EC4496"/>
    <w:rsid w:val="00EC449E"/>
    <w:rsid w:val="00EC4878"/>
    <w:rsid w:val="00EC4CB4"/>
    <w:rsid w:val="00EC515B"/>
    <w:rsid w:val="00EC525E"/>
    <w:rsid w:val="00EC537F"/>
    <w:rsid w:val="00EC544D"/>
    <w:rsid w:val="00EC5A1F"/>
    <w:rsid w:val="00EC5B4E"/>
    <w:rsid w:val="00EC5D44"/>
    <w:rsid w:val="00EC615D"/>
    <w:rsid w:val="00EC61BC"/>
    <w:rsid w:val="00EC62FE"/>
    <w:rsid w:val="00EC631A"/>
    <w:rsid w:val="00EC6592"/>
    <w:rsid w:val="00EC6603"/>
    <w:rsid w:val="00EC6606"/>
    <w:rsid w:val="00EC670A"/>
    <w:rsid w:val="00EC6775"/>
    <w:rsid w:val="00EC683F"/>
    <w:rsid w:val="00EC6848"/>
    <w:rsid w:val="00EC6881"/>
    <w:rsid w:val="00EC68F1"/>
    <w:rsid w:val="00EC6D82"/>
    <w:rsid w:val="00EC6F8C"/>
    <w:rsid w:val="00EC73DA"/>
    <w:rsid w:val="00EC7512"/>
    <w:rsid w:val="00EC7533"/>
    <w:rsid w:val="00EC7744"/>
    <w:rsid w:val="00EC9025"/>
    <w:rsid w:val="00ED016E"/>
    <w:rsid w:val="00ED0336"/>
    <w:rsid w:val="00ED037C"/>
    <w:rsid w:val="00ED0391"/>
    <w:rsid w:val="00ED04D8"/>
    <w:rsid w:val="00ED056E"/>
    <w:rsid w:val="00ED076D"/>
    <w:rsid w:val="00ED0A9A"/>
    <w:rsid w:val="00ED0ACA"/>
    <w:rsid w:val="00ED0D1F"/>
    <w:rsid w:val="00ED0D93"/>
    <w:rsid w:val="00ED0DAD"/>
    <w:rsid w:val="00ED0EA4"/>
    <w:rsid w:val="00ED0F46"/>
    <w:rsid w:val="00ED1451"/>
    <w:rsid w:val="00ED156A"/>
    <w:rsid w:val="00ED16A7"/>
    <w:rsid w:val="00ED16B9"/>
    <w:rsid w:val="00ED18FB"/>
    <w:rsid w:val="00ED1C72"/>
    <w:rsid w:val="00ED1DC3"/>
    <w:rsid w:val="00ED2043"/>
    <w:rsid w:val="00ED214D"/>
    <w:rsid w:val="00ED2373"/>
    <w:rsid w:val="00ED23F2"/>
    <w:rsid w:val="00ED24FD"/>
    <w:rsid w:val="00ED2B7C"/>
    <w:rsid w:val="00ED2BEB"/>
    <w:rsid w:val="00ED2DEB"/>
    <w:rsid w:val="00ED3179"/>
    <w:rsid w:val="00ED333C"/>
    <w:rsid w:val="00ED39D3"/>
    <w:rsid w:val="00ED3ABC"/>
    <w:rsid w:val="00ED3C56"/>
    <w:rsid w:val="00ED435F"/>
    <w:rsid w:val="00ED4C22"/>
    <w:rsid w:val="00ED4C52"/>
    <w:rsid w:val="00ED4CBA"/>
    <w:rsid w:val="00ED4E52"/>
    <w:rsid w:val="00ED505D"/>
    <w:rsid w:val="00ED5325"/>
    <w:rsid w:val="00ED5354"/>
    <w:rsid w:val="00ED538B"/>
    <w:rsid w:val="00ED557C"/>
    <w:rsid w:val="00ED5BE9"/>
    <w:rsid w:val="00ED6021"/>
    <w:rsid w:val="00ED65E2"/>
    <w:rsid w:val="00ED6703"/>
    <w:rsid w:val="00ED6736"/>
    <w:rsid w:val="00ED6BC7"/>
    <w:rsid w:val="00ED6C07"/>
    <w:rsid w:val="00ED6CC7"/>
    <w:rsid w:val="00ED6CF1"/>
    <w:rsid w:val="00ED6D79"/>
    <w:rsid w:val="00ED6E1E"/>
    <w:rsid w:val="00ED6E3D"/>
    <w:rsid w:val="00ED7091"/>
    <w:rsid w:val="00ED7312"/>
    <w:rsid w:val="00ED73AD"/>
    <w:rsid w:val="00ED7442"/>
    <w:rsid w:val="00ED7544"/>
    <w:rsid w:val="00ED7675"/>
    <w:rsid w:val="00ED775B"/>
    <w:rsid w:val="00ED7A00"/>
    <w:rsid w:val="00ED7C53"/>
    <w:rsid w:val="00ED7E8A"/>
    <w:rsid w:val="00EE0058"/>
    <w:rsid w:val="00EE0083"/>
    <w:rsid w:val="00EE0258"/>
    <w:rsid w:val="00EE034B"/>
    <w:rsid w:val="00EE03FC"/>
    <w:rsid w:val="00EE0408"/>
    <w:rsid w:val="00EE0629"/>
    <w:rsid w:val="00EE07E1"/>
    <w:rsid w:val="00EE0B2F"/>
    <w:rsid w:val="00EE0E43"/>
    <w:rsid w:val="00EE0EE3"/>
    <w:rsid w:val="00EE103A"/>
    <w:rsid w:val="00EE112D"/>
    <w:rsid w:val="00EE1358"/>
    <w:rsid w:val="00EE1632"/>
    <w:rsid w:val="00EE1850"/>
    <w:rsid w:val="00EE199F"/>
    <w:rsid w:val="00EE2054"/>
    <w:rsid w:val="00EE2388"/>
    <w:rsid w:val="00EE2530"/>
    <w:rsid w:val="00EE2605"/>
    <w:rsid w:val="00EE272E"/>
    <w:rsid w:val="00EE2835"/>
    <w:rsid w:val="00EE29D2"/>
    <w:rsid w:val="00EE2C45"/>
    <w:rsid w:val="00EE33DB"/>
    <w:rsid w:val="00EE36C3"/>
    <w:rsid w:val="00EE3830"/>
    <w:rsid w:val="00EE3980"/>
    <w:rsid w:val="00EE3A3A"/>
    <w:rsid w:val="00EE3A9F"/>
    <w:rsid w:val="00EE3AA7"/>
    <w:rsid w:val="00EE3D7D"/>
    <w:rsid w:val="00EE3E8A"/>
    <w:rsid w:val="00EE3EDA"/>
    <w:rsid w:val="00EE3FBA"/>
    <w:rsid w:val="00EE407C"/>
    <w:rsid w:val="00EE47FE"/>
    <w:rsid w:val="00EE490A"/>
    <w:rsid w:val="00EE4A4C"/>
    <w:rsid w:val="00EE4A98"/>
    <w:rsid w:val="00EE4BA3"/>
    <w:rsid w:val="00EE4D36"/>
    <w:rsid w:val="00EE4D72"/>
    <w:rsid w:val="00EE4E9D"/>
    <w:rsid w:val="00EE5425"/>
    <w:rsid w:val="00EE59CE"/>
    <w:rsid w:val="00EE59E1"/>
    <w:rsid w:val="00EE5C0E"/>
    <w:rsid w:val="00EE5CF6"/>
    <w:rsid w:val="00EE5F07"/>
    <w:rsid w:val="00EE5F8E"/>
    <w:rsid w:val="00EE5FCE"/>
    <w:rsid w:val="00EE6151"/>
    <w:rsid w:val="00EE61C3"/>
    <w:rsid w:val="00EE66F1"/>
    <w:rsid w:val="00EE69C9"/>
    <w:rsid w:val="00EE7077"/>
    <w:rsid w:val="00EE73F9"/>
    <w:rsid w:val="00EE7537"/>
    <w:rsid w:val="00EE75D7"/>
    <w:rsid w:val="00EE794F"/>
    <w:rsid w:val="00EE7BA1"/>
    <w:rsid w:val="00EE7E4B"/>
    <w:rsid w:val="00EE7F01"/>
    <w:rsid w:val="00EF01C5"/>
    <w:rsid w:val="00EF051F"/>
    <w:rsid w:val="00EF061C"/>
    <w:rsid w:val="00EF06A0"/>
    <w:rsid w:val="00EF0728"/>
    <w:rsid w:val="00EF0A89"/>
    <w:rsid w:val="00EF0BE7"/>
    <w:rsid w:val="00EF0CFA"/>
    <w:rsid w:val="00EF0DBA"/>
    <w:rsid w:val="00EF12C9"/>
    <w:rsid w:val="00EF1514"/>
    <w:rsid w:val="00EF160B"/>
    <w:rsid w:val="00EF16C3"/>
    <w:rsid w:val="00EF16D8"/>
    <w:rsid w:val="00EF17B0"/>
    <w:rsid w:val="00EF17D2"/>
    <w:rsid w:val="00EF1C61"/>
    <w:rsid w:val="00EF2382"/>
    <w:rsid w:val="00EF24E9"/>
    <w:rsid w:val="00EF2581"/>
    <w:rsid w:val="00EF3018"/>
    <w:rsid w:val="00EF34A8"/>
    <w:rsid w:val="00EF35A5"/>
    <w:rsid w:val="00EF375F"/>
    <w:rsid w:val="00EF3943"/>
    <w:rsid w:val="00EF3B98"/>
    <w:rsid w:val="00EF3BC1"/>
    <w:rsid w:val="00EF3F77"/>
    <w:rsid w:val="00EF400D"/>
    <w:rsid w:val="00EF443C"/>
    <w:rsid w:val="00EF44E0"/>
    <w:rsid w:val="00EF4688"/>
    <w:rsid w:val="00EF4740"/>
    <w:rsid w:val="00EF4942"/>
    <w:rsid w:val="00EF4993"/>
    <w:rsid w:val="00EF4A04"/>
    <w:rsid w:val="00EF4C08"/>
    <w:rsid w:val="00EF4C9E"/>
    <w:rsid w:val="00EF4CE8"/>
    <w:rsid w:val="00EF51A1"/>
    <w:rsid w:val="00EF521F"/>
    <w:rsid w:val="00EF5364"/>
    <w:rsid w:val="00EF53AF"/>
    <w:rsid w:val="00EF547B"/>
    <w:rsid w:val="00EF547F"/>
    <w:rsid w:val="00EF5C4A"/>
    <w:rsid w:val="00EF5E71"/>
    <w:rsid w:val="00EF5FDB"/>
    <w:rsid w:val="00EF62F7"/>
    <w:rsid w:val="00EF65DE"/>
    <w:rsid w:val="00EF6670"/>
    <w:rsid w:val="00EF6785"/>
    <w:rsid w:val="00EF67F7"/>
    <w:rsid w:val="00EF6D80"/>
    <w:rsid w:val="00EF6DD3"/>
    <w:rsid w:val="00EF6ECA"/>
    <w:rsid w:val="00EF6F84"/>
    <w:rsid w:val="00EF70DB"/>
    <w:rsid w:val="00EF746C"/>
    <w:rsid w:val="00EF749C"/>
    <w:rsid w:val="00EF7908"/>
    <w:rsid w:val="00EF7D59"/>
    <w:rsid w:val="00EF7D62"/>
    <w:rsid w:val="00EF7DE9"/>
    <w:rsid w:val="00EF7EBF"/>
    <w:rsid w:val="00F003FD"/>
    <w:rsid w:val="00F004F0"/>
    <w:rsid w:val="00F0087E"/>
    <w:rsid w:val="00F009DD"/>
    <w:rsid w:val="00F00AC9"/>
    <w:rsid w:val="00F00B71"/>
    <w:rsid w:val="00F00B77"/>
    <w:rsid w:val="00F00DF5"/>
    <w:rsid w:val="00F011B6"/>
    <w:rsid w:val="00F01212"/>
    <w:rsid w:val="00F0143F"/>
    <w:rsid w:val="00F015CE"/>
    <w:rsid w:val="00F01BBF"/>
    <w:rsid w:val="00F01C02"/>
    <w:rsid w:val="00F01DA5"/>
    <w:rsid w:val="00F01EEF"/>
    <w:rsid w:val="00F01F43"/>
    <w:rsid w:val="00F020D1"/>
    <w:rsid w:val="00F021FD"/>
    <w:rsid w:val="00F0223D"/>
    <w:rsid w:val="00F022CB"/>
    <w:rsid w:val="00F0243B"/>
    <w:rsid w:val="00F0248A"/>
    <w:rsid w:val="00F024E1"/>
    <w:rsid w:val="00F0259D"/>
    <w:rsid w:val="00F02693"/>
    <w:rsid w:val="00F0275C"/>
    <w:rsid w:val="00F02BB2"/>
    <w:rsid w:val="00F0331A"/>
    <w:rsid w:val="00F033D3"/>
    <w:rsid w:val="00F033E6"/>
    <w:rsid w:val="00F03442"/>
    <w:rsid w:val="00F0349C"/>
    <w:rsid w:val="00F036BB"/>
    <w:rsid w:val="00F03737"/>
    <w:rsid w:val="00F039FC"/>
    <w:rsid w:val="00F03DC5"/>
    <w:rsid w:val="00F03FED"/>
    <w:rsid w:val="00F04029"/>
    <w:rsid w:val="00F0410D"/>
    <w:rsid w:val="00F04258"/>
    <w:rsid w:val="00F04542"/>
    <w:rsid w:val="00F04BD8"/>
    <w:rsid w:val="00F04CC1"/>
    <w:rsid w:val="00F05489"/>
    <w:rsid w:val="00F05559"/>
    <w:rsid w:val="00F0588D"/>
    <w:rsid w:val="00F05C0F"/>
    <w:rsid w:val="00F05E0C"/>
    <w:rsid w:val="00F060A2"/>
    <w:rsid w:val="00F0613A"/>
    <w:rsid w:val="00F06263"/>
    <w:rsid w:val="00F06A53"/>
    <w:rsid w:val="00F06C10"/>
    <w:rsid w:val="00F06C50"/>
    <w:rsid w:val="00F070C8"/>
    <w:rsid w:val="00F0717D"/>
    <w:rsid w:val="00F0718C"/>
    <w:rsid w:val="00F071D4"/>
    <w:rsid w:val="00F07311"/>
    <w:rsid w:val="00F07334"/>
    <w:rsid w:val="00F0739A"/>
    <w:rsid w:val="00F073E8"/>
    <w:rsid w:val="00F0768B"/>
    <w:rsid w:val="00F07C30"/>
    <w:rsid w:val="00F104BD"/>
    <w:rsid w:val="00F10651"/>
    <w:rsid w:val="00F1096F"/>
    <w:rsid w:val="00F10A5A"/>
    <w:rsid w:val="00F10AB4"/>
    <w:rsid w:val="00F10CFB"/>
    <w:rsid w:val="00F111AB"/>
    <w:rsid w:val="00F11293"/>
    <w:rsid w:val="00F11367"/>
    <w:rsid w:val="00F11500"/>
    <w:rsid w:val="00F11503"/>
    <w:rsid w:val="00F116B7"/>
    <w:rsid w:val="00F116FB"/>
    <w:rsid w:val="00F117F6"/>
    <w:rsid w:val="00F11B7E"/>
    <w:rsid w:val="00F121CB"/>
    <w:rsid w:val="00F122C3"/>
    <w:rsid w:val="00F12589"/>
    <w:rsid w:val="00F12595"/>
    <w:rsid w:val="00F125C4"/>
    <w:rsid w:val="00F12690"/>
    <w:rsid w:val="00F12FD7"/>
    <w:rsid w:val="00F131C8"/>
    <w:rsid w:val="00F131D7"/>
    <w:rsid w:val="00F13248"/>
    <w:rsid w:val="00F132BA"/>
    <w:rsid w:val="00F134D9"/>
    <w:rsid w:val="00F13514"/>
    <w:rsid w:val="00F1358F"/>
    <w:rsid w:val="00F135DB"/>
    <w:rsid w:val="00F13810"/>
    <w:rsid w:val="00F13848"/>
    <w:rsid w:val="00F13A2E"/>
    <w:rsid w:val="00F13BAD"/>
    <w:rsid w:val="00F13BC3"/>
    <w:rsid w:val="00F1403D"/>
    <w:rsid w:val="00F14326"/>
    <w:rsid w:val="00F145CD"/>
    <w:rsid w:val="00F1463F"/>
    <w:rsid w:val="00F14B03"/>
    <w:rsid w:val="00F14F26"/>
    <w:rsid w:val="00F151F0"/>
    <w:rsid w:val="00F15274"/>
    <w:rsid w:val="00F153F2"/>
    <w:rsid w:val="00F1548C"/>
    <w:rsid w:val="00F15507"/>
    <w:rsid w:val="00F155E7"/>
    <w:rsid w:val="00F1587D"/>
    <w:rsid w:val="00F15C65"/>
    <w:rsid w:val="00F15CE8"/>
    <w:rsid w:val="00F15E03"/>
    <w:rsid w:val="00F16609"/>
    <w:rsid w:val="00F1664A"/>
    <w:rsid w:val="00F166DF"/>
    <w:rsid w:val="00F16996"/>
    <w:rsid w:val="00F16B03"/>
    <w:rsid w:val="00F16CDC"/>
    <w:rsid w:val="00F16D15"/>
    <w:rsid w:val="00F16EA6"/>
    <w:rsid w:val="00F16ED5"/>
    <w:rsid w:val="00F170DF"/>
    <w:rsid w:val="00F171D8"/>
    <w:rsid w:val="00F1777D"/>
    <w:rsid w:val="00F17884"/>
    <w:rsid w:val="00F17894"/>
    <w:rsid w:val="00F17A0A"/>
    <w:rsid w:val="00F17BB8"/>
    <w:rsid w:val="00F17E29"/>
    <w:rsid w:val="00F17E46"/>
    <w:rsid w:val="00F17ECD"/>
    <w:rsid w:val="00F20882"/>
    <w:rsid w:val="00F20A58"/>
    <w:rsid w:val="00F20A9F"/>
    <w:rsid w:val="00F20AB0"/>
    <w:rsid w:val="00F20C8A"/>
    <w:rsid w:val="00F20CC2"/>
    <w:rsid w:val="00F20D86"/>
    <w:rsid w:val="00F20E1F"/>
    <w:rsid w:val="00F20EE5"/>
    <w:rsid w:val="00F20FC2"/>
    <w:rsid w:val="00F210BC"/>
    <w:rsid w:val="00F2122A"/>
    <w:rsid w:val="00F2124D"/>
    <w:rsid w:val="00F21302"/>
    <w:rsid w:val="00F2133D"/>
    <w:rsid w:val="00F2183A"/>
    <w:rsid w:val="00F2183F"/>
    <w:rsid w:val="00F21B00"/>
    <w:rsid w:val="00F21DD5"/>
    <w:rsid w:val="00F222D6"/>
    <w:rsid w:val="00F223D9"/>
    <w:rsid w:val="00F22458"/>
    <w:rsid w:val="00F22B96"/>
    <w:rsid w:val="00F22BE8"/>
    <w:rsid w:val="00F22BEB"/>
    <w:rsid w:val="00F22C09"/>
    <w:rsid w:val="00F22C65"/>
    <w:rsid w:val="00F23020"/>
    <w:rsid w:val="00F23116"/>
    <w:rsid w:val="00F23221"/>
    <w:rsid w:val="00F2331D"/>
    <w:rsid w:val="00F2335D"/>
    <w:rsid w:val="00F23461"/>
    <w:rsid w:val="00F235AF"/>
    <w:rsid w:val="00F23841"/>
    <w:rsid w:val="00F240ED"/>
    <w:rsid w:val="00F24172"/>
    <w:rsid w:val="00F24370"/>
    <w:rsid w:val="00F244E8"/>
    <w:rsid w:val="00F24585"/>
    <w:rsid w:val="00F24799"/>
    <w:rsid w:val="00F24852"/>
    <w:rsid w:val="00F2492F"/>
    <w:rsid w:val="00F24D8E"/>
    <w:rsid w:val="00F25050"/>
    <w:rsid w:val="00F25239"/>
    <w:rsid w:val="00F252C0"/>
    <w:rsid w:val="00F25321"/>
    <w:rsid w:val="00F2548A"/>
    <w:rsid w:val="00F2554C"/>
    <w:rsid w:val="00F25815"/>
    <w:rsid w:val="00F2585A"/>
    <w:rsid w:val="00F25894"/>
    <w:rsid w:val="00F25AF0"/>
    <w:rsid w:val="00F25E30"/>
    <w:rsid w:val="00F25F88"/>
    <w:rsid w:val="00F262CB"/>
    <w:rsid w:val="00F2655E"/>
    <w:rsid w:val="00F26AF1"/>
    <w:rsid w:val="00F26B4C"/>
    <w:rsid w:val="00F26F10"/>
    <w:rsid w:val="00F26F60"/>
    <w:rsid w:val="00F26FF0"/>
    <w:rsid w:val="00F275A0"/>
    <w:rsid w:val="00F27900"/>
    <w:rsid w:val="00F279CF"/>
    <w:rsid w:val="00F27EA3"/>
    <w:rsid w:val="00F30447"/>
    <w:rsid w:val="00F3062B"/>
    <w:rsid w:val="00F307DF"/>
    <w:rsid w:val="00F309BC"/>
    <w:rsid w:val="00F30A72"/>
    <w:rsid w:val="00F30E43"/>
    <w:rsid w:val="00F31101"/>
    <w:rsid w:val="00F31147"/>
    <w:rsid w:val="00F31180"/>
    <w:rsid w:val="00F312FD"/>
    <w:rsid w:val="00F31471"/>
    <w:rsid w:val="00F31520"/>
    <w:rsid w:val="00F31AEF"/>
    <w:rsid w:val="00F31AFC"/>
    <w:rsid w:val="00F31EF1"/>
    <w:rsid w:val="00F321DE"/>
    <w:rsid w:val="00F3230D"/>
    <w:rsid w:val="00F32388"/>
    <w:rsid w:val="00F32618"/>
    <w:rsid w:val="00F327DD"/>
    <w:rsid w:val="00F32C6E"/>
    <w:rsid w:val="00F32FFD"/>
    <w:rsid w:val="00F33188"/>
    <w:rsid w:val="00F3323A"/>
    <w:rsid w:val="00F33294"/>
    <w:rsid w:val="00F332E4"/>
    <w:rsid w:val="00F333DA"/>
    <w:rsid w:val="00F3341A"/>
    <w:rsid w:val="00F3371D"/>
    <w:rsid w:val="00F33777"/>
    <w:rsid w:val="00F3388E"/>
    <w:rsid w:val="00F33C00"/>
    <w:rsid w:val="00F33D21"/>
    <w:rsid w:val="00F33DC0"/>
    <w:rsid w:val="00F33EAB"/>
    <w:rsid w:val="00F33F3E"/>
    <w:rsid w:val="00F340A4"/>
    <w:rsid w:val="00F3422E"/>
    <w:rsid w:val="00F34A76"/>
    <w:rsid w:val="00F34C10"/>
    <w:rsid w:val="00F34C19"/>
    <w:rsid w:val="00F34CEA"/>
    <w:rsid w:val="00F34D52"/>
    <w:rsid w:val="00F34E3E"/>
    <w:rsid w:val="00F34F4B"/>
    <w:rsid w:val="00F34F61"/>
    <w:rsid w:val="00F35382"/>
    <w:rsid w:val="00F35574"/>
    <w:rsid w:val="00F355D6"/>
    <w:rsid w:val="00F35754"/>
    <w:rsid w:val="00F357B2"/>
    <w:rsid w:val="00F35855"/>
    <w:rsid w:val="00F35AD0"/>
    <w:rsid w:val="00F35B7A"/>
    <w:rsid w:val="00F35C5D"/>
    <w:rsid w:val="00F35CD3"/>
    <w:rsid w:val="00F35D4A"/>
    <w:rsid w:val="00F36089"/>
    <w:rsid w:val="00F3627D"/>
    <w:rsid w:val="00F36527"/>
    <w:rsid w:val="00F367CD"/>
    <w:rsid w:val="00F36A32"/>
    <w:rsid w:val="00F36CCD"/>
    <w:rsid w:val="00F36E3E"/>
    <w:rsid w:val="00F37290"/>
    <w:rsid w:val="00F374DE"/>
    <w:rsid w:val="00F3775C"/>
    <w:rsid w:val="00F37A39"/>
    <w:rsid w:val="00F37BA9"/>
    <w:rsid w:val="00F37CA0"/>
    <w:rsid w:val="00F37EC6"/>
    <w:rsid w:val="00F4010A"/>
    <w:rsid w:val="00F40579"/>
    <w:rsid w:val="00F40648"/>
    <w:rsid w:val="00F4065B"/>
    <w:rsid w:val="00F40CE1"/>
    <w:rsid w:val="00F40D6B"/>
    <w:rsid w:val="00F40DE4"/>
    <w:rsid w:val="00F40F8D"/>
    <w:rsid w:val="00F41007"/>
    <w:rsid w:val="00F414CA"/>
    <w:rsid w:val="00F41AC8"/>
    <w:rsid w:val="00F41CF2"/>
    <w:rsid w:val="00F42112"/>
    <w:rsid w:val="00F4231E"/>
    <w:rsid w:val="00F42421"/>
    <w:rsid w:val="00F4248B"/>
    <w:rsid w:val="00F428B2"/>
    <w:rsid w:val="00F42B18"/>
    <w:rsid w:val="00F42E3D"/>
    <w:rsid w:val="00F432CF"/>
    <w:rsid w:val="00F43447"/>
    <w:rsid w:val="00F4355D"/>
    <w:rsid w:val="00F4357A"/>
    <w:rsid w:val="00F43A55"/>
    <w:rsid w:val="00F43B4D"/>
    <w:rsid w:val="00F4405B"/>
    <w:rsid w:val="00F4419A"/>
    <w:rsid w:val="00F44358"/>
    <w:rsid w:val="00F44A6C"/>
    <w:rsid w:val="00F44B95"/>
    <w:rsid w:val="00F44D42"/>
    <w:rsid w:val="00F44FB2"/>
    <w:rsid w:val="00F45015"/>
    <w:rsid w:val="00F45116"/>
    <w:rsid w:val="00F45696"/>
    <w:rsid w:val="00F45845"/>
    <w:rsid w:val="00F459DB"/>
    <w:rsid w:val="00F45E4A"/>
    <w:rsid w:val="00F45F97"/>
    <w:rsid w:val="00F46DCA"/>
    <w:rsid w:val="00F46DF7"/>
    <w:rsid w:val="00F472B5"/>
    <w:rsid w:val="00F4753C"/>
    <w:rsid w:val="00F477C8"/>
    <w:rsid w:val="00F477D0"/>
    <w:rsid w:val="00F47801"/>
    <w:rsid w:val="00F47DA2"/>
    <w:rsid w:val="00F47DFD"/>
    <w:rsid w:val="00F4FBD5"/>
    <w:rsid w:val="00F500D0"/>
    <w:rsid w:val="00F50417"/>
    <w:rsid w:val="00F505BD"/>
    <w:rsid w:val="00F508B2"/>
    <w:rsid w:val="00F50A2C"/>
    <w:rsid w:val="00F50F31"/>
    <w:rsid w:val="00F50F63"/>
    <w:rsid w:val="00F5146C"/>
    <w:rsid w:val="00F517C1"/>
    <w:rsid w:val="00F5183C"/>
    <w:rsid w:val="00F519FC"/>
    <w:rsid w:val="00F51A41"/>
    <w:rsid w:val="00F51E23"/>
    <w:rsid w:val="00F52532"/>
    <w:rsid w:val="00F52742"/>
    <w:rsid w:val="00F528A6"/>
    <w:rsid w:val="00F5291C"/>
    <w:rsid w:val="00F52973"/>
    <w:rsid w:val="00F52B1C"/>
    <w:rsid w:val="00F53909"/>
    <w:rsid w:val="00F5395F"/>
    <w:rsid w:val="00F53F3A"/>
    <w:rsid w:val="00F53F68"/>
    <w:rsid w:val="00F53FF8"/>
    <w:rsid w:val="00F54149"/>
    <w:rsid w:val="00F54170"/>
    <w:rsid w:val="00F542AA"/>
    <w:rsid w:val="00F547AA"/>
    <w:rsid w:val="00F54C0F"/>
    <w:rsid w:val="00F54DFA"/>
    <w:rsid w:val="00F54E2E"/>
    <w:rsid w:val="00F54EBD"/>
    <w:rsid w:val="00F54F02"/>
    <w:rsid w:val="00F54F0E"/>
    <w:rsid w:val="00F55153"/>
    <w:rsid w:val="00F55599"/>
    <w:rsid w:val="00F555CB"/>
    <w:rsid w:val="00F55793"/>
    <w:rsid w:val="00F55820"/>
    <w:rsid w:val="00F5591A"/>
    <w:rsid w:val="00F55977"/>
    <w:rsid w:val="00F55AD3"/>
    <w:rsid w:val="00F55BDD"/>
    <w:rsid w:val="00F55C10"/>
    <w:rsid w:val="00F55C5F"/>
    <w:rsid w:val="00F55CFE"/>
    <w:rsid w:val="00F55F11"/>
    <w:rsid w:val="00F55F5D"/>
    <w:rsid w:val="00F56502"/>
    <w:rsid w:val="00F5659F"/>
    <w:rsid w:val="00F56707"/>
    <w:rsid w:val="00F56739"/>
    <w:rsid w:val="00F5682E"/>
    <w:rsid w:val="00F5691C"/>
    <w:rsid w:val="00F569C2"/>
    <w:rsid w:val="00F56A84"/>
    <w:rsid w:val="00F56B83"/>
    <w:rsid w:val="00F56B8A"/>
    <w:rsid w:val="00F56BFD"/>
    <w:rsid w:val="00F56D7A"/>
    <w:rsid w:val="00F5716E"/>
    <w:rsid w:val="00F57770"/>
    <w:rsid w:val="00F577B3"/>
    <w:rsid w:val="00F57908"/>
    <w:rsid w:val="00F57B2E"/>
    <w:rsid w:val="00F57C2D"/>
    <w:rsid w:val="00F57D56"/>
    <w:rsid w:val="00F6003D"/>
    <w:rsid w:val="00F600FC"/>
    <w:rsid w:val="00F6012A"/>
    <w:rsid w:val="00F601F4"/>
    <w:rsid w:val="00F6024F"/>
    <w:rsid w:val="00F60438"/>
    <w:rsid w:val="00F605F8"/>
    <w:rsid w:val="00F60950"/>
    <w:rsid w:val="00F60B35"/>
    <w:rsid w:val="00F60CFA"/>
    <w:rsid w:val="00F60EFF"/>
    <w:rsid w:val="00F60FAE"/>
    <w:rsid w:val="00F613A3"/>
    <w:rsid w:val="00F61456"/>
    <w:rsid w:val="00F615F5"/>
    <w:rsid w:val="00F616E1"/>
    <w:rsid w:val="00F617E8"/>
    <w:rsid w:val="00F61986"/>
    <w:rsid w:val="00F61A46"/>
    <w:rsid w:val="00F61A75"/>
    <w:rsid w:val="00F61DA4"/>
    <w:rsid w:val="00F6200D"/>
    <w:rsid w:val="00F62107"/>
    <w:rsid w:val="00F6239D"/>
    <w:rsid w:val="00F6274F"/>
    <w:rsid w:val="00F62B31"/>
    <w:rsid w:val="00F62EE0"/>
    <w:rsid w:val="00F63186"/>
    <w:rsid w:val="00F631D9"/>
    <w:rsid w:val="00F63533"/>
    <w:rsid w:val="00F639AE"/>
    <w:rsid w:val="00F63EE7"/>
    <w:rsid w:val="00F641BA"/>
    <w:rsid w:val="00F641BB"/>
    <w:rsid w:val="00F643A4"/>
    <w:rsid w:val="00F64465"/>
    <w:rsid w:val="00F64467"/>
    <w:rsid w:val="00F64530"/>
    <w:rsid w:val="00F6482B"/>
    <w:rsid w:val="00F64D3A"/>
    <w:rsid w:val="00F651C4"/>
    <w:rsid w:val="00F65B1E"/>
    <w:rsid w:val="00F65CCA"/>
    <w:rsid w:val="00F65CD3"/>
    <w:rsid w:val="00F65EA5"/>
    <w:rsid w:val="00F6610F"/>
    <w:rsid w:val="00F66383"/>
    <w:rsid w:val="00F66674"/>
    <w:rsid w:val="00F66731"/>
    <w:rsid w:val="00F66BEB"/>
    <w:rsid w:val="00F66BFD"/>
    <w:rsid w:val="00F66C85"/>
    <w:rsid w:val="00F67068"/>
    <w:rsid w:val="00F670BC"/>
    <w:rsid w:val="00F67461"/>
    <w:rsid w:val="00F67702"/>
    <w:rsid w:val="00F67B76"/>
    <w:rsid w:val="00F67DA0"/>
    <w:rsid w:val="00F67E99"/>
    <w:rsid w:val="00F70097"/>
    <w:rsid w:val="00F70156"/>
    <w:rsid w:val="00F702F9"/>
    <w:rsid w:val="00F7031B"/>
    <w:rsid w:val="00F703B7"/>
    <w:rsid w:val="00F70644"/>
    <w:rsid w:val="00F7072A"/>
    <w:rsid w:val="00F70AD1"/>
    <w:rsid w:val="00F714DD"/>
    <w:rsid w:val="00F71503"/>
    <w:rsid w:val="00F715C9"/>
    <w:rsid w:val="00F715D2"/>
    <w:rsid w:val="00F717F4"/>
    <w:rsid w:val="00F71AA8"/>
    <w:rsid w:val="00F71B9D"/>
    <w:rsid w:val="00F71C43"/>
    <w:rsid w:val="00F71C9E"/>
    <w:rsid w:val="00F71F7D"/>
    <w:rsid w:val="00F72025"/>
    <w:rsid w:val="00F7209A"/>
    <w:rsid w:val="00F721EB"/>
    <w:rsid w:val="00F72249"/>
    <w:rsid w:val="00F722A3"/>
    <w:rsid w:val="00F726D5"/>
    <w:rsid w:val="00F72731"/>
    <w:rsid w:val="00F7274F"/>
    <w:rsid w:val="00F72AF7"/>
    <w:rsid w:val="00F72E27"/>
    <w:rsid w:val="00F72E5C"/>
    <w:rsid w:val="00F72E9B"/>
    <w:rsid w:val="00F7302D"/>
    <w:rsid w:val="00F7303C"/>
    <w:rsid w:val="00F7387B"/>
    <w:rsid w:val="00F7397A"/>
    <w:rsid w:val="00F73A81"/>
    <w:rsid w:val="00F73C0E"/>
    <w:rsid w:val="00F746BD"/>
    <w:rsid w:val="00F749D3"/>
    <w:rsid w:val="00F74A96"/>
    <w:rsid w:val="00F74AD1"/>
    <w:rsid w:val="00F74B0A"/>
    <w:rsid w:val="00F74B13"/>
    <w:rsid w:val="00F74BCC"/>
    <w:rsid w:val="00F74CA4"/>
    <w:rsid w:val="00F75244"/>
    <w:rsid w:val="00F7532A"/>
    <w:rsid w:val="00F753CD"/>
    <w:rsid w:val="00F75738"/>
    <w:rsid w:val="00F75814"/>
    <w:rsid w:val="00F75B0E"/>
    <w:rsid w:val="00F7639B"/>
    <w:rsid w:val="00F76499"/>
    <w:rsid w:val="00F769A5"/>
    <w:rsid w:val="00F76DF2"/>
    <w:rsid w:val="00F76EE0"/>
    <w:rsid w:val="00F76FA8"/>
    <w:rsid w:val="00F77088"/>
    <w:rsid w:val="00F7715A"/>
    <w:rsid w:val="00F7734B"/>
    <w:rsid w:val="00F7771B"/>
    <w:rsid w:val="00F7781D"/>
    <w:rsid w:val="00F779C6"/>
    <w:rsid w:val="00F77D97"/>
    <w:rsid w:val="00F800B6"/>
    <w:rsid w:val="00F800E0"/>
    <w:rsid w:val="00F80A37"/>
    <w:rsid w:val="00F80AA4"/>
    <w:rsid w:val="00F80B08"/>
    <w:rsid w:val="00F80D2A"/>
    <w:rsid w:val="00F80E41"/>
    <w:rsid w:val="00F81044"/>
    <w:rsid w:val="00F811D6"/>
    <w:rsid w:val="00F811E9"/>
    <w:rsid w:val="00F814C6"/>
    <w:rsid w:val="00F81A5A"/>
    <w:rsid w:val="00F81A8A"/>
    <w:rsid w:val="00F81AA0"/>
    <w:rsid w:val="00F81AB8"/>
    <w:rsid w:val="00F81B2F"/>
    <w:rsid w:val="00F81B73"/>
    <w:rsid w:val="00F81B8F"/>
    <w:rsid w:val="00F81B90"/>
    <w:rsid w:val="00F81D10"/>
    <w:rsid w:val="00F81D63"/>
    <w:rsid w:val="00F81E7C"/>
    <w:rsid w:val="00F820D8"/>
    <w:rsid w:val="00F822C5"/>
    <w:rsid w:val="00F82435"/>
    <w:rsid w:val="00F824D6"/>
    <w:rsid w:val="00F824F0"/>
    <w:rsid w:val="00F8273B"/>
    <w:rsid w:val="00F82A37"/>
    <w:rsid w:val="00F82CCF"/>
    <w:rsid w:val="00F82D19"/>
    <w:rsid w:val="00F83010"/>
    <w:rsid w:val="00F8322B"/>
    <w:rsid w:val="00F833F7"/>
    <w:rsid w:val="00F83495"/>
    <w:rsid w:val="00F83B28"/>
    <w:rsid w:val="00F83B29"/>
    <w:rsid w:val="00F83E28"/>
    <w:rsid w:val="00F8408B"/>
    <w:rsid w:val="00F84117"/>
    <w:rsid w:val="00F843C5"/>
    <w:rsid w:val="00F84424"/>
    <w:rsid w:val="00F848F5"/>
    <w:rsid w:val="00F84B7D"/>
    <w:rsid w:val="00F84DD6"/>
    <w:rsid w:val="00F8565E"/>
    <w:rsid w:val="00F8570A"/>
    <w:rsid w:val="00F85935"/>
    <w:rsid w:val="00F8597C"/>
    <w:rsid w:val="00F85A29"/>
    <w:rsid w:val="00F85A5A"/>
    <w:rsid w:val="00F85AA5"/>
    <w:rsid w:val="00F86236"/>
    <w:rsid w:val="00F862A9"/>
    <w:rsid w:val="00F864A7"/>
    <w:rsid w:val="00F86543"/>
    <w:rsid w:val="00F868C2"/>
    <w:rsid w:val="00F8694B"/>
    <w:rsid w:val="00F8698D"/>
    <w:rsid w:val="00F869FD"/>
    <w:rsid w:val="00F86AEF"/>
    <w:rsid w:val="00F86AFA"/>
    <w:rsid w:val="00F86C58"/>
    <w:rsid w:val="00F86DED"/>
    <w:rsid w:val="00F86E28"/>
    <w:rsid w:val="00F873B3"/>
    <w:rsid w:val="00F87973"/>
    <w:rsid w:val="00F87A5A"/>
    <w:rsid w:val="00F87D85"/>
    <w:rsid w:val="00F9005A"/>
    <w:rsid w:val="00F90145"/>
    <w:rsid w:val="00F90195"/>
    <w:rsid w:val="00F90406"/>
    <w:rsid w:val="00F9048E"/>
    <w:rsid w:val="00F90664"/>
    <w:rsid w:val="00F909D0"/>
    <w:rsid w:val="00F90EE8"/>
    <w:rsid w:val="00F90FC0"/>
    <w:rsid w:val="00F91072"/>
    <w:rsid w:val="00F91386"/>
    <w:rsid w:val="00F91588"/>
    <w:rsid w:val="00F91592"/>
    <w:rsid w:val="00F9183A"/>
    <w:rsid w:val="00F91B3E"/>
    <w:rsid w:val="00F91E88"/>
    <w:rsid w:val="00F91FEC"/>
    <w:rsid w:val="00F92150"/>
    <w:rsid w:val="00F92565"/>
    <w:rsid w:val="00F92662"/>
    <w:rsid w:val="00F92735"/>
    <w:rsid w:val="00F927D0"/>
    <w:rsid w:val="00F9297D"/>
    <w:rsid w:val="00F92D90"/>
    <w:rsid w:val="00F92E33"/>
    <w:rsid w:val="00F92F1B"/>
    <w:rsid w:val="00F93791"/>
    <w:rsid w:val="00F9386D"/>
    <w:rsid w:val="00F93903"/>
    <w:rsid w:val="00F93BFC"/>
    <w:rsid w:val="00F93F08"/>
    <w:rsid w:val="00F93F2B"/>
    <w:rsid w:val="00F94311"/>
    <w:rsid w:val="00F9439F"/>
    <w:rsid w:val="00F947D2"/>
    <w:rsid w:val="00F94B02"/>
    <w:rsid w:val="00F94CED"/>
    <w:rsid w:val="00F951B4"/>
    <w:rsid w:val="00F95205"/>
    <w:rsid w:val="00F95298"/>
    <w:rsid w:val="00F9556E"/>
    <w:rsid w:val="00F957CD"/>
    <w:rsid w:val="00F95892"/>
    <w:rsid w:val="00F9599A"/>
    <w:rsid w:val="00F959F4"/>
    <w:rsid w:val="00F95A4F"/>
    <w:rsid w:val="00F95A54"/>
    <w:rsid w:val="00F95C3C"/>
    <w:rsid w:val="00F95E8F"/>
    <w:rsid w:val="00F96221"/>
    <w:rsid w:val="00F962AC"/>
    <w:rsid w:val="00F9664D"/>
    <w:rsid w:val="00F96B93"/>
    <w:rsid w:val="00F96E8D"/>
    <w:rsid w:val="00F96EA2"/>
    <w:rsid w:val="00F9702E"/>
    <w:rsid w:val="00F970A3"/>
    <w:rsid w:val="00F97601"/>
    <w:rsid w:val="00F97965"/>
    <w:rsid w:val="00F97971"/>
    <w:rsid w:val="00F97A3E"/>
    <w:rsid w:val="00F97BFD"/>
    <w:rsid w:val="00F97F64"/>
    <w:rsid w:val="00FA0158"/>
    <w:rsid w:val="00FA026B"/>
    <w:rsid w:val="00FA037C"/>
    <w:rsid w:val="00FA05CF"/>
    <w:rsid w:val="00FA05F1"/>
    <w:rsid w:val="00FA0941"/>
    <w:rsid w:val="00FA0A07"/>
    <w:rsid w:val="00FA0B25"/>
    <w:rsid w:val="00FA0C17"/>
    <w:rsid w:val="00FA0C89"/>
    <w:rsid w:val="00FA0E73"/>
    <w:rsid w:val="00FA194F"/>
    <w:rsid w:val="00FA1E2F"/>
    <w:rsid w:val="00FA1EE7"/>
    <w:rsid w:val="00FA1F7D"/>
    <w:rsid w:val="00FA1FFA"/>
    <w:rsid w:val="00FA24F0"/>
    <w:rsid w:val="00FA261B"/>
    <w:rsid w:val="00FA279E"/>
    <w:rsid w:val="00FA28CD"/>
    <w:rsid w:val="00FA28FA"/>
    <w:rsid w:val="00FA29A8"/>
    <w:rsid w:val="00FA2CBA"/>
    <w:rsid w:val="00FA2CEE"/>
    <w:rsid w:val="00FA2ED4"/>
    <w:rsid w:val="00FA2FD6"/>
    <w:rsid w:val="00FA318C"/>
    <w:rsid w:val="00FA33B2"/>
    <w:rsid w:val="00FA35F8"/>
    <w:rsid w:val="00FA3C9D"/>
    <w:rsid w:val="00FA400D"/>
    <w:rsid w:val="00FA401E"/>
    <w:rsid w:val="00FA45E8"/>
    <w:rsid w:val="00FA4714"/>
    <w:rsid w:val="00FA4780"/>
    <w:rsid w:val="00FA4BF2"/>
    <w:rsid w:val="00FA4C35"/>
    <w:rsid w:val="00FA4CDB"/>
    <w:rsid w:val="00FA4CE6"/>
    <w:rsid w:val="00FA4DCE"/>
    <w:rsid w:val="00FA501B"/>
    <w:rsid w:val="00FA531D"/>
    <w:rsid w:val="00FA5566"/>
    <w:rsid w:val="00FA569A"/>
    <w:rsid w:val="00FA5B54"/>
    <w:rsid w:val="00FA5D80"/>
    <w:rsid w:val="00FA5D89"/>
    <w:rsid w:val="00FA5ED5"/>
    <w:rsid w:val="00FA5FC5"/>
    <w:rsid w:val="00FA61A5"/>
    <w:rsid w:val="00FA6424"/>
    <w:rsid w:val="00FA65D1"/>
    <w:rsid w:val="00FA6B96"/>
    <w:rsid w:val="00FA6C61"/>
    <w:rsid w:val="00FA6DB5"/>
    <w:rsid w:val="00FA6E39"/>
    <w:rsid w:val="00FA74FB"/>
    <w:rsid w:val="00FA7725"/>
    <w:rsid w:val="00FA7898"/>
    <w:rsid w:val="00FA7A7E"/>
    <w:rsid w:val="00FA7AAE"/>
    <w:rsid w:val="00FA7E67"/>
    <w:rsid w:val="00FA7EC7"/>
    <w:rsid w:val="00FA7ED6"/>
    <w:rsid w:val="00FB0335"/>
    <w:rsid w:val="00FB0823"/>
    <w:rsid w:val="00FB0DF6"/>
    <w:rsid w:val="00FB1122"/>
    <w:rsid w:val="00FB1154"/>
    <w:rsid w:val="00FB11E0"/>
    <w:rsid w:val="00FB1281"/>
    <w:rsid w:val="00FB148B"/>
    <w:rsid w:val="00FB1519"/>
    <w:rsid w:val="00FB1691"/>
    <w:rsid w:val="00FB19A1"/>
    <w:rsid w:val="00FB19EF"/>
    <w:rsid w:val="00FB20C3"/>
    <w:rsid w:val="00FB2224"/>
    <w:rsid w:val="00FB242A"/>
    <w:rsid w:val="00FB245C"/>
    <w:rsid w:val="00FB2699"/>
    <w:rsid w:val="00FB28D5"/>
    <w:rsid w:val="00FB29C1"/>
    <w:rsid w:val="00FB2A13"/>
    <w:rsid w:val="00FB3095"/>
    <w:rsid w:val="00FB31E4"/>
    <w:rsid w:val="00FB337B"/>
    <w:rsid w:val="00FB34B0"/>
    <w:rsid w:val="00FB364E"/>
    <w:rsid w:val="00FB38BE"/>
    <w:rsid w:val="00FB3981"/>
    <w:rsid w:val="00FB3AAA"/>
    <w:rsid w:val="00FB3C4A"/>
    <w:rsid w:val="00FB3D30"/>
    <w:rsid w:val="00FB3D92"/>
    <w:rsid w:val="00FB3DE1"/>
    <w:rsid w:val="00FB409E"/>
    <w:rsid w:val="00FB4276"/>
    <w:rsid w:val="00FB4286"/>
    <w:rsid w:val="00FB4369"/>
    <w:rsid w:val="00FB4429"/>
    <w:rsid w:val="00FB4548"/>
    <w:rsid w:val="00FB45B8"/>
    <w:rsid w:val="00FB4606"/>
    <w:rsid w:val="00FB48C1"/>
    <w:rsid w:val="00FB4907"/>
    <w:rsid w:val="00FB4BE9"/>
    <w:rsid w:val="00FB4C84"/>
    <w:rsid w:val="00FB4D03"/>
    <w:rsid w:val="00FB4D8C"/>
    <w:rsid w:val="00FB5359"/>
    <w:rsid w:val="00FB5369"/>
    <w:rsid w:val="00FB5552"/>
    <w:rsid w:val="00FB557C"/>
    <w:rsid w:val="00FB5860"/>
    <w:rsid w:val="00FB58AE"/>
    <w:rsid w:val="00FB5939"/>
    <w:rsid w:val="00FB599C"/>
    <w:rsid w:val="00FB5A00"/>
    <w:rsid w:val="00FB5FA0"/>
    <w:rsid w:val="00FB6110"/>
    <w:rsid w:val="00FB651F"/>
    <w:rsid w:val="00FB6641"/>
    <w:rsid w:val="00FB6664"/>
    <w:rsid w:val="00FB686C"/>
    <w:rsid w:val="00FB68BF"/>
    <w:rsid w:val="00FB6AE7"/>
    <w:rsid w:val="00FB6F92"/>
    <w:rsid w:val="00FB7774"/>
    <w:rsid w:val="00FB77D3"/>
    <w:rsid w:val="00FB78EE"/>
    <w:rsid w:val="00FB7B22"/>
    <w:rsid w:val="00FB7B5B"/>
    <w:rsid w:val="00FB7CA5"/>
    <w:rsid w:val="00FB7DDD"/>
    <w:rsid w:val="00FC0137"/>
    <w:rsid w:val="00FC0164"/>
    <w:rsid w:val="00FC026E"/>
    <w:rsid w:val="00FC0429"/>
    <w:rsid w:val="00FC08B3"/>
    <w:rsid w:val="00FC0A70"/>
    <w:rsid w:val="00FC0AEC"/>
    <w:rsid w:val="00FC0B3D"/>
    <w:rsid w:val="00FC0D61"/>
    <w:rsid w:val="00FC14CD"/>
    <w:rsid w:val="00FC19B3"/>
    <w:rsid w:val="00FC1C9C"/>
    <w:rsid w:val="00FC2314"/>
    <w:rsid w:val="00FC232B"/>
    <w:rsid w:val="00FC2783"/>
    <w:rsid w:val="00FC29B8"/>
    <w:rsid w:val="00FC2A52"/>
    <w:rsid w:val="00FC2DA1"/>
    <w:rsid w:val="00FC2F44"/>
    <w:rsid w:val="00FC3364"/>
    <w:rsid w:val="00FC3521"/>
    <w:rsid w:val="00FC3A71"/>
    <w:rsid w:val="00FC3C70"/>
    <w:rsid w:val="00FC3CE7"/>
    <w:rsid w:val="00FC3D3B"/>
    <w:rsid w:val="00FC3F1C"/>
    <w:rsid w:val="00FC4137"/>
    <w:rsid w:val="00FC41C7"/>
    <w:rsid w:val="00FC425D"/>
    <w:rsid w:val="00FC4396"/>
    <w:rsid w:val="00FC43BD"/>
    <w:rsid w:val="00FC444D"/>
    <w:rsid w:val="00FC4479"/>
    <w:rsid w:val="00FC4B44"/>
    <w:rsid w:val="00FC4E6B"/>
    <w:rsid w:val="00FC5026"/>
    <w:rsid w:val="00FC50B1"/>
    <w:rsid w:val="00FC5124"/>
    <w:rsid w:val="00FC51DE"/>
    <w:rsid w:val="00FC52E6"/>
    <w:rsid w:val="00FC5B23"/>
    <w:rsid w:val="00FC5BD8"/>
    <w:rsid w:val="00FC5E20"/>
    <w:rsid w:val="00FC6131"/>
    <w:rsid w:val="00FC630A"/>
    <w:rsid w:val="00FC73B8"/>
    <w:rsid w:val="00FC7639"/>
    <w:rsid w:val="00FC76A3"/>
    <w:rsid w:val="00FC7724"/>
    <w:rsid w:val="00FC7955"/>
    <w:rsid w:val="00FC7C0F"/>
    <w:rsid w:val="00FC7DBE"/>
    <w:rsid w:val="00FC7E33"/>
    <w:rsid w:val="00FD01CB"/>
    <w:rsid w:val="00FD0241"/>
    <w:rsid w:val="00FD02BE"/>
    <w:rsid w:val="00FD0418"/>
    <w:rsid w:val="00FD0877"/>
    <w:rsid w:val="00FD090E"/>
    <w:rsid w:val="00FD0914"/>
    <w:rsid w:val="00FD0952"/>
    <w:rsid w:val="00FD0D25"/>
    <w:rsid w:val="00FD0F1E"/>
    <w:rsid w:val="00FD0F81"/>
    <w:rsid w:val="00FD10E2"/>
    <w:rsid w:val="00FD11FA"/>
    <w:rsid w:val="00FD1408"/>
    <w:rsid w:val="00FD15D9"/>
    <w:rsid w:val="00FD1892"/>
    <w:rsid w:val="00FD19F5"/>
    <w:rsid w:val="00FD1B5D"/>
    <w:rsid w:val="00FD1B76"/>
    <w:rsid w:val="00FD1C9B"/>
    <w:rsid w:val="00FD1C9E"/>
    <w:rsid w:val="00FD1D92"/>
    <w:rsid w:val="00FD1E93"/>
    <w:rsid w:val="00FD1EE7"/>
    <w:rsid w:val="00FD2168"/>
    <w:rsid w:val="00FD21AC"/>
    <w:rsid w:val="00FD22DA"/>
    <w:rsid w:val="00FD24C5"/>
    <w:rsid w:val="00FD259E"/>
    <w:rsid w:val="00FD2646"/>
    <w:rsid w:val="00FD26BF"/>
    <w:rsid w:val="00FD26D4"/>
    <w:rsid w:val="00FD278B"/>
    <w:rsid w:val="00FD298C"/>
    <w:rsid w:val="00FD2A8D"/>
    <w:rsid w:val="00FD2A9C"/>
    <w:rsid w:val="00FD3090"/>
    <w:rsid w:val="00FD31D2"/>
    <w:rsid w:val="00FD31FB"/>
    <w:rsid w:val="00FD322D"/>
    <w:rsid w:val="00FD339C"/>
    <w:rsid w:val="00FD3944"/>
    <w:rsid w:val="00FD3B48"/>
    <w:rsid w:val="00FD3C86"/>
    <w:rsid w:val="00FD3F7F"/>
    <w:rsid w:val="00FD4054"/>
    <w:rsid w:val="00FD4731"/>
    <w:rsid w:val="00FD4830"/>
    <w:rsid w:val="00FD49D4"/>
    <w:rsid w:val="00FD4BF9"/>
    <w:rsid w:val="00FD4C02"/>
    <w:rsid w:val="00FD522B"/>
    <w:rsid w:val="00FD52D7"/>
    <w:rsid w:val="00FD5418"/>
    <w:rsid w:val="00FD567B"/>
    <w:rsid w:val="00FD5732"/>
    <w:rsid w:val="00FD5975"/>
    <w:rsid w:val="00FD5B87"/>
    <w:rsid w:val="00FD5FA0"/>
    <w:rsid w:val="00FD6C1A"/>
    <w:rsid w:val="00FD6E84"/>
    <w:rsid w:val="00FD6FFB"/>
    <w:rsid w:val="00FD7026"/>
    <w:rsid w:val="00FD711F"/>
    <w:rsid w:val="00FD738F"/>
    <w:rsid w:val="00FD7417"/>
    <w:rsid w:val="00FD7458"/>
    <w:rsid w:val="00FD74ED"/>
    <w:rsid w:val="00FD750C"/>
    <w:rsid w:val="00FD769C"/>
    <w:rsid w:val="00FD7AB0"/>
    <w:rsid w:val="00FD7DC0"/>
    <w:rsid w:val="00FD7F58"/>
    <w:rsid w:val="00FD7F80"/>
    <w:rsid w:val="00FE0663"/>
    <w:rsid w:val="00FE14CE"/>
    <w:rsid w:val="00FE191A"/>
    <w:rsid w:val="00FE1A9F"/>
    <w:rsid w:val="00FE1BC0"/>
    <w:rsid w:val="00FE1EAE"/>
    <w:rsid w:val="00FE1EFC"/>
    <w:rsid w:val="00FE1FA7"/>
    <w:rsid w:val="00FE1FC1"/>
    <w:rsid w:val="00FE203B"/>
    <w:rsid w:val="00FE23C4"/>
    <w:rsid w:val="00FE271A"/>
    <w:rsid w:val="00FE2822"/>
    <w:rsid w:val="00FE2DE0"/>
    <w:rsid w:val="00FE2EC1"/>
    <w:rsid w:val="00FE33BB"/>
    <w:rsid w:val="00FE344C"/>
    <w:rsid w:val="00FE3505"/>
    <w:rsid w:val="00FE3721"/>
    <w:rsid w:val="00FE3C1B"/>
    <w:rsid w:val="00FE4261"/>
    <w:rsid w:val="00FE434D"/>
    <w:rsid w:val="00FE4376"/>
    <w:rsid w:val="00FE4408"/>
    <w:rsid w:val="00FE4438"/>
    <w:rsid w:val="00FE46DA"/>
    <w:rsid w:val="00FE49CB"/>
    <w:rsid w:val="00FE5056"/>
    <w:rsid w:val="00FE51B9"/>
    <w:rsid w:val="00FE51C0"/>
    <w:rsid w:val="00FE521C"/>
    <w:rsid w:val="00FE53A9"/>
    <w:rsid w:val="00FE53B7"/>
    <w:rsid w:val="00FE53D7"/>
    <w:rsid w:val="00FE5452"/>
    <w:rsid w:val="00FE54C3"/>
    <w:rsid w:val="00FE55F0"/>
    <w:rsid w:val="00FE5610"/>
    <w:rsid w:val="00FE5AE1"/>
    <w:rsid w:val="00FE5E1A"/>
    <w:rsid w:val="00FE619B"/>
    <w:rsid w:val="00FE643D"/>
    <w:rsid w:val="00FE649D"/>
    <w:rsid w:val="00FE64EB"/>
    <w:rsid w:val="00FE6BE2"/>
    <w:rsid w:val="00FE6D80"/>
    <w:rsid w:val="00FE726C"/>
    <w:rsid w:val="00FE727B"/>
    <w:rsid w:val="00FE75F2"/>
    <w:rsid w:val="00FE7603"/>
    <w:rsid w:val="00FE773F"/>
    <w:rsid w:val="00FE7C41"/>
    <w:rsid w:val="00FE7DAF"/>
    <w:rsid w:val="00FE7E0B"/>
    <w:rsid w:val="00FF0242"/>
    <w:rsid w:val="00FF0AB0"/>
    <w:rsid w:val="00FF12B0"/>
    <w:rsid w:val="00FF137B"/>
    <w:rsid w:val="00FF18B5"/>
    <w:rsid w:val="00FF1A02"/>
    <w:rsid w:val="00FF1AB8"/>
    <w:rsid w:val="00FF1C4B"/>
    <w:rsid w:val="00FF20C9"/>
    <w:rsid w:val="00FF2218"/>
    <w:rsid w:val="00FF22AB"/>
    <w:rsid w:val="00FF23A7"/>
    <w:rsid w:val="00FF28AC"/>
    <w:rsid w:val="00FF3070"/>
    <w:rsid w:val="00FF3164"/>
    <w:rsid w:val="00FF343D"/>
    <w:rsid w:val="00FF3588"/>
    <w:rsid w:val="00FF3763"/>
    <w:rsid w:val="00FF376E"/>
    <w:rsid w:val="00FF38F9"/>
    <w:rsid w:val="00FF3ADE"/>
    <w:rsid w:val="00FF3B1A"/>
    <w:rsid w:val="00FF3DBE"/>
    <w:rsid w:val="00FF4314"/>
    <w:rsid w:val="00FF4545"/>
    <w:rsid w:val="00FF4570"/>
    <w:rsid w:val="00FF46C0"/>
    <w:rsid w:val="00FF48C0"/>
    <w:rsid w:val="00FF4B78"/>
    <w:rsid w:val="00FF4D18"/>
    <w:rsid w:val="00FF4DA0"/>
    <w:rsid w:val="00FF4E79"/>
    <w:rsid w:val="00FF51DB"/>
    <w:rsid w:val="00FF52A2"/>
    <w:rsid w:val="00FF5981"/>
    <w:rsid w:val="00FF59A6"/>
    <w:rsid w:val="00FF5A29"/>
    <w:rsid w:val="00FF5BF6"/>
    <w:rsid w:val="00FF5DC7"/>
    <w:rsid w:val="00FF5F12"/>
    <w:rsid w:val="00FF5F37"/>
    <w:rsid w:val="00FF609C"/>
    <w:rsid w:val="00FF6519"/>
    <w:rsid w:val="00FF6EE4"/>
    <w:rsid w:val="00FF708F"/>
    <w:rsid w:val="00FF71EF"/>
    <w:rsid w:val="00FF76F6"/>
    <w:rsid w:val="00FF7757"/>
    <w:rsid w:val="00FF797D"/>
    <w:rsid w:val="00FF7A18"/>
    <w:rsid w:val="00FF7A85"/>
    <w:rsid w:val="00FF7D36"/>
    <w:rsid w:val="00FF7F62"/>
    <w:rsid w:val="0101ED42"/>
    <w:rsid w:val="0102B64E"/>
    <w:rsid w:val="010820C9"/>
    <w:rsid w:val="01095AE2"/>
    <w:rsid w:val="010DC2DD"/>
    <w:rsid w:val="01106954"/>
    <w:rsid w:val="0111ECED"/>
    <w:rsid w:val="011471F2"/>
    <w:rsid w:val="011B8BCE"/>
    <w:rsid w:val="01210F83"/>
    <w:rsid w:val="012883D5"/>
    <w:rsid w:val="0132F717"/>
    <w:rsid w:val="014CB7E2"/>
    <w:rsid w:val="014E3F0A"/>
    <w:rsid w:val="0150C364"/>
    <w:rsid w:val="0158E8F8"/>
    <w:rsid w:val="015E1EFC"/>
    <w:rsid w:val="016BF130"/>
    <w:rsid w:val="016E2DB7"/>
    <w:rsid w:val="01712E16"/>
    <w:rsid w:val="01749B77"/>
    <w:rsid w:val="0174F506"/>
    <w:rsid w:val="018698D7"/>
    <w:rsid w:val="0188D78E"/>
    <w:rsid w:val="018EFAA1"/>
    <w:rsid w:val="01916604"/>
    <w:rsid w:val="0197EA62"/>
    <w:rsid w:val="01A4F8A1"/>
    <w:rsid w:val="01A9FCF1"/>
    <w:rsid w:val="01B5139D"/>
    <w:rsid w:val="01B625B1"/>
    <w:rsid w:val="01BB88F7"/>
    <w:rsid w:val="01BE4986"/>
    <w:rsid w:val="01C0D06E"/>
    <w:rsid w:val="01CEE564"/>
    <w:rsid w:val="01D8F14D"/>
    <w:rsid w:val="01D96BBD"/>
    <w:rsid w:val="01E4A9C2"/>
    <w:rsid w:val="01E59771"/>
    <w:rsid w:val="01F9C354"/>
    <w:rsid w:val="020BD20E"/>
    <w:rsid w:val="020D761D"/>
    <w:rsid w:val="0212B969"/>
    <w:rsid w:val="0214A27F"/>
    <w:rsid w:val="0220F779"/>
    <w:rsid w:val="0221E372"/>
    <w:rsid w:val="02323912"/>
    <w:rsid w:val="023E2A34"/>
    <w:rsid w:val="023EC61B"/>
    <w:rsid w:val="02540564"/>
    <w:rsid w:val="025674F5"/>
    <w:rsid w:val="025A9E74"/>
    <w:rsid w:val="025E60C2"/>
    <w:rsid w:val="025F7B6E"/>
    <w:rsid w:val="025FC722"/>
    <w:rsid w:val="0260D19C"/>
    <w:rsid w:val="0260F115"/>
    <w:rsid w:val="026155C7"/>
    <w:rsid w:val="02775E4E"/>
    <w:rsid w:val="027C13D2"/>
    <w:rsid w:val="028426C0"/>
    <w:rsid w:val="0290FEE6"/>
    <w:rsid w:val="0292597E"/>
    <w:rsid w:val="02968326"/>
    <w:rsid w:val="029E9F4E"/>
    <w:rsid w:val="02A0B4E9"/>
    <w:rsid w:val="02A36306"/>
    <w:rsid w:val="02A3660C"/>
    <w:rsid w:val="02A8B6FC"/>
    <w:rsid w:val="02AA3FD4"/>
    <w:rsid w:val="02B023F3"/>
    <w:rsid w:val="02C0306B"/>
    <w:rsid w:val="02D96CC0"/>
    <w:rsid w:val="02DD076C"/>
    <w:rsid w:val="02E0ED18"/>
    <w:rsid w:val="02EC6228"/>
    <w:rsid w:val="02F3FF74"/>
    <w:rsid w:val="02F72D5F"/>
    <w:rsid w:val="03002AB9"/>
    <w:rsid w:val="03019C89"/>
    <w:rsid w:val="0301AB38"/>
    <w:rsid w:val="0303653F"/>
    <w:rsid w:val="030523FE"/>
    <w:rsid w:val="030CCFD8"/>
    <w:rsid w:val="030D7014"/>
    <w:rsid w:val="030FE006"/>
    <w:rsid w:val="031760CB"/>
    <w:rsid w:val="031892AB"/>
    <w:rsid w:val="031AEFD2"/>
    <w:rsid w:val="032AC307"/>
    <w:rsid w:val="032AE726"/>
    <w:rsid w:val="033619D7"/>
    <w:rsid w:val="033A641E"/>
    <w:rsid w:val="03408F68"/>
    <w:rsid w:val="034310BC"/>
    <w:rsid w:val="035B427A"/>
    <w:rsid w:val="035BAF6C"/>
    <w:rsid w:val="03641796"/>
    <w:rsid w:val="036E4FD1"/>
    <w:rsid w:val="0374C044"/>
    <w:rsid w:val="0379E9ED"/>
    <w:rsid w:val="037A9045"/>
    <w:rsid w:val="03946356"/>
    <w:rsid w:val="039B976E"/>
    <w:rsid w:val="039DDAFC"/>
    <w:rsid w:val="039E3131"/>
    <w:rsid w:val="03A0B7FA"/>
    <w:rsid w:val="03A3C23D"/>
    <w:rsid w:val="03A412E5"/>
    <w:rsid w:val="03A8DBBF"/>
    <w:rsid w:val="03AA59F7"/>
    <w:rsid w:val="03AC4FE4"/>
    <w:rsid w:val="03B47313"/>
    <w:rsid w:val="03B6322B"/>
    <w:rsid w:val="03C13AFB"/>
    <w:rsid w:val="03C186C8"/>
    <w:rsid w:val="03CD4014"/>
    <w:rsid w:val="03D0FD65"/>
    <w:rsid w:val="03E4F586"/>
    <w:rsid w:val="03E82505"/>
    <w:rsid w:val="03ED2394"/>
    <w:rsid w:val="03F538A1"/>
    <w:rsid w:val="03FC1DA3"/>
    <w:rsid w:val="04070284"/>
    <w:rsid w:val="040D906D"/>
    <w:rsid w:val="041D0B6B"/>
    <w:rsid w:val="04265CD5"/>
    <w:rsid w:val="042CF1AC"/>
    <w:rsid w:val="04423CB2"/>
    <w:rsid w:val="0446B71B"/>
    <w:rsid w:val="0447344F"/>
    <w:rsid w:val="044F2F55"/>
    <w:rsid w:val="0452838E"/>
    <w:rsid w:val="0459647A"/>
    <w:rsid w:val="045A2F20"/>
    <w:rsid w:val="045AAD31"/>
    <w:rsid w:val="04672508"/>
    <w:rsid w:val="046C302D"/>
    <w:rsid w:val="046F29F7"/>
    <w:rsid w:val="046F754D"/>
    <w:rsid w:val="049158AC"/>
    <w:rsid w:val="049BD6AE"/>
    <w:rsid w:val="04A2BED1"/>
    <w:rsid w:val="04A60D22"/>
    <w:rsid w:val="04B614AC"/>
    <w:rsid w:val="04B7FD1F"/>
    <w:rsid w:val="04B83A8A"/>
    <w:rsid w:val="04BD7FFF"/>
    <w:rsid w:val="04BFBA23"/>
    <w:rsid w:val="04C5DD72"/>
    <w:rsid w:val="04C8DB25"/>
    <w:rsid w:val="04C9299D"/>
    <w:rsid w:val="04D05D89"/>
    <w:rsid w:val="04E09FAC"/>
    <w:rsid w:val="04E61B3C"/>
    <w:rsid w:val="04EFD33B"/>
    <w:rsid w:val="04EFFAA3"/>
    <w:rsid w:val="04FDE83C"/>
    <w:rsid w:val="050119DA"/>
    <w:rsid w:val="05041916"/>
    <w:rsid w:val="050522AF"/>
    <w:rsid w:val="05189AD9"/>
    <w:rsid w:val="0523309A"/>
    <w:rsid w:val="05258914"/>
    <w:rsid w:val="05269C23"/>
    <w:rsid w:val="052ACA28"/>
    <w:rsid w:val="052CAF91"/>
    <w:rsid w:val="052D4D8B"/>
    <w:rsid w:val="05395EE9"/>
    <w:rsid w:val="054E5322"/>
    <w:rsid w:val="054EBC4A"/>
    <w:rsid w:val="0555EDC3"/>
    <w:rsid w:val="05568DD3"/>
    <w:rsid w:val="055CEAD6"/>
    <w:rsid w:val="055D0A6B"/>
    <w:rsid w:val="05658AFA"/>
    <w:rsid w:val="056CB6B8"/>
    <w:rsid w:val="056EA129"/>
    <w:rsid w:val="05740550"/>
    <w:rsid w:val="057BFD11"/>
    <w:rsid w:val="05855A10"/>
    <w:rsid w:val="0592E4E6"/>
    <w:rsid w:val="05938272"/>
    <w:rsid w:val="05964A66"/>
    <w:rsid w:val="05974966"/>
    <w:rsid w:val="05A2A748"/>
    <w:rsid w:val="05A2B342"/>
    <w:rsid w:val="05A488A3"/>
    <w:rsid w:val="05A4D7EB"/>
    <w:rsid w:val="05BBA779"/>
    <w:rsid w:val="05BD1298"/>
    <w:rsid w:val="05C56BFD"/>
    <w:rsid w:val="05C745C5"/>
    <w:rsid w:val="05D90FDC"/>
    <w:rsid w:val="05EA0FA2"/>
    <w:rsid w:val="05F0E2D6"/>
    <w:rsid w:val="05F6DFC3"/>
    <w:rsid w:val="05F74FB7"/>
    <w:rsid w:val="05FA2F56"/>
    <w:rsid w:val="0613BF21"/>
    <w:rsid w:val="0615B35F"/>
    <w:rsid w:val="061A8063"/>
    <w:rsid w:val="06232EC8"/>
    <w:rsid w:val="06234C45"/>
    <w:rsid w:val="063A06FB"/>
    <w:rsid w:val="0640A020"/>
    <w:rsid w:val="0644FEAB"/>
    <w:rsid w:val="064C9DEB"/>
    <w:rsid w:val="0653EFE3"/>
    <w:rsid w:val="0654773A"/>
    <w:rsid w:val="06553738"/>
    <w:rsid w:val="065BD1B6"/>
    <w:rsid w:val="065C6162"/>
    <w:rsid w:val="066D8E57"/>
    <w:rsid w:val="0670693D"/>
    <w:rsid w:val="067D39BD"/>
    <w:rsid w:val="068759CA"/>
    <w:rsid w:val="0689CB67"/>
    <w:rsid w:val="068D17B8"/>
    <w:rsid w:val="069D21D4"/>
    <w:rsid w:val="069E2C32"/>
    <w:rsid w:val="06A74B1C"/>
    <w:rsid w:val="06BD75B8"/>
    <w:rsid w:val="06BDF980"/>
    <w:rsid w:val="06C3E370"/>
    <w:rsid w:val="06CC5D1E"/>
    <w:rsid w:val="06CF3452"/>
    <w:rsid w:val="06D04197"/>
    <w:rsid w:val="06D4578B"/>
    <w:rsid w:val="06D722B2"/>
    <w:rsid w:val="06D89531"/>
    <w:rsid w:val="06D982E8"/>
    <w:rsid w:val="06DC5241"/>
    <w:rsid w:val="06DC827D"/>
    <w:rsid w:val="06DD9905"/>
    <w:rsid w:val="06E9F0EE"/>
    <w:rsid w:val="06EE7D10"/>
    <w:rsid w:val="06FA2C9A"/>
    <w:rsid w:val="070D852F"/>
    <w:rsid w:val="071A97FD"/>
    <w:rsid w:val="072D7AA1"/>
    <w:rsid w:val="07314A43"/>
    <w:rsid w:val="07343B9D"/>
    <w:rsid w:val="07361CA8"/>
    <w:rsid w:val="0736AB9C"/>
    <w:rsid w:val="0736B7FA"/>
    <w:rsid w:val="073AAC02"/>
    <w:rsid w:val="073B272A"/>
    <w:rsid w:val="073CE2EF"/>
    <w:rsid w:val="074BE7D8"/>
    <w:rsid w:val="074DAC63"/>
    <w:rsid w:val="075670DC"/>
    <w:rsid w:val="075E93F6"/>
    <w:rsid w:val="076D588A"/>
    <w:rsid w:val="07714870"/>
    <w:rsid w:val="07757984"/>
    <w:rsid w:val="0787F773"/>
    <w:rsid w:val="078BD9A0"/>
    <w:rsid w:val="078FC50A"/>
    <w:rsid w:val="07987F5E"/>
    <w:rsid w:val="079FE375"/>
    <w:rsid w:val="07A0C7C9"/>
    <w:rsid w:val="07A55F1A"/>
    <w:rsid w:val="07A78578"/>
    <w:rsid w:val="07B0FC03"/>
    <w:rsid w:val="07B2EFAC"/>
    <w:rsid w:val="07BF07C7"/>
    <w:rsid w:val="07C5CB2F"/>
    <w:rsid w:val="07CB3B8B"/>
    <w:rsid w:val="07CD7F49"/>
    <w:rsid w:val="07CE5C7A"/>
    <w:rsid w:val="07D5F81D"/>
    <w:rsid w:val="07DB848B"/>
    <w:rsid w:val="07E0F48C"/>
    <w:rsid w:val="07E55DCE"/>
    <w:rsid w:val="07E74AF1"/>
    <w:rsid w:val="07E82C62"/>
    <w:rsid w:val="07EDE529"/>
    <w:rsid w:val="07F54FD8"/>
    <w:rsid w:val="07F97926"/>
    <w:rsid w:val="07FA5B2A"/>
    <w:rsid w:val="08024D17"/>
    <w:rsid w:val="0803178A"/>
    <w:rsid w:val="08074EEE"/>
    <w:rsid w:val="08269925"/>
    <w:rsid w:val="08279D9D"/>
    <w:rsid w:val="082A2806"/>
    <w:rsid w:val="082A44A5"/>
    <w:rsid w:val="08359FCA"/>
    <w:rsid w:val="083758F8"/>
    <w:rsid w:val="083CA83B"/>
    <w:rsid w:val="083E2673"/>
    <w:rsid w:val="0844C9A0"/>
    <w:rsid w:val="084B63B9"/>
    <w:rsid w:val="084B8BD8"/>
    <w:rsid w:val="08505A3A"/>
    <w:rsid w:val="0851CD7D"/>
    <w:rsid w:val="0859A31A"/>
    <w:rsid w:val="085B4EF2"/>
    <w:rsid w:val="086654DD"/>
    <w:rsid w:val="086B1B91"/>
    <w:rsid w:val="086BFAD9"/>
    <w:rsid w:val="086D440B"/>
    <w:rsid w:val="087D8EB5"/>
    <w:rsid w:val="08816A53"/>
    <w:rsid w:val="08882863"/>
    <w:rsid w:val="089142AB"/>
    <w:rsid w:val="0896170D"/>
    <w:rsid w:val="089AD301"/>
    <w:rsid w:val="089F9229"/>
    <w:rsid w:val="08A2CAB7"/>
    <w:rsid w:val="08AB9098"/>
    <w:rsid w:val="08B0C8B3"/>
    <w:rsid w:val="08BDEA5B"/>
    <w:rsid w:val="08C30FE9"/>
    <w:rsid w:val="08C8BAAE"/>
    <w:rsid w:val="08CBC93F"/>
    <w:rsid w:val="08D4B431"/>
    <w:rsid w:val="08D7EA28"/>
    <w:rsid w:val="08E901E7"/>
    <w:rsid w:val="08EA7BF2"/>
    <w:rsid w:val="08EE017F"/>
    <w:rsid w:val="08FB2041"/>
    <w:rsid w:val="08FE3F98"/>
    <w:rsid w:val="09029F86"/>
    <w:rsid w:val="0903E69B"/>
    <w:rsid w:val="090896E1"/>
    <w:rsid w:val="09098263"/>
    <w:rsid w:val="091418C4"/>
    <w:rsid w:val="091C65C4"/>
    <w:rsid w:val="091D67FC"/>
    <w:rsid w:val="091DEA55"/>
    <w:rsid w:val="09218585"/>
    <w:rsid w:val="092656A8"/>
    <w:rsid w:val="09268A9B"/>
    <w:rsid w:val="09297663"/>
    <w:rsid w:val="092AA51F"/>
    <w:rsid w:val="092B0FB7"/>
    <w:rsid w:val="09340A60"/>
    <w:rsid w:val="09346CAF"/>
    <w:rsid w:val="0944FF71"/>
    <w:rsid w:val="0947CE52"/>
    <w:rsid w:val="0949C3D2"/>
    <w:rsid w:val="094DD26C"/>
    <w:rsid w:val="09528BBD"/>
    <w:rsid w:val="09538D4F"/>
    <w:rsid w:val="095769C2"/>
    <w:rsid w:val="095B648C"/>
    <w:rsid w:val="09600D58"/>
    <w:rsid w:val="09603B43"/>
    <w:rsid w:val="096209F2"/>
    <w:rsid w:val="09733D00"/>
    <w:rsid w:val="0976E7EE"/>
    <w:rsid w:val="0977FC7A"/>
    <w:rsid w:val="09797C49"/>
    <w:rsid w:val="097FCFFF"/>
    <w:rsid w:val="098228FD"/>
    <w:rsid w:val="0984DC5F"/>
    <w:rsid w:val="0989D913"/>
    <w:rsid w:val="0995107A"/>
    <w:rsid w:val="0996D3D1"/>
    <w:rsid w:val="099738DC"/>
    <w:rsid w:val="09A57C74"/>
    <w:rsid w:val="09AB977E"/>
    <w:rsid w:val="09AE4EF8"/>
    <w:rsid w:val="09B2C245"/>
    <w:rsid w:val="09BA2859"/>
    <w:rsid w:val="09C19879"/>
    <w:rsid w:val="09C501D3"/>
    <w:rsid w:val="09C76B54"/>
    <w:rsid w:val="09CA70A0"/>
    <w:rsid w:val="09D9AEC0"/>
    <w:rsid w:val="09DA30E4"/>
    <w:rsid w:val="09DD8BB8"/>
    <w:rsid w:val="09E17DE0"/>
    <w:rsid w:val="09E44792"/>
    <w:rsid w:val="09EB14FE"/>
    <w:rsid w:val="09EC55B8"/>
    <w:rsid w:val="09F1110B"/>
    <w:rsid w:val="0A07312E"/>
    <w:rsid w:val="0A07DC24"/>
    <w:rsid w:val="0A12F4B7"/>
    <w:rsid w:val="0A18AF83"/>
    <w:rsid w:val="0A1A4586"/>
    <w:rsid w:val="0A1D72DC"/>
    <w:rsid w:val="0A26C1DA"/>
    <w:rsid w:val="0A325C47"/>
    <w:rsid w:val="0A329DA9"/>
    <w:rsid w:val="0A33BFF5"/>
    <w:rsid w:val="0A392FC9"/>
    <w:rsid w:val="0A4138D8"/>
    <w:rsid w:val="0A439787"/>
    <w:rsid w:val="0A4C7129"/>
    <w:rsid w:val="0A57BBB7"/>
    <w:rsid w:val="0A58AD3E"/>
    <w:rsid w:val="0A58CF55"/>
    <w:rsid w:val="0A5CBBE6"/>
    <w:rsid w:val="0A5FF486"/>
    <w:rsid w:val="0A65C08F"/>
    <w:rsid w:val="0A856DC0"/>
    <w:rsid w:val="0A85FFED"/>
    <w:rsid w:val="0A8B0AF2"/>
    <w:rsid w:val="0A91F293"/>
    <w:rsid w:val="0A92AA1B"/>
    <w:rsid w:val="0A941009"/>
    <w:rsid w:val="0A96105E"/>
    <w:rsid w:val="0A96ED66"/>
    <w:rsid w:val="0A97AC51"/>
    <w:rsid w:val="0AB10126"/>
    <w:rsid w:val="0AB6CB00"/>
    <w:rsid w:val="0AB9365C"/>
    <w:rsid w:val="0AB93F8B"/>
    <w:rsid w:val="0AC7CEBD"/>
    <w:rsid w:val="0AD49004"/>
    <w:rsid w:val="0AD86D5E"/>
    <w:rsid w:val="0AE00DB0"/>
    <w:rsid w:val="0AE141F4"/>
    <w:rsid w:val="0AE42A3D"/>
    <w:rsid w:val="0AE69EE9"/>
    <w:rsid w:val="0AE8A13F"/>
    <w:rsid w:val="0AF77B4A"/>
    <w:rsid w:val="0AF89F5A"/>
    <w:rsid w:val="0AFB688E"/>
    <w:rsid w:val="0AFC83C2"/>
    <w:rsid w:val="0B02E715"/>
    <w:rsid w:val="0B0C7624"/>
    <w:rsid w:val="0B1028BD"/>
    <w:rsid w:val="0B12342E"/>
    <w:rsid w:val="0B1DB875"/>
    <w:rsid w:val="0B2DFC7A"/>
    <w:rsid w:val="0B3B1C7A"/>
    <w:rsid w:val="0B3C409F"/>
    <w:rsid w:val="0B409D9D"/>
    <w:rsid w:val="0B45C98C"/>
    <w:rsid w:val="0B470D3A"/>
    <w:rsid w:val="0B481E2F"/>
    <w:rsid w:val="0B49A973"/>
    <w:rsid w:val="0B4E8A18"/>
    <w:rsid w:val="0B4F36D7"/>
    <w:rsid w:val="0B50349C"/>
    <w:rsid w:val="0B51B7BE"/>
    <w:rsid w:val="0B638C31"/>
    <w:rsid w:val="0B654611"/>
    <w:rsid w:val="0B6C8E38"/>
    <w:rsid w:val="0B730FD2"/>
    <w:rsid w:val="0B74D4A5"/>
    <w:rsid w:val="0B7F3F90"/>
    <w:rsid w:val="0B839F63"/>
    <w:rsid w:val="0B83E6B9"/>
    <w:rsid w:val="0B846BC1"/>
    <w:rsid w:val="0B858543"/>
    <w:rsid w:val="0B87578F"/>
    <w:rsid w:val="0B8E730F"/>
    <w:rsid w:val="0B8F6224"/>
    <w:rsid w:val="0B968C80"/>
    <w:rsid w:val="0B9A5561"/>
    <w:rsid w:val="0B9F9940"/>
    <w:rsid w:val="0BA41AA8"/>
    <w:rsid w:val="0BA78349"/>
    <w:rsid w:val="0BA97F2E"/>
    <w:rsid w:val="0BAAC188"/>
    <w:rsid w:val="0BAC0129"/>
    <w:rsid w:val="0BBB226F"/>
    <w:rsid w:val="0BBCE037"/>
    <w:rsid w:val="0BC2C68C"/>
    <w:rsid w:val="0BC6D752"/>
    <w:rsid w:val="0BC736D1"/>
    <w:rsid w:val="0BCB0B99"/>
    <w:rsid w:val="0BCCE7A2"/>
    <w:rsid w:val="0BCE032A"/>
    <w:rsid w:val="0BCF93E6"/>
    <w:rsid w:val="0BD05B8F"/>
    <w:rsid w:val="0BD34C76"/>
    <w:rsid w:val="0BD42454"/>
    <w:rsid w:val="0BD71504"/>
    <w:rsid w:val="0BD9A538"/>
    <w:rsid w:val="0BDA1F7A"/>
    <w:rsid w:val="0BDBD531"/>
    <w:rsid w:val="0BE21FA2"/>
    <w:rsid w:val="0BE8BCB2"/>
    <w:rsid w:val="0BEAFB3A"/>
    <w:rsid w:val="0BEDE5C2"/>
    <w:rsid w:val="0BF3C37C"/>
    <w:rsid w:val="0C01CC54"/>
    <w:rsid w:val="0C04DFB8"/>
    <w:rsid w:val="0C22FEF8"/>
    <w:rsid w:val="0C2D77DF"/>
    <w:rsid w:val="0C30ABC9"/>
    <w:rsid w:val="0C341236"/>
    <w:rsid w:val="0C341666"/>
    <w:rsid w:val="0C3B709A"/>
    <w:rsid w:val="0C3C7CF5"/>
    <w:rsid w:val="0C42CD08"/>
    <w:rsid w:val="0C58028F"/>
    <w:rsid w:val="0C5D4CD9"/>
    <w:rsid w:val="0C5E87E8"/>
    <w:rsid w:val="0C6264A5"/>
    <w:rsid w:val="0C6370FC"/>
    <w:rsid w:val="0C66245E"/>
    <w:rsid w:val="0C6CC1AA"/>
    <w:rsid w:val="0C795036"/>
    <w:rsid w:val="0C7E24BA"/>
    <w:rsid w:val="0C8B03EB"/>
    <w:rsid w:val="0C9EB2E2"/>
    <w:rsid w:val="0CAE01A6"/>
    <w:rsid w:val="0CCCB842"/>
    <w:rsid w:val="0CCD6A59"/>
    <w:rsid w:val="0CD1621E"/>
    <w:rsid w:val="0CD700B8"/>
    <w:rsid w:val="0CDE411B"/>
    <w:rsid w:val="0CDEBFD9"/>
    <w:rsid w:val="0CE2B0F7"/>
    <w:rsid w:val="0CE5E53E"/>
    <w:rsid w:val="0CE64FB2"/>
    <w:rsid w:val="0CE85C1D"/>
    <w:rsid w:val="0CEC3ED0"/>
    <w:rsid w:val="0CEFD1BA"/>
    <w:rsid w:val="0CF22FB9"/>
    <w:rsid w:val="0CF31FEE"/>
    <w:rsid w:val="0D21FE71"/>
    <w:rsid w:val="0D2B9549"/>
    <w:rsid w:val="0D2EF891"/>
    <w:rsid w:val="0D32CFB7"/>
    <w:rsid w:val="0D34683E"/>
    <w:rsid w:val="0D3566CA"/>
    <w:rsid w:val="0D410946"/>
    <w:rsid w:val="0D4613CB"/>
    <w:rsid w:val="0D4901B1"/>
    <w:rsid w:val="0D4B0073"/>
    <w:rsid w:val="0D4B7AAA"/>
    <w:rsid w:val="0D66F399"/>
    <w:rsid w:val="0D67181C"/>
    <w:rsid w:val="0D68D112"/>
    <w:rsid w:val="0D6ED419"/>
    <w:rsid w:val="0D70F83D"/>
    <w:rsid w:val="0D7C4128"/>
    <w:rsid w:val="0D8493A8"/>
    <w:rsid w:val="0D8CD168"/>
    <w:rsid w:val="0D8F5321"/>
    <w:rsid w:val="0D8FCB2C"/>
    <w:rsid w:val="0D92D6D3"/>
    <w:rsid w:val="0D93914D"/>
    <w:rsid w:val="0D93CC08"/>
    <w:rsid w:val="0D9828E8"/>
    <w:rsid w:val="0DA96EDB"/>
    <w:rsid w:val="0DAD1D9C"/>
    <w:rsid w:val="0DB0E36A"/>
    <w:rsid w:val="0DB0F1E2"/>
    <w:rsid w:val="0DB9AB20"/>
    <w:rsid w:val="0DBCF52C"/>
    <w:rsid w:val="0DBF3589"/>
    <w:rsid w:val="0DC0CB35"/>
    <w:rsid w:val="0DC46E00"/>
    <w:rsid w:val="0DCE82F1"/>
    <w:rsid w:val="0DD363E0"/>
    <w:rsid w:val="0DD499C8"/>
    <w:rsid w:val="0DD4C44F"/>
    <w:rsid w:val="0DD4E923"/>
    <w:rsid w:val="0DD898C0"/>
    <w:rsid w:val="0DDF116D"/>
    <w:rsid w:val="0DE0F4A9"/>
    <w:rsid w:val="0DF10E4E"/>
    <w:rsid w:val="0DF99959"/>
    <w:rsid w:val="0DFEC183"/>
    <w:rsid w:val="0E09E66F"/>
    <w:rsid w:val="0E0C9609"/>
    <w:rsid w:val="0E0F2463"/>
    <w:rsid w:val="0E11AB73"/>
    <w:rsid w:val="0E11C2BF"/>
    <w:rsid w:val="0E14B3C0"/>
    <w:rsid w:val="0E18E19A"/>
    <w:rsid w:val="0E1C707B"/>
    <w:rsid w:val="0E30EE39"/>
    <w:rsid w:val="0E3404F5"/>
    <w:rsid w:val="0E38723B"/>
    <w:rsid w:val="0E3D2589"/>
    <w:rsid w:val="0E46152D"/>
    <w:rsid w:val="0E52C5F9"/>
    <w:rsid w:val="0E58A7C4"/>
    <w:rsid w:val="0E66069A"/>
    <w:rsid w:val="0E767DAE"/>
    <w:rsid w:val="0E7AD3C2"/>
    <w:rsid w:val="0E7F71DC"/>
    <w:rsid w:val="0E83ABF7"/>
    <w:rsid w:val="0E8EC94F"/>
    <w:rsid w:val="0E94D038"/>
    <w:rsid w:val="0EA5044D"/>
    <w:rsid w:val="0EA52963"/>
    <w:rsid w:val="0EA5CEDF"/>
    <w:rsid w:val="0EC02A9A"/>
    <w:rsid w:val="0EC858DC"/>
    <w:rsid w:val="0ED0B6DC"/>
    <w:rsid w:val="0ED2EEEE"/>
    <w:rsid w:val="0ED6C1F5"/>
    <w:rsid w:val="0ED805AF"/>
    <w:rsid w:val="0EDC55DA"/>
    <w:rsid w:val="0EE123D3"/>
    <w:rsid w:val="0EE422AE"/>
    <w:rsid w:val="0EEBEF6A"/>
    <w:rsid w:val="0EEC2482"/>
    <w:rsid w:val="0EF6D001"/>
    <w:rsid w:val="0EFB2E35"/>
    <w:rsid w:val="0F0124A8"/>
    <w:rsid w:val="0F05BF2C"/>
    <w:rsid w:val="0F065E70"/>
    <w:rsid w:val="0F095177"/>
    <w:rsid w:val="0F0AD0C9"/>
    <w:rsid w:val="0F109F30"/>
    <w:rsid w:val="0F13ECCF"/>
    <w:rsid w:val="0F1D208C"/>
    <w:rsid w:val="0F1F09E3"/>
    <w:rsid w:val="0F253617"/>
    <w:rsid w:val="0F3ACEE3"/>
    <w:rsid w:val="0F4C92D4"/>
    <w:rsid w:val="0F510415"/>
    <w:rsid w:val="0F52404A"/>
    <w:rsid w:val="0F5BFEF3"/>
    <w:rsid w:val="0F680DC5"/>
    <w:rsid w:val="0F6BB2EA"/>
    <w:rsid w:val="0F701555"/>
    <w:rsid w:val="0F736A24"/>
    <w:rsid w:val="0F770A13"/>
    <w:rsid w:val="0F78845F"/>
    <w:rsid w:val="0F7F7D89"/>
    <w:rsid w:val="0F819247"/>
    <w:rsid w:val="0F8338ED"/>
    <w:rsid w:val="0F83CE3B"/>
    <w:rsid w:val="0F853015"/>
    <w:rsid w:val="0F88E589"/>
    <w:rsid w:val="0F8C087D"/>
    <w:rsid w:val="0FA5C085"/>
    <w:rsid w:val="0FB29916"/>
    <w:rsid w:val="0FBF6E27"/>
    <w:rsid w:val="0FCD44B4"/>
    <w:rsid w:val="0FCE20A3"/>
    <w:rsid w:val="0FCF63EF"/>
    <w:rsid w:val="0FD6F6AD"/>
    <w:rsid w:val="0FDBC3CB"/>
    <w:rsid w:val="0FE1616C"/>
    <w:rsid w:val="0FE2BB5C"/>
    <w:rsid w:val="0FE80D90"/>
    <w:rsid w:val="0FEAFCEB"/>
    <w:rsid w:val="0FEB4666"/>
    <w:rsid w:val="0FF32D51"/>
    <w:rsid w:val="0FFFBC52"/>
    <w:rsid w:val="10068004"/>
    <w:rsid w:val="1010575A"/>
    <w:rsid w:val="1017F170"/>
    <w:rsid w:val="101FB480"/>
    <w:rsid w:val="1023297E"/>
    <w:rsid w:val="10290CA0"/>
    <w:rsid w:val="102F1A33"/>
    <w:rsid w:val="1033B208"/>
    <w:rsid w:val="103AEC39"/>
    <w:rsid w:val="103CC264"/>
    <w:rsid w:val="103F4929"/>
    <w:rsid w:val="104A70DE"/>
    <w:rsid w:val="104F4A02"/>
    <w:rsid w:val="10527CCA"/>
    <w:rsid w:val="106D4CA4"/>
    <w:rsid w:val="10733827"/>
    <w:rsid w:val="107D966A"/>
    <w:rsid w:val="10847EE7"/>
    <w:rsid w:val="10891461"/>
    <w:rsid w:val="10894349"/>
    <w:rsid w:val="108D4451"/>
    <w:rsid w:val="1090BDF1"/>
    <w:rsid w:val="10987579"/>
    <w:rsid w:val="109EDEA5"/>
    <w:rsid w:val="10ABA7DC"/>
    <w:rsid w:val="10AE8222"/>
    <w:rsid w:val="10B368BF"/>
    <w:rsid w:val="10CEAD26"/>
    <w:rsid w:val="10D71220"/>
    <w:rsid w:val="10D9F9DD"/>
    <w:rsid w:val="10DB4912"/>
    <w:rsid w:val="10DC0071"/>
    <w:rsid w:val="10EE2899"/>
    <w:rsid w:val="10F1DF72"/>
    <w:rsid w:val="10F3DAB6"/>
    <w:rsid w:val="10FE1145"/>
    <w:rsid w:val="11012DDB"/>
    <w:rsid w:val="110CD93A"/>
    <w:rsid w:val="111C0319"/>
    <w:rsid w:val="111E1FFA"/>
    <w:rsid w:val="112A1ADD"/>
    <w:rsid w:val="1133229A"/>
    <w:rsid w:val="11436820"/>
    <w:rsid w:val="1145C8DB"/>
    <w:rsid w:val="114F7A3D"/>
    <w:rsid w:val="115442E9"/>
    <w:rsid w:val="11562BD1"/>
    <w:rsid w:val="1159DD4F"/>
    <w:rsid w:val="1161A49A"/>
    <w:rsid w:val="1167A93A"/>
    <w:rsid w:val="11688128"/>
    <w:rsid w:val="1175A224"/>
    <w:rsid w:val="117CDEEE"/>
    <w:rsid w:val="117F6E61"/>
    <w:rsid w:val="11859507"/>
    <w:rsid w:val="1187759A"/>
    <w:rsid w:val="118ABD68"/>
    <w:rsid w:val="1195DAF0"/>
    <w:rsid w:val="1198804A"/>
    <w:rsid w:val="119D9D83"/>
    <w:rsid w:val="119E7FED"/>
    <w:rsid w:val="11A6922D"/>
    <w:rsid w:val="11B24EB3"/>
    <w:rsid w:val="11B5481D"/>
    <w:rsid w:val="11BC5BB7"/>
    <w:rsid w:val="11C01711"/>
    <w:rsid w:val="11C081FE"/>
    <w:rsid w:val="11C6D482"/>
    <w:rsid w:val="11C773B0"/>
    <w:rsid w:val="11C7D0BE"/>
    <w:rsid w:val="11CFE52E"/>
    <w:rsid w:val="11E05AFB"/>
    <w:rsid w:val="11E3E04A"/>
    <w:rsid w:val="11E8DF6B"/>
    <w:rsid w:val="11F1649B"/>
    <w:rsid w:val="11F60D1B"/>
    <w:rsid w:val="11F7ED58"/>
    <w:rsid w:val="1201D5F5"/>
    <w:rsid w:val="12167B16"/>
    <w:rsid w:val="121DD16E"/>
    <w:rsid w:val="121E785E"/>
    <w:rsid w:val="12254226"/>
    <w:rsid w:val="1226F5B0"/>
    <w:rsid w:val="122AE750"/>
    <w:rsid w:val="122C7903"/>
    <w:rsid w:val="122E5DE0"/>
    <w:rsid w:val="122FC242"/>
    <w:rsid w:val="12315DE2"/>
    <w:rsid w:val="1233D710"/>
    <w:rsid w:val="1234C52B"/>
    <w:rsid w:val="1238EACC"/>
    <w:rsid w:val="12395306"/>
    <w:rsid w:val="12417B96"/>
    <w:rsid w:val="124357B2"/>
    <w:rsid w:val="124923CF"/>
    <w:rsid w:val="1249D899"/>
    <w:rsid w:val="1250F35A"/>
    <w:rsid w:val="12528699"/>
    <w:rsid w:val="12610478"/>
    <w:rsid w:val="126A6D63"/>
    <w:rsid w:val="126D6D5C"/>
    <w:rsid w:val="126D8C60"/>
    <w:rsid w:val="127806D2"/>
    <w:rsid w:val="127C87BD"/>
    <w:rsid w:val="127EFCC4"/>
    <w:rsid w:val="12888AE4"/>
    <w:rsid w:val="1290F7E5"/>
    <w:rsid w:val="1292A2FD"/>
    <w:rsid w:val="12993DB7"/>
    <w:rsid w:val="12A3265B"/>
    <w:rsid w:val="12BB7CD0"/>
    <w:rsid w:val="12C58473"/>
    <w:rsid w:val="12CA3673"/>
    <w:rsid w:val="12D3BC0B"/>
    <w:rsid w:val="12D576C9"/>
    <w:rsid w:val="12D6395C"/>
    <w:rsid w:val="12DE205D"/>
    <w:rsid w:val="12DFC368"/>
    <w:rsid w:val="12E02ACE"/>
    <w:rsid w:val="12EE4411"/>
    <w:rsid w:val="12F0ED99"/>
    <w:rsid w:val="12F609BE"/>
    <w:rsid w:val="12F8CEB2"/>
    <w:rsid w:val="12F9E096"/>
    <w:rsid w:val="12FB17BC"/>
    <w:rsid w:val="12FE7B9A"/>
    <w:rsid w:val="1305BAF5"/>
    <w:rsid w:val="130766A0"/>
    <w:rsid w:val="130E59D0"/>
    <w:rsid w:val="13117123"/>
    <w:rsid w:val="1320FA9F"/>
    <w:rsid w:val="1323AC15"/>
    <w:rsid w:val="1325779A"/>
    <w:rsid w:val="1327F567"/>
    <w:rsid w:val="132C04A7"/>
    <w:rsid w:val="1334F721"/>
    <w:rsid w:val="133758FD"/>
    <w:rsid w:val="1339D033"/>
    <w:rsid w:val="133CE793"/>
    <w:rsid w:val="134329E7"/>
    <w:rsid w:val="134EBCE3"/>
    <w:rsid w:val="13517EA6"/>
    <w:rsid w:val="1356D83C"/>
    <w:rsid w:val="13594A62"/>
    <w:rsid w:val="135D33AB"/>
    <w:rsid w:val="1361FB94"/>
    <w:rsid w:val="136252F9"/>
    <w:rsid w:val="13664D96"/>
    <w:rsid w:val="1371FEB0"/>
    <w:rsid w:val="137E7442"/>
    <w:rsid w:val="137F5AD8"/>
    <w:rsid w:val="13841C9A"/>
    <w:rsid w:val="1388641D"/>
    <w:rsid w:val="138C8C08"/>
    <w:rsid w:val="139CE11E"/>
    <w:rsid w:val="13A6288F"/>
    <w:rsid w:val="13AA89E0"/>
    <w:rsid w:val="13ADE9FE"/>
    <w:rsid w:val="13B6608D"/>
    <w:rsid w:val="13B6C5F2"/>
    <w:rsid w:val="13B75817"/>
    <w:rsid w:val="13BD32F6"/>
    <w:rsid w:val="13C6F621"/>
    <w:rsid w:val="13D94F82"/>
    <w:rsid w:val="13DFAE52"/>
    <w:rsid w:val="13E99F9F"/>
    <w:rsid w:val="13ED5846"/>
    <w:rsid w:val="13ED7B68"/>
    <w:rsid w:val="13EEA009"/>
    <w:rsid w:val="13F92354"/>
    <w:rsid w:val="13F9883D"/>
    <w:rsid w:val="13FB07EC"/>
    <w:rsid w:val="140B6042"/>
    <w:rsid w:val="1411396B"/>
    <w:rsid w:val="1411B665"/>
    <w:rsid w:val="1416B200"/>
    <w:rsid w:val="14211340"/>
    <w:rsid w:val="1431BFB9"/>
    <w:rsid w:val="1433D665"/>
    <w:rsid w:val="143BD482"/>
    <w:rsid w:val="143D1B0B"/>
    <w:rsid w:val="1440C9F4"/>
    <w:rsid w:val="1441BB5E"/>
    <w:rsid w:val="1443292E"/>
    <w:rsid w:val="1443B1FB"/>
    <w:rsid w:val="14441D44"/>
    <w:rsid w:val="144B7946"/>
    <w:rsid w:val="144ECD7A"/>
    <w:rsid w:val="1456A033"/>
    <w:rsid w:val="145D11DF"/>
    <w:rsid w:val="145D6FA6"/>
    <w:rsid w:val="14612D46"/>
    <w:rsid w:val="146B2279"/>
    <w:rsid w:val="146EF30C"/>
    <w:rsid w:val="1470E480"/>
    <w:rsid w:val="147AC00C"/>
    <w:rsid w:val="147C8951"/>
    <w:rsid w:val="147D37A4"/>
    <w:rsid w:val="147E07E9"/>
    <w:rsid w:val="1482EE7B"/>
    <w:rsid w:val="1484A0FA"/>
    <w:rsid w:val="149064D0"/>
    <w:rsid w:val="149103C7"/>
    <w:rsid w:val="149405C4"/>
    <w:rsid w:val="1497A5AA"/>
    <w:rsid w:val="14990E65"/>
    <w:rsid w:val="149FDEBA"/>
    <w:rsid w:val="14A9754E"/>
    <w:rsid w:val="14B063EF"/>
    <w:rsid w:val="14B3D566"/>
    <w:rsid w:val="14B59F6E"/>
    <w:rsid w:val="14BE3AFE"/>
    <w:rsid w:val="14C024A2"/>
    <w:rsid w:val="14C0C324"/>
    <w:rsid w:val="14C5DFEE"/>
    <w:rsid w:val="14CB131C"/>
    <w:rsid w:val="14CBA2E9"/>
    <w:rsid w:val="14DE5AD1"/>
    <w:rsid w:val="14DF0423"/>
    <w:rsid w:val="14EECD50"/>
    <w:rsid w:val="14F1442A"/>
    <w:rsid w:val="15096DFC"/>
    <w:rsid w:val="1510AF26"/>
    <w:rsid w:val="1511E998"/>
    <w:rsid w:val="151A2E47"/>
    <w:rsid w:val="151A63A2"/>
    <w:rsid w:val="1527706A"/>
    <w:rsid w:val="15283BA3"/>
    <w:rsid w:val="1529E0A1"/>
    <w:rsid w:val="15353D5B"/>
    <w:rsid w:val="15389E5B"/>
    <w:rsid w:val="1539193D"/>
    <w:rsid w:val="15419A51"/>
    <w:rsid w:val="15482FB4"/>
    <w:rsid w:val="154E516C"/>
    <w:rsid w:val="15506997"/>
    <w:rsid w:val="1551B16E"/>
    <w:rsid w:val="15560B22"/>
    <w:rsid w:val="1566C6DE"/>
    <w:rsid w:val="1567EF84"/>
    <w:rsid w:val="156A3B1D"/>
    <w:rsid w:val="156EA4A2"/>
    <w:rsid w:val="156F640E"/>
    <w:rsid w:val="1570ED7B"/>
    <w:rsid w:val="157C4DAC"/>
    <w:rsid w:val="158BB39F"/>
    <w:rsid w:val="15900E90"/>
    <w:rsid w:val="1597C31A"/>
    <w:rsid w:val="159D7EDB"/>
    <w:rsid w:val="15A9F11B"/>
    <w:rsid w:val="15B6E49B"/>
    <w:rsid w:val="15B7C478"/>
    <w:rsid w:val="15B88C27"/>
    <w:rsid w:val="15BC35B6"/>
    <w:rsid w:val="15C0B1E7"/>
    <w:rsid w:val="15CA3011"/>
    <w:rsid w:val="15D914A9"/>
    <w:rsid w:val="15D96805"/>
    <w:rsid w:val="15DD586A"/>
    <w:rsid w:val="15E62127"/>
    <w:rsid w:val="15E83666"/>
    <w:rsid w:val="15EBC2A7"/>
    <w:rsid w:val="15EC6E21"/>
    <w:rsid w:val="15EDC756"/>
    <w:rsid w:val="15F485F1"/>
    <w:rsid w:val="1606F251"/>
    <w:rsid w:val="161173D5"/>
    <w:rsid w:val="1612EFB8"/>
    <w:rsid w:val="16172773"/>
    <w:rsid w:val="16190818"/>
    <w:rsid w:val="161B5B36"/>
    <w:rsid w:val="161E2E6E"/>
    <w:rsid w:val="16251B5F"/>
    <w:rsid w:val="162A6F2F"/>
    <w:rsid w:val="163857F8"/>
    <w:rsid w:val="16562C72"/>
    <w:rsid w:val="165A7196"/>
    <w:rsid w:val="165D6FD8"/>
    <w:rsid w:val="165D7717"/>
    <w:rsid w:val="166BD511"/>
    <w:rsid w:val="16753FA6"/>
    <w:rsid w:val="16824615"/>
    <w:rsid w:val="1684EBE6"/>
    <w:rsid w:val="16879F81"/>
    <w:rsid w:val="1687F68A"/>
    <w:rsid w:val="168986AC"/>
    <w:rsid w:val="168D4C3E"/>
    <w:rsid w:val="16922544"/>
    <w:rsid w:val="169418F5"/>
    <w:rsid w:val="16981298"/>
    <w:rsid w:val="1698C251"/>
    <w:rsid w:val="169B355B"/>
    <w:rsid w:val="169C281C"/>
    <w:rsid w:val="169C5463"/>
    <w:rsid w:val="16A201A9"/>
    <w:rsid w:val="16A3B077"/>
    <w:rsid w:val="16B3408A"/>
    <w:rsid w:val="16B53D4B"/>
    <w:rsid w:val="16C25A71"/>
    <w:rsid w:val="16C7440F"/>
    <w:rsid w:val="16C85127"/>
    <w:rsid w:val="16CBB6F9"/>
    <w:rsid w:val="16CD064F"/>
    <w:rsid w:val="16DC1B50"/>
    <w:rsid w:val="16DCEA7A"/>
    <w:rsid w:val="16DE310F"/>
    <w:rsid w:val="16E0BBB6"/>
    <w:rsid w:val="16E264D9"/>
    <w:rsid w:val="16E41F30"/>
    <w:rsid w:val="16E6950F"/>
    <w:rsid w:val="16ECE502"/>
    <w:rsid w:val="16EFD1D9"/>
    <w:rsid w:val="16F6765B"/>
    <w:rsid w:val="16F68DB0"/>
    <w:rsid w:val="16F7F04F"/>
    <w:rsid w:val="16FBA8AA"/>
    <w:rsid w:val="16FC59E2"/>
    <w:rsid w:val="170EB330"/>
    <w:rsid w:val="17163BC3"/>
    <w:rsid w:val="17166B99"/>
    <w:rsid w:val="171A975C"/>
    <w:rsid w:val="171D3EF9"/>
    <w:rsid w:val="171DDCFB"/>
    <w:rsid w:val="171EC295"/>
    <w:rsid w:val="171FE02E"/>
    <w:rsid w:val="1720C78F"/>
    <w:rsid w:val="17220134"/>
    <w:rsid w:val="172624A8"/>
    <w:rsid w:val="17263386"/>
    <w:rsid w:val="1728231F"/>
    <w:rsid w:val="172DFD30"/>
    <w:rsid w:val="17336075"/>
    <w:rsid w:val="1733B13F"/>
    <w:rsid w:val="173427CC"/>
    <w:rsid w:val="1741FA68"/>
    <w:rsid w:val="1743ADDC"/>
    <w:rsid w:val="1743C1BC"/>
    <w:rsid w:val="174EE693"/>
    <w:rsid w:val="17538438"/>
    <w:rsid w:val="1753E53C"/>
    <w:rsid w:val="176C7BDF"/>
    <w:rsid w:val="176DAA9D"/>
    <w:rsid w:val="1771D2B5"/>
    <w:rsid w:val="17740E58"/>
    <w:rsid w:val="1779710C"/>
    <w:rsid w:val="177C6061"/>
    <w:rsid w:val="17838BBE"/>
    <w:rsid w:val="1787C60F"/>
    <w:rsid w:val="1793A097"/>
    <w:rsid w:val="179EDCAD"/>
    <w:rsid w:val="17A79BB4"/>
    <w:rsid w:val="17A9A420"/>
    <w:rsid w:val="17B04C12"/>
    <w:rsid w:val="17B1E2FC"/>
    <w:rsid w:val="17B48BA9"/>
    <w:rsid w:val="17BEC1E5"/>
    <w:rsid w:val="17C779CC"/>
    <w:rsid w:val="17C9C804"/>
    <w:rsid w:val="17CDD9FE"/>
    <w:rsid w:val="17D336ED"/>
    <w:rsid w:val="17E4BF2B"/>
    <w:rsid w:val="17E5D565"/>
    <w:rsid w:val="17E61875"/>
    <w:rsid w:val="17FDCED8"/>
    <w:rsid w:val="180D8C6C"/>
    <w:rsid w:val="18113DED"/>
    <w:rsid w:val="18135085"/>
    <w:rsid w:val="18147864"/>
    <w:rsid w:val="1814C74F"/>
    <w:rsid w:val="1817A3A2"/>
    <w:rsid w:val="18195D84"/>
    <w:rsid w:val="18197A63"/>
    <w:rsid w:val="181B7E6C"/>
    <w:rsid w:val="182231E7"/>
    <w:rsid w:val="182C0A44"/>
    <w:rsid w:val="1830A2A3"/>
    <w:rsid w:val="18381E41"/>
    <w:rsid w:val="18486BB2"/>
    <w:rsid w:val="18496FC2"/>
    <w:rsid w:val="184F6F12"/>
    <w:rsid w:val="18517C1F"/>
    <w:rsid w:val="18575360"/>
    <w:rsid w:val="185DF9C9"/>
    <w:rsid w:val="186139DA"/>
    <w:rsid w:val="1866FC67"/>
    <w:rsid w:val="186B896B"/>
    <w:rsid w:val="186E4923"/>
    <w:rsid w:val="186F76CA"/>
    <w:rsid w:val="187C7538"/>
    <w:rsid w:val="187C966F"/>
    <w:rsid w:val="18813515"/>
    <w:rsid w:val="188C6442"/>
    <w:rsid w:val="188F0F7F"/>
    <w:rsid w:val="189F402F"/>
    <w:rsid w:val="18A0E1BB"/>
    <w:rsid w:val="18A2821C"/>
    <w:rsid w:val="18ABC5EA"/>
    <w:rsid w:val="18AD9AFC"/>
    <w:rsid w:val="18AE6838"/>
    <w:rsid w:val="18B8652A"/>
    <w:rsid w:val="18BDAF13"/>
    <w:rsid w:val="18BE64ED"/>
    <w:rsid w:val="18C1306A"/>
    <w:rsid w:val="18C2A4F5"/>
    <w:rsid w:val="18C3D1F6"/>
    <w:rsid w:val="18C81820"/>
    <w:rsid w:val="18CEBCD8"/>
    <w:rsid w:val="18D4339C"/>
    <w:rsid w:val="18D9AF38"/>
    <w:rsid w:val="18D9CBDE"/>
    <w:rsid w:val="18DEFFBC"/>
    <w:rsid w:val="18DFA638"/>
    <w:rsid w:val="18E50EB2"/>
    <w:rsid w:val="18E94C32"/>
    <w:rsid w:val="18EB99BF"/>
    <w:rsid w:val="18F1010E"/>
    <w:rsid w:val="18F5D37E"/>
    <w:rsid w:val="18F962BC"/>
    <w:rsid w:val="18F9A5C5"/>
    <w:rsid w:val="190A4FD7"/>
    <w:rsid w:val="190B4C5A"/>
    <w:rsid w:val="190B5E2C"/>
    <w:rsid w:val="1916B797"/>
    <w:rsid w:val="191B1ACF"/>
    <w:rsid w:val="192080B6"/>
    <w:rsid w:val="19214D64"/>
    <w:rsid w:val="1934FF0B"/>
    <w:rsid w:val="19377C0C"/>
    <w:rsid w:val="193D1534"/>
    <w:rsid w:val="193E7BC1"/>
    <w:rsid w:val="19438970"/>
    <w:rsid w:val="194E6EE4"/>
    <w:rsid w:val="1963CB42"/>
    <w:rsid w:val="19657362"/>
    <w:rsid w:val="1966B459"/>
    <w:rsid w:val="19685DC4"/>
    <w:rsid w:val="196E3749"/>
    <w:rsid w:val="1971CDEF"/>
    <w:rsid w:val="1971F44A"/>
    <w:rsid w:val="197641F2"/>
    <w:rsid w:val="1977E707"/>
    <w:rsid w:val="198006CC"/>
    <w:rsid w:val="1980675E"/>
    <w:rsid w:val="1981F4F0"/>
    <w:rsid w:val="1983BCC8"/>
    <w:rsid w:val="198AD950"/>
    <w:rsid w:val="198B8332"/>
    <w:rsid w:val="19931D94"/>
    <w:rsid w:val="1994FBC4"/>
    <w:rsid w:val="1995611E"/>
    <w:rsid w:val="1996FBD9"/>
    <w:rsid w:val="1997C608"/>
    <w:rsid w:val="19992BE3"/>
    <w:rsid w:val="19A34417"/>
    <w:rsid w:val="19A41AD9"/>
    <w:rsid w:val="19A8FBE3"/>
    <w:rsid w:val="19AE63A0"/>
    <w:rsid w:val="19B83D78"/>
    <w:rsid w:val="19BD695D"/>
    <w:rsid w:val="19C79958"/>
    <w:rsid w:val="19CCE129"/>
    <w:rsid w:val="19CF368D"/>
    <w:rsid w:val="19D68E7B"/>
    <w:rsid w:val="19DE1705"/>
    <w:rsid w:val="19E00845"/>
    <w:rsid w:val="19E99A8D"/>
    <w:rsid w:val="19F18597"/>
    <w:rsid w:val="19F2206D"/>
    <w:rsid w:val="19FC1F41"/>
    <w:rsid w:val="1A035022"/>
    <w:rsid w:val="1A04219A"/>
    <w:rsid w:val="1A04E793"/>
    <w:rsid w:val="1A055A7F"/>
    <w:rsid w:val="1A0DF747"/>
    <w:rsid w:val="1A16DFB4"/>
    <w:rsid w:val="1A1C31C7"/>
    <w:rsid w:val="1A222C29"/>
    <w:rsid w:val="1A2D688C"/>
    <w:rsid w:val="1A329DA2"/>
    <w:rsid w:val="1A362C2C"/>
    <w:rsid w:val="1A39BA78"/>
    <w:rsid w:val="1A3E522F"/>
    <w:rsid w:val="1A3ECCD0"/>
    <w:rsid w:val="1A4623B7"/>
    <w:rsid w:val="1A639F8B"/>
    <w:rsid w:val="1A63F984"/>
    <w:rsid w:val="1A6B5470"/>
    <w:rsid w:val="1A6C2D5A"/>
    <w:rsid w:val="1A7054DA"/>
    <w:rsid w:val="1A7DDCD1"/>
    <w:rsid w:val="1A83F75D"/>
    <w:rsid w:val="1A87B9E4"/>
    <w:rsid w:val="1A94E6DE"/>
    <w:rsid w:val="1A96866B"/>
    <w:rsid w:val="1A97A2EA"/>
    <w:rsid w:val="1A980421"/>
    <w:rsid w:val="1A9B32B8"/>
    <w:rsid w:val="1A9DDBF0"/>
    <w:rsid w:val="1AA3F94F"/>
    <w:rsid w:val="1AA73273"/>
    <w:rsid w:val="1AAA1A7E"/>
    <w:rsid w:val="1AB2A9B1"/>
    <w:rsid w:val="1ABB5C3A"/>
    <w:rsid w:val="1ABB7598"/>
    <w:rsid w:val="1AC663A7"/>
    <w:rsid w:val="1AC6D44E"/>
    <w:rsid w:val="1AC97888"/>
    <w:rsid w:val="1ACFA65E"/>
    <w:rsid w:val="1AD8AB16"/>
    <w:rsid w:val="1ADC388F"/>
    <w:rsid w:val="1AEBF87E"/>
    <w:rsid w:val="1AECA879"/>
    <w:rsid w:val="1AF50598"/>
    <w:rsid w:val="1AFAEB71"/>
    <w:rsid w:val="1AFE313A"/>
    <w:rsid w:val="1AFEFD2E"/>
    <w:rsid w:val="1B0EBAA1"/>
    <w:rsid w:val="1B12D578"/>
    <w:rsid w:val="1B1666B6"/>
    <w:rsid w:val="1B178A22"/>
    <w:rsid w:val="1B1F2155"/>
    <w:rsid w:val="1B1FE9F3"/>
    <w:rsid w:val="1B2217C0"/>
    <w:rsid w:val="1B24DAF2"/>
    <w:rsid w:val="1B2A86A2"/>
    <w:rsid w:val="1B349AB1"/>
    <w:rsid w:val="1B36DDDD"/>
    <w:rsid w:val="1B3FD37D"/>
    <w:rsid w:val="1B3FE015"/>
    <w:rsid w:val="1B43909B"/>
    <w:rsid w:val="1B461164"/>
    <w:rsid w:val="1B499739"/>
    <w:rsid w:val="1B4B5E98"/>
    <w:rsid w:val="1B5BB200"/>
    <w:rsid w:val="1B5CF6E9"/>
    <w:rsid w:val="1B603EB2"/>
    <w:rsid w:val="1B672D26"/>
    <w:rsid w:val="1B6B5ADA"/>
    <w:rsid w:val="1B6BAEBB"/>
    <w:rsid w:val="1B6FF410"/>
    <w:rsid w:val="1B74D19A"/>
    <w:rsid w:val="1B751E88"/>
    <w:rsid w:val="1B7866CE"/>
    <w:rsid w:val="1B7B85DD"/>
    <w:rsid w:val="1B7DA0CE"/>
    <w:rsid w:val="1B7E7810"/>
    <w:rsid w:val="1B83477C"/>
    <w:rsid w:val="1B891B73"/>
    <w:rsid w:val="1B8A55C1"/>
    <w:rsid w:val="1B8CC11F"/>
    <w:rsid w:val="1B8F216A"/>
    <w:rsid w:val="1B932EA9"/>
    <w:rsid w:val="1B9BF098"/>
    <w:rsid w:val="1B9D3ABB"/>
    <w:rsid w:val="1B9E098F"/>
    <w:rsid w:val="1BA076BB"/>
    <w:rsid w:val="1BA78C55"/>
    <w:rsid w:val="1BA9D9B8"/>
    <w:rsid w:val="1BAC4E32"/>
    <w:rsid w:val="1BAEB18E"/>
    <w:rsid w:val="1BB5CA86"/>
    <w:rsid w:val="1BB7F0C2"/>
    <w:rsid w:val="1BBC2B17"/>
    <w:rsid w:val="1BC65A33"/>
    <w:rsid w:val="1BC6B2BC"/>
    <w:rsid w:val="1BCE2D16"/>
    <w:rsid w:val="1BD269A3"/>
    <w:rsid w:val="1BD4C091"/>
    <w:rsid w:val="1BDB58E8"/>
    <w:rsid w:val="1BDE92F5"/>
    <w:rsid w:val="1BE10465"/>
    <w:rsid w:val="1BE4AE3D"/>
    <w:rsid w:val="1BE7717B"/>
    <w:rsid w:val="1BEFBBBA"/>
    <w:rsid w:val="1BF1258D"/>
    <w:rsid w:val="1BF2987A"/>
    <w:rsid w:val="1BF5288D"/>
    <w:rsid w:val="1C01E9D8"/>
    <w:rsid w:val="1C053970"/>
    <w:rsid w:val="1C0B69CA"/>
    <w:rsid w:val="1C0ECBAB"/>
    <w:rsid w:val="1C1577D0"/>
    <w:rsid w:val="1C17F0D4"/>
    <w:rsid w:val="1C18A7CC"/>
    <w:rsid w:val="1C291FA9"/>
    <w:rsid w:val="1C3FC9C4"/>
    <w:rsid w:val="1C4FF554"/>
    <w:rsid w:val="1C533B91"/>
    <w:rsid w:val="1C64A45C"/>
    <w:rsid w:val="1C669C1F"/>
    <w:rsid w:val="1C686F63"/>
    <w:rsid w:val="1C68FF72"/>
    <w:rsid w:val="1C6CD784"/>
    <w:rsid w:val="1C6F0A11"/>
    <w:rsid w:val="1C7A222C"/>
    <w:rsid w:val="1C7B43F8"/>
    <w:rsid w:val="1C7E6BA5"/>
    <w:rsid w:val="1C876C4E"/>
    <w:rsid w:val="1C885708"/>
    <w:rsid w:val="1C8DC21E"/>
    <w:rsid w:val="1C91B24C"/>
    <w:rsid w:val="1C92D3EB"/>
    <w:rsid w:val="1C94DEAD"/>
    <w:rsid w:val="1CA21153"/>
    <w:rsid w:val="1CA70C9F"/>
    <w:rsid w:val="1CAFB9FB"/>
    <w:rsid w:val="1CB1352D"/>
    <w:rsid w:val="1CB41998"/>
    <w:rsid w:val="1CB61086"/>
    <w:rsid w:val="1CBF0845"/>
    <w:rsid w:val="1CC34A62"/>
    <w:rsid w:val="1CC4F9EA"/>
    <w:rsid w:val="1CC70834"/>
    <w:rsid w:val="1CC7206E"/>
    <w:rsid w:val="1CCB7F0A"/>
    <w:rsid w:val="1CCEA2B3"/>
    <w:rsid w:val="1CCEF10F"/>
    <w:rsid w:val="1CD02D30"/>
    <w:rsid w:val="1CD62933"/>
    <w:rsid w:val="1CE13148"/>
    <w:rsid w:val="1CE1FA70"/>
    <w:rsid w:val="1CE33947"/>
    <w:rsid w:val="1CE7B447"/>
    <w:rsid w:val="1CF528FF"/>
    <w:rsid w:val="1CF7392E"/>
    <w:rsid w:val="1D04BBED"/>
    <w:rsid w:val="1D0E1620"/>
    <w:rsid w:val="1D0E44D1"/>
    <w:rsid w:val="1D12F067"/>
    <w:rsid w:val="1D1568F9"/>
    <w:rsid w:val="1D15B98E"/>
    <w:rsid w:val="1D174604"/>
    <w:rsid w:val="1D1A90C0"/>
    <w:rsid w:val="1D1D88A9"/>
    <w:rsid w:val="1D207A1C"/>
    <w:rsid w:val="1D2711B7"/>
    <w:rsid w:val="1D318A07"/>
    <w:rsid w:val="1D33266B"/>
    <w:rsid w:val="1D393A01"/>
    <w:rsid w:val="1D39F295"/>
    <w:rsid w:val="1D45352D"/>
    <w:rsid w:val="1D454D89"/>
    <w:rsid w:val="1D4B97C8"/>
    <w:rsid w:val="1D4C48CB"/>
    <w:rsid w:val="1D5F0BD9"/>
    <w:rsid w:val="1D610345"/>
    <w:rsid w:val="1D64BF11"/>
    <w:rsid w:val="1D70C31B"/>
    <w:rsid w:val="1D75D17D"/>
    <w:rsid w:val="1D9A86F6"/>
    <w:rsid w:val="1DB2D9E1"/>
    <w:rsid w:val="1DBA482F"/>
    <w:rsid w:val="1DD00EC9"/>
    <w:rsid w:val="1DD1C6DF"/>
    <w:rsid w:val="1DD98587"/>
    <w:rsid w:val="1DDD7785"/>
    <w:rsid w:val="1DE12011"/>
    <w:rsid w:val="1DE46D0C"/>
    <w:rsid w:val="1DE50B96"/>
    <w:rsid w:val="1DE915DF"/>
    <w:rsid w:val="1DEE47A8"/>
    <w:rsid w:val="1DF70A8B"/>
    <w:rsid w:val="1DF796EF"/>
    <w:rsid w:val="1DFD84BF"/>
    <w:rsid w:val="1DFFDFA6"/>
    <w:rsid w:val="1E013484"/>
    <w:rsid w:val="1E057D43"/>
    <w:rsid w:val="1E088A47"/>
    <w:rsid w:val="1E09AADE"/>
    <w:rsid w:val="1E105722"/>
    <w:rsid w:val="1E13E4A6"/>
    <w:rsid w:val="1E177979"/>
    <w:rsid w:val="1E1A3CFB"/>
    <w:rsid w:val="1E1A9FD0"/>
    <w:rsid w:val="1E1FFFB1"/>
    <w:rsid w:val="1E264255"/>
    <w:rsid w:val="1E2824BE"/>
    <w:rsid w:val="1E2DBA2E"/>
    <w:rsid w:val="1E2E627D"/>
    <w:rsid w:val="1E2FF1BE"/>
    <w:rsid w:val="1E3762C2"/>
    <w:rsid w:val="1E3FBB4D"/>
    <w:rsid w:val="1E42B583"/>
    <w:rsid w:val="1E46348D"/>
    <w:rsid w:val="1E477ABB"/>
    <w:rsid w:val="1E4795CD"/>
    <w:rsid w:val="1E487608"/>
    <w:rsid w:val="1E4B971A"/>
    <w:rsid w:val="1E4D2B48"/>
    <w:rsid w:val="1E549629"/>
    <w:rsid w:val="1E5606F0"/>
    <w:rsid w:val="1E6163F3"/>
    <w:rsid w:val="1E73CD16"/>
    <w:rsid w:val="1E79D917"/>
    <w:rsid w:val="1E831C32"/>
    <w:rsid w:val="1E8409AE"/>
    <w:rsid w:val="1E8A78B0"/>
    <w:rsid w:val="1E8F5D65"/>
    <w:rsid w:val="1E945137"/>
    <w:rsid w:val="1E9455C2"/>
    <w:rsid w:val="1E9FBA01"/>
    <w:rsid w:val="1EA07124"/>
    <w:rsid w:val="1EA1883A"/>
    <w:rsid w:val="1EA3D32B"/>
    <w:rsid w:val="1EA5BD55"/>
    <w:rsid w:val="1EAA4B71"/>
    <w:rsid w:val="1EACE6AE"/>
    <w:rsid w:val="1EB39943"/>
    <w:rsid w:val="1EB5CDC2"/>
    <w:rsid w:val="1EB88873"/>
    <w:rsid w:val="1EBDDCC0"/>
    <w:rsid w:val="1EBE943B"/>
    <w:rsid w:val="1EC8755B"/>
    <w:rsid w:val="1ED24D8B"/>
    <w:rsid w:val="1ED2656B"/>
    <w:rsid w:val="1ED9D509"/>
    <w:rsid w:val="1EDD694C"/>
    <w:rsid w:val="1EEFEAD5"/>
    <w:rsid w:val="1EF55688"/>
    <w:rsid w:val="1F05242E"/>
    <w:rsid w:val="1F1636A0"/>
    <w:rsid w:val="1F167ADC"/>
    <w:rsid w:val="1F1BB14C"/>
    <w:rsid w:val="1F1EA562"/>
    <w:rsid w:val="1F2045F4"/>
    <w:rsid w:val="1F257A34"/>
    <w:rsid w:val="1F25F216"/>
    <w:rsid w:val="1F2988C7"/>
    <w:rsid w:val="1F2D37BC"/>
    <w:rsid w:val="1F31D400"/>
    <w:rsid w:val="1F375B88"/>
    <w:rsid w:val="1F421EA6"/>
    <w:rsid w:val="1F436D81"/>
    <w:rsid w:val="1F43A52E"/>
    <w:rsid w:val="1F481609"/>
    <w:rsid w:val="1F4F7324"/>
    <w:rsid w:val="1F4FDA94"/>
    <w:rsid w:val="1F5B38E9"/>
    <w:rsid w:val="1F6B981E"/>
    <w:rsid w:val="1F6E9688"/>
    <w:rsid w:val="1F71E984"/>
    <w:rsid w:val="1F7963D4"/>
    <w:rsid w:val="1F7E5939"/>
    <w:rsid w:val="1F8F7F75"/>
    <w:rsid w:val="1F9D2C31"/>
    <w:rsid w:val="1F9FA736"/>
    <w:rsid w:val="1FA01C8C"/>
    <w:rsid w:val="1FA6AD36"/>
    <w:rsid w:val="1FA73A55"/>
    <w:rsid w:val="1FA7785B"/>
    <w:rsid w:val="1FA7ECBB"/>
    <w:rsid w:val="1FAF7161"/>
    <w:rsid w:val="1FB09DDA"/>
    <w:rsid w:val="1FB4D40C"/>
    <w:rsid w:val="1FB5576F"/>
    <w:rsid w:val="1FBED87A"/>
    <w:rsid w:val="1FC18545"/>
    <w:rsid w:val="1FC43D93"/>
    <w:rsid w:val="1FCFAB68"/>
    <w:rsid w:val="1FD58E5B"/>
    <w:rsid w:val="1FDB3B5E"/>
    <w:rsid w:val="1FDF3C02"/>
    <w:rsid w:val="1FE3089E"/>
    <w:rsid w:val="1FE4FEAC"/>
    <w:rsid w:val="1FED4C93"/>
    <w:rsid w:val="1FEDDD36"/>
    <w:rsid w:val="1FF00603"/>
    <w:rsid w:val="1FF1E72A"/>
    <w:rsid w:val="1FF2263B"/>
    <w:rsid w:val="1FF236A6"/>
    <w:rsid w:val="1FF4309E"/>
    <w:rsid w:val="2000C083"/>
    <w:rsid w:val="2009D9DB"/>
    <w:rsid w:val="200EF5CE"/>
    <w:rsid w:val="200F549F"/>
    <w:rsid w:val="201283C3"/>
    <w:rsid w:val="201334CE"/>
    <w:rsid w:val="20221986"/>
    <w:rsid w:val="2024D4E3"/>
    <w:rsid w:val="202FB319"/>
    <w:rsid w:val="2033F91C"/>
    <w:rsid w:val="203E9DCD"/>
    <w:rsid w:val="203F8D47"/>
    <w:rsid w:val="20404250"/>
    <w:rsid w:val="2045E332"/>
    <w:rsid w:val="20596F64"/>
    <w:rsid w:val="2066B951"/>
    <w:rsid w:val="20697E36"/>
    <w:rsid w:val="206C9EFA"/>
    <w:rsid w:val="206CD5DB"/>
    <w:rsid w:val="206EE3EA"/>
    <w:rsid w:val="20700F3A"/>
    <w:rsid w:val="207056AB"/>
    <w:rsid w:val="20710A5E"/>
    <w:rsid w:val="2072C8B5"/>
    <w:rsid w:val="20730C7F"/>
    <w:rsid w:val="2079CF51"/>
    <w:rsid w:val="207B94F6"/>
    <w:rsid w:val="2095BDE9"/>
    <w:rsid w:val="2096F5BF"/>
    <w:rsid w:val="20988387"/>
    <w:rsid w:val="2099D3E1"/>
    <w:rsid w:val="20A68E45"/>
    <w:rsid w:val="20ABBD24"/>
    <w:rsid w:val="20B0765B"/>
    <w:rsid w:val="20B13CA7"/>
    <w:rsid w:val="20B58211"/>
    <w:rsid w:val="20B6167B"/>
    <w:rsid w:val="20C9C42D"/>
    <w:rsid w:val="20D4CFE1"/>
    <w:rsid w:val="20E1AE6E"/>
    <w:rsid w:val="20E26E55"/>
    <w:rsid w:val="20F2D11E"/>
    <w:rsid w:val="20F8135E"/>
    <w:rsid w:val="20FA18D3"/>
    <w:rsid w:val="20FDB1B9"/>
    <w:rsid w:val="2102A185"/>
    <w:rsid w:val="2110829C"/>
    <w:rsid w:val="2114B90E"/>
    <w:rsid w:val="2115580E"/>
    <w:rsid w:val="211B7EB1"/>
    <w:rsid w:val="212489BC"/>
    <w:rsid w:val="212DBDEB"/>
    <w:rsid w:val="212F643F"/>
    <w:rsid w:val="21330B5C"/>
    <w:rsid w:val="213B72DB"/>
    <w:rsid w:val="21403BC6"/>
    <w:rsid w:val="2143E69F"/>
    <w:rsid w:val="215A6483"/>
    <w:rsid w:val="21605836"/>
    <w:rsid w:val="21635124"/>
    <w:rsid w:val="2163FF94"/>
    <w:rsid w:val="2164EDDB"/>
    <w:rsid w:val="216C0587"/>
    <w:rsid w:val="217208F8"/>
    <w:rsid w:val="2173BD96"/>
    <w:rsid w:val="21767CB0"/>
    <w:rsid w:val="2178E692"/>
    <w:rsid w:val="217AA657"/>
    <w:rsid w:val="217ACEEB"/>
    <w:rsid w:val="217CEA68"/>
    <w:rsid w:val="219000B1"/>
    <w:rsid w:val="2198CAA0"/>
    <w:rsid w:val="219FC352"/>
    <w:rsid w:val="21A3D229"/>
    <w:rsid w:val="21A80C04"/>
    <w:rsid w:val="21B7C0C4"/>
    <w:rsid w:val="21B89784"/>
    <w:rsid w:val="21BA020F"/>
    <w:rsid w:val="21BFF9A6"/>
    <w:rsid w:val="21C51E24"/>
    <w:rsid w:val="21D11840"/>
    <w:rsid w:val="21DCCE5C"/>
    <w:rsid w:val="21E1A9DE"/>
    <w:rsid w:val="21E92A46"/>
    <w:rsid w:val="21EC334B"/>
    <w:rsid w:val="21F958F6"/>
    <w:rsid w:val="21FE4663"/>
    <w:rsid w:val="2203C671"/>
    <w:rsid w:val="22049990"/>
    <w:rsid w:val="221179A8"/>
    <w:rsid w:val="221DEB19"/>
    <w:rsid w:val="221E8E5F"/>
    <w:rsid w:val="22288ED6"/>
    <w:rsid w:val="222BBB3B"/>
    <w:rsid w:val="222F7E00"/>
    <w:rsid w:val="223CFE9B"/>
    <w:rsid w:val="223F2D90"/>
    <w:rsid w:val="22401F91"/>
    <w:rsid w:val="2259055E"/>
    <w:rsid w:val="2260107C"/>
    <w:rsid w:val="22639808"/>
    <w:rsid w:val="2265A818"/>
    <w:rsid w:val="22724D4C"/>
    <w:rsid w:val="22737FF3"/>
    <w:rsid w:val="2279B7D8"/>
    <w:rsid w:val="227C4413"/>
    <w:rsid w:val="227D9153"/>
    <w:rsid w:val="227F529E"/>
    <w:rsid w:val="22875D5A"/>
    <w:rsid w:val="228B6F16"/>
    <w:rsid w:val="228BD3F2"/>
    <w:rsid w:val="2290D1E6"/>
    <w:rsid w:val="2296FD3B"/>
    <w:rsid w:val="22996D38"/>
    <w:rsid w:val="229B4A59"/>
    <w:rsid w:val="22A0B1DA"/>
    <w:rsid w:val="22A56126"/>
    <w:rsid w:val="22B23780"/>
    <w:rsid w:val="22B34CAB"/>
    <w:rsid w:val="22B47A5B"/>
    <w:rsid w:val="22B675A3"/>
    <w:rsid w:val="22BA2FE7"/>
    <w:rsid w:val="22C6A4A4"/>
    <w:rsid w:val="22CBE012"/>
    <w:rsid w:val="22CDFD9F"/>
    <w:rsid w:val="22CE3D9D"/>
    <w:rsid w:val="22D0737B"/>
    <w:rsid w:val="22D13CEE"/>
    <w:rsid w:val="22D6F397"/>
    <w:rsid w:val="22DD9856"/>
    <w:rsid w:val="22DF2B63"/>
    <w:rsid w:val="22DF9E54"/>
    <w:rsid w:val="22E06D9C"/>
    <w:rsid w:val="22E0F9BE"/>
    <w:rsid w:val="22E8CA2E"/>
    <w:rsid w:val="22F056F4"/>
    <w:rsid w:val="22F3C089"/>
    <w:rsid w:val="22F65DC2"/>
    <w:rsid w:val="22F67E65"/>
    <w:rsid w:val="22FAD0D0"/>
    <w:rsid w:val="2311A8CD"/>
    <w:rsid w:val="2313CA27"/>
    <w:rsid w:val="2318AE98"/>
    <w:rsid w:val="231E863D"/>
    <w:rsid w:val="23221E3F"/>
    <w:rsid w:val="232E507D"/>
    <w:rsid w:val="232F23B8"/>
    <w:rsid w:val="2330D2B8"/>
    <w:rsid w:val="2339703C"/>
    <w:rsid w:val="2339B0AE"/>
    <w:rsid w:val="23458721"/>
    <w:rsid w:val="234779EB"/>
    <w:rsid w:val="2347C91A"/>
    <w:rsid w:val="2359724C"/>
    <w:rsid w:val="235BD4F8"/>
    <w:rsid w:val="235FF494"/>
    <w:rsid w:val="237C9FD6"/>
    <w:rsid w:val="237E2930"/>
    <w:rsid w:val="237E8E9D"/>
    <w:rsid w:val="2383559C"/>
    <w:rsid w:val="2384FDF9"/>
    <w:rsid w:val="23881E6A"/>
    <w:rsid w:val="23953725"/>
    <w:rsid w:val="23A2AD31"/>
    <w:rsid w:val="23A79A1A"/>
    <w:rsid w:val="23B14AFE"/>
    <w:rsid w:val="23B4660D"/>
    <w:rsid w:val="23BB929A"/>
    <w:rsid w:val="23C95683"/>
    <w:rsid w:val="23D1F492"/>
    <w:rsid w:val="23D27E72"/>
    <w:rsid w:val="23D304C5"/>
    <w:rsid w:val="23DCD7B6"/>
    <w:rsid w:val="23ECDF91"/>
    <w:rsid w:val="23F2A086"/>
    <w:rsid w:val="23F5902D"/>
    <w:rsid w:val="23F5C443"/>
    <w:rsid w:val="23F885F9"/>
    <w:rsid w:val="23FA6987"/>
    <w:rsid w:val="24026DBC"/>
    <w:rsid w:val="240346EB"/>
    <w:rsid w:val="2404C49E"/>
    <w:rsid w:val="2406E3A9"/>
    <w:rsid w:val="240EDE45"/>
    <w:rsid w:val="240FC93D"/>
    <w:rsid w:val="2412DB79"/>
    <w:rsid w:val="241DE1C5"/>
    <w:rsid w:val="2425F024"/>
    <w:rsid w:val="24288B6A"/>
    <w:rsid w:val="2428F511"/>
    <w:rsid w:val="242B05AD"/>
    <w:rsid w:val="2431D0CE"/>
    <w:rsid w:val="243A89D5"/>
    <w:rsid w:val="243F2BC1"/>
    <w:rsid w:val="243FC585"/>
    <w:rsid w:val="2443441A"/>
    <w:rsid w:val="24470094"/>
    <w:rsid w:val="244EDECC"/>
    <w:rsid w:val="245215CE"/>
    <w:rsid w:val="245419E2"/>
    <w:rsid w:val="245BDCAD"/>
    <w:rsid w:val="24664A81"/>
    <w:rsid w:val="246A2042"/>
    <w:rsid w:val="246B1DB7"/>
    <w:rsid w:val="246C1015"/>
    <w:rsid w:val="246F6561"/>
    <w:rsid w:val="24708454"/>
    <w:rsid w:val="247A6AE1"/>
    <w:rsid w:val="247CB49A"/>
    <w:rsid w:val="2482236A"/>
    <w:rsid w:val="24873D7D"/>
    <w:rsid w:val="24900C6B"/>
    <w:rsid w:val="2493C721"/>
    <w:rsid w:val="2496B586"/>
    <w:rsid w:val="249CABC5"/>
    <w:rsid w:val="249EA060"/>
    <w:rsid w:val="24A390F1"/>
    <w:rsid w:val="24A3B7AB"/>
    <w:rsid w:val="24B4DFF9"/>
    <w:rsid w:val="24BEB514"/>
    <w:rsid w:val="24C0FA66"/>
    <w:rsid w:val="24C54E4D"/>
    <w:rsid w:val="24D037A2"/>
    <w:rsid w:val="24D9E8D0"/>
    <w:rsid w:val="24DC59A5"/>
    <w:rsid w:val="24E4F0DD"/>
    <w:rsid w:val="24EE0AD8"/>
    <w:rsid w:val="24F053A7"/>
    <w:rsid w:val="24F1D18F"/>
    <w:rsid w:val="24F345FA"/>
    <w:rsid w:val="24F56DD9"/>
    <w:rsid w:val="25071C00"/>
    <w:rsid w:val="250E7700"/>
    <w:rsid w:val="251CD433"/>
    <w:rsid w:val="25222EC9"/>
    <w:rsid w:val="252380E6"/>
    <w:rsid w:val="2526D1AC"/>
    <w:rsid w:val="252E547B"/>
    <w:rsid w:val="2535988E"/>
    <w:rsid w:val="253A9CDA"/>
    <w:rsid w:val="253C817C"/>
    <w:rsid w:val="253D65E5"/>
    <w:rsid w:val="253F2CD6"/>
    <w:rsid w:val="2541EDEA"/>
    <w:rsid w:val="254747A9"/>
    <w:rsid w:val="25481DF8"/>
    <w:rsid w:val="254950C7"/>
    <w:rsid w:val="25545A81"/>
    <w:rsid w:val="255F6231"/>
    <w:rsid w:val="2568DABC"/>
    <w:rsid w:val="256B3A53"/>
    <w:rsid w:val="256B8E9C"/>
    <w:rsid w:val="25845AAF"/>
    <w:rsid w:val="258B80F8"/>
    <w:rsid w:val="25920B28"/>
    <w:rsid w:val="25949963"/>
    <w:rsid w:val="2597EE24"/>
    <w:rsid w:val="259C0BD0"/>
    <w:rsid w:val="259CAF5F"/>
    <w:rsid w:val="259F8014"/>
    <w:rsid w:val="259FD00A"/>
    <w:rsid w:val="25A8856F"/>
    <w:rsid w:val="25ABBE57"/>
    <w:rsid w:val="25B71AA7"/>
    <w:rsid w:val="25B8631F"/>
    <w:rsid w:val="25CA0A6E"/>
    <w:rsid w:val="25CDE5B6"/>
    <w:rsid w:val="25D6F1A4"/>
    <w:rsid w:val="25DFFE91"/>
    <w:rsid w:val="25E35C2F"/>
    <w:rsid w:val="25F22517"/>
    <w:rsid w:val="25F2CC40"/>
    <w:rsid w:val="26011E38"/>
    <w:rsid w:val="260EE3EC"/>
    <w:rsid w:val="261187AD"/>
    <w:rsid w:val="2612BB04"/>
    <w:rsid w:val="261D2140"/>
    <w:rsid w:val="262B7D84"/>
    <w:rsid w:val="26318876"/>
    <w:rsid w:val="2635E462"/>
    <w:rsid w:val="2639159D"/>
    <w:rsid w:val="263BCB8D"/>
    <w:rsid w:val="263D3930"/>
    <w:rsid w:val="2640E121"/>
    <w:rsid w:val="2646DAE8"/>
    <w:rsid w:val="264B23BE"/>
    <w:rsid w:val="26516E7B"/>
    <w:rsid w:val="2652F9DE"/>
    <w:rsid w:val="265607E1"/>
    <w:rsid w:val="2660B20A"/>
    <w:rsid w:val="266CC942"/>
    <w:rsid w:val="266FAD7D"/>
    <w:rsid w:val="267243D5"/>
    <w:rsid w:val="2673E2E6"/>
    <w:rsid w:val="26794970"/>
    <w:rsid w:val="267C9B30"/>
    <w:rsid w:val="267EFFF8"/>
    <w:rsid w:val="2684E803"/>
    <w:rsid w:val="26898738"/>
    <w:rsid w:val="268E8776"/>
    <w:rsid w:val="268FFDFF"/>
    <w:rsid w:val="26900560"/>
    <w:rsid w:val="26903A40"/>
    <w:rsid w:val="2693DAE3"/>
    <w:rsid w:val="2696D1CC"/>
    <w:rsid w:val="2698761B"/>
    <w:rsid w:val="2698C9F8"/>
    <w:rsid w:val="269A6925"/>
    <w:rsid w:val="269BF08E"/>
    <w:rsid w:val="269C608F"/>
    <w:rsid w:val="269F09DC"/>
    <w:rsid w:val="269F429B"/>
    <w:rsid w:val="26A057FE"/>
    <w:rsid w:val="26A64DEC"/>
    <w:rsid w:val="26A763E5"/>
    <w:rsid w:val="26B341D9"/>
    <w:rsid w:val="26B41B0E"/>
    <w:rsid w:val="26B445A9"/>
    <w:rsid w:val="26B82DFE"/>
    <w:rsid w:val="26B9D3AA"/>
    <w:rsid w:val="26E1CDFC"/>
    <w:rsid w:val="26E91A17"/>
    <w:rsid w:val="26EBF91F"/>
    <w:rsid w:val="26EDA453"/>
    <w:rsid w:val="27079645"/>
    <w:rsid w:val="270D9EA5"/>
    <w:rsid w:val="271490D8"/>
    <w:rsid w:val="2716923C"/>
    <w:rsid w:val="27197ABC"/>
    <w:rsid w:val="271C2CCE"/>
    <w:rsid w:val="2725E4FF"/>
    <w:rsid w:val="2727FC6D"/>
    <w:rsid w:val="2732497B"/>
    <w:rsid w:val="2746AF88"/>
    <w:rsid w:val="27473B0D"/>
    <w:rsid w:val="27498E55"/>
    <w:rsid w:val="2751EBAA"/>
    <w:rsid w:val="2755498C"/>
    <w:rsid w:val="27577354"/>
    <w:rsid w:val="275EB545"/>
    <w:rsid w:val="275F2872"/>
    <w:rsid w:val="276093F7"/>
    <w:rsid w:val="27672FCB"/>
    <w:rsid w:val="276A82D3"/>
    <w:rsid w:val="277B2290"/>
    <w:rsid w:val="2783CC6A"/>
    <w:rsid w:val="2785F74E"/>
    <w:rsid w:val="278D27FB"/>
    <w:rsid w:val="278DBF9F"/>
    <w:rsid w:val="2790F50F"/>
    <w:rsid w:val="2798D475"/>
    <w:rsid w:val="279AE7A6"/>
    <w:rsid w:val="279F8B4A"/>
    <w:rsid w:val="27A2B61E"/>
    <w:rsid w:val="27A8FC6D"/>
    <w:rsid w:val="27ADB49C"/>
    <w:rsid w:val="27AF0668"/>
    <w:rsid w:val="27AF5F9E"/>
    <w:rsid w:val="27B1813A"/>
    <w:rsid w:val="27B2AE1E"/>
    <w:rsid w:val="27B345F4"/>
    <w:rsid w:val="27B65AAB"/>
    <w:rsid w:val="27BC47C9"/>
    <w:rsid w:val="27BD4B56"/>
    <w:rsid w:val="27BE66C6"/>
    <w:rsid w:val="27C4221F"/>
    <w:rsid w:val="27D41AFC"/>
    <w:rsid w:val="27E85D55"/>
    <w:rsid w:val="27EA3301"/>
    <w:rsid w:val="27F159C1"/>
    <w:rsid w:val="27F213E0"/>
    <w:rsid w:val="27FB259B"/>
    <w:rsid w:val="2805BBB3"/>
    <w:rsid w:val="280674C1"/>
    <w:rsid w:val="280E7BBA"/>
    <w:rsid w:val="280F3CFB"/>
    <w:rsid w:val="28108162"/>
    <w:rsid w:val="2813C1AB"/>
    <w:rsid w:val="28142C81"/>
    <w:rsid w:val="2814AE62"/>
    <w:rsid w:val="281F2267"/>
    <w:rsid w:val="28283FBB"/>
    <w:rsid w:val="282ECB13"/>
    <w:rsid w:val="28327B03"/>
    <w:rsid w:val="2835D125"/>
    <w:rsid w:val="2839FCB7"/>
    <w:rsid w:val="28419033"/>
    <w:rsid w:val="2844E347"/>
    <w:rsid w:val="2850BF89"/>
    <w:rsid w:val="285BDB88"/>
    <w:rsid w:val="28600F51"/>
    <w:rsid w:val="28667129"/>
    <w:rsid w:val="28699E29"/>
    <w:rsid w:val="2869A6DC"/>
    <w:rsid w:val="286B5B1E"/>
    <w:rsid w:val="286CB170"/>
    <w:rsid w:val="28706C08"/>
    <w:rsid w:val="287839E9"/>
    <w:rsid w:val="2878927B"/>
    <w:rsid w:val="288581EB"/>
    <w:rsid w:val="288813BE"/>
    <w:rsid w:val="28A5D1EA"/>
    <w:rsid w:val="28AA3368"/>
    <w:rsid w:val="28AB59EA"/>
    <w:rsid w:val="28B7E2CF"/>
    <w:rsid w:val="28B86EEA"/>
    <w:rsid w:val="28C10CBA"/>
    <w:rsid w:val="28CC2590"/>
    <w:rsid w:val="28CCE0E3"/>
    <w:rsid w:val="28CD7B99"/>
    <w:rsid w:val="28D31A86"/>
    <w:rsid w:val="28D69B14"/>
    <w:rsid w:val="28E24C41"/>
    <w:rsid w:val="28E9BD13"/>
    <w:rsid w:val="28F15B27"/>
    <w:rsid w:val="28FF3245"/>
    <w:rsid w:val="290B00C3"/>
    <w:rsid w:val="290ED782"/>
    <w:rsid w:val="291344C3"/>
    <w:rsid w:val="2914F38E"/>
    <w:rsid w:val="2916F691"/>
    <w:rsid w:val="291D847A"/>
    <w:rsid w:val="29236DD8"/>
    <w:rsid w:val="29288416"/>
    <w:rsid w:val="2939F93F"/>
    <w:rsid w:val="293A0FF2"/>
    <w:rsid w:val="293A2D69"/>
    <w:rsid w:val="293A34F8"/>
    <w:rsid w:val="293A58F8"/>
    <w:rsid w:val="294135E1"/>
    <w:rsid w:val="294AF0E2"/>
    <w:rsid w:val="294EE40B"/>
    <w:rsid w:val="295827E0"/>
    <w:rsid w:val="295FAD2D"/>
    <w:rsid w:val="2962884F"/>
    <w:rsid w:val="29698A0A"/>
    <w:rsid w:val="29712C6F"/>
    <w:rsid w:val="29754CBD"/>
    <w:rsid w:val="298301B6"/>
    <w:rsid w:val="2984F3D1"/>
    <w:rsid w:val="298AD3E1"/>
    <w:rsid w:val="29910381"/>
    <w:rsid w:val="2992C465"/>
    <w:rsid w:val="299EAD8D"/>
    <w:rsid w:val="29A5820C"/>
    <w:rsid w:val="29AF4328"/>
    <w:rsid w:val="29B2642D"/>
    <w:rsid w:val="29B65A03"/>
    <w:rsid w:val="29B7F201"/>
    <w:rsid w:val="29B90C3F"/>
    <w:rsid w:val="29B9CC04"/>
    <w:rsid w:val="29C53D1D"/>
    <w:rsid w:val="29C9C39B"/>
    <w:rsid w:val="29D0F135"/>
    <w:rsid w:val="29D28155"/>
    <w:rsid w:val="29D9AC4F"/>
    <w:rsid w:val="29DD1E1F"/>
    <w:rsid w:val="29E0B83B"/>
    <w:rsid w:val="29E41880"/>
    <w:rsid w:val="29E41962"/>
    <w:rsid w:val="29E49DB9"/>
    <w:rsid w:val="29E790F4"/>
    <w:rsid w:val="29ED6EEB"/>
    <w:rsid w:val="29F4B739"/>
    <w:rsid w:val="29FF1F2A"/>
    <w:rsid w:val="2A03FD07"/>
    <w:rsid w:val="2A07FA6C"/>
    <w:rsid w:val="2A0953A6"/>
    <w:rsid w:val="2A09D1DB"/>
    <w:rsid w:val="2A0C928F"/>
    <w:rsid w:val="2A1C76C1"/>
    <w:rsid w:val="2A20C133"/>
    <w:rsid w:val="2A240B7E"/>
    <w:rsid w:val="2A243C5F"/>
    <w:rsid w:val="2A280873"/>
    <w:rsid w:val="2A2AD176"/>
    <w:rsid w:val="2A315A6D"/>
    <w:rsid w:val="2A352362"/>
    <w:rsid w:val="2A39F93E"/>
    <w:rsid w:val="2A3B2316"/>
    <w:rsid w:val="2A3CC11C"/>
    <w:rsid w:val="2A40647E"/>
    <w:rsid w:val="2A42689A"/>
    <w:rsid w:val="2A446D8F"/>
    <w:rsid w:val="2A4A6CE9"/>
    <w:rsid w:val="2A4CF95E"/>
    <w:rsid w:val="2A53580B"/>
    <w:rsid w:val="2A5A4E0B"/>
    <w:rsid w:val="2A5F3271"/>
    <w:rsid w:val="2A5FFE3D"/>
    <w:rsid w:val="2A79A746"/>
    <w:rsid w:val="2A7CFD53"/>
    <w:rsid w:val="2A80EDAF"/>
    <w:rsid w:val="2A84D82A"/>
    <w:rsid w:val="2A8EB8C9"/>
    <w:rsid w:val="2A932571"/>
    <w:rsid w:val="2A95B67D"/>
    <w:rsid w:val="2A977726"/>
    <w:rsid w:val="2A97E8DF"/>
    <w:rsid w:val="2A9CAACC"/>
    <w:rsid w:val="2AA07457"/>
    <w:rsid w:val="2AA4B241"/>
    <w:rsid w:val="2ABCB3C0"/>
    <w:rsid w:val="2ABD648A"/>
    <w:rsid w:val="2ABD96D7"/>
    <w:rsid w:val="2ABDB3EC"/>
    <w:rsid w:val="2AC066D1"/>
    <w:rsid w:val="2AC0962D"/>
    <w:rsid w:val="2AC4BC98"/>
    <w:rsid w:val="2ACAABC4"/>
    <w:rsid w:val="2ACFF232"/>
    <w:rsid w:val="2AD7B733"/>
    <w:rsid w:val="2ADA3C41"/>
    <w:rsid w:val="2AE283F9"/>
    <w:rsid w:val="2AE838CD"/>
    <w:rsid w:val="2AF3B760"/>
    <w:rsid w:val="2AF8DD38"/>
    <w:rsid w:val="2AFCFC20"/>
    <w:rsid w:val="2AFDD97A"/>
    <w:rsid w:val="2B01DC1B"/>
    <w:rsid w:val="2B04F77F"/>
    <w:rsid w:val="2B0BB306"/>
    <w:rsid w:val="2B149EC5"/>
    <w:rsid w:val="2B189FAD"/>
    <w:rsid w:val="2B1AF3F1"/>
    <w:rsid w:val="2B265B57"/>
    <w:rsid w:val="2B298F49"/>
    <w:rsid w:val="2B2F2466"/>
    <w:rsid w:val="2B30FDCD"/>
    <w:rsid w:val="2B31BD71"/>
    <w:rsid w:val="2B35CC43"/>
    <w:rsid w:val="2B38106E"/>
    <w:rsid w:val="2B3CA5E6"/>
    <w:rsid w:val="2B3DCADD"/>
    <w:rsid w:val="2B3EABEA"/>
    <w:rsid w:val="2B3EBC7B"/>
    <w:rsid w:val="2B44B6C7"/>
    <w:rsid w:val="2B48D768"/>
    <w:rsid w:val="2B4974BF"/>
    <w:rsid w:val="2B4FA20F"/>
    <w:rsid w:val="2B51B670"/>
    <w:rsid w:val="2B5800BB"/>
    <w:rsid w:val="2B5844A1"/>
    <w:rsid w:val="2B5B542D"/>
    <w:rsid w:val="2B5BE28E"/>
    <w:rsid w:val="2B63A88C"/>
    <w:rsid w:val="2B6CA520"/>
    <w:rsid w:val="2B6CC00B"/>
    <w:rsid w:val="2B6F1853"/>
    <w:rsid w:val="2B75F708"/>
    <w:rsid w:val="2B799130"/>
    <w:rsid w:val="2B7B5F15"/>
    <w:rsid w:val="2B8133DC"/>
    <w:rsid w:val="2B84B8EB"/>
    <w:rsid w:val="2B875C4F"/>
    <w:rsid w:val="2B8ABC48"/>
    <w:rsid w:val="2B910731"/>
    <w:rsid w:val="2B973064"/>
    <w:rsid w:val="2B99FCF7"/>
    <w:rsid w:val="2B9F1581"/>
    <w:rsid w:val="2BA27ECC"/>
    <w:rsid w:val="2BA515C1"/>
    <w:rsid w:val="2BA9376D"/>
    <w:rsid w:val="2BAE0B6F"/>
    <w:rsid w:val="2BAFDD1A"/>
    <w:rsid w:val="2BB207FB"/>
    <w:rsid w:val="2BB3451B"/>
    <w:rsid w:val="2BB50B7C"/>
    <w:rsid w:val="2BBC0B38"/>
    <w:rsid w:val="2BC3B4A3"/>
    <w:rsid w:val="2BCB1661"/>
    <w:rsid w:val="2BCDE3FE"/>
    <w:rsid w:val="2BD3450D"/>
    <w:rsid w:val="2BDAFD42"/>
    <w:rsid w:val="2BE3E82F"/>
    <w:rsid w:val="2BE512CC"/>
    <w:rsid w:val="2BE95B8E"/>
    <w:rsid w:val="2BED925A"/>
    <w:rsid w:val="2BF034F5"/>
    <w:rsid w:val="2BF1FB3D"/>
    <w:rsid w:val="2BF67DF0"/>
    <w:rsid w:val="2BFC775C"/>
    <w:rsid w:val="2BFFEAE3"/>
    <w:rsid w:val="2C01BC4A"/>
    <w:rsid w:val="2C026C5A"/>
    <w:rsid w:val="2C06606F"/>
    <w:rsid w:val="2C111F4D"/>
    <w:rsid w:val="2C1E557A"/>
    <w:rsid w:val="2C2AAF28"/>
    <w:rsid w:val="2C377AA8"/>
    <w:rsid w:val="2C3989BA"/>
    <w:rsid w:val="2C3BBB58"/>
    <w:rsid w:val="2C429AB4"/>
    <w:rsid w:val="2C4B5C4D"/>
    <w:rsid w:val="2C4F608A"/>
    <w:rsid w:val="2C51BA4C"/>
    <w:rsid w:val="2C521B4A"/>
    <w:rsid w:val="2C5ABBBF"/>
    <w:rsid w:val="2C5D0CD8"/>
    <w:rsid w:val="2C5EE744"/>
    <w:rsid w:val="2C60517E"/>
    <w:rsid w:val="2C62A5AA"/>
    <w:rsid w:val="2C63FED2"/>
    <w:rsid w:val="2C6B9A2C"/>
    <w:rsid w:val="2C6D16E5"/>
    <w:rsid w:val="2C6D3F80"/>
    <w:rsid w:val="2C739A8E"/>
    <w:rsid w:val="2C75FFC6"/>
    <w:rsid w:val="2C76481E"/>
    <w:rsid w:val="2C78779B"/>
    <w:rsid w:val="2C78DEA7"/>
    <w:rsid w:val="2C800EFC"/>
    <w:rsid w:val="2C85C65D"/>
    <w:rsid w:val="2C89A753"/>
    <w:rsid w:val="2C8FA6C8"/>
    <w:rsid w:val="2C90AC2D"/>
    <w:rsid w:val="2C9125DF"/>
    <w:rsid w:val="2C9581D1"/>
    <w:rsid w:val="2C9B9FCC"/>
    <w:rsid w:val="2C9F5A47"/>
    <w:rsid w:val="2CB116A6"/>
    <w:rsid w:val="2CBAA6E5"/>
    <w:rsid w:val="2CC994FC"/>
    <w:rsid w:val="2CDDE754"/>
    <w:rsid w:val="2CE222D4"/>
    <w:rsid w:val="2CE8E25E"/>
    <w:rsid w:val="2CF27E54"/>
    <w:rsid w:val="2D01F6E5"/>
    <w:rsid w:val="2D0607B5"/>
    <w:rsid w:val="2D09091B"/>
    <w:rsid w:val="2D0AA452"/>
    <w:rsid w:val="2D17BBCA"/>
    <w:rsid w:val="2D199049"/>
    <w:rsid w:val="2D1A02EE"/>
    <w:rsid w:val="2D1B04E7"/>
    <w:rsid w:val="2D1E6AF4"/>
    <w:rsid w:val="2D2411F3"/>
    <w:rsid w:val="2D24B777"/>
    <w:rsid w:val="2D2FA437"/>
    <w:rsid w:val="2D30E3C4"/>
    <w:rsid w:val="2D417D9A"/>
    <w:rsid w:val="2D475F9E"/>
    <w:rsid w:val="2D533175"/>
    <w:rsid w:val="2D53EA18"/>
    <w:rsid w:val="2D556954"/>
    <w:rsid w:val="2D57BDB3"/>
    <w:rsid w:val="2D601F37"/>
    <w:rsid w:val="2D6134E3"/>
    <w:rsid w:val="2D63E03C"/>
    <w:rsid w:val="2D64688B"/>
    <w:rsid w:val="2D6E9E3F"/>
    <w:rsid w:val="2D70EB3A"/>
    <w:rsid w:val="2D74E213"/>
    <w:rsid w:val="2D81B49D"/>
    <w:rsid w:val="2D8A9FE6"/>
    <w:rsid w:val="2D8ED4FE"/>
    <w:rsid w:val="2D903581"/>
    <w:rsid w:val="2D9BC139"/>
    <w:rsid w:val="2D9D62D9"/>
    <w:rsid w:val="2D9E9E9B"/>
    <w:rsid w:val="2D9F8CDE"/>
    <w:rsid w:val="2DACCACC"/>
    <w:rsid w:val="2DAF19EE"/>
    <w:rsid w:val="2DB1C7F8"/>
    <w:rsid w:val="2DB40B98"/>
    <w:rsid w:val="2DBD865E"/>
    <w:rsid w:val="2DC28C6A"/>
    <w:rsid w:val="2DC5390B"/>
    <w:rsid w:val="2DD0B226"/>
    <w:rsid w:val="2DD6B493"/>
    <w:rsid w:val="2DD95AA0"/>
    <w:rsid w:val="2DDA618B"/>
    <w:rsid w:val="2DDB3049"/>
    <w:rsid w:val="2DE44FAA"/>
    <w:rsid w:val="2DF01C05"/>
    <w:rsid w:val="2DF07851"/>
    <w:rsid w:val="2DF43458"/>
    <w:rsid w:val="2DFF43C5"/>
    <w:rsid w:val="2E005309"/>
    <w:rsid w:val="2E04DA8D"/>
    <w:rsid w:val="2E050A2D"/>
    <w:rsid w:val="2E07D4FA"/>
    <w:rsid w:val="2E0E0EB9"/>
    <w:rsid w:val="2E10B31A"/>
    <w:rsid w:val="2E167058"/>
    <w:rsid w:val="2E17D8FC"/>
    <w:rsid w:val="2E187790"/>
    <w:rsid w:val="2E1BB679"/>
    <w:rsid w:val="2E2387CB"/>
    <w:rsid w:val="2E32A36F"/>
    <w:rsid w:val="2E3F59E9"/>
    <w:rsid w:val="2E465E48"/>
    <w:rsid w:val="2E4718AF"/>
    <w:rsid w:val="2E4D90D5"/>
    <w:rsid w:val="2E516771"/>
    <w:rsid w:val="2E54829E"/>
    <w:rsid w:val="2E5FA6B7"/>
    <w:rsid w:val="2E61FEA4"/>
    <w:rsid w:val="2E63E838"/>
    <w:rsid w:val="2E6B7231"/>
    <w:rsid w:val="2E7107DC"/>
    <w:rsid w:val="2E727422"/>
    <w:rsid w:val="2E75AF62"/>
    <w:rsid w:val="2E78E25F"/>
    <w:rsid w:val="2E8F07F8"/>
    <w:rsid w:val="2E94DEED"/>
    <w:rsid w:val="2E9B79DD"/>
    <w:rsid w:val="2EA3BA59"/>
    <w:rsid w:val="2EAF4650"/>
    <w:rsid w:val="2EB053CE"/>
    <w:rsid w:val="2EC40953"/>
    <w:rsid w:val="2EC6FFDE"/>
    <w:rsid w:val="2EC8A0D1"/>
    <w:rsid w:val="2EC966F3"/>
    <w:rsid w:val="2ED0DE8F"/>
    <w:rsid w:val="2ED3719B"/>
    <w:rsid w:val="2EDD12AE"/>
    <w:rsid w:val="2EE20320"/>
    <w:rsid w:val="2EE47AC0"/>
    <w:rsid w:val="2EE6F5CA"/>
    <w:rsid w:val="2EE7B29B"/>
    <w:rsid w:val="2EF34E67"/>
    <w:rsid w:val="2EF8A325"/>
    <w:rsid w:val="2EFD601F"/>
    <w:rsid w:val="2EFE3408"/>
    <w:rsid w:val="2F048D29"/>
    <w:rsid w:val="2F072021"/>
    <w:rsid w:val="2F094731"/>
    <w:rsid w:val="2F0E80C5"/>
    <w:rsid w:val="2F179B5F"/>
    <w:rsid w:val="2F1E67FE"/>
    <w:rsid w:val="2F30F6C7"/>
    <w:rsid w:val="2F3799BB"/>
    <w:rsid w:val="2F38039B"/>
    <w:rsid w:val="2F3D1387"/>
    <w:rsid w:val="2F3F7637"/>
    <w:rsid w:val="2F4213E0"/>
    <w:rsid w:val="2F449E2E"/>
    <w:rsid w:val="2F487887"/>
    <w:rsid w:val="2F52D086"/>
    <w:rsid w:val="2F60155B"/>
    <w:rsid w:val="2F644FC7"/>
    <w:rsid w:val="2F6A8D64"/>
    <w:rsid w:val="2F725340"/>
    <w:rsid w:val="2F729F84"/>
    <w:rsid w:val="2F75B4C4"/>
    <w:rsid w:val="2F7CEAA9"/>
    <w:rsid w:val="2F7EF784"/>
    <w:rsid w:val="2F8B81CA"/>
    <w:rsid w:val="2F941036"/>
    <w:rsid w:val="2FA1055B"/>
    <w:rsid w:val="2FA2B9A9"/>
    <w:rsid w:val="2FA35E53"/>
    <w:rsid w:val="2FA5056F"/>
    <w:rsid w:val="2FA6ADD5"/>
    <w:rsid w:val="2FAA5A86"/>
    <w:rsid w:val="2FAABEAC"/>
    <w:rsid w:val="2FAC13D8"/>
    <w:rsid w:val="2FB0FCC4"/>
    <w:rsid w:val="2FB5C6A9"/>
    <w:rsid w:val="2FBCB2F7"/>
    <w:rsid w:val="2FC60D57"/>
    <w:rsid w:val="2FC71178"/>
    <w:rsid w:val="2FD5EC85"/>
    <w:rsid w:val="2FDD0B2F"/>
    <w:rsid w:val="2FDE5F5C"/>
    <w:rsid w:val="2FE54A85"/>
    <w:rsid w:val="2FE63CD9"/>
    <w:rsid w:val="2FEC55FE"/>
    <w:rsid w:val="2FEE6E12"/>
    <w:rsid w:val="2FEEB5A7"/>
    <w:rsid w:val="2FF01C36"/>
    <w:rsid w:val="2FFE2543"/>
    <w:rsid w:val="300452ED"/>
    <w:rsid w:val="3010F177"/>
    <w:rsid w:val="301595A5"/>
    <w:rsid w:val="301AEC2C"/>
    <w:rsid w:val="301B7845"/>
    <w:rsid w:val="301CDA9E"/>
    <w:rsid w:val="301DE065"/>
    <w:rsid w:val="301EDAD0"/>
    <w:rsid w:val="3027B35D"/>
    <w:rsid w:val="302CF5AC"/>
    <w:rsid w:val="30369ED0"/>
    <w:rsid w:val="303D7ABC"/>
    <w:rsid w:val="3044E9C2"/>
    <w:rsid w:val="3049611A"/>
    <w:rsid w:val="304BAE77"/>
    <w:rsid w:val="3053A886"/>
    <w:rsid w:val="30577BA6"/>
    <w:rsid w:val="30656567"/>
    <w:rsid w:val="306A95C1"/>
    <w:rsid w:val="306CD512"/>
    <w:rsid w:val="306EEC65"/>
    <w:rsid w:val="3078C24C"/>
    <w:rsid w:val="30796818"/>
    <w:rsid w:val="307F7D77"/>
    <w:rsid w:val="30881B97"/>
    <w:rsid w:val="30885D37"/>
    <w:rsid w:val="30900BD3"/>
    <w:rsid w:val="30951CE0"/>
    <w:rsid w:val="30989271"/>
    <w:rsid w:val="30997369"/>
    <w:rsid w:val="309D800A"/>
    <w:rsid w:val="30BA202B"/>
    <w:rsid w:val="30C2D467"/>
    <w:rsid w:val="30C32A4B"/>
    <w:rsid w:val="30C894D0"/>
    <w:rsid w:val="30CD617D"/>
    <w:rsid w:val="30D7091A"/>
    <w:rsid w:val="30D81C55"/>
    <w:rsid w:val="30D868C1"/>
    <w:rsid w:val="30D9FC88"/>
    <w:rsid w:val="30EB6738"/>
    <w:rsid w:val="30F55CD9"/>
    <w:rsid w:val="30F68A79"/>
    <w:rsid w:val="30FF5FE4"/>
    <w:rsid w:val="3100F6B2"/>
    <w:rsid w:val="3102EF40"/>
    <w:rsid w:val="3105138C"/>
    <w:rsid w:val="3105FEF4"/>
    <w:rsid w:val="310A03F2"/>
    <w:rsid w:val="311170FB"/>
    <w:rsid w:val="3114367F"/>
    <w:rsid w:val="31170B45"/>
    <w:rsid w:val="311DA1B1"/>
    <w:rsid w:val="31228708"/>
    <w:rsid w:val="3123D906"/>
    <w:rsid w:val="31273D92"/>
    <w:rsid w:val="3131F6B6"/>
    <w:rsid w:val="3144A880"/>
    <w:rsid w:val="315BA472"/>
    <w:rsid w:val="315C7383"/>
    <w:rsid w:val="315D1D39"/>
    <w:rsid w:val="3172CEBC"/>
    <w:rsid w:val="31778A48"/>
    <w:rsid w:val="317CC195"/>
    <w:rsid w:val="3181E0A1"/>
    <w:rsid w:val="31873C14"/>
    <w:rsid w:val="318AA5D7"/>
    <w:rsid w:val="318E800F"/>
    <w:rsid w:val="3192E456"/>
    <w:rsid w:val="319880FD"/>
    <w:rsid w:val="31998D78"/>
    <w:rsid w:val="319AA33F"/>
    <w:rsid w:val="31A02665"/>
    <w:rsid w:val="31A353F3"/>
    <w:rsid w:val="31A4FBCF"/>
    <w:rsid w:val="31AAF2F1"/>
    <w:rsid w:val="31AF82DE"/>
    <w:rsid w:val="31B416FA"/>
    <w:rsid w:val="31C8D75C"/>
    <w:rsid w:val="31C8EF52"/>
    <w:rsid w:val="31D432D4"/>
    <w:rsid w:val="31E2E368"/>
    <w:rsid w:val="31EBF39F"/>
    <w:rsid w:val="31EEF018"/>
    <w:rsid w:val="31EFC69C"/>
    <w:rsid w:val="31F0236F"/>
    <w:rsid w:val="31FCEB3B"/>
    <w:rsid w:val="31FE426B"/>
    <w:rsid w:val="3200A2B3"/>
    <w:rsid w:val="3203186C"/>
    <w:rsid w:val="320662D6"/>
    <w:rsid w:val="32075102"/>
    <w:rsid w:val="3213261D"/>
    <w:rsid w:val="322347D7"/>
    <w:rsid w:val="3224B2C1"/>
    <w:rsid w:val="32266BC8"/>
    <w:rsid w:val="322A64F4"/>
    <w:rsid w:val="323CB5B7"/>
    <w:rsid w:val="323D3C32"/>
    <w:rsid w:val="3242901D"/>
    <w:rsid w:val="324569A9"/>
    <w:rsid w:val="324EC713"/>
    <w:rsid w:val="325212A3"/>
    <w:rsid w:val="3255FC1E"/>
    <w:rsid w:val="3256561D"/>
    <w:rsid w:val="32588AB7"/>
    <w:rsid w:val="3258F644"/>
    <w:rsid w:val="325BA410"/>
    <w:rsid w:val="325BAC09"/>
    <w:rsid w:val="325F7182"/>
    <w:rsid w:val="3269C5E6"/>
    <w:rsid w:val="326AA5DB"/>
    <w:rsid w:val="3271281D"/>
    <w:rsid w:val="32724813"/>
    <w:rsid w:val="3279857E"/>
    <w:rsid w:val="3282BAEA"/>
    <w:rsid w:val="328AA006"/>
    <w:rsid w:val="328CD2B6"/>
    <w:rsid w:val="3293438F"/>
    <w:rsid w:val="3297781C"/>
    <w:rsid w:val="329E8BC8"/>
    <w:rsid w:val="32A5572B"/>
    <w:rsid w:val="32A85A23"/>
    <w:rsid w:val="32B09DF3"/>
    <w:rsid w:val="32B5FF08"/>
    <w:rsid w:val="32B864D2"/>
    <w:rsid w:val="32B86B31"/>
    <w:rsid w:val="32BA7C10"/>
    <w:rsid w:val="32BEB8B8"/>
    <w:rsid w:val="32C2C15C"/>
    <w:rsid w:val="32CCE0CA"/>
    <w:rsid w:val="32D36F15"/>
    <w:rsid w:val="32D3E7A3"/>
    <w:rsid w:val="32DA58F5"/>
    <w:rsid w:val="32DA615C"/>
    <w:rsid w:val="32DBAD3A"/>
    <w:rsid w:val="32E0E0F8"/>
    <w:rsid w:val="32E10D71"/>
    <w:rsid w:val="32E1C265"/>
    <w:rsid w:val="32E79340"/>
    <w:rsid w:val="32F3B5BC"/>
    <w:rsid w:val="33091E01"/>
    <w:rsid w:val="33113833"/>
    <w:rsid w:val="3313041F"/>
    <w:rsid w:val="331F9A37"/>
    <w:rsid w:val="3320F29D"/>
    <w:rsid w:val="3325060D"/>
    <w:rsid w:val="332FEB35"/>
    <w:rsid w:val="3331D312"/>
    <w:rsid w:val="33373CCE"/>
    <w:rsid w:val="333AD294"/>
    <w:rsid w:val="333AD7B5"/>
    <w:rsid w:val="333C2872"/>
    <w:rsid w:val="3349A77B"/>
    <w:rsid w:val="334C2EBE"/>
    <w:rsid w:val="334CC17B"/>
    <w:rsid w:val="33542E6E"/>
    <w:rsid w:val="335B0388"/>
    <w:rsid w:val="3367CF13"/>
    <w:rsid w:val="336E212A"/>
    <w:rsid w:val="33748056"/>
    <w:rsid w:val="3384071E"/>
    <w:rsid w:val="3384FCD0"/>
    <w:rsid w:val="33889775"/>
    <w:rsid w:val="3389C49F"/>
    <w:rsid w:val="338D144F"/>
    <w:rsid w:val="338EB7E2"/>
    <w:rsid w:val="339491CA"/>
    <w:rsid w:val="3394D542"/>
    <w:rsid w:val="339782F0"/>
    <w:rsid w:val="339A9A06"/>
    <w:rsid w:val="339BE835"/>
    <w:rsid w:val="339C7DDC"/>
    <w:rsid w:val="339F8B4D"/>
    <w:rsid w:val="33A262B8"/>
    <w:rsid w:val="33A38D22"/>
    <w:rsid w:val="33AAC2CD"/>
    <w:rsid w:val="33B39B39"/>
    <w:rsid w:val="33BDD33B"/>
    <w:rsid w:val="33C0BC9B"/>
    <w:rsid w:val="33C19A42"/>
    <w:rsid w:val="33C460A6"/>
    <w:rsid w:val="33CB0CA4"/>
    <w:rsid w:val="33DB39CE"/>
    <w:rsid w:val="33EA4AA3"/>
    <w:rsid w:val="33EDC060"/>
    <w:rsid w:val="33EF5CB6"/>
    <w:rsid w:val="33F49270"/>
    <w:rsid w:val="33F64EAB"/>
    <w:rsid w:val="33F71FD7"/>
    <w:rsid w:val="33FA88D1"/>
    <w:rsid w:val="3403DD55"/>
    <w:rsid w:val="340CA99E"/>
    <w:rsid w:val="340F6C38"/>
    <w:rsid w:val="3413DC41"/>
    <w:rsid w:val="3418B3BE"/>
    <w:rsid w:val="341D273C"/>
    <w:rsid w:val="342012C7"/>
    <w:rsid w:val="3434F366"/>
    <w:rsid w:val="344071D0"/>
    <w:rsid w:val="3442B149"/>
    <w:rsid w:val="34466BBA"/>
    <w:rsid w:val="34491F00"/>
    <w:rsid w:val="345B4E2D"/>
    <w:rsid w:val="3461E31F"/>
    <w:rsid w:val="34679611"/>
    <w:rsid w:val="346825A8"/>
    <w:rsid w:val="3473D54E"/>
    <w:rsid w:val="3482FA9E"/>
    <w:rsid w:val="348C9768"/>
    <w:rsid w:val="348D6903"/>
    <w:rsid w:val="3497B2E7"/>
    <w:rsid w:val="3497FD96"/>
    <w:rsid w:val="34A40665"/>
    <w:rsid w:val="34ABA1B5"/>
    <w:rsid w:val="34AD62C1"/>
    <w:rsid w:val="34B3D444"/>
    <w:rsid w:val="34B441FD"/>
    <w:rsid w:val="34B84B82"/>
    <w:rsid w:val="34BCB71B"/>
    <w:rsid w:val="34C28242"/>
    <w:rsid w:val="34C592A2"/>
    <w:rsid w:val="34CFE659"/>
    <w:rsid w:val="34D1E5D0"/>
    <w:rsid w:val="34D694A6"/>
    <w:rsid w:val="34E46E03"/>
    <w:rsid w:val="34EB3BD3"/>
    <w:rsid w:val="34EEF39D"/>
    <w:rsid w:val="34EFB2B6"/>
    <w:rsid w:val="34F7FFFD"/>
    <w:rsid w:val="350A2083"/>
    <w:rsid w:val="350CDFD4"/>
    <w:rsid w:val="350D9342"/>
    <w:rsid w:val="35157F02"/>
    <w:rsid w:val="3515E6F1"/>
    <w:rsid w:val="351F2634"/>
    <w:rsid w:val="35264E34"/>
    <w:rsid w:val="3531AEE1"/>
    <w:rsid w:val="3546421E"/>
    <w:rsid w:val="354893B7"/>
    <w:rsid w:val="354E008B"/>
    <w:rsid w:val="354F6D01"/>
    <w:rsid w:val="3551D1ED"/>
    <w:rsid w:val="3563C134"/>
    <w:rsid w:val="3564AC7D"/>
    <w:rsid w:val="3568A1AF"/>
    <w:rsid w:val="356A36D6"/>
    <w:rsid w:val="35713A6F"/>
    <w:rsid w:val="3577D944"/>
    <w:rsid w:val="357E565B"/>
    <w:rsid w:val="357F9AB7"/>
    <w:rsid w:val="35815BD6"/>
    <w:rsid w:val="3587D062"/>
    <w:rsid w:val="358838CC"/>
    <w:rsid w:val="358E5490"/>
    <w:rsid w:val="35950869"/>
    <w:rsid w:val="35A994D9"/>
    <w:rsid w:val="35A9BC27"/>
    <w:rsid w:val="35AFA7BF"/>
    <w:rsid w:val="35B814DA"/>
    <w:rsid w:val="35BC84A6"/>
    <w:rsid w:val="35C634B0"/>
    <w:rsid w:val="35C85A88"/>
    <w:rsid w:val="35CE3950"/>
    <w:rsid w:val="35D43057"/>
    <w:rsid w:val="35D68ECC"/>
    <w:rsid w:val="35D90B59"/>
    <w:rsid w:val="35EA6484"/>
    <w:rsid w:val="35FCB376"/>
    <w:rsid w:val="35FE3526"/>
    <w:rsid w:val="3613FC38"/>
    <w:rsid w:val="361A76A0"/>
    <w:rsid w:val="361A8098"/>
    <w:rsid w:val="361DF7CE"/>
    <w:rsid w:val="3628B0FC"/>
    <w:rsid w:val="362B4DD1"/>
    <w:rsid w:val="362D21E7"/>
    <w:rsid w:val="362E7F11"/>
    <w:rsid w:val="3631934D"/>
    <w:rsid w:val="3634E0FA"/>
    <w:rsid w:val="363F6FEA"/>
    <w:rsid w:val="364617AB"/>
    <w:rsid w:val="364A3AEF"/>
    <w:rsid w:val="36533FB2"/>
    <w:rsid w:val="3658CC7F"/>
    <w:rsid w:val="365B4C5F"/>
    <w:rsid w:val="3661A1A4"/>
    <w:rsid w:val="36624152"/>
    <w:rsid w:val="3665850A"/>
    <w:rsid w:val="366861C0"/>
    <w:rsid w:val="3678CF9C"/>
    <w:rsid w:val="36A44C27"/>
    <w:rsid w:val="36B26F06"/>
    <w:rsid w:val="36B53434"/>
    <w:rsid w:val="36B93D75"/>
    <w:rsid w:val="36BCA5A4"/>
    <w:rsid w:val="36C40A72"/>
    <w:rsid w:val="36CD29C5"/>
    <w:rsid w:val="36D00563"/>
    <w:rsid w:val="36DA396D"/>
    <w:rsid w:val="36DBF5B9"/>
    <w:rsid w:val="36DF589D"/>
    <w:rsid w:val="36DFABD8"/>
    <w:rsid w:val="36EBB549"/>
    <w:rsid w:val="36F6FE7D"/>
    <w:rsid w:val="36FDF35F"/>
    <w:rsid w:val="36FEB3B0"/>
    <w:rsid w:val="3705A544"/>
    <w:rsid w:val="3706078D"/>
    <w:rsid w:val="370D29F7"/>
    <w:rsid w:val="371C4499"/>
    <w:rsid w:val="37213374"/>
    <w:rsid w:val="372574C9"/>
    <w:rsid w:val="3729D968"/>
    <w:rsid w:val="37370EF0"/>
    <w:rsid w:val="37400D56"/>
    <w:rsid w:val="374DB932"/>
    <w:rsid w:val="37581563"/>
    <w:rsid w:val="375B15DB"/>
    <w:rsid w:val="375BE08E"/>
    <w:rsid w:val="3763B545"/>
    <w:rsid w:val="3771D1F0"/>
    <w:rsid w:val="378438EB"/>
    <w:rsid w:val="378C9A4C"/>
    <w:rsid w:val="37956936"/>
    <w:rsid w:val="37975C90"/>
    <w:rsid w:val="37976DBF"/>
    <w:rsid w:val="379BDF6E"/>
    <w:rsid w:val="379E57CB"/>
    <w:rsid w:val="37A12BDC"/>
    <w:rsid w:val="37A1EA39"/>
    <w:rsid w:val="37A5BB4F"/>
    <w:rsid w:val="37ADC041"/>
    <w:rsid w:val="37AF9C61"/>
    <w:rsid w:val="37B38F53"/>
    <w:rsid w:val="37B816D5"/>
    <w:rsid w:val="37B84865"/>
    <w:rsid w:val="37BA32E0"/>
    <w:rsid w:val="37C418EC"/>
    <w:rsid w:val="37C65A0B"/>
    <w:rsid w:val="37CB75EA"/>
    <w:rsid w:val="37CDB58C"/>
    <w:rsid w:val="37D181F5"/>
    <w:rsid w:val="37D7CD41"/>
    <w:rsid w:val="37DB2429"/>
    <w:rsid w:val="37FE72CF"/>
    <w:rsid w:val="380608DE"/>
    <w:rsid w:val="380B5F29"/>
    <w:rsid w:val="380FA344"/>
    <w:rsid w:val="3810101A"/>
    <w:rsid w:val="381B00AA"/>
    <w:rsid w:val="381B995A"/>
    <w:rsid w:val="3821526A"/>
    <w:rsid w:val="3822AD72"/>
    <w:rsid w:val="382ABFB1"/>
    <w:rsid w:val="382DDD8D"/>
    <w:rsid w:val="382FFE7B"/>
    <w:rsid w:val="3839124C"/>
    <w:rsid w:val="383E6381"/>
    <w:rsid w:val="38482F47"/>
    <w:rsid w:val="384F86E2"/>
    <w:rsid w:val="3851E501"/>
    <w:rsid w:val="38529D63"/>
    <w:rsid w:val="385CFA1A"/>
    <w:rsid w:val="3860BC58"/>
    <w:rsid w:val="3865B5F4"/>
    <w:rsid w:val="3867DAF4"/>
    <w:rsid w:val="386C6F35"/>
    <w:rsid w:val="3872E97C"/>
    <w:rsid w:val="3875A9BC"/>
    <w:rsid w:val="3876191D"/>
    <w:rsid w:val="387AC26B"/>
    <w:rsid w:val="3881746E"/>
    <w:rsid w:val="3881B424"/>
    <w:rsid w:val="388F9D20"/>
    <w:rsid w:val="38926741"/>
    <w:rsid w:val="3894D268"/>
    <w:rsid w:val="38986BD2"/>
    <w:rsid w:val="389B2B13"/>
    <w:rsid w:val="38A73500"/>
    <w:rsid w:val="38B60FAC"/>
    <w:rsid w:val="38BC4C04"/>
    <w:rsid w:val="38BFC0CD"/>
    <w:rsid w:val="38C35176"/>
    <w:rsid w:val="38C4BBE3"/>
    <w:rsid w:val="38C96F9E"/>
    <w:rsid w:val="38C9F777"/>
    <w:rsid w:val="38D3AE40"/>
    <w:rsid w:val="38DA2F0E"/>
    <w:rsid w:val="38DC0DAE"/>
    <w:rsid w:val="38DF88C4"/>
    <w:rsid w:val="38E095C1"/>
    <w:rsid w:val="38E2878E"/>
    <w:rsid w:val="38E3AE63"/>
    <w:rsid w:val="38EA3C1C"/>
    <w:rsid w:val="38EE8605"/>
    <w:rsid w:val="38F44DE6"/>
    <w:rsid w:val="38F78C46"/>
    <w:rsid w:val="38FD4CD3"/>
    <w:rsid w:val="390D8327"/>
    <w:rsid w:val="3914A58C"/>
    <w:rsid w:val="391FFF71"/>
    <w:rsid w:val="3920E78B"/>
    <w:rsid w:val="39286C55"/>
    <w:rsid w:val="392CA129"/>
    <w:rsid w:val="392E4D1C"/>
    <w:rsid w:val="393AC033"/>
    <w:rsid w:val="393E4229"/>
    <w:rsid w:val="394C8323"/>
    <w:rsid w:val="39526AED"/>
    <w:rsid w:val="39553F5D"/>
    <w:rsid w:val="395703C5"/>
    <w:rsid w:val="395F6108"/>
    <w:rsid w:val="39753C4A"/>
    <w:rsid w:val="397F7972"/>
    <w:rsid w:val="397F832B"/>
    <w:rsid w:val="398581A9"/>
    <w:rsid w:val="3989B59A"/>
    <w:rsid w:val="3993AB53"/>
    <w:rsid w:val="39959191"/>
    <w:rsid w:val="39998E9D"/>
    <w:rsid w:val="399D06EF"/>
    <w:rsid w:val="399EAA2D"/>
    <w:rsid w:val="399EDE02"/>
    <w:rsid w:val="39A35D9C"/>
    <w:rsid w:val="39A4DDF6"/>
    <w:rsid w:val="39AAB90B"/>
    <w:rsid w:val="39B33A51"/>
    <w:rsid w:val="39B71C9F"/>
    <w:rsid w:val="39CF8481"/>
    <w:rsid w:val="39D8010C"/>
    <w:rsid w:val="39D94BA4"/>
    <w:rsid w:val="39DA8845"/>
    <w:rsid w:val="39DB6535"/>
    <w:rsid w:val="39E63E1A"/>
    <w:rsid w:val="39EEC0B4"/>
    <w:rsid w:val="39FD8B5E"/>
    <w:rsid w:val="3A03355F"/>
    <w:rsid w:val="3A099D3B"/>
    <w:rsid w:val="3A193309"/>
    <w:rsid w:val="3A1C915F"/>
    <w:rsid w:val="3A222E66"/>
    <w:rsid w:val="3A3FB9AB"/>
    <w:rsid w:val="3A49236E"/>
    <w:rsid w:val="3A5002DE"/>
    <w:rsid w:val="3A50FA4D"/>
    <w:rsid w:val="3A51A995"/>
    <w:rsid w:val="3A5FD8A9"/>
    <w:rsid w:val="3A64A494"/>
    <w:rsid w:val="3A6DA92D"/>
    <w:rsid w:val="3A6F8133"/>
    <w:rsid w:val="3A735034"/>
    <w:rsid w:val="3A7D9818"/>
    <w:rsid w:val="3A7E99DA"/>
    <w:rsid w:val="3A89EA2E"/>
    <w:rsid w:val="3A8CF827"/>
    <w:rsid w:val="3A8F0900"/>
    <w:rsid w:val="3A9B1AD5"/>
    <w:rsid w:val="3A9C6C14"/>
    <w:rsid w:val="3A9D9B7D"/>
    <w:rsid w:val="3A9FAE69"/>
    <w:rsid w:val="3AA09896"/>
    <w:rsid w:val="3AA2B99B"/>
    <w:rsid w:val="3AA7F02E"/>
    <w:rsid w:val="3AACB7B9"/>
    <w:rsid w:val="3AAD22C8"/>
    <w:rsid w:val="3AAD3724"/>
    <w:rsid w:val="3AB6F596"/>
    <w:rsid w:val="3ABA756F"/>
    <w:rsid w:val="3AC5C803"/>
    <w:rsid w:val="3AC5EA43"/>
    <w:rsid w:val="3ACC7FF3"/>
    <w:rsid w:val="3AD4A473"/>
    <w:rsid w:val="3AD7A88C"/>
    <w:rsid w:val="3ADA943B"/>
    <w:rsid w:val="3AF4EBB2"/>
    <w:rsid w:val="3AF6A343"/>
    <w:rsid w:val="3B022D60"/>
    <w:rsid w:val="3B07E4A7"/>
    <w:rsid w:val="3B0A05DE"/>
    <w:rsid w:val="3B23CE25"/>
    <w:rsid w:val="3B23E07B"/>
    <w:rsid w:val="3B260CC7"/>
    <w:rsid w:val="3B30E9DE"/>
    <w:rsid w:val="3B374A32"/>
    <w:rsid w:val="3B393CEB"/>
    <w:rsid w:val="3B3D0E75"/>
    <w:rsid w:val="3B45660A"/>
    <w:rsid w:val="3B46B71F"/>
    <w:rsid w:val="3B473D34"/>
    <w:rsid w:val="3B4B65CF"/>
    <w:rsid w:val="3B4F3B75"/>
    <w:rsid w:val="3B63F8DA"/>
    <w:rsid w:val="3B646AF8"/>
    <w:rsid w:val="3B77B779"/>
    <w:rsid w:val="3B7D23D5"/>
    <w:rsid w:val="3B7F929A"/>
    <w:rsid w:val="3B826383"/>
    <w:rsid w:val="3B87F045"/>
    <w:rsid w:val="3B8A2429"/>
    <w:rsid w:val="3B8FE790"/>
    <w:rsid w:val="3B91EBAA"/>
    <w:rsid w:val="3B92B23D"/>
    <w:rsid w:val="3B9A7393"/>
    <w:rsid w:val="3B9F964E"/>
    <w:rsid w:val="3BA64BFB"/>
    <w:rsid w:val="3BBFE5F5"/>
    <w:rsid w:val="3BC155FB"/>
    <w:rsid w:val="3BC38522"/>
    <w:rsid w:val="3BC3DDB3"/>
    <w:rsid w:val="3BC75F6D"/>
    <w:rsid w:val="3BCACF88"/>
    <w:rsid w:val="3BCD8DA2"/>
    <w:rsid w:val="3BD185BA"/>
    <w:rsid w:val="3BD3B826"/>
    <w:rsid w:val="3BD5230D"/>
    <w:rsid w:val="3BD6B7E3"/>
    <w:rsid w:val="3BDD1222"/>
    <w:rsid w:val="3BE333F5"/>
    <w:rsid w:val="3BE3BC71"/>
    <w:rsid w:val="3BF041D1"/>
    <w:rsid w:val="3BF3EC4D"/>
    <w:rsid w:val="3BF7EE26"/>
    <w:rsid w:val="3BFC084B"/>
    <w:rsid w:val="3C050D21"/>
    <w:rsid w:val="3C062625"/>
    <w:rsid w:val="3C0978EC"/>
    <w:rsid w:val="3C108F4C"/>
    <w:rsid w:val="3C10AF46"/>
    <w:rsid w:val="3C13B876"/>
    <w:rsid w:val="3C1BD49B"/>
    <w:rsid w:val="3C2399BD"/>
    <w:rsid w:val="3C2A6CBD"/>
    <w:rsid w:val="3C2D6330"/>
    <w:rsid w:val="3C39B2EF"/>
    <w:rsid w:val="3C39B414"/>
    <w:rsid w:val="3C3C4F3C"/>
    <w:rsid w:val="3C3EC781"/>
    <w:rsid w:val="3C40494A"/>
    <w:rsid w:val="3C4518F4"/>
    <w:rsid w:val="3C4C8674"/>
    <w:rsid w:val="3C5906CD"/>
    <w:rsid w:val="3C62580D"/>
    <w:rsid w:val="3C6690A1"/>
    <w:rsid w:val="3C66F157"/>
    <w:rsid w:val="3C672E3B"/>
    <w:rsid w:val="3C67E2A9"/>
    <w:rsid w:val="3C682655"/>
    <w:rsid w:val="3C6CAAA6"/>
    <w:rsid w:val="3C6CB10B"/>
    <w:rsid w:val="3C712A82"/>
    <w:rsid w:val="3C72EDD8"/>
    <w:rsid w:val="3C7ABD38"/>
    <w:rsid w:val="3C7E9049"/>
    <w:rsid w:val="3C80A600"/>
    <w:rsid w:val="3C819700"/>
    <w:rsid w:val="3C89E69B"/>
    <w:rsid w:val="3C8E3388"/>
    <w:rsid w:val="3C90BF7A"/>
    <w:rsid w:val="3C930223"/>
    <w:rsid w:val="3C938E00"/>
    <w:rsid w:val="3C974636"/>
    <w:rsid w:val="3C99EAFB"/>
    <w:rsid w:val="3CA00D1D"/>
    <w:rsid w:val="3CAB40B5"/>
    <w:rsid w:val="3CB8A04F"/>
    <w:rsid w:val="3CBE7151"/>
    <w:rsid w:val="3CC2338E"/>
    <w:rsid w:val="3CC295EC"/>
    <w:rsid w:val="3CC87484"/>
    <w:rsid w:val="3CCC34C2"/>
    <w:rsid w:val="3CD0BEF7"/>
    <w:rsid w:val="3CD58F43"/>
    <w:rsid w:val="3CDA9F6D"/>
    <w:rsid w:val="3CDF58DB"/>
    <w:rsid w:val="3CE1A563"/>
    <w:rsid w:val="3CEDF9D0"/>
    <w:rsid w:val="3CF13B0C"/>
    <w:rsid w:val="3CFB3509"/>
    <w:rsid w:val="3CFC37E8"/>
    <w:rsid w:val="3D009D2F"/>
    <w:rsid w:val="3D01AEAF"/>
    <w:rsid w:val="3D0DA51B"/>
    <w:rsid w:val="3D10C30E"/>
    <w:rsid w:val="3D11BF55"/>
    <w:rsid w:val="3D131BF7"/>
    <w:rsid w:val="3D16FF78"/>
    <w:rsid w:val="3D193F77"/>
    <w:rsid w:val="3D199D39"/>
    <w:rsid w:val="3D1FCD10"/>
    <w:rsid w:val="3D2214C6"/>
    <w:rsid w:val="3D29F2F3"/>
    <w:rsid w:val="3D2B0D30"/>
    <w:rsid w:val="3D2B1C3F"/>
    <w:rsid w:val="3D3E9A53"/>
    <w:rsid w:val="3D41EEDE"/>
    <w:rsid w:val="3D4316A9"/>
    <w:rsid w:val="3D47B838"/>
    <w:rsid w:val="3D4A5A8D"/>
    <w:rsid w:val="3D4B8CCD"/>
    <w:rsid w:val="3D5013D4"/>
    <w:rsid w:val="3D515C3F"/>
    <w:rsid w:val="3D5E3439"/>
    <w:rsid w:val="3D601682"/>
    <w:rsid w:val="3D6140B9"/>
    <w:rsid w:val="3D6A8254"/>
    <w:rsid w:val="3D6E2DE9"/>
    <w:rsid w:val="3D7CC8E3"/>
    <w:rsid w:val="3D7E974F"/>
    <w:rsid w:val="3D7F1239"/>
    <w:rsid w:val="3D810DE7"/>
    <w:rsid w:val="3D880A4C"/>
    <w:rsid w:val="3D8E3354"/>
    <w:rsid w:val="3D938070"/>
    <w:rsid w:val="3D948F51"/>
    <w:rsid w:val="3D96BE4E"/>
    <w:rsid w:val="3D985A91"/>
    <w:rsid w:val="3D99312B"/>
    <w:rsid w:val="3D9E8A8D"/>
    <w:rsid w:val="3DA454AD"/>
    <w:rsid w:val="3DAA71FE"/>
    <w:rsid w:val="3DAC514E"/>
    <w:rsid w:val="3DAD5B6A"/>
    <w:rsid w:val="3DAF3FB7"/>
    <w:rsid w:val="3DB08605"/>
    <w:rsid w:val="3DB8B348"/>
    <w:rsid w:val="3DBDA087"/>
    <w:rsid w:val="3DBDAA3A"/>
    <w:rsid w:val="3DC1518F"/>
    <w:rsid w:val="3DC27B11"/>
    <w:rsid w:val="3DCA76B7"/>
    <w:rsid w:val="3DCE7E18"/>
    <w:rsid w:val="3DD3F0D8"/>
    <w:rsid w:val="3DD4953A"/>
    <w:rsid w:val="3DE0E826"/>
    <w:rsid w:val="3DE336B0"/>
    <w:rsid w:val="3DEEED62"/>
    <w:rsid w:val="3DF82529"/>
    <w:rsid w:val="3E064098"/>
    <w:rsid w:val="3E0B2011"/>
    <w:rsid w:val="3E0CCC70"/>
    <w:rsid w:val="3E10298E"/>
    <w:rsid w:val="3E10DA41"/>
    <w:rsid w:val="3E11328D"/>
    <w:rsid w:val="3E1202EB"/>
    <w:rsid w:val="3E164367"/>
    <w:rsid w:val="3E17A179"/>
    <w:rsid w:val="3E20B4DD"/>
    <w:rsid w:val="3E283689"/>
    <w:rsid w:val="3E2C6FDC"/>
    <w:rsid w:val="3E36D0BF"/>
    <w:rsid w:val="3E3C5BEF"/>
    <w:rsid w:val="3E3F8862"/>
    <w:rsid w:val="3E4764F9"/>
    <w:rsid w:val="3E4B2E1A"/>
    <w:rsid w:val="3E4B5287"/>
    <w:rsid w:val="3E4E9FB5"/>
    <w:rsid w:val="3E62FCF2"/>
    <w:rsid w:val="3E68121C"/>
    <w:rsid w:val="3E6E2765"/>
    <w:rsid w:val="3E740C46"/>
    <w:rsid w:val="3E743902"/>
    <w:rsid w:val="3E75EE19"/>
    <w:rsid w:val="3E7CFE50"/>
    <w:rsid w:val="3E8FE945"/>
    <w:rsid w:val="3E90D141"/>
    <w:rsid w:val="3E963C9E"/>
    <w:rsid w:val="3E9E4980"/>
    <w:rsid w:val="3EA1F88E"/>
    <w:rsid w:val="3EA53960"/>
    <w:rsid w:val="3EADA144"/>
    <w:rsid w:val="3EB46872"/>
    <w:rsid w:val="3EB8FE12"/>
    <w:rsid w:val="3EBC5735"/>
    <w:rsid w:val="3EC24E30"/>
    <w:rsid w:val="3ECBCD2C"/>
    <w:rsid w:val="3ECD0658"/>
    <w:rsid w:val="3ED051DC"/>
    <w:rsid w:val="3ED081F1"/>
    <w:rsid w:val="3ED1BCDD"/>
    <w:rsid w:val="3ED21732"/>
    <w:rsid w:val="3ED8701E"/>
    <w:rsid w:val="3EE779F6"/>
    <w:rsid w:val="3F08A076"/>
    <w:rsid w:val="3F0A260E"/>
    <w:rsid w:val="3F1CA92B"/>
    <w:rsid w:val="3F25ACD3"/>
    <w:rsid w:val="3F2AE640"/>
    <w:rsid w:val="3F33542C"/>
    <w:rsid w:val="3F35E787"/>
    <w:rsid w:val="3F373CEC"/>
    <w:rsid w:val="3F3A1B6C"/>
    <w:rsid w:val="3F4651E5"/>
    <w:rsid w:val="3F49D5C1"/>
    <w:rsid w:val="3F4B1786"/>
    <w:rsid w:val="3F540942"/>
    <w:rsid w:val="3F664D6A"/>
    <w:rsid w:val="3F669FE0"/>
    <w:rsid w:val="3F68E454"/>
    <w:rsid w:val="3F7785F0"/>
    <w:rsid w:val="3F7A1E41"/>
    <w:rsid w:val="3F7A946B"/>
    <w:rsid w:val="3F7BFD30"/>
    <w:rsid w:val="3F812BD2"/>
    <w:rsid w:val="3F847D9B"/>
    <w:rsid w:val="3F92A0DF"/>
    <w:rsid w:val="3F958101"/>
    <w:rsid w:val="3F99D943"/>
    <w:rsid w:val="3F9EC98C"/>
    <w:rsid w:val="3F9F39A8"/>
    <w:rsid w:val="3FA2265D"/>
    <w:rsid w:val="3FA4DBF9"/>
    <w:rsid w:val="3FA7669C"/>
    <w:rsid w:val="3FB3D4BA"/>
    <w:rsid w:val="3FB7C7F5"/>
    <w:rsid w:val="3FBCE449"/>
    <w:rsid w:val="3FC27F4A"/>
    <w:rsid w:val="3FC85395"/>
    <w:rsid w:val="3FCBB10C"/>
    <w:rsid w:val="3FD2A031"/>
    <w:rsid w:val="3FD5C882"/>
    <w:rsid w:val="3FD7E80F"/>
    <w:rsid w:val="3FDC903B"/>
    <w:rsid w:val="3FEBD0BF"/>
    <w:rsid w:val="3FF1551C"/>
    <w:rsid w:val="3FF32090"/>
    <w:rsid w:val="3FF37482"/>
    <w:rsid w:val="4009AF96"/>
    <w:rsid w:val="40134FEF"/>
    <w:rsid w:val="401A9EBD"/>
    <w:rsid w:val="402604F1"/>
    <w:rsid w:val="40296C38"/>
    <w:rsid w:val="402D0994"/>
    <w:rsid w:val="40326105"/>
    <w:rsid w:val="4036A141"/>
    <w:rsid w:val="40371F73"/>
    <w:rsid w:val="403D6281"/>
    <w:rsid w:val="4041FBDF"/>
    <w:rsid w:val="4042483A"/>
    <w:rsid w:val="404375F3"/>
    <w:rsid w:val="40440055"/>
    <w:rsid w:val="4044EB02"/>
    <w:rsid w:val="40489686"/>
    <w:rsid w:val="404CB017"/>
    <w:rsid w:val="404CDEC7"/>
    <w:rsid w:val="4053F705"/>
    <w:rsid w:val="40564B03"/>
    <w:rsid w:val="405A5BB4"/>
    <w:rsid w:val="405CB7F6"/>
    <w:rsid w:val="40663533"/>
    <w:rsid w:val="406D47D6"/>
    <w:rsid w:val="406DCB7F"/>
    <w:rsid w:val="407C248C"/>
    <w:rsid w:val="408249FA"/>
    <w:rsid w:val="4086B147"/>
    <w:rsid w:val="408C2E24"/>
    <w:rsid w:val="4094F5E9"/>
    <w:rsid w:val="409C9410"/>
    <w:rsid w:val="409FB813"/>
    <w:rsid w:val="40AA58B3"/>
    <w:rsid w:val="40AB5863"/>
    <w:rsid w:val="40B0E038"/>
    <w:rsid w:val="40B62A2F"/>
    <w:rsid w:val="40B725F1"/>
    <w:rsid w:val="40B8BA5E"/>
    <w:rsid w:val="40B99E70"/>
    <w:rsid w:val="40BDD7DC"/>
    <w:rsid w:val="40C0043D"/>
    <w:rsid w:val="40C31ADF"/>
    <w:rsid w:val="40D0EFA5"/>
    <w:rsid w:val="40D4855F"/>
    <w:rsid w:val="40D7A7D5"/>
    <w:rsid w:val="40E3D02C"/>
    <w:rsid w:val="40ED0CAE"/>
    <w:rsid w:val="40EFC55F"/>
    <w:rsid w:val="40F04F3D"/>
    <w:rsid w:val="40F251BA"/>
    <w:rsid w:val="40F39116"/>
    <w:rsid w:val="40F3A1C3"/>
    <w:rsid w:val="40F85A6A"/>
    <w:rsid w:val="4102573B"/>
    <w:rsid w:val="41072214"/>
    <w:rsid w:val="41073715"/>
    <w:rsid w:val="4107C620"/>
    <w:rsid w:val="4109E2C1"/>
    <w:rsid w:val="410A38A3"/>
    <w:rsid w:val="410E83DC"/>
    <w:rsid w:val="4113F242"/>
    <w:rsid w:val="41220D79"/>
    <w:rsid w:val="412B062E"/>
    <w:rsid w:val="413271B4"/>
    <w:rsid w:val="413F4967"/>
    <w:rsid w:val="414765B8"/>
    <w:rsid w:val="415B5B97"/>
    <w:rsid w:val="41640585"/>
    <w:rsid w:val="417792B1"/>
    <w:rsid w:val="418C93EC"/>
    <w:rsid w:val="418F7549"/>
    <w:rsid w:val="418F80E0"/>
    <w:rsid w:val="418FFE38"/>
    <w:rsid w:val="4190C18E"/>
    <w:rsid w:val="41926C56"/>
    <w:rsid w:val="419FFBB2"/>
    <w:rsid w:val="41A32775"/>
    <w:rsid w:val="41A6A9ED"/>
    <w:rsid w:val="41A90AC0"/>
    <w:rsid w:val="41AB3761"/>
    <w:rsid w:val="41AC3A13"/>
    <w:rsid w:val="41ADA6C7"/>
    <w:rsid w:val="41ADE1ED"/>
    <w:rsid w:val="41AE0D93"/>
    <w:rsid w:val="41AFC193"/>
    <w:rsid w:val="41B42B3E"/>
    <w:rsid w:val="41B90A5D"/>
    <w:rsid w:val="41C1861F"/>
    <w:rsid w:val="41C351AF"/>
    <w:rsid w:val="41C5DE3E"/>
    <w:rsid w:val="41C675D8"/>
    <w:rsid w:val="41C6947E"/>
    <w:rsid w:val="41C7B047"/>
    <w:rsid w:val="41C82389"/>
    <w:rsid w:val="41CF8CC3"/>
    <w:rsid w:val="41D156AF"/>
    <w:rsid w:val="41DA7C19"/>
    <w:rsid w:val="41DDDF92"/>
    <w:rsid w:val="41E08EED"/>
    <w:rsid w:val="41E33969"/>
    <w:rsid w:val="41E42972"/>
    <w:rsid w:val="41E732B4"/>
    <w:rsid w:val="41F685B6"/>
    <w:rsid w:val="41FB596C"/>
    <w:rsid w:val="41FD4E01"/>
    <w:rsid w:val="41FD9E8B"/>
    <w:rsid w:val="41FDEE08"/>
    <w:rsid w:val="4204F24E"/>
    <w:rsid w:val="420521C6"/>
    <w:rsid w:val="4208BF8A"/>
    <w:rsid w:val="420A259C"/>
    <w:rsid w:val="42101A69"/>
    <w:rsid w:val="42125205"/>
    <w:rsid w:val="421302D4"/>
    <w:rsid w:val="42209E2D"/>
    <w:rsid w:val="422A8024"/>
    <w:rsid w:val="422DA8AE"/>
    <w:rsid w:val="422ED3C2"/>
    <w:rsid w:val="4231EA99"/>
    <w:rsid w:val="42394251"/>
    <w:rsid w:val="423CD62F"/>
    <w:rsid w:val="423DEACD"/>
    <w:rsid w:val="423EBA54"/>
    <w:rsid w:val="4249F41E"/>
    <w:rsid w:val="424FA56C"/>
    <w:rsid w:val="425F0527"/>
    <w:rsid w:val="426859E5"/>
    <w:rsid w:val="426CBB26"/>
    <w:rsid w:val="4274E080"/>
    <w:rsid w:val="427635CD"/>
    <w:rsid w:val="427A002B"/>
    <w:rsid w:val="427B8680"/>
    <w:rsid w:val="427CA8A8"/>
    <w:rsid w:val="4285F86F"/>
    <w:rsid w:val="4288CA71"/>
    <w:rsid w:val="4291C489"/>
    <w:rsid w:val="429B7D80"/>
    <w:rsid w:val="42A0AB0C"/>
    <w:rsid w:val="42A6C3D4"/>
    <w:rsid w:val="42AEA8C7"/>
    <w:rsid w:val="42B54E5A"/>
    <w:rsid w:val="42BB3F5B"/>
    <w:rsid w:val="42BE1AA2"/>
    <w:rsid w:val="42CA1AAF"/>
    <w:rsid w:val="42CB7564"/>
    <w:rsid w:val="42CCF347"/>
    <w:rsid w:val="42CE7B4E"/>
    <w:rsid w:val="42CF3AB4"/>
    <w:rsid w:val="42D8A916"/>
    <w:rsid w:val="42D8F1E8"/>
    <w:rsid w:val="42E5EAC4"/>
    <w:rsid w:val="42E72B08"/>
    <w:rsid w:val="42E7ADC2"/>
    <w:rsid w:val="42F3EEBB"/>
    <w:rsid w:val="42F439D6"/>
    <w:rsid w:val="42FB7B9C"/>
    <w:rsid w:val="4305FEF8"/>
    <w:rsid w:val="430FDB21"/>
    <w:rsid w:val="4311A7B9"/>
    <w:rsid w:val="431E8C68"/>
    <w:rsid w:val="431E97A5"/>
    <w:rsid w:val="432635C6"/>
    <w:rsid w:val="4327AB55"/>
    <w:rsid w:val="432A0C74"/>
    <w:rsid w:val="433256D0"/>
    <w:rsid w:val="43345804"/>
    <w:rsid w:val="43345C3A"/>
    <w:rsid w:val="4335BBD5"/>
    <w:rsid w:val="4338A2AB"/>
    <w:rsid w:val="433F9FA3"/>
    <w:rsid w:val="43484F10"/>
    <w:rsid w:val="434A675F"/>
    <w:rsid w:val="434BD22D"/>
    <w:rsid w:val="434D5217"/>
    <w:rsid w:val="434F84E3"/>
    <w:rsid w:val="43537CBD"/>
    <w:rsid w:val="435960CF"/>
    <w:rsid w:val="435DE518"/>
    <w:rsid w:val="4362B305"/>
    <w:rsid w:val="43709EB8"/>
    <w:rsid w:val="437990CD"/>
    <w:rsid w:val="437F61F8"/>
    <w:rsid w:val="438654F1"/>
    <w:rsid w:val="4392B93D"/>
    <w:rsid w:val="4396B290"/>
    <w:rsid w:val="439B23CC"/>
    <w:rsid w:val="43A0BCCB"/>
    <w:rsid w:val="43A8D9D2"/>
    <w:rsid w:val="43B471D8"/>
    <w:rsid w:val="43B53FA3"/>
    <w:rsid w:val="43C2F34B"/>
    <w:rsid w:val="43C3FB44"/>
    <w:rsid w:val="43CB3033"/>
    <w:rsid w:val="43DDDD56"/>
    <w:rsid w:val="43E94079"/>
    <w:rsid w:val="43E99A8C"/>
    <w:rsid w:val="43EDC6DF"/>
    <w:rsid w:val="43F41687"/>
    <w:rsid w:val="43F770F5"/>
    <w:rsid w:val="43F939EF"/>
    <w:rsid w:val="4401DA85"/>
    <w:rsid w:val="440248AB"/>
    <w:rsid w:val="4405F55C"/>
    <w:rsid w:val="440C1770"/>
    <w:rsid w:val="440E2D48"/>
    <w:rsid w:val="440F8646"/>
    <w:rsid w:val="4413EC0F"/>
    <w:rsid w:val="44156D5B"/>
    <w:rsid w:val="44182EE7"/>
    <w:rsid w:val="442C9CF2"/>
    <w:rsid w:val="442E1726"/>
    <w:rsid w:val="442E2951"/>
    <w:rsid w:val="44342F8F"/>
    <w:rsid w:val="443D874E"/>
    <w:rsid w:val="4443563C"/>
    <w:rsid w:val="44477647"/>
    <w:rsid w:val="444CC490"/>
    <w:rsid w:val="44503864"/>
    <w:rsid w:val="445611D5"/>
    <w:rsid w:val="44569408"/>
    <w:rsid w:val="4459F27D"/>
    <w:rsid w:val="445E1382"/>
    <w:rsid w:val="445E7267"/>
    <w:rsid w:val="4460A4C1"/>
    <w:rsid w:val="4461F556"/>
    <w:rsid w:val="44688275"/>
    <w:rsid w:val="44766DA4"/>
    <w:rsid w:val="4476D799"/>
    <w:rsid w:val="44785E92"/>
    <w:rsid w:val="447DC584"/>
    <w:rsid w:val="44823A05"/>
    <w:rsid w:val="448FF7FE"/>
    <w:rsid w:val="44902D6D"/>
    <w:rsid w:val="44955A97"/>
    <w:rsid w:val="449F4FFB"/>
    <w:rsid w:val="44A2217E"/>
    <w:rsid w:val="44A92A13"/>
    <w:rsid w:val="44B0CF37"/>
    <w:rsid w:val="44B5DD6E"/>
    <w:rsid w:val="44B649B6"/>
    <w:rsid w:val="44B7E1EF"/>
    <w:rsid w:val="44BA2BCA"/>
    <w:rsid w:val="44BAB9D7"/>
    <w:rsid w:val="44CC684E"/>
    <w:rsid w:val="44D1A0DB"/>
    <w:rsid w:val="44D47152"/>
    <w:rsid w:val="44DC23EB"/>
    <w:rsid w:val="44DE96FA"/>
    <w:rsid w:val="44DF3080"/>
    <w:rsid w:val="44E51F15"/>
    <w:rsid w:val="44E7F25E"/>
    <w:rsid w:val="44E84B40"/>
    <w:rsid w:val="44EA59EA"/>
    <w:rsid w:val="44F2D300"/>
    <w:rsid w:val="44F91EB1"/>
    <w:rsid w:val="44FF2187"/>
    <w:rsid w:val="4503687D"/>
    <w:rsid w:val="45095BB5"/>
    <w:rsid w:val="450A00F1"/>
    <w:rsid w:val="451072B6"/>
    <w:rsid w:val="452906AD"/>
    <w:rsid w:val="4531B6A5"/>
    <w:rsid w:val="453275A6"/>
    <w:rsid w:val="4542A5F4"/>
    <w:rsid w:val="4546BB19"/>
    <w:rsid w:val="45551086"/>
    <w:rsid w:val="4557BA89"/>
    <w:rsid w:val="455D64BF"/>
    <w:rsid w:val="45621BB3"/>
    <w:rsid w:val="4562711E"/>
    <w:rsid w:val="4564393C"/>
    <w:rsid w:val="45658D01"/>
    <w:rsid w:val="45669691"/>
    <w:rsid w:val="456C7E82"/>
    <w:rsid w:val="456CBC86"/>
    <w:rsid w:val="45739534"/>
    <w:rsid w:val="45741366"/>
    <w:rsid w:val="457748A9"/>
    <w:rsid w:val="457FB3CE"/>
    <w:rsid w:val="4580F313"/>
    <w:rsid w:val="4583D1B2"/>
    <w:rsid w:val="45950987"/>
    <w:rsid w:val="459A6578"/>
    <w:rsid w:val="45A0EAC3"/>
    <w:rsid w:val="45A69CF5"/>
    <w:rsid w:val="45AA560B"/>
    <w:rsid w:val="45AAD71E"/>
    <w:rsid w:val="45AB74CB"/>
    <w:rsid w:val="45C1F64F"/>
    <w:rsid w:val="45D6B7A7"/>
    <w:rsid w:val="45DA3755"/>
    <w:rsid w:val="45DAC0C8"/>
    <w:rsid w:val="45DD5468"/>
    <w:rsid w:val="45E32C54"/>
    <w:rsid w:val="45E89DB0"/>
    <w:rsid w:val="45ECDEA4"/>
    <w:rsid w:val="45ED98BB"/>
    <w:rsid w:val="45EF265C"/>
    <w:rsid w:val="45F09FC1"/>
    <w:rsid w:val="45F0A353"/>
    <w:rsid w:val="45F119EF"/>
    <w:rsid w:val="45F422DB"/>
    <w:rsid w:val="45F542FF"/>
    <w:rsid w:val="46031A18"/>
    <w:rsid w:val="460D4294"/>
    <w:rsid w:val="461870D4"/>
    <w:rsid w:val="461A5E5F"/>
    <w:rsid w:val="462337A1"/>
    <w:rsid w:val="4625A845"/>
    <w:rsid w:val="462EA2C9"/>
    <w:rsid w:val="462FDC43"/>
    <w:rsid w:val="46307D04"/>
    <w:rsid w:val="4632DF31"/>
    <w:rsid w:val="46412070"/>
    <w:rsid w:val="4641F304"/>
    <w:rsid w:val="46429215"/>
    <w:rsid w:val="4643C800"/>
    <w:rsid w:val="46589BD8"/>
    <w:rsid w:val="465C7078"/>
    <w:rsid w:val="46644962"/>
    <w:rsid w:val="466D4C8C"/>
    <w:rsid w:val="46770B88"/>
    <w:rsid w:val="46771244"/>
    <w:rsid w:val="46897DC9"/>
    <w:rsid w:val="468DAD5D"/>
    <w:rsid w:val="46908BEA"/>
    <w:rsid w:val="46936AB4"/>
    <w:rsid w:val="46A189F8"/>
    <w:rsid w:val="46A815A4"/>
    <w:rsid w:val="46ABA4BF"/>
    <w:rsid w:val="46B0A9BB"/>
    <w:rsid w:val="46BACE23"/>
    <w:rsid w:val="46BF2F6F"/>
    <w:rsid w:val="46C04AF7"/>
    <w:rsid w:val="46CDDF43"/>
    <w:rsid w:val="46D3944B"/>
    <w:rsid w:val="46E3F86C"/>
    <w:rsid w:val="46EC8596"/>
    <w:rsid w:val="46EE25AF"/>
    <w:rsid w:val="46F2D134"/>
    <w:rsid w:val="46F31682"/>
    <w:rsid w:val="46F859AC"/>
    <w:rsid w:val="4706CAFF"/>
    <w:rsid w:val="47083F2D"/>
    <w:rsid w:val="470A1AC1"/>
    <w:rsid w:val="47203722"/>
    <w:rsid w:val="4727D645"/>
    <w:rsid w:val="472882C2"/>
    <w:rsid w:val="472CB5D9"/>
    <w:rsid w:val="472F37F2"/>
    <w:rsid w:val="47321406"/>
    <w:rsid w:val="4738EED8"/>
    <w:rsid w:val="473B7175"/>
    <w:rsid w:val="473DF2A2"/>
    <w:rsid w:val="474BA4F6"/>
    <w:rsid w:val="474FA124"/>
    <w:rsid w:val="475764F0"/>
    <w:rsid w:val="47589FDF"/>
    <w:rsid w:val="4761A039"/>
    <w:rsid w:val="47625554"/>
    <w:rsid w:val="476310D7"/>
    <w:rsid w:val="4765025F"/>
    <w:rsid w:val="4768B91C"/>
    <w:rsid w:val="476F6099"/>
    <w:rsid w:val="4787335D"/>
    <w:rsid w:val="478F71B1"/>
    <w:rsid w:val="4794F270"/>
    <w:rsid w:val="4795CBB8"/>
    <w:rsid w:val="479757FC"/>
    <w:rsid w:val="4798CE5F"/>
    <w:rsid w:val="47A3472A"/>
    <w:rsid w:val="47AA078C"/>
    <w:rsid w:val="47AA6A8F"/>
    <w:rsid w:val="47AD0F95"/>
    <w:rsid w:val="47B31EDE"/>
    <w:rsid w:val="47BA2C97"/>
    <w:rsid w:val="47BA656A"/>
    <w:rsid w:val="47BAD60A"/>
    <w:rsid w:val="47CD10ED"/>
    <w:rsid w:val="47D079C1"/>
    <w:rsid w:val="47D46301"/>
    <w:rsid w:val="47D92343"/>
    <w:rsid w:val="47DBE095"/>
    <w:rsid w:val="47DDF504"/>
    <w:rsid w:val="47E70594"/>
    <w:rsid w:val="47F54371"/>
    <w:rsid w:val="47F5824B"/>
    <w:rsid w:val="47FA5380"/>
    <w:rsid w:val="480F768E"/>
    <w:rsid w:val="4817E1D7"/>
    <w:rsid w:val="48216977"/>
    <w:rsid w:val="482A8C66"/>
    <w:rsid w:val="482C924D"/>
    <w:rsid w:val="482CB5ED"/>
    <w:rsid w:val="4838947A"/>
    <w:rsid w:val="483DF7BB"/>
    <w:rsid w:val="4842BCBE"/>
    <w:rsid w:val="4842C2E3"/>
    <w:rsid w:val="48451016"/>
    <w:rsid w:val="4848E322"/>
    <w:rsid w:val="484962A6"/>
    <w:rsid w:val="484AF953"/>
    <w:rsid w:val="484DD7FF"/>
    <w:rsid w:val="4853EC5E"/>
    <w:rsid w:val="485AFE32"/>
    <w:rsid w:val="48687E42"/>
    <w:rsid w:val="486888D2"/>
    <w:rsid w:val="486BB9F5"/>
    <w:rsid w:val="487D0C57"/>
    <w:rsid w:val="4880D1DF"/>
    <w:rsid w:val="488435B5"/>
    <w:rsid w:val="488B1AFF"/>
    <w:rsid w:val="488CEC42"/>
    <w:rsid w:val="4893F624"/>
    <w:rsid w:val="4897D459"/>
    <w:rsid w:val="489CFB20"/>
    <w:rsid w:val="48A562A7"/>
    <w:rsid w:val="48AB923D"/>
    <w:rsid w:val="48B223B0"/>
    <w:rsid w:val="48BEF53A"/>
    <w:rsid w:val="48C41A2F"/>
    <w:rsid w:val="48CCA7AB"/>
    <w:rsid w:val="48D9C8DA"/>
    <w:rsid w:val="48DC257C"/>
    <w:rsid w:val="48DE6208"/>
    <w:rsid w:val="48E4907E"/>
    <w:rsid w:val="48EB7DDA"/>
    <w:rsid w:val="48ED3DAA"/>
    <w:rsid w:val="48F13B3F"/>
    <w:rsid w:val="48F38BCD"/>
    <w:rsid w:val="48F749BE"/>
    <w:rsid w:val="4902573C"/>
    <w:rsid w:val="4904326B"/>
    <w:rsid w:val="49059ACD"/>
    <w:rsid w:val="49124B02"/>
    <w:rsid w:val="4929F273"/>
    <w:rsid w:val="492AFF59"/>
    <w:rsid w:val="492B00CB"/>
    <w:rsid w:val="493CADAF"/>
    <w:rsid w:val="494460C2"/>
    <w:rsid w:val="4944D3C0"/>
    <w:rsid w:val="4948E328"/>
    <w:rsid w:val="4953CBF4"/>
    <w:rsid w:val="495AE18C"/>
    <w:rsid w:val="49656902"/>
    <w:rsid w:val="49756CFB"/>
    <w:rsid w:val="4976CA38"/>
    <w:rsid w:val="497C43E7"/>
    <w:rsid w:val="498450BC"/>
    <w:rsid w:val="498568BE"/>
    <w:rsid w:val="4985D7B5"/>
    <w:rsid w:val="49903981"/>
    <w:rsid w:val="4990F2D5"/>
    <w:rsid w:val="49936620"/>
    <w:rsid w:val="49B61B89"/>
    <w:rsid w:val="49C6F924"/>
    <w:rsid w:val="49D21E93"/>
    <w:rsid w:val="49D3E9EC"/>
    <w:rsid w:val="49D72122"/>
    <w:rsid w:val="49DA0EF5"/>
    <w:rsid w:val="49EA9B72"/>
    <w:rsid w:val="49FAAF93"/>
    <w:rsid w:val="49FE831C"/>
    <w:rsid w:val="4A00969D"/>
    <w:rsid w:val="4A0E4A63"/>
    <w:rsid w:val="4A125B46"/>
    <w:rsid w:val="4A177859"/>
    <w:rsid w:val="4A17E94A"/>
    <w:rsid w:val="4A259AC5"/>
    <w:rsid w:val="4A2C6C8F"/>
    <w:rsid w:val="4A32372E"/>
    <w:rsid w:val="4A344B64"/>
    <w:rsid w:val="4A42AD00"/>
    <w:rsid w:val="4A4401D6"/>
    <w:rsid w:val="4A4857C8"/>
    <w:rsid w:val="4A4CC8C0"/>
    <w:rsid w:val="4A56EF30"/>
    <w:rsid w:val="4A580472"/>
    <w:rsid w:val="4A5A7485"/>
    <w:rsid w:val="4A6101BC"/>
    <w:rsid w:val="4A625BAA"/>
    <w:rsid w:val="4A64D688"/>
    <w:rsid w:val="4A65A565"/>
    <w:rsid w:val="4A6D38D0"/>
    <w:rsid w:val="4A7AABF2"/>
    <w:rsid w:val="4A87F4BD"/>
    <w:rsid w:val="4A89A145"/>
    <w:rsid w:val="4A8BBC63"/>
    <w:rsid w:val="4AA2636C"/>
    <w:rsid w:val="4AAD8204"/>
    <w:rsid w:val="4AB19580"/>
    <w:rsid w:val="4AC4FF92"/>
    <w:rsid w:val="4AC89001"/>
    <w:rsid w:val="4AC9974C"/>
    <w:rsid w:val="4ADAEADB"/>
    <w:rsid w:val="4ADB47BA"/>
    <w:rsid w:val="4AE94E2A"/>
    <w:rsid w:val="4AEAAC8C"/>
    <w:rsid w:val="4AEF2303"/>
    <w:rsid w:val="4AF72F10"/>
    <w:rsid w:val="4AFEFD67"/>
    <w:rsid w:val="4B01EF65"/>
    <w:rsid w:val="4B037B36"/>
    <w:rsid w:val="4B04BF0A"/>
    <w:rsid w:val="4B12FA8A"/>
    <w:rsid w:val="4B131FCA"/>
    <w:rsid w:val="4B19AD81"/>
    <w:rsid w:val="4B22529A"/>
    <w:rsid w:val="4B2D8FD7"/>
    <w:rsid w:val="4B3A8597"/>
    <w:rsid w:val="4B4482E3"/>
    <w:rsid w:val="4B47C6A9"/>
    <w:rsid w:val="4B481FF0"/>
    <w:rsid w:val="4B4BDE09"/>
    <w:rsid w:val="4B4DDD23"/>
    <w:rsid w:val="4B4F2E86"/>
    <w:rsid w:val="4B5D0F13"/>
    <w:rsid w:val="4B644F71"/>
    <w:rsid w:val="4B7B0837"/>
    <w:rsid w:val="4B8B8B9F"/>
    <w:rsid w:val="4B8E54E7"/>
    <w:rsid w:val="4B911939"/>
    <w:rsid w:val="4B997990"/>
    <w:rsid w:val="4B9A642D"/>
    <w:rsid w:val="4B9B7BE5"/>
    <w:rsid w:val="4B9DA92C"/>
    <w:rsid w:val="4B9E21D9"/>
    <w:rsid w:val="4BA05CFA"/>
    <w:rsid w:val="4BA1FF26"/>
    <w:rsid w:val="4BA223A4"/>
    <w:rsid w:val="4BAE0C50"/>
    <w:rsid w:val="4BB06FA9"/>
    <w:rsid w:val="4BB0FC55"/>
    <w:rsid w:val="4BBBCA93"/>
    <w:rsid w:val="4BD32151"/>
    <w:rsid w:val="4BDC1695"/>
    <w:rsid w:val="4BDE87AC"/>
    <w:rsid w:val="4BE22FE8"/>
    <w:rsid w:val="4BE58C47"/>
    <w:rsid w:val="4BE6F838"/>
    <w:rsid w:val="4BEC5F7E"/>
    <w:rsid w:val="4BF494EA"/>
    <w:rsid w:val="4C01BCC3"/>
    <w:rsid w:val="4C0D0F93"/>
    <w:rsid w:val="4C0E049C"/>
    <w:rsid w:val="4C15E2E0"/>
    <w:rsid w:val="4C1C9582"/>
    <w:rsid w:val="4C212AD5"/>
    <w:rsid w:val="4C2A4EF4"/>
    <w:rsid w:val="4C310C42"/>
    <w:rsid w:val="4C3444DA"/>
    <w:rsid w:val="4C397544"/>
    <w:rsid w:val="4C39F45F"/>
    <w:rsid w:val="4C3A06FF"/>
    <w:rsid w:val="4C4BBE8A"/>
    <w:rsid w:val="4C4C59A2"/>
    <w:rsid w:val="4C57DE25"/>
    <w:rsid w:val="4C5B8D04"/>
    <w:rsid w:val="4C5C4930"/>
    <w:rsid w:val="4C5CD2CB"/>
    <w:rsid w:val="4C5DF36A"/>
    <w:rsid w:val="4C638C29"/>
    <w:rsid w:val="4C672E20"/>
    <w:rsid w:val="4C6792A6"/>
    <w:rsid w:val="4C6C7C35"/>
    <w:rsid w:val="4C73B519"/>
    <w:rsid w:val="4C740BA5"/>
    <w:rsid w:val="4C7CED3A"/>
    <w:rsid w:val="4C80AA2E"/>
    <w:rsid w:val="4C80F2C2"/>
    <w:rsid w:val="4C9025D2"/>
    <w:rsid w:val="4C977FE8"/>
    <w:rsid w:val="4CA3BBA8"/>
    <w:rsid w:val="4CA76CD8"/>
    <w:rsid w:val="4CAD9693"/>
    <w:rsid w:val="4CB49634"/>
    <w:rsid w:val="4CB53BD0"/>
    <w:rsid w:val="4CB6FC21"/>
    <w:rsid w:val="4CBC3A25"/>
    <w:rsid w:val="4CC52028"/>
    <w:rsid w:val="4CC9BAB3"/>
    <w:rsid w:val="4CCF98FA"/>
    <w:rsid w:val="4CD2B3A5"/>
    <w:rsid w:val="4CD7AECA"/>
    <w:rsid w:val="4CDEF7FA"/>
    <w:rsid w:val="4CED7350"/>
    <w:rsid w:val="4CEFF729"/>
    <w:rsid w:val="4D0291FE"/>
    <w:rsid w:val="4D059F07"/>
    <w:rsid w:val="4D090560"/>
    <w:rsid w:val="4D0C8DBA"/>
    <w:rsid w:val="4D18731A"/>
    <w:rsid w:val="4D1AACD7"/>
    <w:rsid w:val="4D1D6BAB"/>
    <w:rsid w:val="4D218D3C"/>
    <w:rsid w:val="4D26AD8E"/>
    <w:rsid w:val="4D2F2893"/>
    <w:rsid w:val="4D31813B"/>
    <w:rsid w:val="4D369398"/>
    <w:rsid w:val="4D4A386C"/>
    <w:rsid w:val="4D4D7C94"/>
    <w:rsid w:val="4D4F5D0D"/>
    <w:rsid w:val="4D4F7E14"/>
    <w:rsid w:val="4D4FABD6"/>
    <w:rsid w:val="4D51BDE9"/>
    <w:rsid w:val="4D54B540"/>
    <w:rsid w:val="4D57DAFC"/>
    <w:rsid w:val="4D5AC282"/>
    <w:rsid w:val="4D69F82C"/>
    <w:rsid w:val="4D6AFCE8"/>
    <w:rsid w:val="4D6D707A"/>
    <w:rsid w:val="4D6F6C65"/>
    <w:rsid w:val="4D7053B4"/>
    <w:rsid w:val="4D76E93A"/>
    <w:rsid w:val="4D789521"/>
    <w:rsid w:val="4D7CB9AA"/>
    <w:rsid w:val="4D7EC64D"/>
    <w:rsid w:val="4D8D98EC"/>
    <w:rsid w:val="4D8FF597"/>
    <w:rsid w:val="4D9B1D00"/>
    <w:rsid w:val="4D9BC68E"/>
    <w:rsid w:val="4DA45CAF"/>
    <w:rsid w:val="4DA5002B"/>
    <w:rsid w:val="4DB8134C"/>
    <w:rsid w:val="4DC4F8EC"/>
    <w:rsid w:val="4DC5936E"/>
    <w:rsid w:val="4DD58180"/>
    <w:rsid w:val="4DDBB276"/>
    <w:rsid w:val="4DE75EC6"/>
    <w:rsid w:val="4DF6AA69"/>
    <w:rsid w:val="4DF7BCDF"/>
    <w:rsid w:val="4DFCC007"/>
    <w:rsid w:val="4DFD0B6E"/>
    <w:rsid w:val="4E062C45"/>
    <w:rsid w:val="4E10529A"/>
    <w:rsid w:val="4E187AEE"/>
    <w:rsid w:val="4E1CF07A"/>
    <w:rsid w:val="4E2CF0BB"/>
    <w:rsid w:val="4E2E51BF"/>
    <w:rsid w:val="4E2F139F"/>
    <w:rsid w:val="4E34571A"/>
    <w:rsid w:val="4E35A010"/>
    <w:rsid w:val="4E3C5159"/>
    <w:rsid w:val="4E421C73"/>
    <w:rsid w:val="4E425FDE"/>
    <w:rsid w:val="4E430038"/>
    <w:rsid w:val="4E486521"/>
    <w:rsid w:val="4E4B4235"/>
    <w:rsid w:val="4E6409F3"/>
    <w:rsid w:val="4E658B60"/>
    <w:rsid w:val="4E672071"/>
    <w:rsid w:val="4E6B02A6"/>
    <w:rsid w:val="4E74DA66"/>
    <w:rsid w:val="4E89B8FE"/>
    <w:rsid w:val="4E8CB631"/>
    <w:rsid w:val="4E8FEC13"/>
    <w:rsid w:val="4EA7FF00"/>
    <w:rsid w:val="4EAE442A"/>
    <w:rsid w:val="4EB3827B"/>
    <w:rsid w:val="4EBCC256"/>
    <w:rsid w:val="4EC3ACEF"/>
    <w:rsid w:val="4EC5ED54"/>
    <w:rsid w:val="4EC7D2A9"/>
    <w:rsid w:val="4ED3BD5D"/>
    <w:rsid w:val="4ED5D2B7"/>
    <w:rsid w:val="4EEAAE54"/>
    <w:rsid w:val="4EEAB761"/>
    <w:rsid w:val="4EED0D37"/>
    <w:rsid w:val="4EF3588F"/>
    <w:rsid w:val="4EFC5DFC"/>
    <w:rsid w:val="4F021106"/>
    <w:rsid w:val="4F037D18"/>
    <w:rsid w:val="4F0FD264"/>
    <w:rsid w:val="4F134735"/>
    <w:rsid w:val="4F1C49D2"/>
    <w:rsid w:val="4F1D8729"/>
    <w:rsid w:val="4F236A23"/>
    <w:rsid w:val="4F27DA37"/>
    <w:rsid w:val="4F2BAD82"/>
    <w:rsid w:val="4F2E8CC2"/>
    <w:rsid w:val="4F2F02D7"/>
    <w:rsid w:val="4F329B72"/>
    <w:rsid w:val="4F346189"/>
    <w:rsid w:val="4F37D04F"/>
    <w:rsid w:val="4F405F2C"/>
    <w:rsid w:val="4F425D11"/>
    <w:rsid w:val="4F473B07"/>
    <w:rsid w:val="4F4B08D5"/>
    <w:rsid w:val="4F52251C"/>
    <w:rsid w:val="4F5640E4"/>
    <w:rsid w:val="4F58EB8C"/>
    <w:rsid w:val="4F5A293F"/>
    <w:rsid w:val="4F5C76D7"/>
    <w:rsid w:val="4F6DF5F3"/>
    <w:rsid w:val="4F6F61EF"/>
    <w:rsid w:val="4F6F882E"/>
    <w:rsid w:val="4F7219A1"/>
    <w:rsid w:val="4F787E8F"/>
    <w:rsid w:val="4F7AA00D"/>
    <w:rsid w:val="4F83B4AD"/>
    <w:rsid w:val="4F860538"/>
    <w:rsid w:val="4F865C5B"/>
    <w:rsid w:val="4F870690"/>
    <w:rsid w:val="4F8B0024"/>
    <w:rsid w:val="4F938C96"/>
    <w:rsid w:val="4F93F5CC"/>
    <w:rsid w:val="4F962CBD"/>
    <w:rsid w:val="4FA1084F"/>
    <w:rsid w:val="4FA8C58A"/>
    <w:rsid w:val="4FADD70E"/>
    <w:rsid w:val="4FB117D1"/>
    <w:rsid w:val="4FB758FC"/>
    <w:rsid w:val="4FBCA162"/>
    <w:rsid w:val="4FBE41C3"/>
    <w:rsid w:val="4FBF3BB7"/>
    <w:rsid w:val="4FC909E0"/>
    <w:rsid w:val="4FCDD507"/>
    <w:rsid w:val="4FD1A16F"/>
    <w:rsid w:val="4FD32B0B"/>
    <w:rsid w:val="4FD3DD7E"/>
    <w:rsid w:val="4FD51757"/>
    <w:rsid w:val="4FECB7CA"/>
    <w:rsid w:val="4FF15AA4"/>
    <w:rsid w:val="4FF3BE56"/>
    <w:rsid w:val="4FF59BCC"/>
    <w:rsid w:val="4FF9819C"/>
    <w:rsid w:val="4FF9C841"/>
    <w:rsid w:val="4FFC6041"/>
    <w:rsid w:val="5000C648"/>
    <w:rsid w:val="5009B2EF"/>
    <w:rsid w:val="5009D6AE"/>
    <w:rsid w:val="500C5EBD"/>
    <w:rsid w:val="501DDCCE"/>
    <w:rsid w:val="501EC2E7"/>
    <w:rsid w:val="5021C2A8"/>
    <w:rsid w:val="5022789A"/>
    <w:rsid w:val="50258405"/>
    <w:rsid w:val="502ACCA0"/>
    <w:rsid w:val="5033EADF"/>
    <w:rsid w:val="503D66C8"/>
    <w:rsid w:val="50408256"/>
    <w:rsid w:val="504A2AEF"/>
    <w:rsid w:val="5051C9BF"/>
    <w:rsid w:val="50559D0E"/>
    <w:rsid w:val="50594EC0"/>
    <w:rsid w:val="505FF87A"/>
    <w:rsid w:val="506665D7"/>
    <w:rsid w:val="50667CE1"/>
    <w:rsid w:val="506A3EE5"/>
    <w:rsid w:val="506AF546"/>
    <w:rsid w:val="507064CD"/>
    <w:rsid w:val="50759227"/>
    <w:rsid w:val="507862A4"/>
    <w:rsid w:val="508100BE"/>
    <w:rsid w:val="508375B8"/>
    <w:rsid w:val="50869A3D"/>
    <w:rsid w:val="508AE05E"/>
    <w:rsid w:val="50922941"/>
    <w:rsid w:val="50976538"/>
    <w:rsid w:val="509F08E4"/>
    <w:rsid w:val="50A1EA64"/>
    <w:rsid w:val="50A74D08"/>
    <w:rsid w:val="50AB5FE0"/>
    <w:rsid w:val="50ABE912"/>
    <w:rsid w:val="50AEE4CB"/>
    <w:rsid w:val="50BDDD2B"/>
    <w:rsid w:val="50C3DECD"/>
    <w:rsid w:val="50C6A87A"/>
    <w:rsid w:val="50CE476E"/>
    <w:rsid w:val="50D1F358"/>
    <w:rsid w:val="50D359DC"/>
    <w:rsid w:val="50D985E1"/>
    <w:rsid w:val="50DA220C"/>
    <w:rsid w:val="50DB6785"/>
    <w:rsid w:val="50EB4915"/>
    <w:rsid w:val="50EDC286"/>
    <w:rsid w:val="50EEC1D3"/>
    <w:rsid w:val="50F9F9C7"/>
    <w:rsid w:val="50FB5610"/>
    <w:rsid w:val="5108C139"/>
    <w:rsid w:val="5108C321"/>
    <w:rsid w:val="510BF8BD"/>
    <w:rsid w:val="510DC6E9"/>
    <w:rsid w:val="5110AFEE"/>
    <w:rsid w:val="5110EA4B"/>
    <w:rsid w:val="51148370"/>
    <w:rsid w:val="51292269"/>
    <w:rsid w:val="512AFDE7"/>
    <w:rsid w:val="512D3897"/>
    <w:rsid w:val="512DE3F3"/>
    <w:rsid w:val="51356568"/>
    <w:rsid w:val="51365D77"/>
    <w:rsid w:val="5136C9DD"/>
    <w:rsid w:val="51371FEC"/>
    <w:rsid w:val="51423339"/>
    <w:rsid w:val="51519453"/>
    <w:rsid w:val="51608872"/>
    <w:rsid w:val="51635251"/>
    <w:rsid w:val="5167FD18"/>
    <w:rsid w:val="51694B4D"/>
    <w:rsid w:val="516A64FB"/>
    <w:rsid w:val="516BC63A"/>
    <w:rsid w:val="516F2E65"/>
    <w:rsid w:val="518053F0"/>
    <w:rsid w:val="51871470"/>
    <w:rsid w:val="5187E05B"/>
    <w:rsid w:val="518EC556"/>
    <w:rsid w:val="5197AC04"/>
    <w:rsid w:val="519C8D5C"/>
    <w:rsid w:val="519E76D8"/>
    <w:rsid w:val="51A31CA9"/>
    <w:rsid w:val="51AB8A7D"/>
    <w:rsid w:val="51B13C62"/>
    <w:rsid w:val="51BBA4CB"/>
    <w:rsid w:val="51C916C6"/>
    <w:rsid w:val="51CF4D2B"/>
    <w:rsid w:val="51D62362"/>
    <w:rsid w:val="51DB587D"/>
    <w:rsid w:val="51DDCDEF"/>
    <w:rsid w:val="51E1C865"/>
    <w:rsid w:val="51E33FA6"/>
    <w:rsid w:val="51E5E296"/>
    <w:rsid w:val="51EC83AD"/>
    <w:rsid w:val="51EEF60A"/>
    <w:rsid w:val="51FD50C8"/>
    <w:rsid w:val="51FE5700"/>
    <w:rsid w:val="520858A0"/>
    <w:rsid w:val="520B2D81"/>
    <w:rsid w:val="5212299C"/>
    <w:rsid w:val="5228FFA1"/>
    <w:rsid w:val="522BBCEB"/>
    <w:rsid w:val="522F35B5"/>
    <w:rsid w:val="523E7730"/>
    <w:rsid w:val="5244055A"/>
    <w:rsid w:val="5245E054"/>
    <w:rsid w:val="524669B9"/>
    <w:rsid w:val="52490E11"/>
    <w:rsid w:val="524F888B"/>
    <w:rsid w:val="524F9CD1"/>
    <w:rsid w:val="52533488"/>
    <w:rsid w:val="52554C11"/>
    <w:rsid w:val="52576502"/>
    <w:rsid w:val="52693FA0"/>
    <w:rsid w:val="526D851E"/>
    <w:rsid w:val="5275C29A"/>
    <w:rsid w:val="5278C449"/>
    <w:rsid w:val="527AA2C5"/>
    <w:rsid w:val="527C9537"/>
    <w:rsid w:val="527E1442"/>
    <w:rsid w:val="527F4631"/>
    <w:rsid w:val="5280CD21"/>
    <w:rsid w:val="52851198"/>
    <w:rsid w:val="5285125E"/>
    <w:rsid w:val="528DD7E3"/>
    <w:rsid w:val="529E885C"/>
    <w:rsid w:val="52A3EFA1"/>
    <w:rsid w:val="52AC26A1"/>
    <w:rsid w:val="52B032EC"/>
    <w:rsid w:val="52B05C0D"/>
    <w:rsid w:val="52B9FFC2"/>
    <w:rsid w:val="52BB02E9"/>
    <w:rsid w:val="52C025F8"/>
    <w:rsid w:val="52C291F0"/>
    <w:rsid w:val="52C48C0E"/>
    <w:rsid w:val="52CDFE71"/>
    <w:rsid w:val="52D77446"/>
    <w:rsid w:val="52E7E6F9"/>
    <w:rsid w:val="52E8065D"/>
    <w:rsid w:val="52E9925B"/>
    <w:rsid w:val="52F3AA0B"/>
    <w:rsid w:val="52F4EB8E"/>
    <w:rsid w:val="52F68354"/>
    <w:rsid w:val="52F8E8DC"/>
    <w:rsid w:val="52FC1FDA"/>
    <w:rsid w:val="5300D4ED"/>
    <w:rsid w:val="53032302"/>
    <w:rsid w:val="53093C1A"/>
    <w:rsid w:val="530BA011"/>
    <w:rsid w:val="530BFB3F"/>
    <w:rsid w:val="530F0543"/>
    <w:rsid w:val="53143D2D"/>
    <w:rsid w:val="53168384"/>
    <w:rsid w:val="5317B2C7"/>
    <w:rsid w:val="531C6643"/>
    <w:rsid w:val="53327E7B"/>
    <w:rsid w:val="5334EDE2"/>
    <w:rsid w:val="53380FC3"/>
    <w:rsid w:val="5340019E"/>
    <w:rsid w:val="5342F456"/>
    <w:rsid w:val="5349307E"/>
    <w:rsid w:val="534BD20B"/>
    <w:rsid w:val="53557562"/>
    <w:rsid w:val="5366EF9E"/>
    <w:rsid w:val="5366FB57"/>
    <w:rsid w:val="536DB2BE"/>
    <w:rsid w:val="536EE8DE"/>
    <w:rsid w:val="537BDD89"/>
    <w:rsid w:val="537DA2BE"/>
    <w:rsid w:val="537F23A9"/>
    <w:rsid w:val="5384685B"/>
    <w:rsid w:val="539480DA"/>
    <w:rsid w:val="53962247"/>
    <w:rsid w:val="53986FC8"/>
    <w:rsid w:val="539B77BC"/>
    <w:rsid w:val="539F1585"/>
    <w:rsid w:val="53AB347E"/>
    <w:rsid w:val="53ADCB8E"/>
    <w:rsid w:val="53BC9E01"/>
    <w:rsid w:val="53C0F791"/>
    <w:rsid w:val="53CC8488"/>
    <w:rsid w:val="53D933A0"/>
    <w:rsid w:val="53D9AF1A"/>
    <w:rsid w:val="53DCDBDC"/>
    <w:rsid w:val="53E57CAD"/>
    <w:rsid w:val="53F3DA51"/>
    <w:rsid w:val="53F62E3F"/>
    <w:rsid w:val="53F793E5"/>
    <w:rsid w:val="53F9B46F"/>
    <w:rsid w:val="53FA97AE"/>
    <w:rsid w:val="54038E9F"/>
    <w:rsid w:val="540501F8"/>
    <w:rsid w:val="540964FD"/>
    <w:rsid w:val="54099397"/>
    <w:rsid w:val="540B081F"/>
    <w:rsid w:val="54112B9C"/>
    <w:rsid w:val="5413A5DE"/>
    <w:rsid w:val="541B527C"/>
    <w:rsid w:val="54206B19"/>
    <w:rsid w:val="5429C210"/>
    <w:rsid w:val="542B1B73"/>
    <w:rsid w:val="542FF6A1"/>
    <w:rsid w:val="54336CFD"/>
    <w:rsid w:val="543563F1"/>
    <w:rsid w:val="543D2CBB"/>
    <w:rsid w:val="543E0D4D"/>
    <w:rsid w:val="543F2569"/>
    <w:rsid w:val="544EBB7D"/>
    <w:rsid w:val="544F9CBC"/>
    <w:rsid w:val="545A837E"/>
    <w:rsid w:val="54618274"/>
    <w:rsid w:val="5461C457"/>
    <w:rsid w:val="5464212D"/>
    <w:rsid w:val="5467DA25"/>
    <w:rsid w:val="546CF226"/>
    <w:rsid w:val="5475235F"/>
    <w:rsid w:val="5477EA85"/>
    <w:rsid w:val="5478A6D4"/>
    <w:rsid w:val="547AD620"/>
    <w:rsid w:val="547CD4E5"/>
    <w:rsid w:val="547ED548"/>
    <w:rsid w:val="5482503E"/>
    <w:rsid w:val="548BF603"/>
    <w:rsid w:val="548C778F"/>
    <w:rsid w:val="548FE613"/>
    <w:rsid w:val="5494119B"/>
    <w:rsid w:val="54970D16"/>
    <w:rsid w:val="549CDF1D"/>
    <w:rsid w:val="549D069F"/>
    <w:rsid w:val="549E41BF"/>
    <w:rsid w:val="54A1C2E2"/>
    <w:rsid w:val="54A3BD1D"/>
    <w:rsid w:val="54ACFCC8"/>
    <w:rsid w:val="54ACFE40"/>
    <w:rsid w:val="54B0B6BB"/>
    <w:rsid w:val="54B5E69F"/>
    <w:rsid w:val="54B76B5A"/>
    <w:rsid w:val="54BA2FC7"/>
    <w:rsid w:val="54C0E08B"/>
    <w:rsid w:val="54CBFD89"/>
    <w:rsid w:val="54CDD8E5"/>
    <w:rsid w:val="54D22C7D"/>
    <w:rsid w:val="54D8110B"/>
    <w:rsid w:val="54D8EA5E"/>
    <w:rsid w:val="54DA1B43"/>
    <w:rsid w:val="54E81319"/>
    <w:rsid w:val="54ED721C"/>
    <w:rsid w:val="54F12AE7"/>
    <w:rsid w:val="54FA5751"/>
    <w:rsid w:val="5502FADC"/>
    <w:rsid w:val="55063CDC"/>
    <w:rsid w:val="550781C9"/>
    <w:rsid w:val="5508359C"/>
    <w:rsid w:val="550F33A9"/>
    <w:rsid w:val="551293B1"/>
    <w:rsid w:val="551BF946"/>
    <w:rsid w:val="5522521E"/>
    <w:rsid w:val="5525AB5E"/>
    <w:rsid w:val="5540ECF7"/>
    <w:rsid w:val="55475CA8"/>
    <w:rsid w:val="554870A1"/>
    <w:rsid w:val="55489C8B"/>
    <w:rsid w:val="554B2F5B"/>
    <w:rsid w:val="5551984D"/>
    <w:rsid w:val="55522C0E"/>
    <w:rsid w:val="55541FD7"/>
    <w:rsid w:val="5556469D"/>
    <w:rsid w:val="555A8DEE"/>
    <w:rsid w:val="555BEBE1"/>
    <w:rsid w:val="555F17D3"/>
    <w:rsid w:val="55616C94"/>
    <w:rsid w:val="556560DA"/>
    <w:rsid w:val="55678314"/>
    <w:rsid w:val="5577D11C"/>
    <w:rsid w:val="5579FBCA"/>
    <w:rsid w:val="557D668B"/>
    <w:rsid w:val="557ECEB5"/>
    <w:rsid w:val="558A857C"/>
    <w:rsid w:val="55923D58"/>
    <w:rsid w:val="559A32B9"/>
    <w:rsid w:val="55A48C24"/>
    <w:rsid w:val="55A717B1"/>
    <w:rsid w:val="55A7D54F"/>
    <w:rsid w:val="55A930AF"/>
    <w:rsid w:val="55AACE5D"/>
    <w:rsid w:val="55AB702D"/>
    <w:rsid w:val="55ACF112"/>
    <w:rsid w:val="55B024B2"/>
    <w:rsid w:val="55B5F6DC"/>
    <w:rsid w:val="55BDF30B"/>
    <w:rsid w:val="55BE4B32"/>
    <w:rsid w:val="55C6BC76"/>
    <w:rsid w:val="55CC09DC"/>
    <w:rsid w:val="55D54A7B"/>
    <w:rsid w:val="55DFE174"/>
    <w:rsid w:val="55E0006E"/>
    <w:rsid w:val="55E9A2C6"/>
    <w:rsid w:val="55EA0E9E"/>
    <w:rsid w:val="55EC89B3"/>
    <w:rsid w:val="55F231C2"/>
    <w:rsid w:val="55F61B4B"/>
    <w:rsid w:val="55FAD463"/>
    <w:rsid w:val="55FD8DC9"/>
    <w:rsid w:val="560251A1"/>
    <w:rsid w:val="56127135"/>
    <w:rsid w:val="56164B32"/>
    <w:rsid w:val="5624081E"/>
    <w:rsid w:val="56255CEC"/>
    <w:rsid w:val="56261325"/>
    <w:rsid w:val="56285CE4"/>
    <w:rsid w:val="5628D32A"/>
    <w:rsid w:val="562F5055"/>
    <w:rsid w:val="5639372A"/>
    <w:rsid w:val="563CA7BC"/>
    <w:rsid w:val="56404430"/>
    <w:rsid w:val="56471851"/>
    <w:rsid w:val="564CA7C1"/>
    <w:rsid w:val="56523310"/>
    <w:rsid w:val="5656BE04"/>
    <w:rsid w:val="56582681"/>
    <w:rsid w:val="565B647C"/>
    <w:rsid w:val="565E70E8"/>
    <w:rsid w:val="565F74DB"/>
    <w:rsid w:val="56639821"/>
    <w:rsid w:val="566AFCE4"/>
    <w:rsid w:val="5672DBF8"/>
    <w:rsid w:val="56774179"/>
    <w:rsid w:val="56799876"/>
    <w:rsid w:val="5679D4CF"/>
    <w:rsid w:val="567FF9AE"/>
    <w:rsid w:val="568DE3A8"/>
    <w:rsid w:val="56978C81"/>
    <w:rsid w:val="56983FC6"/>
    <w:rsid w:val="5699D52F"/>
    <w:rsid w:val="56A89C3A"/>
    <w:rsid w:val="56AF3914"/>
    <w:rsid w:val="56B693B8"/>
    <w:rsid w:val="56B8DEA4"/>
    <w:rsid w:val="56BAE9D8"/>
    <w:rsid w:val="56C226BA"/>
    <w:rsid w:val="56E4AB7F"/>
    <w:rsid w:val="56EAC551"/>
    <w:rsid w:val="56FC4610"/>
    <w:rsid w:val="57055280"/>
    <w:rsid w:val="5711E1FF"/>
    <w:rsid w:val="571765C7"/>
    <w:rsid w:val="57239F37"/>
    <w:rsid w:val="572D0A13"/>
    <w:rsid w:val="5733FAF1"/>
    <w:rsid w:val="57369EB9"/>
    <w:rsid w:val="573E4022"/>
    <w:rsid w:val="573FFBBD"/>
    <w:rsid w:val="5746C2EE"/>
    <w:rsid w:val="5747899A"/>
    <w:rsid w:val="574ACBB1"/>
    <w:rsid w:val="5754D18D"/>
    <w:rsid w:val="575EA112"/>
    <w:rsid w:val="575FF17E"/>
    <w:rsid w:val="57613F1F"/>
    <w:rsid w:val="576253EE"/>
    <w:rsid w:val="5766A28C"/>
    <w:rsid w:val="57684A75"/>
    <w:rsid w:val="576BB7A9"/>
    <w:rsid w:val="576D0B5D"/>
    <w:rsid w:val="57797C5A"/>
    <w:rsid w:val="5779F5FC"/>
    <w:rsid w:val="57845469"/>
    <w:rsid w:val="578A2EF2"/>
    <w:rsid w:val="578CEB38"/>
    <w:rsid w:val="5795E5CF"/>
    <w:rsid w:val="57997B80"/>
    <w:rsid w:val="57A632E1"/>
    <w:rsid w:val="57AE7923"/>
    <w:rsid w:val="57AEFB05"/>
    <w:rsid w:val="57B0D749"/>
    <w:rsid w:val="57B12CC6"/>
    <w:rsid w:val="57BBE631"/>
    <w:rsid w:val="57D3DD48"/>
    <w:rsid w:val="57E2D647"/>
    <w:rsid w:val="57E78C32"/>
    <w:rsid w:val="57E7C85B"/>
    <w:rsid w:val="57EA2500"/>
    <w:rsid w:val="57F4A955"/>
    <w:rsid w:val="57FFB6AE"/>
    <w:rsid w:val="580798ED"/>
    <w:rsid w:val="5808AE89"/>
    <w:rsid w:val="580920E7"/>
    <w:rsid w:val="58099D5E"/>
    <w:rsid w:val="58148614"/>
    <w:rsid w:val="581D4260"/>
    <w:rsid w:val="5826059C"/>
    <w:rsid w:val="582C8154"/>
    <w:rsid w:val="582ECF52"/>
    <w:rsid w:val="5831FEFA"/>
    <w:rsid w:val="583CB24F"/>
    <w:rsid w:val="583F9F79"/>
    <w:rsid w:val="58459F47"/>
    <w:rsid w:val="584D04A8"/>
    <w:rsid w:val="585B2FF4"/>
    <w:rsid w:val="58642F75"/>
    <w:rsid w:val="5869F57F"/>
    <w:rsid w:val="5870DBD3"/>
    <w:rsid w:val="5874E01F"/>
    <w:rsid w:val="587BDF40"/>
    <w:rsid w:val="5881ED92"/>
    <w:rsid w:val="5887DAF0"/>
    <w:rsid w:val="58887AFA"/>
    <w:rsid w:val="588A16E1"/>
    <w:rsid w:val="588BBA7A"/>
    <w:rsid w:val="5898D13E"/>
    <w:rsid w:val="589A131B"/>
    <w:rsid w:val="589C1210"/>
    <w:rsid w:val="589C96C4"/>
    <w:rsid w:val="589E0999"/>
    <w:rsid w:val="589FF5ED"/>
    <w:rsid w:val="58AAA8B6"/>
    <w:rsid w:val="58B238DB"/>
    <w:rsid w:val="58BA4286"/>
    <w:rsid w:val="58BCEF47"/>
    <w:rsid w:val="58C0907C"/>
    <w:rsid w:val="58C929A1"/>
    <w:rsid w:val="58D5BB81"/>
    <w:rsid w:val="58D8B1A1"/>
    <w:rsid w:val="58DF0BF8"/>
    <w:rsid w:val="58EA6952"/>
    <w:rsid w:val="58EA97F3"/>
    <w:rsid w:val="58ECF51C"/>
    <w:rsid w:val="58EE4A9D"/>
    <w:rsid w:val="58F675F8"/>
    <w:rsid w:val="58FD2C61"/>
    <w:rsid w:val="59003455"/>
    <w:rsid w:val="59028F8E"/>
    <w:rsid w:val="59099C3C"/>
    <w:rsid w:val="590E1F3D"/>
    <w:rsid w:val="590E8924"/>
    <w:rsid w:val="590EC176"/>
    <w:rsid w:val="590F510B"/>
    <w:rsid w:val="591770E2"/>
    <w:rsid w:val="591BFF70"/>
    <w:rsid w:val="591C2DF4"/>
    <w:rsid w:val="591C8784"/>
    <w:rsid w:val="5924607D"/>
    <w:rsid w:val="592582E5"/>
    <w:rsid w:val="59311D3C"/>
    <w:rsid w:val="5938C582"/>
    <w:rsid w:val="593A02EB"/>
    <w:rsid w:val="593E4C24"/>
    <w:rsid w:val="593E77B3"/>
    <w:rsid w:val="5949CB95"/>
    <w:rsid w:val="5954519C"/>
    <w:rsid w:val="59550C2D"/>
    <w:rsid w:val="59614C95"/>
    <w:rsid w:val="59792FE7"/>
    <w:rsid w:val="597C6D25"/>
    <w:rsid w:val="597FEFC5"/>
    <w:rsid w:val="598549B4"/>
    <w:rsid w:val="598F1B57"/>
    <w:rsid w:val="5991C0CE"/>
    <w:rsid w:val="599E6B4B"/>
    <w:rsid w:val="59A13DCF"/>
    <w:rsid w:val="59A49970"/>
    <w:rsid w:val="59A52FE1"/>
    <w:rsid w:val="59A7628E"/>
    <w:rsid w:val="59ABCBAF"/>
    <w:rsid w:val="59C7F268"/>
    <w:rsid w:val="59C82C6E"/>
    <w:rsid w:val="59CAC1F5"/>
    <w:rsid w:val="59CFF28A"/>
    <w:rsid w:val="59D2EE7D"/>
    <w:rsid w:val="59D41CBB"/>
    <w:rsid w:val="59D9BB25"/>
    <w:rsid w:val="59DB483C"/>
    <w:rsid w:val="59DBC62F"/>
    <w:rsid w:val="59E2C3B2"/>
    <w:rsid w:val="59E3B07E"/>
    <w:rsid w:val="59E43543"/>
    <w:rsid w:val="59F4DA24"/>
    <w:rsid w:val="59F732FA"/>
    <w:rsid w:val="59F888E1"/>
    <w:rsid w:val="59FD8986"/>
    <w:rsid w:val="5A0892A0"/>
    <w:rsid w:val="5A10BD51"/>
    <w:rsid w:val="5A12D94B"/>
    <w:rsid w:val="5A15FB06"/>
    <w:rsid w:val="5A1A623C"/>
    <w:rsid w:val="5A1F6506"/>
    <w:rsid w:val="5A1FC89E"/>
    <w:rsid w:val="5A269BEB"/>
    <w:rsid w:val="5A2C67B9"/>
    <w:rsid w:val="5A3149C3"/>
    <w:rsid w:val="5A3F19A6"/>
    <w:rsid w:val="5A40E63F"/>
    <w:rsid w:val="5A41EED3"/>
    <w:rsid w:val="5A4509AC"/>
    <w:rsid w:val="5A495CAF"/>
    <w:rsid w:val="5A4F6ACF"/>
    <w:rsid w:val="5A74318F"/>
    <w:rsid w:val="5A7BC888"/>
    <w:rsid w:val="5A817859"/>
    <w:rsid w:val="5A847F56"/>
    <w:rsid w:val="5A85D324"/>
    <w:rsid w:val="5A88FDBB"/>
    <w:rsid w:val="5A8BA471"/>
    <w:rsid w:val="5A9236CF"/>
    <w:rsid w:val="5A9785F9"/>
    <w:rsid w:val="5A99A797"/>
    <w:rsid w:val="5AA1572E"/>
    <w:rsid w:val="5AABD4F8"/>
    <w:rsid w:val="5AAC0064"/>
    <w:rsid w:val="5AAD489D"/>
    <w:rsid w:val="5AAE2146"/>
    <w:rsid w:val="5AAE5F65"/>
    <w:rsid w:val="5AC5DF26"/>
    <w:rsid w:val="5AC8E845"/>
    <w:rsid w:val="5AC8FC99"/>
    <w:rsid w:val="5AD4703B"/>
    <w:rsid w:val="5AD5CF90"/>
    <w:rsid w:val="5ADCF702"/>
    <w:rsid w:val="5AE16132"/>
    <w:rsid w:val="5AE3A3E6"/>
    <w:rsid w:val="5AEF528F"/>
    <w:rsid w:val="5AF59315"/>
    <w:rsid w:val="5AFEA620"/>
    <w:rsid w:val="5B09FF2B"/>
    <w:rsid w:val="5B0A0F63"/>
    <w:rsid w:val="5B10FDF2"/>
    <w:rsid w:val="5B125F2F"/>
    <w:rsid w:val="5B13CA52"/>
    <w:rsid w:val="5B1613FE"/>
    <w:rsid w:val="5B19C71C"/>
    <w:rsid w:val="5B1DA6CE"/>
    <w:rsid w:val="5B1DB270"/>
    <w:rsid w:val="5B262A84"/>
    <w:rsid w:val="5B291656"/>
    <w:rsid w:val="5B324B29"/>
    <w:rsid w:val="5B3A960F"/>
    <w:rsid w:val="5B44D13A"/>
    <w:rsid w:val="5B46DB0E"/>
    <w:rsid w:val="5B4A4093"/>
    <w:rsid w:val="5B5DDCED"/>
    <w:rsid w:val="5B67E892"/>
    <w:rsid w:val="5B6D7622"/>
    <w:rsid w:val="5B79FC3A"/>
    <w:rsid w:val="5B7D3052"/>
    <w:rsid w:val="5B7D3114"/>
    <w:rsid w:val="5B7F613A"/>
    <w:rsid w:val="5B909D2E"/>
    <w:rsid w:val="5B92CCE5"/>
    <w:rsid w:val="5B9D0773"/>
    <w:rsid w:val="5B9E8849"/>
    <w:rsid w:val="5BA1C0F2"/>
    <w:rsid w:val="5BA52B53"/>
    <w:rsid w:val="5BA860F4"/>
    <w:rsid w:val="5BAF0516"/>
    <w:rsid w:val="5BB5E4B2"/>
    <w:rsid w:val="5BBC87A5"/>
    <w:rsid w:val="5BC0C8AD"/>
    <w:rsid w:val="5BC435E7"/>
    <w:rsid w:val="5BCFA71F"/>
    <w:rsid w:val="5BD2B5BC"/>
    <w:rsid w:val="5BD71A29"/>
    <w:rsid w:val="5BDD9E3F"/>
    <w:rsid w:val="5BDDEB17"/>
    <w:rsid w:val="5BE08170"/>
    <w:rsid w:val="5BE240D1"/>
    <w:rsid w:val="5BEA7D94"/>
    <w:rsid w:val="5BF08141"/>
    <w:rsid w:val="5BF571A1"/>
    <w:rsid w:val="5C01D12B"/>
    <w:rsid w:val="5C041898"/>
    <w:rsid w:val="5C08A984"/>
    <w:rsid w:val="5C0964D4"/>
    <w:rsid w:val="5C11EA92"/>
    <w:rsid w:val="5C14900E"/>
    <w:rsid w:val="5C160CEC"/>
    <w:rsid w:val="5C1A8F44"/>
    <w:rsid w:val="5C1BFA4B"/>
    <w:rsid w:val="5C237333"/>
    <w:rsid w:val="5C269624"/>
    <w:rsid w:val="5C30CC6B"/>
    <w:rsid w:val="5C3C289C"/>
    <w:rsid w:val="5C3F714C"/>
    <w:rsid w:val="5C41F0F6"/>
    <w:rsid w:val="5C42E9CC"/>
    <w:rsid w:val="5C4CD488"/>
    <w:rsid w:val="5C524903"/>
    <w:rsid w:val="5C562FAD"/>
    <w:rsid w:val="5C56E0B0"/>
    <w:rsid w:val="5C59E655"/>
    <w:rsid w:val="5C5D5D09"/>
    <w:rsid w:val="5C62EDA9"/>
    <w:rsid w:val="5C6B5438"/>
    <w:rsid w:val="5C6FD479"/>
    <w:rsid w:val="5C71C66F"/>
    <w:rsid w:val="5C72F1B3"/>
    <w:rsid w:val="5C8A0B59"/>
    <w:rsid w:val="5C8CED1F"/>
    <w:rsid w:val="5C8E167C"/>
    <w:rsid w:val="5CA88047"/>
    <w:rsid w:val="5CAE1DEA"/>
    <w:rsid w:val="5CAF49D6"/>
    <w:rsid w:val="5CB01F3F"/>
    <w:rsid w:val="5CB9C6C9"/>
    <w:rsid w:val="5CC3F939"/>
    <w:rsid w:val="5CCC2841"/>
    <w:rsid w:val="5CD287C0"/>
    <w:rsid w:val="5CD78804"/>
    <w:rsid w:val="5CD80398"/>
    <w:rsid w:val="5CDC0C6A"/>
    <w:rsid w:val="5CDED96F"/>
    <w:rsid w:val="5CE00518"/>
    <w:rsid w:val="5CE8A8D2"/>
    <w:rsid w:val="5CEAA12F"/>
    <w:rsid w:val="5CF143E6"/>
    <w:rsid w:val="5CFB920A"/>
    <w:rsid w:val="5D01AB92"/>
    <w:rsid w:val="5D05F8B8"/>
    <w:rsid w:val="5D107F20"/>
    <w:rsid w:val="5D11BC40"/>
    <w:rsid w:val="5D124205"/>
    <w:rsid w:val="5D286106"/>
    <w:rsid w:val="5D2D4162"/>
    <w:rsid w:val="5D2EDE75"/>
    <w:rsid w:val="5D31F396"/>
    <w:rsid w:val="5D34A7A0"/>
    <w:rsid w:val="5D35DC4E"/>
    <w:rsid w:val="5D363CB7"/>
    <w:rsid w:val="5D3ABDFB"/>
    <w:rsid w:val="5D4287AE"/>
    <w:rsid w:val="5D4317C5"/>
    <w:rsid w:val="5D482AC5"/>
    <w:rsid w:val="5D4966A8"/>
    <w:rsid w:val="5D4BD15D"/>
    <w:rsid w:val="5D57AF20"/>
    <w:rsid w:val="5D583CB6"/>
    <w:rsid w:val="5D5B16C5"/>
    <w:rsid w:val="5D5B61A7"/>
    <w:rsid w:val="5D5D81FA"/>
    <w:rsid w:val="5D5DD4F1"/>
    <w:rsid w:val="5D661093"/>
    <w:rsid w:val="5D68FCCD"/>
    <w:rsid w:val="5D7BFE09"/>
    <w:rsid w:val="5D7C67D5"/>
    <w:rsid w:val="5D80D6B6"/>
    <w:rsid w:val="5D85B135"/>
    <w:rsid w:val="5D86B0FD"/>
    <w:rsid w:val="5D889B63"/>
    <w:rsid w:val="5D8AB690"/>
    <w:rsid w:val="5D8DDC42"/>
    <w:rsid w:val="5D92E03C"/>
    <w:rsid w:val="5D943931"/>
    <w:rsid w:val="5D9505E3"/>
    <w:rsid w:val="5D988D7E"/>
    <w:rsid w:val="5D9936C8"/>
    <w:rsid w:val="5DA13C88"/>
    <w:rsid w:val="5DA1CEDB"/>
    <w:rsid w:val="5DA2CDC0"/>
    <w:rsid w:val="5DA9D967"/>
    <w:rsid w:val="5DAA4A92"/>
    <w:rsid w:val="5DB70E90"/>
    <w:rsid w:val="5DBE16F7"/>
    <w:rsid w:val="5DBF8C0E"/>
    <w:rsid w:val="5DC215CE"/>
    <w:rsid w:val="5DCFD0AE"/>
    <w:rsid w:val="5DD82E04"/>
    <w:rsid w:val="5DD9F413"/>
    <w:rsid w:val="5DDC6886"/>
    <w:rsid w:val="5DDC9CB4"/>
    <w:rsid w:val="5DDE8944"/>
    <w:rsid w:val="5DE79302"/>
    <w:rsid w:val="5DE9AE1B"/>
    <w:rsid w:val="5DE9DE57"/>
    <w:rsid w:val="5DF03022"/>
    <w:rsid w:val="5DF68355"/>
    <w:rsid w:val="5DF8B1FE"/>
    <w:rsid w:val="5E088342"/>
    <w:rsid w:val="5E0D2C2E"/>
    <w:rsid w:val="5E0EA506"/>
    <w:rsid w:val="5E104ECE"/>
    <w:rsid w:val="5E12617E"/>
    <w:rsid w:val="5E1D9D4F"/>
    <w:rsid w:val="5E2339BF"/>
    <w:rsid w:val="5E28B2DF"/>
    <w:rsid w:val="5E3501B3"/>
    <w:rsid w:val="5E389CA2"/>
    <w:rsid w:val="5E4EE07F"/>
    <w:rsid w:val="5E59FB86"/>
    <w:rsid w:val="5E69A85F"/>
    <w:rsid w:val="5E6A6231"/>
    <w:rsid w:val="5E726C7B"/>
    <w:rsid w:val="5E728326"/>
    <w:rsid w:val="5E74D6FB"/>
    <w:rsid w:val="5E75B7E7"/>
    <w:rsid w:val="5E773056"/>
    <w:rsid w:val="5E77DCFA"/>
    <w:rsid w:val="5E7A50D7"/>
    <w:rsid w:val="5E7BBEDA"/>
    <w:rsid w:val="5E7EE8B2"/>
    <w:rsid w:val="5E90EE3A"/>
    <w:rsid w:val="5E97E020"/>
    <w:rsid w:val="5E9D64CA"/>
    <w:rsid w:val="5E9F658D"/>
    <w:rsid w:val="5EB30126"/>
    <w:rsid w:val="5EB36B2E"/>
    <w:rsid w:val="5EB39C8B"/>
    <w:rsid w:val="5EB8AA37"/>
    <w:rsid w:val="5EB95ABF"/>
    <w:rsid w:val="5EBB78C7"/>
    <w:rsid w:val="5EC2F7FF"/>
    <w:rsid w:val="5EC994EB"/>
    <w:rsid w:val="5ECE5C38"/>
    <w:rsid w:val="5ED64257"/>
    <w:rsid w:val="5EE23965"/>
    <w:rsid w:val="5EE2EB42"/>
    <w:rsid w:val="5EE8D37A"/>
    <w:rsid w:val="5EE961A2"/>
    <w:rsid w:val="5EEB50CD"/>
    <w:rsid w:val="5EEF28B2"/>
    <w:rsid w:val="5EF9D818"/>
    <w:rsid w:val="5F025772"/>
    <w:rsid w:val="5F06793C"/>
    <w:rsid w:val="5F0932D9"/>
    <w:rsid w:val="5F15B07E"/>
    <w:rsid w:val="5F1715D6"/>
    <w:rsid w:val="5F1799ED"/>
    <w:rsid w:val="5F278CEB"/>
    <w:rsid w:val="5F3B7A1A"/>
    <w:rsid w:val="5F5235C5"/>
    <w:rsid w:val="5F59CE83"/>
    <w:rsid w:val="5F61B9B1"/>
    <w:rsid w:val="5F6F3A7C"/>
    <w:rsid w:val="5F6F59D8"/>
    <w:rsid w:val="5F76A5FF"/>
    <w:rsid w:val="5F7ABBCE"/>
    <w:rsid w:val="5F7D6660"/>
    <w:rsid w:val="5F8753E0"/>
    <w:rsid w:val="5F88DD46"/>
    <w:rsid w:val="5F8C8E36"/>
    <w:rsid w:val="5F99ECE0"/>
    <w:rsid w:val="5F9D3D19"/>
    <w:rsid w:val="5FA313D3"/>
    <w:rsid w:val="5FA6D408"/>
    <w:rsid w:val="5FA7853F"/>
    <w:rsid w:val="5FA79746"/>
    <w:rsid w:val="5FAD2577"/>
    <w:rsid w:val="5FAD89CE"/>
    <w:rsid w:val="5FAE7E54"/>
    <w:rsid w:val="5FB0D709"/>
    <w:rsid w:val="5FB29675"/>
    <w:rsid w:val="5FBD0615"/>
    <w:rsid w:val="5FC06A90"/>
    <w:rsid w:val="5FC0B5E0"/>
    <w:rsid w:val="5FC1E120"/>
    <w:rsid w:val="5FC230B3"/>
    <w:rsid w:val="5FD3741A"/>
    <w:rsid w:val="5FDCB3FB"/>
    <w:rsid w:val="5FE5D0EF"/>
    <w:rsid w:val="5FE7A495"/>
    <w:rsid w:val="5FF18D9E"/>
    <w:rsid w:val="5FF8E624"/>
    <w:rsid w:val="5FFB12B0"/>
    <w:rsid w:val="5FFCEBC7"/>
    <w:rsid w:val="6001572B"/>
    <w:rsid w:val="6004A0A5"/>
    <w:rsid w:val="60116A54"/>
    <w:rsid w:val="6013B5A3"/>
    <w:rsid w:val="6014FAAB"/>
    <w:rsid w:val="601CCC22"/>
    <w:rsid w:val="6033A74A"/>
    <w:rsid w:val="60367666"/>
    <w:rsid w:val="60386CAC"/>
    <w:rsid w:val="60486005"/>
    <w:rsid w:val="60489331"/>
    <w:rsid w:val="6054B83A"/>
    <w:rsid w:val="6056B73F"/>
    <w:rsid w:val="6057CE0F"/>
    <w:rsid w:val="6062519E"/>
    <w:rsid w:val="60636FE9"/>
    <w:rsid w:val="606966F8"/>
    <w:rsid w:val="607386B4"/>
    <w:rsid w:val="60741883"/>
    <w:rsid w:val="6075355C"/>
    <w:rsid w:val="607615A9"/>
    <w:rsid w:val="607E5A78"/>
    <w:rsid w:val="6081ACD0"/>
    <w:rsid w:val="6085BDC7"/>
    <w:rsid w:val="608E86E4"/>
    <w:rsid w:val="60A0A47D"/>
    <w:rsid w:val="60AAB9E3"/>
    <w:rsid w:val="60B2B6A1"/>
    <w:rsid w:val="60B7F678"/>
    <w:rsid w:val="60BD01A6"/>
    <w:rsid w:val="60BD7E0B"/>
    <w:rsid w:val="60C50094"/>
    <w:rsid w:val="60C5F406"/>
    <w:rsid w:val="60C72B7A"/>
    <w:rsid w:val="60CC8E2F"/>
    <w:rsid w:val="60DEBA95"/>
    <w:rsid w:val="60E77173"/>
    <w:rsid w:val="60F2EABC"/>
    <w:rsid w:val="60F48778"/>
    <w:rsid w:val="60FCF49A"/>
    <w:rsid w:val="61000EFC"/>
    <w:rsid w:val="61049C28"/>
    <w:rsid w:val="61053DBD"/>
    <w:rsid w:val="6114A5E4"/>
    <w:rsid w:val="61153A58"/>
    <w:rsid w:val="611C52C9"/>
    <w:rsid w:val="611E91B3"/>
    <w:rsid w:val="6129C199"/>
    <w:rsid w:val="612AF250"/>
    <w:rsid w:val="613393F9"/>
    <w:rsid w:val="613505C1"/>
    <w:rsid w:val="613D6EBE"/>
    <w:rsid w:val="614D3319"/>
    <w:rsid w:val="6158C6A6"/>
    <w:rsid w:val="61619163"/>
    <w:rsid w:val="616225C4"/>
    <w:rsid w:val="6167A0C2"/>
    <w:rsid w:val="6168F06F"/>
    <w:rsid w:val="616FB880"/>
    <w:rsid w:val="61752CA4"/>
    <w:rsid w:val="617F658E"/>
    <w:rsid w:val="61953DAB"/>
    <w:rsid w:val="6195CF4A"/>
    <w:rsid w:val="619BF27B"/>
    <w:rsid w:val="619E52BA"/>
    <w:rsid w:val="61A20A87"/>
    <w:rsid w:val="61A6B127"/>
    <w:rsid w:val="61AC9BC5"/>
    <w:rsid w:val="61AE32C0"/>
    <w:rsid w:val="61B480FC"/>
    <w:rsid w:val="61B50088"/>
    <w:rsid w:val="61B8585C"/>
    <w:rsid w:val="61B8E91E"/>
    <w:rsid w:val="61C026D2"/>
    <w:rsid w:val="61C06F68"/>
    <w:rsid w:val="61C25524"/>
    <w:rsid w:val="61C70B2F"/>
    <w:rsid w:val="61C722B5"/>
    <w:rsid w:val="61D2DFE7"/>
    <w:rsid w:val="61D39E52"/>
    <w:rsid w:val="61D510D1"/>
    <w:rsid w:val="61DBAD7C"/>
    <w:rsid w:val="61DE1829"/>
    <w:rsid w:val="61DE36FD"/>
    <w:rsid w:val="61EA7695"/>
    <w:rsid w:val="61EB782D"/>
    <w:rsid w:val="61F50D72"/>
    <w:rsid w:val="61F5C1E3"/>
    <w:rsid w:val="61F618FB"/>
    <w:rsid w:val="61F99CD3"/>
    <w:rsid w:val="6202FA73"/>
    <w:rsid w:val="620892F8"/>
    <w:rsid w:val="621387C2"/>
    <w:rsid w:val="62169C0D"/>
    <w:rsid w:val="62239B28"/>
    <w:rsid w:val="62247AD6"/>
    <w:rsid w:val="622A6B02"/>
    <w:rsid w:val="622D0515"/>
    <w:rsid w:val="622E0F0F"/>
    <w:rsid w:val="6238B0FC"/>
    <w:rsid w:val="62420DB8"/>
    <w:rsid w:val="6260CFFB"/>
    <w:rsid w:val="6261CDC9"/>
    <w:rsid w:val="6264573F"/>
    <w:rsid w:val="6270073E"/>
    <w:rsid w:val="6273E8A8"/>
    <w:rsid w:val="62899A03"/>
    <w:rsid w:val="628A5CE9"/>
    <w:rsid w:val="629581CC"/>
    <w:rsid w:val="62989C89"/>
    <w:rsid w:val="62A86341"/>
    <w:rsid w:val="62A96856"/>
    <w:rsid w:val="62AD9509"/>
    <w:rsid w:val="62B0AD80"/>
    <w:rsid w:val="62B2190A"/>
    <w:rsid w:val="62BB890D"/>
    <w:rsid w:val="62C388E4"/>
    <w:rsid w:val="62CB3723"/>
    <w:rsid w:val="62D346B5"/>
    <w:rsid w:val="62DA3B41"/>
    <w:rsid w:val="62DDAD4C"/>
    <w:rsid w:val="62E227AB"/>
    <w:rsid w:val="62E54692"/>
    <w:rsid w:val="62E97B2A"/>
    <w:rsid w:val="62EEE7BA"/>
    <w:rsid w:val="62F1BC84"/>
    <w:rsid w:val="62F7426D"/>
    <w:rsid w:val="62F9C0E6"/>
    <w:rsid w:val="62FFF727"/>
    <w:rsid w:val="6305FA97"/>
    <w:rsid w:val="630725FB"/>
    <w:rsid w:val="631B841E"/>
    <w:rsid w:val="631CBF7B"/>
    <w:rsid w:val="631D6DFB"/>
    <w:rsid w:val="6322B660"/>
    <w:rsid w:val="6325B3B4"/>
    <w:rsid w:val="632ACEBF"/>
    <w:rsid w:val="632DA97B"/>
    <w:rsid w:val="634399AA"/>
    <w:rsid w:val="63550EE9"/>
    <w:rsid w:val="6357C109"/>
    <w:rsid w:val="6359D77F"/>
    <w:rsid w:val="635BCB6A"/>
    <w:rsid w:val="63628EE2"/>
    <w:rsid w:val="6368485D"/>
    <w:rsid w:val="636BECDD"/>
    <w:rsid w:val="6379A4BA"/>
    <w:rsid w:val="63817B84"/>
    <w:rsid w:val="6382F398"/>
    <w:rsid w:val="6396FF93"/>
    <w:rsid w:val="63A2A579"/>
    <w:rsid w:val="63A4F395"/>
    <w:rsid w:val="63A4FE77"/>
    <w:rsid w:val="63B07866"/>
    <w:rsid w:val="63B5CD39"/>
    <w:rsid w:val="63B77750"/>
    <w:rsid w:val="63B9CE0C"/>
    <w:rsid w:val="63BE413D"/>
    <w:rsid w:val="63BF7FE2"/>
    <w:rsid w:val="63CC96C9"/>
    <w:rsid w:val="63CF7C95"/>
    <w:rsid w:val="63E71851"/>
    <w:rsid w:val="63E9118D"/>
    <w:rsid w:val="63ED9DF8"/>
    <w:rsid w:val="63F92F2B"/>
    <w:rsid w:val="63FC10DA"/>
    <w:rsid w:val="63FCD00A"/>
    <w:rsid w:val="6404696B"/>
    <w:rsid w:val="6415A24B"/>
    <w:rsid w:val="6419C640"/>
    <w:rsid w:val="641D162D"/>
    <w:rsid w:val="642FF448"/>
    <w:rsid w:val="64317CCA"/>
    <w:rsid w:val="64375235"/>
    <w:rsid w:val="643AB274"/>
    <w:rsid w:val="644821B7"/>
    <w:rsid w:val="644C138B"/>
    <w:rsid w:val="64525E7E"/>
    <w:rsid w:val="645397B7"/>
    <w:rsid w:val="645C1BB7"/>
    <w:rsid w:val="645C4875"/>
    <w:rsid w:val="64773752"/>
    <w:rsid w:val="647B5568"/>
    <w:rsid w:val="647E6696"/>
    <w:rsid w:val="647E8C90"/>
    <w:rsid w:val="64852EB1"/>
    <w:rsid w:val="649379F9"/>
    <w:rsid w:val="64961E30"/>
    <w:rsid w:val="649C7266"/>
    <w:rsid w:val="64A59619"/>
    <w:rsid w:val="64A5BB4B"/>
    <w:rsid w:val="64A68102"/>
    <w:rsid w:val="64AF505C"/>
    <w:rsid w:val="64AF8B33"/>
    <w:rsid w:val="64B30820"/>
    <w:rsid w:val="64BCC872"/>
    <w:rsid w:val="64D0FC85"/>
    <w:rsid w:val="64D31EBF"/>
    <w:rsid w:val="64D60D3B"/>
    <w:rsid w:val="64D702F6"/>
    <w:rsid w:val="64D85068"/>
    <w:rsid w:val="64D99414"/>
    <w:rsid w:val="64DB9547"/>
    <w:rsid w:val="64DEA418"/>
    <w:rsid w:val="64E4B052"/>
    <w:rsid w:val="64E58FDD"/>
    <w:rsid w:val="64F73C58"/>
    <w:rsid w:val="64FCEDDB"/>
    <w:rsid w:val="6502940F"/>
    <w:rsid w:val="65065E09"/>
    <w:rsid w:val="650946B6"/>
    <w:rsid w:val="65099BAD"/>
    <w:rsid w:val="650FFC94"/>
    <w:rsid w:val="65110BA0"/>
    <w:rsid w:val="6511CCA7"/>
    <w:rsid w:val="65175874"/>
    <w:rsid w:val="6527E599"/>
    <w:rsid w:val="652E7AD8"/>
    <w:rsid w:val="652EB209"/>
    <w:rsid w:val="653BA32A"/>
    <w:rsid w:val="653E9909"/>
    <w:rsid w:val="65451483"/>
    <w:rsid w:val="65464099"/>
    <w:rsid w:val="65476CAB"/>
    <w:rsid w:val="654A4DAC"/>
    <w:rsid w:val="65516B56"/>
    <w:rsid w:val="6557FFB3"/>
    <w:rsid w:val="655A59A2"/>
    <w:rsid w:val="6562DEB4"/>
    <w:rsid w:val="65758642"/>
    <w:rsid w:val="657A37E2"/>
    <w:rsid w:val="657C1532"/>
    <w:rsid w:val="657D28C0"/>
    <w:rsid w:val="657F0C07"/>
    <w:rsid w:val="6581502D"/>
    <w:rsid w:val="658C7A51"/>
    <w:rsid w:val="6590F1EA"/>
    <w:rsid w:val="6593052E"/>
    <w:rsid w:val="659FA50F"/>
    <w:rsid w:val="65A1AC95"/>
    <w:rsid w:val="65A640F5"/>
    <w:rsid w:val="65A846CA"/>
    <w:rsid w:val="65ADBBD0"/>
    <w:rsid w:val="65B08D36"/>
    <w:rsid w:val="65B5DCD7"/>
    <w:rsid w:val="65B72FCF"/>
    <w:rsid w:val="65BD5B07"/>
    <w:rsid w:val="65C24516"/>
    <w:rsid w:val="65C8DC28"/>
    <w:rsid w:val="65C96D44"/>
    <w:rsid w:val="65CF35C3"/>
    <w:rsid w:val="65D14E90"/>
    <w:rsid w:val="65D3A6DF"/>
    <w:rsid w:val="65D6447C"/>
    <w:rsid w:val="65DBB15A"/>
    <w:rsid w:val="65DC4B8D"/>
    <w:rsid w:val="65E9C1D5"/>
    <w:rsid w:val="65F423DA"/>
    <w:rsid w:val="65F4631C"/>
    <w:rsid w:val="65FAD7CD"/>
    <w:rsid w:val="65FF30B0"/>
    <w:rsid w:val="660D38CE"/>
    <w:rsid w:val="6619D4D0"/>
    <w:rsid w:val="6622AA34"/>
    <w:rsid w:val="662E2EA6"/>
    <w:rsid w:val="6633C92D"/>
    <w:rsid w:val="6634F220"/>
    <w:rsid w:val="663BBB03"/>
    <w:rsid w:val="663EDB30"/>
    <w:rsid w:val="6647A55A"/>
    <w:rsid w:val="664D20AE"/>
    <w:rsid w:val="664EBF5B"/>
    <w:rsid w:val="66501456"/>
    <w:rsid w:val="66506DCE"/>
    <w:rsid w:val="6655258E"/>
    <w:rsid w:val="66599659"/>
    <w:rsid w:val="665D68BE"/>
    <w:rsid w:val="66713F96"/>
    <w:rsid w:val="66725ABB"/>
    <w:rsid w:val="6688F6EE"/>
    <w:rsid w:val="66912D6C"/>
    <w:rsid w:val="66A80475"/>
    <w:rsid w:val="66AA65AB"/>
    <w:rsid w:val="66AB101E"/>
    <w:rsid w:val="66AB6D23"/>
    <w:rsid w:val="66B32E74"/>
    <w:rsid w:val="66B39F7B"/>
    <w:rsid w:val="66B6045A"/>
    <w:rsid w:val="66BEC43F"/>
    <w:rsid w:val="66C7F6B0"/>
    <w:rsid w:val="66C9973E"/>
    <w:rsid w:val="66CD109B"/>
    <w:rsid w:val="66D4DF1C"/>
    <w:rsid w:val="66D6C8BF"/>
    <w:rsid w:val="66DA27C3"/>
    <w:rsid w:val="66DB04ED"/>
    <w:rsid w:val="66DDE1EE"/>
    <w:rsid w:val="66E15129"/>
    <w:rsid w:val="66E87E8A"/>
    <w:rsid w:val="66E8B713"/>
    <w:rsid w:val="66EDCBF2"/>
    <w:rsid w:val="67072F74"/>
    <w:rsid w:val="6710E8BB"/>
    <w:rsid w:val="6718AE0A"/>
    <w:rsid w:val="671B9162"/>
    <w:rsid w:val="671E7952"/>
    <w:rsid w:val="67224876"/>
    <w:rsid w:val="6722673F"/>
    <w:rsid w:val="6725E5A9"/>
    <w:rsid w:val="6726DAA6"/>
    <w:rsid w:val="6726F964"/>
    <w:rsid w:val="672961BB"/>
    <w:rsid w:val="672B3F46"/>
    <w:rsid w:val="6731750F"/>
    <w:rsid w:val="673749C4"/>
    <w:rsid w:val="673E14D0"/>
    <w:rsid w:val="673EC070"/>
    <w:rsid w:val="67432EA0"/>
    <w:rsid w:val="67451600"/>
    <w:rsid w:val="6746F6D5"/>
    <w:rsid w:val="674C805A"/>
    <w:rsid w:val="674E2175"/>
    <w:rsid w:val="67500C8C"/>
    <w:rsid w:val="6750A879"/>
    <w:rsid w:val="675816DC"/>
    <w:rsid w:val="67602747"/>
    <w:rsid w:val="6764E24F"/>
    <w:rsid w:val="6765C76B"/>
    <w:rsid w:val="676B9EB8"/>
    <w:rsid w:val="6770BCEB"/>
    <w:rsid w:val="6774C87B"/>
    <w:rsid w:val="6775092F"/>
    <w:rsid w:val="677988D9"/>
    <w:rsid w:val="67805863"/>
    <w:rsid w:val="678074C9"/>
    <w:rsid w:val="67840740"/>
    <w:rsid w:val="6785EEBA"/>
    <w:rsid w:val="67885D99"/>
    <w:rsid w:val="678C729E"/>
    <w:rsid w:val="679A8322"/>
    <w:rsid w:val="679AB8A3"/>
    <w:rsid w:val="67A03B08"/>
    <w:rsid w:val="67A3CFCC"/>
    <w:rsid w:val="67A47055"/>
    <w:rsid w:val="67A49C9C"/>
    <w:rsid w:val="67A4C3CE"/>
    <w:rsid w:val="67ADDE37"/>
    <w:rsid w:val="67B2ECBE"/>
    <w:rsid w:val="67B45C2E"/>
    <w:rsid w:val="67BF332C"/>
    <w:rsid w:val="67BFA4C4"/>
    <w:rsid w:val="67C315B1"/>
    <w:rsid w:val="67CBFA52"/>
    <w:rsid w:val="67CFACC4"/>
    <w:rsid w:val="67D0A3AA"/>
    <w:rsid w:val="67D260A6"/>
    <w:rsid w:val="67D69FC0"/>
    <w:rsid w:val="67D7A4AD"/>
    <w:rsid w:val="67DD8529"/>
    <w:rsid w:val="67DDA575"/>
    <w:rsid w:val="67DE9599"/>
    <w:rsid w:val="67DEEBF1"/>
    <w:rsid w:val="67E0E327"/>
    <w:rsid w:val="67E5B0AA"/>
    <w:rsid w:val="67E71C3B"/>
    <w:rsid w:val="67EEE486"/>
    <w:rsid w:val="67FEB95F"/>
    <w:rsid w:val="6815885F"/>
    <w:rsid w:val="68161FFE"/>
    <w:rsid w:val="68168640"/>
    <w:rsid w:val="68172C76"/>
    <w:rsid w:val="6817D3BC"/>
    <w:rsid w:val="6821504A"/>
    <w:rsid w:val="6822F732"/>
    <w:rsid w:val="682A78AE"/>
    <w:rsid w:val="682F80AA"/>
    <w:rsid w:val="68353899"/>
    <w:rsid w:val="683545A5"/>
    <w:rsid w:val="68377858"/>
    <w:rsid w:val="683EE7E3"/>
    <w:rsid w:val="6845671C"/>
    <w:rsid w:val="685905DB"/>
    <w:rsid w:val="685D139E"/>
    <w:rsid w:val="685FFAE0"/>
    <w:rsid w:val="6868C917"/>
    <w:rsid w:val="686E3756"/>
    <w:rsid w:val="68714EF7"/>
    <w:rsid w:val="687382B6"/>
    <w:rsid w:val="6877F864"/>
    <w:rsid w:val="687A87D6"/>
    <w:rsid w:val="687EA78B"/>
    <w:rsid w:val="6889A48F"/>
    <w:rsid w:val="68941F31"/>
    <w:rsid w:val="68941F7D"/>
    <w:rsid w:val="6897B27C"/>
    <w:rsid w:val="6897D03D"/>
    <w:rsid w:val="68A08825"/>
    <w:rsid w:val="68A1F5C7"/>
    <w:rsid w:val="68A4F7E4"/>
    <w:rsid w:val="68A55B09"/>
    <w:rsid w:val="68A56EC3"/>
    <w:rsid w:val="68AFFAE8"/>
    <w:rsid w:val="68B1D07E"/>
    <w:rsid w:val="68B4D822"/>
    <w:rsid w:val="68BAC012"/>
    <w:rsid w:val="68BAE78A"/>
    <w:rsid w:val="68CA3708"/>
    <w:rsid w:val="68CF166D"/>
    <w:rsid w:val="68D7C666"/>
    <w:rsid w:val="68DA251D"/>
    <w:rsid w:val="68E30166"/>
    <w:rsid w:val="68E8BED4"/>
    <w:rsid w:val="68EC6162"/>
    <w:rsid w:val="68EDC1B4"/>
    <w:rsid w:val="68F7142C"/>
    <w:rsid w:val="68F80208"/>
    <w:rsid w:val="68FA529C"/>
    <w:rsid w:val="6903D7E8"/>
    <w:rsid w:val="69081AB8"/>
    <w:rsid w:val="690A9AF2"/>
    <w:rsid w:val="690F770C"/>
    <w:rsid w:val="691495E0"/>
    <w:rsid w:val="69180E4C"/>
    <w:rsid w:val="691FD779"/>
    <w:rsid w:val="6920FCF9"/>
    <w:rsid w:val="6923C607"/>
    <w:rsid w:val="6924F945"/>
    <w:rsid w:val="692D574C"/>
    <w:rsid w:val="692F5F0F"/>
    <w:rsid w:val="6932674B"/>
    <w:rsid w:val="6935F9F9"/>
    <w:rsid w:val="693C8E5C"/>
    <w:rsid w:val="693E1D54"/>
    <w:rsid w:val="693E77FD"/>
    <w:rsid w:val="694437A8"/>
    <w:rsid w:val="694AD34F"/>
    <w:rsid w:val="6950CB2C"/>
    <w:rsid w:val="6951A201"/>
    <w:rsid w:val="6953CC6E"/>
    <w:rsid w:val="696E0227"/>
    <w:rsid w:val="6974FDD0"/>
    <w:rsid w:val="69774C78"/>
    <w:rsid w:val="697D184D"/>
    <w:rsid w:val="69816CE1"/>
    <w:rsid w:val="6984DB7B"/>
    <w:rsid w:val="69868F83"/>
    <w:rsid w:val="6990C1A4"/>
    <w:rsid w:val="69913F79"/>
    <w:rsid w:val="6993D7BF"/>
    <w:rsid w:val="6995AA90"/>
    <w:rsid w:val="699822A8"/>
    <w:rsid w:val="699A8CFF"/>
    <w:rsid w:val="69A7279C"/>
    <w:rsid w:val="69A963F9"/>
    <w:rsid w:val="69C3E1D7"/>
    <w:rsid w:val="69C8FC7B"/>
    <w:rsid w:val="69CE7541"/>
    <w:rsid w:val="69D343AB"/>
    <w:rsid w:val="69D78FDA"/>
    <w:rsid w:val="69DC6EB2"/>
    <w:rsid w:val="69E20B38"/>
    <w:rsid w:val="69F1B9DB"/>
    <w:rsid w:val="69FE1731"/>
    <w:rsid w:val="69FECB19"/>
    <w:rsid w:val="6A057E98"/>
    <w:rsid w:val="6A145C4B"/>
    <w:rsid w:val="6A15D8BB"/>
    <w:rsid w:val="6A1D330C"/>
    <w:rsid w:val="6A285981"/>
    <w:rsid w:val="6A38B259"/>
    <w:rsid w:val="6A3EAD01"/>
    <w:rsid w:val="6A3FB208"/>
    <w:rsid w:val="6A480EEC"/>
    <w:rsid w:val="6A497360"/>
    <w:rsid w:val="6A4BB8A5"/>
    <w:rsid w:val="6A4E48A4"/>
    <w:rsid w:val="6A4E64E4"/>
    <w:rsid w:val="6A4F6A1A"/>
    <w:rsid w:val="6A54B938"/>
    <w:rsid w:val="6A5BB7FC"/>
    <w:rsid w:val="6A5DD5BC"/>
    <w:rsid w:val="6A609A42"/>
    <w:rsid w:val="6A7513ED"/>
    <w:rsid w:val="6A7EA0A7"/>
    <w:rsid w:val="6A8514AC"/>
    <w:rsid w:val="6A86E184"/>
    <w:rsid w:val="6A88C11B"/>
    <w:rsid w:val="6A953E30"/>
    <w:rsid w:val="6A98A80C"/>
    <w:rsid w:val="6AA04CB8"/>
    <w:rsid w:val="6AA6010D"/>
    <w:rsid w:val="6AA8B37B"/>
    <w:rsid w:val="6AACD043"/>
    <w:rsid w:val="6ABAE195"/>
    <w:rsid w:val="6ABFA2B2"/>
    <w:rsid w:val="6AC932AD"/>
    <w:rsid w:val="6ACA79E4"/>
    <w:rsid w:val="6AD3A00A"/>
    <w:rsid w:val="6ADA0C99"/>
    <w:rsid w:val="6ADF324C"/>
    <w:rsid w:val="6AE6A6F6"/>
    <w:rsid w:val="6AE6FBD6"/>
    <w:rsid w:val="6AFBCE7D"/>
    <w:rsid w:val="6B07C332"/>
    <w:rsid w:val="6B08FE57"/>
    <w:rsid w:val="6B0EC5E0"/>
    <w:rsid w:val="6B192918"/>
    <w:rsid w:val="6B1CE9B3"/>
    <w:rsid w:val="6B273E78"/>
    <w:rsid w:val="6B2E74B9"/>
    <w:rsid w:val="6B3998B9"/>
    <w:rsid w:val="6B40A162"/>
    <w:rsid w:val="6B52698A"/>
    <w:rsid w:val="6B5774AF"/>
    <w:rsid w:val="6B6395D4"/>
    <w:rsid w:val="6B6465F2"/>
    <w:rsid w:val="6B66B37B"/>
    <w:rsid w:val="6B69BBC5"/>
    <w:rsid w:val="6B6D387C"/>
    <w:rsid w:val="6B6FD67E"/>
    <w:rsid w:val="6B721B26"/>
    <w:rsid w:val="6B72577D"/>
    <w:rsid w:val="6B7BBEE3"/>
    <w:rsid w:val="6B808669"/>
    <w:rsid w:val="6B814ACC"/>
    <w:rsid w:val="6B842F13"/>
    <w:rsid w:val="6B845CB7"/>
    <w:rsid w:val="6B87DB44"/>
    <w:rsid w:val="6B929EE8"/>
    <w:rsid w:val="6B978C5F"/>
    <w:rsid w:val="6B9E1066"/>
    <w:rsid w:val="6BA00737"/>
    <w:rsid w:val="6BAA1E59"/>
    <w:rsid w:val="6BAB2DB6"/>
    <w:rsid w:val="6BADDBDE"/>
    <w:rsid w:val="6BB6F122"/>
    <w:rsid w:val="6BBB0530"/>
    <w:rsid w:val="6BC3EC2B"/>
    <w:rsid w:val="6BCABFD1"/>
    <w:rsid w:val="6BCB2924"/>
    <w:rsid w:val="6BD07518"/>
    <w:rsid w:val="6BDA4A66"/>
    <w:rsid w:val="6BDD8B62"/>
    <w:rsid w:val="6BDEC055"/>
    <w:rsid w:val="6BE78474"/>
    <w:rsid w:val="6BEAE6F0"/>
    <w:rsid w:val="6BF369EA"/>
    <w:rsid w:val="6BF53240"/>
    <w:rsid w:val="6BF7497B"/>
    <w:rsid w:val="6BFE7F80"/>
    <w:rsid w:val="6BFF5D35"/>
    <w:rsid w:val="6C048471"/>
    <w:rsid w:val="6C068D65"/>
    <w:rsid w:val="6C0C506B"/>
    <w:rsid w:val="6C0E55FA"/>
    <w:rsid w:val="6C10222C"/>
    <w:rsid w:val="6C1E6CD6"/>
    <w:rsid w:val="6C1E8D3A"/>
    <w:rsid w:val="6C1F7EE8"/>
    <w:rsid w:val="6C26BE18"/>
    <w:rsid w:val="6C2858DE"/>
    <w:rsid w:val="6C2BDA8B"/>
    <w:rsid w:val="6C3DBB7D"/>
    <w:rsid w:val="6C3F26D7"/>
    <w:rsid w:val="6C40B6CF"/>
    <w:rsid w:val="6C418492"/>
    <w:rsid w:val="6C449687"/>
    <w:rsid w:val="6C49EB95"/>
    <w:rsid w:val="6C4EF27D"/>
    <w:rsid w:val="6C51ABF7"/>
    <w:rsid w:val="6C5664BD"/>
    <w:rsid w:val="6C579F3D"/>
    <w:rsid w:val="6C5A844E"/>
    <w:rsid w:val="6C69D6C6"/>
    <w:rsid w:val="6C7A56BD"/>
    <w:rsid w:val="6C8110D8"/>
    <w:rsid w:val="6C83371F"/>
    <w:rsid w:val="6C8619FD"/>
    <w:rsid w:val="6C86EEB0"/>
    <w:rsid w:val="6C88F761"/>
    <w:rsid w:val="6C897581"/>
    <w:rsid w:val="6C89A8FD"/>
    <w:rsid w:val="6C8E6811"/>
    <w:rsid w:val="6C8EA63C"/>
    <w:rsid w:val="6C942E51"/>
    <w:rsid w:val="6C96A031"/>
    <w:rsid w:val="6C970228"/>
    <w:rsid w:val="6C9CD245"/>
    <w:rsid w:val="6C9E8700"/>
    <w:rsid w:val="6C9F1240"/>
    <w:rsid w:val="6CA082CA"/>
    <w:rsid w:val="6CA5041C"/>
    <w:rsid w:val="6CA5E85F"/>
    <w:rsid w:val="6CACD605"/>
    <w:rsid w:val="6CAF40D9"/>
    <w:rsid w:val="6CBB913E"/>
    <w:rsid w:val="6CBFD4FE"/>
    <w:rsid w:val="6CD09802"/>
    <w:rsid w:val="6CD65D9E"/>
    <w:rsid w:val="6CD678C0"/>
    <w:rsid w:val="6CD6D391"/>
    <w:rsid w:val="6CD8240C"/>
    <w:rsid w:val="6CE9C010"/>
    <w:rsid w:val="6CED78E9"/>
    <w:rsid w:val="6CEE4B4B"/>
    <w:rsid w:val="6CF22D4C"/>
    <w:rsid w:val="6CFE449B"/>
    <w:rsid w:val="6CFE9FF8"/>
    <w:rsid w:val="6D0A53A2"/>
    <w:rsid w:val="6D0B4F0E"/>
    <w:rsid w:val="6D0CF22C"/>
    <w:rsid w:val="6D103557"/>
    <w:rsid w:val="6D10B32A"/>
    <w:rsid w:val="6D1324CA"/>
    <w:rsid w:val="6D14A192"/>
    <w:rsid w:val="6D1744FE"/>
    <w:rsid w:val="6D24E7A6"/>
    <w:rsid w:val="6D2BEBC1"/>
    <w:rsid w:val="6D2E5513"/>
    <w:rsid w:val="6D31223D"/>
    <w:rsid w:val="6D318B35"/>
    <w:rsid w:val="6D31F913"/>
    <w:rsid w:val="6D374FA5"/>
    <w:rsid w:val="6D38E2F5"/>
    <w:rsid w:val="6D3A021C"/>
    <w:rsid w:val="6D43A9E0"/>
    <w:rsid w:val="6D43F4B9"/>
    <w:rsid w:val="6D448B27"/>
    <w:rsid w:val="6D44F518"/>
    <w:rsid w:val="6D50F605"/>
    <w:rsid w:val="6D598F47"/>
    <w:rsid w:val="6D6993A8"/>
    <w:rsid w:val="6D71287B"/>
    <w:rsid w:val="6D74A02E"/>
    <w:rsid w:val="6D79DB94"/>
    <w:rsid w:val="6D7E080B"/>
    <w:rsid w:val="6D88B696"/>
    <w:rsid w:val="6D8F21E6"/>
    <w:rsid w:val="6D93BEF7"/>
    <w:rsid w:val="6D974353"/>
    <w:rsid w:val="6D9BC959"/>
    <w:rsid w:val="6D9E3E2A"/>
    <w:rsid w:val="6DA0D6C8"/>
    <w:rsid w:val="6DA32971"/>
    <w:rsid w:val="6DA3349A"/>
    <w:rsid w:val="6DB63676"/>
    <w:rsid w:val="6DB92F4D"/>
    <w:rsid w:val="6DB9632B"/>
    <w:rsid w:val="6DB99560"/>
    <w:rsid w:val="6DBAF04D"/>
    <w:rsid w:val="6DBF27E7"/>
    <w:rsid w:val="6DC25338"/>
    <w:rsid w:val="6DD1D21F"/>
    <w:rsid w:val="6DD92E29"/>
    <w:rsid w:val="6DD9A1CD"/>
    <w:rsid w:val="6DDCD7D5"/>
    <w:rsid w:val="6DDF1CCF"/>
    <w:rsid w:val="6DE4D408"/>
    <w:rsid w:val="6DEDC848"/>
    <w:rsid w:val="6DF62439"/>
    <w:rsid w:val="6DF66CED"/>
    <w:rsid w:val="6DFE9EE1"/>
    <w:rsid w:val="6E0F7353"/>
    <w:rsid w:val="6E20D9A0"/>
    <w:rsid w:val="6E20FF12"/>
    <w:rsid w:val="6E21B00A"/>
    <w:rsid w:val="6E23FB8A"/>
    <w:rsid w:val="6E25132E"/>
    <w:rsid w:val="6E2D7745"/>
    <w:rsid w:val="6E35ACB7"/>
    <w:rsid w:val="6E41F9B2"/>
    <w:rsid w:val="6E45A4B2"/>
    <w:rsid w:val="6E4B6F4A"/>
    <w:rsid w:val="6E4C5E1A"/>
    <w:rsid w:val="6E5197D7"/>
    <w:rsid w:val="6E53596A"/>
    <w:rsid w:val="6E5A65FC"/>
    <w:rsid w:val="6E64217D"/>
    <w:rsid w:val="6E64F79E"/>
    <w:rsid w:val="6E692F11"/>
    <w:rsid w:val="6E7B63E8"/>
    <w:rsid w:val="6E7C9A00"/>
    <w:rsid w:val="6E80119B"/>
    <w:rsid w:val="6E840E5E"/>
    <w:rsid w:val="6E84E48C"/>
    <w:rsid w:val="6E88A9A5"/>
    <w:rsid w:val="6E89744A"/>
    <w:rsid w:val="6E8988D0"/>
    <w:rsid w:val="6E8C09FD"/>
    <w:rsid w:val="6E8E2454"/>
    <w:rsid w:val="6E8F9D35"/>
    <w:rsid w:val="6EA42411"/>
    <w:rsid w:val="6EA83A86"/>
    <w:rsid w:val="6EAB5B4F"/>
    <w:rsid w:val="6EAE4345"/>
    <w:rsid w:val="6EAE8C34"/>
    <w:rsid w:val="6EB3207A"/>
    <w:rsid w:val="6EBAA368"/>
    <w:rsid w:val="6EBDAA8F"/>
    <w:rsid w:val="6EBF1FE6"/>
    <w:rsid w:val="6EC3B9C8"/>
    <w:rsid w:val="6EC5B349"/>
    <w:rsid w:val="6EC84B64"/>
    <w:rsid w:val="6ED3BCAE"/>
    <w:rsid w:val="6ED5B3E3"/>
    <w:rsid w:val="6ED813D4"/>
    <w:rsid w:val="6EDB9C90"/>
    <w:rsid w:val="6EE2330A"/>
    <w:rsid w:val="6EE913FE"/>
    <w:rsid w:val="6EEF4FD4"/>
    <w:rsid w:val="6EFC5D20"/>
    <w:rsid w:val="6EFDECCD"/>
    <w:rsid w:val="6F009351"/>
    <w:rsid w:val="6F0263F3"/>
    <w:rsid w:val="6F07C01B"/>
    <w:rsid w:val="6F0ABC53"/>
    <w:rsid w:val="6F0D7524"/>
    <w:rsid w:val="6F1A83CC"/>
    <w:rsid w:val="6F1E53BB"/>
    <w:rsid w:val="6F2971B6"/>
    <w:rsid w:val="6F2A214B"/>
    <w:rsid w:val="6F2C3310"/>
    <w:rsid w:val="6F2F6BA8"/>
    <w:rsid w:val="6F339C76"/>
    <w:rsid w:val="6F3D4ADA"/>
    <w:rsid w:val="6F467928"/>
    <w:rsid w:val="6F4ADE3E"/>
    <w:rsid w:val="6F50C0C2"/>
    <w:rsid w:val="6F5633BF"/>
    <w:rsid w:val="6F5D7108"/>
    <w:rsid w:val="6F682243"/>
    <w:rsid w:val="6F71448E"/>
    <w:rsid w:val="6F8583B0"/>
    <w:rsid w:val="6F86B7A5"/>
    <w:rsid w:val="6F8A9C80"/>
    <w:rsid w:val="6F90ADDF"/>
    <w:rsid w:val="6F9A9552"/>
    <w:rsid w:val="6F9E8122"/>
    <w:rsid w:val="6FA8941F"/>
    <w:rsid w:val="6FA8C9F3"/>
    <w:rsid w:val="6FA94C0E"/>
    <w:rsid w:val="6FABB020"/>
    <w:rsid w:val="6FAC1DB7"/>
    <w:rsid w:val="6FB0BFB7"/>
    <w:rsid w:val="6FB3276D"/>
    <w:rsid w:val="6FB56E29"/>
    <w:rsid w:val="6FCA1AFE"/>
    <w:rsid w:val="6FD1BC2A"/>
    <w:rsid w:val="6FD48710"/>
    <w:rsid w:val="6FDF9CDC"/>
    <w:rsid w:val="6FE4A6B7"/>
    <w:rsid w:val="6FE7583D"/>
    <w:rsid w:val="6FE9E715"/>
    <w:rsid w:val="6FEB8801"/>
    <w:rsid w:val="6FFD66B0"/>
    <w:rsid w:val="7003065A"/>
    <w:rsid w:val="7014CE9A"/>
    <w:rsid w:val="7016124D"/>
    <w:rsid w:val="7020E12D"/>
    <w:rsid w:val="70212BDA"/>
    <w:rsid w:val="702DC4A5"/>
    <w:rsid w:val="703066D4"/>
    <w:rsid w:val="703DF50D"/>
    <w:rsid w:val="703ECE74"/>
    <w:rsid w:val="7045FED2"/>
    <w:rsid w:val="7048C00C"/>
    <w:rsid w:val="7048D95C"/>
    <w:rsid w:val="704A502D"/>
    <w:rsid w:val="704B6188"/>
    <w:rsid w:val="70545B1F"/>
    <w:rsid w:val="7057C982"/>
    <w:rsid w:val="7059589C"/>
    <w:rsid w:val="7060570F"/>
    <w:rsid w:val="70623DDD"/>
    <w:rsid w:val="7062F0C8"/>
    <w:rsid w:val="706D33B6"/>
    <w:rsid w:val="7076A33D"/>
    <w:rsid w:val="7077070B"/>
    <w:rsid w:val="7078D090"/>
    <w:rsid w:val="7083F0C8"/>
    <w:rsid w:val="70928332"/>
    <w:rsid w:val="70976026"/>
    <w:rsid w:val="709D57EC"/>
    <w:rsid w:val="709F6710"/>
    <w:rsid w:val="70A1189E"/>
    <w:rsid w:val="70A118AA"/>
    <w:rsid w:val="70A5001D"/>
    <w:rsid w:val="70B01A89"/>
    <w:rsid w:val="70B44B5A"/>
    <w:rsid w:val="70BC2655"/>
    <w:rsid w:val="70C2730A"/>
    <w:rsid w:val="70C401A6"/>
    <w:rsid w:val="70D16783"/>
    <w:rsid w:val="70D5A171"/>
    <w:rsid w:val="70D9D7F4"/>
    <w:rsid w:val="70E51EFD"/>
    <w:rsid w:val="71014299"/>
    <w:rsid w:val="7102B8F9"/>
    <w:rsid w:val="710404DC"/>
    <w:rsid w:val="710848DA"/>
    <w:rsid w:val="710FD5F1"/>
    <w:rsid w:val="7111598B"/>
    <w:rsid w:val="71177F6E"/>
    <w:rsid w:val="711E367D"/>
    <w:rsid w:val="711F68C7"/>
    <w:rsid w:val="712341B0"/>
    <w:rsid w:val="712CE8AD"/>
    <w:rsid w:val="71314452"/>
    <w:rsid w:val="7133885D"/>
    <w:rsid w:val="71380E0F"/>
    <w:rsid w:val="71414F67"/>
    <w:rsid w:val="71420651"/>
    <w:rsid w:val="714B4B39"/>
    <w:rsid w:val="71542046"/>
    <w:rsid w:val="71553EE6"/>
    <w:rsid w:val="7158DDB1"/>
    <w:rsid w:val="715BC29C"/>
    <w:rsid w:val="715F1EEB"/>
    <w:rsid w:val="716281A7"/>
    <w:rsid w:val="7168437C"/>
    <w:rsid w:val="716CCA32"/>
    <w:rsid w:val="7173D676"/>
    <w:rsid w:val="7177CA02"/>
    <w:rsid w:val="717E01D4"/>
    <w:rsid w:val="718DE15A"/>
    <w:rsid w:val="719137AA"/>
    <w:rsid w:val="719C202A"/>
    <w:rsid w:val="719D561C"/>
    <w:rsid w:val="71A35CE7"/>
    <w:rsid w:val="71A5840B"/>
    <w:rsid w:val="71B09E80"/>
    <w:rsid w:val="71B86D98"/>
    <w:rsid w:val="71BAAC68"/>
    <w:rsid w:val="71C047E5"/>
    <w:rsid w:val="71CBB2EF"/>
    <w:rsid w:val="71D3CBB3"/>
    <w:rsid w:val="71D4E4E8"/>
    <w:rsid w:val="71D61E74"/>
    <w:rsid w:val="71E02519"/>
    <w:rsid w:val="71E2AB2F"/>
    <w:rsid w:val="71E35EC3"/>
    <w:rsid w:val="71EE5048"/>
    <w:rsid w:val="71EFC5F2"/>
    <w:rsid w:val="71F2992A"/>
    <w:rsid w:val="71F5F17C"/>
    <w:rsid w:val="71F6A61B"/>
    <w:rsid w:val="71F9601C"/>
    <w:rsid w:val="71FBCD03"/>
    <w:rsid w:val="71FEF03E"/>
    <w:rsid w:val="7201F38C"/>
    <w:rsid w:val="720B1E34"/>
    <w:rsid w:val="720CBBF5"/>
    <w:rsid w:val="72147693"/>
    <w:rsid w:val="7216BE32"/>
    <w:rsid w:val="7218D522"/>
    <w:rsid w:val="721D8715"/>
    <w:rsid w:val="721F668C"/>
    <w:rsid w:val="72295132"/>
    <w:rsid w:val="722A29B5"/>
    <w:rsid w:val="722B78B0"/>
    <w:rsid w:val="722DCFDE"/>
    <w:rsid w:val="723109F8"/>
    <w:rsid w:val="7233B8F4"/>
    <w:rsid w:val="72371008"/>
    <w:rsid w:val="723FFAAC"/>
    <w:rsid w:val="72457659"/>
    <w:rsid w:val="7255157E"/>
    <w:rsid w:val="72588397"/>
    <w:rsid w:val="725D3C89"/>
    <w:rsid w:val="725FA361"/>
    <w:rsid w:val="72621F94"/>
    <w:rsid w:val="72685176"/>
    <w:rsid w:val="726949AD"/>
    <w:rsid w:val="726F9A0F"/>
    <w:rsid w:val="72733EE4"/>
    <w:rsid w:val="72754ECC"/>
    <w:rsid w:val="727595C9"/>
    <w:rsid w:val="72760418"/>
    <w:rsid w:val="727D0E18"/>
    <w:rsid w:val="7288717B"/>
    <w:rsid w:val="72911A4D"/>
    <w:rsid w:val="7296C5CF"/>
    <w:rsid w:val="7296EE80"/>
    <w:rsid w:val="7298365A"/>
    <w:rsid w:val="72AF6FE1"/>
    <w:rsid w:val="72B629C5"/>
    <w:rsid w:val="72BD04A8"/>
    <w:rsid w:val="72BFD911"/>
    <w:rsid w:val="72C056CC"/>
    <w:rsid w:val="72D5DA16"/>
    <w:rsid w:val="72D85CCA"/>
    <w:rsid w:val="72E1E436"/>
    <w:rsid w:val="72E475CF"/>
    <w:rsid w:val="72E4BDF8"/>
    <w:rsid w:val="72E77C1C"/>
    <w:rsid w:val="72EA812E"/>
    <w:rsid w:val="72FA8B53"/>
    <w:rsid w:val="72FABC76"/>
    <w:rsid w:val="72FEBA08"/>
    <w:rsid w:val="73016F9E"/>
    <w:rsid w:val="730A7FA4"/>
    <w:rsid w:val="730ED8AB"/>
    <w:rsid w:val="7311FCEE"/>
    <w:rsid w:val="73149285"/>
    <w:rsid w:val="73181B09"/>
    <w:rsid w:val="73189C04"/>
    <w:rsid w:val="731CA5C4"/>
    <w:rsid w:val="7321F2CE"/>
    <w:rsid w:val="73266AEC"/>
    <w:rsid w:val="732D0D22"/>
    <w:rsid w:val="732E9F1D"/>
    <w:rsid w:val="73349CF9"/>
    <w:rsid w:val="7334CF95"/>
    <w:rsid w:val="7339C4A0"/>
    <w:rsid w:val="733FB17F"/>
    <w:rsid w:val="733FE008"/>
    <w:rsid w:val="73400481"/>
    <w:rsid w:val="734B5C68"/>
    <w:rsid w:val="734BC053"/>
    <w:rsid w:val="73551597"/>
    <w:rsid w:val="735A52BB"/>
    <w:rsid w:val="735EFE6A"/>
    <w:rsid w:val="736FE79C"/>
    <w:rsid w:val="73799EDD"/>
    <w:rsid w:val="737B6EF9"/>
    <w:rsid w:val="737F6FC7"/>
    <w:rsid w:val="7383ADC3"/>
    <w:rsid w:val="7387E8D6"/>
    <w:rsid w:val="738B4945"/>
    <w:rsid w:val="739A54E0"/>
    <w:rsid w:val="739B3FE3"/>
    <w:rsid w:val="739D2955"/>
    <w:rsid w:val="739D9695"/>
    <w:rsid w:val="73A0F7E2"/>
    <w:rsid w:val="73B15D5F"/>
    <w:rsid w:val="73B26EA0"/>
    <w:rsid w:val="73B450CF"/>
    <w:rsid w:val="73B90930"/>
    <w:rsid w:val="73BA9F8E"/>
    <w:rsid w:val="73BB7002"/>
    <w:rsid w:val="73C9B76E"/>
    <w:rsid w:val="73CA526D"/>
    <w:rsid w:val="73D35431"/>
    <w:rsid w:val="73D852BF"/>
    <w:rsid w:val="73E1F44D"/>
    <w:rsid w:val="73E34F25"/>
    <w:rsid w:val="73E99541"/>
    <w:rsid w:val="73F4398F"/>
    <w:rsid w:val="73F88293"/>
    <w:rsid w:val="73FB4553"/>
    <w:rsid w:val="7401A91B"/>
    <w:rsid w:val="7402994E"/>
    <w:rsid w:val="740422ED"/>
    <w:rsid w:val="7404D20F"/>
    <w:rsid w:val="740A669C"/>
    <w:rsid w:val="740AD792"/>
    <w:rsid w:val="740C9952"/>
    <w:rsid w:val="74115698"/>
    <w:rsid w:val="741EA9BD"/>
    <w:rsid w:val="742A7CFC"/>
    <w:rsid w:val="742C4893"/>
    <w:rsid w:val="743751D8"/>
    <w:rsid w:val="743AAEE5"/>
    <w:rsid w:val="7441E3A1"/>
    <w:rsid w:val="7445A6CD"/>
    <w:rsid w:val="7447394B"/>
    <w:rsid w:val="7448875C"/>
    <w:rsid w:val="7455DB46"/>
    <w:rsid w:val="7455E43D"/>
    <w:rsid w:val="74600DBB"/>
    <w:rsid w:val="747B52D0"/>
    <w:rsid w:val="7484424C"/>
    <w:rsid w:val="74899B74"/>
    <w:rsid w:val="748C557D"/>
    <w:rsid w:val="74979FDB"/>
    <w:rsid w:val="7499E9C5"/>
    <w:rsid w:val="749A51EF"/>
    <w:rsid w:val="749D21BD"/>
    <w:rsid w:val="74A360A8"/>
    <w:rsid w:val="74A68F0C"/>
    <w:rsid w:val="74ABE1D4"/>
    <w:rsid w:val="74AE7845"/>
    <w:rsid w:val="74BD6DFF"/>
    <w:rsid w:val="74BD80AA"/>
    <w:rsid w:val="74CB9C71"/>
    <w:rsid w:val="74D650AA"/>
    <w:rsid w:val="74E04E46"/>
    <w:rsid w:val="74E205A2"/>
    <w:rsid w:val="74E8D9A1"/>
    <w:rsid w:val="74EA3495"/>
    <w:rsid w:val="74ECFA94"/>
    <w:rsid w:val="74F0E78A"/>
    <w:rsid w:val="74F17694"/>
    <w:rsid w:val="74F24163"/>
    <w:rsid w:val="74F2FAF7"/>
    <w:rsid w:val="74F7D4B5"/>
    <w:rsid w:val="74F91949"/>
    <w:rsid w:val="74FB1958"/>
    <w:rsid w:val="74FB7E81"/>
    <w:rsid w:val="75066E72"/>
    <w:rsid w:val="750988EA"/>
    <w:rsid w:val="750CA8F3"/>
    <w:rsid w:val="75132EB5"/>
    <w:rsid w:val="75170057"/>
    <w:rsid w:val="751C60DB"/>
    <w:rsid w:val="751D2FDE"/>
    <w:rsid w:val="751E1C05"/>
    <w:rsid w:val="752E332E"/>
    <w:rsid w:val="752E8D50"/>
    <w:rsid w:val="753B91DB"/>
    <w:rsid w:val="753C0C59"/>
    <w:rsid w:val="753CEA5A"/>
    <w:rsid w:val="754CCCE3"/>
    <w:rsid w:val="7550DCD7"/>
    <w:rsid w:val="7552A012"/>
    <w:rsid w:val="7553BC03"/>
    <w:rsid w:val="7559B736"/>
    <w:rsid w:val="755DE602"/>
    <w:rsid w:val="755F1CB6"/>
    <w:rsid w:val="75669742"/>
    <w:rsid w:val="75698840"/>
    <w:rsid w:val="756B54FC"/>
    <w:rsid w:val="7570F45B"/>
    <w:rsid w:val="7587BCA8"/>
    <w:rsid w:val="7587E17B"/>
    <w:rsid w:val="7588A8D4"/>
    <w:rsid w:val="758AD84F"/>
    <w:rsid w:val="758FD84B"/>
    <w:rsid w:val="75937707"/>
    <w:rsid w:val="7596DE17"/>
    <w:rsid w:val="75A51E8A"/>
    <w:rsid w:val="75A9023E"/>
    <w:rsid w:val="75AFACEE"/>
    <w:rsid w:val="75B7396D"/>
    <w:rsid w:val="75B7AEE6"/>
    <w:rsid w:val="75BAA601"/>
    <w:rsid w:val="75BD3606"/>
    <w:rsid w:val="75C49E1E"/>
    <w:rsid w:val="75CFBC6F"/>
    <w:rsid w:val="75D6A352"/>
    <w:rsid w:val="75D7361F"/>
    <w:rsid w:val="75D77F5B"/>
    <w:rsid w:val="75D7EAD5"/>
    <w:rsid w:val="75DABDCB"/>
    <w:rsid w:val="75DB8EBF"/>
    <w:rsid w:val="75DCDF8E"/>
    <w:rsid w:val="75DE1B4E"/>
    <w:rsid w:val="75DE31AD"/>
    <w:rsid w:val="75EEC41C"/>
    <w:rsid w:val="75F1D475"/>
    <w:rsid w:val="75F8A2C9"/>
    <w:rsid w:val="75F90E78"/>
    <w:rsid w:val="75FA681D"/>
    <w:rsid w:val="7600E704"/>
    <w:rsid w:val="7604D8DF"/>
    <w:rsid w:val="760638C9"/>
    <w:rsid w:val="760AE15E"/>
    <w:rsid w:val="760C16E8"/>
    <w:rsid w:val="760ED7C5"/>
    <w:rsid w:val="76139995"/>
    <w:rsid w:val="7614537C"/>
    <w:rsid w:val="7614A1CA"/>
    <w:rsid w:val="761A78E7"/>
    <w:rsid w:val="761BF6FE"/>
    <w:rsid w:val="7627FDAE"/>
    <w:rsid w:val="762B651F"/>
    <w:rsid w:val="762F7429"/>
    <w:rsid w:val="763124A6"/>
    <w:rsid w:val="763386FF"/>
    <w:rsid w:val="763A8A7D"/>
    <w:rsid w:val="763DBDAB"/>
    <w:rsid w:val="764027D0"/>
    <w:rsid w:val="76453AB4"/>
    <w:rsid w:val="76485992"/>
    <w:rsid w:val="7656F67E"/>
    <w:rsid w:val="76571C71"/>
    <w:rsid w:val="765C8189"/>
    <w:rsid w:val="7660098A"/>
    <w:rsid w:val="766116B5"/>
    <w:rsid w:val="76652398"/>
    <w:rsid w:val="7669ABB2"/>
    <w:rsid w:val="7672B0BA"/>
    <w:rsid w:val="767785AC"/>
    <w:rsid w:val="7678776E"/>
    <w:rsid w:val="767ED4C7"/>
    <w:rsid w:val="767ED78C"/>
    <w:rsid w:val="7689552A"/>
    <w:rsid w:val="768A6837"/>
    <w:rsid w:val="768B65B3"/>
    <w:rsid w:val="7691BF2B"/>
    <w:rsid w:val="7696F904"/>
    <w:rsid w:val="76A0BF53"/>
    <w:rsid w:val="76A3606F"/>
    <w:rsid w:val="76AD507C"/>
    <w:rsid w:val="76CED777"/>
    <w:rsid w:val="76D26D86"/>
    <w:rsid w:val="76DA0B61"/>
    <w:rsid w:val="76E53BE8"/>
    <w:rsid w:val="76E86566"/>
    <w:rsid w:val="76EEB1A6"/>
    <w:rsid w:val="76F119E9"/>
    <w:rsid w:val="76F36792"/>
    <w:rsid w:val="76F63648"/>
    <w:rsid w:val="76F71DAB"/>
    <w:rsid w:val="76FAE846"/>
    <w:rsid w:val="76FC4930"/>
    <w:rsid w:val="76FE5BAA"/>
    <w:rsid w:val="77024191"/>
    <w:rsid w:val="77048F55"/>
    <w:rsid w:val="7715BC3A"/>
    <w:rsid w:val="77189CED"/>
    <w:rsid w:val="772034EC"/>
    <w:rsid w:val="7725658D"/>
    <w:rsid w:val="77257A15"/>
    <w:rsid w:val="7729DA71"/>
    <w:rsid w:val="772D3BA5"/>
    <w:rsid w:val="772E7E6B"/>
    <w:rsid w:val="77310929"/>
    <w:rsid w:val="7740A5A1"/>
    <w:rsid w:val="7742894E"/>
    <w:rsid w:val="7744A624"/>
    <w:rsid w:val="77471112"/>
    <w:rsid w:val="774FA257"/>
    <w:rsid w:val="77556BFC"/>
    <w:rsid w:val="775B4CEA"/>
    <w:rsid w:val="7765261A"/>
    <w:rsid w:val="77665F32"/>
    <w:rsid w:val="776FA27E"/>
    <w:rsid w:val="7776113D"/>
    <w:rsid w:val="777C40E7"/>
    <w:rsid w:val="7782308C"/>
    <w:rsid w:val="778430A8"/>
    <w:rsid w:val="77876DD6"/>
    <w:rsid w:val="7787F792"/>
    <w:rsid w:val="778806FA"/>
    <w:rsid w:val="778D61A4"/>
    <w:rsid w:val="779253F5"/>
    <w:rsid w:val="7793412D"/>
    <w:rsid w:val="77A28EAC"/>
    <w:rsid w:val="77ABB217"/>
    <w:rsid w:val="77ACBC2C"/>
    <w:rsid w:val="77B6E18A"/>
    <w:rsid w:val="77B87204"/>
    <w:rsid w:val="77B9D27E"/>
    <w:rsid w:val="77BFA790"/>
    <w:rsid w:val="77C89698"/>
    <w:rsid w:val="77C9E126"/>
    <w:rsid w:val="77D05F6D"/>
    <w:rsid w:val="77D4D4AC"/>
    <w:rsid w:val="77DBA590"/>
    <w:rsid w:val="77E185A1"/>
    <w:rsid w:val="77E7B1D4"/>
    <w:rsid w:val="77EE2948"/>
    <w:rsid w:val="77FCDAD8"/>
    <w:rsid w:val="78041525"/>
    <w:rsid w:val="78054ABD"/>
    <w:rsid w:val="780F0094"/>
    <w:rsid w:val="780F27D9"/>
    <w:rsid w:val="781C7679"/>
    <w:rsid w:val="7828FDD4"/>
    <w:rsid w:val="782A6478"/>
    <w:rsid w:val="782BF61D"/>
    <w:rsid w:val="782D154D"/>
    <w:rsid w:val="7834E545"/>
    <w:rsid w:val="7835109F"/>
    <w:rsid w:val="7838B0E0"/>
    <w:rsid w:val="783C9A4B"/>
    <w:rsid w:val="78419FEC"/>
    <w:rsid w:val="7841A34C"/>
    <w:rsid w:val="7843F5CD"/>
    <w:rsid w:val="7844981D"/>
    <w:rsid w:val="7844F37D"/>
    <w:rsid w:val="78458E30"/>
    <w:rsid w:val="78504091"/>
    <w:rsid w:val="7853FB80"/>
    <w:rsid w:val="78622B1A"/>
    <w:rsid w:val="78673FA4"/>
    <w:rsid w:val="786B69E6"/>
    <w:rsid w:val="786E43C0"/>
    <w:rsid w:val="786FA190"/>
    <w:rsid w:val="78724940"/>
    <w:rsid w:val="7877FEC1"/>
    <w:rsid w:val="7879EEEE"/>
    <w:rsid w:val="787D7FFE"/>
    <w:rsid w:val="788C28D6"/>
    <w:rsid w:val="788E23AA"/>
    <w:rsid w:val="7895CA77"/>
    <w:rsid w:val="78A3665B"/>
    <w:rsid w:val="78B3B5C9"/>
    <w:rsid w:val="78B4ED92"/>
    <w:rsid w:val="78C882EF"/>
    <w:rsid w:val="78CAD3D1"/>
    <w:rsid w:val="78CFE39F"/>
    <w:rsid w:val="78E1DECE"/>
    <w:rsid w:val="78EC6962"/>
    <w:rsid w:val="78F52D2D"/>
    <w:rsid w:val="78FDEB4A"/>
    <w:rsid w:val="78FEC286"/>
    <w:rsid w:val="7905F9B9"/>
    <w:rsid w:val="790B7BDC"/>
    <w:rsid w:val="79129F10"/>
    <w:rsid w:val="791A597F"/>
    <w:rsid w:val="791BA0FA"/>
    <w:rsid w:val="791DDCF9"/>
    <w:rsid w:val="791DE5C5"/>
    <w:rsid w:val="791F0932"/>
    <w:rsid w:val="7922A50C"/>
    <w:rsid w:val="792322DB"/>
    <w:rsid w:val="79242BCC"/>
    <w:rsid w:val="7926E66B"/>
    <w:rsid w:val="79307D56"/>
    <w:rsid w:val="7932C296"/>
    <w:rsid w:val="793722D6"/>
    <w:rsid w:val="793C2B07"/>
    <w:rsid w:val="793F9267"/>
    <w:rsid w:val="793FFFD8"/>
    <w:rsid w:val="7944215C"/>
    <w:rsid w:val="7947A6ED"/>
    <w:rsid w:val="79486BF7"/>
    <w:rsid w:val="795485E2"/>
    <w:rsid w:val="7955CF00"/>
    <w:rsid w:val="795710E3"/>
    <w:rsid w:val="795B6676"/>
    <w:rsid w:val="795C08C8"/>
    <w:rsid w:val="796156CD"/>
    <w:rsid w:val="7963690C"/>
    <w:rsid w:val="7965B7C5"/>
    <w:rsid w:val="796880B3"/>
    <w:rsid w:val="796AC67F"/>
    <w:rsid w:val="796DD1D6"/>
    <w:rsid w:val="796DD607"/>
    <w:rsid w:val="796F6E3A"/>
    <w:rsid w:val="79728984"/>
    <w:rsid w:val="797797ED"/>
    <w:rsid w:val="79878C00"/>
    <w:rsid w:val="79920740"/>
    <w:rsid w:val="799663A7"/>
    <w:rsid w:val="799A5F18"/>
    <w:rsid w:val="79A3FAA5"/>
    <w:rsid w:val="79A5B28B"/>
    <w:rsid w:val="79A84940"/>
    <w:rsid w:val="79AB348C"/>
    <w:rsid w:val="79B527AD"/>
    <w:rsid w:val="79BE57AF"/>
    <w:rsid w:val="79BE910D"/>
    <w:rsid w:val="79CCDCBC"/>
    <w:rsid w:val="79D9E956"/>
    <w:rsid w:val="79E06176"/>
    <w:rsid w:val="79E4C2A4"/>
    <w:rsid w:val="79EA78E8"/>
    <w:rsid w:val="79FE6CA7"/>
    <w:rsid w:val="79FEC491"/>
    <w:rsid w:val="7A0B15CA"/>
    <w:rsid w:val="7A12D55C"/>
    <w:rsid w:val="7A13D544"/>
    <w:rsid w:val="7A1A9CE0"/>
    <w:rsid w:val="7A1FE2D3"/>
    <w:rsid w:val="7A215FE9"/>
    <w:rsid w:val="7A260E89"/>
    <w:rsid w:val="7A28F42B"/>
    <w:rsid w:val="7A3144D8"/>
    <w:rsid w:val="7A3BD2A7"/>
    <w:rsid w:val="7A3C7C51"/>
    <w:rsid w:val="7A3F323C"/>
    <w:rsid w:val="7A3FE7A9"/>
    <w:rsid w:val="7A40A1F3"/>
    <w:rsid w:val="7A421067"/>
    <w:rsid w:val="7A4294FB"/>
    <w:rsid w:val="7A4F60E1"/>
    <w:rsid w:val="7A58D5B8"/>
    <w:rsid w:val="7A654034"/>
    <w:rsid w:val="7A67279D"/>
    <w:rsid w:val="7A67D253"/>
    <w:rsid w:val="7A713777"/>
    <w:rsid w:val="7A7F6391"/>
    <w:rsid w:val="7A8006F9"/>
    <w:rsid w:val="7A856D5F"/>
    <w:rsid w:val="7A9099E0"/>
    <w:rsid w:val="7A96AFEC"/>
    <w:rsid w:val="7AA3EFF1"/>
    <w:rsid w:val="7AA4E078"/>
    <w:rsid w:val="7AA86D5E"/>
    <w:rsid w:val="7AA9935D"/>
    <w:rsid w:val="7AAD89AB"/>
    <w:rsid w:val="7AADC5E2"/>
    <w:rsid w:val="7AAF64D5"/>
    <w:rsid w:val="7AB29069"/>
    <w:rsid w:val="7AB408EC"/>
    <w:rsid w:val="7AB5F7D4"/>
    <w:rsid w:val="7ABE0AC1"/>
    <w:rsid w:val="7AC1CDD1"/>
    <w:rsid w:val="7AC2479B"/>
    <w:rsid w:val="7AC58E56"/>
    <w:rsid w:val="7AC888C7"/>
    <w:rsid w:val="7ACD2528"/>
    <w:rsid w:val="7ACDE319"/>
    <w:rsid w:val="7AD00229"/>
    <w:rsid w:val="7ADB0520"/>
    <w:rsid w:val="7ADC399E"/>
    <w:rsid w:val="7ADC4DDA"/>
    <w:rsid w:val="7AF026EE"/>
    <w:rsid w:val="7AF65879"/>
    <w:rsid w:val="7AF91FF7"/>
    <w:rsid w:val="7AFA520D"/>
    <w:rsid w:val="7B0B3A5A"/>
    <w:rsid w:val="7B10188F"/>
    <w:rsid w:val="7B150AC4"/>
    <w:rsid w:val="7B170123"/>
    <w:rsid w:val="7B2312DC"/>
    <w:rsid w:val="7B23141B"/>
    <w:rsid w:val="7B23BE9A"/>
    <w:rsid w:val="7B2A4B11"/>
    <w:rsid w:val="7B2C0B7C"/>
    <w:rsid w:val="7B2D48B8"/>
    <w:rsid w:val="7B32FCC4"/>
    <w:rsid w:val="7B3854CA"/>
    <w:rsid w:val="7B409BE2"/>
    <w:rsid w:val="7B45A8BC"/>
    <w:rsid w:val="7B4A985F"/>
    <w:rsid w:val="7B4AF136"/>
    <w:rsid w:val="7B509A37"/>
    <w:rsid w:val="7B54A884"/>
    <w:rsid w:val="7B576A6B"/>
    <w:rsid w:val="7B588B0D"/>
    <w:rsid w:val="7B68D27E"/>
    <w:rsid w:val="7B76001A"/>
    <w:rsid w:val="7B786967"/>
    <w:rsid w:val="7B78BE3E"/>
    <w:rsid w:val="7B7EF8DA"/>
    <w:rsid w:val="7B7F8E28"/>
    <w:rsid w:val="7B85AEC5"/>
    <w:rsid w:val="7B8CC44D"/>
    <w:rsid w:val="7B930BF7"/>
    <w:rsid w:val="7B9A134F"/>
    <w:rsid w:val="7B9A5275"/>
    <w:rsid w:val="7B9F6178"/>
    <w:rsid w:val="7BA194E4"/>
    <w:rsid w:val="7BAD3844"/>
    <w:rsid w:val="7BC86F27"/>
    <w:rsid w:val="7BC8E18B"/>
    <w:rsid w:val="7BC98CB6"/>
    <w:rsid w:val="7BD571B6"/>
    <w:rsid w:val="7BD7A90F"/>
    <w:rsid w:val="7BDF04FB"/>
    <w:rsid w:val="7BE01C1B"/>
    <w:rsid w:val="7BE21F28"/>
    <w:rsid w:val="7BE6FCED"/>
    <w:rsid w:val="7BED2B12"/>
    <w:rsid w:val="7BED3A93"/>
    <w:rsid w:val="7BFBDD1F"/>
    <w:rsid w:val="7BFFF381"/>
    <w:rsid w:val="7C026454"/>
    <w:rsid w:val="7C079FF8"/>
    <w:rsid w:val="7C0E64E4"/>
    <w:rsid w:val="7C0F05BE"/>
    <w:rsid w:val="7C12E5D3"/>
    <w:rsid w:val="7C166A8A"/>
    <w:rsid w:val="7C1D336D"/>
    <w:rsid w:val="7C1E2BB6"/>
    <w:rsid w:val="7C215C1F"/>
    <w:rsid w:val="7C216110"/>
    <w:rsid w:val="7C225B0B"/>
    <w:rsid w:val="7C2796C1"/>
    <w:rsid w:val="7C29D48A"/>
    <w:rsid w:val="7C2C8D07"/>
    <w:rsid w:val="7C2C9464"/>
    <w:rsid w:val="7C2D07B9"/>
    <w:rsid w:val="7C2ED659"/>
    <w:rsid w:val="7C314DA6"/>
    <w:rsid w:val="7C3789BC"/>
    <w:rsid w:val="7C3DD7E6"/>
    <w:rsid w:val="7C4B8E88"/>
    <w:rsid w:val="7C504660"/>
    <w:rsid w:val="7C50BD42"/>
    <w:rsid w:val="7C53157C"/>
    <w:rsid w:val="7C576082"/>
    <w:rsid w:val="7C60F34A"/>
    <w:rsid w:val="7C681A2F"/>
    <w:rsid w:val="7C6C452A"/>
    <w:rsid w:val="7C6E9D4C"/>
    <w:rsid w:val="7C73D139"/>
    <w:rsid w:val="7C75BCB2"/>
    <w:rsid w:val="7C77DA96"/>
    <w:rsid w:val="7C7A1158"/>
    <w:rsid w:val="7C7E305C"/>
    <w:rsid w:val="7C848B2C"/>
    <w:rsid w:val="7C877FFE"/>
    <w:rsid w:val="7C88B88E"/>
    <w:rsid w:val="7C89F522"/>
    <w:rsid w:val="7C8CB56E"/>
    <w:rsid w:val="7C909EAD"/>
    <w:rsid w:val="7C95AFD4"/>
    <w:rsid w:val="7C97190B"/>
    <w:rsid w:val="7C991590"/>
    <w:rsid w:val="7C993378"/>
    <w:rsid w:val="7CC32769"/>
    <w:rsid w:val="7CC3EB7C"/>
    <w:rsid w:val="7CC4440C"/>
    <w:rsid w:val="7CD423EE"/>
    <w:rsid w:val="7CD535C1"/>
    <w:rsid w:val="7CD64220"/>
    <w:rsid w:val="7CDAFCB1"/>
    <w:rsid w:val="7CE4D952"/>
    <w:rsid w:val="7CF043BC"/>
    <w:rsid w:val="7CF0A04E"/>
    <w:rsid w:val="7CF92B29"/>
    <w:rsid w:val="7CFBBABB"/>
    <w:rsid w:val="7D0DF765"/>
    <w:rsid w:val="7D2005EC"/>
    <w:rsid w:val="7D245878"/>
    <w:rsid w:val="7D2A7C7D"/>
    <w:rsid w:val="7D2BD69C"/>
    <w:rsid w:val="7D3BE1E4"/>
    <w:rsid w:val="7D4D59FB"/>
    <w:rsid w:val="7D4D7D3A"/>
    <w:rsid w:val="7D5719FA"/>
    <w:rsid w:val="7D5AA7A1"/>
    <w:rsid w:val="7D5E54A0"/>
    <w:rsid w:val="7D62B7AA"/>
    <w:rsid w:val="7D6E5F49"/>
    <w:rsid w:val="7D6FED84"/>
    <w:rsid w:val="7D773494"/>
    <w:rsid w:val="7D77D080"/>
    <w:rsid w:val="7D795DCD"/>
    <w:rsid w:val="7D7A4BF9"/>
    <w:rsid w:val="7D7F29EB"/>
    <w:rsid w:val="7D8059AD"/>
    <w:rsid w:val="7D85BC76"/>
    <w:rsid w:val="7D886AD3"/>
    <w:rsid w:val="7D8BFB3A"/>
    <w:rsid w:val="7D8C94DC"/>
    <w:rsid w:val="7D8ED158"/>
    <w:rsid w:val="7D91217D"/>
    <w:rsid w:val="7D9687D3"/>
    <w:rsid w:val="7D9AE624"/>
    <w:rsid w:val="7D9DD32D"/>
    <w:rsid w:val="7DA053D8"/>
    <w:rsid w:val="7DA9F9B8"/>
    <w:rsid w:val="7DAB977D"/>
    <w:rsid w:val="7DAC3189"/>
    <w:rsid w:val="7DAEDB9B"/>
    <w:rsid w:val="7DB40F3D"/>
    <w:rsid w:val="7DB6D965"/>
    <w:rsid w:val="7DB72510"/>
    <w:rsid w:val="7DBD8964"/>
    <w:rsid w:val="7DBD8ECA"/>
    <w:rsid w:val="7DBEDB06"/>
    <w:rsid w:val="7DC2506F"/>
    <w:rsid w:val="7DC967D3"/>
    <w:rsid w:val="7DCBC83A"/>
    <w:rsid w:val="7DCBC8F4"/>
    <w:rsid w:val="7DD36B6F"/>
    <w:rsid w:val="7DDABE8A"/>
    <w:rsid w:val="7DDB35CB"/>
    <w:rsid w:val="7DDEC9C0"/>
    <w:rsid w:val="7DE37E4C"/>
    <w:rsid w:val="7DE59FC2"/>
    <w:rsid w:val="7DE8B083"/>
    <w:rsid w:val="7DEA1E8A"/>
    <w:rsid w:val="7DECBC37"/>
    <w:rsid w:val="7DEDEA4C"/>
    <w:rsid w:val="7DEECCA4"/>
    <w:rsid w:val="7DF3B56B"/>
    <w:rsid w:val="7DF5BA5E"/>
    <w:rsid w:val="7DFA397D"/>
    <w:rsid w:val="7DFD75E5"/>
    <w:rsid w:val="7E06036D"/>
    <w:rsid w:val="7E080834"/>
    <w:rsid w:val="7E0F67C9"/>
    <w:rsid w:val="7E1A19F0"/>
    <w:rsid w:val="7E1EC983"/>
    <w:rsid w:val="7E2FC2E5"/>
    <w:rsid w:val="7E3544FB"/>
    <w:rsid w:val="7E363B01"/>
    <w:rsid w:val="7E36C8AA"/>
    <w:rsid w:val="7E394E8B"/>
    <w:rsid w:val="7E3C9B34"/>
    <w:rsid w:val="7E41BEE4"/>
    <w:rsid w:val="7E43AA2F"/>
    <w:rsid w:val="7E46AB5F"/>
    <w:rsid w:val="7E4944ED"/>
    <w:rsid w:val="7E4ED939"/>
    <w:rsid w:val="7E593552"/>
    <w:rsid w:val="7E5E82CD"/>
    <w:rsid w:val="7E63C1FD"/>
    <w:rsid w:val="7E6C36DB"/>
    <w:rsid w:val="7E6D21E4"/>
    <w:rsid w:val="7E6F8A3D"/>
    <w:rsid w:val="7E7108C3"/>
    <w:rsid w:val="7E74A52C"/>
    <w:rsid w:val="7E7796B5"/>
    <w:rsid w:val="7E8AD847"/>
    <w:rsid w:val="7E8B75C6"/>
    <w:rsid w:val="7E8EA7EE"/>
    <w:rsid w:val="7E9325CE"/>
    <w:rsid w:val="7E96C4B1"/>
    <w:rsid w:val="7E9819A5"/>
    <w:rsid w:val="7E9FC8B3"/>
    <w:rsid w:val="7EA0328F"/>
    <w:rsid w:val="7EA803C0"/>
    <w:rsid w:val="7EA8F072"/>
    <w:rsid w:val="7EA9FBBE"/>
    <w:rsid w:val="7EC280C3"/>
    <w:rsid w:val="7EC2AC5C"/>
    <w:rsid w:val="7EC4AB39"/>
    <w:rsid w:val="7EC80547"/>
    <w:rsid w:val="7ED5AE37"/>
    <w:rsid w:val="7EDA9921"/>
    <w:rsid w:val="7EDF5051"/>
    <w:rsid w:val="7EE6869C"/>
    <w:rsid w:val="7EE6B7A7"/>
    <w:rsid w:val="7EE97284"/>
    <w:rsid w:val="7EEAFE40"/>
    <w:rsid w:val="7EECCCD5"/>
    <w:rsid w:val="7EECDD45"/>
    <w:rsid w:val="7EF712E2"/>
    <w:rsid w:val="7EF7B0CB"/>
    <w:rsid w:val="7EF82B4F"/>
    <w:rsid w:val="7EF84D97"/>
    <w:rsid w:val="7EFEB668"/>
    <w:rsid w:val="7F04B06C"/>
    <w:rsid w:val="7F04D2E0"/>
    <w:rsid w:val="7F0ABB64"/>
    <w:rsid w:val="7F14F3A6"/>
    <w:rsid w:val="7F15CA65"/>
    <w:rsid w:val="7F1668AE"/>
    <w:rsid w:val="7F205EA1"/>
    <w:rsid w:val="7F21E3FB"/>
    <w:rsid w:val="7F226777"/>
    <w:rsid w:val="7F2DC1D8"/>
    <w:rsid w:val="7F3FD649"/>
    <w:rsid w:val="7F43A1AE"/>
    <w:rsid w:val="7F5D2FE3"/>
    <w:rsid w:val="7F5D9FFF"/>
    <w:rsid w:val="7F608CE3"/>
    <w:rsid w:val="7F66952A"/>
    <w:rsid w:val="7F6EF15A"/>
    <w:rsid w:val="7F72A914"/>
    <w:rsid w:val="7F744548"/>
    <w:rsid w:val="7F746F93"/>
    <w:rsid w:val="7F7591F9"/>
    <w:rsid w:val="7F78EB21"/>
    <w:rsid w:val="7F7A15EB"/>
    <w:rsid w:val="7F80EE30"/>
    <w:rsid w:val="7F8E12C4"/>
    <w:rsid w:val="7F8F7182"/>
    <w:rsid w:val="7F90F770"/>
    <w:rsid w:val="7F918AFC"/>
    <w:rsid w:val="7F9B63A7"/>
    <w:rsid w:val="7FA416BB"/>
    <w:rsid w:val="7FA4A959"/>
    <w:rsid w:val="7FAAC960"/>
    <w:rsid w:val="7FAD5EFD"/>
    <w:rsid w:val="7FADCC16"/>
    <w:rsid w:val="7FB5235E"/>
    <w:rsid w:val="7FBB6CD9"/>
    <w:rsid w:val="7FC83663"/>
    <w:rsid w:val="7FC981C5"/>
    <w:rsid w:val="7FDF7F46"/>
    <w:rsid w:val="7FE15100"/>
    <w:rsid w:val="7FE72CE4"/>
    <w:rsid w:val="7FEAA5BD"/>
    <w:rsid w:val="7FED9B8A"/>
    <w:rsid w:val="7FF91F25"/>
    <w:rsid w:val="7FFD7008"/>
    <w:rsid w:val="7FFFF8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72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1A23"/>
    <w:rPr>
      <w:rFonts w:ascii="Arial" w:hAnsi="Arial"/>
      <w:sz w:val="22"/>
      <w:szCs w:val="24"/>
      <w:lang w:eastAsia="en-US"/>
    </w:rPr>
  </w:style>
  <w:style w:type="paragraph" w:styleId="Heading1">
    <w:name w:val="heading 1"/>
    <w:basedOn w:val="Normal"/>
    <w:next w:val="Normal"/>
    <w:link w:val="Heading1Char"/>
    <w:qFormat/>
    <w:rsid w:val="009127BC"/>
    <w:pPr>
      <w:keepNext/>
      <w:spacing w:before="240" w:after="60"/>
      <w:outlineLvl w:val="0"/>
    </w:pPr>
    <w:rPr>
      <w:rFonts w:cs="Arial"/>
      <w:bCs/>
      <w:color w:val="3F4A75"/>
      <w:kern w:val="28"/>
      <w:sz w:val="36"/>
      <w:szCs w:val="36"/>
    </w:rPr>
  </w:style>
  <w:style w:type="paragraph" w:styleId="Heading2">
    <w:name w:val="heading 2"/>
    <w:next w:val="Paragraphtext"/>
    <w:link w:val="Heading2Char"/>
    <w:qFormat/>
    <w:rsid w:val="009127BC"/>
    <w:pPr>
      <w:keepNext/>
      <w:spacing w:before="240" w:after="60"/>
      <w:outlineLvl w:val="1"/>
    </w:pPr>
    <w:rPr>
      <w:rFonts w:ascii="Arial" w:hAnsi="Arial" w:cs="Arial"/>
      <w:bCs/>
      <w:iCs/>
      <w:color w:val="358189"/>
      <w:sz w:val="32"/>
      <w:szCs w:val="28"/>
      <w:lang w:eastAsia="en-US"/>
    </w:rPr>
  </w:style>
  <w:style w:type="paragraph" w:styleId="Heading3">
    <w:name w:val="heading 3"/>
    <w:next w:val="Normal"/>
    <w:link w:val="Heading3Char"/>
    <w:qFormat/>
    <w:rsid w:val="009127BC"/>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7"/>
      </w:numPr>
      <w:ind w:left="568" w:hanging="284"/>
    </w:pPr>
  </w:style>
  <w:style w:type="paragraph" w:styleId="ListNumber2">
    <w:name w:val="List Number 2"/>
    <w:basedOn w:val="ListBullet"/>
    <w:qFormat/>
    <w:rsid w:val="00A56F17"/>
    <w:pPr>
      <w:ind w:left="644"/>
    </w:pPr>
  </w:style>
  <w:style w:type="paragraph" w:styleId="ListBullet">
    <w:name w:val="List Bullet"/>
    <w:basedOn w:val="Normal"/>
    <w:qFormat/>
    <w:rsid w:val="00A56F17"/>
    <w:pPr>
      <w:spacing w:before="60" w:after="60"/>
      <w:ind w:left="360" w:hanging="360"/>
    </w:pPr>
    <w:rPr>
      <w:color w:val="000000" w:themeColor="text1"/>
      <w:sz w:val="21"/>
    </w:rPr>
  </w:style>
  <w:style w:type="paragraph" w:styleId="ListParagraph">
    <w:name w:val="List Paragraph"/>
    <w:aliases w:val="#List Paragraph,L,List Paragraph1,List Paragraph11,Recommendation,Bullet point,CV text,Dot pt,F5 List Paragraph,FooterText,List Paragraph111,List Paragraph2,Medium Grid 1 - Accent 21,NAST Quote,NFP GP Bulleted List,Numbered Paragraph,列"/>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4"/>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150F04"/>
    <w:pPr>
      <w:keepNext/>
      <w:spacing w:before="60" w:after="60"/>
    </w:pPr>
    <w:rPr>
      <w:rFonts w:ascii="Arial" w:hAnsi="Arial"/>
      <w:color w:val="000000" w:themeColor="text1"/>
      <w:sz w:val="16"/>
      <w:szCs w:val="16"/>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5"/>
      </w:numPr>
      <w:ind w:left="284" w:hanging="284"/>
    </w:pPr>
    <w:rPr>
      <w:szCs w:val="20"/>
    </w:rPr>
  </w:style>
  <w:style w:type="paragraph" w:customStyle="1" w:styleId="Tablelistnumber">
    <w:name w:val="Table list number"/>
    <w:basedOn w:val="Tabletextleft"/>
    <w:qFormat/>
    <w:rsid w:val="00DD2061"/>
    <w:pPr>
      <w:numPr>
        <w:numId w:val="6"/>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uiPriority w:val="99"/>
    <w:rsid w:val="00A24961"/>
    <w:rPr>
      <w:sz w:val="20"/>
      <w:szCs w:val="20"/>
    </w:rPr>
  </w:style>
  <w:style w:type="character" w:customStyle="1" w:styleId="FootnoteTextChar">
    <w:name w:val="Footnote Text Char"/>
    <w:basedOn w:val="DefaultParagraphFont"/>
    <w:link w:val="FootnoteText"/>
    <w:uiPriority w:val="99"/>
    <w:rsid w:val="00A24961"/>
    <w:rPr>
      <w:rFonts w:ascii="Arial" w:hAnsi="Arial"/>
      <w:lang w:eastAsia="en-US"/>
    </w:rPr>
  </w:style>
  <w:style w:type="paragraph" w:styleId="Caption">
    <w:name w:val="caption"/>
    <w:basedOn w:val="Normal"/>
    <w:next w:val="Normal"/>
    <w:unhideWhenUsed/>
    <w:qFormat/>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styleId="FollowedHyperlink">
    <w:name w:val="FollowedHyperlink"/>
    <w:basedOn w:val="DefaultParagraphFont"/>
    <w:semiHidden/>
    <w:unhideWhenUsed/>
    <w:rsid w:val="001C0CAA"/>
    <w:rPr>
      <w:color w:val="800080" w:themeColor="followedHyperlink"/>
      <w:u w:val="single"/>
    </w:rPr>
  </w:style>
  <w:style w:type="paragraph" w:styleId="Revision">
    <w:name w:val="Revision"/>
    <w:hidden/>
    <w:uiPriority w:val="99"/>
    <w:semiHidden/>
    <w:rsid w:val="00BC7E90"/>
    <w:rPr>
      <w:rFonts w:ascii="Arial" w:hAnsi="Arial"/>
      <w:sz w:val="22"/>
      <w:szCs w:val="24"/>
      <w:lang w:eastAsia="en-US"/>
    </w:rPr>
  </w:style>
  <w:style w:type="character" w:styleId="FootnoteReference">
    <w:name w:val="footnote reference"/>
    <w:basedOn w:val="DefaultParagraphFont"/>
    <w:uiPriority w:val="99"/>
    <w:semiHidden/>
    <w:unhideWhenUsed/>
    <w:rsid w:val="00055814"/>
    <w:rPr>
      <w:vertAlign w:val="superscript"/>
    </w:rPr>
  </w:style>
  <w:style w:type="character" w:customStyle="1" w:styleId="ListParagraphChar">
    <w:name w:val="List Paragraph Char"/>
    <w:aliases w:val="#List Paragraph Char,L Char,List Paragraph1 Char,List Paragraph11 Char,Recommendation Char,Bullet point Char,CV text Char,Dot pt Char,F5 List Paragraph Char,FooterText Char,List Paragraph111 Char,List Paragraph2 Char,NAST Quote Char"/>
    <w:link w:val="ListParagraph"/>
    <w:uiPriority w:val="34"/>
    <w:qFormat/>
    <w:locked/>
    <w:rsid w:val="00055814"/>
    <w:rPr>
      <w:rFonts w:ascii="Arial" w:hAnsi="Arial"/>
      <w:sz w:val="22"/>
      <w:szCs w:val="24"/>
      <w:lang w:eastAsia="en-US"/>
    </w:rPr>
  </w:style>
  <w:style w:type="character" w:customStyle="1" w:styleId="BodyTextChar">
    <w:name w:val="Body Text Char"/>
    <w:aliases w:val="Body Text Cab Char,CAB - Body Text Char,CAB Body Text Char"/>
    <w:basedOn w:val="DefaultParagraphFont"/>
    <w:link w:val="BodyText"/>
    <w:semiHidden/>
    <w:locked/>
    <w:rsid w:val="00055814"/>
    <w:rPr>
      <w:rFonts w:ascii="Arial" w:eastAsiaTheme="minorHAnsi" w:hAnsi="Arial" w:cs="Arial"/>
    </w:rPr>
  </w:style>
  <w:style w:type="paragraph" w:styleId="BodyText">
    <w:name w:val="Body Text"/>
    <w:aliases w:val="Body Text Cab,CAB - Body Text,CAB Body Text"/>
    <w:link w:val="BodyTextChar"/>
    <w:semiHidden/>
    <w:unhideWhenUsed/>
    <w:qFormat/>
    <w:rsid w:val="00055814"/>
    <w:pPr>
      <w:spacing w:before="120"/>
    </w:pPr>
    <w:rPr>
      <w:rFonts w:ascii="Arial" w:eastAsiaTheme="minorHAnsi" w:hAnsi="Arial" w:cs="Arial"/>
    </w:rPr>
  </w:style>
  <w:style w:type="character" w:customStyle="1" w:styleId="BodyTextChar1">
    <w:name w:val="Body Text Char1"/>
    <w:basedOn w:val="DefaultParagraphFont"/>
    <w:semiHidden/>
    <w:rsid w:val="00055814"/>
    <w:rPr>
      <w:rFonts w:ascii="Arial" w:hAnsi="Arial"/>
      <w:sz w:val="22"/>
      <w:szCs w:val="24"/>
      <w:lang w:eastAsia="en-US"/>
    </w:rPr>
  </w:style>
  <w:style w:type="character" w:customStyle="1" w:styleId="msosmartlink">
    <w:name w:val="msosmartlink"/>
    <w:basedOn w:val="DefaultParagraphFont"/>
    <w:uiPriority w:val="99"/>
    <w:rsid w:val="00055814"/>
    <w:rPr>
      <w:color w:val="0000FF"/>
      <w:u w:val="single"/>
      <w:shd w:val="clear" w:color="auto" w:fill="F3F2F1"/>
    </w:rPr>
  </w:style>
  <w:style w:type="paragraph" w:customStyle="1" w:styleId="paragraph">
    <w:name w:val="paragraph"/>
    <w:basedOn w:val="Normal"/>
    <w:rsid w:val="00C455C8"/>
    <w:pPr>
      <w:spacing w:before="100" w:beforeAutospacing="1" w:after="100" w:afterAutospacing="1"/>
    </w:pPr>
    <w:rPr>
      <w:rFonts w:ascii="Times New Roman" w:hAnsi="Times New Roman"/>
      <w:sz w:val="24"/>
      <w:lang w:eastAsia="en-AU"/>
    </w:rPr>
  </w:style>
  <w:style w:type="character" w:customStyle="1" w:styleId="normaltextrun">
    <w:name w:val="normaltextrun"/>
    <w:basedOn w:val="DefaultParagraphFont"/>
    <w:rsid w:val="00C455C8"/>
  </w:style>
  <w:style w:type="character" w:styleId="CommentReference">
    <w:name w:val="annotation reference"/>
    <w:basedOn w:val="DefaultParagraphFont"/>
    <w:uiPriority w:val="99"/>
    <w:semiHidden/>
    <w:unhideWhenUsed/>
    <w:rsid w:val="00E6039B"/>
    <w:rPr>
      <w:sz w:val="16"/>
      <w:szCs w:val="16"/>
    </w:rPr>
  </w:style>
  <w:style w:type="paragraph" w:styleId="CommentText">
    <w:name w:val="annotation text"/>
    <w:basedOn w:val="Normal"/>
    <w:link w:val="CommentTextChar"/>
    <w:uiPriority w:val="99"/>
    <w:unhideWhenUsed/>
    <w:rsid w:val="00E6039B"/>
    <w:rPr>
      <w:sz w:val="20"/>
      <w:szCs w:val="20"/>
    </w:rPr>
  </w:style>
  <w:style w:type="character" w:customStyle="1" w:styleId="CommentTextChar">
    <w:name w:val="Comment Text Char"/>
    <w:basedOn w:val="DefaultParagraphFont"/>
    <w:link w:val="CommentText"/>
    <w:uiPriority w:val="99"/>
    <w:rsid w:val="00E6039B"/>
    <w:rPr>
      <w:rFonts w:ascii="Arial" w:hAnsi="Arial"/>
      <w:lang w:eastAsia="en-US"/>
    </w:rPr>
  </w:style>
  <w:style w:type="paragraph" w:styleId="CommentSubject">
    <w:name w:val="annotation subject"/>
    <w:basedOn w:val="CommentText"/>
    <w:next w:val="CommentText"/>
    <w:link w:val="CommentSubjectChar"/>
    <w:semiHidden/>
    <w:unhideWhenUsed/>
    <w:rsid w:val="00E6039B"/>
    <w:rPr>
      <w:b/>
      <w:bCs/>
    </w:rPr>
  </w:style>
  <w:style w:type="character" w:customStyle="1" w:styleId="CommentSubjectChar">
    <w:name w:val="Comment Subject Char"/>
    <w:basedOn w:val="CommentTextChar"/>
    <w:link w:val="CommentSubject"/>
    <w:semiHidden/>
    <w:rsid w:val="00E6039B"/>
    <w:rPr>
      <w:rFonts w:ascii="Arial" w:hAnsi="Arial"/>
      <w:b/>
      <w:bCs/>
      <w:lang w:eastAsia="en-US"/>
    </w:rPr>
  </w:style>
  <w:style w:type="paragraph" w:styleId="TOCHeading">
    <w:name w:val="TOC Heading"/>
    <w:basedOn w:val="Heading1"/>
    <w:next w:val="Normal"/>
    <w:uiPriority w:val="39"/>
    <w:unhideWhenUsed/>
    <w:qFormat/>
    <w:rsid w:val="00E50091"/>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E50091"/>
    <w:pPr>
      <w:spacing w:after="100"/>
    </w:pPr>
  </w:style>
  <w:style w:type="paragraph" w:styleId="TOC2">
    <w:name w:val="toc 2"/>
    <w:basedOn w:val="Normal"/>
    <w:next w:val="Normal"/>
    <w:autoRedefine/>
    <w:uiPriority w:val="39"/>
    <w:unhideWhenUsed/>
    <w:rsid w:val="00E50091"/>
    <w:pPr>
      <w:spacing w:after="100"/>
      <w:ind w:left="220"/>
    </w:pPr>
  </w:style>
  <w:style w:type="paragraph" w:styleId="TOC3">
    <w:name w:val="toc 3"/>
    <w:basedOn w:val="Normal"/>
    <w:next w:val="Normal"/>
    <w:autoRedefine/>
    <w:uiPriority w:val="39"/>
    <w:unhideWhenUsed/>
    <w:rsid w:val="00E50091"/>
    <w:pPr>
      <w:spacing w:after="100"/>
      <w:ind w:left="440"/>
    </w:pPr>
  </w:style>
  <w:style w:type="character" w:customStyle="1" w:styleId="Heading2Char">
    <w:name w:val="Heading 2 Char"/>
    <w:basedOn w:val="DefaultParagraphFont"/>
    <w:link w:val="Heading2"/>
    <w:rsid w:val="00A321AF"/>
    <w:rPr>
      <w:rFonts w:ascii="Arial" w:hAnsi="Arial" w:cs="Arial"/>
      <w:bCs/>
      <w:iCs/>
      <w:color w:val="358189"/>
      <w:sz w:val="32"/>
      <w:szCs w:val="28"/>
      <w:lang w:eastAsia="en-US"/>
    </w:rPr>
  </w:style>
  <w:style w:type="paragraph" w:customStyle="1" w:styleId="Default">
    <w:name w:val="Default"/>
    <w:rsid w:val="003234F6"/>
    <w:pPr>
      <w:autoSpaceDE w:val="0"/>
      <w:autoSpaceDN w:val="0"/>
      <w:adjustRightInd w:val="0"/>
    </w:pPr>
    <w:rPr>
      <w:rFonts w:ascii="Arial" w:hAnsi="Arial" w:cs="Arial"/>
      <w:color w:val="000000"/>
      <w:sz w:val="24"/>
      <w:szCs w:val="24"/>
    </w:rPr>
  </w:style>
  <w:style w:type="paragraph" w:customStyle="1" w:styleId="OIAQuestion">
    <w:name w:val="OIA Question"/>
    <w:basedOn w:val="Heading1"/>
    <w:link w:val="OIAQuestionChar"/>
    <w:qFormat/>
    <w:rsid w:val="00C87C89"/>
    <w:pPr>
      <w:numPr>
        <w:numId w:val="8"/>
      </w:numPr>
      <w:ind w:left="284"/>
    </w:pPr>
  </w:style>
  <w:style w:type="character" w:customStyle="1" w:styleId="Heading1Char">
    <w:name w:val="Heading 1 Char"/>
    <w:basedOn w:val="DefaultParagraphFont"/>
    <w:link w:val="Heading1"/>
    <w:rsid w:val="00677759"/>
    <w:rPr>
      <w:rFonts w:ascii="Arial" w:hAnsi="Arial" w:cs="Arial"/>
      <w:bCs/>
      <w:color w:val="3F4A75"/>
      <w:kern w:val="28"/>
      <w:sz w:val="36"/>
      <w:szCs w:val="36"/>
      <w:lang w:eastAsia="en-US"/>
    </w:rPr>
  </w:style>
  <w:style w:type="character" w:customStyle="1" w:styleId="OIAQuestionChar">
    <w:name w:val="OIA Question Char"/>
    <w:basedOn w:val="Heading1Char"/>
    <w:link w:val="OIAQuestion"/>
    <w:rsid w:val="00C87C89"/>
    <w:rPr>
      <w:rFonts w:ascii="Arial" w:hAnsi="Arial" w:cs="Arial"/>
      <w:bCs/>
      <w:color w:val="3F4A75"/>
      <w:kern w:val="28"/>
      <w:sz w:val="36"/>
      <w:szCs w:val="36"/>
      <w:lang w:eastAsia="en-US"/>
    </w:rPr>
  </w:style>
  <w:style w:type="character" w:customStyle="1" w:styleId="UnresolvedMention1">
    <w:name w:val="Unresolved Mention1"/>
    <w:basedOn w:val="DefaultParagraphFont"/>
    <w:uiPriority w:val="99"/>
    <w:semiHidden/>
    <w:unhideWhenUsed/>
    <w:rsid w:val="000D294A"/>
    <w:rPr>
      <w:color w:val="605E5C"/>
      <w:shd w:val="clear" w:color="auto" w:fill="E1DFDD"/>
    </w:rPr>
  </w:style>
  <w:style w:type="character" w:customStyle="1" w:styleId="Heading3Char">
    <w:name w:val="Heading 3 Char"/>
    <w:basedOn w:val="DefaultParagraphFont"/>
    <w:link w:val="Heading3"/>
    <w:rsid w:val="00182638"/>
    <w:rPr>
      <w:rFonts w:ascii="Arial" w:hAnsi="Arial" w:cs="Arial"/>
      <w:bCs/>
      <w:color w:val="358189"/>
      <w:sz w:val="28"/>
      <w:szCs w:val="26"/>
      <w:lang w:eastAsia="en-US"/>
    </w:rPr>
  </w:style>
  <w:style w:type="paragraph" w:styleId="EndnoteText">
    <w:name w:val="endnote text"/>
    <w:basedOn w:val="Normal"/>
    <w:link w:val="EndnoteTextChar"/>
    <w:semiHidden/>
    <w:unhideWhenUsed/>
    <w:rsid w:val="00A45B24"/>
    <w:rPr>
      <w:sz w:val="20"/>
      <w:szCs w:val="20"/>
    </w:rPr>
  </w:style>
  <w:style w:type="character" w:customStyle="1" w:styleId="EndnoteTextChar">
    <w:name w:val="Endnote Text Char"/>
    <w:basedOn w:val="DefaultParagraphFont"/>
    <w:link w:val="EndnoteText"/>
    <w:semiHidden/>
    <w:rsid w:val="00A45B24"/>
    <w:rPr>
      <w:rFonts w:ascii="Arial" w:hAnsi="Arial"/>
      <w:lang w:eastAsia="en-US"/>
    </w:rPr>
  </w:style>
  <w:style w:type="character" w:styleId="EndnoteReference">
    <w:name w:val="endnote reference"/>
    <w:basedOn w:val="DefaultParagraphFont"/>
    <w:semiHidden/>
    <w:unhideWhenUsed/>
    <w:rsid w:val="00A45B24"/>
    <w:rPr>
      <w:vertAlign w:val="superscript"/>
    </w:rPr>
  </w:style>
  <w:style w:type="character" w:customStyle="1" w:styleId="Mention1">
    <w:name w:val="Mention1"/>
    <w:basedOn w:val="DefaultParagraphFont"/>
    <w:uiPriority w:val="99"/>
    <w:unhideWhenUsed/>
    <w:rsid w:val="00CA5214"/>
    <w:rPr>
      <w:color w:val="2B579A"/>
      <w:shd w:val="clear" w:color="auto" w:fill="E1DFDD"/>
    </w:rPr>
  </w:style>
  <w:style w:type="table" w:styleId="GridTable5Dark-Accent1">
    <w:name w:val="Grid Table 5 Dark Accent 1"/>
    <w:basedOn w:val="TableNormal"/>
    <w:uiPriority w:val="50"/>
    <w:rsid w:val="001D060A"/>
    <w:rPr>
      <w:rFonts w:eastAsiaTheme="minorHAnsi"/>
      <w:kern w:val="2"/>
      <w:sz w:val="24"/>
      <w:szCs w:val="24"/>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8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4A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4A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4A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4A75" w:themeFill="accent1"/>
      </w:tcPr>
    </w:tblStylePr>
    <w:tblStylePr w:type="band1Vert">
      <w:tblPr/>
      <w:tcPr>
        <w:shd w:val="clear" w:color="auto" w:fill="A9B1D0" w:themeFill="accent1" w:themeFillTint="66"/>
      </w:tcPr>
    </w:tblStylePr>
    <w:tblStylePr w:type="band1Horz">
      <w:tblPr/>
      <w:tcPr>
        <w:shd w:val="clear" w:color="auto" w:fill="A9B1D0" w:themeFill="accent1" w:themeFillTint="66"/>
      </w:tcPr>
    </w:tblStylePr>
  </w:style>
  <w:style w:type="table" w:customStyle="1" w:styleId="GridTable41">
    <w:name w:val="Grid Table 41"/>
    <w:basedOn w:val="TableNormal"/>
    <w:next w:val="GridTable4"/>
    <w:uiPriority w:val="49"/>
    <w:rsid w:val="008B0ECA"/>
    <w:rPr>
      <w:rFonts w:ascii="Calibri" w:eastAsiaTheme="minorHAnsi" w:hAnsi="Calibri" w:cs="Arial"/>
      <w:sz w:val="24"/>
      <w:szCs w:val="24"/>
      <w:lang w:eastAsia="en-US"/>
    </w:rPr>
    <w:tblPr>
      <w:tblStyleRowBandSize w:val="1"/>
      <w:tblStyleColBandSize w:val="1"/>
      <w:tblBorders>
        <w:top w:val="single" w:sz="4" w:space="0" w:color="573EC3"/>
        <w:left w:val="single" w:sz="4" w:space="0" w:color="573EC3"/>
        <w:bottom w:val="single" w:sz="4" w:space="0" w:color="573EC3"/>
        <w:right w:val="single" w:sz="4" w:space="0" w:color="573EC3"/>
        <w:insideH w:val="single" w:sz="4" w:space="0" w:color="573EC3"/>
        <w:insideV w:val="single" w:sz="4" w:space="0" w:color="573EC3"/>
      </w:tblBorders>
    </w:tblPr>
    <w:tblStylePr w:type="firstRow">
      <w:rPr>
        <w:b/>
        <w:bCs/>
        <w:color w:val="F1F2F2"/>
      </w:rPr>
      <w:tblPr/>
      <w:tcPr>
        <w:tcBorders>
          <w:top w:val="single" w:sz="4" w:space="0" w:color="1E1544"/>
          <w:left w:val="single" w:sz="4" w:space="0" w:color="1E1544"/>
          <w:bottom w:val="single" w:sz="4" w:space="0" w:color="1E1544"/>
          <w:right w:val="single" w:sz="4" w:space="0" w:color="1E1544"/>
          <w:insideH w:val="nil"/>
          <w:insideV w:val="nil"/>
        </w:tcBorders>
        <w:shd w:val="clear" w:color="auto" w:fill="1E1544"/>
      </w:tcPr>
    </w:tblStylePr>
    <w:tblStylePr w:type="lastRow">
      <w:rPr>
        <w:b/>
        <w:bCs/>
      </w:rPr>
      <w:tblPr/>
      <w:tcPr>
        <w:tcBorders>
          <w:top w:val="double" w:sz="4" w:space="0" w:color="1E1544"/>
        </w:tcBorders>
      </w:tcPr>
    </w:tblStylePr>
    <w:tblStylePr w:type="firstCol">
      <w:rPr>
        <w:b/>
        <w:bCs/>
      </w:rPr>
    </w:tblStylePr>
    <w:tblStylePr w:type="lastCol">
      <w:rPr>
        <w:b/>
        <w:bCs/>
      </w:rPr>
    </w:tblStylePr>
    <w:tblStylePr w:type="band1Vert">
      <w:tblPr/>
      <w:tcPr>
        <w:shd w:val="clear" w:color="auto" w:fill="C6BEEB"/>
      </w:tcPr>
    </w:tblStylePr>
    <w:tblStylePr w:type="band1Horz">
      <w:tblPr/>
      <w:tcPr>
        <w:shd w:val="clear" w:color="auto" w:fill="C6BEEB"/>
      </w:tcPr>
    </w:tblStylePr>
  </w:style>
  <w:style w:type="table" w:styleId="GridTable4">
    <w:name w:val="Grid Table 4"/>
    <w:basedOn w:val="TableNormal"/>
    <w:uiPriority w:val="49"/>
    <w:rsid w:val="008B0EC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2">
    <w:name w:val="Unresolved Mention2"/>
    <w:basedOn w:val="DefaultParagraphFont"/>
    <w:uiPriority w:val="99"/>
    <w:semiHidden/>
    <w:unhideWhenUsed/>
    <w:rsid w:val="005878BB"/>
    <w:rPr>
      <w:color w:val="605E5C"/>
      <w:shd w:val="clear" w:color="auto" w:fill="E1DFDD"/>
    </w:rPr>
  </w:style>
  <w:style w:type="character" w:customStyle="1" w:styleId="Mention2">
    <w:name w:val="Mention2"/>
    <w:basedOn w:val="DefaultParagraphFont"/>
    <w:uiPriority w:val="99"/>
    <w:unhideWhenUsed/>
    <w:rsid w:val="007A35A1"/>
    <w:rPr>
      <w:color w:val="2B579A"/>
      <w:shd w:val="clear" w:color="auto" w:fill="E1DFDD"/>
    </w:rPr>
  </w:style>
  <w:style w:type="character" w:customStyle="1" w:styleId="UnresolvedMention">
    <w:name w:val="Unresolved Mention"/>
    <w:basedOn w:val="DefaultParagraphFont"/>
    <w:uiPriority w:val="99"/>
    <w:semiHidden/>
    <w:unhideWhenUsed/>
    <w:rsid w:val="00016B9D"/>
    <w:rPr>
      <w:color w:val="605E5C"/>
      <w:shd w:val="clear" w:color="auto" w:fill="E1DFDD"/>
    </w:rPr>
  </w:style>
  <w:style w:type="character" w:customStyle="1" w:styleId="Mention">
    <w:name w:val="Mention"/>
    <w:basedOn w:val="DefaultParagraphFont"/>
    <w:uiPriority w:val="99"/>
    <w:unhideWhenUsed/>
    <w:rsid w:val="00B52D7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9262">
      <w:bodyDiv w:val="1"/>
      <w:marLeft w:val="0"/>
      <w:marRight w:val="0"/>
      <w:marTop w:val="0"/>
      <w:marBottom w:val="0"/>
      <w:divBdr>
        <w:top w:val="none" w:sz="0" w:space="0" w:color="auto"/>
        <w:left w:val="none" w:sz="0" w:space="0" w:color="auto"/>
        <w:bottom w:val="none" w:sz="0" w:space="0" w:color="auto"/>
        <w:right w:val="none" w:sz="0" w:space="0" w:color="auto"/>
      </w:divBdr>
    </w:div>
    <w:div w:id="14236257">
      <w:bodyDiv w:val="1"/>
      <w:marLeft w:val="0"/>
      <w:marRight w:val="0"/>
      <w:marTop w:val="0"/>
      <w:marBottom w:val="0"/>
      <w:divBdr>
        <w:top w:val="none" w:sz="0" w:space="0" w:color="auto"/>
        <w:left w:val="none" w:sz="0" w:space="0" w:color="auto"/>
        <w:bottom w:val="none" w:sz="0" w:space="0" w:color="auto"/>
        <w:right w:val="none" w:sz="0" w:space="0" w:color="auto"/>
      </w:divBdr>
    </w:div>
    <w:div w:id="17970440">
      <w:bodyDiv w:val="1"/>
      <w:marLeft w:val="0"/>
      <w:marRight w:val="0"/>
      <w:marTop w:val="0"/>
      <w:marBottom w:val="0"/>
      <w:divBdr>
        <w:top w:val="none" w:sz="0" w:space="0" w:color="auto"/>
        <w:left w:val="none" w:sz="0" w:space="0" w:color="auto"/>
        <w:bottom w:val="none" w:sz="0" w:space="0" w:color="auto"/>
        <w:right w:val="none" w:sz="0" w:space="0" w:color="auto"/>
      </w:divBdr>
    </w:div>
    <w:div w:id="44528277">
      <w:bodyDiv w:val="1"/>
      <w:marLeft w:val="0"/>
      <w:marRight w:val="0"/>
      <w:marTop w:val="0"/>
      <w:marBottom w:val="0"/>
      <w:divBdr>
        <w:top w:val="none" w:sz="0" w:space="0" w:color="auto"/>
        <w:left w:val="none" w:sz="0" w:space="0" w:color="auto"/>
        <w:bottom w:val="none" w:sz="0" w:space="0" w:color="auto"/>
        <w:right w:val="none" w:sz="0" w:space="0" w:color="auto"/>
      </w:divBdr>
    </w:div>
    <w:div w:id="103229853">
      <w:bodyDiv w:val="1"/>
      <w:marLeft w:val="0"/>
      <w:marRight w:val="0"/>
      <w:marTop w:val="0"/>
      <w:marBottom w:val="0"/>
      <w:divBdr>
        <w:top w:val="none" w:sz="0" w:space="0" w:color="auto"/>
        <w:left w:val="none" w:sz="0" w:space="0" w:color="auto"/>
        <w:bottom w:val="none" w:sz="0" w:space="0" w:color="auto"/>
        <w:right w:val="none" w:sz="0" w:space="0" w:color="auto"/>
      </w:divBdr>
    </w:div>
    <w:div w:id="158078574">
      <w:bodyDiv w:val="1"/>
      <w:marLeft w:val="0"/>
      <w:marRight w:val="0"/>
      <w:marTop w:val="0"/>
      <w:marBottom w:val="0"/>
      <w:divBdr>
        <w:top w:val="none" w:sz="0" w:space="0" w:color="auto"/>
        <w:left w:val="none" w:sz="0" w:space="0" w:color="auto"/>
        <w:bottom w:val="none" w:sz="0" w:space="0" w:color="auto"/>
        <w:right w:val="none" w:sz="0" w:space="0" w:color="auto"/>
      </w:divBdr>
    </w:div>
    <w:div w:id="160588386">
      <w:bodyDiv w:val="1"/>
      <w:marLeft w:val="0"/>
      <w:marRight w:val="0"/>
      <w:marTop w:val="0"/>
      <w:marBottom w:val="0"/>
      <w:divBdr>
        <w:top w:val="none" w:sz="0" w:space="0" w:color="auto"/>
        <w:left w:val="none" w:sz="0" w:space="0" w:color="auto"/>
        <w:bottom w:val="none" w:sz="0" w:space="0" w:color="auto"/>
        <w:right w:val="none" w:sz="0" w:space="0" w:color="auto"/>
      </w:divBdr>
    </w:div>
    <w:div w:id="195974268">
      <w:bodyDiv w:val="1"/>
      <w:marLeft w:val="0"/>
      <w:marRight w:val="0"/>
      <w:marTop w:val="0"/>
      <w:marBottom w:val="0"/>
      <w:divBdr>
        <w:top w:val="none" w:sz="0" w:space="0" w:color="auto"/>
        <w:left w:val="none" w:sz="0" w:space="0" w:color="auto"/>
        <w:bottom w:val="none" w:sz="0" w:space="0" w:color="auto"/>
        <w:right w:val="none" w:sz="0" w:space="0" w:color="auto"/>
      </w:divBdr>
      <w:divsChild>
        <w:div w:id="5711698">
          <w:marLeft w:val="0"/>
          <w:marRight w:val="0"/>
          <w:marTop w:val="0"/>
          <w:marBottom w:val="0"/>
          <w:divBdr>
            <w:top w:val="none" w:sz="0" w:space="0" w:color="auto"/>
            <w:left w:val="none" w:sz="0" w:space="0" w:color="auto"/>
            <w:bottom w:val="none" w:sz="0" w:space="0" w:color="auto"/>
            <w:right w:val="none" w:sz="0" w:space="0" w:color="auto"/>
          </w:divBdr>
          <w:divsChild>
            <w:div w:id="619604823">
              <w:marLeft w:val="0"/>
              <w:marRight w:val="0"/>
              <w:marTop w:val="0"/>
              <w:marBottom w:val="0"/>
              <w:divBdr>
                <w:top w:val="none" w:sz="0" w:space="0" w:color="auto"/>
                <w:left w:val="none" w:sz="0" w:space="0" w:color="auto"/>
                <w:bottom w:val="none" w:sz="0" w:space="0" w:color="auto"/>
                <w:right w:val="none" w:sz="0" w:space="0" w:color="auto"/>
              </w:divBdr>
            </w:div>
          </w:divsChild>
        </w:div>
        <w:div w:id="26949964">
          <w:marLeft w:val="0"/>
          <w:marRight w:val="0"/>
          <w:marTop w:val="0"/>
          <w:marBottom w:val="0"/>
          <w:divBdr>
            <w:top w:val="none" w:sz="0" w:space="0" w:color="auto"/>
            <w:left w:val="none" w:sz="0" w:space="0" w:color="auto"/>
            <w:bottom w:val="none" w:sz="0" w:space="0" w:color="auto"/>
            <w:right w:val="none" w:sz="0" w:space="0" w:color="auto"/>
          </w:divBdr>
          <w:divsChild>
            <w:div w:id="204874918">
              <w:marLeft w:val="0"/>
              <w:marRight w:val="0"/>
              <w:marTop w:val="0"/>
              <w:marBottom w:val="0"/>
              <w:divBdr>
                <w:top w:val="none" w:sz="0" w:space="0" w:color="auto"/>
                <w:left w:val="none" w:sz="0" w:space="0" w:color="auto"/>
                <w:bottom w:val="none" w:sz="0" w:space="0" w:color="auto"/>
                <w:right w:val="none" w:sz="0" w:space="0" w:color="auto"/>
              </w:divBdr>
            </w:div>
          </w:divsChild>
        </w:div>
        <w:div w:id="190456356">
          <w:marLeft w:val="0"/>
          <w:marRight w:val="0"/>
          <w:marTop w:val="0"/>
          <w:marBottom w:val="0"/>
          <w:divBdr>
            <w:top w:val="none" w:sz="0" w:space="0" w:color="auto"/>
            <w:left w:val="none" w:sz="0" w:space="0" w:color="auto"/>
            <w:bottom w:val="none" w:sz="0" w:space="0" w:color="auto"/>
            <w:right w:val="none" w:sz="0" w:space="0" w:color="auto"/>
          </w:divBdr>
          <w:divsChild>
            <w:div w:id="1147358764">
              <w:marLeft w:val="0"/>
              <w:marRight w:val="0"/>
              <w:marTop w:val="0"/>
              <w:marBottom w:val="0"/>
              <w:divBdr>
                <w:top w:val="none" w:sz="0" w:space="0" w:color="auto"/>
                <w:left w:val="none" w:sz="0" w:space="0" w:color="auto"/>
                <w:bottom w:val="none" w:sz="0" w:space="0" w:color="auto"/>
                <w:right w:val="none" w:sz="0" w:space="0" w:color="auto"/>
              </w:divBdr>
            </w:div>
          </w:divsChild>
        </w:div>
        <w:div w:id="199783241">
          <w:marLeft w:val="0"/>
          <w:marRight w:val="0"/>
          <w:marTop w:val="0"/>
          <w:marBottom w:val="0"/>
          <w:divBdr>
            <w:top w:val="none" w:sz="0" w:space="0" w:color="auto"/>
            <w:left w:val="none" w:sz="0" w:space="0" w:color="auto"/>
            <w:bottom w:val="none" w:sz="0" w:space="0" w:color="auto"/>
            <w:right w:val="none" w:sz="0" w:space="0" w:color="auto"/>
          </w:divBdr>
          <w:divsChild>
            <w:div w:id="941687939">
              <w:marLeft w:val="0"/>
              <w:marRight w:val="0"/>
              <w:marTop w:val="0"/>
              <w:marBottom w:val="0"/>
              <w:divBdr>
                <w:top w:val="none" w:sz="0" w:space="0" w:color="auto"/>
                <w:left w:val="none" w:sz="0" w:space="0" w:color="auto"/>
                <w:bottom w:val="none" w:sz="0" w:space="0" w:color="auto"/>
                <w:right w:val="none" w:sz="0" w:space="0" w:color="auto"/>
              </w:divBdr>
            </w:div>
          </w:divsChild>
        </w:div>
        <w:div w:id="318508748">
          <w:marLeft w:val="0"/>
          <w:marRight w:val="0"/>
          <w:marTop w:val="0"/>
          <w:marBottom w:val="0"/>
          <w:divBdr>
            <w:top w:val="none" w:sz="0" w:space="0" w:color="auto"/>
            <w:left w:val="none" w:sz="0" w:space="0" w:color="auto"/>
            <w:bottom w:val="none" w:sz="0" w:space="0" w:color="auto"/>
            <w:right w:val="none" w:sz="0" w:space="0" w:color="auto"/>
          </w:divBdr>
          <w:divsChild>
            <w:div w:id="1008827528">
              <w:marLeft w:val="0"/>
              <w:marRight w:val="0"/>
              <w:marTop w:val="0"/>
              <w:marBottom w:val="0"/>
              <w:divBdr>
                <w:top w:val="none" w:sz="0" w:space="0" w:color="auto"/>
                <w:left w:val="none" w:sz="0" w:space="0" w:color="auto"/>
                <w:bottom w:val="none" w:sz="0" w:space="0" w:color="auto"/>
                <w:right w:val="none" w:sz="0" w:space="0" w:color="auto"/>
              </w:divBdr>
            </w:div>
          </w:divsChild>
        </w:div>
        <w:div w:id="394862362">
          <w:marLeft w:val="0"/>
          <w:marRight w:val="0"/>
          <w:marTop w:val="0"/>
          <w:marBottom w:val="0"/>
          <w:divBdr>
            <w:top w:val="none" w:sz="0" w:space="0" w:color="auto"/>
            <w:left w:val="none" w:sz="0" w:space="0" w:color="auto"/>
            <w:bottom w:val="none" w:sz="0" w:space="0" w:color="auto"/>
            <w:right w:val="none" w:sz="0" w:space="0" w:color="auto"/>
          </w:divBdr>
          <w:divsChild>
            <w:div w:id="621613428">
              <w:marLeft w:val="0"/>
              <w:marRight w:val="0"/>
              <w:marTop w:val="0"/>
              <w:marBottom w:val="0"/>
              <w:divBdr>
                <w:top w:val="none" w:sz="0" w:space="0" w:color="auto"/>
                <w:left w:val="none" w:sz="0" w:space="0" w:color="auto"/>
                <w:bottom w:val="none" w:sz="0" w:space="0" w:color="auto"/>
                <w:right w:val="none" w:sz="0" w:space="0" w:color="auto"/>
              </w:divBdr>
            </w:div>
          </w:divsChild>
        </w:div>
        <w:div w:id="462191713">
          <w:marLeft w:val="0"/>
          <w:marRight w:val="0"/>
          <w:marTop w:val="0"/>
          <w:marBottom w:val="0"/>
          <w:divBdr>
            <w:top w:val="none" w:sz="0" w:space="0" w:color="auto"/>
            <w:left w:val="none" w:sz="0" w:space="0" w:color="auto"/>
            <w:bottom w:val="none" w:sz="0" w:space="0" w:color="auto"/>
            <w:right w:val="none" w:sz="0" w:space="0" w:color="auto"/>
          </w:divBdr>
          <w:divsChild>
            <w:div w:id="173763062">
              <w:marLeft w:val="0"/>
              <w:marRight w:val="0"/>
              <w:marTop w:val="0"/>
              <w:marBottom w:val="0"/>
              <w:divBdr>
                <w:top w:val="none" w:sz="0" w:space="0" w:color="auto"/>
                <w:left w:val="none" w:sz="0" w:space="0" w:color="auto"/>
                <w:bottom w:val="none" w:sz="0" w:space="0" w:color="auto"/>
                <w:right w:val="none" w:sz="0" w:space="0" w:color="auto"/>
              </w:divBdr>
            </w:div>
          </w:divsChild>
        </w:div>
        <w:div w:id="575017379">
          <w:marLeft w:val="0"/>
          <w:marRight w:val="0"/>
          <w:marTop w:val="0"/>
          <w:marBottom w:val="0"/>
          <w:divBdr>
            <w:top w:val="none" w:sz="0" w:space="0" w:color="auto"/>
            <w:left w:val="none" w:sz="0" w:space="0" w:color="auto"/>
            <w:bottom w:val="none" w:sz="0" w:space="0" w:color="auto"/>
            <w:right w:val="none" w:sz="0" w:space="0" w:color="auto"/>
          </w:divBdr>
          <w:divsChild>
            <w:div w:id="830289928">
              <w:marLeft w:val="0"/>
              <w:marRight w:val="0"/>
              <w:marTop w:val="0"/>
              <w:marBottom w:val="0"/>
              <w:divBdr>
                <w:top w:val="none" w:sz="0" w:space="0" w:color="auto"/>
                <w:left w:val="none" w:sz="0" w:space="0" w:color="auto"/>
                <w:bottom w:val="none" w:sz="0" w:space="0" w:color="auto"/>
                <w:right w:val="none" w:sz="0" w:space="0" w:color="auto"/>
              </w:divBdr>
            </w:div>
          </w:divsChild>
        </w:div>
        <w:div w:id="599141057">
          <w:marLeft w:val="0"/>
          <w:marRight w:val="0"/>
          <w:marTop w:val="0"/>
          <w:marBottom w:val="0"/>
          <w:divBdr>
            <w:top w:val="none" w:sz="0" w:space="0" w:color="auto"/>
            <w:left w:val="none" w:sz="0" w:space="0" w:color="auto"/>
            <w:bottom w:val="none" w:sz="0" w:space="0" w:color="auto"/>
            <w:right w:val="none" w:sz="0" w:space="0" w:color="auto"/>
          </w:divBdr>
          <w:divsChild>
            <w:div w:id="1244994900">
              <w:marLeft w:val="0"/>
              <w:marRight w:val="0"/>
              <w:marTop w:val="0"/>
              <w:marBottom w:val="0"/>
              <w:divBdr>
                <w:top w:val="none" w:sz="0" w:space="0" w:color="auto"/>
                <w:left w:val="none" w:sz="0" w:space="0" w:color="auto"/>
                <w:bottom w:val="none" w:sz="0" w:space="0" w:color="auto"/>
                <w:right w:val="none" w:sz="0" w:space="0" w:color="auto"/>
              </w:divBdr>
            </w:div>
          </w:divsChild>
        </w:div>
        <w:div w:id="840201033">
          <w:marLeft w:val="0"/>
          <w:marRight w:val="0"/>
          <w:marTop w:val="0"/>
          <w:marBottom w:val="0"/>
          <w:divBdr>
            <w:top w:val="none" w:sz="0" w:space="0" w:color="auto"/>
            <w:left w:val="none" w:sz="0" w:space="0" w:color="auto"/>
            <w:bottom w:val="none" w:sz="0" w:space="0" w:color="auto"/>
            <w:right w:val="none" w:sz="0" w:space="0" w:color="auto"/>
          </w:divBdr>
          <w:divsChild>
            <w:div w:id="951664422">
              <w:marLeft w:val="0"/>
              <w:marRight w:val="0"/>
              <w:marTop w:val="0"/>
              <w:marBottom w:val="0"/>
              <w:divBdr>
                <w:top w:val="none" w:sz="0" w:space="0" w:color="auto"/>
                <w:left w:val="none" w:sz="0" w:space="0" w:color="auto"/>
                <w:bottom w:val="none" w:sz="0" w:space="0" w:color="auto"/>
                <w:right w:val="none" w:sz="0" w:space="0" w:color="auto"/>
              </w:divBdr>
            </w:div>
          </w:divsChild>
        </w:div>
        <w:div w:id="854222199">
          <w:marLeft w:val="0"/>
          <w:marRight w:val="0"/>
          <w:marTop w:val="0"/>
          <w:marBottom w:val="0"/>
          <w:divBdr>
            <w:top w:val="none" w:sz="0" w:space="0" w:color="auto"/>
            <w:left w:val="none" w:sz="0" w:space="0" w:color="auto"/>
            <w:bottom w:val="none" w:sz="0" w:space="0" w:color="auto"/>
            <w:right w:val="none" w:sz="0" w:space="0" w:color="auto"/>
          </w:divBdr>
          <w:divsChild>
            <w:div w:id="1141000832">
              <w:marLeft w:val="0"/>
              <w:marRight w:val="0"/>
              <w:marTop w:val="0"/>
              <w:marBottom w:val="0"/>
              <w:divBdr>
                <w:top w:val="none" w:sz="0" w:space="0" w:color="auto"/>
                <w:left w:val="none" w:sz="0" w:space="0" w:color="auto"/>
                <w:bottom w:val="none" w:sz="0" w:space="0" w:color="auto"/>
                <w:right w:val="none" w:sz="0" w:space="0" w:color="auto"/>
              </w:divBdr>
            </w:div>
          </w:divsChild>
        </w:div>
        <w:div w:id="1059551856">
          <w:marLeft w:val="0"/>
          <w:marRight w:val="0"/>
          <w:marTop w:val="0"/>
          <w:marBottom w:val="0"/>
          <w:divBdr>
            <w:top w:val="none" w:sz="0" w:space="0" w:color="auto"/>
            <w:left w:val="none" w:sz="0" w:space="0" w:color="auto"/>
            <w:bottom w:val="none" w:sz="0" w:space="0" w:color="auto"/>
            <w:right w:val="none" w:sz="0" w:space="0" w:color="auto"/>
          </w:divBdr>
          <w:divsChild>
            <w:div w:id="912544635">
              <w:marLeft w:val="0"/>
              <w:marRight w:val="0"/>
              <w:marTop w:val="0"/>
              <w:marBottom w:val="0"/>
              <w:divBdr>
                <w:top w:val="none" w:sz="0" w:space="0" w:color="auto"/>
                <w:left w:val="none" w:sz="0" w:space="0" w:color="auto"/>
                <w:bottom w:val="none" w:sz="0" w:space="0" w:color="auto"/>
                <w:right w:val="none" w:sz="0" w:space="0" w:color="auto"/>
              </w:divBdr>
            </w:div>
          </w:divsChild>
        </w:div>
        <w:div w:id="1060057615">
          <w:marLeft w:val="0"/>
          <w:marRight w:val="0"/>
          <w:marTop w:val="0"/>
          <w:marBottom w:val="0"/>
          <w:divBdr>
            <w:top w:val="none" w:sz="0" w:space="0" w:color="auto"/>
            <w:left w:val="none" w:sz="0" w:space="0" w:color="auto"/>
            <w:bottom w:val="none" w:sz="0" w:space="0" w:color="auto"/>
            <w:right w:val="none" w:sz="0" w:space="0" w:color="auto"/>
          </w:divBdr>
          <w:divsChild>
            <w:div w:id="425469272">
              <w:marLeft w:val="0"/>
              <w:marRight w:val="0"/>
              <w:marTop w:val="0"/>
              <w:marBottom w:val="0"/>
              <w:divBdr>
                <w:top w:val="none" w:sz="0" w:space="0" w:color="auto"/>
                <w:left w:val="none" w:sz="0" w:space="0" w:color="auto"/>
                <w:bottom w:val="none" w:sz="0" w:space="0" w:color="auto"/>
                <w:right w:val="none" w:sz="0" w:space="0" w:color="auto"/>
              </w:divBdr>
            </w:div>
          </w:divsChild>
        </w:div>
        <w:div w:id="1148741505">
          <w:marLeft w:val="0"/>
          <w:marRight w:val="0"/>
          <w:marTop w:val="0"/>
          <w:marBottom w:val="0"/>
          <w:divBdr>
            <w:top w:val="none" w:sz="0" w:space="0" w:color="auto"/>
            <w:left w:val="none" w:sz="0" w:space="0" w:color="auto"/>
            <w:bottom w:val="none" w:sz="0" w:space="0" w:color="auto"/>
            <w:right w:val="none" w:sz="0" w:space="0" w:color="auto"/>
          </w:divBdr>
          <w:divsChild>
            <w:div w:id="1780491532">
              <w:marLeft w:val="0"/>
              <w:marRight w:val="0"/>
              <w:marTop w:val="0"/>
              <w:marBottom w:val="0"/>
              <w:divBdr>
                <w:top w:val="none" w:sz="0" w:space="0" w:color="auto"/>
                <w:left w:val="none" w:sz="0" w:space="0" w:color="auto"/>
                <w:bottom w:val="none" w:sz="0" w:space="0" w:color="auto"/>
                <w:right w:val="none" w:sz="0" w:space="0" w:color="auto"/>
              </w:divBdr>
            </w:div>
          </w:divsChild>
        </w:div>
        <w:div w:id="1185365875">
          <w:marLeft w:val="0"/>
          <w:marRight w:val="0"/>
          <w:marTop w:val="0"/>
          <w:marBottom w:val="0"/>
          <w:divBdr>
            <w:top w:val="none" w:sz="0" w:space="0" w:color="auto"/>
            <w:left w:val="none" w:sz="0" w:space="0" w:color="auto"/>
            <w:bottom w:val="none" w:sz="0" w:space="0" w:color="auto"/>
            <w:right w:val="none" w:sz="0" w:space="0" w:color="auto"/>
          </w:divBdr>
          <w:divsChild>
            <w:div w:id="418911012">
              <w:marLeft w:val="0"/>
              <w:marRight w:val="0"/>
              <w:marTop w:val="0"/>
              <w:marBottom w:val="0"/>
              <w:divBdr>
                <w:top w:val="none" w:sz="0" w:space="0" w:color="auto"/>
                <w:left w:val="none" w:sz="0" w:space="0" w:color="auto"/>
                <w:bottom w:val="none" w:sz="0" w:space="0" w:color="auto"/>
                <w:right w:val="none" w:sz="0" w:space="0" w:color="auto"/>
              </w:divBdr>
            </w:div>
          </w:divsChild>
        </w:div>
        <w:div w:id="1197232163">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
          </w:divsChild>
        </w:div>
        <w:div w:id="1232036187">
          <w:marLeft w:val="0"/>
          <w:marRight w:val="0"/>
          <w:marTop w:val="0"/>
          <w:marBottom w:val="0"/>
          <w:divBdr>
            <w:top w:val="none" w:sz="0" w:space="0" w:color="auto"/>
            <w:left w:val="none" w:sz="0" w:space="0" w:color="auto"/>
            <w:bottom w:val="none" w:sz="0" w:space="0" w:color="auto"/>
            <w:right w:val="none" w:sz="0" w:space="0" w:color="auto"/>
          </w:divBdr>
          <w:divsChild>
            <w:div w:id="1197348043">
              <w:marLeft w:val="0"/>
              <w:marRight w:val="0"/>
              <w:marTop w:val="0"/>
              <w:marBottom w:val="0"/>
              <w:divBdr>
                <w:top w:val="none" w:sz="0" w:space="0" w:color="auto"/>
                <w:left w:val="none" w:sz="0" w:space="0" w:color="auto"/>
                <w:bottom w:val="none" w:sz="0" w:space="0" w:color="auto"/>
                <w:right w:val="none" w:sz="0" w:space="0" w:color="auto"/>
              </w:divBdr>
            </w:div>
          </w:divsChild>
        </w:div>
        <w:div w:id="1546211362">
          <w:marLeft w:val="0"/>
          <w:marRight w:val="0"/>
          <w:marTop w:val="0"/>
          <w:marBottom w:val="0"/>
          <w:divBdr>
            <w:top w:val="none" w:sz="0" w:space="0" w:color="auto"/>
            <w:left w:val="none" w:sz="0" w:space="0" w:color="auto"/>
            <w:bottom w:val="none" w:sz="0" w:space="0" w:color="auto"/>
            <w:right w:val="none" w:sz="0" w:space="0" w:color="auto"/>
          </w:divBdr>
          <w:divsChild>
            <w:div w:id="1940673167">
              <w:marLeft w:val="0"/>
              <w:marRight w:val="0"/>
              <w:marTop w:val="0"/>
              <w:marBottom w:val="0"/>
              <w:divBdr>
                <w:top w:val="none" w:sz="0" w:space="0" w:color="auto"/>
                <w:left w:val="none" w:sz="0" w:space="0" w:color="auto"/>
                <w:bottom w:val="none" w:sz="0" w:space="0" w:color="auto"/>
                <w:right w:val="none" w:sz="0" w:space="0" w:color="auto"/>
              </w:divBdr>
            </w:div>
          </w:divsChild>
        </w:div>
        <w:div w:id="1648894118">
          <w:marLeft w:val="0"/>
          <w:marRight w:val="0"/>
          <w:marTop w:val="0"/>
          <w:marBottom w:val="0"/>
          <w:divBdr>
            <w:top w:val="none" w:sz="0" w:space="0" w:color="auto"/>
            <w:left w:val="none" w:sz="0" w:space="0" w:color="auto"/>
            <w:bottom w:val="none" w:sz="0" w:space="0" w:color="auto"/>
            <w:right w:val="none" w:sz="0" w:space="0" w:color="auto"/>
          </w:divBdr>
          <w:divsChild>
            <w:div w:id="1822890535">
              <w:marLeft w:val="0"/>
              <w:marRight w:val="0"/>
              <w:marTop w:val="0"/>
              <w:marBottom w:val="0"/>
              <w:divBdr>
                <w:top w:val="none" w:sz="0" w:space="0" w:color="auto"/>
                <w:left w:val="none" w:sz="0" w:space="0" w:color="auto"/>
                <w:bottom w:val="none" w:sz="0" w:space="0" w:color="auto"/>
                <w:right w:val="none" w:sz="0" w:space="0" w:color="auto"/>
              </w:divBdr>
            </w:div>
          </w:divsChild>
        </w:div>
        <w:div w:id="1687515655">
          <w:marLeft w:val="0"/>
          <w:marRight w:val="0"/>
          <w:marTop w:val="0"/>
          <w:marBottom w:val="0"/>
          <w:divBdr>
            <w:top w:val="none" w:sz="0" w:space="0" w:color="auto"/>
            <w:left w:val="none" w:sz="0" w:space="0" w:color="auto"/>
            <w:bottom w:val="none" w:sz="0" w:space="0" w:color="auto"/>
            <w:right w:val="none" w:sz="0" w:space="0" w:color="auto"/>
          </w:divBdr>
          <w:divsChild>
            <w:div w:id="901600791">
              <w:marLeft w:val="0"/>
              <w:marRight w:val="0"/>
              <w:marTop w:val="0"/>
              <w:marBottom w:val="0"/>
              <w:divBdr>
                <w:top w:val="none" w:sz="0" w:space="0" w:color="auto"/>
                <w:left w:val="none" w:sz="0" w:space="0" w:color="auto"/>
                <w:bottom w:val="none" w:sz="0" w:space="0" w:color="auto"/>
                <w:right w:val="none" w:sz="0" w:space="0" w:color="auto"/>
              </w:divBdr>
            </w:div>
          </w:divsChild>
        </w:div>
        <w:div w:id="1736852403">
          <w:marLeft w:val="0"/>
          <w:marRight w:val="0"/>
          <w:marTop w:val="0"/>
          <w:marBottom w:val="0"/>
          <w:divBdr>
            <w:top w:val="none" w:sz="0" w:space="0" w:color="auto"/>
            <w:left w:val="none" w:sz="0" w:space="0" w:color="auto"/>
            <w:bottom w:val="none" w:sz="0" w:space="0" w:color="auto"/>
            <w:right w:val="none" w:sz="0" w:space="0" w:color="auto"/>
          </w:divBdr>
          <w:divsChild>
            <w:div w:id="675038856">
              <w:marLeft w:val="0"/>
              <w:marRight w:val="0"/>
              <w:marTop w:val="0"/>
              <w:marBottom w:val="0"/>
              <w:divBdr>
                <w:top w:val="none" w:sz="0" w:space="0" w:color="auto"/>
                <w:left w:val="none" w:sz="0" w:space="0" w:color="auto"/>
                <w:bottom w:val="none" w:sz="0" w:space="0" w:color="auto"/>
                <w:right w:val="none" w:sz="0" w:space="0" w:color="auto"/>
              </w:divBdr>
            </w:div>
          </w:divsChild>
        </w:div>
        <w:div w:id="1878078577">
          <w:marLeft w:val="0"/>
          <w:marRight w:val="0"/>
          <w:marTop w:val="0"/>
          <w:marBottom w:val="0"/>
          <w:divBdr>
            <w:top w:val="none" w:sz="0" w:space="0" w:color="auto"/>
            <w:left w:val="none" w:sz="0" w:space="0" w:color="auto"/>
            <w:bottom w:val="none" w:sz="0" w:space="0" w:color="auto"/>
            <w:right w:val="none" w:sz="0" w:space="0" w:color="auto"/>
          </w:divBdr>
          <w:divsChild>
            <w:div w:id="1275868707">
              <w:marLeft w:val="0"/>
              <w:marRight w:val="0"/>
              <w:marTop w:val="0"/>
              <w:marBottom w:val="0"/>
              <w:divBdr>
                <w:top w:val="none" w:sz="0" w:space="0" w:color="auto"/>
                <w:left w:val="none" w:sz="0" w:space="0" w:color="auto"/>
                <w:bottom w:val="none" w:sz="0" w:space="0" w:color="auto"/>
                <w:right w:val="none" w:sz="0" w:space="0" w:color="auto"/>
              </w:divBdr>
            </w:div>
          </w:divsChild>
        </w:div>
        <w:div w:id="1999188046">
          <w:marLeft w:val="0"/>
          <w:marRight w:val="0"/>
          <w:marTop w:val="0"/>
          <w:marBottom w:val="0"/>
          <w:divBdr>
            <w:top w:val="none" w:sz="0" w:space="0" w:color="auto"/>
            <w:left w:val="none" w:sz="0" w:space="0" w:color="auto"/>
            <w:bottom w:val="none" w:sz="0" w:space="0" w:color="auto"/>
            <w:right w:val="none" w:sz="0" w:space="0" w:color="auto"/>
          </w:divBdr>
          <w:divsChild>
            <w:div w:id="1959068312">
              <w:marLeft w:val="0"/>
              <w:marRight w:val="0"/>
              <w:marTop w:val="0"/>
              <w:marBottom w:val="0"/>
              <w:divBdr>
                <w:top w:val="none" w:sz="0" w:space="0" w:color="auto"/>
                <w:left w:val="none" w:sz="0" w:space="0" w:color="auto"/>
                <w:bottom w:val="none" w:sz="0" w:space="0" w:color="auto"/>
                <w:right w:val="none" w:sz="0" w:space="0" w:color="auto"/>
              </w:divBdr>
            </w:div>
          </w:divsChild>
        </w:div>
        <w:div w:id="2128351541">
          <w:marLeft w:val="0"/>
          <w:marRight w:val="0"/>
          <w:marTop w:val="0"/>
          <w:marBottom w:val="0"/>
          <w:divBdr>
            <w:top w:val="none" w:sz="0" w:space="0" w:color="auto"/>
            <w:left w:val="none" w:sz="0" w:space="0" w:color="auto"/>
            <w:bottom w:val="none" w:sz="0" w:space="0" w:color="auto"/>
            <w:right w:val="none" w:sz="0" w:space="0" w:color="auto"/>
          </w:divBdr>
          <w:divsChild>
            <w:div w:id="572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23698">
      <w:bodyDiv w:val="1"/>
      <w:marLeft w:val="0"/>
      <w:marRight w:val="0"/>
      <w:marTop w:val="0"/>
      <w:marBottom w:val="0"/>
      <w:divBdr>
        <w:top w:val="none" w:sz="0" w:space="0" w:color="auto"/>
        <w:left w:val="none" w:sz="0" w:space="0" w:color="auto"/>
        <w:bottom w:val="none" w:sz="0" w:space="0" w:color="auto"/>
        <w:right w:val="none" w:sz="0" w:space="0" w:color="auto"/>
      </w:divBdr>
    </w:div>
    <w:div w:id="252981989">
      <w:bodyDiv w:val="1"/>
      <w:marLeft w:val="0"/>
      <w:marRight w:val="0"/>
      <w:marTop w:val="0"/>
      <w:marBottom w:val="0"/>
      <w:divBdr>
        <w:top w:val="none" w:sz="0" w:space="0" w:color="auto"/>
        <w:left w:val="none" w:sz="0" w:space="0" w:color="auto"/>
        <w:bottom w:val="none" w:sz="0" w:space="0" w:color="auto"/>
        <w:right w:val="none" w:sz="0" w:space="0" w:color="auto"/>
      </w:divBdr>
    </w:div>
    <w:div w:id="275454874">
      <w:bodyDiv w:val="1"/>
      <w:marLeft w:val="0"/>
      <w:marRight w:val="0"/>
      <w:marTop w:val="0"/>
      <w:marBottom w:val="0"/>
      <w:divBdr>
        <w:top w:val="none" w:sz="0" w:space="0" w:color="auto"/>
        <w:left w:val="none" w:sz="0" w:space="0" w:color="auto"/>
        <w:bottom w:val="none" w:sz="0" w:space="0" w:color="auto"/>
        <w:right w:val="none" w:sz="0" w:space="0" w:color="auto"/>
      </w:divBdr>
    </w:div>
    <w:div w:id="284653363">
      <w:bodyDiv w:val="1"/>
      <w:marLeft w:val="0"/>
      <w:marRight w:val="0"/>
      <w:marTop w:val="0"/>
      <w:marBottom w:val="0"/>
      <w:divBdr>
        <w:top w:val="none" w:sz="0" w:space="0" w:color="auto"/>
        <w:left w:val="none" w:sz="0" w:space="0" w:color="auto"/>
        <w:bottom w:val="none" w:sz="0" w:space="0" w:color="auto"/>
        <w:right w:val="none" w:sz="0" w:space="0" w:color="auto"/>
      </w:divBdr>
    </w:div>
    <w:div w:id="334767847">
      <w:bodyDiv w:val="1"/>
      <w:marLeft w:val="0"/>
      <w:marRight w:val="0"/>
      <w:marTop w:val="0"/>
      <w:marBottom w:val="0"/>
      <w:divBdr>
        <w:top w:val="none" w:sz="0" w:space="0" w:color="auto"/>
        <w:left w:val="none" w:sz="0" w:space="0" w:color="auto"/>
        <w:bottom w:val="none" w:sz="0" w:space="0" w:color="auto"/>
        <w:right w:val="none" w:sz="0" w:space="0" w:color="auto"/>
      </w:divBdr>
    </w:div>
    <w:div w:id="341511134">
      <w:bodyDiv w:val="1"/>
      <w:marLeft w:val="0"/>
      <w:marRight w:val="0"/>
      <w:marTop w:val="0"/>
      <w:marBottom w:val="0"/>
      <w:divBdr>
        <w:top w:val="none" w:sz="0" w:space="0" w:color="auto"/>
        <w:left w:val="none" w:sz="0" w:space="0" w:color="auto"/>
        <w:bottom w:val="none" w:sz="0" w:space="0" w:color="auto"/>
        <w:right w:val="none" w:sz="0" w:space="0" w:color="auto"/>
      </w:divBdr>
    </w:div>
    <w:div w:id="34309464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6542106">
      <w:bodyDiv w:val="1"/>
      <w:marLeft w:val="0"/>
      <w:marRight w:val="0"/>
      <w:marTop w:val="0"/>
      <w:marBottom w:val="0"/>
      <w:divBdr>
        <w:top w:val="none" w:sz="0" w:space="0" w:color="auto"/>
        <w:left w:val="none" w:sz="0" w:space="0" w:color="auto"/>
        <w:bottom w:val="none" w:sz="0" w:space="0" w:color="auto"/>
        <w:right w:val="none" w:sz="0" w:space="0" w:color="auto"/>
      </w:divBdr>
    </w:div>
    <w:div w:id="362679841">
      <w:bodyDiv w:val="1"/>
      <w:marLeft w:val="0"/>
      <w:marRight w:val="0"/>
      <w:marTop w:val="0"/>
      <w:marBottom w:val="0"/>
      <w:divBdr>
        <w:top w:val="none" w:sz="0" w:space="0" w:color="auto"/>
        <w:left w:val="none" w:sz="0" w:space="0" w:color="auto"/>
        <w:bottom w:val="none" w:sz="0" w:space="0" w:color="auto"/>
        <w:right w:val="none" w:sz="0" w:space="0" w:color="auto"/>
      </w:divBdr>
    </w:div>
    <w:div w:id="369841999">
      <w:bodyDiv w:val="1"/>
      <w:marLeft w:val="0"/>
      <w:marRight w:val="0"/>
      <w:marTop w:val="0"/>
      <w:marBottom w:val="0"/>
      <w:divBdr>
        <w:top w:val="none" w:sz="0" w:space="0" w:color="auto"/>
        <w:left w:val="none" w:sz="0" w:space="0" w:color="auto"/>
        <w:bottom w:val="none" w:sz="0" w:space="0" w:color="auto"/>
        <w:right w:val="none" w:sz="0" w:space="0" w:color="auto"/>
      </w:divBdr>
    </w:div>
    <w:div w:id="384136920">
      <w:bodyDiv w:val="1"/>
      <w:marLeft w:val="0"/>
      <w:marRight w:val="0"/>
      <w:marTop w:val="0"/>
      <w:marBottom w:val="0"/>
      <w:divBdr>
        <w:top w:val="none" w:sz="0" w:space="0" w:color="auto"/>
        <w:left w:val="none" w:sz="0" w:space="0" w:color="auto"/>
        <w:bottom w:val="none" w:sz="0" w:space="0" w:color="auto"/>
        <w:right w:val="none" w:sz="0" w:space="0" w:color="auto"/>
      </w:divBdr>
    </w:div>
    <w:div w:id="386027496">
      <w:bodyDiv w:val="1"/>
      <w:marLeft w:val="0"/>
      <w:marRight w:val="0"/>
      <w:marTop w:val="0"/>
      <w:marBottom w:val="0"/>
      <w:divBdr>
        <w:top w:val="none" w:sz="0" w:space="0" w:color="auto"/>
        <w:left w:val="none" w:sz="0" w:space="0" w:color="auto"/>
        <w:bottom w:val="none" w:sz="0" w:space="0" w:color="auto"/>
        <w:right w:val="none" w:sz="0" w:space="0" w:color="auto"/>
      </w:divBdr>
    </w:div>
    <w:div w:id="387529909">
      <w:bodyDiv w:val="1"/>
      <w:marLeft w:val="0"/>
      <w:marRight w:val="0"/>
      <w:marTop w:val="0"/>
      <w:marBottom w:val="0"/>
      <w:divBdr>
        <w:top w:val="none" w:sz="0" w:space="0" w:color="auto"/>
        <w:left w:val="none" w:sz="0" w:space="0" w:color="auto"/>
        <w:bottom w:val="none" w:sz="0" w:space="0" w:color="auto"/>
        <w:right w:val="none" w:sz="0" w:space="0" w:color="auto"/>
      </w:divBdr>
    </w:div>
    <w:div w:id="40556901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6222093">
      <w:bodyDiv w:val="1"/>
      <w:marLeft w:val="0"/>
      <w:marRight w:val="0"/>
      <w:marTop w:val="0"/>
      <w:marBottom w:val="0"/>
      <w:divBdr>
        <w:top w:val="none" w:sz="0" w:space="0" w:color="auto"/>
        <w:left w:val="none" w:sz="0" w:space="0" w:color="auto"/>
        <w:bottom w:val="none" w:sz="0" w:space="0" w:color="auto"/>
        <w:right w:val="none" w:sz="0" w:space="0" w:color="auto"/>
      </w:divBdr>
    </w:div>
    <w:div w:id="440418712">
      <w:bodyDiv w:val="1"/>
      <w:marLeft w:val="0"/>
      <w:marRight w:val="0"/>
      <w:marTop w:val="0"/>
      <w:marBottom w:val="0"/>
      <w:divBdr>
        <w:top w:val="none" w:sz="0" w:space="0" w:color="auto"/>
        <w:left w:val="none" w:sz="0" w:space="0" w:color="auto"/>
        <w:bottom w:val="none" w:sz="0" w:space="0" w:color="auto"/>
        <w:right w:val="none" w:sz="0" w:space="0" w:color="auto"/>
      </w:divBdr>
    </w:div>
    <w:div w:id="467631524">
      <w:bodyDiv w:val="1"/>
      <w:marLeft w:val="0"/>
      <w:marRight w:val="0"/>
      <w:marTop w:val="0"/>
      <w:marBottom w:val="0"/>
      <w:divBdr>
        <w:top w:val="none" w:sz="0" w:space="0" w:color="auto"/>
        <w:left w:val="none" w:sz="0" w:space="0" w:color="auto"/>
        <w:bottom w:val="none" w:sz="0" w:space="0" w:color="auto"/>
        <w:right w:val="none" w:sz="0" w:space="0" w:color="auto"/>
      </w:divBdr>
    </w:div>
    <w:div w:id="477380751">
      <w:bodyDiv w:val="1"/>
      <w:marLeft w:val="0"/>
      <w:marRight w:val="0"/>
      <w:marTop w:val="0"/>
      <w:marBottom w:val="0"/>
      <w:divBdr>
        <w:top w:val="none" w:sz="0" w:space="0" w:color="auto"/>
        <w:left w:val="none" w:sz="0" w:space="0" w:color="auto"/>
        <w:bottom w:val="none" w:sz="0" w:space="0" w:color="auto"/>
        <w:right w:val="none" w:sz="0" w:space="0" w:color="auto"/>
      </w:divBdr>
    </w:div>
    <w:div w:id="481846612">
      <w:bodyDiv w:val="1"/>
      <w:marLeft w:val="0"/>
      <w:marRight w:val="0"/>
      <w:marTop w:val="0"/>
      <w:marBottom w:val="0"/>
      <w:divBdr>
        <w:top w:val="none" w:sz="0" w:space="0" w:color="auto"/>
        <w:left w:val="none" w:sz="0" w:space="0" w:color="auto"/>
        <w:bottom w:val="none" w:sz="0" w:space="0" w:color="auto"/>
        <w:right w:val="none" w:sz="0" w:space="0" w:color="auto"/>
      </w:divBdr>
    </w:div>
    <w:div w:id="489060441">
      <w:bodyDiv w:val="1"/>
      <w:marLeft w:val="0"/>
      <w:marRight w:val="0"/>
      <w:marTop w:val="0"/>
      <w:marBottom w:val="0"/>
      <w:divBdr>
        <w:top w:val="none" w:sz="0" w:space="0" w:color="auto"/>
        <w:left w:val="none" w:sz="0" w:space="0" w:color="auto"/>
        <w:bottom w:val="none" w:sz="0" w:space="0" w:color="auto"/>
        <w:right w:val="none" w:sz="0" w:space="0" w:color="auto"/>
      </w:divBdr>
    </w:div>
    <w:div w:id="508912929">
      <w:bodyDiv w:val="1"/>
      <w:marLeft w:val="0"/>
      <w:marRight w:val="0"/>
      <w:marTop w:val="0"/>
      <w:marBottom w:val="0"/>
      <w:divBdr>
        <w:top w:val="none" w:sz="0" w:space="0" w:color="auto"/>
        <w:left w:val="none" w:sz="0" w:space="0" w:color="auto"/>
        <w:bottom w:val="none" w:sz="0" w:space="0" w:color="auto"/>
        <w:right w:val="none" w:sz="0" w:space="0" w:color="auto"/>
      </w:divBdr>
    </w:div>
    <w:div w:id="510339545">
      <w:bodyDiv w:val="1"/>
      <w:marLeft w:val="0"/>
      <w:marRight w:val="0"/>
      <w:marTop w:val="0"/>
      <w:marBottom w:val="0"/>
      <w:divBdr>
        <w:top w:val="none" w:sz="0" w:space="0" w:color="auto"/>
        <w:left w:val="none" w:sz="0" w:space="0" w:color="auto"/>
        <w:bottom w:val="none" w:sz="0" w:space="0" w:color="auto"/>
        <w:right w:val="none" w:sz="0" w:space="0" w:color="auto"/>
      </w:divBdr>
    </w:div>
    <w:div w:id="520051596">
      <w:bodyDiv w:val="1"/>
      <w:marLeft w:val="0"/>
      <w:marRight w:val="0"/>
      <w:marTop w:val="0"/>
      <w:marBottom w:val="0"/>
      <w:divBdr>
        <w:top w:val="none" w:sz="0" w:space="0" w:color="auto"/>
        <w:left w:val="none" w:sz="0" w:space="0" w:color="auto"/>
        <w:bottom w:val="none" w:sz="0" w:space="0" w:color="auto"/>
        <w:right w:val="none" w:sz="0" w:space="0" w:color="auto"/>
      </w:divBdr>
    </w:div>
    <w:div w:id="537669094">
      <w:bodyDiv w:val="1"/>
      <w:marLeft w:val="0"/>
      <w:marRight w:val="0"/>
      <w:marTop w:val="0"/>
      <w:marBottom w:val="0"/>
      <w:divBdr>
        <w:top w:val="none" w:sz="0" w:space="0" w:color="auto"/>
        <w:left w:val="none" w:sz="0" w:space="0" w:color="auto"/>
        <w:bottom w:val="none" w:sz="0" w:space="0" w:color="auto"/>
        <w:right w:val="none" w:sz="0" w:space="0" w:color="auto"/>
      </w:divBdr>
    </w:div>
    <w:div w:id="583954541">
      <w:bodyDiv w:val="1"/>
      <w:marLeft w:val="0"/>
      <w:marRight w:val="0"/>
      <w:marTop w:val="0"/>
      <w:marBottom w:val="0"/>
      <w:divBdr>
        <w:top w:val="none" w:sz="0" w:space="0" w:color="auto"/>
        <w:left w:val="none" w:sz="0" w:space="0" w:color="auto"/>
        <w:bottom w:val="none" w:sz="0" w:space="0" w:color="auto"/>
        <w:right w:val="none" w:sz="0" w:space="0" w:color="auto"/>
      </w:divBdr>
    </w:div>
    <w:div w:id="602148272">
      <w:bodyDiv w:val="1"/>
      <w:marLeft w:val="0"/>
      <w:marRight w:val="0"/>
      <w:marTop w:val="0"/>
      <w:marBottom w:val="0"/>
      <w:divBdr>
        <w:top w:val="none" w:sz="0" w:space="0" w:color="auto"/>
        <w:left w:val="none" w:sz="0" w:space="0" w:color="auto"/>
        <w:bottom w:val="none" w:sz="0" w:space="0" w:color="auto"/>
        <w:right w:val="none" w:sz="0" w:space="0" w:color="auto"/>
      </w:divBdr>
    </w:div>
    <w:div w:id="609776210">
      <w:bodyDiv w:val="1"/>
      <w:marLeft w:val="0"/>
      <w:marRight w:val="0"/>
      <w:marTop w:val="0"/>
      <w:marBottom w:val="0"/>
      <w:divBdr>
        <w:top w:val="none" w:sz="0" w:space="0" w:color="auto"/>
        <w:left w:val="none" w:sz="0" w:space="0" w:color="auto"/>
        <w:bottom w:val="none" w:sz="0" w:space="0" w:color="auto"/>
        <w:right w:val="none" w:sz="0" w:space="0" w:color="auto"/>
      </w:divBdr>
    </w:div>
    <w:div w:id="61043306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591085">
      <w:bodyDiv w:val="1"/>
      <w:marLeft w:val="0"/>
      <w:marRight w:val="0"/>
      <w:marTop w:val="0"/>
      <w:marBottom w:val="0"/>
      <w:divBdr>
        <w:top w:val="none" w:sz="0" w:space="0" w:color="auto"/>
        <w:left w:val="none" w:sz="0" w:space="0" w:color="auto"/>
        <w:bottom w:val="none" w:sz="0" w:space="0" w:color="auto"/>
        <w:right w:val="none" w:sz="0" w:space="0" w:color="auto"/>
      </w:divBdr>
    </w:div>
    <w:div w:id="632054739">
      <w:bodyDiv w:val="1"/>
      <w:marLeft w:val="0"/>
      <w:marRight w:val="0"/>
      <w:marTop w:val="0"/>
      <w:marBottom w:val="0"/>
      <w:divBdr>
        <w:top w:val="none" w:sz="0" w:space="0" w:color="auto"/>
        <w:left w:val="none" w:sz="0" w:space="0" w:color="auto"/>
        <w:bottom w:val="none" w:sz="0" w:space="0" w:color="auto"/>
        <w:right w:val="none" w:sz="0" w:space="0" w:color="auto"/>
      </w:divBdr>
    </w:div>
    <w:div w:id="636111391">
      <w:bodyDiv w:val="1"/>
      <w:marLeft w:val="0"/>
      <w:marRight w:val="0"/>
      <w:marTop w:val="0"/>
      <w:marBottom w:val="0"/>
      <w:divBdr>
        <w:top w:val="none" w:sz="0" w:space="0" w:color="auto"/>
        <w:left w:val="none" w:sz="0" w:space="0" w:color="auto"/>
        <w:bottom w:val="none" w:sz="0" w:space="0" w:color="auto"/>
        <w:right w:val="none" w:sz="0" w:space="0" w:color="auto"/>
      </w:divBdr>
    </w:div>
    <w:div w:id="651911817">
      <w:bodyDiv w:val="1"/>
      <w:marLeft w:val="0"/>
      <w:marRight w:val="0"/>
      <w:marTop w:val="0"/>
      <w:marBottom w:val="0"/>
      <w:divBdr>
        <w:top w:val="none" w:sz="0" w:space="0" w:color="auto"/>
        <w:left w:val="none" w:sz="0" w:space="0" w:color="auto"/>
        <w:bottom w:val="none" w:sz="0" w:space="0" w:color="auto"/>
        <w:right w:val="none" w:sz="0" w:space="0" w:color="auto"/>
      </w:divBdr>
      <w:divsChild>
        <w:div w:id="376011906">
          <w:marLeft w:val="0"/>
          <w:marRight w:val="0"/>
          <w:marTop w:val="0"/>
          <w:marBottom w:val="0"/>
          <w:divBdr>
            <w:top w:val="none" w:sz="0" w:space="0" w:color="auto"/>
            <w:left w:val="none" w:sz="0" w:space="0" w:color="auto"/>
            <w:bottom w:val="none" w:sz="0" w:space="0" w:color="auto"/>
            <w:right w:val="none" w:sz="0" w:space="0" w:color="auto"/>
          </w:divBdr>
        </w:div>
        <w:div w:id="387847750">
          <w:marLeft w:val="0"/>
          <w:marRight w:val="0"/>
          <w:marTop w:val="0"/>
          <w:marBottom w:val="0"/>
          <w:divBdr>
            <w:top w:val="none" w:sz="0" w:space="0" w:color="auto"/>
            <w:left w:val="none" w:sz="0" w:space="0" w:color="auto"/>
            <w:bottom w:val="none" w:sz="0" w:space="0" w:color="auto"/>
            <w:right w:val="none" w:sz="0" w:space="0" w:color="auto"/>
          </w:divBdr>
          <w:divsChild>
            <w:div w:id="1964379521">
              <w:marLeft w:val="-75"/>
              <w:marRight w:val="0"/>
              <w:marTop w:val="30"/>
              <w:marBottom w:val="30"/>
              <w:divBdr>
                <w:top w:val="none" w:sz="0" w:space="0" w:color="auto"/>
                <w:left w:val="none" w:sz="0" w:space="0" w:color="auto"/>
                <w:bottom w:val="none" w:sz="0" w:space="0" w:color="auto"/>
                <w:right w:val="none" w:sz="0" w:space="0" w:color="auto"/>
              </w:divBdr>
              <w:divsChild>
                <w:div w:id="5720447">
                  <w:marLeft w:val="0"/>
                  <w:marRight w:val="0"/>
                  <w:marTop w:val="0"/>
                  <w:marBottom w:val="0"/>
                  <w:divBdr>
                    <w:top w:val="none" w:sz="0" w:space="0" w:color="auto"/>
                    <w:left w:val="none" w:sz="0" w:space="0" w:color="auto"/>
                    <w:bottom w:val="none" w:sz="0" w:space="0" w:color="auto"/>
                    <w:right w:val="none" w:sz="0" w:space="0" w:color="auto"/>
                  </w:divBdr>
                  <w:divsChild>
                    <w:div w:id="305016829">
                      <w:marLeft w:val="0"/>
                      <w:marRight w:val="0"/>
                      <w:marTop w:val="0"/>
                      <w:marBottom w:val="0"/>
                      <w:divBdr>
                        <w:top w:val="none" w:sz="0" w:space="0" w:color="auto"/>
                        <w:left w:val="none" w:sz="0" w:space="0" w:color="auto"/>
                        <w:bottom w:val="none" w:sz="0" w:space="0" w:color="auto"/>
                        <w:right w:val="none" w:sz="0" w:space="0" w:color="auto"/>
                      </w:divBdr>
                    </w:div>
                  </w:divsChild>
                </w:div>
                <w:div w:id="70474522">
                  <w:marLeft w:val="0"/>
                  <w:marRight w:val="0"/>
                  <w:marTop w:val="0"/>
                  <w:marBottom w:val="0"/>
                  <w:divBdr>
                    <w:top w:val="none" w:sz="0" w:space="0" w:color="auto"/>
                    <w:left w:val="none" w:sz="0" w:space="0" w:color="auto"/>
                    <w:bottom w:val="none" w:sz="0" w:space="0" w:color="auto"/>
                    <w:right w:val="none" w:sz="0" w:space="0" w:color="auto"/>
                  </w:divBdr>
                  <w:divsChild>
                    <w:div w:id="2004623839">
                      <w:marLeft w:val="0"/>
                      <w:marRight w:val="0"/>
                      <w:marTop w:val="0"/>
                      <w:marBottom w:val="0"/>
                      <w:divBdr>
                        <w:top w:val="none" w:sz="0" w:space="0" w:color="auto"/>
                        <w:left w:val="none" w:sz="0" w:space="0" w:color="auto"/>
                        <w:bottom w:val="none" w:sz="0" w:space="0" w:color="auto"/>
                        <w:right w:val="none" w:sz="0" w:space="0" w:color="auto"/>
                      </w:divBdr>
                    </w:div>
                  </w:divsChild>
                </w:div>
                <w:div w:id="100881106">
                  <w:marLeft w:val="0"/>
                  <w:marRight w:val="0"/>
                  <w:marTop w:val="0"/>
                  <w:marBottom w:val="0"/>
                  <w:divBdr>
                    <w:top w:val="none" w:sz="0" w:space="0" w:color="auto"/>
                    <w:left w:val="none" w:sz="0" w:space="0" w:color="auto"/>
                    <w:bottom w:val="none" w:sz="0" w:space="0" w:color="auto"/>
                    <w:right w:val="none" w:sz="0" w:space="0" w:color="auto"/>
                  </w:divBdr>
                  <w:divsChild>
                    <w:div w:id="171384581">
                      <w:marLeft w:val="0"/>
                      <w:marRight w:val="0"/>
                      <w:marTop w:val="0"/>
                      <w:marBottom w:val="0"/>
                      <w:divBdr>
                        <w:top w:val="none" w:sz="0" w:space="0" w:color="auto"/>
                        <w:left w:val="none" w:sz="0" w:space="0" w:color="auto"/>
                        <w:bottom w:val="none" w:sz="0" w:space="0" w:color="auto"/>
                        <w:right w:val="none" w:sz="0" w:space="0" w:color="auto"/>
                      </w:divBdr>
                    </w:div>
                  </w:divsChild>
                </w:div>
                <w:div w:id="272564843">
                  <w:marLeft w:val="0"/>
                  <w:marRight w:val="0"/>
                  <w:marTop w:val="0"/>
                  <w:marBottom w:val="0"/>
                  <w:divBdr>
                    <w:top w:val="none" w:sz="0" w:space="0" w:color="auto"/>
                    <w:left w:val="none" w:sz="0" w:space="0" w:color="auto"/>
                    <w:bottom w:val="none" w:sz="0" w:space="0" w:color="auto"/>
                    <w:right w:val="none" w:sz="0" w:space="0" w:color="auto"/>
                  </w:divBdr>
                  <w:divsChild>
                    <w:div w:id="2074960670">
                      <w:marLeft w:val="0"/>
                      <w:marRight w:val="0"/>
                      <w:marTop w:val="0"/>
                      <w:marBottom w:val="0"/>
                      <w:divBdr>
                        <w:top w:val="none" w:sz="0" w:space="0" w:color="auto"/>
                        <w:left w:val="none" w:sz="0" w:space="0" w:color="auto"/>
                        <w:bottom w:val="none" w:sz="0" w:space="0" w:color="auto"/>
                        <w:right w:val="none" w:sz="0" w:space="0" w:color="auto"/>
                      </w:divBdr>
                    </w:div>
                  </w:divsChild>
                </w:div>
                <w:div w:id="626934737">
                  <w:marLeft w:val="0"/>
                  <w:marRight w:val="0"/>
                  <w:marTop w:val="0"/>
                  <w:marBottom w:val="0"/>
                  <w:divBdr>
                    <w:top w:val="none" w:sz="0" w:space="0" w:color="auto"/>
                    <w:left w:val="none" w:sz="0" w:space="0" w:color="auto"/>
                    <w:bottom w:val="none" w:sz="0" w:space="0" w:color="auto"/>
                    <w:right w:val="none" w:sz="0" w:space="0" w:color="auto"/>
                  </w:divBdr>
                  <w:divsChild>
                    <w:div w:id="2037123230">
                      <w:marLeft w:val="0"/>
                      <w:marRight w:val="0"/>
                      <w:marTop w:val="0"/>
                      <w:marBottom w:val="0"/>
                      <w:divBdr>
                        <w:top w:val="none" w:sz="0" w:space="0" w:color="auto"/>
                        <w:left w:val="none" w:sz="0" w:space="0" w:color="auto"/>
                        <w:bottom w:val="none" w:sz="0" w:space="0" w:color="auto"/>
                        <w:right w:val="none" w:sz="0" w:space="0" w:color="auto"/>
                      </w:divBdr>
                    </w:div>
                  </w:divsChild>
                </w:div>
                <w:div w:id="719402804">
                  <w:marLeft w:val="0"/>
                  <w:marRight w:val="0"/>
                  <w:marTop w:val="0"/>
                  <w:marBottom w:val="0"/>
                  <w:divBdr>
                    <w:top w:val="none" w:sz="0" w:space="0" w:color="auto"/>
                    <w:left w:val="none" w:sz="0" w:space="0" w:color="auto"/>
                    <w:bottom w:val="none" w:sz="0" w:space="0" w:color="auto"/>
                    <w:right w:val="none" w:sz="0" w:space="0" w:color="auto"/>
                  </w:divBdr>
                  <w:divsChild>
                    <w:div w:id="927037156">
                      <w:marLeft w:val="0"/>
                      <w:marRight w:val="0"/>
                      <w:marTop w:val="0"/>
                      <w:marBottom w:val="0"/>
                      <w:divBdr>
                        <w:top w:val="none" w:sz="0" w:space="0" w:color="auto"/>
                        <w:left w:val="none" w:sz="0" w:space="0" w:color="auto"/>
                        <w:bottom w:val="none" w:sz="0" w:space="0" w:color="auto"/>
                        <w:right w:val="none" w:sz="0" w:space="0" w:color="auto"/>
                      </w:divBdr>
                    </w:div>
                  </w:divsChild>
                </w:div>
                <w:div w:id="775371627">
                  <w:marLeft w:val="0"/>
                  <w:marRight w:val="0"/>
                  <w:marTop w:val="0"/>
                  <w:marBottom w:val="0"/>
                  <w:divBdr>
                    <w:top w:val="none" w:sz="0" w:space="0" w:color="auto"/>
                    <w:left w:val="none" w:sz="0" w:space="0" w:color="auto"/>
                    <w:bottom w:val="none" w:sz="0" w:space="0" w:color="auto"/>
                    <w:right w:val="none" w:sz="0" w:space="0" w:color="auto"/>
                  </w:divBdr>
                  <w:divsChild>
                    <w:div w:id="1084768198">
                      <w:marLeft w:val="0"/>
                      <w:marRight w:val="0"/>
                      <w:marTop w:val="0"/>
                      <w:marBottom w:val="0"/>
                      <w:divBdr>
                        <w:top w:val="none" w:sz="0" w:space="0" w:color="auto"/>
                        <w:left w:val="none" w:sz="0" w:space="0" w:color="auto"/>
                        <w:bottom w:val="none" w:sz="0" w:space="0" w:color="auto"/>
                        <w:right w:val="none" w:sz="0" w:space="0" w:color="auto"/>
                      </w:divBdr>
                    </w:div>
                  </w:divsChild>
                </w:div>
                <w:div w:id="781143352">
                  <w:marLeft w:val="0"/>
                  <w:marRight w:val="0"/>
                  <w:marTop w:val="0"/>
                  <w:marBottom w:val="0"/>
                  <w:divBdr>
                    <w:top w:val="none" w:sz="0" w:space="0" w:color="auto"/>
                    <w:left w:val="none" w:sz="0" w:space="0" w:color="auto"/>
                    <w:bottom w:val="none" w:sz="0" w:space="0" w:color="auto"/>
                    <w:right w:val="none" w:sz="0" w:space="0" w:color="auto"/>
                  </w:divBdr>
                  <w:divsChild>
                    <w:div w:id="1517768150">
                      <w:marLeft w:val="0"/>
                      <w:marRight w:val="0"/>
                      <w:marTop w:val="0"/>
                      <w:marBottom w:val="0"/>
                      <w:divBdr>
                        <w:top w:val="none" w:sz="0" w:space="0" w:color="auto"/>
                        <w:left w:val="none" w:sz="0" w:space="0" w:color="auto"/>
                        <w:bottom w:val="none" w:sz="0" w:space="0" w:color="auto"/>
                        <w:right w:val="none" w:sz="0" w:space="0" w:color="auto"/>
                      </w:divBdr>
                    </w:div>
                  </w:divsChild>
                </w:div>
                <w:div w:id="829562947">
                  <w:marLeft w:val="0"/>
                  <w:marRight w:val="0"/>
                  <w:marTop w:val="0"/>
                  <w:marBottom w:val="0"/>
                  <w:divBdr>
                    <w:top w:val="none" w:sz="0" w:space="0" w:color="auto"/>
                    <w:left w:val="none" w:sz="0" w:space="0" w:color="auto"/>
                    <w:bottom w:val="none" w:sz="0" w:space="0" w:color="auto"/>
                    <w:right w:val="none" w:sz="0" w:space="0" w:color="auto"/>
                  </w:divBdr>
                  <w:divsChild>
                    <w:div w:id="3368141">
                      <w:marLeft w:val="0"/>
                      <w:marRight w:val="0"/>
                      <w:marTop w:val="0"/>
                      <w:marBottom w:val="0"/>
                      <w:divBdr>
                        <w:top w:val="none" w:sz="0" w:space="0" w:color="auto"/>
                        <w:left w:val="none" w:sz="0" w:space="0" w:color="auto"/>
                        <w:bottom w:val="none" w:sz="0" w:space="0" w:color="auto"/>
                        <w:right w:val="none" w:sz="0" w:space="0" w:color="auto"/>
                      </w:divBdr>
                    </w:div>
                  </w:divsChild>
                </w:div>
                <w:div w:id="965430845">
                  <w:marLeft w:val="0"/>
                  <w:marRight w:val="0"/>
                  <w:marTop w:val="0"/>
                  <w:marBottom w:val="0"/>
                  <w:divBdr>
                    <w:top w:val="none" w:sz="0" w:space="0" w:color="auto"/>
                    <w:left w:val="none" w:sz="0" w:space="0" w:color="auto"/>
                    <w:bottom w:val="none" w:sz="0" w:space="0" w:color="auto"/>
                    <w:right w:val="none" w:sz="0" w:space="0" w:color="auto"/>
                  </w:divBdr>
                  <w:divsChild>
                    <w:div w:id="1804613717">
                      <w:marLeft w:val="0"/>
                      <w:marRight w:val="0"/>
                      <w:marTop w:val="0"/>
                      <w:marBottom w:val="0"/>
                      <w:divBdr>
                        <w:top w:val="none" w:sz="0" w:space="0" w:color="auto"/>
                        <w:left w:val="none" w:sz="0" w:space="0" w:color="auto"/>
                        <w:bottom w:val="none" w:sz="0" w:space="0" w:color="auto"/>
                        <w:right w:val="none" w:sz="0" w:space="0" w:color="auto"/>
                      </w:divBdr>
                    </w:div>
                  </w:divsChild>
                </w:div>
                <w:div w:id="1058631509">
                  <w:marLeft w:val="0"/>
                  <w:marRight w:val="0"/>
                  <w:marTop w:val="0"/>
                  <w:marBottom w:val="0"/>
                  <w:divBdr>
                    <w:top w:val="none" w:sz="0" w:space="0" w:color="auto"/>
                    <w:left w:val="none" w:sz="0" w:space="0" w:color="auto"/>
                    <w:bottom w:val="none" w:sz="0" w:space="0" w:color="auto"/>
                    <w:right w:val="none" w:sz="0" w:space="0" w:color="auto"/>
                  </w:divBdr>
                  <w:divsChild>
                    <w:div w:id="305088729">
                      <w:marLeft w:val="0"/>
                      <w:marRight w:val="0"/>
                      <w:marTop w:val="0"/>
                      <w:marBottom w:val="0"/>
                      <w:divBdr>
                        <w:top w:val="none" w:sz="0" w:space="0" w:color="auto"/>
                        <w:left w:val="none" w:sz="0" w:space="0" w:color="auto"/>
                        <w:bottom w:val="none" w:sz="0" w:space="0" w:color="auto"/>
                        <w:right w:val="none" w:sz="0" w:space="0" w:color="auto"/>
                      </w:divBdr>
                    </w:div>
                  </w:divsChild>
                </w:div>
                <w:div w:id="1134718788">
                  <w:marLeft w:val="0"/>
                  <w:marRight w:val="0"/>
                  <w:marTop w:val="0"/>
                  <w:marBottom w:val="0"/>
                  <w:divBdr>
                    <w:top w:val="none" w:sz="0" w:space="0" w:color="auto"/>
                    <w:left w:val="none" w:sz="0" w:space="0" w:color="auto"/>
                    <w:bottom w:val="none" w:sz="0" w:space="0" w:color="auto"/>
                    <w:right w:val="none" w:sz="0" w:space="0" w:color="auto"/>
                  </w:divBdr>
                  <w:divsChild>
                    <w:div w:id="810484758">
                      <w:marLeft w:val="0"/>
                      <w:marRight w:val="0"/>
                      <w:marTop w:val="0"/>
                      <w:marBottom w:val="0"/>
                      <w:divBdr>
                        <w:top w:val="none" w:sz="0" w:space="0" w:color="auto"/>
                        <w:left w:val="none" w:sz="0" w:space="0" w:color="auto"/>
                        <w:bottom w:val="none" w:sz="0" w:space="0" w:color="auto"/>
                        <w:right w:val="none" w:sz="0" w:space="0" w:color="auto"/>
                      </w:divBdr>
                    </w:div>
                  </w:divsChild>
                </w:div>
                <w:div w:id="1191720674">
                  <w:marLeft w:val="0"/>
                  <w:marRight w:val="0"/>
                  <w:marTop w:val="0"/>
                  <w:marBottom w:val="0"/>
                  <w:divBdr>
                    <w:top w:val="none" w:sz="0" w:space="0" w:color="auto"/>
                    <w:left w:val="none" w:sz="0" w:space="0" w:color="auto"/>
                    <w:bottom w:val="none" w:sz="0" w:space="0" w:color="auto"/>
                    <w:right w:val="none" w:sz="0" w:space="0" w:color="auto"/>
                  </w:divBdr>
                  <w:divsChild>
                    <w:div w:id="971323251">
                      <w:marLeft w:val="0"/>
                      <w:marRight w:val="0"/>
                      <w:marTop w:val="0"/>
                      <w:marBottom w:val="0"/>
                      <w:divBdr>
                        <w:top w:val="none" w:sz="0" w:space="0" w:color="auto"/>
                        <w:left w:val="none" w:sz="0" w:space="0" w:color="auto"/>
                        <w:bottom w:val="none" w:sz="0" w:space="0" w:color="auto"/>
                        <w:right w:val="none" w:sz="0" w:space="0" w:color="auto"/>
                      </w:divBdr>
                    </w:div>
                  </w:divsChild>
                </w:div>
                <w:div w:id="1659460711">
                  <w:marLeft w:val="0"/>
                  <w:marRight w:val="0"/>
                  <w:marTop w:val="0"/>
                  <w:marBottom w:val="0"/>
                  <w:divBdr>
                    <w:top w:val="none" w:sz="0" w:space="0" w:color="auto"/>
                    <w:left w:val="none" w:sz="0" w:space="0" w:color="auto"/>
                    <w:bottom w:val="none" w:sz="0" w:space="0" w:color="auto"/>
                    <w:right w:val="none" w:sz="0" w:space="0" w:color="auto"/>
                  </w:divBdr>
                  <w:divsChild>
                    <w:div w:id="575821609">
                      <w:marLeft w:val="0"/>
                      <w:marRight w:val="0"/>
                      <w:marTop w:val="0"/>
                      <w:marBottom w:val="0"/>
                      <w:divBdr>
                        <w:top w:val="none" w:sz="0" w:space="0" w:color="auto"/>
                        <w:left w:val="none" w:sz="0" w:space="0" w:color="auto"/>
                        <w:bottom w:val="none" w:sz="0" w:space="0" w:color="auto"/>
                        <w:right w:val="none" w:sz="0" w:space="0" w:color="auto"/>
                      </w:divBdr>
                    </w:div>
                  </w:divsChild>
                </w:div>
                <w:div w:id="1791389378">
                  <w:marLeft w:val="0"/>
                  <w:marRight w:val="0"/>
                  <w:marTop w:val="0"/>
                  <w:marBottom w:val="0"/>
                  <w:divBdr>
                    <w:top w:val="none" w:sz="0" w:space="0" w:color="auto"/>
                    <w:left w:val="none" w:sz="0" w:space="0" w:color="auto"/>
                    <w:bottom w:val="none" w:sz="0" w:space="0" w:color="auto"/>
                    <w:right w:val="none" w:sz="0" w:space="0" w:color="auto"/>
                  </w:divBdr>
                  <w:divsChild>
                    <w:div w:id="94056948">
                      <w:marLeft w:val="0"/>
                      <w:marRight w:val="0"/>
                      <w:marTop w:val="0"/>
                      <w:marBottom w:val="0"/>
                      <w:divBdr>
                        <w:top w:val="none" w:sz="0" w:space="0" w:color="auto"/>
                        <w:left w:val="none" w:sz="0" w:space="0" w:color="auto"/>
                        <w:bottom w:val="none" w:sz="0" w:space="0" w:color="auto"/>
                        <w:right w:val="none" w:sz="0" w:space="0" w:color="auto"/>
                      </w:divBdr>
                    </w:div>
                  </w:divsChild>
                </w:div>
                <w:div w:id="1807501914">
                  <w:marLeft w:val="0"/>
                  <w:marRight w:val="0"/>
                  <w:marTop w:val="0"/>
                  <w:marBottom w:val="0"/>
                  <w:divBdr>
                    <w:top w:val="none" w:sz="0" w:space="0" w:color="auto"/>
                    <w:left w:val="none" w:sz="0" w:space="0" w:color="auto"/>
                    <w:bottom w:val="none" w:sz="0" w:space="0" w:color="auto"/>
                    <w:right w:val="none" w:sz="0" w:space="0" w:color="auto"/>
                  </w:divBdr>
                  <w:divsChild>
                    <w:div w:id="705764036">
                      <w:marLeft w:val="0"/>
                      <w:marRight w:val="0"/>
                      <w:marTop w:val="0"/>
                      <w:marBottom w:val="0"/>
                      <w:divBdr>
                        <w:top w:val="none" w:sz="0" w:space="0" w:color="auto"/>
                        <w:left w:val="none" w:sz="0" w:space="0" w:color="auto"/>
                        <w:bottom w:val="none" w:sz="0" w:space="0" w:color="auto"/>
                        <w:right w:val="none" w:sz="0" w:space="0" w:color="auto"/>
                      </w:divBdr>
                    </w:div>
                  </w:divsChild>
                </w:div>
                <w:div w:id="1840390647">
                  <w:marLeft w:val="0"/>
                  <w:marRight w:val="0"/>
                  <w:marTop w:val="0"/>
                  <w:marBottom w:val="0"/>
                  <w:divBdr>
                    <w:top w:val="none" w:sz="0" w:space="0" w:color="auto"/>
                    <w:left w:val="none" w:sz="0" w:space="0" w:color="auto"/>
                    <w:bottom w:val="none" w:sz="0" w:space="0" w:color="auto"/>
                    <w:right w:val="none" w:sz="0" w:space="0" w:color="auto"/>
                  </w:divBdr>
                  <w:divsChild>
                    <w:div w:id="717902129">
                      <w:marLeft w:val="0"/>
                      <w:marRight w:val="0"/>
                      <w:marTop w:val="0"/>
                      <w:marBottom w:val="0"/>
                      <w:divBdr>
                        <w:top w:val="none" w:sz="0" w:space="0" w:color="auto"/>
                        <w:left w:val="none" w:sz="0" w:space="0" w:color="auto"/>
                        <w:bottom w:val="none" w:sz="0" w:space="0" w:color="auto"/>
                        <w:right w:val="none" w:sz="0" w:space="0" w:color="auto"/>
                      </w:divBdr>
                    </w:div>
                  </w:divsChild>
                </w:div>
                <w:div w:id="1915161002">
                  <w:marLeft w:val="0"/>
                  <w:marRight w:val="0"/>
                  <w:marTop w:val="0"/>
                  <w:marBottom w:val="0"/>
                  <w:divBdr>
                    <w:top w:val="none" w:sz="0" w:space="0" w:color="auto"/>
                    <w:left w:val="none" w:sz="0" w:space="0" w:color="auto"/>
                    <w:bottom w:val="none" w:sz="0" w:space="0" w:color="auto"/>
                    <w:right w:val="none" w:sz="0" w:space="0" w:color="auto"/>
                  </w:divBdr>
                  <w:divsChild>
                    <w:div w:id="978994871">
                      <w:marLeft w:val="0"/>
                      <w:marRight w:val="0"/>
                      <w:marTop w:val="0"/>
                      <w:marBottom w:val="0"/>
                      <w:divBdr>
                        <w:top w:val="none" w:sz="0" w:space="0" w:color="auto"/>
                        <w:left w:val="none" w:sz="0" w:space="0" w:color="auto"/>
                        <w:bottom w:val="none" w:sz="0" w:space="0" w:color="auto"/>
                        <w:right w:val="none" w:sz="0" w:space="0" w:color="auto"/>
                      </w:divBdr>
                    </w:div>
                  </w:divsChild>
                </w:div>
                <w:div w:id="2009944721">
                  <w:marLeft w:val="0"/>
                  <w:marRight w:val="0"/>
                  <w:marTop w:val="0"/>
                  <w:marBottom w:val="0"/>
                  <w:divBdr>
                    <w:top w:val="none" w:sz="0" w:space="0" w:color="auto"/>
                    <w:left w:val="none" w:sz="0" w:space="0" w:color="auto"/>
                    <w:bottom w:val="none" w:sz="0" w:space="0" w:color="auto"/>
                    <w:right w:val="none" w:sz="0" w:space="0" w:color="auto"/>
                  </w:divBdr>
                  <w:divsChild>
                    <w:div w:id="472142987">
                      <w:marLeft w:val="0"/>
                      <w:marRight w:val="0"/>
                      <w:marTop w:val="0"/>
                      <w:marBottom w:val="0"/>
                      <w:divBdr>
                        <w:top w:val="none" w:sz="0" w:space="0" w:color="auto"/>
                        <w:left w:val="none" w:sz="0" w:space="0" w:color="auto"/>
                        <w:bottom w:val="none" w:sz="0" w:space="0" w:color="auto"/>
                        <w:right w:val="none" w:sz="0" w:space="0" w:color="auto"/>
                      </w:divBdr>
                    </w:div>
                  </w:divsChild>
                </w:div>
                <w:div w:id="2069916689">
                  <w:marLeft w:val="0"/>
                  <w:marRight w:val="0"/>
                  <w:marTop w:val="0"/>
                  <w:marBottom w:val="0"/>
                  <w:divBdr>
                    <w:top w:val="none" w:sz="0" w:space="0" w:color="auto"/>
                    <w:left w:val="none" w:sz="0" w:space="0" w:color="auto"/>
                    <w:bottom w:val="none" w:sz="0" w:space="0" w:color="auto"/>
                    <w:right w:val="none" w:sz="0" w:space="0" w:color="auto"/>
                  </w:divBdr>
                  <w:divsChild>
                    <w:div w:id="9569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2583">
          <w:marLeft w:val="0"/>
          <w:marRight w:val="0"/>
          <w:marTop w:val="0"/>
          <w:marBottom w:val="0"/>
          <w:divBdr>
            <w:top w:val="none" w:sz="0" w:space="0" w:color="auto"/>
            <w:left w:val="none" w:sz="0" w:space="0" w:color="auto"/>
            <w:bottom w:val="none" w:sz="0" w:space="0" w:color="auto"/>
            <w:right w:val="none" w:sz="0" w:space="0" w:color="auto"/>
          </w:divBdr>
          <w:divsChild>
            <w:div w:id="139002806">
              <w:marLeft w:val="0"/>
              <w:marRight w:val="0"/>
              <w:marTop w:val="0"/>
              <w:marBottom w:val="0"/>
              <w:divBdr>
                <w:top w:val="none" w:sz="0" w:space="0" w:color="auto"/>
                <w:left w:val="none" w:sz="0" w:space="0" w:color="auto"/>
                <w:bottom w:val="none" w:sz="0" w:space="0" w:color="auto"/>
                <w:right w:val="none" w:sz="0" w:space="0" w:color="auto"/>
              </w:divBdr>
            </w:div>
            <w:div w:id="199755309">
              <w:marLeft w:val="0"/>
              <w:marRight w:val="0"/>
              <w:marTop w:val="0"/>
              <w:marBottom w:val="0"/>
              <w:divBdr>
                <w:top w:val="none" w:sz="0" w:space="0" w:color="auto"/>
                <w:left w:val="none" w:sz="0" w:space="0" w:color="auto"/>
                <w:bottom w:val="none" w:sz="0" w:space="0" w:color="auto"/>
                <w:right w:val="none" w:sz="0" w:space="0" w:color="auto"/>
              </w:divBdr>
            </w:div>
            <w:div w:id="573703828">
              <w:marLeft w:val="0"/>
              <w:marRight w:val="0"/>
              <w:marTop w:val="0"/>
              <w:marBottom w:val="0"/>
              <w:divBdr>
                <w:top w:val="none" w:sz="0" w:space="0" w:color="auto"/>
                <w:left w:val="none" w:sz="0" w:space="0" w:color="auto"/>
                <w:bottom w:val="none" w:sz="0" w:space="0" w:color="auto"/>
                <w:right w:val="none" w:sz="0" w:space="0" w:color="auto"/>
              </w:divBdr>
            </w:div>
            <w:div w:id="648441264">
              <w:marLeft w:val="0"/>
              <w:marRight w:val="0"/>
              <w:marTop w:val="0"/>
              <w:marBottom w:val="0"/>
              <w:divBdr>
                <w:top w:val="none" w:sz="0" w:space="0" w:color="auto"/>
                <w:left w:val="none" w:sz="0" w:space="0" w:color="auto"/>
                <w:bottom w:val="none" w:sz="0" w:space="0" w:color="auto"/>
                <w:right w:val="none" w:sz="0" w:space="0" w:color="auto"/>
              </w:divBdr>
            </w:div>
            <w:div w:id="907349262">
              <w:marLeft w:val="0"/>
              <w:marRight w:val="0"/>
              <w:marTop w:val="0"/>
              <w:marBottom w:val="0"/>
              <w:divBdr>
                <w:top w:val="none" w:sz="0" w:space="0" w:color="auto"/>
                <w:left w:val="none" w:sz="0" w:space="0" w:color="auto"/>
                <w:bottom w:val="none" w:sz="0" w:space="0" w:color="auto"/>
                <w:right w:val="none" w:sz="0" w:space="0" w:color="auto"/>
              </w:divBdr>
            </w:div>
            <w:div w:id="1388718644">
              <w:marLeft w:val="0"/>
              <w:marRight w:val="0"/>
              <w:marTop w:val="0"/>
              <w:marBottom w:val="0"/>
              <w:divBdr>
                <w:top w:val="none" w:sz="0" w:space="0" w:color="auto"/>
                <w:left w:val="none" w:sz="0" w:space="0" w:color="auto"/>
                <w:bottom w:val="none" w:sz="0" w:space="0" w:color="auto"/>
                <w:right w:val="none" w:sz="0" w:space="0" w:color="auto"/>
              </w:divBdr>
            </w:div>
            <w:div w:id="1644189539">
              <w:marLeft w:val="0"/>
              <w:marRight w:val="0"/>
              <w:marTop w:val="0"/>
              <w:marBottom w:val="0"/>
              <w:divBdr>
                <w:top w:val="none" w:sz="0" w:space="0" w:color="auto"/>
                <w:left w:val="none" w:sz="0" w:space="0" w:color="auto"/>
                <w:bottom w:val="none" w:sz="0" w:space="0" w:color="auto"/>
                <w:right w:val="none" w:sz="0" w:space="0" w:color="auto"/>
              </w:divBdr>
            </w:div>
            <w:div w:id="1691226561">
              <w:marLeft w:val="0"/>
              <w:marRight w:val="0"/>
              <w:marTop w:val="0"/>
              <w:marBottom w:val="0"/>
              <w:divBdr>
                <w:top w:val="none" w:sz="0" w:space="0" w:color="auto"/>
                <w:left w:val="none" w:sz="0" w:space="0" w:color="auto"/>
                <w:bottom w:val="none" w:sz="0" w:space="0" w:color="auto"/>
                <w:right w:val="none" w:sz="0" w:space="0" w:color="auto"/>
              </w:divBdr>
            </w:div>
            <w:div w:id="1878738918">
              <w:marLeft w:val="0"/>
              <w:marRight w:val="0"/>
              <w:marTop w:val="0"/>
              <w:marBottom w:val="0"/>
              <w:divBdr>
                <w:top w:val="none" w:sz="0" w:space="0" w:color="auto"/>
                <w:left w:val="none" w:sz="0" w:space="0" w:color="auto"/>
                <w:bottom w:val="none" w:sz="0" w:space="0" w:color="auto"/>
                <w:right w:val="none" w:sz="0" w:space="0" w:color="auto"/>
              </w:divBdr>
            </w:div>
            <w:div w:id="2047485449">
              <w:marLeft w:val="0"/>
              <w:marRight w:val="0"/>
              <w:marTop w:val="0"/>
              <w:marBottom w:val="0"/>
              <w:divBdr>
                <w:top w:val="none" w:sz="0" w:space="0" w:color="auto"/>
                <w:left w:val="none" w:sz="0" w:space="0" w:color="auto"/>
                <w:bottom w:val="none" w:sz="0" w:space="0" w:color="auto"/>
                <w:right w:val="none" w:sz="0" w:space="0" w:color="auto"/>
              </w:divBdr>
            </w:div>
          </w:divsChild>
        </w:div>
        <w:div w:id="1320693263">
          <w:marLeft w:val="0"/>
          <w:marRight w:val="0"/>
          <w:marTop w:val="0"/>
          <w:marBottom w:val="0"/>
          <w:divBdr>
            <w:top w:val="none" w:sz="0" w:space="0" w:color="auto"/>
            <w:left w:val="none" w:sz="0" w:space="0" w:color="auto"/>
            <w:bottom w:val="none" w:sz="0" w:space="0" w:color="auto"/>
            <w:right w:val="none" w:sz="0" w:space="0" w:color="auto"/>
          </w:divBdr>
          <w:divsChild>
            <w:div w:id="1414280811">
              <w:marLeft w:val="-75"/>
              <w:marRight w:val="0"/>
              <w:marTop w:val="30"/>
              <w:marBottom w:val="30"/>
              <w:divBdr>
                <w:top w:val="none" w:sz="0" w:space="0" w:color="auto"/>
                <w:left w:val="none" w:sz="0" w:space="0" w:color="auto"/>
                <w:bottom w:val="none" w:sz="0" w:space="0" w:color="auto"/>
                <w:right w:val="none" w:sz="0" w:space="0" w:color="auto"/>
              </w:divBdr>
              <w:divsChild>
                <w:div w:id="25259368">
                  <w:marLeft w:val="0"/>
                  <w:marRight w:val="0"/>
                  <w:marTop w:val="0"/>
                  <w:marBottom w:val="0"/>
                  <w:divBdr>
                    <w:top w:val="none" w:sz="0" w:space="0" w:color="auto"/>
                    <w:left w:val="none" w:sz="0" w:space="0" w:color="auto"/>
                    <w:bottom w:val="none" w:sz="0" w:space="0" w:color="auto"/>
                    <w:right w:val="none" w:sz="0" w:space="0" w:color="auto"/>
                  </w:divBdr>
                  <w:divsChild>
                    <w:div w:id="1567111225">
                      <w:marLeft w:val="0"/>
                      <w:marRight w:val="0"/>
                      <w:marTop w:val="0"/>
                      <w:marBottom w:val="0"/>
                      <w:divBdr>
                        <w:top w:val="none" w:sz="0" w:space="0" w:color="auto"/>
                        <w:left w:val="none" w:sz="0" w:space="0" w:color="auto"/>
                        <w:bottom w:val="none" w:sz="0" w:space="0" w:color="auto"/>
                        <w:right w:val="none" w:sz="0" w:space="0" w:color="auto"/>
                      </w:divBdr>
                    </w:div>
                  </w:divsChild>
                </w:div>
                <w:div w:id="116223007">
                  <w:marLeft w:val="0"/>
                  <w:marRight w:val="0"/>
                  <w:marTop w:val="0"/>
                  <w:marBottom w:val="0"/>
                  <w:divBdr>
                    <w:top w:val="none" w:sz="0" w:space="0" w:color="auto"/>
                    <w:left w:val="none" w:sz="0" w:space="0" w:color="auto"/>
                    <w:bottom w:val="none" w:sz="0" w:space="0" w:color="auto"/>
                    <w:right w:val="none" w:sz="0" w:space="0" w:color="auto"/>
                  </w:divBdr>
                  <w:divsChild>
                    <w:div w:id="1590313845">
                      <w:marLeft w:val="0"/>
                      <w:marRight w:val="0"/>
                      <w:marTop w:val="0"/>
                      <w:marBottom w:val="0"/>
                      <w:divBdr>
                        <w:top w:val="none" w:sz="0" w:space="0" w:color="auto"/>
                        <w:left w:val="none" w:sz="0" w:space="0" w:color="auto"/>
                        <w:bottom w:val="none" w:sz="0" w:space="0" w:color="auto"/>
                        <w:right w:val="none" w:sz="0" w:space="0" w:color="auto"/>
                      </w:divBdr>
                    </w:div>
                  </w:divsChild>
                </w:div>
                <w:div w:id="148257614">
                  <w:marLeft w:val="0"/>
                  <w:marRight w:val="0"/>
                  <w:marTop w:val="0"/>
                  <w:marBottom w:val="0"/>
                  <w:divBdr>
                    <w:top w:val="none" w:sz="0" w:space="0" w:color="auto"/>
                    <w:left w:val="none" w:sz="0" w:space="0" w:color="auto"/>
                    <w:bottom w:val="none" w:sz="0" w:space="0" w:color="auto"/>
                    <w:right w:val="none" w:sz="0" w:space="0" w:color="auto"/>
                  </w:divBdr>
                  <w:divsChild>
                    <w:div w:id="180440540">
                      <w:marLeft w:val="0"/>
                      <w:marRight w:val="0"/>
                      <w:marTop w:val="0"/>
                      <w:marBottom w:val="0"/>
                      <w:divBdr>
                        <w:top w:val="none" w:sz="0" w:space="0" w:color="auto"/>
                        <w:left w:val="none" w:sz="0" w:space="0" w:color="auto"/>
                        <w:bottom w:val="none" w:sz="0" w:space="0" w:color="auto"/>
                        <w:right w:val="none" w:sz="0" w:space="0" w:color="auto"/>
                      </w:divBdr>
                    </w:div>
                  </w:divsChild>
                </w:div>
                <w:div w:id="186257711">
                  <w:marLeft w:val="0"/>
                  <w:marRight w:val="0"/>
                  <w:marTop w:val="0"/>
                  <w:marBottom w:val="0"/>
                  <w:divBdr>
                    <w:top w:val="none" w:sz="0" w:space="0" w:color="auto"/>
                    <w:left w:val="none" w:sz="0" w:space="0" w:color="auto"/>
                    <w:bottom w:val="none" w:sz="0" w:space="0" w:color="auto"/>
                    <w:right w:val="none" w:sz="0" w:space="0" w:color="auto"/>
                  </w:divBdr>
                  <w:divsChild>
                    <w:div w:id="805464742">
                      <w:marLeft w:val="0"/>
                      <w:marRight w:val="0"/>
                      <w:marTop w:val="0"/>
                      <w:marBottom w:val="0"/>
                      <w:divBdr>
                        <w:top w:val="none" w:sz="0" w:space="0" w:color="auto"/>
                        <w:left w:val="none" w:sz="0" w:space="0" w:color="auto"/>
                        <w:bottom w:val="none" w:sz="0" w:space="0" w:color="auto"/>
                        <w:right w:val="none" w:sz="0" w:space="0" w:color="auto"/>
                      </w:divBdr>
                    </w:div>
                  </w:divsChild>
                </w:div>
                <w:div w:id="245842259">
                  <w:marLeft w:val="0"/>
                  <w:marRight w:val="0"/>
                  <w:marTop w:val="0"/>
                  <w:marBottom w:val="0"/>
                  <w:divBdr>
                    <w:top w:val="none" w:sz="0" w:space="0" w:color="auto"/>
                    <w:left w:val="none" w:sz="0" w:space="0" w:color="auto"/>
                    <w:bottom w:val="none" w:sz="0" w:space="0" w:color="auto"/>
                    <w:right w:val="none" w:sz="0" w:space="0" w:color="auto"/>
                  </w:divBdr>
                  <w:divsChild>
                    <w:div w:id="2038962758">
                      <w:marLeft w:val="0"/>
                      <w:marRight w:val="0"/>
                      <w:marTop w:val="0"/>
                      <w:marBottom w:val="0"/>
                      <w:divBdr>
                        <w:top w:val="none" w:sz="0" w:space="0" w:color="auto"/>
                        <w:left w:val="none" w:sz="0" w:space="0" w:color="auto"/>
                        <w:bottom w:val="none" w:sz="0" w:space="0" w:color="auto"/>
                        <w:right w:val="none" w:sz="0" w:space="0" w:color="auto"/>
                      </w:divBdr>
                    </w:div>
                  </w:divsChild>
                </w:div>
                <w:div w:id="441727858">
                  <w:marLeft w:val="0"/>
                  <w:marRight w:val="0"/>
                  <w:marTop w:val="0"/>
                  <w:marBottom w:val="0"/>
                  <w:divBdr>
                    <w:top w:val="none" w:sz="0" w:space="0" w:color="auto"/>
                    <w:left w:val="none" w:sz="0" w:space="0" w:color="auto"/>
                    <w:bottom w:val="none" w:sz="0" w:space="0" w:color="auto"/>
                    <w:right w:val="none" w:sz="0" w:space="0" w:color="auto"/>
                  </w:divBdr>
                  <w:divsChild>
                    <w:div w:id="1066611733">
                      <w:marLeft w:val="0"/>
                      <w:marRight w:val="0"/>
                      <w:marTop w:val="0"/>
                      <w:marBottom w:val="0"/>
                      <w:divBdr>
                        <w:top w:val="none" w:sz="0" w:space="0" w:color="auto"/>
                        <w:left w:val="none" w:sz="0" w:space="0" w:color="auto"/>
                        <w:bottom w:val="none" w:sz="0" w:space="0" w:color="auto"/>
                        <w:right w:val="none" w:sz="0" w:space="0" w:color="auto"/>
                      </w:divBdr>
                    </w:div>
                  </w:divsChild>
                </w:div>
                <w:div w:id="456529929">
                  <w:marLeft w:val="0"/>
                  <w:marRight w:val="0"/>
                  <w:marTop w:val="0"/>
                  <w:marBottom w:val="0"/>
                  <w:divBdr>
                    <w:top w:val="none" w:sz="0" w:space="0" w:color="auto"/>
                    <w:left w:val="none" w:sz="0" w:space="0" w:color="auto"/>
                    <w:bottom w:val="none" w:sz="0" w:space="0" w:color="auto"/>
                    <w:right w:val="none" w:sz="0" w:space="0" w:color="auto"/>
                  </w:divBdr>
                  <w:divsChild>
                    <w:div w:id="561211427">
                      <w:marLeft w:val="0"/>
                      <w:marRight w:val="0"/>
                      <w:marTop w:val="0"/>
                      <w:marBottom w:val="0"/>
                      <w:divBdr>
                        <w:top w:val="none" w:sz="0" w:space="0" w:color="auto"/>
                        <w:left w:val="none" w:sz="0" w:space="0" w:color="auto"/>
                        <w:bottom w:val="none" w:sz="0" w:space="0" w:color="auto"/>
                        <w:right w:val="none" w:sz="0" w:space="0" w:color="auto"/>
                      </w:divBdr>
                    </w:div>
                  </w:divsChild>
                </w:div>
                <w:div w:id="627198399">
                  <w:marLeft w:val="0"/>
                  <w:marRight w:val="0"/>
                  <w:marTop w:val="0"/>
                  <w:marBottom w:val="0"/>
                  <w:divBdr>
                    <w:top w:val="none" w:sz="0" w:space="0" w:color="auto"/>
                    <w:left w:val="none" w:sz="0" w:space="0" w:color="auto"/>
                    <w:bottom w:val="none" w:sz="0" w:space="0" w:color="auto"/>
                    <w:right w:val="none" w:sz="0" w:space="0" w:color="auto"/>
                  </w:divBdr>
                  <w:divsChild>
                    <w:div w:id="526337216">
                      <w:marLeft w:val="0"/>
                      <w:marRight w:val="0"/>
                      <w:marTop w:val="0"/>
                      <w:marBottom w:val="0"/>
                      <w:divBdr>
                        <w:top w:val="none" w:sz="0" w:space="0" w:color="auto"/>
                        <w:left w:val="none" w:sz="0" w:space="0" w:color="auto"/>
                        <w:bottom w:val="none" w:sz="0" w:space="0" w:color="auto"/>
                        <w:right w:val="none" w:sz="0" w:space="0" w:color="auto"/>
                      </w:divBdr>
                    </w:div>
                  </w:divsChild>
                </w:div>
                <w:div w:id="656036707">
                  <w:marLeft w:val="0"/>
                  <w:marRight w:val="0"/>
                  <w:marTop w:val="0"/>
                  <w:marBottom w:val="0"/>
                  <w:divBdr>
                    <w:top w:val="none" w:sz="0" w:space="0" w:color="auto"/>
                    <w:left w:val="none" w:sz="0" w:space="0" w:color="auto"/>
                    <w:bottom w:val="none" w:sz="0" w:space="0" w:color="auto"/>
                    <w:right w:val="none" w:sz="0" w:space="0" w:color="auto"/>
                  </w:divBdr>
                  <w:divsChild>
                    <w:div w:id="98532468">
                      <w:marLeft w:val="0"/>
                      <w:marRight w:val="0"/>
                      <w:marTop w:val="0"/>
                      <w:marBottom w:val="0"/>
                      <w:divBdr>
                        <w:top w:val="none" w:sz="0" w:space="0" w:color="auto"/>
                        <w:left w:val="none" w:sz="0" w:space="0" w:color="auto"/>
                        <w:bottom w:val="none" w:sz="0" w:space="0" w:color="auto"/>
                        <w:right w:val="none" w:sz="0" w:space="0" w:color="auto"/>
                      </w:divBdr>
                    </w:div>
                  </w:divsChild>
                </w:div>
                <w:div w:id="660617553">
                  <w:marLeft w:val="0"/>
                  <w:marRight w:val="0"/>
                  <w:marTop w:val="0"/>
                  <w:marBottom w:val="0"/>
                  <w:divBdr>
                    <w:top w:val="none" w:sz="0" w:space="0" w:color="auto"/>
                    <w:left w:val="none" w:sz="0" w:space="0" w:color="auto"/>
                    <w:bottom w:val="none" w:sz="0" w:space="0" w:color="auto"/>
                    <w:right w:val="none" w:sz="0" w:space="0" w:color="auto"/>
                  </w:divBdr>
                  <w:divsChild>
                    <w:div w:id="1017849469">
                      <w:marLeft w:val="0"/>
                      <w:marRight w:val="0"/>
                      <w:marTop w:val="0"/>
                      <w:marBottom w:val="0"/>
                      <w:divBdr>
                        <w:top w:val="none" w:sz="0" w:space="0" w:color="auto"/>
                        <w:left w:val="none" w:sz="0" w:space="0" w:color="auto"/>
                        <w:bottom w:val="none" w:sz="0" w:space="0" w:color="auto"/>
                        <w:right w:val="none" w:sz="0" w:space="0" w:color="auto"/>
                      </w:divBdr>
                    </w:div>
                  </w:divsChild>
                </w:div>
                <w:div w:id="923950194">
                  <w:marLeft w:val="0"/>
                  <w:marRight w:val="0"/>
                  <w:marTop w:val="0"/>
                  <w:marBottom w:val="0"/>
                  <w:divBdr>
                    <w:top w:val="none" w:sz="0" w:space="0" w:color="auto"/>
                    <w:left w:val="none" w:sz="0" w:space="0" w:color="auto"/>
                    <w:bottom w:val="none" w:sz="0" w:space="0" w:color="auto"/>
                    <w:right w:val="none" w:sz="0" w:space="0" w:color="auto"/>
                  </w:divBdr>
                  <w:divsChild>
                    <w:div w:id="1489907690">
                      <w:marLeft w:val="0"/>
                      <w:marRight w:val="0"/>
                      <w:marTop w:val="0"/>
                      <w:marBottom w:val="0"/>
                      <w:divBdr>
                        <w:top w:val="none" w:sz="0" w:space="0" w:color="auto"/>
                        <w:left w:val="none" w:sz="0" w:space="0" w:color="auto"/>
                        <w:bottom w:val="none" w:sz="0" w:space="0" w:color="auto"/>
                        <w:right w:val="none" w:sz="0" w:space="0" w:color="auto"/>
                      </w:divBdr>
                    </w:div>
                  </w:divsChild>
                </w:div>
                <w:div w:id="1004018841">
                  <w:marLeft w:val="0"/>
                  <w:marRight w:val="0"/>
                  <w:marTop w:val="0"/>
                  <w:marBottom w:val="0"/>
                  <w:divBdr>
                    <w:top w:val="none" w:sz="0" w:space="0" w:color="auto"/>
                    <w:left w:val="none" w:sz="0" w:space="0" w:color="auto"/>
                    <w:bottom w:val="none" w:sz="0" w:space="0" w:color="auto"/>
                    <w:right w:val="none" w:sz="0" w:space="0" w:color="auto"/>
                  </w:divBdr>
                  <w:divsChild>
                    <w:div w:id="1050223516">
                      <w:marLeft w:val="0"/>
                      <w:marRight w:val="0"/>
                      <w:marTop w:val="0"/>
                      <w:marBottom w:val="0"/>
                      <w:divBdr>
                        <w:top w:val="none" w:sz="0" w:space="0" w:color="auto"/>
                        <w:left w:val="none" w:sz="0" w:space="0" w:color="auto"/>
                        <w:bottom w:val="none" w:sz="0" w:space="0" w:color="auto"/>
                        <w:right w:val="none" w:sz="0" w:space="0" w:color="auto"/>
                      </w:divBdr>
                    </w:div>
                  </w:divsChild>
                </w:div>
                <w:div w:id="1069303401">
                  <w:marLeft w:val="0"/>
                  <w:marRight w:val="0"/>
                  <w:marTop w:val="0"/>
                  <w:marBottom w:val="0"/>
                  <w:divBdr>
                    <w:top w:val="none" w:sz="0" w:space="0" w:color="auto"/>
                    <w:left w:val="none" w:sz="0" w:space="0" w:color="auto"/>
                    <w:bottom w:val="none" w:sz="0" w:space="0" w:color="auto"/>
                    <w:right w:val="none" w:sz="0" w:space="0" w:color="auto"/>
                  </w:divBdr>
                  <w:divsChild>
                    <w:div w:id="1161969630">
                      <w:marLeft w:val="0"/>
                      <w:marRight w:val="0"/>
                      <w:marTop w:val="0"/>
                      <w:marBottom w:val="0"/>
                      <w:divBdr>
                        <w:top w:val="none" w:sz="0" w:space="0" w:color="auto"/>
                        <w:left w:val="none" w:sz="0" w:space="0" w:color="auto"/>
                        <w:bottom w:val="none" w:sz="0" w:space="0" w:color="auto"/>
                        <w:right w:val="none" w:sz="0" w:space="0" w:color="auto"/>
                      </w:divBdr>
                    </w:div>
                  </w:divsChild>
                </w:div>
                <w:div w:id="1138257097">
                  <w:marLeft w:val="0"/>
                  <w:marRight w:val="0"/>
                  <w:marTop w:val="0"/>
                  <w:marBottom w:val="0"/>
                  <w:divBdr>
                    <w:top w:val="none" w:sz="0" w:space="0" w:color="auto"/>
                    <w:left w:val="none" w:sz="0" w:space="0" w:color="auto"/>
                    <w:bottom w:val="none" w:sz="0" w:space="0" w:color="auto"/>
                    <w:right w:val="none" w:sz="0" w:space="0" w:color="auto"/>
                  </w:divBdr>
                  <w:divsChild>
                    <w:div w:id="792871972">
                      <w:marLeft w:val="0"/>
                      <w:marRight w:val="0"/>
                      <w:marTop w:val="0"/>
                      <w:marBottom w:val="0"/>
                      <w:divBdr>
                        <w:top w:val="none" w:sz="0" w:space="0" w:color="auto"/>
                        <w:left w:val="none" w:sz="0" w:space="0" w:color="auto"/>
                        <w:bottom w:val="none" w:sz="0" w:space="0" w:color="auto"/>
                        <w:right w:val="none" w:sz="0" w:space="0" w:color="auto"/>
                      </w:divBdr>
                    </w:div>
                  </w:divsChild>
                </w:div>
                <w:div w:id="1223373431">
                  <w:marLeft w:val="0"/>
                  <w:marRight w:val="0"/>
                  <w:marTop w:val="0"/>
                  <w:marBottom w:val="0"/>
                  <w:divBdr>
                    <w:top w:val="none" w:sz="0" w:space="0" w:color="auto"/>
                    <w:left w:val="none" w:sz="0" w:space="0" w:color="auto"/>
                    <w:bottom w:val="none" w:sz="0" w:space="0" w:color="auto"/>
                    <w:right w:val="none" w:sz="0" w:space="0" w:color="auto"/>
                  </w:divBdr>
                  <w:divsChild>
                    <w:div w:id="1325468735">
                      <w:marLeft w:val="0"/>
                      <w:marRight w:val="0"/>
                      <w:marTop w:val="0"/>
                      <w:marBottom w:val="0"/>
                      <w:divBdr>
                        <w:top w:val="none" w:sz="0" w:space="0" w:color="auto"/>
                        <w:left w:val="none" w:sz="0" w:space="0" w:color="auto"/>
                        <w:bottom w:val="none" w:sz="0" w:space="0" w:color="auto"/>
                        <w:right w:val="none" w:sz="0" w:space="0" w:color="auto"/>
                      </w:divBdr>
                    </w:div>
                  </w:divsChild>
                </w:div>
                <w:div w:id="1372225473">
                  <w:marLeft w:val="0"/>
                  <w:marRight w:val="0"/>
                  <w:marTop w:val="0"/>
                  <w:marBottom w:val="0"/>
                  <w:divBdr>
                    <w:top w:val="none" w:sz="0" w:space="0" w:color="auto"/>
                    <w:left w:val="none" w:sz="0" w:space="0" w:color="auto"/>
                    <w:bottom w:val="none" w:sz="0" w:space="0" w:color="auto"/>
                    <w:right w:val="none" w:sz="0" w:space="0" w:color="auto"/>
                  </w:divBdr>
                  <w:divsChild>
                    <w:div w:id="2139957199">
                      <w:marLeft w:val="0"/>
                      <w:marRight w:val="0"/>
                      <w:marTop w:val="0"/>
                      <w:marBottom w:val="0"/>
                      <w:divBdr>
                        <w:top w:val="none" w:sz="0" w:space="0" w:color="auto"/>
                        <w:left w:val="none" w:sz="0" w:space="0" w:color="auto"/>
                        <w:bottom w:val="none" w:sz="0" w:space="0" w:color="auto"/>
                        <w:right w:val="none" w:sz="0" w:space="0" w:color="auto"/>
                      </w:divBdr>
                    </w:div>
                  </w:divsChild>
                </w:div>
                <w:div w:id="1412123719">
                  <w:marLeft w:val="0"/>
                  <w:marRight w:val="0"/>
                  <w:marTop w:val="0"/>
                  <w:marBottom w:val="0"/>
                  <w:divBdr>
                    <w:top w:val="none" w:sz="0" w:space="0" w:color="auto"/>
                    <w:left w:val="none" w:sz="0" w:space="0" w:color="auto"/>
                    <w:bottom w:val="none" w:sz="0" w:space="0" w:color="auto"/>
                    <w:right w:val="none" w:sz="0" w:space="0" w:color="auto"/>
                  </w:divBdr>
                  <w:divsChild>
                    <w:div w:id="831918290">
                      <w:marLeft w:val="0"/>
                      <w:marRight w:val="0"/>
                      <w:marTop w:val="0"/>
                      <w:marBottom w:val="0"/>
                      <w:divBdr>
                        <w:top w:val="none" w:sz="0" w:space="0" w:color="auto"/>
                        <w:left w:val="none" w:sz="0" w:space="0" w:color="auto"/>
                        <w:bottom w:val="none" w:sz="0" w:space="0" w:color="auto"/>
                        <w:right w:val="none" w:sz="0" w:space="0" w:color="auto"/>
                      </w:divBdr>
                    </w:div>
                  </w:divsChild>
                </w:div>
                <w:div w:id="1681816791">
                  <w:marLeft w:val="0"/>
                  <w:marRight w:val="0"/>
                  <w:marTop w:val="0"/>
                  <w:marBottom w:val="0"/>
                  <w:divBdr>
                    <w:top w:val="none" w:sz="0" w:space="0" w:color="auto"/>
                    <w:left w:val="none" w:sz="0" w:space="0" w:color="auto"/>
                    <w:bottom w:val="none" w:sz="0" w:space="0" w:color="auto"/>
                    <w:right w:val="none" w:sz="0" w:space="0" w:color="auto"/>
                  </w:divBdr>
                  <w:divsChild>
                    <w:div w:id="718019385">
                      <w:marLeft w:val="0"/>
                      <w:marRight w:val="0"/>
                      <w:marTop w:val="0"/>
                      <w:marBottom w:val="0"/>
                      <w:divBdr>
                        <w:top w:val="none" w:sz="0" w:space="0" w:color="auto"/>
                        <w:left w:val="none" w:sz="0" w:space="0" w:color="auto"/>
                        <w:bottom w:val="none" w:sz="0" w:space="0" w:color="auto"/>
                        <w:right w:val="none" w:sz="0" w:space="0" w:color="auto"/>
                      </w:divBdr>
                    </w:div>
                  </w:divsChild>
                </w:div>
                <w:div w:id="1999992199">
                  <w:marLeft w:val="0"/>
                  <w:marRight w:val="0"/>
                  <w:marTop w:val="0"/>
                  <w:marBottom w:val="0"/>
                  <w:divBdr>
                    <w:top w:val="none" w:sz="0" w:space="0" w:color="auto"/>
                    <w:left w:val="none" w:sz="0" w:space="0" w:color="auto"/>
                    <w:bottom w:val="none" w:sz="0" w:space="0" w:color="auto"/>
                    <w:right w:val="none" w:sz="0" w:space="0" w:color="auto"/>
                  </w:divBdr>
                  <w:divsChild>
                    <w:div w:id="399907054">
                      <w:marLeft w:val="0"/>
                      <w:marRight w:val="0"/>
                      <w:marTop w:val="0"/>
                      <w:marBottom w:val="0"/>
                      <w:divBdr>
                        <w:top w:val="none" w:sz="0" w:space="0" w:color="auto"/>
                        <w:left w:val="none" w:sz="0" w:space="0" w:color="auto"/>
                        <w:bottom w:val="none" w:sz="0" w:space="0" w:color="auto"/>
                        <w:right w:val="none" w:sz="0" w:space="0" w:color="auto"/>
                      </w:divBdr>
                    </w:div>
                  </w:divsChild>
                </w:div>
                <w:div w:id="2117407947">
                  <w:marLeft w:val="0"/>
                  <w:marRight w:val="0"/>
                  <w:marTop w:val="0"/>
                  <w:marBottom w:val="0"/>
                  <w:divBdr>
                    <w:top w:val="none" w:sz="0" w:space="0" w:color="auto"/>
                    <w:left w:val="none" w:sz="0" w:space="0" w:color="auto"/>
                    <w:bottom w:val="none" w:sz="0" w:space="0" w:color="auto"/>
                    <w:right w:val="none" w:sz="0" w:space="0" w:color="auto"/>
                  </w:divBdr>
                  <w:divsChild>
                    <w:div w:id="20001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6293">
          <w:marLeft w:val="0"/>
          <w:marRight w:val="0"/>
          <w:marTop w:val="0"/>
          <w:marBottom w:val="0"/>
          <w:divBdr>
            <w:top w:val="none" w:sz="0" w:space="0" w:color="auto"/>
            <w:left w:val="none" w:sz="0" w:space="0" w:color="auto"/>
            <w:bottom w:val="none" w:sz="0" w:space="0" w:color="auto"/>
            <w:right w:val="none" w:sz="0" w:space="0" w:color="auto"/>
          </w:divBdr>
          <w:divsChild>
            <w:div w:id="1852522056">
              <w:marLeft w:val="-75"/>
              <w:marRight w:val="0"/>
              <w:marTop w:val="30"/>
              <w:marBottom w:val="30"/>
              <w:divBdr>
                <w:top w:val="none" w:sz="0" w:space="0" w:color="auto"/>
                <w:left w:val="none" w:sz="0" w:space="0" w:color="auto"/>
                <w:bottom w:val="none" w:sz="0" w:space="0" w:color="auto"/>
                <w:right w:val="none" w:sz="0" w:space="0" w:color="auto"/>
              </w:divBdr>
              <w:divsChild>
                <w:div w:id="176891119">
                  <w:marLeft w:val="0"/>
                  <w:marRight w:val="0"/>
                  <w:marTop w:val="0"/>
                  <w:marBottom w:val="0"/>
                  <w:divBdr>
                    <w:top w:val="none" w:sz="0" w:space="0" w:color="auto"/>
                    <w:left w:val="none" w:sz="0" w:space="0" w:color="auto"/>
                    <w:bottom w:val="none" w:sz="0" w:space="0" w:color="auto"/>
                    <w:right w:val="none" w:sz="0" w:space="0" w:color="auto"/>
                  </w:divBdr>
                  <w:divsChild>
                    <w:div w:id="2128546917">
                      <w:marLeft w:val="0"/>
                      <w:marRight w:val="0"/>
                      <w:marTop w:val="0"/>
                      <w:marBottom w:val="0"/>
                      <w:divBdr>
                        <w:top w:val="none" w:sz="0" w:space="0" w:color="auto"/>
                        <w:left w:val="none" w:sz="0" w:space="0" w:color="auto"/>
                        <w:bottom w:val="none" w:sz="0" w:space="0" w:color="auto"/>
                        <w:right w:val="none" w:sz="0" w:space="0" w:color="auto"/>
                      </w:divBdr>
                    </w:div>
                  </w:divsChild>
                </w:div>
                <w:div w:id="299387084">
                  <w:marLeft w:val="0"/>
                  <w:marRight w:val="0"/>
                  <w:marTop w:val="0"/>
                  <w:marBottom w:val="0"/>
                  <w:divBdr>
                    <w:top w:val="none" w:sz="0" w:space="0" w:color="auto"/>
                    <w:left w:val="none" w:sz="0" w:space="0" w:color="auto"/>
                    <w:bottom w:val="none" w:sz="0" w:space="0" w:color="auto"/>
                    <w:right w:val="none" w:sz="0" w:space="0" w:color="auto"/>
                  </w:divBdr>
                  <w:divsChild>
                    <w:div w:id="323314842">
                      <w:marLeft w:val="0"/>
                      <w:marRight w:val="0"/>
                      <w:marTop w:val="0"/>
                      <w:marBottom w:val="0"/>
                      <w:divBdr>
                        <w:top w:val="none" w:sz="0" w:space="0" w:color="auto"/>
                        <w:left w:val="none" w:sz="0" w:space="0" w:color="auto"/>
                        <w:bottom w:val="none" w:sz="0" w:space="0" w:color="auto"/>
                        <w:right w:val="none" w:sz="0" w:space="0" w:color="auto"/>
                      </w:divBdr>
                    </w:div>
                  </w:divsChild>
                </w:div>
                <w:div w:id="328682531">
                  <w:marLeft w:val="0"/>
                  <w:marRight w:val="0"/>
                  <w:marTop w:val="0"/>
                  <w:marBottom w:val="0"/>
                  <w:divBdr>
                    <w:top w:val="none" w:sz="0" w:space="0" w:color="auto"/>
                    <w:left w:val="none" w:sz="0" w:space="0" w:color="auto"/>
                    <w:bottom w:val="none" w:sz="0" w:space="0" w:color="auto"/>
                    <w:right w:val="none" w:sz="0" w:space="0" w:color="auto"/>
                  </w:divBdr>
                  <w:divsChild>
                    <w:div w:id="68045169">
                      <w:marLeft w:val="0"/>
                      <w:marRight w:val="0"/>
                      <w:marTop w:val="0"/>
                      <w:marBottom w:val="0"/>
                      <w:divBdr>
                        <w:top w:val="none" w:sz="0" w:space="0" w:color="auto"/>
                        <w:left w:val="none" w:sz="0" w:space="0" w:color="auto"/>
                        <w:bottom w:val="none" w:sz="0" w:space="0" w:color="auto"/>
                        <w:right w:val="none" w:sz="0" w:space="0" w:color="auto"/>
                      </w:divBdr>
                    </w:div>
                  </w:divsChild>
                </w:div>
                <w:div w:id="428549503">
                  <w:marLeft w:val="0"/>
                  <w:marRight w:val="0"/>
                  <w:marTop w:val="0"/>
                  <w:marBottom w:val="0"/>
                  <w:divBdr>
                    <w:top w:val="none" w:sz="0" w:space="0" w:color="auto"/>
                    <w:left w:val="none" w:sz="0" w:space="0" w:color="auto"/>
                    <w:bottom w:val="none" w:sz="0" w:space="0" w:color="auto"/>
                    <w:right w:val="none" w:sz="0" w:space="0" w:color="auto"/>
                  </w:divBdr>
                  <w:divsChild>
                    <w:div w:id="54817997">
                      <w:marLeft w:val="0"/>
                      <w:marRight w:val="0"/>
                      <w:marTop w:val="0"/>
                      <w:marBottom w:val="0"/>
                      <w:divBdr>
                        <w:top w:val="none" w:sz="0" w:space="0" w:color="auto"/>
                        <w:left w:val="none" w:sz="0" w:space="0" w:color="auto"/>
                        <w:bottom w:val="none" w:sz="0" w:space="0" w:color="auto"/>
                        <w:right w:val="none" w:sz="0" w:space="0" w:color="auto"/>
                      </w:divBdr>
                    </w:div>
                  </w:divsChild>
                </w:div>
                <w:div w:id="515770949">
                  <w:marLeft w:val="0"/>
                  <w:marRight w:val="0"/>
                  <w:marTop w:val="0"/>
                  <w:marBottom w:val="0"/>
                  <w:divBdr>
                    <w:top w:val="none" w:sz="0" w:space="0" w:color="auto"/>
                    <w:left w:val="none" w:sz="0" w:space="0" w:color="auto"/>
                    <w:bottom w:val="none" w:sz="0" w:space="0" w:color="auto"/>
                    <w:right w:val="none" w:sz="0" w:space="0" w:color="auto"/>
                  </w:divBdr>
                  <w:divsChild>
                    <w:div w:id="1762071084">
                      <w:marLeft w:val="0"/>
                      <w:marRight w:val="0"/>
                      <w:marTop w:val="0"/>
                      <w:marBottom w:val="0"/>
                      <w:divBdr>
                        <w:top w:val="none" w:sz="0" w:space="0" w:color="auto"/>
                        <w:left w:val="none" w:sz="0" w:space="0" w:color="auto"/>
                        <w:bottom w:val="none" w:sz="0" w:space="0" w:color="auto"/>
                        <w:right w:val="none" w:sz="0" w:space="0" w:color="auto"/>
                      </w:divBdr>
                    </w:div>
                  </w:divsChild>
                </w:div>
                <w:div w:id="677149382">
                  <w:marLeft w:val="0"/>
                  <w:marRight w:val="0"/>
                  <w:marTop w:val="0"/>
                  <w:marBottom w:val="0"/>
                  <w:divBdr>
                    <w:top w:val="none" w:sz="0" w:space="0" w:color="auto"/>
                    <w:left w:val="none" w:sz="0" w:space="0" w:color="auto"/>
                    <w:bottom w:val="none" w:sz="0" w:space="0" w:color="auto"/>
                    <w:right w:val="none" w:sz="0" w:space="0" w:color="auto"/>
                  </w:divBdr>
                  <w:divsChild>
                    <w:div w:id="902523502">
                      <w:marLeft w:val="0"/>
                      <w:marRight w:val="0"/>
                      <w:marTop w:val="0"/>
                      <w:marBottom w:val="0"/>
                      <w:divBdr>
                        <w:top w:val="none" w:sz="0" w:space="0" w:color="auto"/>
                        <w:left w:val="none" w:sz="0" w:space="0" w:color="auto"/>
                        <w:bottom w:val="none" w:sz="0" w:space="0" w:color="auto"/>
                        <w:right w:val="none" w:sz="0" w:space="0" w:color="auto"/>
                      </w:divBdr>
                    </w:div>
                  </w:divsChild>
                </w:div>
                <w:div w:id="787120032">
                  <w:marLeft w:val="0"/>
                  <w:marRight w:val="0"/>
                  <w:marTop w:val="0"/>
                  <w:marBottom w:val="0"/>
                  <w:divBdr>
                    <w:top w:val="none" w:sz="0" w:space="0" w:color="auto"/>
                    <w:left w:val="none" w:sz="0" w:space="0" w:color="auto"/>
                    <w:bottom w:val="none" w:sz="0" w:space="0" w:color="auto"/>
                    <w:right w:val="none" w:sz="0" w:space="0" w:color="auto"/>
                  </w:divBdr>
                  <w:divsChild>
                    <w:div w:id="1151948637">
                      <w:marLeft w:val="0"/>
                      <w:marRight w:val="0"/>
                      <w:marTop w:val="0"/>
                      <w:marBottom w:val="0"/>
                      <w:divBdr>
                        <w:top w:val="none" w:sz="0" w:space="0" w:color="auto"/>
                        <w:left w:val="none" w:sz="0" w:space="0" w:color="auto"/>
                        <w:bottom w:val="none" w:sz="0" w:space="0" w:color="auto"/>
                        <w:right w:val="none" w:sz="0" w:space="0" w:color="auto"/>
                      </w:divBdr>
                    </w:div>
                  </w:divsChild>
                </w:div>
                <w:div w:id="827595433">
                  <w:marLeft w:val="0"/>
                  <w:marRight w:val="0"/>
                  <w:marTop w:val="0"/>
                  <w:marBottom w:val="0"/>
                  <w:divBdr>
                    <w:top w:val="none" w:sz="0" w:space="0" w:color="auto"/>
                    <w:left w:val="none" w:sz="0" w:space="0" w:color="auto"/>
                    <w:bottom w:val="none" w:sz="0" w:space="0" w:color="auto"/>
                    <w:right w:val="none" w:sz="0" w:space="0" w:color="auto"/>
                  </w:divBdr>
                  <w:divsChild>
                    <w:div w:id="491993820">
                      <w:marLeft w:val="0"/>
                      <w:marRight w:val="0"/>
                      <w:marTop w:val="0"/>
                      <w:marBottom w:val="0"/>
                      <w:divBdr>
                        <w:top w:val="none" w:sz="0" w:space="0" w:color="auto"/>
                        <w:left w:val="none" w:sz="0" w:space="0" w:color="auto"/>
                        <w:bottom w:val="none" w:sz="0" w:space="0" w:color="auto"/>
                        <w:right w:val="none" w:sz="0" w:space="0" w:color="auto"/>
                      </w:divBdr>
                    </w:div>
                  </w:divsChild>
                </w:div>
                <w:div w:id="859514705">
                  <w:marLeft w:val="0"/>
                  <w:marRight w:val="0"/>
                  <w:marTop w:val="0"/>
                  <w:marBottom w:val="0"/>
                  <w:divBdr>
                    <w:top w:val="none" w:sz="0" w:space="0" w:color="auto"/>
                    <w:left w:val="none" w:sz="0" w:space="0" w:color="auto"/>
                    <w:bottom w:val="none" w:sz="0" w:space="0" w:color="auto"/>
                    <w:right w:val="none" w:sz="0" w:space="0" w:color="auto"/>
                  </w:divBdr>
                  <w:divsChild>
                    <w:div w:id="984628987">
                      <w:marLeft w:val="0"/>
                      <w:marRight w:val="0"/>
                      <w:marTop w:val="0"/>
                      <w:marBottom w:val="0"/>
                      <w:divBdr>
                        <w:top w:val="none" w:sz="0" w:space="0" w:color="auto"/>
                        <w:left w:val="none" w:sz="0" w:space="0" w:color="auto"/>
                        <w:bottom w:val="none" w:sz="0" w:space="0" w:color="auto"/>
                        <w:right w:val="none" w:sz="0" w:space="0" w:color="auto"/>
                      </w:divBdr>
                    </w:div>
                  </w:divsChild>
                </w:div>
                <w:div w:id="918638370">
                  <w:marLeft w:val="0"/>
                  <w:marRight w:val="0"/>
                  <w:marTop w:val="0"/>
                  <w:marBottom w:val="0"/>
                  <w:divBdr>
                    <w:top w:val="none" w:sz="0" w:space="0" w:color="auto"/>
                    <w:left w:val="none" w:sz="0" w:space="0" w:color="auto"/>
                    <w:bottom w:val="none" w:sz="0" w:space="0" w:color="auto"/>
                    <w:right w:val="none" w:sz="0" w:space="0" w:color="auto"/>
                  </w:divBdr>
                  <w:divsChild>
                    <w:div w:id="1468933327">
                      <w:marLeft w:val="0"/>
                      <w:marRight w:val="0"/>
                      <w:marTop w:val="0"/>
                      <w:marBottom w:val="0"/>
                      <w:divBdr>
                        <w:top w:val="none" w:sz="0" w:space="0" w:color="auto"/>
                        <w:left w:val="none" w:sz="0" w:space="0" w:color="auto"/>
                        <w:bottom w:val="none" w:sz="0" w:space="0" w:color="auto"/>
                        <w:right w:val="none" w:sz="0" w:space="0" w:color="auto"/>
                      </w:divBdr>
                    </w:div>
                  </w:divsChild>
                </w:div>
                <w:div w:id="947926625">
                  <w:marLeft w:val="0"/>
                  <w:marRight w:val="0"/>
                  <w:marTop w:val="0"/>
                  <w:marBottom w:val="0"/>
                  <w:divBdr>
                    <w:top w:val="none" w:sz="0" w:space="0" w:color="auto"/>
                    <w:left w:val="none" w:sz="0" w:space="0" w:color="auto"/>
                    <w:bottom w:val="none" w:sz="0" w:space="0" w:color="auto"/>
                    <w:right w:val="none" w:sz="0" w:space="0" w:color="auto"/>
                  </w:divBdr>
                  <w:divsChild>
                    <w:div w:id="1950699630">
                      <w:marLeft w:val="0"/>
                      <w:marRight w:val="0"/>
                      <w:marTop w:val="0"/>
                      <w:marBottom w:val="0"/>
                      <w:divBdr>
                        <w:top w:val="none" w:sz="0" w:space="0" w:color="auto"/>
                        <w:left w:val="none" w:sz="0" w:space="0" w:color="auto"/>
                        <w:bottom w:val="none" w:sz="0" w:space="0" w:color="auto"/>
                        <w:right w:val="none" w:sz="0" w:space="0" w:color="auto"/>
                      </w:divBdr>
                    </w:div>
                  </w:divsChild>
                </w:div>
                <w:div w:id="953747964">
                  <w:marLeft w:val="0"/>
                  <w:marRight w:val="0"/>
                  <w:marTop w:val="0"/>
                  <w:marBottom w:val="0"/>
                  <w:divBdr>
                    <w:top w:val="none" w:sz="0" w:space="0" w:color="auto"/>
                    <w:left w:val="none" w:sz="0" w:space="0" w:color="auto"/>
                    <w:bottom w:val="none" w:sz="0" w:space="0" w:color="auto"/>
                    <w:right w:val="none" w:sz="0" w:space="0" w:color="auto"/>
                  </w:divBdr>
                  <w:divsChild>
                    <w:div w:id="1333025316">
                      <w:marLeft w:val="0"/>
                      <w:marRight w:val="0"/>
                      <w:marTop w:val="0"/>
                      <w:marBottom w:val="0"/>
                      <w:divBdr>
                        <w:top w:val="none" w:sz="0" w:space="0" w:color="auto"/>
                        <w:left w:val="none" w:sz="0" w:space="0" w:color="auto"/>
                        <w:bottom w:val="none" w:sz="0" w:space="0" w:color="auto"/>
                        <w:right w:val="none" w:sz="0" w:space="0" w:color="auto"/>
                      </w:divBdr>
                    </w:div>
                  </w:divsChild>
                </w:div>
                <w:div w:id="1140657085">
                  <w:marLeft w:val="0"/>
                  <w:marRight w:val="0"/>
                  <w:marTop w:val="0"/>
                  <w:marBottom w:val="0"/>
                  <w:divBdr>
                    <w:top w:val="none" w:sz="0" w:space="0" w:color="auto"/>
                    <w:left w:val="none" w:sz="0" w:space="0" w:color="auto"/>
                    <w:bottom w:val="none" w:sz="0" w:space="0" w:color="auto"/>
                    <w:right w:val="none" w:sz="0" w:space="0" w:color="auto"/>
                  </w:divBdr>
                  <w:divsChild>
                    <w:div w:id="34358338">
                      <w:marLeft w:val="0"/>
                      <w:marRight w:val="0"/>
                      <w:marTop w:val="0"/>
                      <w:marBottom w:val="0"/>
                      <w:divBdr>
                        <w:top w:val="none" w:sz="0" w:space="0" w:color="auto"/>
                        <w:left w:val="none" w:sz="0" w:space="0" w:color="auto"/>
                        <w:bottom w:val="none" w:sz="0" w:space="0" w:color="auto"/>
                        <w:right w:val="none" w:sz="0" w:space="0" w:color="auto"/>
                      </w:divBdr>
                    </w:div>
                  </w:divsChild>
                </w:div>
                <w:div w:id="1360623746">
                  <w:marLeft w:val="0"/>
                  <w:marRight w:val="0"/>
                  <w:marTop w:val="0"/>
                  <w:marBottom w:val="0"/>
                  <w:divBdr>
                    <w:top w:val="none" w:sz="0" w:space="0" w:color="auto"/>
                    <w:left w:val="none" w:sz="0" w:space="0" w:color="auto"/>
                    <w:bottom w:val="none" w:sz="0" w:space="0" w:color="auto"/>
                    <w:right w:val="none" w:sz="0" w:space="0" w:color="auto"/>
                  </w:divBdr>
                  <w:divsChild>
                    <w:div w:id="1469786747">
                      <w:marLeft w:val="0"/>
                      <w:marRight w:val="0"/>
                      <w:marTop w:val="0"/>
                      <w:marBottom w:val="0"/>
                      <w:divBdr>
                        <w:top w:val="none" w:sz="0" w:space="0" w:color="auto"/>
                        <w:left w:val="none" w:sz="0" w:space="0" w:color="auto"/>
                        <w:bottom w:val="none" w:sz="0" w:space="0" w:color="auto"/>
                        <w:right w:val="none" w:sz="0" w:space="0" w:color="auto"/>
                      </w:divBdr>
                    </w:div>
                  </w:divsChild>
                </w:div>
                <w:div w:id="1380787699">
                  <w:marLeft w:val="0"/>
                  <w:marRight w:val="0"/>
                  <w:marTop w:val="0"/>
                  <w:marBottom w:val="0"/>
                  <w:divBdr>
                    <w:top w:val="none" w:sz="0" w:space="0" w:color="auto"/>
                    <w:left w:val="none" w:sz="0" w:space="0" w:color="auto"/>
                    <w:bottom w:val="none" w:sz="0" w:space="0" w:color="auto"/>
                    <w:right w:val="none" w:sz="0" w:space="0" w:color="auto"/>
                  </w:divBdr>
                  <w:divsChild>
                    <w:div w:id="1200439549">
                      <w:marLeft w:val="0"/>
                      <w:marRight w:val="0"/>
                      <w:marTop w:val="0"/>
                      <w:marBottom w:val="0"/>
                      <w:divBdr>
                        <w:top w:val="none" w:sz="0" w:space="0" w:color="auto"/>
                        <w:left w:val="none" w:sz="0" w:space="0" w:color="auto"/>
                        <w:bottom w:val="none" w:sz="0" w:space="0" w:color="auto"/>
                        <w:right w:val="none" w:sz="0" w:space="0" w:color="auto"/>
                      </w:divBdr>
                    </w:div>
                  </w:divsChild>
                </w:div>
                <w:div w:id="1390232181">
                  <w:marLeft w:val="0"/>
                  <w:marRight w:val="0"/>
                  <w:marTop w:val="0"/>
                  <w:marBottom w:val="0"/>
                  <w:divBdr>
                    <w:top w:val="none" w:sz="0" w:space="0" w:color="auto"/>
                    <w:left w:val="none" w:sz="0" w:space="0" w:color="auto"/>
                    <w:bottom w:val="none" w:sz="0" w:space="0" w:color="auto"/>
                    <w:right w:val="none" w:sz="0" w:space="0" w:color="auto"/>
                  </w:divBdr>
                  <w:divsChild>
                    <w:div w:id="1658724546">
                      <w:marLeft w:val="0"/>
                      <w:marRight w:val="0"/>
                      <w:marTop w:val="0"/>
                      <w:marBottom w:val="0"/>
                      <w:divBdr>
                        <w:top w:val="none" w:sz="0" w:space="0" w:color="auto"/>
                        <w:left w:val="none" w:sz="0" w:space="0" w:color="auto"/>
                        <w:bottom w:val="none" w:sz="0" w:space="0" w:color="auto"/>
                        <w:right w:val="none" w:sz="0" w:space="0" w:color="auto"/>
                      </w:divBdr>
                    </w:div>
                  </w:divsChild>
                </w:div>
                <w:div w:id="1469742496">
                  <w:marLeft w:val="0"/>
                  <w:marRight w:val="0"/>
                  <w:marTop w:val="0"/>
                  <w:marBottom w:val="0"/>
                  <w:divBdr>
                    <w:top w:val="none" w:sz="0" w:space="0" w:color="auto"/>
                    <w:left w:val="none" w:sz="0" w:space="0" w:color="auto"/>
                    <w:bottom w:val="none" w:sz="0" w:space="0" w:color="auto"/>
                    <w:right w:val="none" w:sz="0" w:space="0" w:color="auto"/>
                  </w:divBdr>
                  <w:divsChild>
                    <w:div w:id="923495584">
                      <w:marLeft w:val="0"/>
                      <w:marRight w:val="0"/>
                      <w:marTop w:val="0"/>
                      <w:marBottom w:val="0"/>
                      <w:divBdr>
                        <w:top w:val="none" w:sz="0" w:space="0" w:color="auto"/>
                        <w:left w:val="none" w:sz="0" w:space="0" w:color="auto"/>
                        <w:bottom w:val="none" w:sz="0" w:space="0" w:color="auto"/>
                        <w:right w:val="none" w:sz="0" w:space="0" w:color="auto"/>
                      </w:divBdr>
                    </w:div>
                  </w:divsChild>
                </w:div>
                <w:div w:id="1495293496">
                  <w:marLeft w:val="0"/>
                  <w:marRight w:val="0"/>
                  <w:marTop w:val="0"/>
                  <w:marBottom w:val="0"/>
                  <w:divBdr>
                    <w:top w:val="none" w:sz="0" w:space="0" w:color="auto"/>
                    <w:left w:val="none" w:sz="0" w:space="0" w:color="auto"/>
                    <w:bottom w:val="none" w:sz="0" w:space="0" w:color="auto"/>
                    <w:right w:val="none" w:sz="0" w:space="0" w:color="auto"/>
                  </w:divBdr>
                  <w:divsChild>
                    <w:div w:id="1044405070">
                      <w:marLeft w:val="0"/>
                      <w:marRight w:val="0"/>
                      <w:marTop w:val="0"/>
                      <w:marBottom w:val="0"/>
                      <w:divBdr>
                        <w:top w:val="none" w:sz="0" w:space="0" w:color="auto"/>
                        <w:left w:val="none" w:sz="0" w:space="0" w:color="auto"/>
                        <w:bottom w:val="none" w:sz="0" w:space="0" w:color="auto"/>
                        <w:right w:val="none" w:sz="0" w:space="0" w:color="auto"/>
                      </w:divBdr>
                    </w:div>
                  </w:divsChild>
                </w:div>
                <w:div w:id="1519588795">
                  <w:marLeft w:val="0"/>
                  <w:marRight w:val="0"/>
                  <w:marTop w:val="0"/>
                  <w:marBottom w:val="0"/>
                  <w:divBdr>
                    <w:top w:val="none" w:sz="0" w:space="0" w:color="auto"/>
                    <w:left w:val="none" w:sz="0" w:space="0" w:color="auto"/>
                    <w:bottom w:val="none" w:sz="0" w:space="0" w:color="auto"/>
                    <w:right w:val="none" w:sz="0" w:space="0" w:color="auto"/>
                  </w:divBdr>
                  <w:divsChild>
                    <w:div w:id="921069077">
                      <w:marLeft w:val="0"/>
                      <w:marRight w:val="0"/>
                      <w:marTop w:val="0"/>
                      <w:marBottom w:val="0"/>
                      <w:divBdr>
                        <w:top w:val="none" w:sz="0" w:space="0" w:color="auto"/>
                        <w:left w:val="none" w:sz="0" w:space="0" w:color="auto"/>
                        <w:bottom w:val="none" w:sz="0" w:space="0" w:color="auto"/>
                        <w:right w:val="none" w:sz="0" w:space="0" w:color="auto"/>
                      </w:divBdr>
                    </w:div>
                  </w:divsChild>
                </w:div>
                <w:div w:id="1564561409">
                  <w:marLeft w:val="0"/>
                  <w:marRight w:val="0"/>
                  <w:marTop w:val="0"/>
                  <w:marBottom w:val="0"/>
                  <w:divBdr>
                    <w:top w:val="none" w:sz="0" w:space="0" w:color="auto"/>
                    <w:left w:val="none" w:sz="0" w:space="0" w:color="auto"/>
                    <w:bottom w:val="none" w:sz="0" w:space="0" w:color="auto"/>
                    <w:right w:val="none" w:sz="0" w:space="0" w:color="auto"/>
                  </w:divBdr>
                  <w:divsChild>
                    <w:div w:id="269246767">
                      <w:marLeft w:val="0"/>
                      <w:marRight w:val="0"/>
                      <w:marTop w:val="0"/>
                      <w:marBottom w:val="0"/>
                      <w:divBdr>
                        <w:top w:val="none" w:sz="0" w:space="0" w:color="auto"/>
                        <w:left w:val="none" w:sz="0" w:space="0" w:color="auto"/>
                        <w:bottom w:val="none" w:sz="0" w:space="0" w:color="auto"/>
                        <w:right w:val="none" w:sz="0" w:space="0" w:color="auto"/>
                      </w:divBdr>
                    </w:div>
                  </w:divsChild>
                </w:div>
                <w:div w:id="1685283083">
                  <w:marLeft w:val="0"/>
                  <w:marRight w:val="0"/>
                  <w:marTop w:val="0"/>
                  <w:marBottom w:val="0"/>
                  <w:divBdr>
                    <w:top w:val="none" w:sz="0" w:space="0" w:color="auto"/>
                    <w:left w:val="none" w:sz="0" w:space="0" w:color="auto"/>
                    <w:bottom w:val="none" w:sz="0" w:space="0" w:color="auto"/>
                    <w:right w:val="none" w:sz="0" w:space="0" w:color="auto"/>
                  </w:divBdr>
                  <w:divsChild>
                    <w:div w:id="1757290074">
                      <w:marLeft w:val="0"/>
                      <w:marRight w:val="0"/>
                      <w:marTop w:val="0"/>
                      <w:marBottom w:val="0"/>
                      <w:divBdr>
                        <w:top w:val="none" w:sz="0" w:space="0" w:color="auto"/>
                        <w:left w:val="none" w:sz="0" w:space="0" w:color="auto"/>
                        <w:bottom w:val="none" w:sz="0" w:space="0" w:color="auto"/>
                        <w:right w:val="none" w:sz="0" w:space="0" w:color="auto"/>
                      </w:divBdr>
                    </w:div>
                  </w:divsChild>
                </w:div>
                <w:div w:id="1966885415">
                  <w:marLeft w:val="0"/>
                  <w:marRight w:val="0"/>
                  <w:marTop w:val="0"/>
                  <w:marBottom w:val="0"/>
                  <w:divBdr>
                    <w:top w:val="none" w:sz="0" w:space="0" w:color="auto"/>
                    <w:left w:val="none" w:sz="0" w:space="0" w:color="auto"/>
                    <w:bottom w:val="none" w:sz="0" w:space="0" w:color="auto"/>
                    <w:right w:val="none" w:sz="0" w:space="0" w:color="auto"/>
                  </w:divBdr>
                  <w:divsChild>
                    <w:div w:id="617033367">
                      <w:marLeft w:val="0"/>
                      <w:marRight w:val="0"/>
                      <w:marTop w:val="0"/>
                      <w:marBottom w:val="0"/>
                      <w:divBdr>
                        <w:top w:val="none" w:sz="0" w:space="0" w:color="auto"/>
                        <w:left w:val="none" w:sz="0" w:space="0" w:color="auto"/>
                        <w:bottom w:val="none" w:sz="0" w:space="0" w:color="auto"/>
                        <w:right w:val="none" w:sz="0" w:space="0" w:color="auto"/>
                      </w:divBdr>
                    </w:div>
                  </w:divsChild>
                </w:div>
                <w:div w:id="1969506572">
                  <w:marLeft w:val="0"/>
                  <w:marRight w:val="0"/>
                  <w:marTop w:val="0"/>
                  <w:marBottom w:val="0"/>
                  <w:divBdr>
                    <w:top w:val="none" w:sz="0" w:space="0" w:color="auto"/>
                    <w:left w:val="none" w:sz="0" w:space="0" w:color="auto"/>
                    <w:bottom w:val="none" w:sz="0" w:space="0" w:color="auto"/>
                    <w:right w:val="none" w:sz="0" w:space="0" w:color="auto"/>
                  </w:divBdr>
                  <w:divsChild>
                    <w:div w:id="1791823392">
                      <w:marLeft w:val="0"/>
                      <w:marRight w:val="0"/>
                      <w:marTop w:val="0"/>
                      <w:marBottom w:val="0"/>
                      <w:divBdr>
                        <w:top w:val="none" w:sz="0" w:space="0" w:color="auto"/>
                        <w:left w:val="none" w:sz="0" w:space="0" w:color="auto"/>
                        <w:bottom w:val="none" w:sz="0" w:space="0" w:color="auto"/>
                        <w:right w:val="none" w:sz="0" w:space="0" w:color="auto"/>
                      </w:divBdr>
                    </w:div>
                  </w:divsChild>
                </w:div>
                <w:div w:id="2044861222">
                  <w:marLeft w:val="0"/>
                  <w:marRight w:val="0"/>
                  <w:marTop w:val="0"/>
                  <w:marBottom w:val="0"/>
                  <w:divBdr>
                    <w:top w:val="none" w:sz="0" w:space="0" w:color="auto"/>
                    <w:left w:val="none" w:sz="0" w:space="0" w:color="auto"/>
                    <w:bottom w:val="none" w:sz="0" w:space="0" w:color="auto"/>
                    <w:right w:val="none" w:sz="0" w:space="0" w:color="auto"/>
                  </w:divBdr>
                  <w:divsChild>
                    <w:div w:id="188517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9309">
          <w:marLeft w:val="0"/>
          <w:marRight w:val="0"/>
          <w:marTop w:val="0"/>
          <w:marBottom w:val="0"/>
          <w:divBdr>
            <w:top w:val="none" w:sz="0" w:space="0" w:color="auto"/>
            <w:left w:val="none" w:sz="0" w:space="0" w:color="auto"/>
            <w:bottom w:val="none" w:sz="0" w:space="0" w:color="auto"/>
            <w:right w:val="none" w:sz="0" w:space="0" w:color="auto"/>
          </w:divBdr>
          <w:divsChild>
            <w:div w:id="185095864">
              <w:marLeft w:val="0"/>
              <w:marRight w:val="0"/>
              <w:marTop w:val="0"/>
              <w:marBottom w:val="0"/>
              <w:divBdr>
                <w:top w:val="none" w:sz="0" w:space="0" w:color="auto"/>
                <w:left w:val="none" w:sz="0" w:space="0" w:color="auto"/>
                <w:bottom w:val="none" w:sz="0" w:space="0" w:color="auto"/>
                <w:right w:val="none" w:sz="0" w:space="0" w:color="auto"/>
              </w:divBdr>
            </w:div>
            <w:div w:id="468984589">
              <w:marLeft w:val="0"/>
              <w:marRight w:val="0"/>
              <w:marTop w:val="0"/>
              <w:marBottom w:val="0"/>
              <w:divBdr>
                <w:top w:val="none" w:sz="0" w:space="0" w:color="auto"/>
                <w:left w:val="none" w:sz="0" w:space="0" w:color="auto"/>
                <w:bottom w:val="none" w:sz="0" w:space="0" w:color="auto"/>
                <w:right w:val="none" w:sz="0" w:space="0" w:color="auto"/>
              </w:divBdr>
            </w:div>
            <w:div w:id="938565412">
              <w:marLeft w:val="0"/>
              <w:marRight w:val="0"/>
              <w:marTop w:val="0"/>
              <w:marBottom w:val="0"/>
              <w:divBdr>
                <w:top w:val="none" w:sz="0" w:space="0" w:color="auto"/>
                <w:left w:val="none" w:sz="0" w:space="0" w:color="auto"/>
                <w:bottom w:val="none" w:sz="0" w:space="0" w:color="auto"/>
                <w:right w:val="none" w:sz="0" w:space="0" w:color="auto"/>
              </w:divBdr>
            </w:div>
            <w:div w:id="1177889083">
              <w:marLeft w:val="0"/>
              <w:marRight w:val="0"/>
              <w:marTop w:val="0"/>
              <w:marBottom w:val="0"/>
              <w:divBdr>
                <w:top w:val="none" w:sz="0" w:space="0" w:color="auto"/>
                <w:left w:val="none" w:sz="0" w:space="0" w:color="auto"/>
                <w:bottom w:val="none" w:sz="0" w:space="0" w:color="auto"/>
                <w:right w:val="none" w:sz="0" w:space="0" w:color="auto"/>
              </w:divBdr>
            </w:div>
            <w:div w:id="1250040225">
              <w:marLeft w:val="0"/>
              <w:marRight w:val="0"/>
              <w:marTop w:val="0"/>
              <w:marBottom w:val="0"/>
              <w:divBdr>
                <w:top w:val="none" w:sz="0" w:space="0" w:color="auto"/>
                <w:left w:val="none" w:sz="0" w:space="0" w:color="auto"/>
                <w:bottom w:val="none" w:sz="0" w:space="0" w:color="auto"/>
                <w:right w:val="none" w:sz="0" w:space="0" w:color="auto"/>
              </w:divBdr>
            </w:div>
            <w:div w:id="1296527680">
              <w:marLeft w:val="0"/>
              <w:marRight w:val="0"/>
              <w:marTop w:val="0"/>
              <w:marBottom w:val="0"/>
              <w:divBdr>
                <w:top w:val="none" w:sz="0" w:space="0" w:color="auto"/>
                <w:left w:val="none" w:sz="0" w:space="0" w:color="auto"/>
                <w:bottom w:val="none" w:sz="0" w:space="0" w:color="auto"/>
                <w:right w:val="none" w:sz="0" w:space="0" w:color="auto"/>
              </w:divBdr>
            </w:div>
            <w:div w:id="1327972356">
              <w:marLeft w:val="0"/>
              <w:marRight w:val="0"/>
              <w:marTop w:val="0"/>
              <w:marBottom w:val="0"/>
              <w:divBdr>
                <w:top w:val="none" w:sz="0" w:space="0" w:color="auto"/>
                <w:left w:val="none" w:sz="0" w:space="0" w:color="auto"/>
                <w:bottom w:val="none" w:sz="0" w:space="0" w:color="auto"/>
                <w:right w:val="none" w:sz="0" w:space="0" w:color="auto"/>
              </w:divBdr>
            </w:div>
            <w:div w:id="1359548946">
              <w:marLeft w:val="0"/>
              <w:marRight w:val="0"/>
              <w:marTop w:val="0"/>
              <w:marBottom w:val="0"/>
              <w:divBdr>
                <w:top w:val="none" w:sz="0" w:space="0" w:color="auto"/>
                <w:left w:val="none" w:sz="0" w:space="0" w:color="auto"/>
                <w:bottom w:val="none" w:sz="0" w:space="0" w:color="auto"/>
                <w:right w:val="none" w:sz="0" w:space="0" w:color="auto"/>
              </w:divBdr>
            </w:div>
            <w:div w:id="1412582740">
              <w:marLeft w:val="0"/>
              <w:marRight w:val="0"/>
              <w:marTop w:val="0"/>
              <w:marBottom w:val="0"/>
              <w:divBdr>
                <w:top w:val="none" w:sz="0" w:space="0" w:color="auto"/>
                <w:left w:val="none" w:sz="0" w:space="0" w:color="auto"/>
                <w:bottom w:val="none" w:sz="0" w:space="0" w:color="auto"/>
                <w:right w:val="none" w:sz="0" w:space="0" w:color="auto"/>
              </w:divBdr>
            </w:div>
            <w:div w:id="1432703587">
              <w:marLeft w:val="0"/>
              <w:marRight w:val="0"/>
              <w:marTop w:val="0"/>
              <w:marBottom w:val="0"/>
              <w:divBdr>
                <w:top w:val="none" w:sz="0" w:space="0" w:color="auto"/>
                <w:left w:val="none" w:sz="0" w:space="0" w:color="auto"/>
                <w:bottom w:val="none" w:sz="0" w:space="0" w:color="auto"/>
                <w:right w:val="none" w:sz="0" w:space="0" w:color="auto"/>
              </w:divBdr>
            </w:div>
            <w:div w:id="1503620953">
              <w:marLeft w:val="0"/>
              <w:marRight w:val="0"/>
              <w:marTop w:val="0"/>
              <w:marBottom w:val="0"/>
              <w:divBdr>
                <w:top w:val="none" w:sz="0" w:space="0" w:color="auto"/>
                <w:left w:val="none" w:sz="0" w:space="0" w:color="auto"/>
                <w:bottom w:val="none" w:sz="0" w:space="0" w:color="auto"/>
                <w:right w:val="none" w:sz="0" w:space="0" w:color="auto"/>
              </w:divBdr>
            </w:div>
            <w:div w:id="1692993726">
              <w:marLeft w:val="0"/>
              <w:marRight w:val="0"/>
              <w:marTop w:val="0"/>
              <w:marBottom w:val="0"/>
              <w:divBdr>
                <w:top w:val="none" w:sz="0" w:space="0" w:color="auto"/>
                <w:left w:val="none" w:sz="0" w:space="0" w:color="auto"/>
                <w:bottom w:val="none" w:sz="0" w:space="0" w:color="auto"/>
                <w:right w:val="none" w:sz="0" w:space="0" w:color="auto"/>
              </w:divBdr>
            </w:div>
            <w:div w:id="1724403480">
              <w:marLeft w:val="0"/>
              <w:marRight w:val="0"/>
              <w:marTop w:val="0"/>
              <w:marBottom w:val="0"/>
              <w:divBdr>
                <w:top w:val="none" w:sz="0" w:space="0" w:color="auto"/>
                <w:left w:val="none" w:sz="0" w:space="0" w:color="auto"/>
                <w:bottom w:val="none" w:sz="0" w:space="0" w:color="auto"/>
                <w:right w:val="none" w:sz="0" w:space="0" w:color="auto"/>
              </w:divBdr>
            </w:div>
            <w:div w:id="1786150906">
              <w:marLeft w:val="0"/>
              <w:marRight w:val="0"/>
              <w:marTop w:val="0"/>
              <w:marBottom w:val="0"/>
              <w:divBdr>
                <w:top w:val="none" w:sz="0" w:space="0" w:color="auto"/>
                <w:left w:val="none" w:sz="0" w:space="0" w:color="auto"/>
                <w:bottom w:val="none" w:sz="0" w:space="0" w:color="auto"/>
                <w:right w:val="none" w:sz="0" w:space="0" w:color="auto"/>
              </w:divBdr>
            </w:div>
            <w:div w:id="2021079779">
              <w:marLeft w:val="0"/>
              <w:marRight w:val="0"/>
              <w:marTop w:val="0"/>
              <w:marBottom w:val="0"/>
              <w:divBdr>
                <w:top w:val="none" w:sz="0" w:space="0" w:color="auto"/>
                <w:left w:val="none" w:sz="0" w:space="0" w:color="auto"/>
                <w:bottom w:val="none" w:sz="0" w:space="0" w:color="auto"/>
                <w:right w:val="none" w:sz="0" w:space="0" w:color="auto"/>
              </w:divBdr>
            </w:div>
          </w:divsChild>
        </w:div>
        <w:div w:id="2000649512">
          <w:marLeft w:val="0"/>
          <w:marRight w:val="0"/>
          <w:marTop w:val="0"/>
          <w:marBottom w:val="0"/>
          <w:divBdr>
            <w:top w:val="none" w:sz="0" w:space="0" w:color="auto"/>
            <w:left w:val="none" w:sz="0" w:space="0" w:color="auto"/>
            <w:bottom w:val="none" w:sz="0" w:space="0" w:color="auto"/>
            <w:right w:val="none" w:sz="0" w:space="0" w:color="auto"/>
          </w:divBdr>
        </w:div>
        <w:div w:id="2089765227">
          <w:marLeft w:val="0"/>
          <w:marRight w:val="0"/>
          <w:marTop w:val="0"/>
          <w:marBottom w:val="0"/>
          <w:divBdr>
            <w:top w:val="none" w:sz="0" w:space="0" w:color="auto"/>
            <w:left w:val="none" w:sz="0" w:space="0" w:color="auto"/>
            <w:bottom w:val="none" w:sz="0" w:space="0" w:color="auto"/>
            <w:right w:val="none" w:sz="0" w:space="0" w:color="auto"/>
          </w:divBdr>
        </w:div>
      </w:divsChild>
    </w:div>
    <w:div w:id="658000121">
      <w:bodyDiv w:val="1"/>
      <w:marLeft w:val="0"/>
      <w:marRight w:val="0"/>
      <w:marTop w:val="0"/>
      <w:marBottom w:val="0"/>
      <w:divBdr>
        <w:top w:val="none" w:sz="0" w:space="0" w:color="auto"/>
        <w:left w:val="none" w:sz="0" w:space="0" w:color="auto"/>
        <w:bottom w:val="none" w:sz="0" w:space="0" w:color="auto"/>
        <w:right w:val="none" w:sz="0" w:space="0" w:color="auto"/>
      </w:divBdr>
    </w:div>
    <w:div w:id="674653365">
      <w:bodyDiv w:val="1"/>
      <w:marLeft w:val="0"/>
      <w:marRight w:val="0"/>
      <w:marTop w:val="0"/>
      <w:marBottom w:val="0"/>
      <w:divBdr>
        <w:top w:val="none" w:sz="0" w:space="0" w:color="auto"/>
        <w:left w:val="none" w:sz="0" w:space="0" w:color="auto"/>
        <w:bottom w:val="none" w:sz="0" w:space="0" w:color="auto"/>
        <w:right w:val="none" w:sz="0" w:space="0" w:color="auto"/>
      </w:divBdr>
    </w:div>
    <w:div w:id="683440214">
      <w:bodyDiv w:val="1"/>
      <w:marLeft w:val="0"/>
      <w:marRight w:val="0"/>
      <w:marTop w:val="0"/>
      <w:marBottom w:val="0"/>
      <w:divBdr>
        <w:top w:val="none" w:sz="0" w:space="0" w:color="auto"/>
        <w:left w:val="none" w:sz="0" w:space="0" w:color="auto"/>
        <w:bottom w:val="none" w:sz="0" w:space="0" w:color="auto"/>
        <w:right w:val="none" w:sz="0" w:space="0" w:color="auto"/>
      </w:divBdr>
      <w:divsChild>
        <w:div w:id="17001522">
          <w:marLeft w:val="0"/>
          <w:marRight w:val="0"/>
          <w:marTop w:val="0"/>
          <w:marBottom w:val="0"/>
          <w:divBdr>
            <w:top w:val="none" w:sz="0" w:space="0" w:color="auto"/>
            <w:left w:val="none" w:sz="0" w:space="0" w:color="auto"/>
            <w:bottom w:val="none" w:sz="0" w:space="0" w:color="auto"/>
            <w:right w:val="none" w:sz="0" w:space="0" w:color="auto"/>
          </w:divBdr>
          <w:divsChild>
            <w:div w:id="1066683372">
              <w:marLeft w:val="0"/>
              <w:marRight w:val="0"/>
              <w:marTop w:val="0"/>
              <w:marBottom w:val="0"/>
              <w:divBdr>
                <w:top w:val="none" w:sz="0" w:space="0" w:color="auto"/>
                <w:left w:val="none" w:sz="0" w:space="0" w:color="auto"/>
                <w:bottom w:val="none" w:sz="0" w:space="0" w:color="auto"/>
                <w:right w:val="none" w:sz="0" w:space="0" w:color="auto"/>
              </w:divBdr>
            </w:div>
            <w:div w:id="1912542653">
              <w:marLeft w:val="0"/>
              <w:marRight w:val="0"/>
              <w:marTop w:val="0"/>
              <w:marBottom w:val="0"/>
              <w:divBdr>
                <w:top w:val="none" w:sz="0" w:space="0" w:color="auto"/>
                <w:left w:val="none" w:sz="0" w:space="0" w:color="auto"/>
                <w:bottom w:val="none" w:sz="0" w:space="0" w:color="auto"/>
                <w:right w:val="none" w:sz="0" w:space="0" w:color="auto"/>
              </w:divBdr>
            </w:div>
          </w:divsChild>
        </w:div>
        <w:div w:id="402457925">
          <w:marLeft w:val="0"/>
          <w:marRight w:val="0"/>
          <w:marTop w:val="0"/>
          <w:marBottom w:val="0"/>
          <w:divBdr>
            <w:top w:val="none" w:sz="0" w:space="0" w:color="auto"/>
            <w:left w:val="none" w:sz="0" w:space="0" w:color="auto"/>
            <w:bottom w:val="none" w:sz="0" w:space="0" w:color="auto"/>
            <w:right w:val="none" w:sz="0" w:space="0" w:color="auto"/>
          </w:divBdr>
          <w:divsChild>
            <w:div w:id="157965963">
              <w:marLeft w:val="0"/>
              <w:marRight w:val="0"/>
              <w:marTop w:val="0"/>
              <w:marBottom w:val="0"/>
              <w:divBdr>
                <w:top w:val="none" w:sz="0" w:space="0" w:color="auto"/>
                <w:left w:val="none" w:sz="0" w:space="0" w:color="auto"/>
                <w:bottom w:val="none" w:sz="0" w:space="0" w:color="auto"/>
                <w:right w:val="none" w:sz="0" w:space="0" w:color="auto"/>
              </w:divBdr>
            </w:div>
            <w:div w:id="202445724">
              <w:marLeft w:val="0"/>
              <w:marRight w:val="0"/>
              <w:marTop w:val="0"/>
              <w:marBottom w:val="0"/>
              <w:divBdr>
                <w:top w:val="none" w:sz="0" w:space="0" w:color="auto"/>
                <w:left w:val="none" w:sz="0" w:space="0" w:color="auto"/>
                <w:bottom w:val="none" w:sz="0" w:space="0" w:color="auto"/>
                <w:right w:val="none" w:sz="0" w:space="0" w:color="auto"/>
              </w:divBdr>
            </w:div>
            <w:div w:id="282809912">
              <w:marLeft w:val="0"/>
              <w:marRight w:val="0"/>
              <w:marTop w:val="0"/>
              <w:marBottom w:val="0"/>
              <w:divBdr>
                <w:top w:val="none" w:sz="0" w:space="0" w:color="auto"/>
                <w:left w:val="none" w:sz="0" w:space="0" w:color="auto"/>
                <w:bottom w:val="none" w:sz="0" w:space="0" w:color="auto"/>
                <w:right w:val="none" w:sz="0" w:space="0" w:color="auto"/>
              </w:divBdr>
            </w:div>
            <w:div w:id="346250984">
              <w:marLeft w:val="0"/>
              <w:marRight w:val="0"/>
              <w:marTop w:val="0"/>
              <w:marBottom w:val="0"/>
              <w:divBdr>
                <w:top w:val="none" w:sz="0" w:space="0" w:color="auto"/>
                <w:left w:val="none" w:sz="0" w:space="0" w:color="auto"/>
                <w:bottom w:val="none" w:sz="0" w:space="0" w:color="auto"/>
                <w:right w:val="none" w:sz="0" w:space="0" w:color="auto"/>
              </w:divBdr>
            </w:div>
            <w:div w:id="377555645">
              <w:marLeft w:val="0"/>
              <w:marRight w:val="0"/>
              <w:marTop w:val="0"/>
              <w:marBottom w:val="0"/>
              <w:divBdr>
                <w:top w:val="none" w:sz="0" w:space="0" w:color="auto"/>
                <w:left w:val="none" w:sz="0" w:space="0" w:color="auto"/>
                <w:bottom w:val="none" w:sz="0" w:space="0" w:color="auto"/>
                <w:right w:val="none" w:sz="0" w:space="0" w:color="auto"/>
              </w:divBdr>
            </w:div>
            <w:div w:id="537595758">
              <w:marLeft w:val="0"/>
              <w:marRight w:val="0"/>
              <w:marTop w:val="0"/>
              <w:marBottom w:val="0"/>
              <w:divBdr>
                <w:top w:val="none" w:sz="0" w:space="0" w:color="auto"/>
                <w:left w:val="none" w:sz="0" w:space="0" w:color="auto"/>
                <w:bottom w:val="none" w:sz="0" w:space="0" w:color="auto"/>
                <w:right w:val="none" w:sz="0" w:space="0" w:color="auto"/>
              </w:divBdr>
            </w:div>
            <w:div w:id="1335954477">
              <w:marLeft w:val="0"/>
              <w:marRight w:val="0"/>
              <w:marTop w:val="0"/>
              <w:marBottom w:val="0"/>
              <w:divBdr>
                <w:top w:val="none" w:sz="0" w:space="0" w:color="auto"/>
                <w:left w:val="none" w:sz="0" w:space="0" w:color="auto"/>
                <w:bottom w:val="none" w:sz="0" w:space="0" w:color="auto"/>
                <w:right w:val="none" w:sz="0" w:space="0" w:color="auto"/>
              </w:divBdr>
            </w:div>
            <w:div w:id="1584072134">
              <w:marLeft w:val="0"/>
              <w:marRight w:val="0"/>
              <w:marTop w:val="0"/>
              <w:marBottom w:val="0"/>
              <w:divBdr>
                <w:top w:val="none" w:sz="0" w:space="0" w:color="auto"/>
                <w:left w:val="none" w:sz="0" w:space="0" w:color="auto"/>
                <w:bottom w:val="none" w:sz="0" w:space="0" w:color="auto"/>
                <w:right w:val="none" w:sz="0" w:space="0" w:color="auto"/>
              </w:divBdr>
            </w:div>
            <w:div w:id="1728608323">
              <w:marLeft w:val="0"/>
              <w:marRight w:val="0"/>
              <w:marTop w:val="0"/>
              <w:marBottom w:val="0"/>
              <w:divBdr>
                <w:top w:val="none" w:sz="0" w:space="0" w:color="auto"/>
                <w:left w:val="none" w:sz="0" w:space="0" w:color="auto"/>
                <w:bottom w:val="none" w:sz="0" w:space="0" w:color="auto"/>
                <w:right w:val="none" w:sz="0" w:space="0" w:color="auto"/>
              </w:divBdr>
            </w:div>
            <w:div w:id="19045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1883">
      <w:bodyDiv w:val="1"/>
      <w:marLeft w:val="0"/>
      <w:marRight w:val="0"/>
      <w:marTop w:val="0"/>
      <w:marBottom w:val="0"/>
      <w:divBdr>
        <w:top w:val="none" w:sz="0" w:space="0" w:color="auto"/>
        <w:left w:val="none" w:sz="0" w:space="0" w:color="auto"/>
        <w:bottom w:val="none" w:sz="0" w:space="0" w:color="auto"/>
        <w:right w:val="none" w:sz="0" w:space="0" w:color="auto"/>
      </w:divBdr>
    </w:div>
    <w:div w:id="704520974">
      <w:bodyDiv w:val="1"/>
      <w:marLeft w:val="0"/>
      <w:marRight w:val="0"/>
      <w:marTop w:val="0"/>
      <w:marBottom w:val="0"/>
      <w:divBdr>
        <w:top w:val="none" w:sz="0" w:space="0" w:color="auto"/>
        <w:left w:val="none" w:sz="0" w:space="0" w:color="auto"/>
        <w:bottom w:val="none" w:sz="0" w:space="0" w:color="auto"/>
        <w:right w:val="none" w:sz="0" w:space="0" w:color="auto"/>
      </w:divBdr>
    </w:div>
    <w:div w:id="708846934">
      <w:bodyDiv w:val="1"/>
      <w:marLeft w:val="0"/>
      <w:marRight w:val="0"/>
      <w:marTop w:val="0"/>
      <w:marBottom w:val="0"/>
      <w:divBdr>
        <w:top w:val="none" w:sz="0" w:space="0" w:color="auto"/>
        <w:left w:val="none" w:sz="0" w:space="0" w:color="auto"/>
        <w:bottom w:val="none" w:sz="0" w:space="0" w:color="auto"/>
        <w:right w:val="none" w:sz="0" w:space="0" w:color="auto"/>
      </w:divBdr>
    </w:div>
    <w:div w:id="714038393">
      <w:bodyDiv w:val="1"/>
      <w:marLeft w:val="0"/>
      <w:marRight w:val="0"/>
      <w:marTop w:val="0"/>
      <w:marBottom w:val="0"/>
      <w:divBdr>
        <w:top w:val="none" w:sz="0" w:space="0" w:color="auto"/>
        <w:left w:val="none" w:sz="0" w:space="0" w:color="auto"/>
        <w:bottom w:val="none" w:sz="0" w:space="0" w:color="auto"/>
        <w:right w:val="none" w:sz="0" w:space="0" w:color="auto"/>
      </w:divBdr>
    </w:div>
    <w:div w:id="718818213">
      <w:bodyDiv w:val="1"/>
      <w:marLeft w:val="0"/>
      <w:marRight w:val="0"/>
      <w:marTop w:val="0"/>
      <w:marBottom w:val="0"/>
      <w:divBdr>
        <w:top w:val="none" w:sz="0" w:space="0" w:color="auto"/>
        <w:left w:val="none" w:sz="0" w:space="0" w:color="auto"/>
        <w:bottom w:val="none" w:sz="0" w:space="0" w:color="auto"/>
        <w:right w:val="none" w:sz="0" w:space="0" w:color="auto"/>
      </w:divBdr>
    </w:div>
    <w:div w:id="719476895">
      <w:bodyDiv w:val="1"/>
      <w:marLeft w:val="0"/>
      <w:marRight w:val="0"/>
      <w:marTop w:val="0"/>
      <w:marBottom w:val="0"/>
      <w:divBdr>
        <w:top w:val="none" w:sz="0" w:space="0" w:color="auto"/>
        <w:left w:val="none" w:sz="0" w:space="0" w:color="auto"/>
        <w:bottom w:val="none" w:sz="0" w:space="0" w:color="auto"/>
        <w:right w:val="none" w:sz="0" w:space="0" w:color="auto"/>
      </w:divBdr>
    </w:div>
    <w:div w:id="726105909">
      <w:bodyDiv w:val="1"/>
      <w:marLeft w:val="0"/>
      <w:marRight w:val="0"/>
      <w:marTop w:val="0"/>
      <w:marBottom w:val="0"/>
      <w:divBdr>
        <w:top w:val="none" w:sz="0" w:space="0" w:color="auto"/>
        <w:left w:val="none" w:sz="0" w:space="0" w:color="auto"/>
        <w:bottom w:val="none" w:sz="0" w:space="0" w:color="auto"/>
        <w:right w:val="none" w:sz="0" w:space="0" w:color="auto"/>
      </w:divBdr>
      <w:divsChild>
        <w:div w:id="216861640">
          <w:marLeft w:val="0"/>
          <w:marRight w:val="0"/>
          <w:marTop w:val="0"/>
          <w:marBottom w:val="0"/>
          <w:divBdr>
            <w:top w:val="none" w:sz="0" w:space="0" w:color="auto"/>
            <w:left w:val="none" w:sz="0" w:space="0" w:color="auto"/>
            <w:bottom w:val="none" w:sz="0" w:space="0" w:color="auto"/>
            <w:right w:val="none" w:sz="0" w:space="0" w:color="auto"/>
          </w:divBdr>
          <w:divsChild>
            <w:div w:id="1903755825">
              <w:marLeft w:val="0"/>
              <w:marRight w:val="0"/>
              <w:marTop w:val="0"/>
              <w:marBottom w:val="0"/>
              <w:divBdr>
                <w:top w:val="none" w:sz="0" w:space="0" w:color="auto"/>
                <w:left w:val="none" w:sz="0" w:space="0" w:color="auto"/>
                <w:bottom w:val="none" w:sz="0" w:space="0" w:color="auto"/>
                <w:right w:val="none" w:sz="0" w:space="0" w:color="auto"/>
              </w:divBdr>
            </w:div>
          </w:divsChild>
        </w:div>
        <w:div w:id="279340600">
          <w:marLeft w:val="0"/>
          <w:marRight w:val="0"/>
          <w:marTop w:val="0"/>
          <w:marBottom w:val="0"/>
          <w:divBdr>
            <w:top w:val="none" w:sz="0" w:space="0" w:color="auto"/>
            <w:left w:val="none" w:sz="0" w:space="0" w:color="auto"/>
            <w:bottom w:val="none" w:sz="0" w:space="0" w:color="auto"/>
            <w:right w:val="none" w:sz="0" w:space="0" w:color="auto"/>
          </w:divBdr>
          <w:divsChild>
            <w:div w:id="1045300979">
              <w:marLeft w:val="0"/>
              <w:marRight w:val="0"/>
              <w:marTop w:val="0"/>
              <w:marBottom w:val="0"/>
              <w:divBdr>
                <w:top w:val="none" w:sz="0" w:space="0" w:color="auto"/>
                <w:left w:val="none" w:sz="0" w:space="0" w:color="auto"/>
                <w:bottom w:val="none" w:sz="0" w:space="0" w:color="auto"/>
                <w:right w:val="none" w:sz="0" w:space="0" w:color="auto"/>
              </w:divBdr>
            </w:div>
          </w:divsChild>
        </w:div>
        <w:div w:id="279579123">
          <w:marLeft w:val="0"/>
          <w:marRight w:val="0"/>
          <w:marTop w:val="0"/>
          <w:marBottom w:val="0"/>
          <w:divBdr>
            <w:top w:val="none" w:sz="0" w:space="0" w:color="auto"/>
            <w:left w:val="none" w:sz="0" w:space="0" w:color="auto"/>
            <w:bottom w:val="none" w:sz="0" w:space="0" w:color="auto"/>
            <w:right w:val="none" w:sz="0" w:space="0" w:color="auto"/>
          </w:divBdr>
          <w:divsChild>
            <w:div w:id="1364214462">
              <w:marLeft w:val="0"/>
              <w:marRight w:val="0"/>
              <w:marTop w:val="0"/>
              <w:marBottom w:val="0"/>
              <w:divBdr>
                <w:top w:val="none" w:sz="0" w:space="0" w:color="auto"/>
                <w:left w:val="none" w:sz="0" w:space="0" w:color="auto"/>
                <w:bottom w:val="none" w:sz="0" w:space="0" w:color="auto"/>
                <w:right w:val="none" w:sz="0" w:space="0" w:color="auto"/>
              </w:divBdr>
            </w:div>
          </w:divsChild>
        </w:div>
        <w:div w:id="356272214">
          <w:marLeft w:val="0"/>
          <w:marRight w:val="0"/>
          <w:marTop w:val="0"/>
          <w:marBottom w:val="0"/>
          <w:divBdr>
            <w:top w:val="none" w:sz="0" w:space="0" w:color="auto"/>
            <w:left w:val="none" w:sz="0" w:space="0" w:color="auto"/>
            <w:bottom w:val="none" w:sz="0" w:space="0" w:color="auto"/>
            <w:right w:val="none" w:sz="0" w:space="0" w:color="auto"/>
          </w:divBdr>
          <w:divsChild>
            <w:div w:id="253632561">
              <w:marLeft w:val="0"/>
              <w:marRight w:val="0"/>
              <w:marTop w:val="0"/>
              <w:marBottom w:val="0"/>
              <w:divBdr>
                <w:top w:val="none" w:sz="0" w:space="0" w:color="auto"/>
                <w:left w:val="none" w:sz="0" w:space="0" w:color="auto"/>
                <w:bottom w:val="none" w:sz="0" w:space="0" w:color="auto"/>
                <w:right w:val="none" w:sz="0" w:space="0" w:color="auto"/>
              </w:divBdr>
            </w:div>
          </w:divsChild>
        </w:div>
        <w:div w:id="421076190">
          <w:marLeft w:val="0"/>
          <w:marRight w:val="0"/>
          <w:marTop w:val="0"/>
          <w:marBottom w:val="0"/>
          <w:divBdr>
            <w:top w:val="none" w:sz="0" w:space="0" w:color="auto"/>
            <w:left w:val="none" w:sz="0" w:space="0" w:color="auto"/>
            <w:bottom w:val="none" w:sz="0" w:space="0" w:color="auto"/>
            <w:right w:val="none" w:sz="0" w:space="0" w:color="auto"/>
          </w:divBdr>
          <w:divsChild>
            <w:div w:id="769544585">
              <w:marLeft w:val="0"/>
              <w:marRight w:val="0"/>
              <w:marTop w:val="0"/>
              <w:marBottom w:val="0"/>
              <w:divBdr>
                <w:top w:val="none" w:sz="0" w:space="0" w:color="auto"/>
                <w:left w:val="none" w:sz="0" w:space="0" w:color="auto"/>
                <w:bottom w:val="none" w:sz="0" w:space="0" w:color="auto"/>
                <w:right w:val="none" w:sz="0" w:space="0" w:color="auto"/>
              </w:divBdr>
            </w:div>
          </w:divsChild>
        </w:div>
        <w:div w:id="502018012">
          <w:marLeft w:val="0"/>
          <w:marRight w:val="0"/>
          <w:marTop w:val="0"/>
          <w:marBottom w:val="0"/>
          <w:divBdr>
            <w:top w:val="none" w:sz="0" w:space="0" w:color="auto"/>
            <w:left w:val="none" w:sz="0" w:space="0" w:color="auto"/>
            <w:bottom w:val="none" w:sz="0" w:space="0" w:color="auto"/>
            <w:right w:val="none" w:sz="0" w:space="0" w:color="auto"/>
          </w:divBdr>
          <w:divsChild>
            <w:div w:id="181403979">
              <w:marLeft w:val="0"/>
              <w:marRight w:val="0"/>
              <w:marTop w:val="0"/>
              <w:marBottom w:val="0"/>
              <w:divBdr>
                <w:top w:val="none" w:sz="0" w:space="0" w:color="auto"/>
                <w:left w:val="none" w:sz="0" w:space="0" w:color="auto"/>
                <w:bottom w:val="none" w:sz="0" w:space="0" w:color="auto"/>
                <w:right w:val="none" w:sz="0" w:space="0" w:color="auto"/>
              </w:divBdr>
            </w:div>
          </w:divsChild>
        </w:div>
        <w:div w:id="595749589">
          <w:marLeft w:val="0"/>
          <w:marRight w:val="0"/>
          <w:marTop w:val="0"/>
          <w:marBottom w:val="0"/>
          <w:divBdr>
            <w:top w:val="none" w:sz="0" w:space="0" w:color="auto"/>
            <w:left w:val="none" w:sz="0" w:space="0" w:color="auto"/>
            <w:bottom w:val="none" w:sz="0" w:space="0" w:color="auto"/>
            <w:right w:val="none" w:sz="0" w:space="0" w:color="auto"/>
          </w:divBdr>
          <w:divsChild>
            <w:div w:id="265117757">
              <w:marLeft w:val="0"/>
              <w:marRight w:val="0"/>
              <w:marTop w:val="0"/>
              <w:marBottom w:val="0"/>
              <w:divBdr>
                <w:top w:val="none" w:sz="0" w:space="0" w:color="auto"/>
                <w:left w:val="none" w:sz="0" w:space="0" w:color="auto"/>
                <w:bottom w:val="none" w:sz="0" w:space="0" w:color="auto"/>
                <w:right w:val="none" w:sz="0" w:space="0" w:color="auto"/>
              </w:divBdr>
            </w:div>
          </w:divsChild>
        </w:div>
        <w:div w:id="621500718">
          <w:marLeft w:val="0"/>
          <w:marRight w:val="0"/>
          <w:marTop w:val="0"/>
          <w:marBottom w:val="0"/>
          <w:divBdr>
            <w:top w:val="none" w:sz="0" w:space="0" w:color="auto"/>
            <w:left w:val="none" w:sz="0" w:space="0" w:color="auto"/>
            <w:bottom w:val="none" w:sz="0" w:space="0" w:color="auto"/>
            <w:right w:val="none" w:sz="0" w:space="0" w:color="auto"/>
          </w:divBdr>
          <w:divsChild>
            <w:div w:id="1923562451">
              <w:marLeft w:val="0"/>
              <w:marRight w:val="0"/>
              <w:marTop w:val="0"/>
              <w:marBottom w:val="0"/>
              <w:divBdr>
                <w:top w:val="none" w:sz="0" w:space="0" w:color="auto"/>
                <w:left w:val="none" w:sz="0" w:space="0" w:color="auto"/>
                <w:bottom w:val="none" w:sz="0" w:space="0" w:color="auto"/>
                <w:right w:val="none" w:sz="0" w:space="0" w:color="auto"/>
              </w:divBdr>
            </w:div>
          </w:divsChild>
        </w:div>
        <w:div w:id="1004436694">
          <w:marLeft w:val="0"/>
          <w:marRight w:val="0"/>
          <w:marTop w:val="0"/>
          <w:marBottom w:val="0"/>
          <w:divBdr>
            <w:top w:val="none" w:sz="0" w:space="0" w:color="auto"/>
            <w:left w:val="none" w:sz="0" w:space="0" w:color="auto"/>
            <w:bottom w:val="none" w:sz="0" w:space="0" w:color="auto"/>
            <w:right w:val="none" w:sz="0" w:space="0" w:color="auto"/>
          </w:divBdr>
          <w:divsChild>
            <w:div w:id="870149339">
              <w:marLeft w:val="0"/>
              <w:marRight w:val="0"/>
              <w:marTop w:val="0"/>
              <w:marBottom w:val="0"/>
              <w:divBdr>
                <w:top w:val="none" w:sz="0" w:space="0" w:color="auto"/>
                <w:left w:val="none" w:sz="0" w:space="0" w:color="auto"/>
                <w:bottom w:val="none" w:sz="0" w:space="0" w:color="auto"/>
                <w:right w:val="none" w:sz="0" w:space="0" w:color="auto"/>
              </w:divBdr>
            </w:div>
          </w:divsChild>
        </w:div>
        <w:div w:id="1085766053">
          <w:marLeft w:val="0"/>
          <w:marRight w:val="0"/>
          <w:marTop w:val="0"/>
          <w:marBottom w:val="0"/>
          <w:divBdr>
            <w:top w:val="none" w:sz="0" w:space="0" w:color="auto"/>
            <w:left w:val="none" w:sz="0" w:space="0" w:color="auto"/>
            <w:bottom w:val="none" w:sz="0" w:space="0" w:color="auto"/>
            <w:right w:val="none" w:sz="0" w:space="0" w:color="auto"/>
          </w:divBdr>
          <w:divsChild>
            <w:div w:id="1036810483">
              <w:marLeft w:val="0"/>
              <w:marRight w:val="0"/>
              <w:marTop w:val="0"/>
              <w:marBottom w:val="0"/>
              <w:divBdr>
                <w:top w:val="none" w:sz="0" w:space="0" w:color="auto"/>
                <w:left w:val="none" w:sz="0" w:space="0" w:color="auto"/>
                <w:bottom w:val="none" w:sz="0" w:space="0" w:color="auto"/>
                <w:right w:val="none" w:sz="0" w:space="0" w:color="auto"/>
              </w:divBdr>
            </w:div>
          </w:divsChild>
        </w:div>
        <w:div w:id="1103845824">
          <w:marLeft w:val="0"/>
          <w:marRight w:val="0"/>
          <w:marTop w:val="0"/>
          <w:marBottom w:val="0"/>
          <w:divBdr>
            <w:top w:val="none" w:sz="0" w:space="0" w:color="auto"/>
            <w:left w:val="none" w:sz="0" w:space="0" w:color="auto"/>
            <w:bottom w:val="none" w:sz="0" w:space="0" w:color="auto"/>
            <w:right w:val="none" w:sz="0" w:space="0" w:color="auto"/>
          </w:divBdr>
          <w:divsChild>
            <w:div w:id="1515917278">
              <w:marLeft w:val="0"/>
              <w:marRight w:val="0"/>
              <w:marTop w:val="0"/>
              <w:marBottom w:val="0"/>
              <w:divBdr>
                <w:top w:val="none" w:sz="0" w:space="0" w:color="auto"/>
                <w:left w:val="none" w:sz="0" w:space="0" w:color="auto"/>
                <w:bottom w:val="none" w:sz="0" w:space="0" w:color="auto"/>
                <w:right w:val="none" w:sz="0" w:space="0" w:color="auto"/>
              </w:divBdr>
            </w:div>
          </w:divsChild>
        </w:div>
        <w:div w:id="1159422538">
          <w:marLeft w:val="0"/>
          <w:marRight w:val="0"/>
          <w:marTop w:val="0"/>
          <w:marBottom w:val="0"/>
          <w:divBdr>
            <w:top w:val="none" w:sz="0" w:space="0" w:color="auto"/>
            <w:left w:val="none" w:sz="0" w:space="0" w:color="auto"/>
            <w:bottom w:val="none" w:sz="0" w:space="0" w:color="auto"/>
            <w:right w:val="none" w:sz="0" w:space="0" w:color="auto"/>
          </w:divBdr>
          <w:divsChild>
            <w:div w:id="1451701647">
              <w:marLeft w:val="0"/>
              <w:marRight w:val="0"/>
              <w:marTop w:val="0"/>
              <w:marBottom w:val="0"/>
              <w:divBdr>
                <w:top w:val="none" w:sz="0" w:space="0" w:color="auto"/>
                <w:left w:val="none" w:sz="0" w:space="0" w:color="auto"/>
                <w:bottom w:val="none" w:sz="0" w:space="0" w:color="auto"/>
                <w:right w:val="none" w:sz="0" w:space="0" w:color="auto"/>
              </w:divBdr>
            </w:div>
          </w:divsChild>
        </w:div>
        <w:div w:id="1189949826">
          <w:marLeft w:val="0"/>
          <w:marRight w:val="0"/>
          <w:marTop w:val="0"/>
          <w:marBottom w:val="0"/>
          <w:divBdr>
            <w:top w:val="none" w:sz="0" w:space="0" w:color="auto"/>
            <w:left w:val="none" w:sz="0" w:space="0" w:color="auto"/>
            <w:bottom w:val="none" w:sz="0" w:space="0" w:color="auto"/>
            <w:right w:val="none" w:sz="0" w:space="0" w:color="auto"/>
          </w:divBdr>
          <w:divsChild>
            <w:div w:id="1365056949">
              <w:marLeft w:val="0"/>
              <w:marRight w:val="0"/>
              <w:marTop w:val="0"/>
              <w:marBottom w:val="0"/>
              <w:divBdr>
                <w:top w:val="none" w:sz="0" w:space="0" w:color="auto"/>
                <w:left w:val="none" w:sz="0" w:space="0" w:color="auto"/>
                <w:bottom w:val="none" w:sz="0" w:space="0" w:color="auto"/>
                <w:right w:val="none" w:sz="0" w:space="0" w:color="auto"/>
              </w:divBdr>
            </w:div>
          </w:divsChild>
        </w:div>
        <w:div w:id="1255171057">
          <w:marLeft w:val="0"/>
          <w:marRight w:val="0"/>
          <w:marTop w:val="0"/>
          <w:marBottom w:val="0"/>
          <w:divBdr>
            <w:top w:val="none" w:sz="0" w:space="0" w:color="auto"/>
            <w:left w:val="none" w:sz="0" w:space="0" w:color="auto"/>
            <w:bottom w:val="none" w:sz="0" w:space="0" w:color="auto"/>
            <w:right w:val="none" w:sz="0" w:space="0" w:color="auto"/>
          </w:divBdr>
          <w:divsChild>
            <w:div w:id="322197038">
              <w:marLeft w:val="0"/>
              <w:marRight w:val="0"/>
              <w:marTop w:val="0"/>
              <w:marBottom w:val="0"/>
              <w:divBdr>
                <w:top w:val="none" w:sz="0" w:space="0" w:color="auto"/>
                <w:left w:val="none" w:sz="0" w:space="0" w:color="auto"/>
                <w:bottom w:val="none" w:sz="0" w:space="0" w:color="auto"/>
                <w:right w:val="none" w:sz="0" w:space="0" w:color="auto"/>
              </w:divBdr>
            </w:div>
          </w:divsChild>
        </w:div>
        <w:div w:id="1288317600">
          <w:marLeft w:val="0"/>
          <w:marRight w:val="0"/>
          <w:marTop w:val="0"/>
          <w:marBottom w:val="0"/>
          <w:divBdr>
            <w:top w:val="none" w:sz="0" w:space="0" w:color="auto"/>
            <w:left w:val="none" w:sz="0" w:space="0" w:color="auto"/>
            <w:bottom w:val="none" w:sz="0" w:space="0" w:color="auto"/>
            <w:right w:val="none" w:sz="0" w:space="0" w:color="auto"/>
          </w:divBdr>
          <w:divsChild>
            <w:div w:id="1492716266">
              <w:marLeft w:val="0"/>
              <w:marRight w:val="0"/>
              <w:marTop w:val="0"/>
              <w:marBottom w:val="0"/>
              <w:divBdr>
                <w:top w:val="none" w:sz="0" w:space="0" w:color="auto"/>
                <w:left w:val="none" w:sz="0" w:space="0" w:color="auto"/>
                <w:bottom w:val="none" w:sz="0" w:space="0" w:color="auto"/>
                <w:right w:val="none" w:sz="0" w:space="0" w:color="auto"/>
              </w:divBdr>
            </w:div>
          </w:divsChild>
        </w:div>
        <w:div w:id="1435397955">
          <w:marLeft w:val="0"/>
          <w:marRight w:val="0"/>
          <w:marTop w:val="0"/>
          <w:marBottom w:val="0"/>
          <w:divBdr>
            <w:top w:val="none" w:sz="0" w:space="0" w:color="auto"/>
            <w:left w:val="none" w:sz="0" w:space="0" w:color="auto"/>
            <w:bottom w:val="none" w:sz="0" w:space="0" w:color="auto"/>
            <w:right w:val="none" w:sz="0" w:space="0" w:color="auto"/>
          </w:divBdr>
          <w:divsChild>
            <w:div w:id="423495689">
              <w:marLeft w:val="0"/>
              <w:marRight w:val="0"/>
              <w:marTop w:val="0"/>
              <w:marBottom w:val="0"/>
              <w:divBdr>
                <w:top w:val="none" w:sz="0" w:space="0" w:color="auto"/>
                <w:left w:val="none" w:sz="0" w:space="0" w:color="auto"/>
                <w:bottom w:val="none" w:sz="0" w:space="0" w:color="auto"/>
                <w:right w:val="none" w:sz="0" w:space="0" w:color="auto"/>
              </w:divBdr>
            </w:div>
          </w:divsChild>
        </w:div>
        <w:div w:id="1674332392">
          <w:marLeft w:val="0"/>
          <w:marRight w:val="0"/>
          <w:marTop w:val="0"/>
          <w:marBottom w:val="0"/>
          <w:divBdr>
            <w:top w:val="none" w:sz="0" w:space="0" w:color="auto"/>
            <w:left w:val="none" w:sz="0" w:space="0" w:color="auto"/>
            <w:bottom w:val="none" w:sz="0" w:space="0" w:color="auto"/>
            <w:right w:val="none" w:sz="0" w:space="0" w:color="auto"/>
          </w:divBdr>
          <w:divsChild>
            <w:div w:id="411778375">
              <w:marLeft w:val="0"/>
              <w:marRight w:val="0"/>
              <w:marTop w:val="0"/>
              <w:marBottom w:val="0"/>
              <w:divBdr>
                <w:top w:val="none" w:sz="0" w:space="0" w:color="auto"/>
                <w:left w:val="none" w:sz="0" w:space="0" w:color="auto"/>
                <w:bottom w:val="none" w:sz="0" w:space="0" w:color="auto"/>
                <w:right w:val="none" w:sz="0" w:space="0" w:color="auto"/>
              </w:divBdr>
            </w:div>
          </w:divsChild>
        </w:div>
        <w:div w:id="1797791375">
          <w:marLeft w:val="0"/>
          <w:marRight w:val="0"/>
          <w:marTop w:val="0"/>
          <w:marBottom w:val="0"/>
          <w:divBdr>
            <w:top w:val="none" w:sz="0" w:space="0" w:color="auto"/>
            <w:left w:val="none" w:sz="0" w:space="0" w:color="auto"/>
            <w:bottom w:val="none" w:sz="0" w:space="0" w:color="auto"/>
            <w:right w:val="none" w:sz="0" w:space="0" w:color="auto"/>
          </w:divBdr>
          <w:divsChild>
            <w:div w:id="1132164581">
              <w:marLeft w:val="0"/>
              <w:marRight w:val="0"/>
              <w:marTop w:val="0"/>
              <w:marBottom w:val="0"/>
              <w:divBdr>
                <w:top w:val="none" w:sz="0" w:space="0" w:color="auto"/>
                <w:left w:val="none" w:sz="0" w:space="0" w:color="auto"/>
                <w:bottom w:val="none" w:sz="0" w:space="0" w:color="auto"/>
                <w:right w:val="none" w:sz="0" w:space="0" w:color="auto"/>
              </w:divBdr>
            </w:div>
          </w:divsChild>
        </w:div>
        <w:div w:id="1989240473">
          <w:marLeft w:val="0"/>
          <w:marRight w:val="0"/>
          <w:marTop w:val="0"/>
          <w:marBottom w:val="0"/>
          <w:divBdr>
            <w:top w:val="none" w:sz="0" w:space="0" w:color="auto"/>
            <w:left w:val="none" w:sz="0" w:space="0" w:color="auto"/>
            <w:bottom w:val="none" w:sz="0" w:space="0" w:color="auto"/>
            <w:right w:val="none" w:sz="0" w:space="0" w:color="auto"/>
          </w:divBdr>
          <w:divsChild>
            <w:div w:id="248317128">
              <w:marLeft w:val="0"/>
              <w:marRight w:val="0"/>
              <w:marTop w:val="0"/>
              <w:marBottom w:val="0"/>
              <w:divBdr>
                <w:top w:val="none" w:sz="0" w:space="0" w:color="auto"/>
                <w:left w:val="none" w:sz="0" w:space="0" w:color="auto"/>
                <w:bottom w:val="none" w:sz="0" w:space="0" w:color="auto"/>
                <w:right w:val="none" w:sz="0" w:space="0" w:color="auto"/>
              </w:divBdr>
            </w:div>
          </w:divsChild>
        </w:div>
        <w:div w:id="2008819774">
          <w:marLeft w:val="0"/>
          <w:marRight w:val="0"/>
          <w:marTop w:val="0"/>
          <w:marBottom w:val="0"/>
          <w:divBdr>
            <w:top w:val="none" w:sz="0" w:space="0" w:color="auto"/>
            <w:left w:val="none" w:sz="0" w:space="0" w:color="auto"/>
            <w:bottom w:val="none" w:sz="0" w:space="0" w:color="auto"/>
            <w:right w:val="none" w:sz="0" w:space="0" w:color="auto"/>
          </w:divBdr>
          <w:divsChild>
            <w:div w:id="10745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4972">
      <w:bodyDiv w:val="1"/>
      <w:marLeft w:val="0"/>
      <w:marRight w:val="0"/>
      <w:marTop w:val="0"/>
      <w:marBottom w:val="0"/>
      <w:divBdr>
        <w:top w:val="none" w:sz="0" w:space="0" w:color="auto"/>
        <w:left w:val="none" w:sz="0" w:space="0" w:color="auto"/>
        <w:bottom w:val="none" w:sz="0" w:space="0" w:color="auto"/>
        <w:right w:val="none" w:sz="0" w:space="0" w:color="auto"/>
      </w:divBdr>
      <w:divsChild>
        <w:div w:id="404495296">
          <w:marLeft w:val="0"/>
          <w:marRight w:val="0"/>
          <w:marTop w:val="0"/>
          <w:marBottom w:val="0"/>
          <w:divBdr>
            <w:top w:val="none" w:sz="0" w:space="0" w:color="auto"/>
            <w:left w:val="none" w:sz="0" w:space="0" w:color="auto"/>
            <w:bottom w:val="none" w:sz="0" w:space="0" w:color="auto"/>
            <w:right w:val="none" w:sz="0" w:space="0" w:color="auto"/>
          </w:divBdr>
        </w:div>
        <w:div w:id="1024669780">
          <w:marLeft w:val="0"/>
          <w:marRight w:val="0"/>
          <w:marTop w:val="0"/>
          <w:marBottom w:val="0"/>
          <w:divBdr>
            <w:top w:val="none" w:sz="0" w:space="0" w:color="auto"/>
            <w:left w:val="none" w:sz="0" w:space="0" w:color="auto"/>
            <w:bottom w:val="none" w:sz="0" w:space="0" w:color="auto"/>
            <w:right w:val="none" w:sz="0" w:space="0" w:color="auto"/>
          </w:divBdr>
          <w:divsChild>
            <w:div w:id="1252589750">
              <w:marLeft w:val="-75"/>
              <w:marRight w:val="0"/>
              <w:marTop w:val="30"/>
              <w:marBottom w:val="30"/>
              <w:divBdr>
                <w:top w:val="none" w:sz="0" w:space="0" w:color="auto"/>
                <w:left w:val="none" w:sz="0" w:space="0" w:color="auto"/>
                <w:bottom w:val="none" w:sz="0" w:space="0" w:color="auto"/>
                <w:right w:val="none" w:sz="0" w:space="0" w:color="auto"/>
              </w:divBdr>
              <w:divsChild>
                <w:div w:id="10569917">
                  <w:marLeft w:val="0"/>
                  <w:marRight w:val="0"/>
                  <w:marTop w:val="0"/>
                  <w:marBottom w:val="0"/>
                  <w:divBdr>
                    <w:top w:val="none" w:sz="0" w:space="0" w:color="auto"/>
                    <w:left w:val="none" w:sz="0" w:space="0" w:color="auto"/>
                    <w:bottom w:val="none" w:sz="0" w:space="0" w:color="auto"/>
                    <w:right w:val="none" w:sz="0" w:space="0" w:color="auto"/>
                  </w:divBdr>
                  <w:divsChild>
                    <w:div w:id="1049647367">
                      <w:marLeft w:val="0"/>
                      <w:marRight w:val="0"/>
                      <w:marTop w:val="0"/>
                      <w:marBottom w:val="0"/>
                      <w:divBdr>
                        <w:top w:val="none" w:sz="0" w:space="0" w:color="auto"/>
                        <w:left w:val="none" w:sz="0" w:space="0" w:color="auto"/>
                        <w:bottom w:val="none" w:sz="0" w:space="0" w:color="auto"/>
                        <w:right w:val="none" w:sz="0" w:space="0" w:color="auto"/>
                      </w:divBdr>
                    </w:div>
                  </w:divsChild>
                </w:div>
                <w:div w:id="81222515">
                  <w:marLeft w:val="0"/>
                  <w:marRight w:val="0"/>
                  <w:marTop w:val="0"/>
                  <w:marBottom w:val="0"/>
                  <w:divBdr>
                    <w:top w:val="none" w:sz="0" w:space="0" w:color="auto"/>
                    <w:left w:val="none" w:sz="0" w:space="0" w:color="auto"/>
                    <w:bottom w:val="none" w:sz="0" w:space="0" w:color="auto"/>
                    <w:right w:val="none" w:sz="0" w:space="0" w:color="auto"/>
                  </w:divBdr>
                  <w:divsChild>
                    <w:div w:id="1338844820">
                      <w:marLeft w:val="0"/>
                      <w:marRight w:val="0"/>
                      <w:marTop w:val="0"/>
                      <w:marBottom w:val="0"/>
                      <w:divBdr>
                        <w:top w:val="none" w:sz="0" w:space="0" w:color="auto"/>
                        <w:left w:val="none" w:sz="0" w:space="0" w:color="auto"/>
                        <w:bottom w:val="none" w:sz="0" w:space="0" w:color="auto"/>
                        <w:right w:val="none" w:sz="0" w:space="0" w:color="auto"/>
                      </w:divBdr>
                    </w:div>
                  </w:divsChild>
                </w:div>
                <w:div w:id="82652198">
                  <w:marLeft w:val="0"/>
                  <w:marRight w:val="0"/>
                  <w:marTop w:val="0"/>
                  <w:marBottom w:val="0"/>
                  <w:divBdr>
                    <w:top w:val="none" w:sz="0" w:space="0" w:color="auto"/>
                    <w:left w:val="none" w:sz="0" w:space="0" w:color="auto"/>
                    <w:bottom w:val="none" w:sz="0" w:space="0" w:color="auto"/>
                    <w:right w:val="none" w:sz="0" w:space="0" w:color="auto"/>
                  </w:divBdr>
                  <w:divsChild>
                    <w:div w:id="810051745">
                      <w:marLeft w:val="0"/>
                      <w:marRight w:val="0"/>
                      <w:marTop w:val="0"/>
                      <w:marBottom w:val="0"/>
                      <w:divBdr>
                        <w:top w:val="none" w:sz="0" w:space="0" w:color="auto"/>
                        <w:left w:val="none" w:sz="0" w:space="0" w:color="auto"/>
                        <w:bottom w:val="none" w:sz="0" w:space="0" w:color="auto"/>
                        <w:right w:val="none" w:sz="0" w:space="0" w:color="auto"/>
                      </w:divBdr>
                    </w:div>
                  </w:divsChild>
                </w:div>
                <w:div w:id="166135890">
                  <w:marLeft w:val="0"/>
                  <w:marRight w:val="0"/>
                  <w:marTop w:val="0"/>
                  <w:marBottom w:val="0"/>
                  <w:divBdr>
                    <w:top w:val="none" w:sz="0" w:space="0" w:color="auto"/>
                    <w:left w:val="none" w:sz="0" w:space="0" w:color="auto"/>
                    <w:bottom w:val="none" w:sz="0" w:space="0" w:color="auto"/>
                    <w:right w:val="none" w:sz="0" w:space="0" w:color="auto"/>
                  </w:divBdr>
                  <w:divsChild>
                    <w:div w:id="1308977870">
                      <w:marLeft w:val="0"/>
                      <w:marRight w:val="0"/>
                      <w:marTop w:val="0"/>
                      <w:marBottom w:val="0"/>
                      <w:divBdr>
                        <w:top w:val="none" w:sz="0" w:space="0" w:color="auto"/>
                        <w:left w:val="none" w:sz="0" w:space="0" w:color="auto"/>
                        <w:bottom w:val="none" w:sz="0" w:space="0" w:color="auto"/>
                        <w:right w:val="none" w:sz="0" w:space="0" w:color="auto"/>
                      </w:divBdr>
                    </w:div>
                  </w:divsChild>
                </w:div>
                <w:div w:id="169295818">
                  <w:marLeft w:val="0"/>
                  <w:marRight w:val="0"/>
                  <w:marTop w:val="0"/>
                  <w:marBottom w:val="0"/>
                  <w:divBdr>
                    <w:top w:val="none" w:sz="0" w:space="0" w:color="auto"/>
                    <w:left w:val="none" w:sz="0" w:space="0" w:color="auto"/>
                    <w:bottom w:val="none" w:sz="0" w:space="0" w:color="auto"/>
                    <w:right w:val="none" w:sz="0" w:space="0" w:color="auto"/>
                  </w:divBdr>
                  <w:divsChild>
                    <w:div w:id="1419324709">
                      <w:marLeft w:val="0"/>
                      <w:marRight w:val="0"/>
                      <w:marTop w:val="0"/>
                      <w:marBottom w:val="0"/>
                      <w:divBdr>
                        <w:top w:val="none" w:sz="0" w:space="0" w:color="auto"/>
                        <w:left w:val="none" w:sz="0" w:space="0" w:color="auto"/>
                        <w:bottom w:val="none" w:sz="0" w:space="0" w:color="auto"/>
                        <w:right w:val="none" w:sz="0" w:space="0" w:color="auto"/>
                      </w:divBdr>
                    </w:div>
                  </w:divsChild>
                </w:div>
                <w:div w:id="227040735">
                  <w:marLeft w:val="0"/>
                  <w:marRight w:val="0"/>
                  <w:marTop w:val="0"/>
                  <w:marBottom w:val="0"/>
                  <w:divBdr>
                    <w:top w:val="none" w:sz="0" w:space="0" w:color="auto"/>
                    <w:left w:val="none" w:sz="0" w:space="0" w:color="auto"/>
                    <w:bottom w:val="none" w:sz="0" w:space="0" w:color="auto"/>
                    <w:right w:val="none" w:sz="0" w:space="0" w:color="auto"/>
                  </w:divBdr>
                  <w:divsChild>
                    <w:div w:id="990717872">
                      <w:marLeft w:val="0"/>
                      <w:marRight w:val="0"/>
                      <w:marTop w:val="0"/>
                      <w:marBottom w:val="0"/>
                      <w:divBdr>
                        <w:top w:val="none" w:sz="0" w:space="0" w:color="auto"/>
                        <w:left w:val="none" w:sz="0" w:space="0" w:color="auto"/>
                        <w:bottom w:val="none" w:sz="0" w:space="0" w:color="auto"/>
                        <w:right w:val="none" w:sz="0" w:space="0" w:color="auto"/>
                      </w:divBdr>
                    </w:div>
                  </w:divsChild>
                </w:div>
                <w:div w:id="308902724">
                  <w:marLeft w:val="0"/>
                  <w:marRight w:val="0"/>
                  <w:marTop w:val="0"/>
                  <w:marBottom w:val="0"/>
                  <w:divBdr>
                    <w:top w:val="none" w:sz="0" w:space="0" w:color="auto"/>
                    <w:left w:val="none" w:sz="0" w:space="0" w:color="auto"/>
                    <w:bottom w:val="none" w:sz="0" w:space="0" w:color="auto"/>
                    <w:right w:val="none" w:sz="0" w:space="0" w:color="auto"/>
                  </w:divBdr>
                  <w:divsChild>
                    <w:div w:id="713969954">
                      <w:marLeft w:val="0"/>
                      <w:marRight w:val="0"/>
                      <w:marTop w:val="0"/>
                      <w:marBottom w:val="0"/>
                      <w:divBdr>
                        <w:top w:val="none" w:sz="0" w:space="0" w:color="auto"/>
                        <w:left w:val="none" w:sz="0" w:space="0" w:color="auto"/>
                        <w:bottom w:val="none" w:sz="0" w:space="0" w:color="auto"/>
                        <w:right w:val="none" w:sz="0" w:space="0" w:color="auto"/>
                      </w:divBdr>
                    </w:div>
                  </w:divsChild>
                </w:div>
                <w:div w:id="492061756">
                  <w:marLeft w:val="0"/>
                  <w:marRight w:val="0"/>
                  <w:marTop w:val="0"/>
                  <w:marBottom w:val="0"/>
                  <w:divBdr>
                    <w:top w:val="none" w:sz="0" w:space="0" w:color="auto"/>
                    <w:left w:val="none" w:sz="0" w:space="0" w:color="auto"/>
                    <w:bottom w:val="none" w:sz="0" w:space="0" w:color="auto"/>
                    <w:right w:val="none" w:sz="0" w:space="0" w:color="auto"/>
                  </w:divBdr>
                  <w:divsChild>
                    <w:div w:id="1648975402">
                      <w:marLeft w:val="0"/>
                      <w:marRight w:val="0"/>
                      <w:marTop w:val="0"/>
                      <w:marBottom w:val="0"/>
                      <w:divBdr>
                        <w:top w:val="none" w:sz="0" w:space="0" w:color="auto"/>
                        <w:left w:val="none" w:sz="0" w:space="0" w:color="auto"/>
                        <w:bottom w:val="none" w:sz="0" w:space="0" w:color="auto"/>
                        <w:right w:val="none" w:sz="0" w:space="0" w:color="auto"/>
                      </w:divBdr>
                    </w:div>
                  </w:divsChild>
                </w:div>
                <w:div w:id="554202728">
                  <w:marLeft w:val="0"/>
                  <w:marRight w:val="0"/>
                  <w:marTop w:val="0"/>
                  <w:marBottom w:val="0"/>
                  <w:divBdr>
                    <w:top w:val="none" w:sz="0" w:space="0" w:color="auto"/>
                    <w:left w:val="none" w:sz="0" w:space="0" w:color="auto"/>
                    <w:bottom w:val="none" w:sz="0" w:space="0" w:color="auto"/>
                    <w:right w:val="none" w:sz="0" w:space="0" w:color="auto"/>
                  </w:divBdr>
                  <w:divsChild>
                    <w:div w:id="446199377">
                      <w:marLeft w:val="0"/>
                      <w:marRight w:val="0"/>
                      <w:marTop w:val="0"/>
                      <w:marBottom w:val="0"/>
                      <w:divBdr>
                        <w:top w:val="none" w:sz="0" w:space="0" w:color="auto"/>
                        <w:left w:val="none" w:sz="0" w:space="0" w:color="auto"/>
                        <w:bottom w:val="none" w:sz="0" w:space="0" w:color="auto"/>
                        <w:right w:val="none" w:sz="0" w:space="0" w:color="auto"/>
                      </w:divBdr>
                    </w:div>
                  </w:divsChild>
                </w:div>
                <w:div w:id="655259364">
                  <w:marLeft w:val="0"/>
                  <w:marRight w:val="0"/>
                  <w:marTop w:val="0"/>
                  <w:marBottom w:val="0"/>
                  <w:divBdr>
                    <w:top w:val="none" w:sz="0" w:space="0" w:color="auto"/>
                    <w:left w:val="none" w:sz="0" w:space="0" w:color="auto"/>
                    <w:bottom w:val="none" w:sz="0" w:space="0" w:color="auto"/>
                    <w:right w:val="none" w:sz="0" w:space="0" w:color="auto"/>
                  </w:divBdr>
                  <w:divsChild>
                    <w:div w:id="2017419732">
                      <w:marLeft w:val="0"/>
                      <w:marRight w:val="0"/>
                      <w:marTop w:val="0"/>
                      <w:marBottom w:val="0"/>
                      <w:divBdr>
                        <w:top w:val="none" w:sz="0" w:space="0" w:color="auto"/>
                        <w:left w:val="none" w:sz="0" w:space="0" w:color="auto"/>
                        <w:bottom w:val="none" w:sz="0" w:space="0" w:color="auto"/>
                        <w:right w:val="none" w:sz="0" w:space="0" w:color="auto"/>
                      </w:divBdr>
                    </w:div>
                  </w:divsChild>
                </w:div>
                <w:div w:id="690571626">
                  <w:marLeft w:val="0"/>
                  <w:marRight w:val="0"/>
                  <w:marTop w:val="0"/>
                  <w:marBottom w:val="0"/>
                  <w:divBdr>
                    <w:top w:val="none" w:sz="0" w:space="0" w:color="auto"/>
                    <w:left w:val="none" w:sz="0" w:space="0" w:color="auto"/>
                    <w:bottom w:val="none" w:sz="0" w:space="0" w:color="auto"/>
                    <w:right w:val="none" w:sz="0" w:space="0" w:color="auto"/>
                  </w:divBdr>
                  <w:divsChild>
                    <w:div w:id="913198904">
                      <w:marLeft w:val="0"/>
                      <w:marRight w:val="0"/>
                      <w:marTop w:val="0"/>
                      <w:marBottom w:val="0"/>
                      <w:divBdr>
                        <w:top w:val="none" w:sz="0" w:space="0" w:color="auto"/>
                        <w:left w:val="none" w:sz="0" w:space="0" w:color="auto"/>
                        <w:bottom w:val="none" w:sz="0" w:space="0" w:color="auto"/>
                        <w:right w:val="none" w:sz="0" w:space="0" w:color="auto"/>
                      </w:divBdr>
                    </w:div>
                  </w:divsChild>
                </w:div>
                <w:div w:id="750658530">
                  <w:marLeft w:val="0"/>
                  <w:marRight w:val="0"/>
                  <w:marTop w:val="0"/>
                  <w:marBottom w:val="0"/>
                  <w:divBdr>
                    <w:top w:val="none" w:sz="0" w:space="0" w:color="auto"/>
                    <w:left w:val="none" w:sz="0" w:space="0" w:color="auto"/>
                    <w:bottom w:val="none" w:sz="0" w:space="0" w:color="auto"/>
                    <w:right w:val="none" w:sz="0" w:space="0" w:color="auto"/>
                  </w:divBdr>
                  <w:divsChild>
                    <w:div w:id="205456228">
                      <w:marLeft w:val="0"/>
                      <w:marRight w:val="0"/>
                      <w:marTop w:val="0"/>
                      <w:marBottom w:val="0"/>
                      <w:divBdr>
                        <w:top w:val="none" w:sz="0" w:space="0" w:color="auto"/>
                        <w:left w:val="none" w:sz="0" w:space="0" w:color="auto"/>
                        <w:bottom w:val="none" w:sz="0" w:space="0" w:color="auto"/>
                        <w:right w:val="none" w:sz="0" w:space="0" w:color="auto"/>
                      </w:divBdr>
                    </w:div>
                  </w:divsChild>
                </w:div>
                <w:div w:id="987979081">
                  <w:marLeft w:val="0"/>
                  <w:marRight w:val="0"/>
                  <w:marTop w:val="0"/>
                  <w:marBottom w:val="0"/>
                  <w:divBdr>
                    <w:top w:val="none" w:sz="0" w:space="0" w:color="auto"/>
                    <w:left w:val="none" w:sz="0" w:space="0" w:color="auto"/>
                    <w:bottom w:val="none" w:sz="0" w:space="0" w:color="auto"/>
                    <w:right w:val="none" w:sz="0" w:space="0" w:color="auto"/>
                  </w:divBdr>
                  <w:divsChild>
                    <w:div w:id="585068123">
                      <w:marLeft w:val="0"/>
                      <w:marRight w:val="0"/>
                      <w:marTop w:val="0"/>
                      <w:marBottom w:val="0"/>
                      <w:divBdr>
                        <w:top w:val="none" w:sz="0" w:space="0" w:color="auto"/>
                        <w:left w:val="none" w:sz="0" w:space="0" w:color="auto"/>
                        <w:bottom w:val="none" w:sz="0" w:space="0" w:color="auto"/>
                        <w:right w:val="none" w:sz="0" w:space="0" w:color="auto"/>
                      </w:divBdr>
                    </w:div>
                  </w:divsChild>
                </w:div>
                <w:div w:id="1340540109">
                  <w:marLeft w:val="0"/>
                  <w:marRight w:val="0"/>
                  <w:marTop w:val="0"/>
                  <w:marBottom w:val="0"/>
                  <w:divBdr>
                    <w:top w:val="none" w:sz="0" w:space="0" w:color="auto"/>
                    <w:left w:val="none" w:sz="0" w:space="0" w:color="auto"/>
                    <w:bottom w:val="none" w:sz="0" w:space="0" w:color="auto"/>
                    <w:right w:val="none" w:sz="0" w:space="0" w:color="auto"/>
                  </w:divBdr>
                  <w:divsChild>
                    <w:div w:id="890309655">
                      <w:marLeft w:val="0"/>
                      <w:marRight w:val="0"/>
                      <w:marTop w:val="0"/>
                      <w:marBottom w:val="0"/>
                      <w:divBdr>
                        <w:top w:val="none" w:sz="0" w:space="0" w:color="auto"/>
                        <w:left w:val="none" w:sz="0" w:space="0" w:color="auto"/>
                        <w:bottom w:val="none" w:sz="0" w:space="0" w:color="auto"/>
                        <w:right w:val="none" w:sz="0" w:space="0" w:color="auto"/>
                      </w:divBdr>
                    </w:div>
                  </w:divsChild>
                </w:div>
                <w:div w:id="1375423628">
                  <w:marLeft w:val="0"/>
                  <w:marRight w:val="0"/>
                  <w:marTop w:val="0"/>
                  <w:marBottom w:val="0"/>
                  <w:divBdr>
                    <w:top w:val="none" w:sz="0" w:space="0" w:color="auto"/>
                    <w:left w:val="none" w:sz="0" w:space="0" w:color="auto"/>
                    <w:bottom w:val="none" w:sz="0" w:space="0" w:color="auto"/>
                    <w:right w:val="none" w:sz="0" w:space="0" w:color="auto"/>
                  </w:divBdr>
                  <w:divsChild>
                    <w:div w:id="1789735968">
                      <w:marLeft w:val="0"/>
                      <w:marRight w:val="0"/>
                      <w:marTop w:val="0"/>
                      <w:marBottom w:val="0"/>
                      <w:divBdr>
                        <w:top w:val="none" w:sz="0" w:space="0" w:color="auto"/>
                        <w:left w:val="none" w:sz="0" w:space="0" w:color="auto"/>
                        <w:bottom w:val="none" w:sz="0" w:space="0" w:color="auto"/>
                        <w:right w:val="none" w:sz="0" w:space="0" w:color="auto"/>
                      </w:divBdr>
                    </w:div>
                  </w:divsChild>
                </w:div>
                <w:div w:id="1519850999">
                  <w:marLeft w:val="0"/>
                  <w:marRight w:val="0"/>
                  <w:marTop w:val="0"/>
                  <w:marBottom w:val="0"/>
                  <w:divBdr>
                    <w:top w:val="none" w:sz="0" w:space="0" w:color="auto"/>
                    <w:left w:val="none" w:sz="0" w:space="0" w:color="auto"/>
                    <w:bottom w:val="none" w:sz="0" w:space="0" w:color="auto"/>
                    <w:right w:val="none" w:sz="0" w:space="0" w:color="auto"/>
                  </w:divBdr>
                  <w:divsChild>
                    <w:div w:id="326174523">
                      <w:marLeft w:val="0"/>
                      <w:marRight w:val="0"/>
                      <w:marTop w:val="0"/>
                      <w:marBottom w:val="0"/>
                      <w:divBdr>
                        <w:top w:val="none" w:sz="0" w:space="0" w:color="auto"/>
                        <w:left w:val="none" w:sz="0" w:space="0" w:color="auto"/>
                        <w:bottom w:val="none" w:sz="0" w:space="0" w:color="auto"/>
                        <w:right w:val="none" w:sz="0" w:space="0" w:color="auto"/>
                      </w:divBdr>
                    </w:div>
                  </w:divsChild>
                </w:div>
                <w:div w:id="1637297594">
                  <w:marLeft w:val="0"/>
                  <w:marRight w:val="0"/>
                  <w:marTop w:val="0"/>
                  <w:marBottom w:val="0"/>
                  <w:divBdr>
                    <w:top w:val="none" w:sz="0" w:space="0" w:color="auto"/>
                    <w:left w:val="none" w:sz="0" w:space="0" w:color="auto"/>
                    <w:bottom w:val="none" w:sz="0" w:space="0" w:color="auto"/>
                    <w:right w:val="none" w:sz="0" w:space="0" w:color="auto"/>
                  </w:divBdr>
                  <w:divsChild>
                    <w:div w:id="26874193">
                      <w:marLeft w:val="0"/>
                      <w:marRight w:val="0"/>
                      <w:marTop w:val="0"/>
                      <w:marBottom w:val="0"/>
                      <w:divBdr>
                        <w:top w:val="none" w:sz="0" w:space="0" w:color="auto"/>
                        <w:left w:val="none" w:sz="0" w:space="0" w:color="auto"/>
                        <w:bottom w:val="none" w:sz="0" w:space="0" w:color="auto"/>
                        <w:right w:val="none" w:sz="0" w:space="0" w:color="auto"/>
                      </w:divBdr>
                    </w:div>
                  </w:divsChild>
                </w:div>
                <w:div w:id="1770849545">
                  <w:marLeft w:val="0"/>
                  <w:marRight w:val="0"/>
                  <w:marTop w:val="0"/>
                  <w:marBottom w:val="0"/>
                  <w:divBdr>
                    <w:top w:val="none" w:sz="0" w:space="0" w:color="auto"/>
                    <w:left w:val="none" w:sz="0" w:space="0" w:color="auto"/>
                    <w:bottom w:val="none" w:sz="0" w:space="0" w:color="auto"/>
                    <w:right w:val="none" w:sz="0" w:space="0" w:color="auto"/>
                  </w:divBdr>
                  <w:divsChild>
                    <w:div w:id="1365250172">
                      <w:marLeft w:val="0"/>
                      <w:marRight w:val="0"/>
                      <w:marTop w:val="0"/>
                      <w:marBottom w:val="0"/>
                      <w:divBdr>
                        <w:top w:val="none" w:sz="0" w:space="0" w:color="auto"/>
                        <w:left w:val="none" w:sz="0" w:space="0" w:color="auto"/>
                        <w:bottom w:val="none" w:sz="0" w:space="0" w:color="auto"/>
                        <w:right w:val="none" w:sz="0" w:space="0" w:color="auto"/>
                      </w:divBdr>
                    </w:div>
                  </w:divsChild>
                </w:div>
                <w:div w:id="2068797892">
                  <w:marLeft w:val="0"/>
                  <w:marRight w:val="0"/>
                  <w:marTop w:val="0"/>
                  <w:marBottom w:val="0"/>
                  <w:divBdr>
                    <w:top w:val="none" w:sz="0" w:space="0" w:color="auto"/>
                    <w:left w:val="none" w:sz="0" w:space="0" w:color="auto"/>
                    <w:bottom w:val="none" w:sz="0" w:space="0" w:color="auto"/>
                    <w:right w:val="none" w:sz="0" w:space="0" w:color="auto"/>
                  </w:divBdr>
                  <w:divsChild>
                    <w:div w:id="1138910555">
                      <w:marLeft w:val="0"/>
                      <w:marRight w:val="0"/>
                      <w:marTop w:val="0"/>
                      <w:marBottom w:val="0"/>
                      <w:divBdr>
                        <w:top w:val="none" w:sz="0" w:space="0" w:color="auto"/>
                        <w:left w:val="none" w:sz="0" w:space="0" w:color="auto"/>
                        <w:bottom w:val="none" w:sz="0" w:space="0" w:color="auto"/>
                        <w:right w:val="none" w:sz="0" w:space="0" w:color="auto"/>
                      </w:divBdr>
                    </w:div>
                  </w:divsChild>
                </w:div>
                <w:div w:id="2145928487">
                  <w:marLeft w:val="0"/>
                  <w:marRight w:val="0"/>
                  <w:marTop w:val="0"/>
                  <w:marBottom w:val="0"/>
                  <w:divBdr>
                    <w:top w:val="none" w:sz="0" w:space="0" w:color="auto"/>
                    <w:left w:val="none" w:sz="0" w:space="0" w:color="auto"/>
                    <w:bottom w:val="none" w:sz="0" w:space="0" w:color="auto"/>
                    <w:right w:val="none" w:sz="0" w:space="0" w:color="auto"/>
                  </w:divBdr>
                  <w:divsChild>
                    <w:div w:id="4245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04829">
          <w:marLeft w:val="0"/>
          <w:marRight w:val="0"/>
          <w:marTop w:val="0"/>
          <w:marBottom w:val="0"/>
          <w:divBdr>
            <w:top w:val="none" w:sz="0" w:space="0" w:color="auto"/>
            <w:left w:val="none" w:sz="0" w:space="0" w:color="auto"/>
            <w:bottom w:val="none" w:sz="0" w:space="0" w:color="auto"/>
            <w:right w:val="none" w:sz="0" w:space="0" w:color="auto"/>
          </w:divBdr>
          <w:divsChild>
            <w:div w:id="1963488413">
              <w:marLeft w:val="-75"/>
              <w:marRight w:val="0"/>
              <w:marTop w:val="30"/>
              <w:marBottom w:val="30"/>
              <w:divBdr>
                <w:top w:val="none" w:sz="0" w:space="0" w:color="auto"/>
                <w:left w:val="none" w:sz="0" w:space="0" w:color="auto"/>
                <w:bottom w:val="none" w:sz="0" w:space="0" w:color="auto"/>
                <w:right w:val="none" w:sz="0" w:space="0" w:color="auto"/>
              </w:divBdr>
              <w:divsChild>
                <w:div w:id="95489071">
                  <w:marLeft w:val="0"/>
                  <w:marRight w:val="0"/>
                  <w:marTop w:val="0"/>
                  <w:marBottom w:val="0"/>
                  <w:divBdr>
                    <w:top w:val="none" w:sz="0" w:space="0" w:color="auto"/>
                    <w:left w:val="none" w:sz="0" w:space="0" w:color="auto"/>
                    <w:bottom w:val="none" w:sz="0" w:space="0" w:color="auto"/>
                    <w:right w:val="none" w:sz="0" w:space="0" w:color="auto"/>
                  </w:divBdr>
                  <w:divsChild>
                    <w:div w:id="823276654">
                      <w:marLeft w:val="0"/>
                      <w:marRight w:val="0"/>
                      <w:marTop w:val="0"/>
                      <w:marBottom w:val="0"/>
                      <w:divBdr>
                        <w:top w:val="none" w:sz="0" w:space="0" w:color="auto"/>
                        <w:left w:val="none" w:sz="0" w:space="0" w:color="auto"/>
                        <w:bottom w:val="none" w:sz="0" w:space="0" w:color="auto"/>
                        <w:right w:val="none" w:sz="0" w:space="0" w:color="auto"/>
                      </w:divBdr>
                    </w:div>
                  </w:divsChild>
                </w:div>
                <w:div w:id="120266634">
                  <w:marLeft w:val="0"/>
                  <w:marRight w:val="0"/>
                  <w:marTop w:val="0"/>
                  <w:marBottom w:val="0"/>
                  <w:divBdr>
                    <w:top w:val="none" w:sz="0" w:space="0" w:color="auto"/>
                    <w:left w:val="none" w:sz="0" w:space="0" w:color="auto"/>
                    <w:bottom w:val="none" w:sz="0" w:space="0" w:color="auto"/>
                    <w:right w:val="none" w:sz="0" w:space="0" w:color="auto"/>
                  </w:divBdr>
                  <w:divsChild>
                    <w:div w:id="947078803">
                      <w:marLeft w:val="0"/>
                      <w:marRight w:val="0"/>
                      <w:marTop w:val="0"/>
                      <w:marBottom w:val="0"/>
                      <w:divBdr>
                        <w:top w:val="none" w:sz="0" w:space="0" w:color="auto"/>
                        <w:left w:val="none" w:sz="0" w:space="0" w:color="auto"/>
                        <w:bottom w:val="none" w:sz="0" w:space="0" w:color="auto"/>
                        <w:right w:val="none" w:sz="0" w:space="0" w:color="auto"/>
                      </w:divBdr>
                    </w:div>
                  </w:divsChild>
                </w:div>
                <w:div w:id="132135592">
                  <w:marLeft w:val="0"/>
                  <w:marRight w:val="0"/>
                  <w:marTop w:val="0"/>
                  <w:marBottom w:val="0"/>
                  <w:divBdr>
                    <w:top w:val="none" w:sz="0" w:space="0" w:color="auto"/>
                    <w:left w:val="none" w:sz="0" w:space="0" w:color="auto"/>
                    <w:bottom w:val="none" w:sz="0" w:space="0" w:color="auto"/>
                    <w:right w:val="none" w:sz="0" w:space="0" w:color="auto"/>
                  </w:divBdr>
                  <w:divsChild>
                    <w:div w:id="1334602409">
                      <w:marLeft w:val="0"/>
                      <w:marRight w:val="0"/>
                      <w:marTop w:val="0"/>
                      <w:marBottom w:val="0"/>
                      <w:divBdr>
                        <w:top w:val="none" w:sz="0" w:space="0" w:color="auto"/>
                        <w:left w:val="none" w:sz="0" w:space="0" w:color="auto"/>
                        <w:bottom w:val="none" w:sz="0" w:space="0" w:color="auto"/>
                        <w:right w:val="none" w:sz="0" w:space="0" w:color="auto"/>
                      </w:divBdr>
                    </w:div>
                  </w:divsChild>
                </w:div>
                <w:div w:id="140738415">
                  <w:marLeft w:val="0"/>
                  <w:marRight w:val="0"/>
                  <w:marTop w:val="0"/>
                  <w:marBottom w:val="0"/>
                  <w:divBdr>
                    <w:top w:val="none" w:sz="0" w:space="0" w:color="auto"/>
                    <w:left w:val="none" w:sz="0" w:space="0" w:color="auto"/>
                    <w:bottom w:val="none" w:sz="0" w:space="0" w:color="auto"/>
                    <w:right w:val="none" w:sz="0" w:space="0" w:color="auto"/>
                  </w:divBdr>
                  <w:divsChild>
                    <w:div w:id="1865513602">
                      <w:marLeft w:val="0"/>
                      <w:marRight w:val="0"/>
                      <w:marTop w:val="0"/>
                      <w:marBottom w:val="0"/>
                      <w:divBdr>
                        <w:top w:val="none" w:sz="0" w:space="0" w:color="auto"/>
                        <w:left w:val="none" w:sz="0" w:space="0" w:color="auto"/>
                        <w:bottom w:val="none" w:sz="0" w:space="0" w:color="auto"/>
                        <w:right w:val="none" w:sz="0" w:space="0" w:color="auto"/>
                      </w:divBdr>
                    </w:div>
                  </w:divsChild>
                </w:div>
                <w:div w:id="142740570">
                  <w:marLeft w:val="0"/>
                  <w:marRight w:val="0"/>
                  <w:marTop w:val="0"/>
                  <w:marBottom w:val="0"/>
                  <w:divBdr>
                    <w:top w:val="none" w:sz="0" w:space="0" w:color="auto"/>
                    <w:left w:val="none" w:sz="0" w:space="0" w:color="auto"/>
                    <w:bottom w:val="none" w:sz="0" w:space="0" w:color="auto"/>
                    <w:right w:val="none" w:sz="0" w:space="0" w:color="auto"/>
                  </w:divBdr>
                  <w:divsChild>
                    <w:div w:id="922227707">
                      <w:marLeft w:val="0"/>
                      <w:marRight w:val="0"/>
                      <w:marTop w:val="0"/>
                      <w:marBottom w:val="0"/>
                      <w:divBdr>
                        <w:top w:val="none" w:sz="0" w:space="0" w:color="auto"/>
                        <w:left w:val="none" w:sz="0" w:space="0" w:color="auto"/>
                        <w:bottom w:val="none" w:sz="0" w:space="0" w:color="auto"/>
                        <w:right w:val="none" w:sz="0" w:space="0" w:color="auto"/>
                      </w:divBdr>
                    </w:div>
                  </w:divsChild>
                </w:div>
                <w:div w:id="148644210">
                  <w:marLeft w:val="0"/>
                  <w:marRight w:val="0"/>
                  <w:marTop w:val="0"/>
                  <w:marBottom w:val="0"/>
                  <w:divBdr>
                    <w:top w:val="none" w:sz="0" w:space="0" w:color="auto"/>
                    <w:left w:val="none" w:sz="0" w:space="0" w:color="auto"/>
                    <w:bottom w:val="none" w:sz="0" w:space="0" w:color="auto"/>
                    <w:right w:val="none" w:sz="0" w:space="0" w:color="auto"/>
                  </w:divBdr>
                  <w:divsChild>
                    <w:div w:id="243683110">
                      <w:marLeft w:val="0"/>
                      <w:marRight w:val="0"/>
                      <w:marTop w:val="0"/>
                      <w:marBottom w:val="0"/>
                      <w:divBdr>
                        <w:top w:val="none" w:sz="0" w:space="0" w:color="auto"/>
                        <w:left w:val="none" w:sz="0" w:space="0" w:color="auto"/>
                        <w:bottom w:val="none" w:sz="0" w:space="0" w:color="auto"/>
                        <w:right w:val="none" w:sz="0" w:space="0" w:color="auto"/>
                      </w:divBdr>
                    </w:div>
                  </w:divsChild>
                </w:div>
                <w:div w:id="195965693">
                  <w:marLeft w:val="0"/>
                  <w:marRight w:val="0"/>
                  <w:marTop w:val="0"/>
                  <w:marBottom w:val="0"/>
                  <w:divBdr>
                    <w:top w:val="none" w:sz="0" w:space="0" w:color="auto"/>
                    <w:left w:val="none" w:sz="0" w:space="0" w:color="auto"/>
                    <w:bottom w:val="none" w:sz="0" w:space="0" w:color="auto"/>
                    <w:right w:val="none" w:sz="0" w:space="0" w:color="auto"/>
                  </w:divBdr>
                  <w:divsChild>
                    <w:div w:id="1106271402">
                      <w:marLeft w:val="0"/>
                      <w:marRight w:val="0"/>
                      <w:marTop w:val="0"/>
                      <w:marBottom w:val="0"/>
                      <w:divBdr>
                        <w:top w:val="none" w:sz="0" w:space="0" w:color="auto"/>
                        <w:left w:val="none" w:sz="0" w:space="0" w:color="auto"/>
                        <w:bottom w:val="none" w:sz="0" w:space="0" w:color="auto"/>
                        <w:right w:val="none" w:sz="0" w:space="0" w:color="auto"/>
                      </w:divBdr>
                    </w:div>
                  </w:divsChild>
                </w:div>
                <w:div w:id="349065438">
                  <w:marLeft w:val="0"/>
                  <w:marRight w:val="0"/>
                  <w:marTop w:val="0"/>
                  <w:marBottom w:val="0"/>
                  <w:divBdr>
                    <w:top w:val="none" w:sz="0" w:space="0" w:color="auto"/>
                    <w:left w:val="none" w:sz="0" w:space="0" w:color="auto"/>
                    <w:bottom w:val="none" w:sz="0" w:space="0" w:color="auto"/>
                    <w:right w:val="none" w:sz="0" w:space="0" w:color="auto"/>
                  </w:divBdr>
                  <w:divsChild>
                    <w:div w:id="1974673964">
                      <w:marLeft w:val="0"/>
                      <w:marRight w:val="0"/>
                      <w:marTop w:val="0"/>
                      <w:marBottom w:val="0"/>
                      <w:divBdr>
                        <w:top w:val="none" w:sz="0" w:space="0" w:color="auto"/>
                        <w:left w:val="none" w:sz="0" w:space="0" w:color="auto"/>
                        <w:bottom w:val="none" w:sz="0" w:space="0" w:color="auto"/>
                        <w:right w:val="none" w:sz="0" w:space="0" w:color="auto"/>
                      </w:divBdr>
                    </w:div>
                  </w:divsChild>
                </w:div>
                <w:div w:id="555897613">
                  <w:marLeft w:val="0"/>
                  <w:marRight w:val="0"/>
                  <w:marTop w:val="0"/>
                  <w:marBottom w:val="0"/>
                  <w:divBdr>
                    <w:top w:val="none" w:sz="0" w:space="0" w:color="auto"/>
                    <w:left w:val="none" w:sz="0" w:space="0" w:color="auto"/>
                    <w:bottom w:val="none" w:sz="0" w:space="0" w:color="auto"/>
                    <w:right w:val="none" w:sz="0" w:space="0" w:color="auto"/>
                  </w:divBdr>
                  <w:divsChild>
                    <w:div w:id="104008806">
                      <w:marLeft w:val="0"/>
                      <w:marRight w:val="0"/>
                      <w:marTop w:val="0"/>
                      <w:marBottom w:val="0"/>
                      <w:divBdr>
                        <w:top w:val="none" w:sz="0" w:space="0" w:color="auto"/>
                        <w:left w:val="none" w:sz="0" w:space="0" w:color="auto"/>
                        <w:bottom w:val="none" w:sz="0" w:space="0" w:color="auto"/>
                        <w:right w:val="none" w:sz="0" w:space="0" w:color="auto"/>
                      </w:divBdr>
                    </w:div>
                  </w:divsChild>
                </w:div>
                <w:div w:id="568885205">
                  <w:marLeft w:val="0"/>
                  <w:marRight w:val="0"/>
                  <w:marTop w:val="0"/>
                  <w:marBottom w:val="0"/>
                  <w:divBdr>
                    <w:top w:val="none" w:sz="0" w:space="0" w:color="auto"/>
                    <w:left w:val="none" w:sz="0" w:space="0" w:color="auto"/>
                    <w:bottom w:val="none" w:sz="0" w:space="0" w:color="auto"/>
                    <w:right w:val="none" w:sz="0" w:space="0" w:color="auto"/>
                  </w:divBdr>
                  <w:divsChild>
                    <w:div w:id="668824625">
                      <w:marLeft w:val="0"/>
                      <w:marRight w:val="0"/>
                      <w:marTop w:val="0"/>
                      <w:marBottom w:val="0"/>
                      <w:divBdr>
                        <w:top w:val="none" w:sz="0" w:space="0" w:color="auto"/>
                        <w:left w:val="none" w:sz="0" w:space="0" w:color="auto"/>
                        <w:bottom w:val="none" w:sz="0" w:space="0" w:color="auto"/>
                        <w:right w:val="none" w:sz="0" w:space="0" w:color="auto"/>
                      </w:divBdr>
                    </w:div>
                  </w:divsChild>
                </w:div>
                <w:div w:id="633946013">
                  <w:marLeft w:val="0"/>
                  <w:marRight w:val="0"/>
                  <w:marTop w:val="0"/>
                  <w:marBottom w:val="0"/>
                  <w:divBdr>
                    <w:top w:val="none" w:sz="0" w:space="0" w:color="auto"/>
                    <w:left w:val="none" w:sz="0" w:space="0" w:color="auto"/>
                    <w:bottom w:val="none" w:sz="0" w:space="0" w:color="auto"/>
                    <w:right w:val="none" w:sz="0" w:space="0" w:color="auto"/>
                  </w:divBdr>
                  <w:divsChild>
                    <w:div w:id="1671106222">
                      <w:marLeft w:val="0"/>
                      <w:marRight w:val="0"/>
                      <w:marTop w:val="0"/>
                      <w:marBottom w:val="0"/>
                      <w:divBdr>
                        <w:top w:val="none" w:sz="0" w:space="0" w:color="auto"/>
                        <w:left w:val="none" w:sz="0" w:space="0" w:color="auto"/>
                        <w:bottom w:val="none" w:sz="0" w:space="0" w:color="auto"/>
                        <w:right w:val="none" w:sz="0" w:space="0" w:color="auto"/>
                      </w:divBdr>
                    </w:div>
                  </w:divsChild>
                </w:div>
                <w:div w:id="812646704">
                  <w:marLeft w:val="0"/>
                  <w:marRight w:val="0"/>
                  <w:marTop w:val="0"/>
                  <w:marBottom w:val="0"/>
                  <w:divBdr>
                    <w:top w:val="none" w:sz="0" w:space="0" w:color="auto"/>
                    <w:left w:val="none" w:sz="0" w:space="0" w:color="auto"/>
                    <w:bottom w:val="none" w:sz="0" w:space="0" w:color="auto"/>
                    <w:right w:val="none" w:sz="0" w:space="0" w:color="auto"/>
                  </w:divBdr>
                  <w:divsChild>
                    <w:div w:id="1638418475">
                      <w:marLeft w:val="0"/>
                      <w:marRight w:val="0"/>
                      <w:marTop w:val="0"/>
                      <w:marBottom w:val="0"/>
                      <w:divBdr>
                        <w:top w:val="none" w:sz="0" w:space="0" w:color="auto"/>
                        <w:left w:val="none" w:sz="0" w:space="0" w:color="auto"/>
                        <w:bottom w:val="none" w:sz="0" w:space="0" w:color="auto"/>
                        <w:right w:val="none" w:sz="0" w:space="0" w:color="auto"/>
                      </w:divBdr>
                    </w:div>
                  </w:divsChild>
                </w:div>
                <w:div w:id="833688375">
                  <w:marLeft w:val="0"/>
                  <w:marRight w:val="0"/>
                  <w:marTop w:val="0"/>
                  <w:marBottom w:val="0"/>
                  <w:divBdr>
                    <w:top w:val="none" w:sz="0" w:space="0" w:color="auto"/>
                    <w:left w:val="none" w:sz="0" w:space="0" w:color="auto"/>
                    <w:bottom w:val="none" w:sz="0" w:space="0" w:color="auto"/>
                    <w:right w:val="none" w:sz="0" w:space="0" w:color="auto"/>
                  </w:divBdr>
                  <w:divsChild>
                    <w:div w:id="310066692">
                      <w:marLeft w:val="0"/>
                      <w:marRight w:val="0"/>
                      <w:marTop w:val="0"/>
                      <w:marBottom w:val="0"/>
                      <w:divBdr>
                        <w:top w:val="none" w:sz="0" w:space="0" w:color="auto"/>
                        <w:left w:val="none" w:sz="0" w:space="0" w:color="auto"/>
                        <w:bottom w:val="none" w:sz="0" w:space="0" w:color="auto"/>
                        <w:right w:val="none" w:sz="0" w:space="0" w:color="auto"/>
                      </w:divBdr>
                    </w:div>
                  </w:divsChild>
                </w:div>
                <w:div w:id="1084302809">
                  <w:marLeft w:val="0"/>
                  <w:marRight w:val="0"/>
                  <w:marTop w:val="0"/>
                  <w:marBottom w:val="0"/>
                  <w:divBdr>
                    <w:top w:val="none" w:sz="0" w:space="0" w:color="auto"/>
                    <w:left w:val="none" w:sz="0" w:space="0" w:color="auto"/>
                    <w:bottom w:val="none" w:sz="0" w:space="0" w:color="auto"/>
                    <w:right w:val="none" w:sz="0" w:space="0" w:color="auto"/>
                  </w:divBdr>
                  <w:divsChild>
                    <w:div w:id="252516095">
                      <w:marLeft w:val="0"/>
                      <w:marRight w:val="0"/>
                      <w:marTop w:val="0"/>
                      <w:marBottom w:val="0"/>
                      <w:divBdr>
                        <w:top w:val="none" w:sz="0" w:space="0" w:color="auto"/>
                        <w:left w:val="none" w:sz="0" w:space="0" w:color="auto"/>
                        <w:bottom w:val="none" w:sz="0" w:space="0" w:color="auto"/>
                        <w:right w:val="none" w:sz="0" w:space="0" w:color="auto"/>
                      </w:divBdr>
                    </w:div>
                  </w:divsChild>
                </w:div>
                <w:div w:id="1107236948">
                  <w:marLeft w:val="0"/>
                  <w:marRight w:val="0"/>
                  <w:marTop w:val="0"/>
                  <w:marBottom w:val="0"/>
                  <w:divBdr>
                    <w:top w:val="none" w:sz="0" w:space="0" w:color="auto"/>
                    <w:left w:val="none" w:sz="0" w:space="0" w:color="auto"/>
                    <w:bottom w:val="none" w:sz="0" w:space="0" w:color="auto"/>
                    <w:right w:val="none" w:sz="0" w:space="0" w:color="auto"/>
                  </w:divBdr>
                  <w:divsChild>
                    <w:div w:id="1987126703">
                      <w:marLeft w:val="0"/>
                      <w:marRight w:val="0"/>
                      <w:marTop w:val="0"/>
                      <w:marBottom w:val="0"/>
                      <w:divBdr>
                        <w:top w:val="none" w:sz="0" w:space="0" w:color="auto"/>
                        <w:left w:val="none" w:sz="0" w:space="0" w:color="auto"/>
                        <w:bottom w:val="none" w:sz="0" w:space="0" w:color="auto"/>
                        <w:right w:val="none" w:sz="0" w:space="0" w:color="auto"/>
                      </w:divBdr>
                    </w:div>
                  </w:divsChild>
                </w:div>
                <w:div w:id="1418140035">
                  <w:marLeft w:val="0"/>
                  <w:marRight w:val="0"/>
                  <w:marTop w:val="0"/>
                  <w:marBottom w:val="0"/>
                  <w:divBdr>
                    <w:top w:val="none" w:sz="0" w:space="0" w:color="auto"/>
                    <w:left w:val="none" w:sz="0" w:space="0" w:color="auto"/>
                    <w:bottom w:val="none" w:sz="0" w:space="0" w:color="auto"/>
                    <w:right w:val="none" w:sz="0" w:space="0" w:color="auto"/>
                  </w:divBdr>
                  <w:divsChild>
                    <w:div w:id="798259918">
                      <w:marLeft w:val="0"/>
                      <w:marRight w:val="0"/>
                      <w:marTop w:val="0"/>
                      <w:marBottom w:val="0"/>
                      <w:divBdr>
                        <w:top w:val="none" w:sz="0" w:space="0" w:color="auto"/>
                        <w:left w:val="none" w:sz="0" w:space="0" w:color="auto"/>
                        <w:bottom w:val="none" w:sz="0" w:space="0" w:color="auto"/>
                        <w:right w:val="none" w:sz="0" w:space="0" w:color="auto"/>
                      </w:divBdr>
                    </w:div>
                  </w:divsChild>
                </w:div>
                <w:div w:id="1434979816">
                  <w:marLeft w:val="0"/>
                  <w:marRight w:val="0"/>
                  <w:marTop w:val="0"/>
                  <w:marBottom w:val="0"/>
                  <w:divBdr>
                    <w:top w:val="none" w:sz="0" w:space="0" w:color="auto"/>
                    <w:left w:val="none" w:sz="0" w:space="0" w:color="auto"/>
                    <w:bottom w:val="none" w:sz="0" w:space="0" w:color="auto"/>
                    <w:right w:val="none" w:sz="0" w:space="0" w:color="auto"/>
                  </w:divBdr>
                  <w:divsChild>
                    <w:div w:id="779104608">
                      <w:marLeft w:val="0"/>
                      <w:marRight w:val="0"/>
                      <w:marTop w:val="0"/>
                      <w:marBottom w:val="0"/>
                      <w:divBdr>
                        <w:top w:val="none" w:sz="0" w:space="0" w:color="auto"/>
                        <w:left w:val="none" w:sz="0" w:space="0" w:color="auto"/>
                        <w:bottom w:val="none" w:sz="0" w:space="0" w:color="auto"/>
                        <w:right w:val="none" w:sz="0" w:space="0" w:color="auto"/>
                      </w:divBdr>
                    </w:div>
                  </w:divsChild>
                </w:div>
                <w:div w:id="1451516054">
                  <w:marLeft w:val="0"/>
                  <w:marRight w:val="0"/>
                  <w:marTop w:val="0"/>
                  <w:marBottom w:val="0"/>
                  <w:divBdr>
                    <w:top w:val="none" w:sz="0" w:space="0" w:color="auto"/>
                    <w:left w:val="none" w:sz="0" w:space="0" w:color="auto"/>
                    <w:bottom w:val="none" w:sz="0" w:space="0" w:color="auto"/>
                    <w:right w:val="none" w:sz="0" w:space="0" w:color="auto"/>
                  </w:divBdr>
                  <w:divsChild>
                    <w:div w:id="1570995695">
                      <w:marLeft w:val="0"/>
                      <w:marRight w:val="0"/>
                      <w:marTop w:val="0"/>
                      <w:marBottom w:val="0"/>
                      <w:divBdr>
                        <w:top w:val="none" w:sz="0" w:space="0" w:color="auto"/>
                        <w:left w:val="none" w:sz="0" w:space="0" w:color="auto"/>
                        <w:bottom w:val="none" w:sz="0" w:space="0" w:color="auto"/>
                        <w:right w:val="none" w:sz="0" w:space="0" w:color="auto"/>
                      </w:divBdr>
                    </w:div>
                  </w:divsChild>
                </w:div>
                <w:div w:id="1556241084">
                  <w:marLeft w:val="0"/>
                  <w:marRight w:val="0"/>
                  <w:marTop w:val="0"/>
                  <w:marBottom w:val="0"/>
                  <w:divBdr>
                    <w:top w:val="none" w:sz="0" w:space="0" w:color="auto"/>
                    <w:left w:val="none" w:sz="0" w:space="0" w:color="auto"/>
                    <w:bottom w:val="none" w:sz="0" w:space="0" w:color="auto"/>
                    <w:right w:val="none" w:sz="0" w:space="0" w:color="auto"/>
                  </w:divBdr>
                  <w:divsChild>
                    <w:div w:id="82839632">
                      <w:marLeft w:val="0"/>
                      <w:marRight w:val="0"/>
                      <w:marTop w:val="0"/>
                      <w:marBottom w:val="0"/>
                      <w:divBdr>
                        <w:top w:val="none" w:sz="0" w:space="0" w:color="auto"/>
                        <w:left w:val="none" w:sz="0" w:space="0" w:color="auto"/>
                        <w:bottom w:val="none" w:sz="0" w:space="0" w:color="auto"/>
                        <w:right w:val="none" w:sz="0" w:space="0" w:color="auto"/>
                      </w:divBdr>
                    </w:div>
                  </w:divsChild>
                </w:div>
                <w:div w:id="1811743978">
                  <w:marLeft w:val="0"/>
                  <w:marRight w:val="0"/>
                  <w:marTop w:val="0"/>
                  <w:marBottom w:val="0"/>
                  <w:divBdr>
                    <w:top w:val="none" w:sz="0" w:space="0" w:color="auto"/>
                    <w:left w:val="none" w:sz="0" w:space="0" w:color="auto"/>
                    <w:bottom w:val="none" w:sz="0" w:space="0" w:color="auto"/>
                    <w:right w:val="none" w:sz="0" w:space="0" w:color="auto"/>
                  </w:divBdr>
                  <w:divsChild>
                    <w:div w:id="154538121">
                      <w:marLeft w:val="0"/>
                      <w:marRight w:val="0"/>
                      <w:marTop w:val="0"/>
                      <w:marBottom w:val="0"/>
                      <w:divBdr>
                        <w:top w:val="none" w:sz="0" w:space="0" w:color="auto"/>
                        <w:left w:val="none" w:sz="0" w:space="0" w:color="auto"/>
                        <w:bottom w:val="none" w:sz="0" w:space="0" w:color="auto"/>
                        <w:right w:val="none" w:sz="0" w:space="0" w:color="auto"/>
                      </w:divBdr>
                    </w:div>
                  </w:divsChild>
                </w:div>
                <w:div w:id="1895121889">
                  <w:marLeft w:val="0"/>
                  <w:marRight w:val="0"/>
                  <w:marTop w:val="0"/>
                  <w:marBottom w:val="0"/>
                  <w:divBdr>
                    <w:top w:val="none" w:sz="0" w:space="0" w:color="auto"/>
                    <w:left w:val="none" w:sz="0" w:space="0" w:color="auto"/>
                    <w:bottom w:val="none" w:sz="0" w:space="0" w:color="auto"/>
                    <w:right w:val="none" w:sz="0" w:space="0" w:color="auto"/>
                  </w:divBdr>
                  <w:divsChild>
                    <w:div w:id="876086789">
                      <w:marLeft w:val="0"/>
                      <w:marRight w:val="0"/>
                      <w:marTop w:val="0"/>
                      <w:marBottom w:val="0"/>
                      <w:divBdr>
                        <w:top w:val="none" w:sz="0" w:space="0" w:color="auto"/>
                        <w:left w:val="none" w:sz="0" w:space="0" w:color="auto"/>
                        <w:bottom w:val="none" w:sz="0" w:space="0" w:color="auto"/>
                        <w:right w:val="none" w:sz="0" w:space="0" w:color="auto"/>
                      </w:divBdr>
                    </w:div>
                  </w:divsChild>
                </w:div>
                <w:div w:id="2081520245">
                  <w:marLeft w:val="0"/>
                  <w:marRight w:val="0"/>
                  <w:marTop w:val="0"/>
                  <w:marBottom w:val="0"/>
                  <w:divBdr>
                    <w:top w:val="none" w:sz="0" w:space="0" w:color="auto"/>
                    <w:left w:val="none" w:sz="0" w:space="0" w:color="auto"/>
                    <w:bottom w:val="none" w:sz="0" w:space="0" w:color="auto"/>
                    <w:right w:val="none" w:sz="0" w:space="0" w:color="auto"/>
                  </w:divBdr>
                  <w:divsChild>
                    <w:div w:id="73555547">
                      <w:marLeft w:val="0"/>
                      <w:marRight w:val="0"/>
                      <w:marTop w:val="0"/>
                      <w:marBottom w:val="0"/>
                      <w:divBdr>
                        <w:top w:val="none" w:sz="0" w:space="0" w:color="auto"/>
                        <w:left w:val="none" w:sz="0" w:space="0" w:color="auto"/>
                        <w:bottom w:val="none" w:sz="0" w:space="0" w:color="auto"/>
                        <w:right w:val="none" w:sz="0" w:space="0" w:color="auto"/>
                      </w:divBdr>
                    </w:div>
                  </w:divsChild>
                </w:div>
                <w:div w:id="2087068266">
                  <w:marLeft w:val="0"/>
                  <w:marRight w:val="0"/>
                  <w:marTop w:val="0"/>
                  <w:marBottom w:val="0"/>
                  <w:divBdr>
                    <w:top w:val="none" w:sz="0" w:space="0" w:color="auto"/>
                    <w:left w:val="none" w:sz="0" w:space="0" w:color="auto"/>
                    <w:bottom w:val="none" w:sz="0" w:space="0" w:color="auto"/>
                    <w:right w:val="none" w:sz="0" w:space="0" w:color="auto"/>
                  </w:divBdr>
                  <w:divsChild>
                    <w:div w:id="313031041">
                      <w:marLeft w:val="0"/>
                      <w:marRight w:val="0"/>
                      <w:marTop w:val="0"/>
                      <w:marBottom w:val="0"/>
                      <w:divBdr>
                        <w:top w:val="none" w:sz="0" w:space="0" w:color="auto"/>
                        <w:left w:val="none" w:sz="0" w:space="0" w:color="auto"/>
                        <w:bottom w:val="none" w:sz="0" w:space="0" w:color="auto"/>
                        <w:right w:val="none" w:sz="0" w:space="0" w:color="auto"/>
                      </w:divBdr>
                    </w:div>
                  </w:divsChild>
                </w:div>
                <w:div w:id="2118720318">
                  <w:marLeft w:val="0"/>
                  <w:marRight w:val="0"/>
                  <w:marTop w:val="0"/>
                  <w:marBottom w:val="0"/>
                  <w:divBdr>
                    <w:top w:val="none" w:sz="0" w:space="0" w:color="auto"/>
                    <w:left w:val="none" w:sz="0" w:space="0" w:color="auto"/>
                    <w:bottom w:val="none" w:sz="0" w:space="0" w:color="auto"/>
                    <w:right w:val="none" w:sz="0" w:space="0" w:color="auto"/>
                  </w:divBdr>
                  <w:divsChild>
                    <w:div w:id="51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8252">
          <w:marLeft w:val="0"/>
          <w:marRight w:val="0"/>
          <w:marTop w:val="0"/>
          <w:marBottom w:val="0"/>
          <w:divBdr>
            <w:top w:val="none" w:sz="0" w:space="0" w:color="auto"/>
            <w:left w:val="none" w:sz="0" w:space="0" w:color="auto"/>
            <w:bottom w:val="none" w:sz="0" w:space="0" w:color="auto"/>
            <w:right w:val="none" w:sz="0" w:space="0" w:color="auto"/>
          </w:divBdr>
          <w:divsChild>
            <w:div w:id="267125127">
              <w:marLeft w:val="0"/>
              <w:marRight w:val="0"/>
              <w:marTop w:val="0"/>
              <w:marBottom w:val="0"/>
              <w:divBdr>
                <w:top w:val="none" w:sz="0" w:space="0" w:color="auto"/>
                <w:left w:val="none" w:sz="0" w:space="0" w:color="auto"/>
                <w:bottom w:val="none" w:sz="0" w:space="0" w:color="auto"/>
                <w:right w:val="none" w:sz="0" w:space="0" w:color="auto"/>
              </w:divBdr>
            </w:div>
            <w:div w:id="403795984">
              <w:marLeft w:val="0"/>
              <w:marRight w:val="0"/>
              <w:marTop w:val="0"/>
              <w:marBottom w:val="0"/>
              <w:divBdr>
                <w:top w:val="none" w:sz="0" w:space="0" w:color="auto"/>
                <w:left w:val="none" w:sz="0" w:space="0" w:color="auto"/>
                <w:bottom w:val="none" w:sz="0" w:space="0" w:color="auto"/>
                <w:right w:val="none" w:sz="0" w:space="0" w:color="auto"/>
              </w:divBdr>
            </w:div>
            <w:div w:id="412775245">
              <w:marLeft w:val="0"/>
              <w:marRight w:val="0"/>
              <w:marTop w:val="0"/>
              <w:marBottom w:val="0"/>
              <w:divBdr>
                <w:top w:val="none" w:sz="0" w:space="0" w:color="auto"/>
                <w:left w:val="none" w:sz="0" w:space="0" w:color="auto"/>
                <w:bottom w:val="none" w:sz="0" w:space="0" w:color="auto"/>
                <w:right w:val="none" w:sz="0" w:space="0" w:color="auto"/>
              </w:divBdr>
            </w:div>
            <w:div w:id="947471367">
              <w:marLeft w:val="0"/>
              <w:marRight w:val="0"/>
              <w:marTop w:val="0"/>
              <w:marBottom w:val="0"/>
              <w:divBdr>
                <w:top w:val="none" w:sz="0" w:space="0" w:color="auto"/>
                <w:left w:val="none" w:sz="0" w:space="0" w:color="auto"/>
                <w:bottom w:val="none" w:sz="0" w:space="0" w:color="auto"/>
                <w:right w:val="none" w:sz="0" w:space="0" w:color="auto"/>
              </w:divBdr>
            </w:div>
            <w:div w:id="1121454155">
              <w:marLeft w:val="0"/>
              <w:marRight w:val="0"/>
              <w:marTop w:val="0"/>
              <w:marBottom w:val="0"/>
              <w:divBdr>
                <w:top w:val="none" w:sz="0" w:space="0" w:color="auto"/>
                <w:left w:val="none" w:sz="0" w:space="0" w:color="auto"/>
                <w:bottom w:val="none" w:sz="0" w:space="0" w:color="auto"/>
                <w:right w:val="none" w:sz="0" w:space="0" w:color="auto"/>
              </w:divBdr>
            </w:div>
            <w:div w:id="1447504417">
              <w:marLeft w:val="0"/>
              <w:marRight w:val="0"/>
              <w:marTop w:val="0"/>
              <w:marBottom w:val="0"/>
              <w:divBdr>
                <w:top w:val="none" w:sz="0" w:space="0" w:color="auto"/>
                <w:left w:val="none" w:sz="0" w:space="0" w:color="auto"/>
                <w:bottom w:val="none" w:sz="0" w:space="0" w:color="auto"/>
                <w:right w:val="none" w:sz="0" w:space="0" w:color="auto"/>
              </w:divBdr>
            </w:div>
            <w:div w:id="1735664633">
              <w:marLeft w:val="0"/>
              <w:marRight w:val="0"/>
              <w:marTop w:val="0"/>
              <w:marBottom w:val="0"/>
              <w:divBdr>
                <w:top w:val="none" w:sz="0" w:space="0" w:color="auto"/>
                <w:left w:val="none" w:sz="0" w:space="0" w:color="auto"/>
                <w:bottom w:val="none" w:sz="0" w:space="0" w:color="auto"/>
                <w:right w:val="none" w:sz="0" w:space="0" w:color="auto"/>
              </w:divBdr>
            </w:div>
            <w:div w:id="1781951949">
              <w:marLeft w:val="0"/>
              <w:marRight w:val="0"/>
              <w:marTop w:val="0"/>
              <w:marBottom w:val="0"/>
              <w:divBdr>
                <w:top w:val="none" w:sz="0" w:space="0" w:color="auto"/>
                <w:left w:val="none" w:sz="0" w:space="0" w:color="auto"/>
                <w:bottom w:val="none" w:sz="0" w:space="0" w:color="auto"/>
                <w:right w:val="none" w:sz="0" w:space="0" w:color="auto"/>
              </w:divBdr>
            </w:div>
            <w:div w:id="1898979642">
              <w:marLeft w:val="0"/>
              <w:marRight w:val="0"/>
              <w:marTop w:val="0"/>
              <w:marBottom w:val="0"/>
              <w:divBdr>
                <w:top w:val="none" w:sz="0" w:space="0" w:color="auto"/>
                <w:left w:val="none" w:sz="0" w:space="0" w:color="auto"/>
                <w:bottom w:val="none" w:sz="0" w:space="0" w:color="auto"/>
                <w:right w:val="none" w:sz="0" w:space="0" w:color="auto"/>
              </w:divBdr>
            </w:div>
            <w:div w:id="1938559999">
              <w:marLeft w:val="0"/>
              <w:marRight w:val="0"/>
              <w:marTop w:val="0"/>
              <w:marBottom w:val="0"/>
              <w:divBdr>
                <w:top w:val="none" w:sz="0" w:space="0" w:color="auto"/>
                <w:left w:val="none" w:sz="0" w:space="0" w:color="auto"/>
                <w:bottom w:val="none" w:sz="0" w:space="0" w:color="auto"/>
                <w:right w:val="none" w:sz="0" w:space="0" w:color="auto"/>
              </w:divBdr>
            </w:div>
          </w:divsChild>
        </w:div>
        <w:div w:id="1753115458">
          <w:marLeft w:val="0"/>
          <w:marRight w:val="0"/>
          <w:marTop w:val="0"/>
          <w:marBottom w:val="0"/>
          <w:divBdr>
            <w:top w:val="none" w:sz="0" w:space="0" w:color="auto"/>
            <w:left w:val="none" w:sz="0" w:space="0" w:color="auto"/>
            <w:bottom w:val="none" w:sz="0" w:space="0" w:color="auto"/>
            <w:right w:val="none" w:sz="0" w:space="0" w:color="auto"/>
          </w:divBdr>
          <w:divsChild>
            <w:div w:id="168177935">
              <w:marLeft w:val="0"/>
              <w:marRight w:val="0"/>
              <w:marTop w:val="0"/>
              <w:marBottom w:val="0"/>
              <w:divBdr>
                <w:top w:val="none" w:sz="0" w:space="0" w:color="auto"/>
                <w:left w:val="none" w:sz="0" w:space="0" w:color="auto"/>
                <w:bottom w:val="none" w:sz="0" w:space="0" w:color="auto"/>
                <w:right w:val="none" w:sz="0" w:space="0" w:color="auto"/>
              </w:divBdr>
            </w:div>
            <w:div w:id="180359311">
              <w:marLeft w:val="0"/>
              <w:marRight w:val="0"/>
              <w:marTop w:val="0"/>
              <w:marBottom w:val="0"/>
              <w:divBdr>
                <w:top w:val="none" w:sz="0" w:space="0" w:color="auto"/>
                <w:left w:val="none" w:sz="0" w:space="0" w:color="auto"/>
                <w:bottom w:val="none" w:sz="0" w:space="0" w:color="auto"/>
                <w:right w:val="none" w:sz="0" w:space="0" w:color="auto"/>
              </w:divBdr>
            </w:div>
            <w:div w:id="304512361">
              <w:marLeft w:val="0"/>
              <w:marRight w:val="0"/>
              <w:marTop w:val="0"/>
              <w:marBottom w:val="0"/>
              <w:divBdr>
                <w:top w:val="none" w:sz="0" w:space="0" w:color="auto"/>
                <w:left w:val="none" w:sz="0" w:space="0" w:color="auto"/>
                <w:bottom w:val="none" w:sz="0" w:space="0" w:color="auto"/>
                <w:right w:val="none" w:sz="0" w:space="0" w:color="auto"/>
              </w:divBdr>
            </w:div>
            <w:div w:id="394284158">
              <w:marLeft w:val="0"/>
              <w:marRight w:val="0"/>
              <w:marTop w:val="0"/>
              <w:marBottom w:val="0"/>
              <w:divBdr>
                <w:top w:val="none" w:sz="0" w:space="0" w:color="auto"/>
                <w:left w:val="none" w:sz="0" w:space="0" w:color="auto"/>
                <w:bottom w:val="none" w:sz="0" w:space="0" w:color="auto"/>
                <w:right w:val="none" w:sz="0" w:space="0" w:color="auto"/>
              </w:divBdr>
            </w:div>
            <w:div w:id="686760532">
              <w:marLeft w:val="0"/>
              <w:marRight w:val="0"/>
              <w:marTop w:val="0"/>
              <w:marBottom w:val="0"/>
              <w:divBdr>
                <w:top w:val="none" w:sz="0" w:space="0" w:color="auto"/>
                <w:left w:val="none" w:sz="0" w:space="0" w:color="auto"/>
                <w:bottom w:val="none" w:sz="0" w:space="0" w:color="auto"/>
                <w:right w:val="none" w:sz="0" w:space="0" w:color="auto"/>
              </w:divBdr>
            </w:div>
            <w:div w:id="777992382">
              <w:marLeft w:val="0"/>
              <w:marRight w:val="0"/>
              <w:marTop w:val="0"/>
              <w:marBottom w:val="0"/>
              <w:divBdr>
                <w:top w:val="none" w:sz="0" w:space="0" w:color="auto"/>
                <w:left w:val="none" w:sz="0" w:space="0" w:color="auto"/>
                <w:bottom w:val="none" w:sz="0" w:space="0" w:color="auto"/>
                <w:right w:val="none" w:sz="0" w:space="0" w:color="auto"/>
              </w:divBdr>
            </w:div>
            <w:div w:id="793138732">
              <w:marLeft w:val="0"/>
              <w:marRight w:val="0"/>
              <w:marTop w:val="0"/>
              <w:marBottom w:val="0"/>
              <w:divBdr>
                <w:top w:val="none" w:sz="0" w:space="0" w:color="auto"/>
                <w:left w:val="none" w:sz="0" w:space="0" w:color="auto"/>
                <w:bottom w:val="none" w:sz="0" w:space="0" w:color="auto"/>
                <w:right w:val="none" w:sz="0" w:space="0" w:color="auto"/>
              </w:divBdr>
            </w:div>
            <w:div w:id="832835832">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1304195687">
              <w:marLeft w:val="0"/>
              <w:marRight w:val="0"/>
              <w:marTop w:val="0"/>
              <w:marBottom w:val="0"/>
              <w:divBdr>
                <w:top w:val="none" w:sz="0" w:space="0" w:color="auto"/>
                <w:left w:val="none" w:sz="0" w:space="0" w:color="auto"/>
                <w:bottom w:val="none" w:sz="0" w:space="0" w:color="auto"/>
                <w:right w:val="none" w:sz="0" w:space="0" w:color="auto"/>
              </w:divBdr>
            </w:div>
            <w:div w:id="1870533016">
              <w:marLeft w:val="0"/>
              <w:marRight w:val="0"/>
              <w:marTop w:val="0"/>
              <w:marBottom w:val="0"/>
              <w:divBdr>
                <w:top w:val="none" w:sz="0" w:space="0" w:color="auto"/>
                <w:left w:val="none" w:sz="0" w:space="0" w:color="auto"/>
                <w:bottom w:val="none" w:sz="0" w:space="0" w:color="auto"/>
                <w:right w:val="none" w:sz="0" w:space="0" w:color="auto"/>
              </w:divBdr>
            </w:div>
            <w:div w:id="1911689086">
              <w:marLeft w:val="0"/>
              <w:marRight w:val="0"/>
              <w:marTop w:val="0"/>
              <w:marBottom w:val="0"/>
              <w:divBdr>
                <w:top w:val="none" w:sz="0" w:space="0" w:color="auto"/>
                <w:left w:val="none" w:sz="0" w:space="0" w:color="auto"/>
                <w:bottom w:val="none" w:sz="0" w:space="0" w:color="auto"/>
                <w:right w:val="none" w:sz="0" w:space="0" w:color="auto"/>
              </w:divBdr>
            </w:div>
            <w:div w:id="1963223238">
              <w:marLeft w:val="0"/>
              <w:marRight w:val="0"/>
              <w:marTop w:val="0"/>
              <w:marBottom w:val="0"/>
              <w:divBdr>
                <w:top w:val="none" w:sz="0" w:space="0" w:color="auto"/>
                <w:left w:val="none" w:sz="0" w:space="0" w:color="auto"/>
                <w:bottom w:val="none" w:sz="0" w:space="0" w:color="auto"/>
                <w:right w:val="none" w:sz="0" w:space="0" w:color="auto"/>
              </w:divBdr>
            </w:div>
            <w:div w:id="1993481127">
              <w:marLeft w:val="0"/>
              <w:marRight w:val="0"/>
              <w:marTop w:val="0"/>
              <w:marBottom w:val="0"/>
              <w:divBdr>
                <w:top w:val="none" w:sz="0" w:space="0" w:color="auto"/>
                <w:left w:val="none" w:sz="0" w:space="0" w:color="auto"/>
                <w:bottom w:val="none" w:sz="0" w:space="0" w:color="auto"/>
                <w:right w:val="none" w:sz="0" w:space="0" w:color="auto"/>
              </w:divBdr>
            </w:div>
            <w:div w:id="2044867765">
              <w:marLeft w:val="0"/>
              <w:marRight w:val="0"/>
              <w:marTop w:val="0"/>
              <w:marBottom w:val="0"/>
              <w:divBdr>
                <w:top w:val="none" w:sz="0" w:space="0" w:color="auto"/>
                <w:left w:val="none" w:sz="0" w:space="0" w:color="auto"/>
                <w:bottom w:val="none" w:sz="0" w:space="0" w:color="auto"/>
                <w:right w:val="none" w:sz="0" w:space="0" w:color="auto"/>
              </w:divBdr>
            </w:div>
          </w:divsChild>
        </w:div>
        <w:div w:id="2036343382">
          <w:marLeft w:val="0"/>
          <w:marRight w:val="0"/>
          <w:marTop w:val="0"/>
          <w:marBottom w:val="0"/>
          <w:divBdr>
            <w:top w:val="none" w:sz="0" w:space="0" w:color="auto"/>
            <w:left w:val="none" w:sz="0" w:space="0" w:color="auto"/>
            <w:bottom w:val="none" w:sz="0" w:space="0" w:color="auto"/>
            <w:right w:val="none" w:sz="0" w:space="0" w:color="auto"/>
          </w:divBdr>
        </w:div>
        <w:div w:id="2067953593">
          <w:marLeft w:val="0"/>
          <w:marRight w:val="0"/>
          <w:marTop w:val="0"/>
          <w:marBottom w:val="0"/>
          <w:divBdr>
            <w:top w:val="none" w:sz="0" w:space="0" w:color="auto"/>
            <w:left w:val="none" w:sz="0" w:space="0" w:color="auto"/>
            <w:bottom w:val="none" w:sz="0" w:space="0" w:color="auto"/>
            <w:right w:val="none" w:sz="0" w:space="0" w:color="auto"/>
          </w:divBdr>
          <w:divsChild>
            <w:div w:id="911962540">
              <w:marLeft w:val="-75"/>
              <w:marRight w:val="0"/>
              <w:marTop w:val="30"/>
              <w:marBottom w:val="30"/>
              <w:divBdr>
                <w:top w:val="none" w:sz="0" w:space="0" w:color="auto"/>
                <w:left w:val="none" w:sz="0" w:space="0" w:color="auto"/>
                <w:bottom w:val="none" w:sz="0" w:space="0" w:color="auto"/>
                <w:right w:val="none" w:sz="0" w:space="0" w:color="auto"/>
              </w:divBdr>
              <w:divsChild>
                <w:div w:id="6563518">
                  <w:marLeft w:val="0"/>
                  <w:marRight w:val="0"/>
                  <w:marTop w:val="0"/>
                  <w:marBottom w:val="0"/>
                  <w:divBdr>
                    <w:top w:val="none" w:sz="0" w:space="0" w:color="auto"/>
                    <w:left w:val="none" w:sz="0" w:space="0" w:color="auto"/>
                    <w:bottom w:val="none" w:sz="0" w:space="0" w:color="auto"/>
                    <w:right w:val="none" w:sz="0" w:space="0" w:color="auto"/>
                  </w:divBdr>
                  <w:divsChild>
                    <w:div w:id="717822447">
                      <w:marLeft w:val="0"/>
                      <w:marRight w:val="0"/>
                      <w:marTop w:val="0"/>
                      <w:marBottom w:val="0"/>
                      <w:divBdr>
                        <w:top w:val="none" w:sz="0" w:space="0" w:color="auto"/>
                        <w:left w:val="none" w:sz="0" w:space="0" w:color="auto"/>
                        <w:bottom w:val="none" w:sz="0" w:space="0" w:color="auto"/>
                        <w:right w:val="none" w:sz="0" w:space="0" w:color="auto"/>
                      </w:divBdr>
                    </w:div>
                  </w:divsChild>
                </w:div>
                <w:div w:id="165555648">
                  <w:marLeft w:val="0"/>
                  <w:marRight w:val="0"/>
                  <w:marTop w:val="0"/>
                  <w:marBottom w:val="0"/>
                  <w:divBdr>
                    <w:top w:val="none" w:sz="0" w:space="0" w:color="auto"/>
                    <w:left w:val="none" w:sz="0" w:space="0" w:color="auto"/>
                    <w:bottom w:val="none" w:sz="0" w:space="0" w:color="auto"/>
                    <w:right w:val="none" w:sz="0" w:space="0" w:color="auto"/>
                  </w:divBdr>
                  <w:divsChild>
                    <w:div w:id="23021149">
                      <w:marLeft w:val="0"/>
                      <w:marRight w:val="0"/>
                      <w:marTop w:val="0"/>
                      <w:marBottom w:val="0"/>
                      <w:divBdr>
                        <w:top w:val="none" w:sz="0" w:space="0" w:color="auto"/>
                        <w:left w:val="none" w:sz="0" w:space="0" w:color="auto"/>
                        <w:bottom w:val="none" w:sz="0" w:space="0" w:color="auto"/>
                        <w:right w:val="none" w:sz="0" w:space="0" w:color="auto"/>
                      </w:divBdr>
                    </w:div>
                  </w:divsChild>
                </w:div>
                <w:div w:id="214392673">
                  <w:marLeft w:val="0"/>
                  <w:marRight w:val="0"/>
                  <w:marTop w:val="0"/>
                  <w:marBottom w:val="0"/>
                  <w:divBdr>
                    <w:top w:val="none" w:sz="0" w:space="0" w:color="auto"/>
                    <w:left w:val="none" w:sz="0" w:space="0" w:color="auto"/>
                    <w:bottom w:val="none" w:sz="0" w:space="0" w:color="auto"/>
                    <w:right w:val="none" w:sz="0" w:space="0" w:color="auto"/>
                  </w:divBdr>
                  <w:divsChild>
                    <w:div w:id="1066492361">
                      <w:marLeft w:val="0"/>
                      <w:marRight w:val="0"/>
                      <w:marTop w:val="0"/>
                      <w:marBottom w:val="0"/>
                      <w:divBdr>
                        <w:top w:val="none" w:sz="0" w:space="0" w:color="auto"/>
                        <w:left w:val="none" w:sz="0" w:space="0" w:color="auto"/>
                        <w:bottom w:val="none" w:sz="0" w:space="0" w:color="auto"/>
                        <w:right w:val="none" w:sz="0" w:space="0" w:color="auto"/>
                      </w:divBdr>
                    </w:div>
                  </w:divsChild>
                </w:div>
                <w:div w:id="272396793">
                  <w:marLeft w:val="0"/>
                  <w:marRight w:val="0"/>
                  <w:marTop w:val="0"/>
                  <w:marBottom w:val="0"/>
                  <w:divBdr>
                    <w:top w:val="none" w:sz="0" w:space="0" w:color="auto"/>
                    <w:left w:val="none" w:sz="0" w:space="0" w:color="auto"/>
                    <w:bottom w:val="none" w:sz="0" w:space="0" w:color="auto"/>
                    <w:right w:val="none" w:sz="0" w:space="0" w:color="auto"/>
                  </w:divBdr>
                  <w:divsChild>
                    <w:div w:id="1563564324">
                      <w:marLeft w:val="0"/>
                      <w:marRight w:val="0"/>
                      <w:marTop w:val="0"/>
                      <w:marBottom w:val="0"/>
                      <w:divBdr>
                        <w:top w:val="none" w:sz="0" w:space="0" w:color="auto"/>
                        <w:left w:val="none" w:sz="0" w:space="0" w:color="auto"/>
                        <w:bottom w:val="none" w:sz="0" w:space="0" w:color="auto"/>
                        <w:right w:val="none" w:sz="0" w:space="0" w:color="auto"/>
                      </w:divBdr>
                    </w:div>
                  </w:divsChild>
                </w:div>
                <w:div w:id="319578252">
                  <w:marLeft w:val="0"/>
                  <w:marRight w:val="0"/>
                  <w:marTop w:val="0"/>
                  <w:marBottom w:val="0"/>
                  <w:divBdr>
                    <w:top w:val="none" w:sz="0" w:space="0" w:color="auto"/>
                    <w:left w:val="none" w:sz="0" w:space="0" w:color="auto"/>
                    <w:bottom w:val="none" w:sz="0" w:space="0" w:color="auto"/>
                    <w:right w:val="none" w:sz="0" w:space="0" w:color="auto"/>
                  </w:divBdr>
                  <w:divsChild>
                    <w:div w:id="1368750472">
                      <w:marLeft w:val="0"/>
                      <w:marRight w:val="0"/>
                      <w:marTop w:val="0"/>
                      <w:marBottom w:val="0"/>
                      <w:divBdr>
                        <w:top w:val="none" w:sz="0" w:space="0" w:color="auto"/>
                        <w:left w:val="none" w:sz="0" w:space="0" w:color="auto"/>
                        <w:bottom w:val="none" w:sz="0" w:space="0" w:color="auto"/>
                        <w:right w:val="none" w:sz="0" w:space="0" w:color="auto"/>
                      </w:divBdr>
                    </w:div>
                  </w:divsChild>
                </w:div>
                <w:div w:id="322977992">
                  <w:marLeft w:val="0"/>
                  <w:marRight w:val="0"/>
                  <w:marTop w:val="0"/>
                  <w:marBottom w:val="0"/>
                  <w:divBdr>
                    <w:top w:val="none" w:sz="0" w:space="0" w:color="auto"/>
                    <w:left w:val="none" w:sz="0" w:space="0" w:color="auto"/>
                    <w:bottom w:val="none" w:sz="0" w:space="0" w:color="auto"/>
                    <w:right w:val="none" w:sz="0" w:space="0" w:color="auto"/>
                  </w:divBdr>
                  <w:divsChild>
                    <w:div w:id="276109658">
                      <w:marLeft w:val="0"/>
                      <w:marRight w:val="0"/>
                      <w:marTop w:val="0"/>
                      <w:marBottom w:val="0"/>
                      <w:divBdr>
                        <w:top w:val="none" w:sz="0" w:space="0" w:color="auto"/>
                        <w:left w:val="none" w:sz="0" w:space="0" w:color="auto"/>
                        <w:bottom w:val="none" w:sz="0" w:space="0" w:color="auto"/>
                        <w:right w:val="none" w:sz="0" w:space="0" w:color="auto"/>
                      </w:divBdr>
                    </w:div>
                  </w:divsChild>
                </w:div>
                <w:div w:id="375857572">
                  <w:marLeft w:val="0"/>
                  <w:marRight w:val="0"/>
                  <w:marTop w:val="0"/>
                  <w:marBottom w:val="0"/>
                  <w:divBdr>
                    <w:top w:val="none" w:sz="0" w:space="0" w:color="auto"/>
                    <w:left w:val="none" w:sz="0" w:space="0" w:color="auto"/>
                    <w:bottom w:val="none" w:sz="0" w:space="0" w:color="auto"/>
                    <w:right w:val="none" w:sz="0" w:space="0" w:color="auto"/>
                  </w:divBdr>
                  <w:divsChild>
                    <w:div w:id="272977002">
                      <w:marLeft w:val="0"/>
                      <w:marRight w:val="0"/>
                      <w:marTop w:val="0"/>
                      <w:marBottom w:val="0"/>
                      <w:divBdr>
                        <w:top w:val="none" w:sz="0" w:space="0" w:color="auto"/>
                        <w:left w:val="none" w:sz="0" w:space="0" w:color="auto"/>
                        <w:bottom w:val="none" w:sz="0" w:space="0" w:color="auto"/>
                        <w:right w:val="none" w:sz="0" w:space="0" w:color="auto"/>
                      </w:divBdr>
                    </w:div>
                  </w:divsChild>
                </w:div>
                <w:div w:id="439027364">
                  <w:marLeft w:val="0"/>
                  <w:marRight w:val="0"/>
                  <w:marTop w:val="0"/>
                  <w:marBottom w:val="0"/>
                  <w:divBdr>
                    <w:top w:val="none" w:sz="0" w:space="0" w:color="auto"/>
                    <w:left w:val="none" w:sz="0" w:space="0" w:color="auto"/>
                    <w:bottom w:val="none" w:sz="0" w:space="0" w:color="auto"/>
                    <w:right w:val="none" w:sz="0" w:space="0" w:color="auto"/>
                  </w:divBdr>
                  <w:divsChild>
                    <w:div w:id="2035230353">
                      <w:marLeft w:val="0"/>
                      <w:marRight w:val="0"/>
                      <w:marTop w:val="0"/>
                      <w:marBottom w:val="0"/>
                      <w:divBdr>
                        <w:top w:val="none" w:sz="0" w:space="0" w:color="auto"/>
                        <w:left w:val="none" w:sz="0" w:space="0" w:color="auto"/>
                        <w:bottom w:val="none" w:sz="0" w:space="0" w:color="auto"/>
                        <w:right w:val="none" w:sz="0" w:space="0" w:color="auto"/>
                      </w:divBdr>
                    </w:div>
                  </w:divsChild>
                </w:div>
                <w:div w:id="480732821">
                  <w:marLeft w:val="0"/>
                  <w:marRight w:val="0"/>
                  <w:marTop w:val="0"/>
                  <w:marBottom w:val="0"/>
                  <w:divBdr>
                    <w:top w:val="none" w:sz="0" w:space="0" w:color="auto"/>
                    <w:left w:val="none" w:sz="0" w:space="0" w:color="auto"/>
                    <w:bottom w:val="none" w:sz="0" w:space="0" w:color="auto"/>
                    <w:right w:val="none" w:sz="0" w:space="0" w:color="auto"/>
                  </w:divBdr>
                  <w:divsChild>
                    <w:div w:id="104888266">
                      <w:marLeft w:val="0"/>
                      <w:marRight w:val="0"/>
                      <w:marTop w:val="0"/>
                      <w:marBottom w:val="0"/>
                      <w:divBdr>
                        <w:top w:val="none" w:sz="0" w:space="0" w:color="auto"/>
                        <w:left w:val="none" w:sz="0" w:space="0" w:color="auto"/>
                        <w:bottom w:val="none" w:sz="0" w:space="0" w:color="auto"/>
                        <w:right w:val="none" w:sz="0" w:space="0" w:color="auto"/>
                      </w:divBdr>
                    </w:div>
                  </w:divsChild>
                </w:div>
                <w:div w:id="888302204">
                  <w:marLeft w:val="0"/>
                  <w:marRight w:val="0"/>
                  <w:marTop w:val="0"/>
                  <w:marBottom w:val="0"/>
                  <w:divBdr>
                    <w:top w:val="none" w:sz="0" w:space="0" w:color="auto"/>
                    <w:left w:val="none" w:sz="0" w:space="0" w:color="auto"/>
                    <w:bottom w:val="none" w:sz="0" w:space="0" w:color="auto"/>
                    <w:right w:val="none" w:sz="0" w:space="0" w:color="auto"/>
                  </w:divBdr>
                  <w:divsChild>
                    <w:div w:id="1425606978">
                      <w:marLeft w:val="0"/>
                      <w:marRight w:val="0"/>
                      <w:marTop w:val="0"/>
                      <w:marBottom w:val="0"/>
                      <w:divBdr>
                        <w:top w:val="none" w:sz="0" w:space="0" w:color="auto"/>
                        <w:left w:val="none" w:sz="0" w:space="0" w:color="auto"/>
                        <w:bottom w:val="none" w:sz="0" w:space="0" w:color="auto"/>
                        <w:right w:val="none" w:sz="0" w:space="0" w:color="auto"/>
                      </w:divBdr>
                    </w:div>
                  </w:divsChild>
                </w:div>
                <w:div w:id="894631943">
                  <w:marLeft w:val="0"/>
                  <w:marRight w:val="0"/>
                  <w:marTop w:val="0"/>
                  <w:marBottom w:val="0"/>
                  <w:divBdr>
                    <w:top w:val="none" w:sz="0" w:space="0" w:color="auto"/>
                    <w:left w:val="none" w:sz="0" w:space="0" w:color="auto"/>
                    <w:bottom w:val="none" w:sz="0" w:space="0" w:color="auto"/>
                    <w:right w:val="none" w:sz="0" w:space="0" w:color="auto"/>
                  </w:divBdr>
                  <w:divsChild>
                    <w:div w:id="830020324">
                      <w:marLeft w:val="0"/>
                      <w:marRight w:val="0"/>
                      <w:marTop w:val="0"/>
                      <w:marBottom w:val="0"/>
                      <w:divBdr>
                        <w:top w:val="none" w:sz="0" w:space="0" w:color="auto"/>
                        <w:left w:val="none" w:sz="0" w:space="0" w:color="auto"/>
                        <w:bottom w:val="none" w:sz="0" w:space="0" w:color="auto"/>
                        <w:right w:val="none" w:sz="0" w:space="0" w:color="auto"/>
                      </w:divBdr>
                    </w:div>
                  </w:divsChild>
                </w:div>
                <w:div w:id="976954434">
                  <w:marLeft w:val="0"/>
                  <w:marRight w:val="0"/>
                  <w:marTop w:val="0"/>
                  <w:marBottom w:val="0"/>
                  <w:divBdr>
                    <w:top w:val="none" w:sz="0" w:space="0" w:color="auto"/>
                    <w:left w:val="none" w:sz="0" w:space="0" w:color="auto"/>
                    <w:bottom w:val="none" w:sz="0" w:space="0" w:color="auto"/>
                    <w:right w:val="none" w:sz="0" w:space="0" w:color="auto"/>
                  </w:divBdr>
                  <w:divsChild>
                    <w:div w:id="395397830">
                      <w:marLeft w:val="0"/>
                      <w:marRight w:val="0"/>
                      <w:marTop w:val="0"/>
                      <w:marBottom w:val="0"/>
                      <w:divBdr>
                        <w:top w:val="none" w:sz="0" w:space="0" w:color="auto"/>
                        <w:left w:val="none" w:sz="0" w:space="0" w:color="auto"/>
                        <w:bottom w:val="none" w:sz="0" w:space="0" w:color="auto"/>
                        <w:right w:val="none" w:sz="0" w:space="0" w:color="auto"/>
                      </w:divBdr>
                    </w:div>
                  </w:divsChild>
                </w:div>
                <w:div w:id="1153334014">
                  <w:marLeft w:val="0"/>
                  <w:marRight w:val="0"/>
                  <w:marTop w:val="0"/>
                  <w:marBottom w:val="0"/>
                  <w:divBdr>
                    <w:top w:val="none" w:sz="0" w:space="0" w:color="auto"/>
                    <w:left w:val="none" w:sz="0" w:space="0" w:color="auto"/>
                    <w:bottom w:val="none" w:sz="0" w:space="0" w:color="auto"/>
                    <w:right w:val="none" w:sz="0" w:space="0" w:color="auto"/>
                  </w:divBdr>
                  <w:divsChild>
                    <w:div w:id="858352192">
                      <w:marLeft w:val="0"/>
                      <w:marRight w:val="0"/>
                      <w:marTop w:val="0"/>
                      <w:marBottom w:val="0"/>
                      <w:divBdr>
                        <w:top w:val="none" w:sz="0" w:space="0" w:color="auto"/>
                        <w:left w:val="none" w:sz="0" w:space="0" w:color="auto"/>
                        <w:bottom w:val="none" w:sz="0" w:space="0" w:color="auto"/>
                        <w:right w:val="none" w:sz="0" w:space="0" w:color="auto"/>
                      </w:divBdr>
                    </w:div>
                  </w:divsChild>
                </w:div>
                <w:div w:id="1169103674">
                  <w:marLeft w:val="0"/>
                  <w:marRight w:val="0"/>
                  <w:marTop w:val="0"/>
                  <w:marBottom w:val="0"/>
                  <w:divBdr>
                    <w:top w:val="none" w:sz="0" w:space="0" w:color="auto"/>
                    <w:left w:val="none" w:sz="0" w:space="0" w:color="auto"/>
                    <w:bottom w:val="none" w:sz="0" w:space="0" w:color="auto"/>
                    <w:right w:val="none" w:sz="0" w:space="0" w:color="auto"/>
                  </w:divBdr>
                  <w:divsChild>
                    <w:div w:id="2038040401">
                      <w:marLeft w:val="0"/>
                      <w:marRight w:val="0"/>
                      <w:marTop w:val="0"/>
                      <w:marBottom w:val="0"/>
                      <w:divBdr>
                        <w:top w:val="none" w:sz="0" w:space="0" w:color="auto"/>
                        <w:left w:val="none" w:sz="0" w:space="0" w:color="auto"/>
                        <w:bottom w:val="none" w:sz="0" w:space="0" w:color="auto"/>
                        <w:right w:val="none" w:sz="0" w:space="0" w:color="auto"/>
                      </w:divBdr>
                    </w:div>
                  </w:divsChild>
                </w:div>
                <w:div w:id="1277442844">
                  <w:marLeft w:val="0"/>
                  <w:marRight w:val="0"/>
                  <w:marTop w:val="0"/>
                  <w:marBottom w:val="0"/>
                  <w:divBdr>
                    <w:top w:val="none" w:sz="0" w:space="0" w:color="auto"/>
                    <w:left w:val="none" w:sz="0" w:space="0" w:color="auto"/>
                    <w:bottom w:val="none" w:sz="0" w:space="0" w:color="auto"/>
                    <w:right w:val="none" w:sz="0" w:space="0" w:color="auto"/>
                  </w:divBdr>
                  <w:divsChild>
                    <w:div w:id="261888387">
                      <w:marLeft w:val="0"/>
                      <w:marRight w:val="0"/>
                      <w:marTop w:val="0"/>
                      <w:marBottom w:val="0"/>
                      <w:divBdr>
                        <w:top w:val="none" w:sz="0" w:space="0" w:color="auto"/>
                        <w:left w:val="none" w:sz="0" w:space="0" w:color="auto"/>
                        <w:bottom w:val="none" w:sz="0" w:space="0" w:color="auto"/>
                        <w:right w:val="none" w:sz="0" w:space="0" w:color="auto"/>
                      </w:divBdr>
                    </w:div>
                  </w:divsChild>
                </w:div>
                <w:div w:id="1451437402">
                  <w:marLeft w:val="0"/>
                  <w:marRight w:val="0"/>
                  <w:marTop w:val="0"/>
                  <w:marBottom w:val="0"/>
                  <w:divBdr>
                    <w:top w:val="none" w:sz="0" w:space="0" w:color="auto"/>
                    <w:left w:val="none" w:sz="0" w:space="0" w:color="auto"/>
                    <w:bottom w:val="none" w:sz="0" w:space="0" w:color="auto"/>
                    <w:right w:val="none" w:sz="0" w:space="0" w:color="auto"/>
                  </w:divBdr>
                  <w:divsChild>
                    <w:div w:id="1153645618">
                      <w:marLeft w:val="0"/>
                      <w:marRight w:val="0"/>
                      <w:marTop w:val="0"/>
                      <w:marBottom w:val="0"/>
                      <w:divBdr>
                        <w:top w:val="none" w:sz="0" w:space="0" w:color="auto"/>
                        <w:left w:val="none" w:sz="0" w:space="0" w:color="auto"/>
                        <w:bottom w:val="none" w:sz="0" w:space="0" w:color="auto"/>
                        <w:right w:val="none" w:sz="0" w:space="0" w:color="auto"/>
                      </w:divBdr>
                    </w:div>
                  </w:divsChild>
                </w:div>
                <w:div w:id="1712533814">
                  <w:marLeft w:val="0"/>
                  <w:marRight w:val="0"/>
                  <w:marTop w:val="0"/>
                  <w:marBottom w:val="0"/>
                  <w:divBdr>
                    <w:top w:val="none" w:sz="0" w:space="0" w:color="auto"/>
                    <w:left w:val="none" w:sz="0" w:space="0" w:color="auto"/>
                    <w:bottom w:val="none" w:sz="0" w:space="0" w:color="auto"/>
                    <w:right w:val="none" w:sz="0" w:space="0" w:color="auto"/>
                  </w:divBdr>
                  <w:divsChild>
                    <w:div w:id="39209038">
                      <w:marLeft w:val="0"/>
                      <w:marRight w:val="0"/>
                      <w:marTop w:val="0"/>
                      <w:marBottom w:val="0"/>
                      <w:divBdr>
                        <w:top w:val="none" w:sz="0" w:space="0" w:color="auto"/>
                        <w:left w:val="none" w:sz="0" w:space="0" w:color="auto"/>
                        <w:bottom w:val="none" w:sz="0" w:space="0" w:color="auto"/>
                        <w:right w:val="none" w:sz="0" w:space="0" w:color="auto"/>
                      </w:divBdr>
                    </w:div>
                  </w:divsChild>
                </w:div>
                <w:div w:id="1769765647">
                  <w:marLeft w:val="0"/>
                  <w:marRight w:val="0"/>
                  <w:marTop w:val="0"/>
                  <w:marBottom w:val="0"/>
                  <w:divBdr>
                    <w:top w:val="none" w:sz="0" w:space="0" w:color="auto"/>
                    <w:left w:val="none" w:sz="0" w:space="0" w:color="auto"/>
                    <w:bottom w:val="none" w:sz="0" w:space="0" w:color="auto"/>
                    <w:right w:val="none" w:sz="0" w:space="0" w:color="auto"/>
                  </w:divBdr>
                  <w:divsChild>
                    <w:div w:id="1992977241">
                      <w:marLeft w:val="0"/>
                      <w:marRight w:val="0"/>
                      <w:marTop w:val="0"/>
                      <w:marBottom w:val="0"/>
                      <w:divBdr>
                        <w:top w:val="none" w:sz="0" w:space="0" w:color="auto"/>
                        <w:left w:val="none" w:sz="0" w:space="0" w:color="auto"/>
                        <w:bottom w:val="none" w:sz="0" w:space="0" w:color="auto"/>
                        <w:right w:val="none" w:sz="0" w:space="0" w:color="auto"/>
                      </w:divBdr>
                    </w:div>
                  </w:divsChild>
                </w:div>
                <w:div w:id="1797526156">
                  <w:marLeft w:val="0"/>
                  <w:marRight w:val="0"/>
                  <w:marTop w:val="0"/>
                  <w:marBottom w:val="0"/>
                  <w:divBdr>
                    <w:top w:val="none" w:sz="0" w:space="0" w:color="auto"/>
                    <w:left w:val="none" w:sz="0" w:space="0" w:color="auto"/>
                    <w:bottom w:val="none" w:sz="0" w:space="0" w:color="auto"/>
                    <w:right w:val="none" w:sz="0" w:space="0" w:color="auto"/>
                  </w:divBdr>
                  <w:divsChild>
                    <w:div w:id="625507076">
                      <w:marLeft w:val="0"/>
                      <w:marRight w:val="0"/>
                      <w:marTop w:val="0"/>
                      <w:marBottom w:val="0"/>
                      <w:divBdr>
                        <w:top w:val="none" w:sz="0" w:space="0" w:color="auto"/>
                        <w:left w:val="none" w:sz="0" w:space="0" w:color="auto"/>
                        <w:bottom w:val="none" w:sz="0" w:space="0" w:color="auto"/>
                        <w:right w:val="none" w:sz="0" w:space="0" w:color="auto"/>
                      </w:divBdr>
                    </w:div>
                  </w:divsChild>
                </w:div>
                <w:div w:id="1861894759">
                  <w:marLeft w:val="0"/>
                  <w:marRight w:val="0"/>
                  <w:marTop w:val="0"/>
                  <w:marBottom w:val="0"/>
                  <w:divBdr>
                    <w:top w:val="none" w:sz="0" w:space="0" w:color="auto"/>
                    <w:left w:val="none" w:sz="0" w:space="0" w:color="auto"/>
                    <w:bottom w:val="none" w:sz="0" w:space="0" w:color="auto"/>
                    <w:right w:val="none" w:sz="0" w:space="0" w:color="auto"/>
                  </w:divBdr>
                  <w:divsChild>
                    <w:div w:id="4200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68680">
          <w:marLeft w:val="0"/>
          <w:marRight w:val="0"/>
          <w:marTop w:val="0"/>
          <w:marBottom w:val="0"/>
          <w:divBdr>
            <w:top w:val="none" w:sz="0" w:space="0" w:color="auto"/>
            <w:left w:val="none" w:sz="0" w:space="0" w:color="auto"/>
            <w:bottom w:val="none" w:sz="0" w:space="0" w:color="auto"/>
            <w:right w:val="none" w:sz="0" w:space="0" w:color="auto"/>
          </w:divBdr>
        </w:div>
      </w:divsChild>
    </w:div>
    <w:div w:id="73003426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4017257">
      <w:bodyDiv w:val="1"/>
      <w:marLeft w:val="0"/>
      <w:marRight w:val="0"/>
      <w:marTop w:val="0"/>
      <w:marBottom w:val="0"/>
      <w:divBdr>
        <w:top w:val="none" w:sz="0" w:space="0" w:color="auto"/>
        <w:left w:val="none" w:sz="0" w:space="0" w:color="auto"/>
        <w:bottom w:val="none" w:sz="0" w:space="0" w:color="auto"/>
        <w:right w:val="none" w:sz="0" w:space="0" w:color="auto"/>
      </w:divBdr>
    </w:div>
    <w:div w:id="771556601">
      <w:bodyDiv w:val="1"/>
      <w:marLeft w:val="0"/>
      <w:marRight w:val="0"/>
      <w:marTop w:val="0"/>
      <w:marBottom w:val="0"/>
      <w:divBdr>
        <w:top w:val="none" w:sz="0" w:space="0" w:color="auto"/>
        <w:left w:val="none" w:sz="0" w:space="0" w:color="auto"/>
        <w:bottom w:val="none" w:sz="0" w:space="0" w:color="auto"/>
        <w:right w:val="none" w:sz="0" w:space="0" w:color="auto"/>
      </w:divBdr>
      <w:divsChild>
        <w:div w:id="27269327">
          <w:marLeft w:val="0"/>
          <w:marRight w:val="0"/>
          <w:marTop w:val="0"/>
          <w:marBottom w:val="0"/>
          <w:divBdr>
            <w:top w:val="none" w:sz="0" w:space="0" w:color="auto"/>
            <w:left w:val="none" w:sz="0" w:space="0" w:color="auto"/>
            <w:bottom w:val="none" w:sz="0" w:space="0" w:color="auto"/>
            <w:right w:val="none" w:sz="0" w:space="0" w:color="auto"/>
          </w:divBdr>
        </w:div>
        <w:div w:id="1156218206">
          <w:marLeft w:val="0"/>
          <w:marRight w:val="0"/>
          <w:marTop w:val="0"/>
          <w:marBottom w:val="0"/>
          <w:divBdr>
            <w:top w:val="none" w:sz="0" w:space="0" w:color="auto"/>
            <w:left w:val="none" w:sz="0" w:space="0" w:color="auto"/>
            <w:bottom w:val="none" w:sz="0" w:space="0" w:color="auto"/>
            <w:right w:val="none" w:sz="0" w:space="0" w:color="auto"/>
          </w:divBdr>
        </w:div>
      </w:divsChild>
    </w:div>
    <w:div w:id="775179250">
      <w:bodyDiv w:val="1"/>
      <w:marLeft w:val="0"/>
      <w:marRight w:val="0"/>
      <w:marTop w:val="0"/>
      <w:marBottom w:val="0"/>
      <w:divBdr>
        <w:top w:val="none" w:sz="0" w:space="0" w:color="auto"/>
        <w:left w:val="none" w:sz="0" w:space="0" w:color="auto"/>
        <w:bottom w:val="none" w:sz="0" w:space="0" w:color="auto"/>
        <w:right w:val="none" w:sz="0" w:space="0" w:color="auto"/>
      </w:divBdr>
    </w:div>
    <w:div w:id="801922441">
      <w:bodyDiv w:val="1"/>
      <w:marLeft w:val="0"/>
      <w:marRight w:val="0"/>
      <w:marTop w:val="0"/>
      <w:marBottom w:val="0"/>
      <w:divBdr>
        <w:top w:val="none" w:sz="0" w:space="0" w:color="auto"/>
        <w:left w:val="none" w:sz="0" w:space="0" w:color="auto"/>
        <w:bottom w:val="none" w:sz="0" w:space="0" w:color="auto"/>
        <w:right w:val="none" w:sz="0" w:space="0" w:color="auto"/>
      </w:divBdr>
    </w:div>
    <w:div w:id="809634216">
      <w:bodyDiv w:val="1"/>
      <w:marLeft w:val="0"/>
      <w:marRight w:val="0"/>
      <w:marTop w:val="0"/>
      <w:marBottom w:val="0"/>
      <w:divBdr>
        <w:top w:val="none" w:sz="0" w:space="0" w:color="auto"/>
        <w:left w:val="none" w:sz="0" w:space="0" w:color="auto"/>
        <w:bottom w:val="none" w:sz="0" w:space="0" w:color="auto"/>
        <w:right w:val="none" w:sz="0" w:space="0" w:color="auto"/>
      </w:divBdr>
      <w:divsChild>
        <w:div w:id="1197737912">
          <w:marLeft w:val="0"/>
          <w:marRight w:val="0"/>
          <w:marTop w:val="0"/>
          <w:marBottom w:val="0"/>
          <w:divBdr>
            <w:top w:val="none" w:sz="0" w:space="0" w:color="auto"/>
            <w:left w:val="none" w:sz="0" w:space="0" w:color="auto"/>
            <w:bottom w:val="none" w:sz="0" w:space="0" w:color="auto"/>
            <w:right w:val="none" w:sz="0" w:space="0" w:color="auto"/>
          </w:divBdr>
          <w:divsChild>
            <w:div w:id="1206797695">
              <w:marLeft w:val="0"/>
              <w:marRight w:val="0"/>
              <w:marTop w:val="0"/>
              <w:marBottom w:val="0"/>
              <w:divBdr>
                <w:top w:val="none" w:sz="0" w:space="0" w:color="auto"/>
                <w:left w:val="none" w:sz="0" w:space="0" w:color="auto"/>
                <w:bottom w:val="none" w:sz="0" w:space="0" w:color="auto"/>
                <w:right w:val="none" w:sz="0" w:space="0" w:color="auto"/>
              </w:divBdr>
            </w:div>
            <w:div w:id="1487012099">
              <w:marLeft w:val="0"/>
              <w:marRight w:val="0"/>
              <w:marTop w:val="0"/>
              <w:marBottom w:val="0"/>
              <w:divBdr>
                <w:top w:val="none" w:sz="0" w:space="0" w:color="auto"/>
                <w:left w:val="none" w:sz="0" w:space="0" w:color="auto"/>
                <w:bottom w:val="none" w:sz="0" w:space="0" w:color="auto"/>
                <w:right w:val="none" w:sz="0" w:space="0" w:color="auto"/>
              </w:divBdr>
            </w:div>
          </w:divsChild>
        </w:div>
        <w:div w:id="1700081085">
          <w:marLeft w:val="0"/>
          <w:marRight w:val="0"/>
          <w:marTop w:val="0"/>
          <w:marBottom w:val="0"/>
          <w:divBdr>
            <w:top w:val="none" w:sz="0" w:space="0" w:color="auto"/>
            <w:left w:val="none" w:sz="0" w:space="0" w:color="auto"/>
            <w:bottom w:val="none" w:sz="0" w:space="0" w:color="auto"/>
            <w:right w:val="none" w:sz="0" w:space="0" w:color="auto"/>
          </w:divBdr>
          <w:divsChild>
            <w:div w:id="106629123">
              <w:marLeft w:val="0"/>
              <w:marRight w:val="0"/>
              <w:marTop w:val="0"/>
              <w:marBottom w:val="0"/>
              <w:divBdr>
                <w:top w:val="none" w:sz="0" w:space="0" w:color="auto"/>
                <w:left w:val="none" w:sz="0" w:space="0" w:color="auto"/>
                <w:bottom w:val="none" w:sz="0" w:space="0" w:color="auto"/>
                <w:right w:val="none" w:sz="0" w:space="0" w:color="auto"/>
              </w:divBdr>
            </w:div>
            <w:div w:id="340202454">
              <w:marLeft w:val="0"/>
              <w:marRight w:val="0"/>
              <w:marTop w:val="0"/>
              <w:marBottom w:val="0"/>
              <w:divBdr>
                <w:top w:val="none" w:sz="0" w:space="0" w:color="auto"/>
                <w:left w:val="none" w:sz="0" w:space="0" w:color="auto"/>
                <w:bottom w:val="none" w:sz="0" w:space="0" w:color="auto"/>
                <w:right w:val="none" w:sz="0" w:space="0" w:color="auto"/>
              </w:divBdr>
            </w:div>
            <w:div w:id="646010954">
              <w:marLeft w:val="0"/>
              <w:marRight w:val="0"/>
              <w:marTop w:val="0"/>
              <w:marBottom w:val="0"/>
              <w:divBdr>
                <w:top w:val="none" w:sz="0" w:space="0" w:color="auto"/>
                <w:left w:val="none" w:sz="0" w:space="0" w:color="auto"/>
                <w:bottom w:val="none" w:sz="0" w:space="0" w:color="auto"/>
                <w:right w:val="none" w:sz="0" w:space="0" w:color="auto"/>
              </w:divBdr>
            </w:div>
            <w:div w:id="1058044215">
              <w:marLeft w:val="0"/>
              <w:marRight w:val="0"/>
              <w:marTop w:val="0"/>
              <w:marBottom w:val="0"/>
              <w:divBdr>
                <w:top w:val="none" w:sz="0" w:space="0" w:color="auto"/>
                <w:left w:val="none" w:sz="0" w:space="0" w:color="auto"/>
                <w:bottom w:val="none" w:sz="0" w:space="0" w:color="auto"/>
                <w:right w:val="none" w:sz="0" w:space="0" w:color="auto"/>
              </w:divBdr>
            </w:div>
            <w:div w:id="1115641276">
              <w:marLeft w:val="0"/>
              <w:marRight w:val="0"/>
              <w:marTop w:val="0"/>
              <w:marBottom w:val="0"/>
              <w:divBdr>
                <w:top w:val="none" w:sz="0" w:space="0" w:color="auto"/>
                <w:left w:val="none" w:sz="0" w:space="0" w:color="auto"/>
                <w:bottom w:val="none" w:sz="0" w:space="0" w:color="auto"/>
                <w:right w:val="none" w:sz="0" w:space="0" w:color="auto"/>
              </w:divBdr>
            </w:div>
            <w:div w:id="1237789400">
              <w:marLeft w:val="0"/>
              <w:marRight w:val="0"/>
              <w:marTop w:val="0"/>
              <w:marBottom w:val="0"/>
              <w:divBdr>
                <w:top w:val="none" w:sz="0" w:space="0" w:color="auto"/>
                <w:left w:val="none" w:sz="0" w:space="0" w:color="auto"/>
                <w:bottom w:val="none" w:sz="0" w:space="0" w:color="auto"/>
                <w:right w:val="none" w:sz="0" w:space="0" w:color="auto"/>
              </w:divBdr>
            </w:div>
            <w:div w:id="1378433623">
              <w:marLeft w:val="0"/>
              <w:marRight w:val="0"/>
              <w:marTop w:val="0"/>
              <w:marBottom w:val="0"/>
              <w:divBdr>
                <w:top w:val="none" w:sz="0" w:space="0" w:color="auto"/>
                <w:left w:val="none" w:sz="0" w:space="0" w:color="auto"/>
                <w:bottom w:val="none" w:sz="0" w:space="0" w:color="auto"/>
                <w:right w:val="none" w:sz="0" w:space="0" w:color="auto"/>
              </w:divBdr>
            </w:div>
            <w:div w:id="1800025579">
              <w:marLeft w:val="0"/>
              <w:marRight w:val="0"/>
              <w:marTop w:val="0"/>
              <w:marBottom w:val="0"/>
              <w:divBdr>
                <w:top w:val="none" w:sz="0" w:space="0" w:color="auto"/>
                <w:left w:val="none" w:sz="0" w:space="0" w:color="auto"/>
                <w:bottom w:val="none" w:sz="0" w:space="0" w:color="auto"/>
                <w:right w:val="none" w:sz="0" w:space="0" w:color="auto"/>
              </w:divBdr>
            </w:div>
            <w:div w:id="1937404275">
              <w:marLeft w:val="0"/>
              <w:marRight w:val="0"/>
              <w:marTop w:val="0"/>
              <w:marBottom w:val="0"/>
              <w:divBdr>
                <w:top w:val="none" w:sz="0" w:space="0" w:color="auto"/>
                <w:left w:val="none" w:sz="0" w:space="0" w:color="auto"/>
                <w:bottom w:val="none" w:sz="0" w:space="0" w:color="auto"/>
                <w:right w:val="none" w:sz="0" w:space="0" w:color="auto"/>
              </w:divBdr>
            </w:div>
            <w:div w:id="20740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8816">
      <w:bodyDiv w:val="1"/>
      <w:marLeft w:val="0"/>
      <w:marRight w:val="0"/>
      <w:marTop w:val="0"/>
      <w:marBottom w:val="0"/>
      <w:divBdr>
        <w:top w:val="none" w:sz="0" w:space="0" w:color="auto"/>
        <w:left w:val="none" w:sz="0" w:space="0" w:color="auto"/>
        <w:bottom w:val="none" w:sz="0" w:space="0" w:color="auto"/>
        <w:right w:val="none" w:sz="0" w:space="0" w:color="auto"/>
      </w:divBdr>
    </w:div>
    <w:div w:id="849105561">
      <w:bodyDiv w:val="1"/>
      <w:marLeft w:val="0"/>
      <w:marRight w:val="0"/>
      <w:marTop w:val="0"/>
      <w:marBottom w:val="0"/>
      <w:divBdr>
        <w:top w:val="none" w:sz="0" w:space="0" w:color="auto"/>
        <w:left w:val="none" w:sz="0" w:space="0" w:color="auto"/>
        <w:bottom w:val="none" w:sz="0" w:space="0" w:color="auto"/>
        <w:right w:val="none" w:sz="0" w:space="0" w:color="auto"/>
      </w:divBdr>
    </w:div>
    <w:div w:id="874973325">
      <w:bodyDiv w:val="1"/>
      <w:marLeft w:val="0"/>
      <w:marRight w:val="0"/>
      <w:marTop w:val="0"/>
      <w:marBottom w:val="0"/>
      <w:divBdr>
        <w:top w:val="none" w:sz="0" w:space="0" w:color="auto"/>
        <w:left w:val="none" w:sz="0" w:space="0" w:color="auto"/>
        <w:bottom w:val="none" w:sz="0" w:space="0" w:color="auto"/>
        <w:right w:val="none" w:sz="0" w:space="0" w:color="auto"/>
      </w:divBdr>
    </w:div>
    <w:div w:id="902327286">
      <w:bodyDiv w:val="1"/>
      <w:marLeft w:val="0"/>
      <w:marRight w:val="0"/>
      <w:marTop w:val="0"/>
      <w:marBottom w:val="0"/>
      <w:divBdr>
        <w:top w:val="none" w:sz="0" w:space="0" w:color="auto"/>
        <w:left w:val="none" w:sz="0" w:space="0" w:color="auto"/>
        <w:bottom w:val="none" w:sz="0" w:space="0" w:color="auto"/>
        <w:right w:val="none" w:sz="0" w:space="0" w:color="auto"/>
      </w:divBdr>
    </w:div>
    <w:div w:id="919751642">
      <w:bodyDiv w:val="1"/>
      <w:marLeft w:val="0"/>
      <w:marRight w:val="0"/>
      <w:marTop w:val="0"/>
      <w:marBottom w:val="0"/>
      <w:divBdr>
        <w:top w:val="none" w:sz="0" w:space="0" w:color="auto"/>
        <w:left w:val="none" w:sz="0" w:space="0" w:color="auto"/>
        <w:bottom w:val="none" w:sz="0" w:space="0" w:color="auto"/>
        <w:right w:val="none" w:sz="0" w:space="0" w:color="auto"/>
      </w:divBdr>
    </w:div>
    <w:div w:id="963000111">
      <w:bodyDiv w:val="1"/>
      <w:marLeft w:val="0"/>
      <w:marRight w:val="0"/>
      <w:marTop w:val="0"/>
      <w:marBottom w:val="0"/>
      <w:divBdr>
        <w:top w:val="none" w:sz="0" w:space="0" w:color="auto"/>
        <w:left w:val="none" w:sz="0" w:space="0" w:color="auto"/>
        <w:bottom w:val="none" w:sz="0" w:space="0" w:color="auto"/>
        <w:right w:val="none" w:sz="0" w:space="0" w:color="auto"/>
      </w:divBdr>
    </w:div>
    <w:div w:id="976034524">
      <w:bodyDiv w:val="1"/>
      <w:marLeft w:val="0"/>
      <w:marRight w:val="0"/>
      <w:marTop w:val="0"/>
      <w:marBottom w:val="0"/>
      <w:divBdr>
        <w:top w:val="none" w:sz="0" w:space="0" w:color="auto"/>
        <w:left w:val="none" w:sz="0" w:space="0" w:color="auto"/>
        <w:bottom w:val="none" w:sz="0" w:space="0" w:color="auto"/>
        <w:right w:val="none" w:sz="0" w:space="0" w:color="auto"/>
      </w:divBdr>
      <w:divsChild>
        <w:div w:id="34477113">
          <w:marLeft w:val="0"/>
          <w:marRight w:val="0"/>
          <w:marTop w:val="0"/>
          <w:marBottom w:val="0"/>
          <w:divBdr>
            <w:top w:val="none" w:sz="0" w:space="0" w:color="auto"/>
            <w:left w:val="none" w:sz="0" w:space="0" w:color="auto"/>
            <w:bottom w:val="none" w:sz="0" w:space="0" w:color="auto"/>
            <w:right w:val="none" w:sz="0" w:space="0" w:color="auto"/>
          </w:divBdr>
          <w:divsChild>
            <w:div w:id="617027862">
              <w:marLeft w:val="0"/>
              <w:marRight w:val="0"/>
              <w:marTop w:val="0"/>
              <w:marBottom w:val="0"/>
              <w:divBdr>
                <w:top w:val="none" w:sz="0" w:space="0" w:color="auto"/>
                <w:left w:val="none" w:sz="0" w:space="0" w:color="auto"/>
                <w:bottom w:val="none" w:sz="0" w:space="0" w:color="auto"/>
                <w:right w:val="none" w:sz="0" w:space="0" w:color="auto"/>
              </w:divBdr>
            </w:div>
          </w:divsChild>
        </w:div>
        <w:div w:id="101532208">
          <w:marLeft w:val="0"/>
          <w:marRight w:val="0"/>
          <w:marTop w:val="0"/>
          <w:marBottom w:val="0"/>
          <w:divBdr>
            <w:top w:val="none" w:sz="0" w:space="0" w:color="auto"/>
            <w:left w:val="none" w:sz="0" w:space="0" w:color="auto"/>
            <w:bottom w:val="none" w:sz="0" w:space="0" w:color="auto"/>
            <w:right w:val="none" w:sz="0" w:space="0" w:color="auto"/>
          </w:divBdr>
          <w:divsChild>
            <w:div w:id="1101992558">
              <w:marLeft w:val="0"/>
              <w:marRight w:val="0"/>
              <w:marTop w:val="0"/>
              <w:marBottom w:val="0"/>
              <w:divBdr>
                <w:top w:val="none" w:sz="0" w:space="0" w:color="auto"/>
                <w:left w:val="none" w:sz="0" w:space="0" w:color="auto"/>
                <w:bottom w:val="none" w:sz="0" w:space="0" w:color="auto"/>
                <w:right w:val="none" w:sz="0" w:space="0" w:color="auto"/>
              </w:divBdr>
            </w:div>
          </w:divsChild>
        </w:div>
        <w:div w:id="268516421">
          <w:marLeft w:val="0"/>
          <w:marRight w:val="0"/>
          <w:marTop w:val="0"/>
          <w:marBottom w:val="0"/>
          <w:divBdr>
            <w:top w:val="none" w:sz="0" w:space="0" w:color="auto"/>
            <w:left w:val="none" w:sz="0" w:space="0" w:color="auto"/>
            <w:bottom w:val="none" w:sz="0" w:space="0" w:color="auto"/>
            <w:right w:val="none" w:sz="0" w:space="0" w:color="auto"/>
          </w:divBdr>
          <w:divsChild>
            <w:div w:id="596059005">
              <w:marLeft w:val="0"/>
              <w:marRight w:val="0"/>
              <w:marTop w:val="0"/>
              <w:marBottom w:val="0"/>
              <w:divBdr>
                <w:top w:val="none" w:sz="0" w:space="0" w:color="auto"/>
                <w:left w:val="none" w:sz="0" w:space="0" w:color="auto"/>
                <w:bottom w:val="none" w:sz="0" w:space="0" w:color="auto"/>
                <w:right w:val="none" w:sz="0" w:space="0" w:color="auto"/>
              </w:divBdr>
            </w:div>
          </w:divsChild>
        </w:div>
        <w:div w:id="370499822">
          <w:marLeft w:val="0"/>
          <w:marRight w:val="0"/>
          <w:marTop w:val="0"/>
          <w:marBottom w:val="0"/>
          <w:divBdr>
            <w:top w:val="none" w:sz="0" w:space="0" w:color="auto"/>
            <w:left w:val="none" w:sz="0" w:space="0" w:color="auto"/>
            <w:bottom w:val="none" w:sz="0" w:space="0" w:color="auto"/>
            <w:right w:val="none" w:sz="0" w:space="0" w:color="auto"/>
          </w:divBdr>
          <w:divsChild>
            <w:div w:id="1194735373">
              <w:marLeft w:val="0"/>
              <w:marRight w:val="0"/>
              <w:marTop w:val="0"/>
              <w:marBottom w:val="0"/>
              <w:divBdr>
                <w:top w:val="none" w:sz="0" w:space="0" w:color="auto"/>
                <w:left w:val="none" w:sz="0" w:space="0" w:color="auto"/>
                <w:bottom w:val="none" w:sz="0" w:space="0" w:color="auto"/>
                <w:right w:val="none" w:sz="0" w:space="0" w:color="auto"/>
              </w:divBdr>
            </w:div>
          </w:divsChild>
        </w:div>
        <w:div w:id="437679074">
          <w:marLeft w:val="0"/>
          <w:marRight w:val="0"/>
          <w:marTop w:val="0"/>
          <w:marBottom w:val="0"/>
          <w:divBdr>
            <w:top w:val="none" w:sz="0" w:space="0" w:color="auto"/>
            <w:left w:val="none" w:sz="0" w:space="0" w:color="auto"/>
            <w:bottom w:val="none" w:sz="0" w:space="0" w:color="auto"/>
            <w:right w:val="none" w:sz="0" w:space="0" w:color="auto"/>
          </w:divBdr>
          <w:divsChild>
            <w:div w:id="1667321939">
              <w:marLeft w:val="0"/>
              <w:marRight w:val="0"/>
              <w:marTop w:val="0"/>
              <w:marBottom w:val="0"/>
              <w:divBdr>
                <w:top w:val="none" w:sz="0" w:space="0" w:color="auto"/>
                <w:left w:val="none" w:sz="0" w:space="0" w:color="auto"/>
                <w:bottom w:val="none" w:sz="0" w:space="0" w:color="auto"/>
                <w:right w:val="none" w:sz="0" w:space="0" w:color="auto"/>
              </w:divBdr>
            </w:div>
          </w:divsChild>
        </w:div>
        <w:div w:id="587691201">
          <w:marLeft w:val="0"/>
          <w:marRight w:val="0"/>
          <w:marTop w:val="0"/>
          <w:marBottom w:val="0"/>
          <w:divBdr>
            <w:top w:val="none" w:sz="0" w:space="0" w:color="auto"/>
            <w:left w:val="none" w:sz="0" w:space="0" w:color="auto"/>
            <w:bottom w:val="none" w:sz="0" w:space="0" w:color="auto"/>
            <w:right w:val="none" w:sz="0" w:space="0" w:color="auto"/>
          </w:divBdr>
          <w:divsChild>
            <w:div w:id="1916281135">
              <w:marLeft w:val="0"/>
              <w:marRight w:val="0"/>
              <w:marTop w:val="0"/>
              <w:marBottom w:val="0"/>
              <w:divBdr>
                <w:top w:val="none" w:sz="0" w:space="0" w:color="auto"/>
                <w:left w:val="none" w:sz="0" w:space="0" w:color="auto"/>
                <w:bottom w:val="none" w:sz="0" w:space="0" w:color="auto"/>
                <w:right w:val="none" w:sz="0" w:space="0" w:color="auto"/>
              </w:divBdr>
            </w:div>
          </w:divsChild>
        </w:div>
        <w:div w:id="628322544">
          <w:marLeft w:val="0"/>
          <w:marRight w:val="0"/>
          <w:marTop w:val="0"/>
          <w:marBottom w:val="0"/>
          <w:divBdr>
            <w:top w:val="none" w:sz="0" w:space="0" w:color="auto"/>
            <w:left w:val="none" w:sz="0" w:space="0" w:color="auto"/>
            <w:bottom w:val="none" w:sz="0" w:space="0" w:color="auto"/>
            <w:right w:val="none" w:sz="0" w:space="0" w:color="auto"/>
          </w:divBdr>
          <w:divsChild>
            <w:div w:id="1067846024">
              <w:marLeft w:val="0"/>
              <w:marRight w:val="0"/>
              <w:marTop w:val="0"/>
              <w:marBottom w:val="0"/>
              <w:divBdr>
                <w:top w:val="none" w:sz="0" w:space="0" w:color="auto"/>
                <w:left w:val="none" w:sz="0" w:space="0" w:color="auto"/>
                <w:bottom w:val="none" w:sz="0" w:space="0" w:color="auto"/>
                <w:right w:val="none" w:sz="0" w:space="0" w:color="auto"/>
              </w:divBdr>
            </w:div>
          </w:divsChild>
        </w:div>
        <w:div w:id="719671605">
          <w:marLeft w:val="0"/>
          <w:marRight w:val="0"/>
          <w:marTop w:val="0"/>
          <w:marBottom w:val="0"/>
          <w:divBdr>
            <w:top w:val="none" w:sz="0" w:space="0" w:color="auto"/>
            <w:left w:val="none" w:sz="0" w:space="0" w:color="auto"/>
            <w:bottom w:val="none" w:sz="0" w:space="0" w:color="auto"/>
            <w:right w:val="none" w:sz="0" w:space="0" w:color="auto"/>
          </w:divBdr>
          <w:divsChild>
            <w:div w:id="910123112">
              <w:marLeft w:val="0"/>
              <w:marRight w:val="0"/>
              <w:marTop w:val="0"/>
              <w:marBottom w:val="0"/>
              <w:divBdr>
                <w:top w:val="none" w:sz="0" w:space="0" w:color="auto"/>
                <w:left w:val="none" w:sz="0" w:space="0" w:color="auto"/>
                <w:bottom w:val="none" w:sz="0" w:space="0" w:color="auto"/>
                <w:right w:val="none" w:sz="0" w:space="0" w:color="auto"/>
              </w:divBdr>
            </w:div>
          </w:divsChild>
        </w:div>
        <w:div w:id="726881112">
          <w:marLeft w:val="0"/>
          <w:marRight w:val="0"/>
          <w:marTop w:val="0"/>
          <w:marBottom w:val="0"/>
          <w:divBdr>
            <w:top w:val="none" w:sz="0" w:space="0" w:color="auto"/>
            <w:left w:val="none" w:sz="0" w:space="0" w:color="auto"/>
            <w:bottom w:val="none" w:sz="0" w:space="0" w:color="auto"/>
            <w:right w:val="none" w:sz="0" w:space="0" w:color="auto"/>
          </w:divBdr>
          <w:divsChild>
            <w:div w:id="895162948">
              <w:marLeft w:val="0"/>
              <w:marRight w:val="0"/>
              <w:marTop w:val="0"/>
              <w:marBottom w:val="0"/>
              <w:divBdr>
                <w:top w:val="none" w:sz="0" w:space="0" w:color="auto"/>
                <w:left w:val="none" w:sz="0" w:space="0" w:color="auto"/>
                <w:bottom w:val="none" w:sz="0" w:space="0" w:color="auto"/>
                <w:right w:val="none" w:sz="0" w:space="0" w:color="auto"/>
              </w:divBdr>
            </w:div>
          </w:divsChild>
        </w:div>
        <w:div w:id="853567328">
          <w:marLeft w:val="0"/>
          <w:marRight w:val="0"/>
          <w:marTop w:val="0"/>
          <w:marBottom w:val="0"/>
          <w:divBdr>
            <w:top w:val="none" w:sz="0" w:space="0" w:color="auto"/>
            <w:left w:val="none" w:sz="0" w:space="0" w:color="auto"/>
            <w:bottom w:val="none" w:sz="0" w:space="0" w:color="auto"/>
            <w:right w:val="none" w:sz="0" w:space="0" w:color="auto"/>
          </w:divBdr>
          <w:divsChild>
            <w:div w:id="1046756234">
              <w:marLeft w:val="0"/>
              <w:marRight w:val="0"/>
              <w:marTop w:val="0"/>
              <w:marBottom w:val="0"/>
              <w:divBdr>
                <w:top w:val="none" w:sz="0" w:space="0" w:color="auto"/>
                <w:left w:val="none" w:sz="0" w:space="0" w:color="auto"/>
                <w:bottom w:val="none" w:sz="0" w:space="0" w:color="auto"/>
                <w:right w:val="none" w:sz="0" w:space="0" w:color="auto"/>
              </w:divBdr>
            </w:div>
          </w:divsChild>
        </w:div>
        <w:div w:id="868952752">
          <w:marLeft w:val="0"/>
          <w:marRight w:val="0"/>
          <w:marTop w:val="0"/>
          <w:marBottom w:val="0"/>
          <w:divBdr>
            <w:top w:val="none" w:sz="0" w:space="0" w:color="auto"/>
            <w:left w:val="none" w:sz="0" w:space="0" w:color="auto"/>
            <w:bottom w:val="none" w:sz="0" w:space="0" w:color="auto"/>
            <w:right w:val="none" w:sz="0" w:space="0" w:color="auto"/>
          </w:divBdr>
          <w:divsChild>
            <w:div w:id="1431659074">
              <w:marLeft w:val="0"/>
              <w:marRight w:val="0"/>
              <w:marTop w:val="0"/>
              <w:marBottom w:val="0"/>
              <w:divBdr>
                <w:top w:val="none" w:sz="0" w:space="0" w:color="auto"/>
                <w:left w:val="none" w:sz="0" w:space="0" w:color="auto"/>
                <w:bottom w:val="none" w:sz="0" w:space="0" w:color="auto"/>
                <w:right w:val="none" w:sz="0" w:space="0" w:color="auto"/>
              </w:divBdr>
            </w:div>
          </w:divsChild>
        </w:div>
        <w:div w:id="945233538">
          <w:marLeft w:val="0"/>
          <w:marRight w:val="0"/>
          <w:marTop w:val="0"/>
          <w:marBottom w:val="0"/>
          <w:divBdr>
            <w:top w:val="none" w:sz="0" w:space="0" w:color="auto"/>
            <w:left w:val="none" w:sz="0" w:space="0" w:color="auto"/>
            <w:bottom w:val="none" w:sz="0" w:space="0" w:color="auto"/>
            <w:right w:val="none" w:sz="0" w:space="0" w:color="auto"/>
          </w:divBdr>
          <w:divsChild>
            <w:div w:id="1815368738">
              <w:marLeft w:val="0"/>
              <w:marRight w:val="0"/>
              <w:marTop w:val="0"/>
              <w:marBottom w:val="0"/>
              <w:divBdr>
                <w:top w:val="none" w:sz="0" w:space="0" w:color="auto"/>
                <w:left w:val="none" w:sz="0" w:space="0" w:color="auto"/>
                <w:bottom w:val="none" w:sz="0" w:space="0" w:color="auto"/>
                <w:right w:val="none" w:sz="0" w:space="0" w:color="auto"/>
              </w:divBdr>
            </w:div>
          </w:divsChild>
        </w:div>
        <w:div w:id="1139956340">
          <w:marLeft w:val="0"/>
          <w:marRight w:val="0"/>
          <w:marTop w:val="0"/>
          <w:marBottom w:val="0"/>
          <w:divBdr>
            <w:top w:val="none" w:sz="0" w:space="0" w:color="auto"/>
            <w:left w:val="none" w:sz="0" w:space="0" w:color="auto"/>
            <w:bottom w:val="none" w:sz="0" w:space="0" w:color="auto"/>
            <w:right w:val="none" w:sz="0" w:space="0" w:color="auto"/>
          </w:divBdr>
          <w:divsChild>
            <w:div w:id="1211840524">
              <w:marLeft w:val="0"/>
              <w:marRight w:val="0"/>
              <w:marTop w:val="0"/>
              <w:marBottom w:val="0"/>
              <w:divBdr>
                <w:top w:val="none" w:sz="0" w:space="0" w:color="auto"/>
                <w:left w:val="none" w:sz="0" w:space="0" w:color="auto"/>
                <w:bottom w:val="none" w:sz="0" w:space="0" w:color="auto"/>
                <w:right w:val="none" w:sz="0" w:space="0" w:color="auto"/>
              </w:divBdr>
            </w:div>
          </w:divsChild>
        </w:div>
        <w:div w:id="1255939839">
          <w:marLeft w:val="0"/>
          <w:marRight w:val="0"/>
          <w:marTop w:val="0"/>
          <w:marBottom w:val="0"/>
          <w:divBdr>
            <w:top w:val="none" w:sz="0" w:space="0" w:color="auto"/>
            <w:left w:val="none" w:sz="0" w:space="0" w:color="auto"/>
            <w:bottom w:val="none" w:sz="0" w:space="0" w:color="auto"/>
            <w:right w:val="none" w:sz="0" w:space="0" w:color="auto"/>
          </w:divBdr>
          <w:divsChild>
            <w:div w:id="850098847">
              <w:marLeft w:val="0"/>
              <w:marRight w:val="0"/>
              <w:marTop w:val="0"/>
              <w:marBottom w:val="0"/>
              <w:divBdr>
                <w:top w:val="none" w:sz="0" w:space="0" w:color="auto"/>
                <w:left w:val="none" w:sz="0" w:space="0" w:color="auto"/>
                <w:bottom w:val="none" w:sz="0" w:space="0" w:color="auto"/>
                <w:right w:val="none" w:sz="0" w:space="0" w:color="auto"/>
              </w:divBdr>
            </w:div>
          </w:divsChild>
        </w:div>
        <w:div w:id="1518538277">
          <w:marLeft w:val="0"/>
          <w:marRight w:val="0"/>
          <w:marTop w:val="0"/>
          <w:marBottom w:val="0"/>
          <w:divBdr>
            <w:top w:val="none" w:sz="0" w:space="0" w:color="auto"/>
            <w:left w:val="none" w:sz="0" w:space="0" w:color="auto"/>
            <w:bottom w:val="none" w:sz="0" w:space="0" w:color="auto"/>
            <w:right w:val="none" w:sz="0" w:space="0" w:color="auto"/>
          </w:divBdr>
          <w:divsChild>
            <w:div w:id="257061928">
              <w:marLeft w:val="0"/>
              <w:marRight w:val="0"/>
              <w:marTop w:val="0"/>
              <w:marBottom w:val="0"/>
              <w:divBdr>
                <w:top w:val="none" w:sz="0" w:space="0" w:color="auto"/>
                <w:left w:val="none" w:sz="0" w:space="0" w:color="auto"/>
                <w:bottom w:val="none" w:sz="0" w:space="0" w:color="auto"/>
                <w:right w:val="none" w:sz="0" w:space="0" w:color="auto"/>
              </w:divBdr>
            </w:div>
          </w:divsChild>
        </w:div>
        <w:div w:id="1802309899">
          <w:marLeft w:val="0"/>
          <w:marRight w:val="0"/>
          <w:marTop w:val="0"/>
          <w:marBottom w:val="0"/>
          <w:divBdr>
            <w:top w:val="none" w:sz="0" w:space="0" w:color="auto"/>
            <w:left w:val="none" w:sz="0" w:space="0" w:color="auto"/>
            <w:bottom w:val="none" w:sz="0" w:space="0" w:color="auto"/>
            <w:right w:val="none" w:sz="0" w:space="0" w:color="auto"/>
          </w:divBdr>
          <w:divsChild>
            <w:div w:id="1826581488">
              <w:marLeft w:val="0"/>
              <w:marRight w:val="0"/>
              <w:marTop w:val="0"/>
              <w:marBottom w:val="0"/>
              <w:divBdr>
                <w:top w:val="none" w:sz="0" w:space="0" w:color="auto"/>
                <w:left w:val="none" w:sz="0" w:space="0" w:color="auto"/>
                <w:bottom w:val="none" w:sz="0" w:space="0" w:color="auto"/>
                <w:right w:val="none" w:sz="0" w:space="0" w:color="auto"/>
              </w:divBdr>
            </w:div>
          </w:divsChild>
        </w:div>
        <w:div w:id="1818179806">
          <w:marLeft w:val="0"/>
          <w:marRight w:val="0"/>
          <w:marTop w:val="0"/>
          <w:marBottom w:val="0"/>
          <w:divBdr>
            <w:top w:val="none" w:sz="0" w:space="0" w:color="auto"/>
            <w:left w:val="none" w:sz="0" w:space="0" w:color="auto"/>
            <w:bottom w:val="none" w:sz="0" w:space="0" w:color="auto"/>
            <w:right w:val="none" w:sz="0" w:space="0" w:color="auto"/>
          </w:divBdr>
          <w:divsChild>
            <w:div w:id="270625412">
              <w:marLeft w:val="0"/>
              <w:marRight w:val="0"/>
              <w:marTop w:val="0"/>
              <w:marBottom w:val="0"/>
              <w:divBdr>
                <w:top w:val="none" w:sz="0" w:space="0" w:color="auto"/>
                <w:left w:val="none" w:sz="0" w:space="0" w:color="auto"/>
                <w:bottom w:val="none" w:sz="0" w:space="0" w:color="auto"/>
                <w:right w:val="none" w:sz="0" w:space="0" w:color="auto"/>
              </w:divBdr>
            </w:div>
          </w:divsChild>
        </w:div>
        <w:div w:id="1899973843">
          <w:marLeft w:val="0"/>
          <w:marRight w:val="0"/>
          <w:marTop w:val="0"/>
          <w:marBottom w:val="0"/>
          <w:divBdr>
            <w:top w:val="none" w:sz="0" w:space="0" w:color="auto"/>
            <w:left w:val="none" w:sz="0" w:space="0" w:color="auto"/>
            <w:bottom w:val="none" w:sz="0" w:space="0" w:color="auto"/>
            <w:right w:val="none" w:sz="0" w:space="0" w:color="auto"/>
          </w:divBdr>
          <w:divsChild>
            <w:div w:id="1323199969">
              <w:marLeft w:val="0"/>
              <w:marRight w:val="0"/>
              <w:marTop w:val="0"/>
              <w:marBottom w:val="0"/>
              <w:divBdr>
                <w:top w:val="none" w:sz="0" w:space="0" w:color="auto"/>
                <w:left w:val="none" w:sz="0" w:space="0" w:color="auto"/>
                <w:bottom w:val="none" w:sz="0" w:space="0" w:color="auto"/>
                <w:right w:val="none" w:sz="0" w:space="0" w:color="auto"/>
              </w:divBdr>
            </w:div>
          </w:divsChild>
        </w:div>
        <w:div w:id="1912889458">
          <w:marLeft w:val="0"/>
          <w:marRight w:val="0"/>
          <w:marTop w:val="0"/>
          <w:marBottom w:val="0"/>
          <w:divBdr>
            <w:top w:val="none" w:sz="0" w:space="0" w:color="auto"/>
            <w:left w:val="none" w:sz="0" w:space="0" w:color="auto"/>
            <w:bottom w:val="none" w:sz="0" w:space="0" w:color="auto"/>
            <w:right w:val="none" w:sz="0" w:space="0" w:color="auto"/>
          </w:divBdr>
          <w:divsChild>
            <w:div w:id="926882210">
              <w:marLeft w:val="0"/>
              <w:marRight w:val="0"/>
              <w:marTop w:val="0"/>
              <w:marBottom w:val="0"/>
              <w:divBdr>
                <w:top w:val="none" w:sz="0" w:space="0" w:color="auto"/>
                <w:left w:val="none" w:sz="0" w:space="0" w:color="auto"/>
                <w:bottom w:val="none" w:sz="0" w:space="0" w:color="auto"/>
                <w:right w:val="none" w:sz="0" w:space="0" w:color="auto"/>
              </w:divBdr>
            </w:div>
          </w:divsChild>
        </w:div>
        <w:div w:id="1966885442">
          <w:marLeft w:val="0"/>
          <w:marRight w:val="0"/>
          <w:marTop w:val="0"/>
          <w:marBottom w:val="0"/>
          <w:divBdr>
            <w:top w:val="none" w:sz="0" w:space="0" w:color="auto"/>
            <w:left w:val="none" w:sz="0" w:space="0" w:color="auto"/>
            <w:bottom w:val="none" w:sz="0" w:space="0" w:color="auto"/>
            <w:right w:val="none" w:sz="0" w:space="0" w:color="auto"/>
          </w:divBdr>
          <w:divsChild>
            <w:div w:id="13978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5718">
      <w:bodyDiv w:val="1"/>
      <w:marLeft w:val="0"/>
      <w:marRight w:val="0"/>
      <w:marTop w:val="0"/>
      <w:marBottom w:val="0"/>
      <w:divBdr>
        <w:top w:val="none" w:sz="0" w:space="0" w:color="auto"/>
        <w:left w:val="none" w:sz="0" w:space="0" w:color="auto"/>
        <w:bottom w:val="none" w:sz="0" w:space="0" w:color="auto"/>
        <w:right w:val="none" w:sz="0" w:space="0" w:color="auto"/>
      </w:divBdr>
    </w:div>
    <w:div w:id="982810028">
      <w:bodyDiv w:val="1"/>
      <w:marLeft w:val="0"/>
      <w:marRight w:val="0"/>
      <w:marTop w:val="0"/>
      <w:marBottom w:val="0"/>
      <w:divBdr>
        <w:top w:val="none" w:sz="0" w:space="0" w:color="auto"/>
        <w:left w:val="none" w:sz="0" w:space="0" w:color="auto"/>
        <w:bottom w:val="none" w:sz="0" w:space="0" w:color="auto"/>
        <w:right w:val="none" w:sz="0" w:space="0" w:color="auto"/>
      </w:divBdr>
    </w:div>
    <w:div w:id="984702420">
      <w:bodyDiv w:val="1"/>
      <w:marLeft w:val="0"/>
      <w:marRight w:val="0"/>
      <w:marTop w:val="0"/>
      <w:marBottom w:val="0"/>
      <w:divBdr>
        <w:top w:val="none" w:sz="0" w:space="0" w:color="auto"/>
        <w:left w:val="none" w:sz="0" w:space="0" w:color="auto"/>
        <w:bottom w:val="none" w:sz="0" w:space="0" w:color="auto"/>
        <w:right w:val="none" w:sz="0" w:space="0" w:color="auto"/>
      </w:divBdr>
    </w:div>
    <w:div w:id="1005013208">
      <w:bodyDiv w:val="1"/>
      <w:marLeft w:val="0"/>
      <w:marRight w:val="0"/>
      <w:marTop w:val="0"/>
      <w:marBottom w:val="0"/>
      <w:divBdr>
        <w:top w:val="none" w:sz="0" w:space="0" w:color="auto"/>
        <w:left w:val="none" w:sz="0" w:space="0" w:color="auto"/>
        <w:bottom w:val="none" w:sz="0" w:space="0" w:color="auto"/>
        <w:right w:val="none" w:sz="0" w:space="0" w:color="auto"/>
      </w:divBdr>
    </w:div>
    <w:div w:id="1049846129">
      <w:bodyDiv w:val="1"/>
      <w:marLeft w:val="0"/>
      <w:marRight w:val="0"/>
      <w:marTop w:val="0"/>
      <w:marBottom w:val="0"/>
      <w:divBdr>
        <w:top w:val="none" w:sz="0" w:space="0" w:color="auto"/>
        <w:left w:val="none" w:sz="0" w:space="0" w:color="auto"/>
        <w:bottom w:val="none" w:sz="0" w:space="0" w:color="auto"/>
        <w:right w:val="none" w:sz="0" w:space="0" w:color="auto"/>
      </w:divBdr>
    </w:div>
    <w:div w:id="1134567636">
      <w:bodyDiv w:val="1"/>
      <w:marLeft w:val="0"/>
      <w:marRight w:val="0"/>
      <w:marTop w:val="0"/>
      <w:marBottom w:val="0"/>
      <w:divBdr>
        <w:top w:val="none" w:sz="0" w:space="0" w:color="auto"/>
        <w:left w:val="none" w:sz="0" w:space="0" w:color="auto"/>
        <w:bottom w:val="none" w:sz="0" w:space="0" w:color="auto"/>
        <w:right w:val="none" w:sz="0" w:space="0" w:color="auto"/>
      </w:divBdr>
    </w:div>
    <w:div w:id="1144814159">
      <w:bodyDiv w:val="1"/>
      <w:marLeft w:val="0"/>
      <w:marRight w:val="0"/>
      <w:marTop w:val="0"/>
      <w:marBottom w:val="0"/>
      <w:divBdr>
        <w:top w:val="none" w:sz="0" w:space="0" w:color="auto"/>
        <w:left w:val="none" w:sz="0" w:space="0" w:color="auto"/>
        <w:bottom w:val="none" w:sz="0" w:space="0" w:color="auto"/>
        <w:right w:val="none" w:sz="0" w:space="0" w:color="auto"/>
      </w:divBdr>
    </w:div>
    <w:div w:id="1153565737">
      <w:bodyDiv w:val="1"/>
      <w:marLeft w:val="0"/>
      <w:marRight w:val="0"/>
      <w:marTop w:val="0"/>
      <w:marBottom w:val="0"/>
      <w:divBdr>
        <w:top w:val="none" w:sz="0" w:space="0" w:color="auto"/>
        <w:left w:val="none" w:sz="0" w:space="0" w:color="auto"/>
        <w:bottom w:val="none" w:sz="0" w:space="0" w:color="auto"/>
        <w:right w:val="none" w:sz="0" w:space="0" w:color="auto"/>
      </w:divBdr>
    </w:div>
    <w:div w:id="1155410021">
      <w:bodyDiv w:val="1"/>
      <w:marLeft w:val="0"/>
      <w:marRight w:val="0"/>
      <w:marTop w:val="0"/>
      <w:marBottom w:val="0"/>
      <w:divBdr>
        <w:top w:val="none" w:sz="0" w:space="0" w:color="auto"/>
        <w:left w:val="none" w:sz="0" w:space="0" w:color="auto"/>
        <w:bottom w:val="none" w:sz="0" w:space="0" w:color="auto"/>
        <w:right w:val="none" w:sz="0" w:space="0" w:color="auto"/>
      </w:divBdr>
    </w:div>
    <w:div w:id="1170633264">
      <w:bodyDiv w:val="1"/>
      <w:marLeft w:val="0"/>
      <w:marRight w:val="0"/>
      <w:marTop w:val="0"/>
      <w:marBottom w:val="0"/>
      <w:divBdr>
        <w:top w:val="none" w:sz="0" w:space="0" w:color="auto"/>
        <w:left w:val="none" w:sz="0" w:space="0" w:color="auto"/>
        <w:bottom w:val="none" w:sz="0" w:space="0" w:color="auto"/>
        <w:right w:val="none" w:sz="0" w:space="0" w:color="auto"/>
      </w:divBdr>
      <w:divsChild>
        <w:div w:id="448939678">
          <w:marLeft w:val="0"/>
          <w:marRight w:val="0"/>
          <w:marTop w:val="0"/>
          <w:marBottom w:val="0"/>
          <w:divBdr>
            <w:top w:val="none" w:sz="0" w:space="0" w:color="auto"/>
            <w:left w:val="none" w:sz="0" w:space="0" w:color="auto"/>
            <w:bottom w:val="none" w:sz="0" w:space="0" w:color="auto"/>
            <w:right w:val="none" w:sz="0" w:space="0" w:color="auto"/>
          </w:divBdr>
          <w:divsChild>
            <w:div w:id="247424617">
              <w:marLeft w:val="0"/>
              <w:marRight w:val="0"/>
              <w:marTop w:val="0"/>
              <w:marBottom w:val="0"/>
              <w:divBdr>
                <w:top w:val="none" w:sz="0" w:space="0" w:color="auto"/>
                <w:left w:val="none" w:sz="0" w:space="0" w:color="auto"/>
                <w:bottom w:val="none" w:sz="0" w:space="0" w:color="auto"/>
                <w:right w:val="none" w:sz="0" w:space="0" w:color="auto"/>
              </w:divBdr>
            </w:div>
            <w:div w:id="367919176">
              <w:marLeft w:val="0"/>
              <w:marRight w:val="0"/>
              <w:marTop w:val="0"/>
              <w:marBottom w:val="0"/>
              <w:divBdr>
                <w:top w:val="none" w:sz="0" w:space="0" w:color="auto"/>
                <w:left w:val="none" w:sz="0" w:space="0" w:color="auto"/>
                <w:bottom w:val="none" w:sz="0" w:space="0" w:color="auto"/>
                <w:right w:val="none" w:sz="0" w:space="0" w:color="auto"/>
              </w:divBdr>
            </w:div>
            <w:div w:id="469172438">
              <w:marLeft w:val="0"/>
              <w:marRight w:val="0"/>
              <w:marTop w:val="0"/>
              <w:marBottom w:val="0"/>
              <w:divBdr>
                <w:top w:val="none" w:sz="0" w:space="0" w:color="auto"/>
                <w:left w:val="none" w:sz="0" w:space="0" w:color="auto"/>
                <w:bottom w:val="none" w:sz="0" w:space="0" w:color="auto"/>
                <w:right w:val="none" w:sz="0" w:space="0" w:color="auto"/>
              </w:divBdr>
            </w:div>
            <w:div w:id="487089246">
              <w:marLeft w:val="0"/>
              <w:marRight w:val="0"/>
              <w:marTop w:val="0"/>
              <w:marBottom w:val="0"/>
              <w:divBdr>
                <w:top w:val="none" w:sz="0" w:space="0" w:color="auto"/>
                <w:left w:val="none" w:sz="0" w:space="0" w:color="auto"/>
                <w:bottom w:val="none" w:sz="0" w:space="0" w:color="auto"/>
                <w:right w:val="none" w:sz="0" w:space="0" w:color="auto"/>
              </w:divBdr>
            </w:div>
            <w:div w:id="528374767">
              <w:marLeft w:val="0"/>
              <w:marRight w:val="0"/>
              <w:marTop w:val="0"/>
              <w:marBottom w:val="0"/>
              <w:divBdr>
                <w:top w:val="none" w:sz="0" w:space="0" w:color="auto"/>
                <w:left w:val="none" w:sz="0" w:space="0" w:color="auto"/>
                <w:bottom w:val="none" w:sz="0" w:space="0" w:color="auto"/>
                <w:right w:val="none" w:sz="0" w:space="0" w:color="auto"/>
              </w:divBdr>
            </w:div>
            <w:div w:id="814028523">
              <w:marLeft w:val="0"/>
              <w:marRight w:val="0"/>
              <w:marTop w:val="0"/>
              <w:marBottom w:val="0"/>
              <w:divBdr>
                <w:top w:val="none" w:sz="0" w:space="0" w:color="auto"/>
                <w:left w:val="none" w:sz="0" w:space="0" w:color="auto"/>
                <w:bottom w:val="none" w:sz="0" w:space="0" w:color="auto"/>
                <w:right w:val="none" w:sz="0" w:space="0" w:color="auto"/>
              </w:divBdr>
            </w:div>
            <w:div w:id="1103769570">
              <w:marLeft w:val="0"/>
              <w:marRight w:val="0"/>
              <w:marTop w:val="0"/>
              <w:marBottom w:val="0"/>
              <w:divBdr>
                <w:top w:val="none" w:sz="0" w:space="0" w:color="auto"/>
                <w:left w:val="none" w:sz="0" w:space="0" w:color="auto"/>
                <w:bottom w:val="none" w:sz="0" w:space="0" w:color="auto"/>
                <w:right w:val="none" w:sz="0" w:space="0" w:color="auto"/>
              </w:divBdr>
            </w:div>
            <w:div w:id="1546213605">
              <w:marLeft w:val="0"/>
              <w:marRight w:val="0"/>
              <w:marTop w:val="0"/>
              <w:marBottom w:val="0"/>
              <w:divBdr>
                <w:top w:val="none" w:sz="0" w:space="0" w:color="auto"/>
                <w:left w:val="none" w:sz="0" w:space="0" w:color="auto"/>
                <w:bottom w:val="none" w:sz="0" w:space="0" w:color="auto"/>
                <w:right w:val="none" w:sz="0" w:space="0" w:color="auto"/>
              </w:divBdr>
            </w:div>
            <w:div w:id="1880775181">
              <w:marLeft w:val="0"/>
              <w:marRight w:val="0"/>
              <w:marTop w:val="0"/>
              <w:marBottom w:val="0"/>
              <w:divBdr>
                <w:top w:val="none" w:sz="0" w:space="0" w:color="auto"/>
                <w:left w:val="none" w:sz="0" w:space="0" w:color="auto"/>
                <w:bottom w:val="none" w:sz="0" w:space="0" w:color="auto"/>
                <w:right w:val="none" w:sz="0" w:space="0" w:color="auto"/>
              </w:divBdr>
            </w:div>
            <w:div w:id="1979871546">
              <w:marLeft w:val="0"/>
              <w:marRight w:val="0"/>
              <w:marTop w:val="0"/>
              <w:marBottom w:val="0"/>
              <w:divBdr>
                <w:top w:val="none" w:sz="0" w:space="0" w:color="auto"/>
                <w:left w:val="none" w:sz="0" w:space="0" w:color="auto"/>
                <w:bottom w:val="none" w:sz="0" w:space="0" w:color="auto"/>
                <w:right w:val="none" w:sz="0" w:space="0" w:color="auto"/>
              </w:divBdr>
            </w:div>
          </w:divsChild>
        </w:div>
        <w:div w:id="1149201881">
          <w:marLeft w:val="0"/>
          <w:marRight w:val="0"/>
          <w:marTop w:val="0"/>
          <w:marBottom w:val="0"/>
          <w:divBdr>
            <w:top w:val="none" w:sz="0" w:space="0" w:color="auto"/>
            <w:left w:val="none" w:sz="0" w:space="0" w:color="auto"/>
            <w:bottom w:val="none" w:sz="0" w:space="0" w:color="auto"/>
            <w:right w:val="none" w:sz="0" w:space="0" w:color="auto"/>
          </w:divBdr>
          <w:divsChild>
            <w:div w:id="99223768">
              <w:marLeft w:val="0"/>
              <w:marRight w:val="0"/>
              <w:marTop w:val="0"/>
              <w:marBottom w:val="0"/>
              <w:divBdr>
                <w:top w:val="none" w:sz="0" w:space="0" w:color="auto"/>
                <w:left w:val="none" w:sz="0" w:space="0" w:color="auto"/>
                <w:bottom w:val="none" w:sz="0" w:space="0" w:color="auto"/>
                <w:right w:val="none" w:sz="0" w:space="0" w:color="auto"/>
              </w:divBdr>
            </w:div>
            <w:div w:id="777063933">
              <w:marLeft w:val="0"/>
              <w:marRight w:val="0"/>
              <w:marTop w:val="0"/>
              <w:marBottom w:val="0"/>
              <w:divBdr>
                <w:top w:val="none" w:sz="0" w:space="0" w:color="auto"/>
                <w:left w:val="none" w:sz="0" w:space="0" w:color="auto"/>
                <w:bottom w:val="none" w:sz="0" w:space="0" w:color="auto"/>
                <w:right w:val="none" w:sz="0" w:space="0" w:color="auto"/>
              </w:divBdr>
            </w:div>
            <w:div w:id="837036794">
              <w:marLeft w:val="0"/>
              <w:marRight w:val="0"/>
              <w:marTop w:val="0"/>
              <w:marBottom w:val="0"/>
              <w:divBdr>
                <w:top w:val="none" w:sz="0" w:space="0" w:color="auto"/>
                <w:left w:val="none" w:sz="0" w:space="0" w:color="auto"/>
                <w:bottom w:val="none" w:sz="0" w:space="0" w:color="auto"/>
                <w:right w:val="none" w:sz="0" w:space="0" w:color="auto"/>
              </w:divBdr>
            </w:div>
            <w:div w:id="12294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44154">
      <w:bodyDiv w:val="1"/>
      <w:marLeft w:val="0"/>
      <w:marRight w:val="0"/>
      <w:marTop w:val="0"/>
      <w:marBottom w:val="0"/>
      <w:divBdr>
        <w:top w:val="none" w:sz="0" w:space="0" w:color="auto"/>
        <w:left w:val="none" w:sz="0" w:space="0" w:color="auto"/>
        <w:bottom w:val="none" w:sz="0" w:space="0" w:color="auto"/>
        <w:right w:val="none" w:sz="0" w:space="0" w:color="auto"/>
      </w:divBdr>
    </w:div>
    <w:div w:id="1206404633">
      <w:bodyDiv w:val="1"/>
      <w:marLeft w:val="0"/>
      <w:marRight w:val="0"/>
      <w:marTop w:val="0"/>
      <w:marBottom w:val="0"/>
      <w:divBdr>
        <w:top w:val="none" w:sz="0" w:space="0" w:color="auto"/>
        <w:left w:val="none" w:sz="0" w:space="0" w:color="auto"/>
        <w:bottom w:val="none" w:sz="0" w:space="0" w:color="auto"/>
        <w:right w:val="none" w:sz="0" w:space="0" w:color="auto"/>
      </w:divBdr>
    </w:div>
    <w:div w:id="1211500229">
      <w:bodyDiv w:val="1"/>
      <w:marLeft w:val="0"/>
      <w:marRight w:val="0"/>
      <w:marTop w:val="0"/>
      <w:marBottom w:val="0"/>
      <w:divBdr>
        <w:top w:val="none" w:sz="0" w:space="0" w:color="auto"/>
        <w:left w:val="none" w:sz="0" w:space="0" w:color="auto"/>
        <w:bottom w:val="none" w:sz="0" w:space="0" w:color="auto"/>
        <w:right w:val="none" w:sz="0" w:space="0" w:color="auto"/>
      </w:divBdr>
      <w:divsChild>
        <w:div w:id="167987562">
          <w:marLeft w:val="0"/>
          <w:marRight w:val="0"/>
          <w:marTop w:val="0"/>
          <w:marBottom w:val="0"/>
          <w:divBdr>
            <w:top w:val="none" w:sz="0" w:space="0" w:color="auto"/>
            <w:left w:val="none" w:sz="0" w:space="0" w:color="auto"/>
            <w:bottom w:val="none" w:sz="0" w:space="0" w:color="auto"/>
            <w:right w:val="none" w:sz="0" w:space="0" w:color="auto"/>
          </w:divBdr>
          <w:divsChild>
            <w:div w:id="85078563">
              <w:marLeft w:val="0"/>
              <w:marRight w:val="0"/>
              <w:marTop w:val="0"/>
              <w:marBottom w:val="0"/>
              <w:divBdr>
                <w:top w:val="none" w:sz="0" w:space="0" w:color="auto"/>
                <w:left w:val="none" w:sz="0" w:space="0" w:color="auto"/>
                <w:bottom w:val="none" w:sz="0" w:space="0" w:color="auto"/>
                <w:right w:val="none" w:sz="0" w:space="0" w:color="auto"/>
              </w:divBdr>
            </w:div>
            <w:div w:id="221910938">
              <w:marLeft w:val="0"/>
              <w:marRight w:val="0"/>
              <w:marTop w:val="0"/>
              <w:marBottom w:val="0"/>
              <w:divBdr>
                <w:top w:val="none" w:sz="0" w:space="0" w:color="auto"/>
                <w:left w:val="none" w:sz="0" w:space="0" w:color="auto"/>
                <w:bottom w:val="none" w:sz="0" w:space="0" w:color="auto"/>
                <w:right w:val="none" w:sz="0" w:space="0" w:color="auto"/>
              </w:divBdr>
            </w:div>
            <w:div w:id="279723046">
              <w:marLeft w:val="0"/>
              <w:marRight w:val="0"/>
              <w:marTop w:val="0"/>
              <w:marBottom w:val="0"/>
              <w:divBdr>
                <w:top w:val="none" w:sz="0" w:space="0" w:color="auto"/>
                <w:left w:val="none" w:sz="0" w:space="0" w:color="auto"/>
                <w:bottom w:val="none" w:sz="0" w:space="0" w:color="auto"/>
                <w:right w:val="none" w:sz="0" w:space="0" w:color="auto"/>
              </w:divBdr>
            </w:div>
            <w:div w:id="1681393915">
              <w:marLeft w:val="0"/>
              <w:marRight w:val="0"/>
              <w:marTop w:val="0"/>
              <w:marBottom w:val="0"/>
              <w:divBdr>
                <w:top w:val="none" w:sz="0" w:space="0" w:color="auto"/>
                <w:left w:val="none" w:sz="0" w:space="0" w:color="auto"/>
                <w:bottom w:val="none" w:sz="0" w:space="0" w:color="auto"/>
                <w:right w:val="none" w:sz="0" w:space="0" w:color="auto"/>
              </w:divBdr>
            </w:div>
          </w:divsChild>
        </w:div>
        <w:div w:id="1084569512">
          <w:marLeft w:val="0"/>
          <w:marRight w:val="0"/>
          <w:marTop w:val="0"/>
          <w:marBottom w:val="0"/>
          <w:divBdr>
            <w:top w:val="none" w:sz="0" w:space="0" w:color="auto"/>
            <w:left w:val="none" w:sz="0" w:space="0" w:color="auto"/>
            <w:bottom w:val="none" w:sz="0" w:space="0" w:color="auto"/>
            <w:right w:val="none" w:sz="0" w:space="0" w:color="auto"/>
          </w:divBdr>
          <w:divsChild>
            <w:div w:id="32923093">
              <w:marLeft w:val="0"/>
              <w:marRight w:val="0"/>
              <w:marTop w:val="0"/>
              <w:marBottom w:val="0"/>
              <w:divBdr>
                <w:top w:val="none" w:sz="0" w:space="0" w:color="auto"/>
                <w:left w:val="none" w:sz="0" w:space="0" w:color="auto"/>
                <w:bottom w:val="none" w:sz="0" w:space="0" w:color="auto"/>
                <w:right w:val="none" w:sz="0" w:space="0" w:color="auto"/>
              </w:divBdr>
            </w:div>
            <w:div w:id="68307968">
              <w:marLeft w:val="0"/>
              <w:marRight w:val="0"/>
              <w:marTop w:val="0"/>
              <w:marBottom w:val="0"/>
              <w:divBdr>
                <w:top w:val="none" w:sz="0" w:space="0" w:color="auto"/>
                <w:left w:val="none" w:sz="0" w:space="0" w:color="auto"/>
                <w:bottom w:val="none" w:sz="0" w:space="0" w:color="auto"/>
                <w:right w:val="none" w:sz="0" w:space="0" w:color="auto"/>
              </w:divBdr>
            </w:div>
            <w:div w:id="191650110">
              <w:marLeft w:val="0"/>
              <w:marRight w:val="0"/>
              <w:marTop w:val="0"/>
              <w:marBottom w:val="0"/>
              <w:divBdr>
                <w:top w:val="none" w:sz="0" w:space="0" w:color="auto"/>
                <w:left w:val="none" w:sz="0" w:space="0" w:color="auto"/>
                <w:bottom w:val="none" w:sz="0" w:space="0" w:color="auto"/>
                <w:right w:val="none" w:sz="0" w:space="0" w:color="auto"/>
              </w:divBdr>
            </w:div>
            <w:div w:id="192967029">
              <w:marLeft w:val="0"/>
              <w:marRight w:val="0"/>
              <w:marTop w:val="0"/>
              <w:marBottom w:val="0"/>
              <w:divBdr>
                <w:top w:val="none" w:sz="0" w:space="0" w:color="auto"/>
                <w:left w:val="none" w:sz="0" w:space="0" w:color="auto"/>
                <w:bottom w:val="none" w:sz="0" w:space="0" w:color="auto"/>
                <w:right w:val="none" w:sz="0" w:space="0" w:color="auto"/>
              </w:divBdr>
            </w:div>
            <w:div w:id="431440236">
              <w:marLeft w:val="0"/>
              <w:marRight w:val="0"/>
              <w:marTop w:val="0"/>
              <w:marBottom w:val="0"/>
              <w:divBdr>
                <w:top w:val="none" w:sz="0" w:space="0" w:color="auto"/>
                <w:left w:val="none" w:sz="0" w:space="0" w:color="auto"/>
                <w:bottom w:val="none" w:sz="0" w:space="0" w:color="auto"/>
                <w:right w:val="none" w:sz="0" w:space="0" w:color="auto"/>
              </w:divBdr>
            </w:div>
            <w:div w:id="452947953">
              <w:marLeft w:val="0"/>
              <w:marRight w:val="0"/>
              <w:marTop w:val="0"/>
              <w:marBottom w:val="0"/>
              <w:divBdr>
                <w:top w:val="none" w:sz="0" w:space="0" w:color="auto"/>
                <w:left w:val="none" w:sz="0" w:space="0" w:color="auto"/>
                <w:bottom w:val="none" w:sz="0" w:space="0" w:color="auto"/>
                <w:right w:val="none" w:sz="0" w:space="0" w:color="auto"/>
              </w:divBdr>
            </w:div>
            <w:div w:id="711466333">
              <w:marLeft w:val="0"/>
              <w:marRight w:val="0"/>
              <w:marTop w:val="0"/>
              <w:marBottom w:val="0"/>
              <w:divBdr>
                <w:top w:val="none" w:sz="0" w:space="0" w:color="auto"/>
                <w:left w:val="none" w:sz="0" w:space="0" w:color="auto"/>
                <w:bottom w:val="none" w:sz="0" w:space="0" w:color="auto"/>
                <w:right w:val="none" w:sz="0" w:space="0" w:color="auto"/>
              </w:divBdr>
            </w:div>
            <w:div w:id="761296404">
              <w:marLeft w:val="0"/>
              <w:marRight w:val="0"/>
              <w:marTop w:val="0"/>
              <w:marBottom w:val="0"/>
              <w:divBdr>
                <w:top w:val="none" w:sz="0" w:space="0" w:color="auto"/>
                <w:left w:val="none" w:sz="0" w:space="0" w:color="auto"/>
                <w:bottom w:val="none" w:sz="0" w:space="0" w:color="auto"/>
                <w:right w:val="none" w:sz="0" w:space="0" w:color="auto"/>
              </w:divBdr>
            </w:div>
            <w:div w:id="1151365854">
              <w:marLeft w:val="0"/>
              <w:marRight w:val="0"/>
              <w:marTop w:val="0"/>
              <w:marBottom w:val="0"/>
              <w:divBdr>
                <w:top w:val="none" w:sz="0" w:space="0" w:color="auto"/>
                <w:left w:val="none" w:sz="0" w:space="0" w:color="auto"/>
                <w:bottom w:val="none" w:sz="0" w:space="0" w:color="auto"/>
                <w:right w:val="none" w:sz="0" w:space="0" w:color="auto"/>
              </w:divBdr>
            </w:div>
            <w:div w:id="13643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683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3199486">
      <w:bodyDiv w:val="1"/>
      <w:marLeft w:val="0"/>
      <w:marRight w:val="0"/>
      <w:marTop w:val="0"/>
      <w:marBottom w:val="0"/>
      <w:divBdr>
        <w:top w:val="none" w:sz="0" w:space="0" w:color="auto"/>
        <w:left w:val="none" w:sz="0" w:space="0" w:color="auto"/>
        <w:bottom w:val="none" w:sz="0" w:space="0" w:color="auto"/>
        <w:right w:val="none" w:sz="0" w:space="0" w:color="auto"/>
      </w:divBdr>
    </w:div>
    <w:div w:id="1267956162">
      <w:bodyDiv w:val="1"/>
      <w:marLeft w:val="0"/>
      <w:marRight w:val="0"/>
      <w:marTop w:val="0"/>
      <w:marBottom w:val="0"/>
      <w:divBdr>
        <w:top w:val="none" w:sz="0" w:space="0" w:color="auto"/>
        <w:left w:val="none" w:sz="0" w:space="0" w:color="auto"/>
        <w:bottom w:val="none" w:sz="0" w:space="0" w:color="auto"/>
        <w:right w:val="none" w:sz="0" w:space="0" w:color="auto"/>
      </w:divBdr>
    </w:div>
    <w:div w:id="1293099703">
      <w:bodyDiv w:val="1"/>
      <w:marLeft w:val="0"/>
      <w:marRight w:val="0"/>
      <w:marTop w:val="0"/>
      <w:marBottom w:val="0"/>
      <w:divBdr>
        <w:top w:val="none" w:sz="0" w:space="0" w:color="auto"/>
        <w:left w:val="none" w:sz="0" w:space="0" w:color="auto"/>
        <w:bottom w:val="none" w:sz="0" w:space="0" w:color="auto"/>
        <w:right w:val="none" w:sz="0" w:space="0" w:color="auto"/>
      </w:divBdr>
    </w:div>
    <w:div w:id="1315063391">
      <w:bodyDiv w:val="1"/>
      <w:marLeft w:val="0"/>
      <w:marRight w:val="0"/>
      <w:marTop w:val="0"/>
      <w:marBottom w:val="0"/>
      <w:divBdr>
        <w:top w:val="none" w:sz="0" w:space="0" w:color="auto"/>
        <w:left w:val="none" w:sz="0" w:space="0" w:color="auto"/>
        <w:bottom w:val="none" w:sz="0" w:space="0" w:color="auto"/>
        <w:right w:val="none" w:sz="0" w:space="0" w:color="auto"/>
      </w:divBdr>
    </w:div>
    <w:div w:id="1317149837">
      <w:bodyDiv w:val="1"/>
      <w:marLeft w:val="0"/>
      <w:marRight w:val="0"/>
      <w:marTop w:val="0"/>
      <w:marBottom w:val="0"/>
      <w:divBdr>
        <w:top w:val="none" w:sz="0" w:space="0" w:color="auto"/>
        <w:left w:val="none" w:sz="0" w:space="0" w:color="auto"/>
        <w:bottom w:val="none" w:sz="0" w:space="0" w:color="auto"/>
        <w:right w:val="none" w:sz="0" w:space="0" w:color="auto"/>
      </w:divBdr>
    </w:div>
    <w:div w:id="1331761783">
      <w:bodyDiv w:val="1"/>
      <w:marLeft w:val="0"/>
      <w:marRight w:val="0"/>
      <w:marTop w:val="0"/>
      <w:marBottom w:val="0"/>
      <w:divBdr>
        <w:top w:val="none" w:sz="0" w:space="0" w:color="auto"/>
        <w:left w:val="none" w:sz="0" w:space="0" w:color="auto"/>
        <w:bottom w:val="none" w:sz="0" w:space="0" w:color="auto"/>
        <w:right w:val="none" w:sz="0" w:space="0" w:color="auto"/>
      </w:divBdr>
    </w:div>
    <w:div w:id="1332872418">
      <w:bodyDiv w:val="1"/>
      <w:marLeft w:val="0"/>
      <w:marRight w:val="0"/>
      <w:marTop w:val="0"/>
      <w:marBottom w:val="0"/>
      <w:divBdr>
        <w:top w:val="none" w:sz="0" w:space="0" w:color="auto"/>
        <w:left w:val="none" w:sz="0" w:space="0" w:color="auto"/>
        <w:bottom w:val="none" w:sz="0" w:space="0" w:color="auto"/>
        <w:right w:val="none" w:sz="0" w:space="0" w:color="auto"/>
      </w:divBdr>
      <w:divsChild>
        <w:div w:id="932586961">
          <w:marLeft w:val="0"/>
          <w:marRight w:val="0"/>
          <w:marTop w:val="0"/>
          <w:marBottom w:val="0"/>
          <w:divBdr>
            <w:top w:val="none" w:sz="0" w:space="0" w:color="auto"/>
            <w:left w:val="none" w:sz="0" w:space="0" w:color="auto"/>
            <w:bottom w:val="none" w:sz="0" w:space="0" w:color="auto"/>
            <w:right w:val="none" w:sz="0" w:space="0" w:color="auto"/>
          </w:divBdr>
        </w:div>
        <w:div w:id="1337154108">
          <w:marLeft w:val="0"/>
          <w:marRight w:val="0"/>
          <w:marTop w:val="0"/>
          <w:marBottom w:val="0"/>
          <w:divBdr>
            <w:top w:val="none" w:sz="0" w:space="0" w:color="auto"/>
            <w:left w:val="none" w:sz="0" w:space="0" w:color="auto"/>
            <w:bottom w:val="none" w:sz="0" w:space="0" w:color="auto"/>
            <w:right w:val="none" w:sz="0" w:space="0" w:color="auto"/>
          </w:divBdr>
        </w:div>
        <w:div w:id="1527595764">
          <w:marLeft w:val="0"/>
          <w:marRight w:val="0"/>
          <w:marTop w:val="0"/>
          <w:marBottom w:val="0"/>
          <w:divBdr>
            <w:top w:val="none" w:sz="0" w:space="0" w:color="auto"/>
            <w:left w:val="none" w:sz="0" w:space="0" w:color="auto"/>
            <w:bottom w:val="none" w:sz="0" w:space="0" w:color="auto"/>
            <w:right w:val="none" w:sz="0" w:space="0" w:color="auto"/>
          </w:divBdr>
        </w:div>
      </w:divsChild>
    </w:div>
    <w:div w:id="1346203247">
      <w:bodyDiv w:val="1"/>
      <w:marLeft w:val="0"/>
      <w:marRight w:val="0"/>
      <w:marTop w:val="0"/>
      <w:marBottom w:val="0"/>
      <w:divBdr>
        <w:top w:val="none" w:sz="0" w:space="0" w:color="auto"/>
        <w:left w:val="none" w:sz="0" w:space="0" w:color="auto"/>
        <w:bottom w:val="none" w:sz="0" w:space="0" w:color="auto"/>
        <w:right w:val="none" w:sz="0" w:space="0" w:color="auto"/>
      </w:divBdr>
    </w:div>
    <w:div w:id="1367876830">
      <w:bodyDiv w:val="1"/>
      <w:marLeft w:val="0"/>
      <w:marRight w:val="0"/>
      <w:marTop w:val="0"/>
      <w:marBottom w:val="0"/>
      <w:divBdr>
        <w:top w:val="none" w:sz="0" w:space="0" w:color="auto"/>
        <w:left w:val="none" w:sz="0" w:space="0" w:color="auto"/>
        <w:bottom w:val="none" w:sz="0" w:space="0" w:color="auto"/>
        <w:right w:val="none" w:sz="0" w:space="0" w:color="auto"/>
      </w:divBdr>
    </w:div>
    <w:div w:id="1379863368">
      <w:bodyDiv w:val="1"/>
      <w:marLeft w:val="0"/>
      <w:marRight w:val="0"/>
      <w:marTop w:val="0"/>
      <w:marBottom w:val="0"/>
      <w:divBdr>
        <w:top w:val="none" w:sz="0" w:space="0" w:color="auto"/>
        <w:left w:val="none" w:sz="0" w:space="0" w:color="auto"/>
        <w:bottom w:val="none" w:sz="0" w:space="0" w:color="auto"/>
        <w:right w:val="none" w:sz="0" w:space="0" w:color="auto"/>
      </w:divBdr>
    </w:div>
    <w:div w:id="1435515128">
      <w:bodyDiv w:val="1"/>
      <w:marLeft w:val="0"/>
      <w:marRight w:val="0"/>
      <w:marTop w:val="0"/>
      <w:marBottom w:val="0"/>
      <w:divBdr>
        <w:top w:val="none" w:sz="0" w:space="0" w:color="auto"/>
        <w:left w:val="none" w:sz="0" w:space="0" w:color="auto"/>
        <w:bottom w:val="none" w:sz="0" w:space="0" w:color="auto"/>
        <w:right w:val="none" w:sz="0" w:space="0" w:color="auto"/>
      </w:divBdr>
    </w:div>
    <w:div w:id="1456831980">
      <w:bodyDiv w:val="1"/>
      <w:marLeft w:val="0"/>
      <w:marRight w:val="0"/>
      <w:marTop w:val="0"/>
      <w:marBottom w:val="0"/>
      <w:divBdr>
        <w:top w:val="none" w:sz="0" w:space="0" w:color="auto"/>
        <w:left w:val="none" w:sz="0" w:space="0" w:color="auto"/>
        <w:bottom w:val="none" w:sz="0" w:space="0" w:color="auto"/>
        <w:right w:val="none" w:sz="0" w:space="0" w:color="auto"/>
      </w:divBdr>
    </w:div>
    <w:div w:id="1464155998">
      <w:bodyDiv w:val="1"/>
      <w:marLeft w:val="0"/>
      <w:marRight w:val="0"/>
      <w:marTop w:val="0"/>
      <w:marBottom w:val="0"/>
      <w:divBdr>
        <w:top w:val="none" w:sz="0" w:space="0" w:color="auto"/>
        <w:left w:val="none" w:sz="0" w:space="0" w:color="auto"/>
        <w:bottom w:val="none" w:sz="0" w:space="0" w:color="auto"/>
        <w:right w:val="none" w:sz="0" w:space="0" w:color="auto"/>
      </w:divBdr>
    </w:div>
    <w:div w:id="1481456171">
      <w:bodyDiv w:val="1"/>
      <w:marLeft w:val="0"/>
      <w:marRight w:val="0"/>
      <w:marTop w:val="0"/>
      <w:marBottom w:val="0"/>
      <w:divBdr>
        <w:top w:val="none" w:sz="0" w:space="0" w:color="auto"/>
        <w:left w:val="none" w:sz="0" w:space="0" w:color="auto"/>
        <w:bottom w:val="none" w:sz="0" w:space="0" w:color="auto"/>
        <w:right w:val="none" w:sz="0" w:space="0" w:color="auto"/>
      </w:divBdr>
    </w:div>
    <w:div w:id="1488324344">
      <w:bodyDiv w:val="1"/>
      <w:marLeft w:val="0"/>
      <w:marRight w:val="0"/>
      <w:marTop w:val="0"/>
      <w:marBottom w:val="0"/>
      <w:divBdr>
        <w:top w:val="none" w:sz="0" w:space="0" w:color="auto"/>
        <w:left w:val="none" w:sz="0" w:space="0" w:color="auto"/>
        <w:bottom w:val="none" w:sz="0" w:space="0" w:color="auto"/>
        <w:right w:val="none" w:sz="0" w:space="0" w:color="auto"/>
      </w:divBdr>
    </w:div>
    <w:div w:id="1500388276">
      <w:bodyDiv w:val="1"/>
      <w:marLeft w:val="0"/>
      <w:marRight w:val="0"/>
      <w:marTop w:val="0"/>
      <w:marBottom w:val="0"/>
      <w:divBdr>
        <w:top w:val="none" w:sz="0" w:space="0" w:color="auto"/>
        <w:left w:val="none" w:sz="0" w:space="0" w:color="auto"/>
        <w:bottom w:val="none" w:sz="0" w:space="0" w:color="auto"/>
        <w:right w:val="none" w:sz="0" w:space="0" w:color="auto"/>
      </w:divBdr>
    </w:div>
    <w:div w:id="1514687738">
      <w:bodyDiv w:val="1"/>
      <w:marLeft w:val="0"/>
      <w:marRight w:val="0"/>
      <w:marTop w:val="0"/>
      <w:marBottom w:val="0"/>
      <w:divBdr>
        <w:top w:val="none" w:sz="0" w:space="0" w:color="auto"/>
        <w:left w:val="none" w:sz="0" w:space="0" w:color="auto"/>
        <w:bottom w:val="none" w:sz="0" w:space="0" w:color="auto"/>
        <w:right w:val="none" w:sz="0" w:space="0" w:color="auto"/>
      </w:divBdr>
    </w:div>
    <w:div w:id="1519197995">
      <w:bodyDiv w:val="1"/>
      <w:marLeft w:val="0"/>
      <w:marRight w:val="0"/>
      <w:marTop w:val="0"/>
      <w:marBottom w:val="0"/>
      <w:divBdr>
        <w:top w:val="none" w:sz="0" w:space="0" w:color="auto"/>
        <w:left w:val="none" w:sz="0" w:space="0" w:color="auto"/>
        <w:bottom w:val="none" w:sz="0" w:space="0" w:color="auto"/>
        <w:right w:val="none" w:sz="0" w:space="0" w:color="auto"/>
      </w:divBdr>
    </w:div>
    <w:div w:id="1547057839">
      <w:bodyDiv w:val="1"/>
      <w:marLeft w:val="0"/>
      <w:marRight w:val="0"/>
      <w:marTop w:val="0"/>
      <w:marBottom w:val="0"/>
      <w:divBdr>
        <w:top w:val="none" w:sz="0" w:space="0" w:color="auto"/>
        <w:left w:val="none" w:sz="0" w:space="0" w:color="auto"/>
        <w:bottom w:val="none" w:sz="0" w:space="0" w:color="auto"/>
        <w:right w:val="none" w:sz="0" w:space="0" w:color="auto"/>
      </w:divBdr>
    </w:div>
    <w:div w:id="1554854199">
      <w:bodyDiv w:val="1"/>
      <w:marLeft w:val="0"/>
      <w:marRight w:val="0"/>
      <w:marTop w:val="0"/>
      <w:marBottom w:val="0"/>
      <w:divBdr>
        <w:top w:val="none" w:sz="0" w:space="0" w:color="auto"/>
        <w:left w:val="none" w:sz="0" w:space="0" w:color="auto"/>
        <w:bottom w:val="none" w:sz="0" w:space="0" w:color="auto"/>
        <w:right w:val="none" w:sz="0" w:space="0" w:color="auto"/>
      </w:divBdr>
    </w:div>
    <w:div w:id="1561553019">
      <w:bodyDiv w:val="1"/>
      <w:marLeft w:val="0"/>
      <w:marRight w:val="0"/>
      <w:marTop w:val="0"/>
      <w:marBottom w:val="0"/>
      <w:divBdr>
        <w:top w:val="none" w:sz="0" w:space="0" w:color="auto"/>
        <w:left w:val="none" w:sz="0" w:space="0" w:color="auto"/>
        <w:bottom w:val="none" w:sz="0" w:space="0" w:color="auto"/>
        <w:right w:val="none" w:sz="0" w:space="0" w:color="auto"/>
      </w:divBdr>
      <w:divsChild>
        <w:div w:id="1142966356">
          <w:marLeft w:val="0"/>
          <w:marRight w:val="0"/>
          <w:marTop w:val="0"/>
          <w:marBottom w:val="0"/>
          <w:divBdr>
            <w:top w:val="none" w:sz="0" w:space="0" w:color="auto"/>
            <w:left w:val="none" w:sz="0" w:space="0" w:color="auto"/>
            <w:bottom w:val="none" w:sz="0" w:space="0" w:color="auto"/>
            <w:right w:val="none" w:sz="0" w:space="0" w:color="auto"/>
          </w:divBdr>
        </w:div>
        <w:div w:id="1277980906">
          <w:marLeft w:val="0"/>
          <w:marRight w:val="0"/>
          <w:marTop w:val="0"/>
          <w:marBottom w:val="0"/>
          <w:divBdr>
            <w:top w:val="none" w:sz="0" w:space="0" w:color="auto"/>
            <w:left w:val="none" w:sz="0" w:space="0" w:color="auto"/>
            <w:bottom w:val="none" w:sz="0" w:space="0" w:color="auto"/>
            <w:right w:val="none" w:sz="0" w:space="0" w:color="auto"/>
          </w:divBdr>
        </w:div>
      </w:divsChild>
    </w:div>
    <w:div w:id="1582058384">
      <w:bodyDiv w:val="1"/>
      <w:marLeft w:val="0"/>
      <w:marRight w:val="0"/>
      <w:marTop w:val="0"/>
      <w:marBottom w:val="0"/>
      <w:divBdr>
        <w:top w:val="none" w:sz="0" w:space="0" w:color="auto"/>
        <w:left w:val="none" w:sz="0" w:space="0" w:color="auto"/>
        <w:bottom w:val="none" w:sz="0" w:space="0" w:color="auto"/>
        <w:right w:val="none" w:sz="0" w:space="0" w:color="auto"/>
      </w:divBdr>
    </w:div>
    <w:div w:id="1612322854">
      <w:bodyDiv w:val="1"/>
      <w:marLeft w:val="0"/>
      <w:marRight w:val="0"/>
      <w:marTop w:val="0"/>
      <w:marBottom w:val="0"/>
      <w:divBdr>
        <w:top w:val="none" w:sz="0" w:space="0" w:color="auto"/>
        <w:left w:val="none" w:sz="0" w:space="0" w:color="auto"/>
        <w:bottom w:val="none" w:sz="0" w:space="0" w:color="auto"/>
        <w:right w:val="none" w:sz="0" w:space="0" w:color="auto"/>
      </w:divBdr>
    </w:div>
    <w:div w:id="1642687712">
      <w:bodyDiv w:val="1"/>
      <w:marLeft w:val="0"/>
      <w:marRight w:val="0"/>
      <w:marTop w:val="0"/>
      <w:marBottom w:val="0"/>
      <w:divBdr>
        <w:top w:val="none" w:sz="0" w:space="0" w:color="auto"/>
        <w:left w:val="none" w:sz="0" w:space="0" w:color="auto"/>
        <w:bottom w:val="none" w:sz="0" w:space="0" w:color="auto"/>
        <w:right w:val="none" w:sz="0" w:space="0" w:color="auto"/>
      </w:divBdr>
    </w:div>
    <w:div w:id="1650671548">
      <w:bodyDiv w:val="1"/>
      <w:marLeft w:val="0"/>
      <w:marRight w:val="0"/>
      <w:marTop w:val="0"/>
      <w:marBottom w:val="0"/>
      <w:divBdr>
        <w:top w:val="none" w:sz="0" w:space="0" w:color="auto"/>
        <w:left w:val="none" w:sz="0" w:space="0" w:color="auto"/>
        <w:bottom w:val="none" w:sz="0" w:space="0" w:color="auto"/>
        <w:right w:val="none" w:sz="0" w:space="0" w:color="auto"/>
      </w:divBdr>
      <w:divsChild>
        <w:div w:id="566385089">
          <w:marLeft w:val="0"/>
          <w:marRight w:val="0"/>
          <w:marTop w:val="0"/>
          <w:marBottom w:val="0"/>
          <w:divBdr>
            <w:top w:val="none" w:sz="0" w:space="0" w:color="auto"/>
            <w:left w:val="none" w:sz="0" w:space="0" w:color="auto"/>
            <w:bottom w:val="none" w:sz="0" w:space="0" w:color="auto"/>
            <w:right w:val="none" w:sz="0" w:space="0" w:color="auto"/>
          </w:divBdr>
        </w:div>
        <w:div w:id="1580868181">
          <w:marLeft w:val="0"/>
          <w:marRight w:val="0"/>
          <w:marTop w:val="0"/>
          <w:marBottom w:val="0"/>
          <w:divBdr>
            <w:top w:val="none" w:sz="0" w:space="0" w:color="auto"/>
            <w:left w:val="none" w:sz="0" w:space="0" w:color="auto"/>
            <w:bottom w:val="none" w:sz="0" w:space="0" w:color="auto"/>
            <w:right w:val="none" w:sz="0" w:space="0" w:color="auto"/>
          </w:divBdr>
        </w:div>
        <w:div w:id="1777022015">
          <w:marLeft w:val="0"/>
          <w:marRight w:val="0"/>
          <w:marTop w:val="0"/>
          <w:marBottom w:val="0"/>
          <w:divBdr>
            <w:top w:val="none" w:sz="0" w:space="0" w:color="auto"/>
            <w:left w:val="none" w:sz="0" w:space="0" w:color="auto"/>
            <w:bottom w:val="none" w:sz="0" w:space="0" w:color="auto"/>
            <w:right w:val="none" w:sz="0" w:space="0" w:color="auto"/>
          </w:divBdr>
        </w:div>
      </w:divsChild>
    </w:div>
    <w:div w:id="1651246732">
      <w:bodyDiv w:val="1"/>
      <w:marLeft w:val="0"/>
      <w:marRight w:val="0"/>
      <w:marTop w:val="0"/>
      <w:marBottom w:val="0"/>
      <w:divBdr>
        <w:top w:val="none" w:sz="0" w:space="0" w:color="auto"/>
        <w:left w:val="none" w:sz="0" w:space="0" w:color="auto"/>
        <w:bottom w:val="none" w:sz="0" w:space="0" w:color="auto"/>
        <w:right w:val="none" w:sz="0" w:space="0" w:color="auto"/>
      </w:divBdr>
    </w:div>
    <w:div w:id="1705010874">
      <w:bodyDiv w:val="1"/>
      <w:marLeft w:val="0"/>
      <w:marRight w:val="0"/>
      <w:marTop w:val="0"/>
      <w:marBottom w:val="0"/>
      <w:divBdr>
        <w:top w:val="none" w:sz="0" w:space="0" w:color="auto"/>
        <w:left w:val="none" w:sz="0" w:space="0" w:color="auto"/>
        <w:bottom w:val="none" w:sz="0" w:space="0" w:color="auto"/>
        <w:right w:val="none" w:sz="0" w:space="0" w:color="auto"/>
      </w:divBdr>
    </w:div>
    <w:div w:id="1708217966">
      <w:bodyDiv w:val="1"/>
      <w:marLeft w:val="0"/>
      <w:marRight w:val="0"/>
      <w:marTop w:val="0"/>
      <w:marBottom w:val="0"/>
      <w:divBdr>
        <w:top w:val="none" w:sz="0" w:space="0" w:color="auto"/>
        <w:left w:val="none" w:sz="0" w:space="0" w:color="auto"/>
        <w:bottom w:val="none" w:sz="0" w:space="0" w:color="auto"/>
        <w:right w:val="none" w:sz="0" w:space="0" w:color="auto"/>
      </w:divBdr>
    </w:div>
    <w:div w:id="1732003772">
      <w:bodyDiv w:val="1"/>
      <w:marLeft w:val="0"/>
      <w:marRight w:val="0"/>
      <w:marTop w:val="0"/>
      <w:marBottom w:val="0"/>
      <w:divBdr>
        <w:top w:val="none" w:sz="0" w:space="0" w:color="auto"/>
        <w:left w:val="none" w:sz="0" w:space="0" w:color="auto"/>
        <w:bottom w:val="none" w:sz="0" w:space="0" w:color="auto"/>
        <w:right w:val="none" w:sz="0" w:space="0" w:color="auto"/>
      </w:divBdr>
    </w:div>
    <w:div w:id="1740977794">
      <w:bodyDiv w:val="1"/>
      <w:marLeft w:val="0"/>
      <w:marRight w:val="0"/>
      <w:marTop w:val="0"/>
      <w:marBottom w:val="0"/>
      <w:divBdr>
        <w:top w:val="none" w:sz="0" w:space="0" w:color="auto"/>
        <w:left w:val="none" w:sz="0" w:space="0" w:color="auto"/>
        <w:bottom w:val="none" w:sz="0" w:space="0" w:color="auto"/>
        <w:right w:val="none" w:sz="0" w:space="0" w:color="auto"/>
      </w:divBdr>
    </w:div>
    <w:div w:id="1748336458">
      <w:bodyDiv w:val="1"/>
      <w:marLeft w:val="0"/>
      <w:marRight w:val="0"/>
      <w:marTop w:val="0"/>
      <w:marBottom w:val="0"/>
      <w:divBdr>
        <w:top w:val="none" w:sz="0" w:space="0" w:color="auto"/>
        <w:left w:val="none" w:sz="0" w:space="0" w:color="auto"/>
        <w:bottom w:val="none" w:sz="0" w:space="0" w:color="auto"/>
        <w:right w:val="none" w:sz="0" w:space="0" w:color="auto"/>
      </w:divBdr>
    </w:div>
    <w:div w:id="1749811950">
      <w:bodyDiv w:val="1"/>
      <w:marLeft w:val="0"/>
      <w:marRight w:val="0"/>
      <w:marTop w:val="0"/>
      <w:marBottom w:val="0"/>
      <w:divBdr>
        <w:top w:val="none" w:sz="0" w:space="0" w:color="auto"/>
        <w:left w:val="none" w:sz="0" w:space="0" w:color="auto"/>
        <w:bottom w:val="none" w:sz="0" w:space="0" w:color="auto"/>
        <w:right w:val="none" w:sz="0" w:space="0" w:color="auto"/>
      </w:divBdr>
    </w:div>
    <w:div w:id="1751728159">
      <w:bodyDiv w:val="1"/>
      <w:marLeft w:val="0"/>
      <w:marRight w:val="0"/>
      <w:marTop w:val="0"/>
      <w:marBottom w:val="0"/>
      <w:divBdr>
        <w:top w:val="none" w:sz="0" w:space="0" w:color="auto"/>
        <w:left w:val="none" w:sz="0" w:space="0" w:color="auto"/>
        <w:bottom w:val="none" w:sz="0" w:space="0" w:color="auto"/>
        <w:right w:val="none" w:sz="0" w:space="0" w:color="auto"/>
      </w:divBdr>
    </w:div>
    <w:div w:id="1762219695">
      <w:bodyDiv w:val="1"/>
      <w:marLeft w:val="0"/>
      <w:marRight w:val="0"/>
      <w:marTop w:val="0"/>
      <w:marBottom w:val="0"/>
      <w:divBdr>
        <w:top w:val="none" w:sz="0" w:space="0" w:color="auto"/>
        <w:left w:val="none" w:sz="0" w:space="0" w:color="auto"/>
        <w:bottom w:val="none" w:sz="0" w:space="0" w:color="auto"/>
        <w:right w:val="none" w:sz="0" w:space="0" w:color="auto"/>
      </w:divBdr>
    </w:div>
    <w:div w:id="1764952824">
      <w:bodyDiv w:val="1"/>
      <w:marLeft w:val="0"/>
      <w:marRight w:val="0"/>
      <w:marTop w:val="0"/>
      <w:marBottom w:val="0"/>
      <w:divBdr>
        <w:top w:val="none" w:sz="0" w:space="0" w:color="auto"/>
        <w:left w:val="none" w:sz="0" w:space="0" w:color="auto"/>
        <w:bottom w:val="none" w:sz="0" w:space="0" w:color="auto"/>
        <w:right w:val="none" w:sz="0" w:space="0" w:color="auto"/>
      </w:divBdr>
      <w:divsChild>
        <w:div w:id="107507332">
          <w:marLeft w:val="0"/>
          <w:marRight w:val="0"/>
          <w:marTop w:val="0"/>
          <w:marBottom w:val="0"/>
          <w:divBdr>
            <w:top w:val="none" w:sz="0" w:space="0" w:color="auto"/>
            <w:left w:val="none" w:sz="0" w:space="0" w:color="auto"/>
            <w:bottom w:val="none" w:sz="0" w:space="0" w:color="auto"/>
            <w:right w:val="none" w:sz="0" w:space="0" w:color="auto"/>
          </w:divBdr>
          <w:divsChild>
            <w:div w:id="2045053346">
              <w:marLeft w:val="0"/>
              <w:marRight w:val="0"/>
              <w:marTop w:val="0"/>
              <w:marBottom w:val="0"/>
              <w:divBdr>
                <w:top w:val="none" w:sz="0" w:space="0" w:color="auto"/>
                <w:left w:val="none" w:sz="0" w:space="0" w:color="auto"/>
                <w:bottom w:val="none" w:sz="0" w:space="0" w:color="auto"/>
                <w:right w:val="none" w:sz="0" w:space="0" w:color="auto"/>
              </w:divBdr>
            </w:div>
          </w:divsChild>
        </w:div>
        <w:div w:id="108355035">
          <w:marLeft w:val="0"/>
          <w:marRight w:val="0"/>
          <w:marTop w:val="0"/>
          <w:marBottom w:val="0"/>
          <w:divBdr>
            <w:top w:val="none" w:sz="0" w:space="0" w:color="auto"/>
            <w:left w:val="none" w:sz="0" w:space="0" w:color="auto"/>
            <w:bottom w:val="none" w:sz="0" w:space="0" w:color="auto"/>
            <w:right w:val="none" w:sz="0" w:space="0" w:color="auto"/>
          </w:divBdr>
          <w:divsChild>
            <w:div w:id="1204099157">
              <w:marLeft w:val="0"/>
              <w:marRight w:val="0"/>
              <w:marTop w:val="0"/>
              <w:marBottom w:val="0"/>
              <w:divBdr>
                <w:top w:val="none" w:sz="0" w:space="0" w:color="auto"/>
                <w:left w:val="none" w:sz="0" w:space="0" w:color="auto"/>
                <w:bottom w:val="none" w:sz="0" w:space="0" w:color="auto"/>
                <w:right w:val="none" w:sz="0" w:space="0" w:color="auto"/>
              </w:divBdr>
            </w:div>
          </w:divsChild>
        </w:div>
        <w:div w:id="204299033">
          <w:marLeft w:val="0"/>
          <w:marRight w:val="0"/>
          <w:marTop w:val="0"/>
          <w:marBottom w:val="0"/>
          <w:divBdr>
            <w:top w:val="none" w:sz="0" w:space="0" w:color="auto"/>
            <w:left w:val="none" w:sz="0" w:space="0" w:color="auto"/>
            <w:bottom w:val="none" w:sz="0" w:space="0" w:color="auto"/>
            <w:right w:val="none" w:sz="0" w:space="0" w:color="auto"/>
          </w:divBdr>
          <w:divsChild>
            <w:div w:id="2084569715">
              <w:marLeft w:val="0"/>
              <w:marRight w:val="0"/>
              <w:marTop w:val="0"/>
              <w:marBottom w:val="0"/>
              <w:divBdr>
                <w:top w:val="none" w:sz="0" w:space="0" w:color="auto"/>
                <w:left w:val="none" w:sz="0" w:space="0" w:color="auto"/>
                <w:bottom w:val="none" w:sz="0" w:space="0" w:color="auto"/>
                <w:right w:val="none" w:sz="0" w:space="0" w:color="auto"/>
              </w:divBdr>
            </w:div>
          </w:divsChild>
        </w:div>
        <w:div w:id="257830666">
          <w:marLeft w:val="0"/>
          <w:marRight w:val="0"/>
          <w:marTop w:val="0"/>
          <w:marBottom w:val="0"/>
          <w:divBdr>
            <w:top w:val="none" w:sz="0" w:space="0" w:color="auto"/>
            <w:left w:val="none" w:sz="0" w:space="0" w:color="auto"/>
            <w:bottom w:val="none" w:sz="0" w:space="0" w:color="auto"/>
            <w:right w:val="none" w:sz="0" w:space="0" w:color="auto"/>
          </w:divBdr>
          <w:divsChild>
            <w:div w:id="501355695">
              <w:marLeft w:val="0"/>
              <w:marRight w:val="0"/>
              <w:marTop w:val="0"/>
              <w:marBottom w:val="0"/>
              <w:divBdr>
                <w:top w:val="none" w:sz="0" w:space="0" w:color="auto"/>
                <w:left w:val="none" w:sz="0" w:space="0" w:color="auto"/>
                <w:bottom w:val="none" w:sz="0" w:space="0" w:color="auto"/>
                <w:right w:val="none" w:sz="0" w:space="0" w:color="auto"/>
              </w:divBdr>
            </w:div>
          </w:divsChild>
        </w:div>
        <w:div w:id="357660296">
          <w:marLeft w:val="0"/>
          <w:marRight w:val="0"/>
          <w:marTop w:val="0"/>
          <w:marBottom w:val="0"/>
          <w:divBdr>
            <w:top w:val="none" w:sz="0" w:space="0" w:color="auto"/>
            <w:left w:val="none" w:sz="0" w:space="0" w:color="auto"/>
            <w:bottom w:val="none" w:sz="0" w:space="0" w:color="auto"/>
            <w:right w:val="none" w:sz="0" w:space="0" w:color="auto"/>
          </w:divBdr>
          <w:divsChild>
            <w:div w:id="1412921136">
              <w:marLeft w:val="0"/>
              <w:marRight w:val="0"/>
              <w:marTop w:val="0"/>
              <w:marBottom w:val="0"/>
              <w:divBdr>
                <w:top w:val="none" w:sz="0" w:space="0" w:color="auto"/>
                <w:left w:val="none" w:sz="0" w:space="0" w:color="auto"/>
                <w:bottom w:val="none" w:sz="0" w:space="0" w:color="auto"/>
                <w:right w:val="none" w:sz="0" w:space="0" w:color="auto"/>
              </w:divBdr>
            </w:div>
          </w:divsChild>
        </w:div>
        <w:div w:id="399794168">
          <w:marLeft w:val="0"/>
          <w:marRight w:val="0"/>
          <w:marTop w:val="0"/>
          <w:marBottom w:val="0"/>
          <w:divBdr>
            <w:top w:val="none" w:sz="0" w:space="0" w:color="auto"/>
            <w:left w:val="none" w:sz="0" w:space="0" w:color="auto"/>
            <w:bottom w:val="none" w:sz="0" w:space="0" w:color="auto"/>
            <w:right w:val="none" w:sz="0" w:space="0" w:color="auto"/>
          </w:divBdr>
          <w:divsChild>
            <w:div w:id="1263993673">
              <w:marLeft w:val="0"/>
              <w:marRight w:val="0"/>
              <w:marTop w:val="0"/>
              <w:marBottom w:val="0"/>
              <w:divBdr>
                <w:top w:val="none" w:sz="0" w:space="0" w:color="auto"/>
                <w:left w:val="none" w:sz="0" w:space="0" w:color="auto"/>
                <w:bottom w:val="none" w:sz="0" w:space="0" w:color="auto"/>
                <w:right w:val="none" w:sz="0" w:space="0" w:color="auto"/>
              </w:divBdr>
            </w:div>
          </w:divsChild>
        </w:div>
        <w:div w:id="457262929">
          <w:marLeft w:val="0"/>
          <w:marRight w:val="0"/>
          <w:marTop w:val="0"/>
          <w:marBottom w:val="0"/>
          <w:divBdr>
            <w:top w:val="none" w:sz="0" w:space="0" w:color="auto"/>
            <w:left w:val="none" w:sz="0" w:space="0" w:color="auto"/>
            <w:bottom w:val="none" w:sz="0" w:space="0" w:color="auto"/>
            <w:right w:val="none" w:sz="0" w:space="0" w:color="auto"/>
          </w:divBdr>
          <w:divsChild>
            <w:div w:id="1948541216">
              <w:marLeft w:val="0"/>
              <w:marRight w:val="0"/>
              <w:marTop w:val="0"/>
              <w:marBottom w:val="0"/>
              <w:divBdr>
                <w:top w:val="none" w:sz="0" w:space="0" w:color="auto"/>
                <w:left w:val="none" w:sz="0" w:space="0" w:color="auto"/>
                <w:bottom w:val="none" w:sz="0" w:space="0" w:color="auto"/>
                <w:right w:val="none" w:sz="0" w:space="0" w:color="auto"/>
              </w:divBdr>
            </w:div>
          </w:divsChild>
        </w:div>
        <w:div w:id="710689940">
          <w:marLeft w:val="0"/>
          <w:marRight w:val="0"/>
          <w:marTop w:val="0"/>
          <w:marBottom w:val="0"/>
          <w:divBdr>
            <w:top w:val="none" w:sz="0" w:space="0" w:color="auto"/>
            <w:left w:val="none" w:sz="0" w:space="0" w:color="auto"/>
            <w:bottom w:val="none" w:sz="0" w:space="0" w:color="auto"/>
            <w:right w:val="none" w:sz="0" w:space="0" w:color="auto"/>
          </w:divBdr>
          <w:divsChild>
            <w:div w:id="60948564">
              <w:marLeft w:val="0"/>
              <w:marRight w:val="0"/>
              <w:marTop w:val="0"/>
              <w:marBottom w:val="0"/>
              <w:divBdr>
                <w:top w:val="none" w:sz="0" w:space="0" w:color="auto"/>
                <w:left w:val="none" w:sz="0" w:space="0" w:color="auto"/>
                <w:bottom w:val="none" w:sz="0" w:space="0" w:color="auto"/>
                <w:right w:val="none" w:sz="0" w:space="0" w:color="auto"/>
              </w:divBdr>
            </w:div>
          </w:divsChild>
        </w:div>
        <w:div w:id="867107243">
          <w:marLeft w:val="0"/>
          <w:marRight w:val="0"/>
          <w:marTop w:val="0"/>
          <w:marBottom w:val="0"/>
          <w:divBdr>
            <w:top w:val="none" w:sz="0" w:space="0" w:color="auto"/>
            <w:left w:val="none" w:sz="0" w:space="0" w:color="auto"/>
            <w:bottom w:val="none" w:sz="0" w:space="0" w:color="auto"/>
            <w:right w:val="none" w:sz="0" w:space="0" w:color="auto"/>
          </w:divBdr>
          <w:divsChild>
            <w:div w:id="1873107765">
              <w:marLeft w:val="0"/>
              <w:marRight w:val="0"/>
              <w:marTop w:val="0"/>
              <w:marBottom w:val="0"/>
              <w:divBdr>
                <w:top w:val="none" w:sz="0" w:space="0" w:color="auto"/>
                <w:left w:val="none" w:sz="0" w:space="0" w:color="auto"/>
                <w:bottom w:val="none" w:sz="0" w:space="0" w:color="auto"/>
                <w:right w:val="none" w:sz="0" w:space="0" w:color="auto"/>
              </w:divBdr>
            </w:div>
          </w:divsChild>
        </w:div>
        <w:div w:id="925116899">
          <w:marLeft w:val="0"/>
          <w:marRight w:val="0"/>
          <w:marTop w:val="0"/>
          <w:marBottom w:val="0"/>
          <w:divBdr>
            <w:top w:val="none" w:sz="0" w:space="0" w:color="auto"/>
            <w:left w:val="none" w:sz="0" w:space="0" w:color="auto"/>
            <w:bottom w:val="none" w:sz="0" w:space="0" w:color="auto"/>
            <w:right w:val="none" w:sz="0" w:space="0" w:color="auto"/>
          </w:divBdr>
          <w:divsChild>
            <w:div w:id="917055279">
              <w:marLeft w:val="0"/>
              <w:marRight w:val="0"/>
              <w:marTop w:val="0"/>
              <w:marBottom w:val="0"/>
              <w:divBdr>
                <w:top w:val="none" w:sz="0" w:space="0" w:color="auto"/>
                <w:left w:val="none" w:sz="0" w:space="0" w:color="auto"/>
                <w:bottom w:val="none" w:sz="0" w:space="0" w:color="auto"/>
                <w:right w:val="none" w:sz="0" w:space="0" w:color="auto"/>
              </w:divBdr>
            </w:div>
          </w:divsChild>
        </w:div>
        <w:div w:id="963535370">
          <w:marLeft w:val="0"/>
          <w:marRight w:val="0"/>
          <w:marTop w:val="0"/>
          <w:marBottom w:val="0"/>
          <w:divBdr>
            <w:top w:val="none" w:sz="0" w:space="0" w:color="auto"/>
            <w:left w:val="none" w:sz="0" w:space="0" w:color="auto"/>
            <w:bottom w:val="none" w:sz="0" w:space="0" w:color="auto"/>
            <w:right w:val="none" w:sz="0" w:space="0" w:color="auto"/>
          </w:divBdr>
          <w:divsChild>
            <w:div w:id="1790664492">
              <w:marLeft w:val="0"/>
              <w:marRight w:val="0"/>
              <w:marTop w:val="0"/>
              <w:marBottom w:val="0"/>
              <w:divBdr>
                <w:top w:val="none" w:sz="0" w:space="0" w:color="auto"/>
                <w:left w:val="none" w:sz="0" w:space="0" w:color="auto"/>
                <w:bottom w:val="none" w:sz="0" w:space="0" w:color="auto"/>
                <w:right w:val="none" w:sz="0" w:space="0" w:color="auto"/>
              </w:divBdr>
            </w:div>
          </w:divsChild>
        </w:div>
        <w:div w:id="1163667030">
          <w:marLeft w:val="0"/>
          <w:marRight w:val="0"/>
          <w:marTop w:val="0"/>
          <w:marBottom w:val="0"/>
          <w:divBdr>
            <w:top w:val="none" w:sz="0" w:space="0" w:color="auto"/>
            <w:left w:val="none" w:sz="0" w:space="0" w:color="auto"/>
            <w:bottom w:val="none" w:sz="0" w:space="0" w:color="auto"/>
            <w:right w:val="none" w:sz="0" w:space="0" w:color="auto"/>
          </w:divBdr>
          <w:divsChild>
            <w:div w:id="277839012">
              <w:marLeft w:val="0"/>
              <w:marRight w:val="0"/>
              <w:marTop w:val="0"/>
              <w:marBottom w:val="0"/>
              <w:divBdr>
                <w:top w:val="none" w:sz="0" w:space="0" w:color="auto"/>
                <w:left w:val="none" w:sz="0" w:space="0" w:color="auto"/>
                <w:bottom w:val="none" w:sz="0" w:space="0" w:color="auto"/>
                <w:right w:val="none" w:sz="0" w:space="0" w:color="auto"/>
              </w:divBdr>
            </w:div>
          </w:divsChild>
        </w:div>
        <w:div w:id="1202130215">
          <w:marLeft w:val="0"/>
          <w:marRight w:val="0"/>
          <w:marTop w:val="0"/>
          <w:marBottom w:val="0"/>
          <w:divBdr>
            <w:top w:val="none" w:sz="0" w:space="0" w:color="auto"/>
            <w:left w:val="none" w:sz="0" w:space="0" w:color="auto"/>
            <w:bottom w:val="none" w:sz="0" w:space="0" w:color="auto"/>
            <w:right w:val="none" w:sz="0" w:space="0" w:color="auto"/>
          </w:divBdr>
          <w:divsChild>
            <w:div w:id="865292235">
              <w:marLeft w:val="0"/>
              <w:marRight w:val="0"/>
              <w:marTop w:val="0"/>
              <w:marBottom w:val="0"/>
              <w:divBdr>
                <w:top w:val="none" w:sz="0" w:space="0" w:color="auto"/>
                <w:left w:val="none" w:sz="0" w:space="0" w:color="auto"/>
                <w:bottom w:val="none" w:sz="0" w:space="0" w:color="auto"/>
                <w:right w:val="none" w:sz="0" w:space="0" w:color="auto"/>
              </w:divBdr>
            </w:div>
          </w:divsChild>
        </w:div>
        <w:div w:id="1246066555">
          <w:marLeft w:val="0"/>
          <w:marRight w:val="0"/>
          <w:marTop w:val="0"/>
          <w:marBottom w:val="0"/>
          <w:divBdr>
            <w:top w:val="none" w:sz="0" w:space="0" w:color="auto"/>
            <w:left w:val="none" w:sz="0" w:space="0" w:color="auto"/>
            <w:bottom w:val="none" w:sz="0" w:space="0" w:color="auto"/>
            <w:right w:val="none" w:sz="0" w:space="0" w:color="auto"/>
          </w:divBdr>
          <w:divsChild>
            <w:div w:id="2135175660">
              <w:marLeft w:val="0"/>
              <w:marRight w:val="0"/>
              <w:marTop w:val="0"/>
              <w:marBottom w:val="0"/>
              <w:divBdr>
                <w:top w:val="none" w:sz="0" w:space="0" w:color="auto"/>
                <w:left w:val="none" w:sz="0" w:space="0" w:color="auto"/>
                <w:bottom w:val="none" w:sz="0" w:space="0" w:color="auto"/>
                <w:right w:val="none" w:sz="0" w:space="0" w:color="auto"/>
              </w:divBdr>
            </w:div>
          </w:divsChild>
        </w:div>
        <w:div w:id="1482113058">
          <w:marLeft w:val="0"/>
          <w:marRight w:val="0"/>
          <w:marTop w:val="0"/>
          <w:marBottom w:val="0"/>
          <w:divBdr>
            <w:top w:val="none" w:sz="0" w:space="0" w:color="auto"/>
            <w:left w:val="none" w:sz="0" w:space="0" w:color="auto"/>
            <w:bottom w:val="none" w:sz="0" w:space="0" w:color="auto"/>
            <w:right w:val="none" w:sz="0" w:space="0" w:color="auto"/>
          </w:divBdr>
          <w:divsChild>
            <w:div w:id="1274433901">
              <w:marLeft w:val="0"/>
              <w:marRight w:val="0"/>
              <w:marTop w:val="0"/>
              <w:marBottom w:val="0"/>
              <w:divBdr>
                <w:top w:val="none" w:sz="0" w:space="0" w:color="auto"/>
                <w:left w:val="none" w:sz="0" w:space="0" w:color="auto"/>
                <w:bottom w:val="none" w:sz="0" w:space="0" w:color="auto"/>
                <w:right w:val="none" w:sz="0" w:space="0" w:color="auto"/>
              </w:divBdr>
            </w:div>
          </w:divsChild>
        </w:div>
        <w:div w:id="1541086850">
          <w:marLeft w:val="0"/>
          <w:marRight w:val="0"/>
          <w:marTop w:val="0"/>
          <w:marBottom w:val="0"/>
          <w:divBdr>
            <w:top w:val="none" w:sz="0" w:space="0" w:color="auto"/>
            <w:left w:val="none" w:sz="0" w:space="0" w:color="auto"/>
            <w:bottom w:val="none" w:sz="0" w:space="0" w:color="auto"/>
            <w:right w:val="none" w:sz="0" w:space="0" w:color="auto"/>
          </w:divBdr>
          <w:divsChild>
            <w:div w:id="850922779">
              <w:marLeft w:val="0"/>
              <w:marRight w:val="0"/>
              <w:marTop w:val="0"/>
              <w:marBottom w:val="0"/>
              <w:divBdr>
                <w:top w:val="none" w:sz="0" w:space="0" w:color="auto"/>
                <w:left w:val="none" w:sz="0" w:space="0" w:color="auto"/>
                <w:bottom w:val="none" w:sz="0" w:space="0" w:color="auto"/>
                <w:right w:val="none" w:sz="0" w:space="0" w:color="auto"/>
              </w:divBdr>
            </w:div>
          </w:divsChild>
        </w:div>
        <w:div w:id="1687293084">
          <w:marLeft w:val="0"/>
          <w:marRight w:val="0"/>
          <w:marTop w:val="0"/>
          <w:marBottom w:val="0"/>
          <w:divBdr>
            <w:top w:val="none" w:sz="0" w:space="0" w:color="auto"/>
            <w:left w:val="none" w:sz="0" w:space="0" w:color="auto"/>
            <w:bottom w:val="none" w:sz="0" w:space="0" w:color="auto"/>
            <w:right w:val="none" w:sz="0" w:space="0" w:color="auto"/>
          </w:divBdr>
          <w:divsChild>
            <w:div w:id="209878968">
              <w:marLeft w:val="0"/>
              <w:marRight w:val="0"/>
              <w:marTop w:val="0"/>
              <w:marBottom w:val="0"/>
              <w:divBdr>
                <w:top w:val="none" w:sz="0" w:space="0" w:color="auto"/>
                <w:left w:val="none" w:sz="0" w:space="0" w:color="auto"/>
                <w:bottom w:val="none" w:sz="0" w:space="0" w:color="auto"/>
                <w:right w:val="none" w:sz="0" w:space="0" w:color="auto"/>
              </w:divBdr>
            </w:div>
          </w:divsChild>
        </w:div>
        <w:div w:id="1850026864">
          <w:marLeft w:val="0"/>
          <w:marRight w:val="0"/>
          <w:marTop w:val="0"/>
          <w:marBottom w:val="0"/>
          <w:divBdr>
            <w:top w:val="none" w:sz="0" w:space="0" w:color="auto"/>
            <w:left w:val="none" w:sz="0" w:space="0" w:color="auto"/>
            <w:bottom w:val="none" w:sz="0" w:space="0" w:color="auto"/>
            <w:right w:val="none" w:sz="0" w:space="0" w:color="auto"/>
          </w:divBdr>
          <w:divsChild>
            <w:div w:id="846867659">
              <w:marLeft w:val="0"/>
              <w:marRight w:val="0"/>
              <w:marTop w:val="0"/>
              <w:marBottom w:val="0"/>
              <w:divBdr>
                <w:top w:val="none" w:sz="0" w:space="0" w:color="auto"/>
                <w:left w:val="none" w:sz="0" w:space="0" w:color="auto"/>
                <w:bottom w:val="none" w:sz="0" w:space="0" w:color="auto"/>
                <w:right w:val="none" w:sz="0" w:space="0" w:color="auto"/>
              </w:divBdr>
            </w:div>
          </w:divsChild>
        </w:div>
        <w:div w:id="2018994585">
          <w:marLeft w:val="0"/>
          <w:marRight w:val="0"/>
          <w:marTop w:val="0"/>
          <w:marBottom w:val="0"/>
          <w:divBdr>
            <w:top w:val="none" w:sz="0" w:space="0" w:color="auto"/>
            <w:left w:val="none" w:sz="0" w:space="0" w:color="auto"/>
            <w:bottom w:val="none" w:sz="0" w:space="0" w:color="auto"/>
            <w:right w:val="none" w:sz="0" w:space="0" w:color="auto"/>
          </w:divBdr>
          <w:divsChild>
            <w:div w:id="882060498">
              <w:marLeft w:val="0"/>
              <w:marRight w:val="0"/>
              <w:marTop w:val="0"/>
              <w:marBottom w:val="0"/>
              <w:divBdr>
                <w:top w:val="none" w:sz="0" w:space="0" w:color="auto"/>
                <w:left w:val="none" w:sz="0" w:space="0" w:color="auto"/>
                <w:bottom w:val="none" w:sz="0" w:space="0" w:color="auto"/>
                <w:right w:val="none" w:sz="0" w:space="0" w:color="auto"/>
              </w:divBdr>
            </w:div>
          </w:divsChild>
        </w:div>
        <w:div w:id="2129156207">
          <w:marLeft w:val="0"/>
          <w:marRight w:val="0"/>
          <w:marTop w:val="0"/>
          <w:marBottom w:val="0"/>
          <w:divBdr>
            <w:top w:val="none" w:sz="0" w:space="0" w:color="auto"/>
            <w:left w:val="none" w:sz="0" w:space="0" w:color="auto"/>
            <w:bottom w:val="none" w:sz="0" w:space="0" w:color="auto"/>
            <w:right w:val="none" w:sz="0" w:space="0" w:color="auto"/>
          </w:divBdr>
          <w:divsChild>
            <w:div w:id="21138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5481">
      <w:bodyDiv w:val="1"/>
      <w:marLeft w:val="0"/>
      <w:marRight w:val="0"/>
      <w:marTop w:val="0"/>
      <w:marBottom w:val="0"/>
      <w:divBdr>
        <w:top w:val="none" w:sz="0" w:space="0" w:color="auto"/>
        <w:left w:val="none" w:sz="0" w:space="0" w:color="auto"/>
        <w:bottom w:val="none" w:sz="0" w:space="0" w:color="auto"/>
        <w:right w:val="none" w:sz="0" w:space="0" w:color="auto"/>
      </w:divBdr>
    </w:div>
    <w:div w:id="1798837639">
      <w:bodyDiv w:val="1"/>
      <w:marLeft w:val="0"/>
      <w:marRight w:val="0"/>
      <w:marTop w:val="0"/>
      <w:marBottom w:val="0"/>
      <w:divBdr>
        <w:top w:val="none" w:sz="0" w:space="0" w:color="auto"/>
        <w:left w:val="none" w:sz="0" w:space="0" w:color="auto"/>
        <w:bottom w:val="none" w:sz="0" w:space="0" w:color="auto"/>
        <w:right w:val="none" w:sz="0" w:space="0" w:color="auto"/>
      </w:divBdr>
    </w:div>
    <w:div w:id="1811047272">
      <w:bodyDiv w:val="1"/>
      <w:marLeft w:val="0"/>
      <w:marRight w:val="0"/>
      <w:marTop w:val="0"/>
      <w:marBottom w:val="0"/>
      <w:divBdr>
        <w:top w:val="none" w:sz="0" w:space="0" w:color="auto"/>
        <w:left w:val="none" w:sz="0" w:space="0" w:color="auto"/>
        <w:bottom w:val="none" w:sz="0" w:space="0" w:color="auto"/>
        <w:right w:val="none" w:sz="0" w:space="0" w:color="auto"/>
      </w:divBdr>
    </w:div>
    <w:div w:id="1835216737">
      <w:bodyDiv w:val="1"/>
      <w:marLeft w:val="0"/>
      <w:marRight w:val="0"/>
      <w:marTop w:val="0"/>
      <w:marBottom w:val="0"/>
      <w:divBdr>
        <w:top w:val="none" w:sz="0" w:space="0" w:color="auto"/>
        <w:left w:val="none" w:sz="0" w:space="0" w:color="auto"/>
        <w:bottom w:val="none" w:sz="0" w:space="0" w:color="auto"/>
        <w:right w:val="none" w:sz="0" w:space="0" w:color="auto"/>
      </w:divBdr>
    </w:div>
    <w:div w:id="1836726052">
      <w:bodyDiv w:val="1"/>
      <w:marLeft w:val="0"/>
      <w:marRight w:val="0"/>
      <w:marTop w:val="0"/>
      <w:marBottom w:val="0"/>
      <w:divBdr>
        <w:top w:val="none" w:sz="0" w:space="0" w:color="auto"/>
        <w:left w:val="none" w:sz="0" w:space="0" w:color="auto"/>
        <w:bottom w:val="none" w:sz="0" w:space="0" w:color="auto"/>
        <w:right w:val="none" w:sz="0" w:space="0" w:color="auto"/>
      </w:divBdr>
      <w:divsChild>
        <w:div w:id="252785630">
          <w:marLeft w:val="0"/>
          <w:marRight w:val="0"/>
          <w:marTop w:val="0"/>
          <w:marBottom w:val="0"/>
          <w:divBdr>
            <w:top w:val="none" w:sz="0" w:space="0" w:color="auto"/>
            <w:left w:val="none" w:sz="0" w:space="0" w:color="auto"/>
            <w:bottom w:val="none" w:sz="0" w:space="0" w:color="auto"/>
            <w:right w:val="none" w:sz="0" w:space="0" w:color="auto"/>
          </w:divBdr>
          <w:divsChild>
            <w:div w:id="264113156">
              <w:marLeft w:val="0"/>
              <w:marRight w:val="0"/>
              <w:marTop w:val="0"/>
              <w:marBottom w:val="0"/>
              <w:divBdr>
                <w:top w:val="none" w:sz="0" w:space="0" w:color="auto"/>
                <w:left w:val="none" w:sz="0" w:space="0" w:color="auto"/>
                <w:bottom w:val="none" w:sz="0" w:space="0" w:color="auto"/>
                <w:right w:val="none" w:sz="0" w:space="0" w:color="auto"/>
              </w:divBdr>
            </w:div>
          </w:divsChild>
        </w:div>
        <w:div w:id="430858432">
          <w:marLeft w:val="0"/>
          <w:marRight w:val="0"/>
          <w:marTop w:val="0"/>
          <w:marBottom w:val="0"/>
          <w:divBdr>
            <w:top w:val="none" w:sz="0" w:space="0" w:color="auto"/>
            <w:left w:val="none" w:sz="0" w:space="0" w:color="auto"/>
            <w:bottom w:val="none" w:sz="0" w:space="0" w:color="auto"/>
            <w:right w:val="none" w:sz="0" w:space="0" w:color="auto"/>
          </w:divBdr>
          <w:divsChild>
            <w:div w:id="1644429386">
              <w:marLeft w:val="0"/>
              <w:marRight w:val="0"/>
              <w:marTop w:val="0"/>
              <w:marBottom w:val="0"/>
              <w:divBdr>
                <w:top w:val="none" w:sz="0" w:space="0" w:color="auto"/>
                <w:left w:val="none" w:sz="0" w:space="0" w:color="auto"/>
                <w:bottom w:val="none" w:sz="0" w:space="0" w:color="auto"/>
                <w:right w:val="none" w:sz="0" w:space="0" w:color="auto"/>
              </w:divBdr>
            </w:div>
          </w:divsChild>
        </w:div>
        <w:div w:id="460194502">
          <w:marLeft w:val="0"/>
          <w:marRight w:val="0"/>
          <w:marTop w:val="0"/>
          <w:marBottom w:val="0"/>
          <w:divBdr>
            <w:top w:val="none" w:sz="0" w:space="0" w:color="auto"/>
            <w:left w:val="none" w:sz="0" w:space="0" w:color="auto"/>
            <w:bottom w:val="none" w:sz="0" w:space="0" w:color="auto"/>
            <w:right w:val="none" w:sz="0" w:space="0" w:color="auto"/>
          </w:divBdr>
          <w:divsChild>
            <w:div w:id="1451780361">
              <w:marLeft w:val="0"/>
              <w:marRight w:val="0"/>
              <w:marTop w:val="0"/>
              <w:marBottom w:val="0"/>
              <w:divBdr>
                <w:top w:val="none" w:sz="0" w:space="0" w:color="auto"/>
                <w:left w:val="none" w:sz="0" w:space="0" w:color="auto"/>
                <w:bottom w:val="none" w:sz="0" w:space="0" w:color="auto"/>
                <w:right w:val="none" w:sz="0" w:space="0" w:color="auto"/>
              </w:divBdr>
            </w:div>
          </w:divsChild>
        </w:div>
        <w:div w:id="578178633">
          <w:marLeft w:val="0"/>
          <w:marRight w:val="0"/>
          <w:marTop w:val="0"/>
          <w:marBottom w:val="0"/>
          <w:divBdr>
            <w:top w:val="none" w:sz="0" w:space="0" w:color="auto"/>
            <w:left w:val="none" w:sz="0" w:space="0" w:color="auto"/>
            <w:bottom w:val="none" w:sz="0" w:space="0" w:color="auto"/>
            <w:right w:val="none" w:sz="0" w:space="0" w:color="auto"/>
          </w:divBdr>
          <w:divsChild>
            <w:div w:id="1721130538">
              <w:marLeft w:val="0"/>
              <w:marRight w:val="0"/>
              <w:marTop w:val="0"/>
              <w:marBottom w:val="0"/>
              <w:divBdr>
                <w:top w:val="none" w:sz="0" w:space="0" w:color="auto"/>
                <w:left w:val="none" w:sz="0" w:space="0" w:color="auto"/>
                <w:bottom w:val="none" w:sz="0" w:space="0" w:color="auto"/>
                <w:right w:val="none" w:sz="0" w:space="0" w:color="auto"/>
              </w:divBdr>
            </w:div>
          </w:divsChild>
        </w:div>
        <w:div w:id="588121468">
          <w:marLeft w:val="0"/>
          <w:marRight w:val="0"/>
          <w:marTop w:val="0"/>
          <w:marBottom w:val="0"/>
          <w:divBdr>
            <w:top w:val="none" w:sz="0" w:space="0" w:color="auto"/>
            <w:left w:val="none" w:sz="0" w:space="0" w:color="auto"/>
            <w:bottom w:val="none" w:sz="0" w:space="0" w:color="auto"/>
            <w:right w:val="none" w:sz="0" w:space="0" w:color="auto"/>
          </w:divBdr>
          <w:divsChild>
            <w:div w:id="113132870">
              <w:marLeft w:val="0"/>
              <w:marRight w:val="0"/>
              <w:marTop w:val="0"/>
              <w:marBottom w:val="0"/>
              <w:divBdr>
                <w:top w:val="none" w:sz="0" w:space="0" w:color="auto"/>
                <w:left w:val="none" w:sz="0" w:space="0" w:color="auto"/>
                <w:bottom w:val="none" w:sz="0" w:space="0" w:color="auto"/>
                <w:right w:val="none" w:sz="0" w:space="0" w:color="auto"/>
              </w:divBdr>
            </w:div>
          </w:divsChild>
        </w:div>
        <w:div w:id="610092234">
          <w:marLeft w:val="0"/>
          <w:marRight w:val="0"/>
          <w:marTop w:val="0"/>
          <w:marBottom w:val="0"/>
          <w:divBdr>
            <w:top w:val="none" w:sz="0" w:space="0" w:color="auto"/>
            <w:left w:val="none" w:sz="0" w:space="0" w:color="auto"/>
            <w:bottom w:val="none" w:sz="0" w:space="0" w:color="auto"/>
            <w:right w:val="none" w:sz="0" w:space="0" w:color="auto"/>
          </w:divBdr>
          <w:divsChild>
            <w:div w:id="1803765089">
              <w:marLeft w:val="0"/>
              <w:marRight w:val="0"/>
              <w:marTop w:val="0"/>
              <w:marBottom w:val="0"/>
              <w:divBdr>
                <w:top w:val="none" w:sz="0" w:space="0" w:color="auto"/>
                <w:left w:val="none" w:sz="0" w:space="0" w:color="auto"/>
                <w:bottom w:val="none" w:sz="0" w:space="0" w:color="auto"/>
                <w:right w:val="none" w:sz="0" w:space="0" w:color="auto"/>
              </w:divBdr>
            </w:div>
          </w:divsChild>
        </w:div>
        <w:div w:id="621495183">
          <w:marLeft w:val="0"/>
          <w:marRight w:val="0"/>
          <w:marTop w:val="0"/>
          <w:marBottom w:val="0"/>
          <w:divBdr>
            <w:top w:val="none" w:sz="0" w:space="0" w:color="auto"/>
            <w:left w:val="none" w:sz="0" w:space="0" w:color="auto"/>
            <w:bottom w:val="none" w:sz="0" w:space="0" w:color="auto"/>
            <w:right w:val="none" w:sz="0" w:space="0" w:color="auto"/>
          </w:divBdr>
          <w:divsChild>
            <w:div w:id="1081409824">
              <w:marLeft w:val="0"/>
              <w:marRight w:val="0"/>
              <w:marTop w:val="0"/>
              <w:marBottom w:val="0"/>
              <w:divBdr>
                <w:top w:val="none" w:sz="0" w:space="0" w:color="auto"/>
                <w:left w:val="none" w:sz="0" w:space="0" w:color="auto"/>
                <w:bottom w:val="none" w:sz="0" w:space="0" w:color="auto"/>
                <w:right w:val="none" w:sz="0" w:space="0" w:color="auto"/>
              </w:divBdr>
            </w:div>
          </w:divsChild>
        </w:div>
        <w:div w:id="623538939">
          <w:marLeft w:val="0"/>
          <w:marRight w:val="0"/>
          <w:marTop w:val="0"/>
          <w:marBottom w:val="0"/>
          <w:divBdr>
            <w:top w:val="none" w:sz="0" w:space="0" w:color="auto"/>
            <w:left w:val="none" w:sz="0" w:space="0" w:color="auto"/>
            <w:bottom w:val="none" w:sz="0" w:space="0" w:color="auto"/>
            <w:right w:val="none" w:sz="0" w:space="0" w:color="auto"/>
          </w:divBdr>
          <w:divsChild>
            <w:div w:id="346714247">
              <w:marLeft w:val="0"/>
              <w:marRight w:val="0"/>
              <w:marTop w:val="0"/>
              <w:marBottom w:val="0"/>
              <w:divBdr>
                <w:top w:val="none" w:sz="0" w:space="0" w:color="auto"/>
                <w:left w:val="none" w:sz="0" w:space="0" w:color="auto"/>
                <w:bottom w:val="none" w:sz="0" w:space="0" w:color="auto"/>
                <w:right w:val="none" w:sz="0" w:space="0" w:color="auto"/>
              </w:divBdr>
            </w:div>
          </w:divsChild>
        </w:div>
        <w:div w:id="684864718">
          <w:marLeft w:val="0"/>
          <w:marRight w:val="0"/>
          <w:marTop w:val="0"/>
          <w:marBottom w:val="0"/>
          <w:divBdr>
            <w:top w:val="none" w:sz="0" w:space="0" w:color="auto"/>
            <w:left w:val="none" w:sz="0" w:space="0" w:color="auto"/>
            <w:bottom w:val="none" w:sz="0" w:space="0" w:color="auto"/>
            <w:right w:val="none" w:sz="0" w:space="0" w:color="auto"/>
          </w:divBdr>
          <w:divsChild>
            <w:div w:id="1292246613">
              <w:marLeft w:val="0"/>
              <w:marRight w:val="0"/>
              <w:marTop w:val="0"/>
              <w:marBottom w:val="0"/>
              <w:divBdr>
                <w:top w:val="none" w:sz="0" w:space="0" w:color="auto"/>
                <w:left w:val="none" w:sz="0" w:space="0" w:color="auto"/>
                <w:bottom w:val="none" w:sz="0" w:space="0" w:color="auto"/>
                <w:right w:val="none" w:sz="0" w:space="0" w:color="auto"/>
              </w:divBdr>
            </w:div>
          </w:divsChild>
        </w:div>
        <w:div w:id="923953415">
          <w:marLeft w:val="0"/>
          <w:marRight w:val="0"/>
          <w:marTop w:val="0"/>
          <w:marBottom w:val="0"/>
          <w:divBdr>
            <w:top w:val="none" w:sz="0" w:space="0" w:color="auto"/>
            <w:left w:val="none" w:sz="0" w:space="0" w:color="auto"/>
            <w:bottom w:val="none" w:sz="0" w:space="0" w:color="auto"/>
            <w:right w:val="none" w:sz="0" w:space="0" w:color="auto"/>
          </w:divBdr>
          <w:divsChild>
            <w:div w:id="543297011">
              <w:marLeft w:val="0"/>
              <w:marRight w:val="0"/>
              <w:marTop w:val="0"/>
              <w:marBottom w:val="0"/>
              <w:divBdr>
                <w:top w:val="none" w:sz="0" w:space="0" w:color="auto"/>
                <w:left w:val="none" w:sz="0" w:space="0" w:color="auto"/>
                <w:bottom w:val="none" w:sz="0" w:space="0" w:color="auto"/>
                <w:right w:val="none" w:sz="0" w:space="0" w:color="auto"/>
              </w:divBdr>
            </w:div>
          </w:divsChild>
        </w:div>
        <w:div w:id="1106192384">
          <w:marLeft w:val="0"/>
          <w:marRight w:val="0"/>
          <w:marTop w:val="0"/>
          <w:marBottom w:val="0"/>
          <w:divBdr>
            <w:top w:val="none" w:sz="0" w:space="0" w:color="auto"/>
            <w:left w:val="none" w:sz="0" w:space="0" w:color="auto"/>
            <w:bottom w:val="none" w:sz="0" w:space="0" w:color="auto"/>
            <w:right w:val="none" w:sz="0" w:space="0" w:color="auto"/>
          </w:divBdr>
          <w:divsChild>
            <w:div w:id="1073426317">
              <w:marLeft w:val="0"/>
              <w:marRight w:val="0"/>
              <w:marTop w:val="0"/>
              <w:marBottom w:val="0"/>
              <w:divBdr>
                <w:top w:val="none" w:sz="0" w:space="0" w:color="auto"/>
                <w:left w:val="none" w:sz="0" w:space="0" w:color="auto"/>
                <w:bottom w:val="none" w:sz="0" w:space="0" w:color="auto"/>
                <w:right w:val="none" w:sz="0" w:space="0" w:color="auto"/>
              </w:divBdr>
            </w:div>
          </w:divsChild>
        </w:div>
        <w:div w:id="1208302378">
          <w:marLeft w:val="0"/>
          <w:marRight w:val="0"/>
          <w:marTop w:val="0"/>
          <w:marBottom w:val="0"/>
          <w:divBdr>
            <w:top w:val="none" w:sz="0" w:space="0" w:color="auto"/>
            <w:left w:val="none" w:sz="0" w:space="0" w:color="auto"/>
            <w:bottom w:val="none" w:sz="0" w:space="0" w:color="auto"/>
            <w:right w:val="none" w:sz="0" w:space="0" w:color="auto"/>
          </w:divBdr>
          <w:divsChild>
            <w:div w:id="1574007104">
              <w:marLeft w:val="0"/>
              <w:marRight w:val="0"/>
              <w:marTop w:val="0"/>
              <w:marBottom w:val="0"/>
              <w:divBdr>
                <w:top w:val="none" w:sz="0" w:space="0" w:color="auto"/>
                <w:left w:val="none" w:sz="0" w:space="0" w:color="auto"/>
                <w:bottom w:val="none" w:sz="0" w:space="0" w:color="auto"/>
                <w:right w:val="none" w:sz="0" w:space="0" w:color="auto"/>
              </w:divBdr>
            </w:div>
          </w:divsChild>
        </w:div>
        <w:div w:id="1531409651">
          <w:marLeft w:val="0"/>
          <w:marRight w:val="0"/>
          <w:marTop w:val="0"/>
          <w:marBottom w:val="0"/>
          <w:divBdr>
            <w:top w:val="none" w:sz="0" w:space="0" w:color="auto"/>
            <w:left w:val="none" w:sz="0" w:space="0" w:color="auto"/>
            <w:bottom w:val="none" w:sz="0" w:space="0" w:color="auto"/>
            <w:right w:val="none" w:sz="0" w:space="0" w:color="auto"/>
          </w:divBdr>
          <w:divsChild>
            <w:div w:id="1596549129">
              <w:marLeft w:val="0"/>
              <w:marRight w:val="0"/>
              <w:marTop w:val="0"/>
              <w:marBottom w:val="0"/>
              <w:divBdr>
                <w:top w:val="none" w:sz="0" w:space="0" w:color="auto"/>
                <w:left w:val="none" w:sz="0" w:space="0" w:color="auto"/>
                <w:bottom w:val="none" w:sz="0" w:space="0" w:color="auto"/>
                <w:right w:val="none" w:sz="0" w:space="0" w:color="auto"/>
              </w:divBdr>
            </w:div>
          </w:divsChild>
        </w:div>
        <w:div w:id="1549608776">
          <w:marLeft w:val="0"/>
          <w:marRight w:val="0"/>
          <w:marTop w:val="0"/>
          <w:marBottom w:val="0"/>
          <w:divBdr>
            <w:top w:val="none" w:sz="0" w:space="0" w:color="auto"/>
            <w:left w:val="none" w:sz="0" w:space="0" w:color="auto"/>
            <w:bottom w:val="none" w:sz="0" w:space="0" w:color="auto"/>
            <w:right w:val="none" w:sz="0" w:space="0" w:color="auto"/>
          </w:divBdr>
          <w:divsChild>
            <w:div w:id="1652903714">
              <w:marLeft w:val="0"/>
              <w:marRight w:val="0"/>
              <w:marTop w:val="0"/>
              <w:marBottom w:val="0"/>
              <w:divBdr>
                <w:top w:val="none" w:sz="0" w:space="0" w:color="auto"/>
                <w:left w:val="none" w:sz="0" w:space="0" w:color="auto"/>
                <w:bottom w:val="none" w:sz="0" w:space="0" w:color="auto"/>
                <w:right w:val="none" w:sz="0" w:space="0" w:color="auto"/>
              </w:divBdr>
            </w:div>
          </w:divsChild>
        </w:div>
        <w:div w:id="1599682009">
          <w:marLeft w:val="0"/>
          <w:marRight w:val="0"/>
          <w:marTop w:val="0"/>
          <w:marBottom w:val="0"/>
          <w:divBdr>
            <w:top w:val="none" w:sz="0" w:space="0" w:color="auto"/>
            <w:left w:val="none" w:sz="0" w:space="0" w:color="auto"/>
            <w:bottom w:val="none" w:sz="0" w:space="0" w:color="auto"/>
            <w:right w:val="none" w:sz="0" w:space="0" w:color="auto"/>
          </w:divBdr>
          <w:divsChild>
            <w:div w:id="338046885">
              <w:marLeft w:val="0"/>
              <w:marRight w:val="0"/>
              <w:marTop w:val="0"/>
              <w:marBottom w:val="0"/>
              <w:divBdr>
                <w:top w:val="none" w:sz="0" w:space="0" w:color="auto"/>
                <w:left w:val="none" w:sz="0" w:space="0" w:color="auto"/>
                <w:bottom w:val="none" w:sz="0" w:space="0" w:color="auto"/>
                <w:right w:val="none" w:sz="0" w:space="0" w:color="auto"/>
              </w:divBdr>
            </w:div>
          </w:divsChild>
        </w:div>
        <w:div w:id="1647317457">
          <w:marLeft w:val="0"/>
          <w:marRight w:val="0"/>
          <w:marTop w:val="0"/>
          <w:marBottom w:val="0"/>
          <w:divBdr>
            <w:top w:val="none" w:sz="0" w:space="0" w:color="auto"/>
            <w:left w:val="none" w:sz="0" w:space="0" w:color="auto"/>
            <w:bottom w:val="none" w:sz="0" w:space="0" w:color="auto"/>
            <w:right w:val="none" w:sz="0" w:space="0" w:color="auto"/>
          </w:divBdr>
          <w:divsChild>
            <w:div w:id="2103640367">
              <w:marLeft w:val="0"/>
              <w:marRight w:val="0"/>
              <w:marTop w:val="0"/>
              <w:marBottom w:val="0"/>
              <w:divBdr>
                <w:top w:val="none" w:sz="0" w:space="0" w:color="auto"/>
                <w:left w:val="none" w:sz="0" w:space="0" w:color="auto"/>
                <w:bottom w:val="none" w:sz="0" w:space="0" w:color="auto"/>
                <w:right w:val="none" w:sz="0" w:space="0" w:color="auto"/>
              </w:divBdr>
            </w:div>
          </w:divsChild>
        </w:div>
        <w:div w:id="1805656911">
          <w:marLeft w:val="0"/>
          <w:marRight w:val="0"/>
          <w:marTop w:val="0"/>
          <w:marBottom w:val="0"/>
          <w:divBdr>
            <w:top w:val="none" w:sz="0" w:space="0" w:color="auto"/>
            <w:left w:val="none" w:sz="0" w:space="0" w:color="auto"/>
            <w:bottom w:val="none" w:sz="0" w:space="0" w:color="auto"/>
            <w:right w:val="none" w:sz="0" w:space="0" w:color="auto"/>
          </w:divBdr>
          <w:divsChild>
            <w:div w:id="439683362">
              <w:marLeft w:val="0"/>
              <w:marRight w:val="0"/>
              <w:marTop w:val="0"/>
              <w:marBottom w:val="0"/>
              <w:divBdr>
                <w:top w:val="none" w:sz="0" w:space="0" w:color="auto"/>
                <w:left w:val="none" w:sz="0" w:space="0" w:color="auto"/>
                <w:bottom w:val="none" w:sz="0" w:space="0" w:color="auto"/>
                <w:right w:val="none" w:sz="0" w:space="0" w:color="auto"/>
              </w:divBdr>
            </w:div>
          </w:divsChild>
        </w:div>
        <w:div w:id="1812822669">
          <w:marLeft w:val="0"/>
          <w:marRight w:val="0"/>
          <w:marTop w:val="0"/>
          <w:marBottom w:val="0"/>
          <w:divBdr>
            <w:top w:val="none" w:sz="0" w:space="0" w:color="auto"/>
            <w:left w:val="none" w:sz="0" w:space="0" w:color="auto"/>
            <w:bottom w:val="none" w:sz="0" w:space="0" w:color="auto"/>
            <w:right w:val="none" w:sz="0" w:space="0" w:color="auto"/>
          </w:divBdr>
          <w:divsChild>
            <w:div w:id="1890141588">
              <w:marLeft w:val="0"/>
              <w:marRight w:val="0"/>
              <w:marTop w:val="0"/>
              <w:marBottom w:val="0"/>
              <w:divBdr>
                <w:top w:val="none" w:sz="0" w:space="0" w:color="auto"/>
                <w:left w:val="none" w:sz="0" w:space="0" w:color="auto"/>
                <w:bottom w:val="none" w:sz="0" w:space="0" w:color="auto"/>
                <w:right w:val="none" w:sz="0" w:space="0" w:color="auto"/>
              </w:divBdr>
            </w:div>
          </w:divsChild>
        </w:div>
        <w:div w:id="1934630209">
          <w:marLeft w:val="0"/>
          <w:marRight w:val="0"/>
          <w:marTop w:val="0"/>
          <w:marBottom w:val="0"/>
          <w:divBdr>
            <w:top w:val="none" w:sz="0" w:space="0" w:color="auto"/>
            <w:left w:val="none" w:sz="0" w:space="0" w:color="auto"/>
            <w:bottom w:val="none" w:sz="0" w:space="0" w:color="auto"/>
            <w:right w:val="none" w:sz="0" w:space="0" w:color="auto"/>
          </w:divBdr>
          <w:divsChild>
            <w:div w:id="606155649">
              <w:marLeft w:val="0"/>
              <w:marRight w:val="0"/>
              <w:marTop w:val="0"/>
              <w:marBottom w:val="0"/>
              <w:divBdr>
                <w:top w:val="none" w:sz="0" w:space="0" w:color="auto"/>
                <w:left w:val="none" w:sz="0" w:space="0" w:color="auto"/>
                <w:bottom w:val="none" w:sz="0" w:space="0" w:color="auto"/>
                <w:right w:val="none" w:sz="0" w:space="0" w:color="auto"/>
              </w:divBdr>
            </w:div>
          </w:divsChild>
        </w:div>
        <w:div w:id="1981958110">
          <w:marLeft w:val="0"/>
          <w:marRight w:val="0"/>
          <w:marTop w:val="0"/>
          <w:marBottom w:val="0"/>
          <w:divBdr>
            <w:top w:val="none" w:sz="0" w:space="0" w:color="auto"/>
            <w:left w:val="none" w:sz="0" w:space="0" w:color="auto"/>
            <w:bottom w:val="none" w:sz="0" w:space="0" w:color="auto"/>
            <w:right w:val="none" w:sz="0" w:space="0" w:color="auto"/>
          </w:divBdr>
          <w:divsChild>
            <w:div w:id="1581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130">
      <w:bodyDiv w:val="1"/>
      <w:marLeft w:val="0"/>
      <w:marRight w:val="0"/>
      <w:marTop w:val="0"/>
      <w:marBottom w:val="0"/>
      <w:divBdr>
        <w:top w:val="none" w:sz="0" w:space="0" w:color="auto"/>
        <w:left w:val="none" w:sz="0" w:space="0" w:color="auto"/>
        <w:bottom w:val="none" w:sz="0" w:space="0" w:color="auto"/>
        <w:right w:val="none" w:sz="0" w:space="0" w:color="auto"/>
      </w:divBdr>
    </w:div>
    <w:div w:id="1841846544">
      <w:bodyDiv w:val="1"/>
      <w:marLeft w:val="0"/>
      <w:marRight w:val="0"/>
      <w:marTop w:val="0"/>
      <w:marBottom w:val="0"/>
      <w:divBdr>
        <w:top w:val="none" w:sz="0" w:space="0" w:color="auto"/>
        <w:left w:val="none" w:sz="0" w:space="0" w:color="auto"/>
        <w:bottom w:val="none" w:sz="0" w:space="0" w:color="auto"/>
        <w:right w:val="none" w:sz="0" w:space="0" w:color="auto"/>
      </w:divBdr>
    </w:div>
    <w:div w:id="1847868658">
      <w:bodyDiv w:val="1"/>
      <w:marLeft w:val="0"/>
      <w:marRight w:val="0"/>
      <w:marTop w:val="0"/>
      <w:marBottom w:val="0"/>
      <w:divBdr>
        <w:top w:val="none" w:sz="0" w:space="0" w:color="auto"/>
        <w:left w:val="none" w:sz="0" w:space="0" w:color="auto"/>
        <w:bottom w:val="none" w:sz="0" w:space="0" w:color="auto"/>
        <w:right w:val="none" w:sz="0" w:space="0" w:color="auto"/>
      </w:divBdr>
    </w:div>
    <w:div w:id="1851482768">
      <w:bodyDiv w:val="1"/>
      <w:marLeft w:val="0"/>
      <w:marRight w:val="0"/>
      <w:marTop w:val="0"/>
      <w:marBottom w:val="0"/>
      <w:divBdr>
        <w:top w:val="none" w:sz="0" w:space="0" w:color="auto"/>
        <w:left w:val="none" w:sz="0" w:space="0" w:color="auto"/>
        <w:bottom w:val="none" w:sz="0" w:space="0" w:color="auto"/>
        <w:right w:val="none" w:sz="0" w:space="0" w:color="auto"/>
      </w:divBdr>
    </w:div>
    <w:div w:id="1856142519">
      <w:bodyDiv w:val="1"/>
      <w:marLeft w:val="0"/>
      <w:marRight w:val="0"/>
      <w:marTop w:val="0"/>
      <w:marBottom w:val="0"/>
      <w:divBdr>
        <w:top w:val="none" w:sz="0" w:space="0" w:color="auto"/>
        <w:left w:val="none" w:sz="0" w:space="0" w:color="auto"/>
        <w:bottom w:val="none" w:sz="0" w:space="0" w:color="auto"/>
        <w:right w:val="none" w:sz="0" w:space="0" w:color="auto"/>
      </w:divBdr>
    </w:div>
    <w:div w:id="1874342280">
      <w:bodyDiv w:val="1"/>
      <w:marLeft w:val="0"/>
      <w:marRight w:val="0"/>
      <w:marTop w:val="0"/>
      <w:marBottom w:val="0"/>
      <w:divBdr>
        <w:top w:val="none" w:sz="0" w:space="0" w:color="auto"/>
        <w:left w:val="none" w:sz="0" w:space="0" w:color="auto"/>
        <w:bottom w:val="none" w:sz="0" w:space="0" w:color="auto"/>
        <w:right w:val="none" w:sz="0" w:space="0" w:color="auto"/>
      </w:divBdr>
    </w:div>
    <w:div w:id="1892231703">
      <w:bodyDiv w:val="1"/>
      <w:marLeft w:val="0"/>
      <w:marRight w:val="0"/>
      <w:marTop w:val="0"/>
      <w:marBottom w:val="0"/>
      <w:divBdr>
        <w:top w:val="none" w:sz="0" w:space="0" w:color="auto"/>
        <w:left w:val="none" w:sz="0" w:space="0" w:color="auto"/>
        <w:bottom w:val="none" w:sz="0" w:space="0" w:color="auto"/>
        <w:right w:val="none" w:sz="0" w:space="0" w:color="auto"/>
      </w:divBdr>
    </w:div>
    <w:div w:id="1899391688">
      <w:bodyDiv w:val="1"/>
      <w:marLeft w:val="0"/>
      <w:marRight w:val="0"/>
      <w:marTop w:val="0"/>
      <w:marBottom w:val="0"/>
      <w:divBdr>
        <w:top w:val="none" w:sz="0" w:space="0" w:color="auto"/>
        <w:left w:val="none" w:sz="0" w:space="0" w:color="auto"/>
        <w:bottom w:val="none" w:sz="0" w:space="0" w:color="auto"/>
        <w:right w:val="none" w:sz="0" w:space="0" w:color="auto"/>
      </w:divBdr>
    </w:div>
    <w:div w:id="1923181432">
      <w:bodyDiv w:val="1"/>
      <w:marLeft w:val="0"/>
      <w:marRight w:val="0"/>
      <w:marTop w:val="0"/>
      <w:marBottom w:val="0"/>
      <w:divBdr>
        <w:top w:val="none" w:sz="0" w:space="0" w:color="auto"/>
        <w:left w:val="none" w:sz="0" w:space="0" w:color="auto"/>
        <w:bottom w:val="none" w:sz="0" w:space="0" w:color="auto"/>
        <w:right w:val="none" w:sz="0" w:space="0" w:color="auto"/>
      </w:divBdr>
    </w:div>
    <w:div w:id="1943952704">
      <w:bodyDiv w:val="1"/>
      <w:marLeft w:val="0"/>
      <w:marRight w:val="0"/>
      <w:marTop w:val="0"/>
      <w:marBottom w:val="0"/>
      <w:divBdr>
        <w:top w:val="none" w:sz="0" w:space="0" w:color="auto"/>
        <w:left w:val="none" w:sz="0" w:space="0" w:color="auto"/>
        <w:bottom w:val="none" w:sz="0" w:space="0" w:color="auto"/>
        <w:right w:val="none" w:sz="0" w:space="0" w:color="auto"/>
      </w:divBdr>
    </w:div>
    <w:div w:id="1950965941">
      <w:bodyDiv w:val="1"/>
      <w:marLeft w:val="0"/>
      <w:marRight w:val="0"/>
      <w:marTop w:val="0"/>
      <w:marBottom w:val="0"/>
      <w:divBdr>
        <w:top w:val="none" w:sz="0" w:space="0" w:color="auto"/>
        <w:left w:val="none" w:sz="0" w:space="0" w:color="auto"/>
        <w:bottom w:val="none" w:sz="0" w:space="0" w:color="auto"/>
        <w:right w:val="none" w:sz="0" w:space="0" w:color="auto"/>
      </w:divBdr>
    </w:div>
    <w:div w:id="1959607714">
      <w:bodyDiv w:val="1"/>
      <w:marLeft w:val="0"/>
      <w:marRight w:val="0"/>
      <w:marTop w:val="0"/>
      <w:marBottom w:val="0"/>
      <w:divBdr>
        <w:top w:val="none" w:sz="0" w:space="0" w:color="auto"/>
        <w:left w:val="none" w:sz="0" w:space="0" w:color="auto"/>
        <w:bottom w:val="none" w:sz="0" w:space="0" w:color="auto"/>
        <w:right w:val="none" w:sz="0" w:space="0" w:color="auto"/>
      </w:divBdr>
    </w:div>
    <w:div w:id="1966351967">
      <w:bodyDiv w:val="1"/>
      <w:marLeft w:val="0"/>
      <w:marRight w:val="0"/>
      <w:marTop w:val="0"/>
      <w:marBottom w:val="0"/>
      <w:divBdr>
        <w:top w:val="none" w:sz="0" w:space="0" w:color="auto"/>
        <w:left w:val="none" w:sz="0" w:space="0" w:color="auto"/>
        <w:bottom w:val="none" w:sz="0" w:space="0" w:color="auto"/>
        <w:right w:val="none" w:sz="0" w:space="0" w:color="auto"/>
      </w:divBdr>
    </w:div>
    <w:div w:id="1982036194">
      <w:bodyDiv w:val="1"/>
      <w:marLeft w:val="0"/>
      <w:marRight w:val="0"/>
      <w:marTop w:val="0"/>
      <w:marBottom w:val="0"/>
      <w:divBdr>
        <w:top w:val="none" w:sz="0" w:space="0" w:color="auto"/>
        <w:left w:val="none" w:sz="0" w:space="0" w:color="auto"/>
        <w:bottom w:val="none" w:sz="0" w:space="0" w:color="auto"/>
        <w:right w:val="none" w:sz="0" w:space="0" w:color="auto"/>
      </w:divBdr>
    </w:div>
    <w:div w:id="1986934884">
      <w:bodyDiv w:val="1"/>
      <w:marLeft w:val="0"/>
      <w:marRight w:val="0"/>
      <w:marTop w:val="0"/>
      <w:marBottom w:val="0"/>
      <w:divBdr>
        <w:top w:val="none" w:sz="0" w:space="0" w:color="auto"/>
        <w:left w:val="none" w:sz="0" w:space="0" w:color="auto"/>
        <w:bottom w:val="none" w:sz="0" w:space="0" w:color="auto"/>
        <w:right w:val="none" w:sz="0" w:space="0" w:color="auto"/>
      </w:divBdr>
    </w:div>
    <w:div w:id="1989967727">
      <w:bodyDiv w:val="1"/>
      <w:marLeft w:val="0"/>
      <w:marRight w:val="0"/>
      <w:marTop w:val="0"/>
      <w:marBottom w:val="0"/>
      <w:divBdr>
        <w:top w:val="none" w:sz="0" w:space="0" w:color="auto"/>
        <w:left w:val="none" w:sz="0" w:space="0" w:color="auto"/>
        <w:bottom w:val="none" w:sz="0" w:space="0" w:color="auto"/>
        <w:right w:val="none" w:sz="0" w:space="0" w:color="auto"/>
      </w:divBdr>
    </w:div>
    <w:div w:id="1993563761">
      <w:bodyDiv w:val="1"/>
      <w:marLeft w:val="0"/>
      <w:marRight w:val="0"/>
      <w:marTop w:val="0"/>
      <w:marBottom w:val="0"/>
      <w:divBdr>
        <w:top w:val="none" w:sz="0" w:space="0" w:color="auto"/>
        <w:left w:val="none" w:sz="0" w:space="0" w:color="auto"/>
        <w:bottom w:val="none" w:sz="0" w:space="0" w:color="auto"/>
        <w:right w:val="none" w:sz="0" w:space="0" w:color="auto"/>
      </w:divBdr>
    </w:div>
    <w:div w:id="1994723239">
      <w:bodyDiv w:val="1"/>
      <w:marLeft w:val="0"/>
      <w:marRight w:val="0"/>
      <w:marTop w:val="0"/>
      <w:marBottom w:val="0"/>
      <w:divBdr>
        <w:top w:val="none" w:sz="0" w:space="0" w:color="auto"/>
        <w:left w:val="none" w:sz="0" w:space="0" w:color="auto"/>
        <w:bottom w:val="none" w:sz="0" w:space="0" w:color="auto"/>
        <w:right w:val="none" w:sz="0" w:space="0" w:color="auto"/>
      </w:divBdr>
    </w:div>
    <w:div w:id="2032412613">
      <w:bodyDiv w:val="1"/>
      <w:marLeft w:val="0"/>
      <w:marRight w:val="0"/>
      <w:marTop w:val="0"/>
      <w:marBottom w:val="0"/>
      <w:divBdr>
        <w:top w:val="none" w:sz="0" w:space="0" w:color="auto"/>
        <w:left w:val="none" w:sz="0" w:space="0" w:color="auto"/>
        <w:bottom w:val="none" w:sz="0" w:space="0" w:color="auto"/>
        <w:right w:val="none" w:sz="0" w:space="0" w:color="auto"/>
      </w:divBdr>
    </w:div>
    <w:div w:id="2053456626">
      <w:bodyDiv w:val="1"/>
      <w:marLeft w:val="0"/>
      <w:marRight w:val="0"/>
      <w:marTop w:val="0"/>
      <w:marBottom w:val="0"/>
      <w:divBdr>
        <w:top w:val="none" w:sz="0" w:space="0" w:color="auto"/>
        <w:left w:val="none" w:sz="0" w:space="0" w:color="auto"/>
        <w:bottom w:val="none" w:sz="0" w:space="0" w:color="auto"/>
        <w:right w:val="none" w:sz="0" w:space="0" w:color="auto"/>
      </w:divBdr>
    </w:div>
    <w:div w:id="2078165806">
      <w:bodyDiv w:val="1"/>
      <w:marLeft w:val="0"/>
      <w:marRight w:val="0"/>
      <w:marTop w:val="0"/>
      <w:marBottom w:val="0"/>
      <w:divBdr>
        <w:top w:val="none" w:sz="0" w:space="0" w:color="auto"/>
        <w:left w:val="none" w:sz="0" w:space="0" w:color="auto"/>
        <w:bottom w:val="none" w:sz="0" w:space="0" w:color="auto"/>
        <w:right w:val="none" w:sz="0" w:space="0" w:color="auto"/>
      </w:divBdr>
      <w:divsChild>
        <w:div w:id="83449">
          <w:marLeft w:val="0"/>
          <w:marRight w:val="0"/>
          <w:marTop w:val="0"/>
          <w:marBottom w:val="0"/>
          <w:divBdr>
            <w:top w:val="none" w:sz="0" w:space="0" w:color="auto"/>
            <w:left w:val="none" w:sz="0" w:space="0" w:color="auto"/>
            <w:bottom w:val="none" w:sz="0" w:space="0" w:color="auto"/>
            <w:right w:val="none" w:sz="0" w:space="0" w:color="auto"/>
          </w:divBdr>
          <w:divsChild>
            <w:div w:id="1097866369">
              <w:marLeft w:val="0"/>
              <w:marRight w:val="0"/>
              <w:marTop w:val="0"/>
              <w:marBottom w:val="0"/>
              <w:divBdr>
                <w:top w:val="none" w:sz="0" w:space="0" w:color="auto"/>
                <w:left w:val="none" w:sz="0" w:space="0" w:color="auto"/>
                <w:bottom w:val="none" w:sz="0" w:space="0" w:color="auto"/>
                <w:right w:val="none" w:sz="0" w:space="0" w:color="auto"/>
              </w:divBdr>
            </w:div>
          </w:divsChild>
        </w:div>
        <w:div w:id="30615650">
          <w:marLeft w:val="0"/>
          <w:marRight w:val="0"/>
          <w:marTop w:val="0"/>
          <w:marBottom w:val="0"/>
          <w:divBdr>
            <w:top w:val="none" w:sz="0" w:space="0" w:color="auto"/>
            <w:left w:val="none" w:sz="0" w:space="0" w:color="auto"/>
            <w:bottom w:val="none" w:sz="0" w:space="0" w:color="auto"/>
            <w:right w:val="none" w:sz="0" w:space="0" w:color="auto"/>
          </w:divBdr>
          <w:divsChild>
            <w:div w:id="524098131">
              <w:marLeft w:val="0"/>
              <w:marRight w:val="0"/>
              <w:marTop w:val="0"/>
              <w:marBottom w:val="0"/>
              <w:divBdr>
                <w:top w:val="none" w:sz="0" w:space="0" w:color="auto"/>
                <w:left w:val="none" w:sz="0" w:space="0" w:color="auto"/>
                <w:bottom w:val="none" w:sz="0" w:space="0" w:color="auto"/>
                <w:right w:val="none" w:sz="0" w:space="0" w:color="auto"/>
              </w:divBdr>
            </w:div>
          </w:divsChild>
        </w:div>
        <w:div w:id="98723452">
          <w:marLeft w:val="0"/>
          <w:marRight w:val="0"/>
          <w:marTop w:val="0"/>
          <w:marBottom w:val="0"/>
          <w:divBdr>
            <w:top w:val="none" w:sz="0" w:space="0" w:color="auto"/>
            <w:left w:val="none" w:sz="0" w:space="0" w:color="auto"/>
            <w:bottom w:val="none" w:sz="0" w:space="0" w:color="auto"/>
            <w:right w:val="none" w:sz="0" w:space="0" w:color="auto"/>
          </w:divBdr>
          <w:divsChild>
            <w:div w:id="2021465617">
              <w:marLeft w:val="0"/>
              <w:marRight w:val="0"/>
              <w:marTop w:val="0"/>
              <w:marBottom w:val="0"/>
              <w:divBdr>
                <w:top w:val="none" w:sz="0" w:space="0" w:color="auto"/>
                <w:left w:val="none" w:sz="0" w:space="0" w:color="auto"/>
                <w:bottom w:val="none" w:sz="0" w:space="0" w:color="auto"/>
                <w:right w:val="none" w:sz="0" w:space="0" w:color="auto"/>
              </w:divBdr>
            </w:div>
          </w:divsChild>
        </w:div>
        <w:div w:id="114952379">
          <w:marLeft w:val="0"/>
          <w:marRight w:val="0"/>
          <w:marTop w:val="0"/>
          <w:marBottom w:val="0"/>
          <w:divBdr>
            <w:top w:val="none" w:sz="0" w:space="0" w:color="auto"/>
            <w:left w:val="none" w:sz="0" w:space="0" w:color="auto"/>
            <w:bottom w:val="none" w:sz="0" w:space="0" w:color="auto"/>
            <w:right w:val="none" w:sz="0" w:space="0" w:color="auto"/>
          </w:divBdr>
          <w:divsChild>
            <w:div w:id="80489725">
              <w:marLeft w:val="0"/>
              <w:marRight w:val="0"/>
              <w:marTop w:val="0"/>
              <w:marBottom w:val="0"/>
              <w:divBdr>
                <w:top w:val="none" w:sz="0" w:space="0" w:color="auto"/>
                <w:left w:val="none" w:sz="0" w:space="0" w:color="auto"/>
                <w:bottom w:val="none" w:sz="0" w:space="0" w:color="auto"/>
                <w:right w:val="none" w:sz="0" w:space="0" w:color="auto"/>
              </w:divBdr>
            </w:div>
          </w:divsChild>
        </w:div>
        <w:div w:id="219754874">
          <w:marLeft w:val="0"/>
          <w:marRight w:val="0"/>
          <w:marTop w:val="0"/>
          <w:marBottom w:val="0"/>
          <w:divBdr>
            <w:top w:val="none" w:sz="0" w:space="0" w:color="auto"/>
            <w:left w:val="none" w:sz="0" w:space="0" w:color="auto"/>
            <w:bottom w:val="none" w:sz="0" w:space="0" w:color="auto"/>
            <w:right w:val="none" w:sz="0" w:space="0" w:color="auto"/>
          </w:divBdr>
          <w:divsChild>
            <w:div w:id="1523668097">
              <w:marLeft w:val="0"/>
              <w:marRight w:val="0"/>
              <w:marTop w:val="0"/>
              <w:marBottom w:val="0"/>
              <w:divBdr>
                <w:top w:val="none" w:sz="0" w:space="0" w:color="auto"/>
                <w:left w:val="none" w:sz="0" w:space="0" w:color="auto"/>
                <w:bottom w:val="none" w:sz="0" w:space="0" w:color="auto"/>
                <w:right w:val="none" w:sz="0" w:space="0" w:color="auto"/>
              </w:divBdr>
            </w:div>
          </w:divsChild>
        </w:div>
        <w:div w:id="232082586">
          <w:marLeft w:val="0"/>
          <w:marRight w:val="0"/>
          <w:marTop w:val="0"/>
          <w:marBottom w:val="0"/>
          <w:divBdr>
            <w:top w:val="none" w:sz="0" w:space="0" w:color="auto"/>
            <w:left w:val="none" w:sz="0" w:space="0" w:color="auto"/>
            <w:bottom w:val="none" w:sz="0" w:space="0" w:color="auto"/>
            <w:right w:val="none" w:sz="0" w:space="0" w:color="auto"/>
          </w:divBdr>
          <w:divsChild>
            <w:div w:id="934023676">
              <w:marLeft w:val="0"/>
              <w:marRight w:val="0"/>
              <w:marTop w:val="0"/>
              <w:marBottom w:val="0"/>
              <w:divBdr>
                <w:top w:val="none" w:sz="0" w:space="0" w:color="auto"/>
                <w:left w:val="none" w:sz="0" w:space="0" w:color="auto"/>
                <w:bottom w:val="none" w:sz="0" w:space="0" w:color="auto"/>
                <w:right w:val="none" w:sz="0" w:space="0" w:color="auto"/>
              </w:divBdr>
            </w:div>
          </w:divsChild>
        </w:div>
        <w:div w:id="244266489">
          <w:marLeft w:val="0"/>
          <w:marRight w:val="0"/>
          <w:marTop w:val="0"/>
          <w:marBottom w:val="0"/>
          <w:divBdr>
            <w:top w:val="none" w:sz="0" w:space="0" w:color="auto"/>
            <w:left w:val="none" w:sz="0" w:space="0" w:color="auto"/>
            <w:bottom w:val="none" w:sz="0" w:space="0" w:color="auto"/>
            <w:right w:val="none" w:sz="0" w:space="0" w:color="auto"/>
          </w:divBdr>
          <w:divsChild>
            <w:div w:id="780682038">
              <w:marLeft w:val="0"/>
              <w:marRight w:val="0"/>
              <w:marTop w:val="0"/>
              <w:marBottom w:val="0"/>
              <w:divBdr>
                <w:top w:val="none" w:sz="0" w:space="0" w:color="auto"/>
                <w:left w:val="none" w:sz="0" w:space="0" w:color="auto"/>
                <w:bottom w:val="none" w:sz="0" w:space="0" w:color="auto"/>
                <w:right w:val="none" w:sz="0" w:space="0" w:color="auto"/>
              </w:divBdr>
            </w:div>
          </w:divsChild>
        </w:div>
        <w:div w:id="339895511">
          <w:marLeft w:val="0"/>
          <w:marRight w:val="0"/>
          <w:marTop w:val="0"/>
          <w:marBottom w:val="0"/>
          <w:divBdr>
            <w:top w:val="none" w:sz="0" w:space="0" w:color="auto"/>
            <w:left w:val="none" w:sz="0" w:space="0" w:color="auto"/>
            <w:bottom w:val="none" w:sz="0" w:space="0" w:color="auto"/>
            <w:right w:val="none" w:sz="0" w:space="0" w:color="auto"/>
          </w:divBdr>
          <w:divsChild>
            <w:div w:id="1580555071">
              <w:marLeft w:val="0"/>
              <w:marRight w:val="0"/>
              <w:marTop w:val="0"/>
              <w:marBottom w:val="0"/>
              <w:divBdr>
                <w:top w:val="none" w:sz="0" w:space="0" w:color="auto"/>
                <w:left w:val="none" w:sz="0" w:space="0" w:color="auto"/>
                <w:bottom w:val="none" w:sz="0" w:space="0" w:color="auto"/>
                <w:right w:val="none" w:sz="0" w:space="0" w:color="auto"/>
              </w:divBdr>
            </w:div>
          </w:divsChild>
        </w:div>
        <w:div w:id="589853272">
          <w:marLeft w:val="0"/>
          <w:marRight w:val="0"/>
          <w:marTop w:val="0"/>
          <w:marBottom w:val="0"/>
          <w:divBdr>
            <w:top w:val="none" w:sz="0" w:space="0" w:color="auto"/>
            <w:left w:val="none" w:sz="0" w:space="0" w:color="auto"/>
            <w:bottom w:val="none" w:sz="0" w:space="0" w:color="auto"/>
            <w:right w:val="none" w:sz="0" w:space="0" w:color="auto"/>
          </w:divBdr>
          <w:divsChild>
            <w:div w:id="493566150">
              <w:marLeft w:val="0"/>
              <w:marRight w:val="0"/>
              <w:marTop w:val="0"/>
              <w:marBottom w:val="0"/>
              <w:divBdr>
                <w:top w:val="none" w:sz="0" w:space="0" w:color="auto"/>
                <w:left w:val="none" w:sz="0" w:space="0" w:color="auto"/>
                <w:bottom w:val="none" w:sz="0" w:space="0" w:color="auto"/>
                <w:right w:val="none" w:sz="0" w:space="0" w:color="auto"/>
              </w:divBdr>
            </w:div>
          </w:divsChild>
        </w:div>
        <w:div w:id="919364242">
          <w:marLeft w:val="0"/>
          <w:marRight w:val="0"/>
          <w:marTop w:val="0"/>
          <w:marBottom w:val="0"/>
          <w:divBdr>
            <w:top w:val="none" w:sz="0" w:space="0" w:color="auto"/>
            <w:left w:val="none" w:sz="0" w:space="0" w:color="auto"/>
            <w:bottom w:val="none" w:sz="0" w:space="0" w:color="auto"/>
            <w:right w:val="none" w:sz="0" w:space="0" w:color="auto"/>
          </w:divBdr>
          <w:divsChild>
            <w:div w:id="1203245279">
              <w:marLeft w:val="0"/>
              <w:marRight w:val="0"/>
              <w:marTop w:val="0"/>
              <w:marBottom w:val="0"/>
              <w:divBdr>
                <w:top w:val="none" w:sz="0" w:space="0" w:color="auto"/>
                <w:left w:val="none" w:sz="0" w:space="0" w:color="auto"/>
                <w:bottom w:val="none" w:sz="0" w:space="0" w:color="auto"/>
                <w:right w:val="none" w:sz="0" w:space="0" w:color="auto"/>
              </w:divBdr>
            </w:div>
          </w:divsChild>
        </w:div>
        <w:div w:id="1076902718">
          <w:marLeft w:val="0"/>
          <w:marRight w:val="0"/>
          <w:marTop w:val="0"/>
          <w:marBottom w:val="0"/>
          <w:divBdr>
            <w:top w:val="none" w:sz="0" w:space="0" w:color="auto"/>
            <w:left w:val="none" w:sz="0" w:space="0" w:color="auto"/>
            <w:bottom w:val="none" w:sz="0" w:space="0" w:color="auto"/>
            <w:right w:val="none" w:sz="0" w:space="0" w:color="auto"/>
          </w:divBdr>
          <w:divsChild>
            <w:div w:id="643853651">
              <w:marLeft w:val="0"/>
              <w:marRight w:val="0"/>
              <w:marTop w:val="0"/>
              <w:marBottom w:val="0"/>
              <w:divBdr>
                <w:top w:val="none" w:sz="0" w:space="0" w:color="auto"/>
                <w:left w:val="none" w:sz="0" w:space="0" w:color="auto"/>
                <w:bottom w:val="none" w:sz="0" w:space="0" w:color="auto"/>
                <w:right w:val="none" w:sz="0" w:space="0" w:color="auto"/>
              </w:divBdr>
            </w:div>
          </w:divsChild>
        </w:div>
        <w:div w:id="1099835279">
          <w:marLeft w:val="0"/>
          <w:marRight w:val="0"/>
          <w:marTop w:val="0"/>
          <w:marBottom w:val="0"/>
          <w:divBdr>
            <w:top w:val="none" w:sz="0" w:space="0" w:color="auto"/>
            <w:left w:val="none" w:sz="0" w:space="0" w:color="auto"/>
            <w:bottom w:val="none" w:sz="0" w:space="0" w:color="auto"/>
            <w:right w:val="none" w:sz="0" w:space="0" w:color="auto"/>
          </w:divBdr>
          <w:divsChild>
            <w:div w:id="1244609929">
              <w:marLeft w:val="0"/>
              <w:marRight w:val="0"/>
              <w:marTop w:val="0"/>
              <w:marBottom w:val="0"/>
              <w:divBdr>
                <w:top w:val="none" w:sz="0" w:space="0" w:color="auto"/>
                <w:left w:val="none" w:sz="0" w:space="0" w:color="auto"/>
                <w:bottom w:val="none" w:sz="0" w:space="0" w:color="auto"/>
                <w:right w:val="none" w:sz="0" w:space="0" w:color="auto"/>
              </w:divBdr>
            </w:div>
          </w:divsChild>
        </w:div>
        <w:div w:id="1259214286">
          <w:marLeft w:val="0"/>
          <w:marRight w:val="0"/>
          <w:marTop w:val="0"/>
          <w:marBottom w:val="0"/>
          <w:divBdr>
            <w:top w:val="none" w:sz="0" w:space="0" w:color="auto"/>
            <w:left w:val="none" w:sz="0" w:space="0" w:color="auto"/>
            <w:bottom w:val="none" w:sz="0" w:space="0" w:color="auto"/>
            <w:right w:val="none" w:sz="0" w:space="0" w:color="auto"/>
          </w:divBdr>
          <w:divsChild>
            <w:div w:id="1053506953">
              <w:marLeft w:val="0"/>
              <w:marRight w:val="0"/>
              <w:marTop w:val="0"/>
              <w:marBottom w:val="0"/>
              <w:divBdr>
                <w:top w:val="none" w:sz="0" w:space="0" w:color="auto"/>
                <w:left w:val="none" w:sz="0" w:space="0" w:color="auto"/>
                <w:bottom w:val="none" w:sz="0" w:space="0" w:color="auto"/>
                <w:right w:val="none" w:sz="0" w:space="0" w:color="auto"/>
              </w:divBdr>
            </w:div>
          </w:divsChild>
        </w:div>
        <w:div w:id="1293944290">
          <w:marLeft w:val="0"/>
          <w:marRight w:val="0"/>
          <w:marTop w:val="0"/>
          <w:marBottom w:val="0"/>
          <w:divBdr>
            <w:top w:val="none" w:sz="0" w:space="0" w:color="auto"/>
            <w:left w:val="none" w:sz="0" w:space="0" w:color="auto"/>
            <w:bottom w:val="none" w:sz="0" w:space="0" w:color="auto"/>
            <w:right w:val="none" w:sz="0" w:space="0" w:color="auto"/>
          </w:divBdr>
          <w:divsChild>
            <w:div w:id="928193410">
              <w:marLeft w:val="0"/>
              <w:marRight w:val="0"/>
              <w:marTop w:val="0"/>
              <w:marBottom w:val="0"/>
              <w:divBdr>
                <w:top w:val="none" w:sz="0" w:space="0" w:color="auto"/>
                <w:left w:val="none" w:sz="0" w:space="0" w:color="auto"/>
                <w:bottom w:val="none" w:sz="0" w:space="0" w:color="auto"/>
                <w:right w:val="none" w:sz="0" w:space="0" w:color="auto"/>
              </w:divBdr>
            </w:div>
          </w:divsChild>
        </w:div>
        <w:div w:id="1399206186">
          <w:marLeft w:val="0"/>
          <w:marRight w:val="0"/>
          <w:marTop w:val="0"/>
          <w:marBottom w:val="0"/>
          <w:divBdr>
            <w:top w:val="none" w:sz="0" w:space="0" w:color="auto"/>
            <w:left w:val="none" w:sz="0" w:space="0" w:color="auto"/>
            <w:bottom w:val="none" w:sz="0" w:space="0" w:color="auto"/>
            <w:right w:val="none" w:sz="0" w:space="0" w:color="auto"/>
          </w:divBdr>
          <w:divsChild>
            <w:div w:id="912785970">
              <w:marLeft w:val="0"/>
              <w:marRight w:val="0"/>
              <w:marTop w:val="0"/>
              <w:marBottom w:val="0"/>
              <w:divBdr>
                <w:top w:val="none" w:sz="0" w:space="0" w:color="auto"/>
                <w:left w:val="none" w:sz="0" w:space="0" w:color="auto"/>
                <w:bottom w:val="none" w:sz="0" w:space="0" w:color="auto"/>
                <w:right w:val="none" w:sz="0" w:space="0" w:color="auto"/>
              </w:divBdr>
            </w:div>
          </w:divsChild>
        </w:div>
        <w:div w:id="1417095497">
          <w:marLeft w:val="0"/>
          <w:marRight w:val="0"/>
          <w:marTop w:val="0"/>
          <w:marBottom w:val="0"/>
          <w:divBdr>
            <w:top w:val="none" w:sz="0" w:space="0" w:color="auto"/>
            <w:left w:val="none" w:sz="0" w:space="0" w:color="auto"/>
            <w:bottom w:val="none" w:sz="0" w:space="0" w:color="auto"/>
            <w:right w:val="none" w:sz="0" w:space="0" w:color="auto"/>
          </w:divBdr>
          <w:divsChild>
            <w:div w:id="798914580">
              <w:marLeft w:val="0"/>
              <w:marRight w:val="0"/>
              <w:marTop w:val="0"/>
              <w:marBottom w:val="0"/>
              <w:divBdr>
                <w:top w:val="none" w:sz="0" w:space="0" w:color="auto"/>
                <w:left w:val="none" w:sz="0" w:space="0" w:color="auto"/>
                <w:bottom w:val="none" w:sz="0" w:space="0" w:color="auto"/>
                <w:right w:val="none" w:sz="0" w:space="0" w:color="auto"/>
              </w:divBdr>
            </w:div>
          </w:divsChild>
        </w:div>
        <w:div w:id="1539049272">
          <w:marLeft w:val="0"/>
          <w:marRight w:val="0"/>
          <w:marTop w:val="0"/>
          <w:marBottom w:val="0"/>
          <w:divBdr>
            <w:top w:val="none" w:sz="0" w:space="0" w:color="auto"/>
            <w:left w:val="none" w:sz="0" w:space="0" w:color="auto"/>
            <w:bottom w:val="none" w:sz="0" w:space="0" w:color="auto"/>
            <w:right w:val="none" w:sz="0" w:space="0" w:color="auto"/>
          </w:divBdr>
          <w:divsChild>
            <w:div w:id="160586904">
              <w:marLeft w:val="0"/>
              <w:marRight w:val="0"/>
              <w:marTop w:val="0"/>
              <w:marBottom w:val="0"/>
              <w:divBdr>
                <w:top w:val="none" w:sz="0" w:space="0" w:color="auto"/>
                <w:left w:val="none" w:sz="0" w:space="0" w:color="auto"/>
                <w:bottom w:val="none" w:sz="0" w:space="0" w:color="auto"/>
                <w:right w:val="none" w:sz="0" w:space="0" w:color="auto"/>
              </w:divBdr>
            </w:div>
          </w:divsChild>
        </w:div>
        <w:div w:id="1664383916">
          <w:marLeft w:val="0"/>
          <w:marRight w:val="0"/>
          <w:marTop w:val="0"/>
          <w:marBottom w:val="0"/>
          <w:divBdr>
            <w:top w:val="none" w:sz="0" w:space="0" w:color="auto"/>
            <w:left w:val="none" w:sz="0" w:space="0" w:color="auto"/>
            <w:bottom w:val="none" w:sz="0" w:space="0" w:color="auto"/>
            <w:right w:val="none" w:sz="0" w:space="0" w:color="auto"/>
          </w:divBdr>
          <w:divsChild>
            <w:div w:id="112095713">
              <w:marLeft w:val="0"/>
              <w:marRight w:val="0"/>
              <w:marTop w:val="0"/>
              <w:marBottom w:val="0"/>
              <w:divBdr>
                <w:top w:val="none" w:sz="0" w:space="0" w:color="auto"/>
                <w:left w:val="none" w:sz="0" w:space="0" w:color="auto"/>
                <w:bottom w:val="none" w:sz="0" w:space="0" w:color="auto"/>
                <w:right w:val="none" w:sz="0" w:space="0" w:color="auto"/>
              </w:divBdr>
            </w:div>
          </w:divsChild>
        </w:div>
        <w:div w:id="1702168526">
          <w:marLeft w:val="0"/>
          <w:marRight w:val="0"/>
          <w:marTop w:val="0"/>
          <w:marBottom w:val="0"/>
          <w:divBdr>
            <w:top w:val="none" w:sz="0" w:space="0" w:color="auto"/>
            <w:left w:val="none" w:sz="0" w:space="0" w:color="auto"/>
            <w:bottom w:val="none" w:sz="0" w:space="0" w:color="auto"/>
            <w:right w:val="none" w:sz="0" w:space="0" w:color="auto"/>
          </w:divBdr>
          <w:divsChild>
            <w:div w:id="195126175">
              <w:marLeft w:val="0"/>
              <w:marRight w:val="0"/>
              <w:marTop w:val="0"/>
              <w:marBottom w:val="0"/>
              <w:divBdr>
                <w:top w:val="none" w:sz="0" w:space="0" w:color="auto"/>
                <w:left w:val="none" w:sz="0" w:space="0" w:color="auto"/>
                <w:bottom w:val="none" w:sz="0" w:space="0" w:color="auto"/>
                <w:right w:val="none" w:sz="0" w:space="0" w:color="auto"/>
              </w:divBdr>
            </w:div>
          </w:divsChild>
        </w:div>
        <w:div w:id="1952129796">
          <w:marLeft w:val="0"/>
          <w:marRight w:val="0"/>
          <w:marTop w:val="0"/>
          <w:marBottom w:val="0"/>
          <w:divBdr>
            <w:top w:val="none" w:sz="0" w:space="0" w:color="auto"/>
            <w:left w:val="none" w:sz="0" w:space="0" w:color="auto"/>
            <w:bottom w:val="none" w:sz="0" w:space="0" w:color="auto"/>
            <w:right w:val="none" w:sz="0" w:space="0" w:color="auto"/>
          </w:divBdr>
          <w:divsChild>
            <w:div w:id="1326317691">
              <w:marLeft w:val="0"/>
              <w:marRight w:val="0"/>
              <w:marTop w:val="0"/>
              <w:marBottom w:val="0"/>
              <w:divBdr>
                <w:top w:val="none" w:sz="0" w:space="0" w:color="auto"/>
                <w:left w:val="none" w:sz="0" w:space="0" w:color="auto"/>
                <w:bottom w:val="none" w:sz="0" w:space="0" w:color="auto"/>
                <w:right w:val="none" w:sz="0" w:space="0" w:color="auto"/>
              </w:divBdr>
            </w:div>
          </w:divsChild>
        </w:div>
        <w:div w:id="1965379000">
          <w:marLeft w:val="0"/>
          <w:marRight w:val="0"/>
          <w:marTop w:val="0"/>
          <w:marBottom w:val="0"/>
          <w:divBdr>
            <w:top w:val="none" w:sz="0" w:space="0" w:color="auto"/>
            <w:left w:val="none" w:sz="0" w:space="0" w:color="auto"/>
            <w:bottom w:val="none" w:sz="0" w:space="0" w:color="auto"/>
            <w:right w:val="none" w:sz="0" w:space="0" w:color="auto"/>
          </w:divBdr>
          <w:divsChild>
            <w:div w:id="1176503286">
              <w:marLeft w:val="0"/>
              <w:marRight w:val="0"/>
              <w:marTop w:val="0"/>
              <w:marBottom w:val="0"/>
              <w:divBdr>
                <w:top w:val="none" w:sz="0" w:space="0" w:color="auto"/>
                <w:left w:val="none" w:sz="0" w:space="0" w:color="auto"/>
                <w:bottom w:val="none" w:sz="0" w:space="0" w:color="auto"/>
                <w:right w:val="none" w:sz="0" w:space="0" w:color="auto"/>
              </w:divBdr>
            </w:div>
          </w:divsChild>
        </w:div>
        <w:div w:id="2048723640">
          <w:marLeft w:val="0"/>
          <w:marRight w:val="0"/>
          <w:marTop w:val="0"/>
          <w:marBottom w:val="0"/>
          <w:divBdr>
            <w:top w:val="none" w:sz="0" w:space="0" w:color="auto"/>
            <w:left w:val="none" w:sz="0" w:space="0" w:color="auto"/>
            <w:bottom w:val="none" w:sz="0" w:space="0" w:color="auto"/>
            <w:right w:val="none" w:sz="0" w:space="0" w:color="auto"/>
          </w:divBdr>
          <w:divsChild>
            <w:div w:id="1065758650">
              <w:marLeft w:val="0"/>
              <w:marRight w:val="0"/>
              <w:marTop w:val="0"/>
              <w:marBottom w:val="0"/>
              <w:divBdr>
                <w:top w:val="none" w:sz="0" w:space="0" w:color="auto"/>
                <w:left w:val="none" w:sz="0" w:space="0" w:color="auto"/>
                <w:bottom w:val="none" w:sz="0" w:space="0" w:color="auto"/>
                <w:right w:val="none" w:sz="0" w:space="0" w:color="auto"/>
              </w:divBdr>
            </w:div>
          </w:divsChild>
        </w:div>
        <w:div w:id="2064517191">
          <w:marLeft w:val="0"/>
          <w:marRight w:val="0"/>
          <w:marTop w:val="0"/>
          <w:marBottom w:val="0"/>
          <w:divBdr>
            <w:top w:val="none" w:sz="0" w:space="0" w:color="auto"/>
            <w:left w:val="none" w:sz="0" w:space="0" w:color="auto"/>
            <w:bottom w:val="none" w:sz="0" w:space="0" w:color="auto"/>
            <w:right w:val="none" w:sz="0" w:space="0" w:color="auto"/>
          </w:divBdr>
          <w:divsChild>
            <w:div w:id="242644386">
              <w:marLeft w:val="0"/>
              <w:marRight w:val="0"/>
              <w:marTop w:val="0"/>
              <w:marBottom w:val="0"/>
              <w:divBdr>
                <w:top w:val="none" w:sz="0" w:space="0" w:color="auto"/>
                <w:left w:val="none" w:sz="0" w:space="0" w:color="auto"/>
                <w:bottom w:val="none" w:sz="0" w:space="0" w:color="auto"/>
                <w:right w:val="none" w:sz="0" w:space="0" w:color="auto"/>
              </w:divBdr>
            </w:div>
          </w:divsChild>
        </w:div>
        <w:div w:id="2074347773">
          <w:marLeft w:val="0"/>
          <w:marRight w:val="0"/>
          <w:marTop w:val="0"/>
          <w:marBottom w:val="0"/>
          <w:divBdr>
            <w:top w:val="none" w:sz="0" w:space="0" w:color="auto"/>
            <w:left w:val="none" w:sz="0" w:space="0" w:color="auto"/>
            <w:bottom w:val="none" w:sz="0" w:space="0" w:color="auto"/>
            <w:right w:val="none" w:sz="0" w:space="0" w:color="auto"/>
          </w:divBdr>
          <w:divsChild>
            <w:div w:id="17774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75047">
      <w:bodyDiv w:val="1"/>
      <w:marLeft w:val="0"/>
      <w:marRight w:val="0"/>
      <w:marTop w:val="0"/>
      <w:marBottom w:val="0"/>
      <w:divBdr>
        <w:top w:val="none" w:sz="0" w:space="0" w:color="auto"/>
        <w:left w:val="none" w:sz="0" w:space="0" w:color="auto"/>
        <w:bottom w:val="none" w:sz="0" w:space="0" w:color="auto"/>
        <w:right w:val="none" w:sz="0" w:space="0" w:color="auto"/>
      </w:divBdr>
    </w:div>
    <w:div w:id="212645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footer" Target="footer6.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oter" Target="footer8.xml"/><Relationship Id="rId63"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4.xml"/><Relationship Id="rId41" Type="http://schemas.openxmlformats.org/officeDocument/2006/relationships/image" Target="media/image22.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health.gov.au/resources/publications/financial-report-on-the-australian-aged-care-sector-2023-24?language=en" TargetMode="External"/><Relationship Id="rId32" Type="http://schemas.openxmlformats.org/officeDocument/2006/relationships/footer" Target="footer5.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8.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4" Type="http://schemas.openxmlformats.org/officeDocument/2006/relationships/image" Target="media/image25.png"/><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gedcarequality.gov.au/resource-library/rb-2023-19-workforce-related-responsibilities" TargetMode="External"/><Relationship Id="rId22" Type="http://schemas.openxmlformats.org/officeDocument/2006/relationships/image" Target="media/image11.png"/><Relationship Id="rId27" Type="http://schemas.openxmlformats.org/officeDocument/2006/relationships/image" Target="cid:image001.png@01DB3B69.84321080" TargetMode="External"/><Relationship Id="rId30" Type="http://schemas.openxmlformats.org/officeDocument/2006/relationships/header" Target="header5.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eader" Target="header9.xml"/><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health.gov.au/resources/publications/care-minutes-in-residential-aged-care-dashboard?language=en" TargetMode="External"/><Relationship Id="rId18" Type="http://schemas.openxmlformats.org/officeDocument/2006/relationships/hyperlink" Target="https://www.health.gov.au/resources/publications/care-minutes-in-residential-aged-care-dashboard?language=en" TargetMode="External"/><Relationship Id="rId26" Type="http://schemas.openxmlformats.org/officeDocument/2006/relationships/hyperlink" Target="https://www.health.gov.au/resources/publications/care-minutes-in-residential-aged-care-dashboard?language=en" TargetMode="External"/><Relationship Id="rId39" Type="http://schemas.openxmlformats.org/officeDocument/2006/relationships/hyperlink" Target="https://www.health.gov.au/resources/publications/the-australian-national-aged-care-classification-an-acc-funding-guide?language=en" TargetMode="External"/><Relationship Id="rId3" Type="http://schemas.openxmlformats.org/officeDocument/2006/relationships/hyperlink" Target="https://www.health.gov.au/resources/publications/the-australian-national-aged-care-classification-an-acc-funding-guide" TargetMode="External"/><Relationship Id="rId21" Type="http://schemas.openxmlformats.org/officeDocument/2006/relationships/hyperlink" Target="https://opus.lib.uts.edu.au/bitstream/10453/182408/2/UARC_Australias%20Aged%20Care%20Sector%20Full%20Year%20Report%202023-24.pdf" TargetMode="External"/><Relationship Id="rId34" Type="http://schemas.openxmlformats.org/officeDocument/2006/relationships/hyperlink" Target="https://www.health.gov.au/sites/default/files/2025-06/quarterly-financial-snapshot-of-the-aged-care-sector-quarter-2-2024-25-october-to-december-2024_0.pdf" TargetMode="External"/><Relationship Id="rId42" Type="http://schemas.openxmlformats.org/officeDocument/2006/relationships/hyperlink" Target="https://www.health.gov.au/committees-and-groups/aged-care-council-of-elders" TargetMode="External"/><Relationship Id="rId47" Type="http://schemas.openxmlformats.org/officeDocument/2006/relationships/hyperlink" Target="https://www.health.gov.au/committees-and-groups/national-aged-care-advisory-council?language=en" TargetMode="External"/><Relationship Id="rId7" Type="http://schemas.openxmlformats.org/officeDocument/2006/relationships/hyperlink" Target="https://www.health.gov.au/our-work/star-ratings-for-residential-aged-care" TargetMode="External"/><Relationship Id="rId12" Type="http://schemas.openxmlformats.org/officeDocument/2006/relationships/hyperlink" Target="https://www.health.gov.au/resources/publications/provider-level-care-minutes-performance-from-october-2023" TargetMode="External"/><Relationship Id="rId17" Type="http://schemas.openxmlformats.org/officeDocument/2006/relationships/hyperlink" Target="https://www.health.gov.au/topics/rural-health-workforce/classifications/mmm" TargetMode="External"/><Relationship Id="rId25" Type="http://schemas.openxmlformats.org/officeDocument/2006/relationships/hyperlink" Target="https://www.gen-agedcaredata.gov.au/resources/publications/2024/august/2023-aged-care-provider-workforce-survey-summary-report" TargetMode="External"/><Relationship Id="rId33" Type="http://schemas.openxmlformats.org/officeDocument/2006/relationships/hyperlink" Target="https://www.stewartbrown.com.au/news-articles/26-aged-care/312-2025-03-stewartbrown-aged-care-financial-performance-survey-analysis-report-december-2024" TargetMode="External"/><Relationship Id="rId38" Type="http://schemas.openxmlformats.org/officeDocument/2006/relationships/hyperlink" Target="https://www.health.gov.au/resources/publications/care-minutes-in-residential-aged-care-dashboard?language=en" TargetMode="External"/><Relationship Id="rId46" Type="http://schemas.openxmlformats.org/officeDocument/2006/relationships/hyperlink" Target="https://www.health.gov.au/committees-and-groups/residential-aged-care-rac-funding-reform-working-group" TargetMode="External"/><Relationship Id="rId2" Type="http://schemas.openxmlformats.org/officeDocument/2006/relationships/hyperlink" Target="https://www.legislation.gov.au/F2023L01220/latest/text" TargetMode="External"/><Relationship Id="rId16" Type="http://schemas.openxmlformats.org/officeDocument/2006/relationships/hyperlink" Target="https://www.jobsandskills.gov.au/sites/default/files/2023-12/Care%20Workforce%20Labour%20Market%20Study_0.pdf" TargetMode="External"/><Relationship Id="rId20" Type="http://schemas.openxmlformats.org/officeDocument/2006/relationships/hyperlink" Target="https://opus.lib.uts.edu.au/handle/10453/179532" TargetMode="External"/><Relationship Id="rId29" Type="http://schemas.openxmlformats.org/officeDocument/2006/relationships/hyperlink" Target="https://www.health.gov.au/resources/publications/letter-to-aged-care-providers-from-the-minister-for-aged-care-about-care-minutes-1-october-2024?language=en" TargetMode="External"/><Relationship Id="rId41" Type="http://schemas.openxmlformats.org/officeDocument/2006/relationships/hyperlink" Target="https://oia.pmc.gov.au/sites/default/files/posts/2021/06/regulation_impact_statement_-_residential_aged_care_funding_-_accessibility_checked_may_2021.pdf" TargetMode="External"/><Relationship Id="rId1" Type="http://schemas.openxmlformats.org/officeDocument/2006/relationships/hyperlink" Target="https://www.legislation.gov.au/F2014L00830/latest/text" TargetMode="External"/><Relationship Id="rId6" Type="http://schemas.openxmlformats.org/officeDocument/2006/relationships/hyperlink" Target="https://www.agedcarequality.gov.au/resource-library/rb-2023-19-workforce-related-responsibilities" TargetMode="External"/><Relationship Id="rId11" Type="http://schemas.openxmlformats.org/officeDocument/2006/relationships/hyperlink" Target="https://www.health.gov.au/resources/publications/service-level-care-minutes-performance-in-residential-aged-care-from-october-to-december-2024" TargetMode="External"/><Relationship Id="rId24" Type="http://schemas.openxmlformats.org/officeDocument/2006/relationships/hyperlink" Target="https://www.royalcommission.gov.au/aged-care/final-report" TargetMode="External"/><Relationship Id="rId32" Type="http://schemas.openxmlformats.org/officeDocument/2006/relationships/hyperlink" Target="https://www.health.gov.au/starratings/about" TargetMode="External"/><Relationship Id="rId37" Type="http://schemas.openxmlformats.org/officeDocument/2006/relationships/hyperlink" Target="https://aus01.safelinks.protection.outlook.com/?url=https%3A%2F%2Fwww.health.gov.au%2Fresources%2Fpublications%2Fservice-level-care-minutes-performance-in-residential-aged-care-october-to-december-2024-2024-25-financial-year-quarter-2&amp;data=05%7C02%7CWarwick.Wearing%40Protected.Health.gov.au%7Cea04cdabce4445d5426808ddd49d160d%7C311f614e26874905bb5cf592370e0d41%7C1%7C0%7C638900493363676181%7CUnknown%7CTWFpbGZsb3d8eyJFbXB0eU1hcGkiOnRydWUsIlYiOiIwLjAuMDAwMCIsIlAiOiJXaW4zMiIsIkFOIjoiTWFpbCIsIldUIjoyfQ%3D%3D%7C0%7C%7C%7C&amp;sdata=wvh0eJ2Aafeez2KlxH32M%2F3UD7AyHrF4Fxm0T7UBVXA%3D&amp;reserved=0" TargetMode="External"/><Relationship Id="rId40" Type="http://schemas.openxmlformats.org/officeDocument/2006/relationships/hyperlink" Target="https://opus.lib.uts.edu.au/bitstream/10453/182408/2/UARC_Australias%20Aged%20Care%20Sector%20Full%20Year%20Report%202023-24.pdf" TargetMode="External"/><Relationship Id="rId45" Type="http://schemas.openxmlformats.org/officeDocument/2006/relationships/hyperlink" Target="https://www.health.gov.au/committees-and-groups/aged-care-council-of-elders" TargetMode="External"/><Relationship Id="rId5" Type="http://schemas.openxmlformats.org/officeDocument/2006/relationships/hyperlink" Target="https://www.health.gov.au/our-work/care-minutes-registered-nurses-aged-care/care-minutes/support" TargetMode="External"/><Relationship Id="rId15" Type="http://schemas.openxmlformats.org/officeDocument/2006/relationships/hyperlink" Target="https://www.royalcommission.gov.au/aged-care/final-report" TargetMode="External"/><Relationship Id="rId23" Type="http://schemas.openxmlformats.org/officeDocument/2006/relationships/hyperlink" Target="https://www.agedcarequality.gov.au/news-publications/media-releases/commission-cracks-down-aged-care-providers-failing-meet-care-minutes" TargetMode="External"/><Relationship Id="rId28" Type="http://schemas.openxmlformats.org/officeDocument/2006/relationships/hyperlink" Target="https://www.agedcarequality.gov.au/resource-library/rb-2023-19-workforce-related-responsibilities" TargetMode="External"/><Relationship Id="rId36" Type="http://schemas.openxmlformats.org/officeDocument/2006/relationships/hyperlink" Target="https://www.myagedcare.gov.au/find-a-provider/" TargetMode="External"/><Relationship Id="rId49" Type="http://schemas.openxmlformats.org/officeDocument/2006/relationships/hyperlink" Target="https://oia.pmc.gov.au/sites/default/files/2024-02/regulatory-burden-measurement-framework.pdf" TargetMode="External"/><Relationship Id="rId10" Type="http://schemas.openxmlformats.org/officeDocument/2006/relationships/hyperlink" Target="https://www.health.gov.au/resources/publications/star-ratings-evaluation-summary-report?language=en%22%20%5Cl%20%22:~:text=Summary%20report%20from%20the%202024%20independent%20evaluation%20of,activities%20were%20held%20between%20April%20and%20August%202024." TargetMode="External"/><Relationship Id="rId19" Type="http://schemas.openxmlformats.org/officeDocument/2006/relationships/hyperlink" Target="https://www.stewartbrown.com.au/images/documents/StewartBrown_-_Aged_Care_Financial_Performance_Survey_Report_FY_June_2024.pdf" TargetMode="External"/><Relationship Id="rId31" Type="http://schemas.openxmlformats.org/officeDocument/2006/relationships/hyperlink" Target="https://www.health.gov.au/resources/publications/letter-to-aged-care-providers-from-the-minister-for-aged-care-about-care-minutes-1-october-2024?language=en" TargetMode="External"/><Relationship Id="rId44" Type="http://schemas.openxmlformats.org/officeDocument/2006/relationships/hyperlink" Target="https://www.health.gov.au/committees-and-groups/national-aged-care-advisory-council?language=en" TargetMode="External"/><Relationship Id="rId4" Type="http://schemas.openxmlformats.org/officeDocument/2006/relationships/hyperlink" Target="https://www.health.gov.au/our-work/care-minutes-registered-nurses-aged-care" TargetMode="External"/><Relationship Id="rId9" Type="http://schemas.openxmlformats.org/officeDocument/2006/relationships/hyperlink" Target="https://www.myagedcare.gov.au/find-a-provider/" TargetMode="External"/><Relationship Id="rId14" Type="http://schemas.openxmlformats.org/officeDocument/2006/relationships/hyperlink" Target="https://www.royalcommission.gov.au/aged-care/final-report" TargetMode="External"/><Relationship Id="rId22" Type="http://schemas.openxmlformats.org/officeDocument/2006/relationships/hyperlink" Target="https://www.health.gov.au/resources/publications/letter-to-aged-care-providers-from-the-minister-for-aged-care-about-care-minutes-1-october-2024?language=en" TargetMode="External"/><Relationship Id="rId27" Type="http://schemas.openxmlformats.org/officeDocument/2006/relationships/hyperlink" Target="https://www.agedcarequality.gov.au/resource-library/regulatory-strategy-2024-25" TargetMode="External"/><Relationship Id="rId30" Type="http://schemas.openxmlformats.org/officeDocument/2006/relationships/hyperlink" Target="https://www.health.gov.au/resources/publications/registered-nurse-coverage-in-residential-aged-care-dashboard" TargetMode="External"/><Relationship Id="rId35" Type="http://schemas.openxmlformats.org/officeDocument/2006/relationships/hyperlink" Target="https://www.agedcarequality.gov.au/sites/default/files/media/rb-2023-19-workforce-related-responsibilities.pdf" TargetMode="External"/><Relationship Id="rId43" Type="http://schemas.openxmlformats.org/officeDocument/2006/relationships/hyperlink" Target="https://www.health.gov.au/committees-and-groups/residential-aged-care-rac-funding-reform-working-group" TargetMode="External"/><Relationship Id="rId48" Type="http://schemas.openxmlformats.org/officeDocument/2006/relationships/hyperlink" Target="https://oia.pmc.gov.au/sites/default/files/2023-08/cost-benefit-analysis.pdf" TargetMode="External"/><Relationship Id="rId8" Type="http://schemas.openxmlformats.org/officeDocument/2006/relationships/hyperlink" Target="https://www.myagedcare.gov.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663B9-E3F7-4A38-B17E-15421C0705FC}">
  <ds:schemaRefs>
    <ds:schemaRef ds:uri="http://schemas.openxmlformats.org/officeDocument/2006/bibliography"/>
  </ds:schemaRefs>
</ds:datastoreItem>
</file>

<file path=docMetadata/LabelInfo.xml><?xml version="1.0" encoding="utf-8"?>
<clbl:labelList xmlns:clbl="http://schemas.microsoft.com/office/2020/mipLabelMetadata">
  <clbl:label id="{b6388990-a08e-44f4-a5b0-f44eab36c88f}"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Template>
  <TotalTime>0</TotalTime>
  <Pages>69</Pages>
  <Words>27341</Words>
  <Characters>155845</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182821</CharactersWithSpaces>
  <SharedDoc>false</SharedDoc>
  <HLinks>
    <vt:vector size="396" baseType="variant">
      <vt:variant>
        <vt:i4>5308510</vt:i4>
      </vt:variant>
      <vt:variant>
        <vt:i4>96</vt:i4>
      </vt:variant>
      <vt:variant>
        <vt:i4>0</vt:i4>
      </vt:variant>
      <vt:variant>
        <vt:i4>5</vt:i4>
      </vt:variant>
      <vt:variant>
        <vt:lpwstr>https://www.health.gov.au/resources/publications/financial-report-on-the-australian-aged-care-sector-2023-24?language=en</vt:lpwstr>
      </vt:variant>
      <vt:variant>
        <vt:lpwstr/>
      </vt:variant>
      <vt:variant>
        <vt:i4>4849747</vt:i4>
      </vt:variant>
      <vt:variant>
        <vt:i4>93</vt:i4>
      </vt:variant>
      <vt:variant>
        <vt:i4>0</vt:i4>
      </vt:variant>
      <vt:variant>
        <vt:i4>5</vt:i4>
      </vt:variant>
      <vt:variant>
        <vt:lpwstr>https://www.agedcarequality.gov.au/resource-library/rb-2023-19-workforce-related-responsibilities</vt:lpwstr>
      </vt:variant>
      <vt:variant>
        <vt:lpwstr/>
      </vt:variant>
      <vt:variant>
        <vt:i4>1179696</vt:i4>
      </vt:variant>
      <vt:variant>
        <vt:i4>86</vt:i4>
      </vt:variant>
      <vt:variant>
        <vt:i4>0</vt:i4>
      </vt:variant>
      <vt:variant>
        <vt:i4>5</vt:i4>
      </vt:variant>
      <vt:variant>
        <vt:lpwstr/>
      </vt:variant>
      <vt:variant>
        <vt:lpwstr>_Toc207014410</vt:lpwstr>
      </vt:variant>
      <vt:variant>
        <vt:i4>1245232</vt:i4>
      </vt:variant>
      <vt:variant>
        <vt:i4>80</vt:i4>
      </vt:variant>
      <vt:variant>
        <vt:i4>0</vt:i4>
      </vt:variant>
      <vt:variant>
        <vt:i4>5</vt:i4>
      </vt:variant>
      <vt:variant>
        <vt:lpwstr/>
      </vt:variant>
      <vt:variant>
        <vt:lpwstr>_Toc207014409</vt:lpwstr>
      </vt:variant>
      <vt:variant>
        <vt:i4>1245232</vt:i4>
      </vt:variant>
      <vt:variant>
        <vt:i4>74</vt:i4>
      </vt:variant>
      <vt:variant>
        <vt:i4>0</vt:i4>
      </vt:variant>
      <vt:variant>
        <vt:i4>5</vt:i4>
      </vt:variant>
      <vt:variant>
        <vt:lpwstr/>
      </vt:variant>
      <vt:variant>
        <vt:lpwstr>_Toc207014408</vt:lpwstr>
      </vt:variant>
      <vt:variant>
        <vt:i4>1245232</vt:i4>
      </vt:variant>
      <vt:variant>
        <vt:i4>68</vt:i4>
      </vt:variant>
      <vt:variant>
        <vt:i4>0</vt:i4>
      </vt:variant>
      <vt:variant>
        <vt:i4>5</vt:i4>
      </vt:variant>
      <vt:variant>
        <vt:lpwstr/>
      </vt:variant>
      <vt:variant>
        <vt:lpwstr>_Toc207014407</vt:lpwstr>
      </vt:variant>
      <vt:variant>
        <vt:i4>1245232</vt:i4>
      </vt:variant>
      <vt:variant>
        <vt:i4>62</vt:i4>
      </vt:variant>
      <vt:variant>
        <vt:i4>0</vt:i4>
      </vt:variant>
      <vt:variant>
        <vt:i4>5</vt:i4>
      </vt:variant>
      <vt:variant>
        <vt:lpwstr/>
      </vt:variant>
      <vt:variant>
        <vt:lpwstr>_Toc207014406</vt:lpwstr>
      </vt:variant>
      <vt:variant>
        <vt:i4>1245232</vt:i4>
      </vt:variant>
      <vt:variant>
        <vt:i4>56</vt:i4>
      </vt:variant>
      <vt:variant>
        <vt:i4>0</vt:i4>
      </vt:variant>
      <vt:variant>
        <vt:i4>5</vt:i4>
      </vt:variant>
      <vt:variant>
        <vt:lpwstr/>
      </vt:variant>
      <vt:variant>
        <vt:lpwstr>_Toc207014405</vt:lpwstr>
      </vt:variant>
      <vt:variant>
        <vt:i4>1245232</vt:i4>
      </vt:variant>
      <vt:variant>
        <vt:i4>50</vt:i4>
      </vt:variant>
      <vt:variant>
        <vt:i4>0</vt:i4>
      </vt:variant>
      <vt:variant>
        <vt:i4>5</vt:i4>
      </vt:variant>
      <vt:variant>
        <vt:lpwstr/>
      </vt:variant>
      <vt:variant>
        <vt:lpwstr>_Toc207014404</vt:lpwstr>
      </vt:variant>
      <vt:variant>
        <vt:i4>1245232</vt:i4>
      </vt:variant>
      <vt:variant>
        <vt:i4>44</vt:i4>
      </vt:variant>
      <vt:variant>
        <vt:i4>0</vt:i4>
      </vt:variant>
      <vt:variant>
        <vt:i4>5</vt:i4>
      </vt:variant>
      <vt:variant>
        <vt:lpwstr/>
      </vt:variant>
      <vt:variant>
        <vt:lpwstr>_Toc207014403</vt:lpwstr>
      </vt:variant>
      <vt:variant>
        <vt:i4>1245232</vt:i4>
      </vt:variant>
      <vt:variant>
        <vt:i4>38</vt:i4>
      </vt:variant>
      <vt:variant>
        <vt:i4>0</vt:i4>
      </vt:variant>
      <vt:variant>
        <vt:i4>5</vt:i4>
      </vt:variant>
      <vt:variant>
        <vt:lpwstr/>
      </vt:variant>
      <vt:variant>
        <vt:lpwstr>_Toc207014402</vt:lpwstr>
      </vt:variant>
      <vt:variant>
        <vt:i4>1245232</vt:i4>
      </vt:variant>
      <vt:variant>
        <vt:i4>32</vt:i4>
      </vt:variant>
      <vt:variant>
        <vt:i4>0</vt:i4>
      </vt:variant>
      <vt:variant>
        <vt:i4>5</vt:i4>
      </vt:variant>
      <vt:variant>
        <vt:lpwstr/>
      </vt:variant>
      <vt:variant>
        <vt:lpwstr>_Toc207014401</vt:lpwstr>
      </vt:variant>
      <vt:variant>
        <vt:i4>1245232</vt:i4>
      </vt:variant>
      <vt:variant>
        <vt:i4>26</vt:i4>
      </vt:variant>
      <vt:variant>
        <vt:i4>0</vt:i4>
      </vt:variant>
      <vt:variant>
        <vt:i4>5</vt:i4>
      </vt:variant>
      <vt:variant>
        <vt:lpwstr/>
      </vt:variant>
      <vt:variant>
        <vt:lpwstr>_Toc207014400</vt:lpwstr>
      </vt:variant>
      <vt:variant>
        <vt:i4>1703991</vt:i4>
      </vt:variant>
      <vt:variant>
        <vt:i4>20</vt:i4>
      </vt:variant>
      <vt:variant>
        <vt:i4>0</vt:i4>
      </vt:variant>
      <vt:variant>
        <vt:i4>5</vt:i4>
      </vt:variant>
      <vt:variant>
        <vt:lpwstr/>
      </vt:variant>
      <vt:variant>
        <vt:lpwstr>_Toc207014399</vt:lpwstr>
      </vt:variant>
      <vt:variant>
        <vt:i4>1703991</vt:i4>
      </vt:variant>
      <vt:variant>
        <vt:i4>14</vt:i4>
      </vt:variant>
      <vt:variant>
        <vt:i4>0</vt:i4>
      </vt:variant>
      <vt:variant>
        <vt:i4>5</vt:i4>
      </vt:variant>
      <vt:variant>
        <vt:lpwstr/>
      </vt:variant>
      <vt:variant>
        <vt:lpwstr>_Toc207014398</vt:lpwstr>
      </vt:variant>
      <vt:variant>
        <vt:i4>1703991</vt:i4>
      </vt:variant>
      <vt:variant>
        <vt:i4>8</vt:i4>
      </vt:variant>
      <vt:variant>
        <vt:i4>0</vt:i4>
      </vt:variant>
      <vt:variant>
        <vt:i4>5</vt:i4>
      </vt:variant>
      <vt:variant>
        <vt:lpwstr/>
      </vt:variant>
      <vt:variant>
        <vt:lpwstr>_Toc207014397</vt:lpwstr>
      </vt:variant>
      <vt:variant>
        <vt:i4>1703991</vt:i4>
      </vt:variant>
      <vt:variant>
        <vt:i4>2</vt:i4>
      </vt:variant>
      <vt:variant>
        <vt:i4>0</vt:i4>
      </vt:variant>
      <vt:variant>
        <vt:i4>5</vt:i4>
      </vt:variant>
      <vt:variant>
        <vt:lpwstr/>
      </vt:variant>
      <vt:variant>
        <vt:lpwstr>_Toc207014396</vt:lpwstr>
      </vt:variant>
      <vt:variant>
        <vt:i4>6291579</vt:i4>
      </vt:variant>
      <vt:variant>
        <vt:i4>144</vt:i4>
      </vt:variant>
      <vt:variant>
        <vt:i4>0</vt:i4>
      </vt:variant>
      <vt:variant>
        <vt:i4>5</vt:i4>
      </vt:variant>
      <vt:variant>
        <vt:lpwstr>https://oia.pmc.gov.au/sites/default/files/2024-02/regulatory-burden-measurement-framework.pdf</vt:lpwstr>
      </vt:variant>
      <vt:variant>
        <vt:lpwstr/>
      </vt:variant>
      <vt:variant>
        <vt:i4>5701638</vt:i4>
      </vt:variant>
      <vt:variant>
        <vt:i4>141</vt:i4>
      </vt:variant>
      <vt:variant>
        <vt:i4>0</vt:i4>
      </vt:variant>
      <vt:variant>
        <vt:i4>5</vt:i4>
      </vt:variant>
      <vt:variant>
        <vt:lpwstr>https://oia.pmc.gov.au/sites/default/files/2023-08/cost-benefit-analysis.pdf</vt:lpwstr>
      </vt:variant>
      <vt:variant>
        <vt:lpwstr/>
      </vt:variant>
      <vt:variant>
        <vt:i4>6815842</vt:i4>
      </vt:variant>
      <vt:variant>
        <vt:i4>138</vt:i4>
      </vt:variant>
      <vt:variant>
        <vt:i4>0</vt:i4>
      </vt:variant>
      <vt:variant>
        <vt:i4>5</vt:i4>
      </vt:variant>
      <vt:variant>
        <vt:lpwstr>https://www.health.gov.au/committees-and-groups/national-aged-care-advisory-council?language=en</vt:lpwstr>
      </vt:variant>
      <vt:variant>
        <vt:lpwstr/>
      </vt:variant>
      <vt:variant>
        <vt:i4>2097268</vt:i4>
      </vt:variant>
      <vt:variant>
        <vt:i4>135</vt:i4>
      </vt:variant>
      <vt:variant>
        <vt:i4>0</vt:i4>
      </vt:variant>
      <vt:variant>
        <vt:i4>5</vt:i4>
      </vt:variant>
      <vt:variant>
        <vt:lpwstr>https://www.health.gov.au/committees-and-groups/residential-aged-care-rac-funding-reform-working-group</vt:lpwstr>
      </vt:variant>
      <vt:variant>
        <vt:lpwstr/>
      </vt:variant>
      <vt:variant>
        <vt:i4>2818100</vt:i4>
      </vt:variant>
      <vt:variant>
        <vt:i4>132</vt:i4>
      </vt:variant>
      <vt:variant>
        <vt:i4>0</vt:i4>
      </vt:variant>
      <vt:variant>
        <vt:i4>5</vt:i4>
      </vt:variant>
      <vt:variant>
        <vt:lpwstr>https://www.health.gov.au/committees-and-groups/aged-care-council-of-elders</vt:lpwstr>
      </vt:variant>
      <vt:variant>
        <vt:lpwstr/>
      </vt:variant>
      <vt:variant>
        <vt:i4>6815842</vt:i4>
      </vt:variant>
      <vt:variant>
        <vt:i4>129</vt:i4>
      </vt:variant>
      <vt:variant>
        <vt:i4>0</vt:i4>
      </vt:variant>
      <vt:variant>
        <vt:i4>5</vt:i4>
      </vt:variant>
      <vt:variant>
        <vt:lpwstr>https://www.health.gov.au/committees-and-groups/national-aged-care-advisory-council?language=en</vt:lpwstr>
      </vt:variant>
      <vt:variant>
        <vt:lpwstr/>
      </vt:variant>
      <vt:variant>
        <vt:i4>2097268</vt:i4>
      </vt:variant>
      <vt:variant>
        <vt:i4>126</vt:i4>
      </vt:variant>
      <vt:variant>
        <vt:i4>0</vt:i4>
      </vt:variant>
      <vt:variant>
        <vt:i4>5</vt:i4>
      </vt:variant>
      <vt:variant>
        <vt:lpwstr>https://www.health.gov.au/committees-and-groups/residential-aged-care-rac-funding-reform-working-group</vt:lpwstr>
      </vt:variant>
      <vt:variant>
        <vt:lpwstr/>
      </vt:variant>
      <vt:variant>
        <vt:i4>2818100</vt:i4>
      </vt:variant>
      <vt:variant>
        <vt:i4>123</vt:i4>
      </vt:variant>
      <vt:variant>
        <vt:i4>0</vt:i4>
      </vt:variant>
      <vt:variant>
        <vt:i4>5</vt:i4>
      </vt:variant>
      <vt:variant>
        <vt:lpwstr>https://www.health.gov.au/committees-and-groups/aged-care-council-of-elders</vt:lpwstr>
      </vt:variant>
      <vt:variant>
        <vt:lpwstr/>
      </vt:variant>
      <vt:variant>
        <vt:i4>262144</vt:i4>
      </vt:variant>
      <vt:variant>
        <vt:i4>120</vt:i4>
      </vt:variant>
      <vt:variant>
        <vt:i4>0</vt:i4>
      </vt:variant>
      <vt:variant>
        <vt:i4>5</vt:i4>
      </vt:variant>
      <vt:variant>
        <vt:lpwstr>https://oia.pmc.gov.au/sites/default/files/posts/2021/06/regulation_impact_statement_-_residential_aged_care_funding_-_accessibility_checked_may_2021.pdf</vt:lpwstr>
      </vt:variant>
      <vt:variant>
        <vt:lpwstr/>
      </vt:variant>
      <vt:variant>
        <vt:i4>4390961</vt:i4>
      </vt:variant>
      <vt:variant>
        <vt:i4>117</vt:i4>
      </vt:variant>
      <vt:variant>
        <vt:i4>0</vt:i4>
      </vt:variant>
      <vt:variant>
        <vt:i4>5</vt:i4>
      </vt:variant>
      <vt:variant>
        <vt:lpwstr>https://opus.lib.uts.edu.au/bitstream/10453/182408/2/UARC_Australias Aged Care Sector Full Year Report 2023-24.pdf</vt:lpwstr>
      </vt:variant>
      <vt:variant>
        <vt:lpwstr/>
      </vt:variant>
      <vt:variant>
        <vt:i4>2097205</vt:i4>
      </vt:variant>
      <vt:variant>
        <vt:i4>114</vt:i4>
      </vt:variant>
      <vt:variant>
        <vt:i4>0</vt:i4>
      </vt:variant>
      <vt:variant>
        <vt:i4>5</vt:i4>
      </vt:variant>
      <vt:variant>
        <vt:lpwstr>https://www.health.gov.au/resources/publications/the-australian-national-aged-care-classification-an-acc-funding-guide?language=en</vt:lpwstr>
      </vt:variant>
      <vt:variant>
        <vt:lpwstr/>
      </vt:variant>
      <vt:variant>
        <vt:i4>4194327</vt:i4>
      </vt:variant>
      <vt:variant>
        <vt:i4>111</vt:i4>
      </vt:variant>
      <vt:variant>
        <vt:i4>0</vt:i4>
      </vt:variant>
      <vt:variant>
        <vt:i4>5</vt:i4>
      </vt:variant>
      <vt:variant>
        <vt:lpwstr>https://www.health.gov.au/resources/publications/care-minutes-in-residential-aged-care-dashboard?language=en</vt:lpwstr>
      </vt:variant>
      <vt:variant>
        <vt:lpwstr/>
      </vt:variant>
      <vt:variant>
        <vt:i4>3801140</vt:i4>
      </vt:variant>
      <vt:variant>
        <vt:i4>108</vt:i4>
      </vt:variant>
      <vt:variant>
        <vt:i4>0</vt:i4>
      </vt:variant>
      <vt:variant>
        <vt:i4>5</vt:i4>
      </vt:variant>
      <vt:variant>
        <vt:lpwstr>https://aus01.safelinks.protection.outlook.com/?url=https%3A%2F%2Fwww.health.gov.au%2Fresources%2Fpublications%2Fservice-level-care-minutes-performance-in-residential-aged-care-october-to-december-2024-2024-25-financial-year-quarter-2&amp;data=05%7C02%7CWarwick.Wearing%40Protected.Health.gov.au%7Cea04cdabce4445d5426808ddd49d160d%7C311f614e26874905bb5cf592370e0d41%7C1%7C0%7C638900493363676181%7CUnknown%7CTWFpbGZsb3d8eyJFbXB0eU1hcGkiOnRydWUsIlYiOiIwLjAuMDAwMCIsIlAiOiJXaW4zMiIsIkFOIjoiTWFpbCIsIldUIjoyfQ%3D%3D%7C0%7C%7C%7C&amp;sdata=wvh0eJ2Aafeez2KlxH32M%2F3UD7AyHrF4Fxm0T7UBVXA%3D&amp;reserved=0</vt:lpwstr>
      </vt:variant>
      <vt:variant>
        <vt:lpwstr/>
      </vt:variant>
      <vt:variant>
        <vt:i4>3735608</vt:i4>
      </vt:variant>
      <vt:variant>
        <vt:i4>105</vt:i4>
      </vt:variant>
      <vt:variant>
        <vt:i4>0</vt:i4>
      </vt:variant>
      <vt:variant>
        <vt:i4>5</vt:i4>
      </vt:variant>
      <vt:variant>
        <vt:lpwstr>https://www.myagedcare.gov.au/find-a-provider/</vt:lpwstr>
      </vt:variant>
      <vt:variant>
        <vt:lpwstr/>
      </vt:variant>
      <vt:variant>
        <vt:i4>6881322</vt:i4>
      </vt:variant>
      <vt:variant>
        <vt:i4>102</vt:i4>
      </vt:variant>
      <vt:variant>
        <vt:i4>0</vt:i4>
      </vt:variant>
      <vt:variant>
        <vt:i4>5</vt:i4>
      </vt:variant>
      <vt:variant>
        <vt:lpwstr>https://www.agedcarequality.gov.au/sites/default/files/media/rb-2023-19-workforce-related-responsibilities.pdf</vt:lpwstr>
      </vt:variant>
      <vt:variant>
        <vt:lpwstr/>
      </vt:variant>
      <vt:variant>
        <vt:i4>1900577</vt:i4>
      </vt:variant>
      <vt:variant>
        <vt:i4>99</vt:i4>
      </vt:variant>
      <vt:variant>
        <vt:i4>0</vt:i4>
      </vt:variant>
      <vt:variant>
        <vt:i4>5</vt:i4>
      </vt:variant>
      <vt:variant>
        <vt:lpwstr>https://www.health.gov.au/sites/default/files/2025-06/quarterly-financial-snapshot-of-the-aged-care-sector-quarter-2-2024-25-october-to-december-2024_0.pdf</vt:lpwstr>
      </vt:variant>
      <vt:variant>
        <vt:lpwstr/>
      </vt:variant>
      <vt:variant>
        <vt:i4>4587547</vt:i4>
      </vt:variant>
      <vt:variant>
        <vt:i4>96</vt:i4>
      </vt:variant>
      <vt:variant>
        <vt:i4>0</vt:i4>
      </vt:variant>
      <vt:variant>
        <vt:i4>5</vt:i4>
      </vt:variant>
      <vt:variant>
        <vt:lpwstr>https://www.stewartbrown.com.au/news-articles/26-aged-care/312-2025-03-stewartbrown-aged-care-financial-performance-survey-analysis-report-december-2024</vt:lpwstr>
      </vt:variant>
      <vt:variant>
        <vt:lpwstr/>
      </vt:variant>
      <vt:variant>
        <vt:i4>2555936</vt:i4>
      </vt:variant>
      <vt:variant>
        <vt:i4>93</vt:i4>
      </vt:variant>
      <vt:variant>
        <vt:i4>0</vt:i4>
      </vt:variant>
      <vt:variant>
        <vt:i4>5</vt:i4>
      </vt:variant>
      <vt:variant>
        <vt:lpwstr>https://www.health.gov.au/starratings/about</vt:lpwstr>
      </vt:variant>
      <vt:variant>
        <vt:lpwstr/>
      </vt:variant>
      <vt:variant>
        <vt:i4>4587608</vt:i4>
      </vt:variant>
      <vt:variant>
        <vt:i4>90</vt:i4>
      </vt:variant>
      <vt:variant>
        <vt:i4>0</vt:i4>
      </vt:variant>
      <vt:variant>
        <vt:i4>5</vt:i4>
      </vt:variant>
      <vt:variant>
        <vt:lpwstr>https://www.health.gov.au/resources/publications/letter-to-aged-care-providers-from-the-minister-for-aged-care-about-care-minutes-1-october-2024?language=en</vt:lpwstr>
      </vt:variant>
      <vt:variant>
        <vt:lpwstr/>
      </vt:variant>
      <vt:variant>
        <vt:i4>393234</vt:i4>
      </vt:variant>
      <vt:variant>
        <vt:i4>87</vt:i4>
      </vt:variant>
      <vt:variant>
        <vt:i4>0</vt:i4>
      </vt:variant>
      <vt:variant>
        <vt:i4>5</vt:i4>
      </vt:variant>
      <vt:variant>
        <vt:lpwstr>https://www.health.gov.au/resources/publications/registered-nurse-coverage-in-residential-aged-care-dashboard</vt:lpwstr>
      </vt:variant>
      <vt:variant>
        <vt:lpwstr/>
      </vt:variant>
      <vt:variant>
        <vt:i4>4587608</vt:i4>
      </vt:variant>
      <vt:variant>
        <vt:i4>84</vt:i4>
      </vt:variant>
      <vt:variant>
        <vt:i4>0</vt:i4>
      </vt:variant>
      <vt:variant>
        <vt:i4>5</vt:i4>
      </vt:variant>
      <vt:variant>
        <vt:lpwstr>https://www.health.gov.au/resources/publications/letter-to-aged-care-providers-from-the-minister-for-aged-care-about-care-minutes-1-october-2024?language=en</vt:lpwstr>
      </vt:variant>
      <vt:variant>
        <vt:lpwstr/>
      </vt:variant>
      <vt:variant>
        <vt:i4>4849747</vt:i4>
      </vt:variant>
      <vt:variant>
        <vt:i4>81</vt:i4>
      </vt:variant>
      <vt:variant>
        <vt:i4>0</vt:i4>
      </vt:variant>
      <vt:variant>
        <vt:i4>5</vt:i4>
      </vt:variant>
      <vt:variant>
        <vt:lpwstr>https://www.agedcarequality.gov.au/resource-library/rb-2023-19-workforce-related-responsibilities</vt:lpwstr>
      </vt:variant>
      <vt:variant>
        <vt:lpwstr/>
      </vt:variant>
      <vt:variant>
        <vt:i4>2752631</vt:i4>
      </vt:variant>
      <vt:variant>
        <vt:i4>78</vt:i4>
      </vt:variant>
      <vt:variant>
        <vt:i4>0</vt:i4>
      </vt:variant>
      <vt:variant>
        <vt:i4>5</vt:i4>
      </vt:variant>
      <vt:variant>
        <vt:lpwstr>https://www.agedcarequality.gov.au/resource-library/regulatory-strategy-2024-25</vt:lpwstr>
      </vt:variant>
      <vt:variant>
        <vt:lpwstr/>
      </vt:variant>
      <vt:variant>
        <vt:i4>4194327</vt:i4>
      </vt:variant>
      <vt:variant>
        <vt:i4>75</vt:i4>
      </vt:variant>
      <vt:variant>
        <vt:i4>0</vt:i4>
      </vt:variant>
      <vt:variant>
        <vt:i4>5</vt:i4>
      </vt:variant>
      <vt:variant>
        <vt:lpwstr>https://www.health.gov.au/resources/publications/care-minutes-in-residential-aged-care-dashboard?language=en</vt:lpwstr>
      </vt:variant>
      <vt:variant>
        <vt:lpwstr/>
      </vt:variant>
      <vt:variant>
        <vt:i4>2556007</vt:i4>
      </vt:variant>
      <vt:variant>
        <vt:i4>72</vt:i4>
      </vt:variant>
      <vt:variant>
        <vt:i4>0</vt:i4>
      </vt:variant>
      <vt:variant>
        <vt:i4>5</vt:i4>
      </vt:variant>
      <vt:variant>
        <vt:lpwstr>https://www.gen-agedcaredata.gov.au/resources/publications/2024/august/2023-aged-care-provider-workforce-survey-summary-report</vt:lpwstr>
      </vt:variant>
      <vt:variant>
        <vt:lpwstr/>
      </vt:variant>
      <vt:variant>
        <vt:i4>1966108</vt:i4>
      </vt:variant>
      <vt:variant>
        <vt:i4>69</vt:i4>
      </vt:variant>
      <vt:variant>
        <vt:i4>0</vt:i4>
      </vt:variant>
      <vt:variant>
        <vt:i4>5</vt:i4>
      </vt:variant>
      <vt:variant>
        <vt:lpwstr>https://www.royalcommission.gov.au/aged-care/final-report</vt:lpwstr>
      </vt:variant>
      <vt:variant>
        <vt:lpwstr/>
      </vt:variant>
      <vt:variant>
        <vt:i4>1638431</vt:i4>
      </vt:variant>
      <vt:variant>
        <vt:i4>66</vt:i4>
      </vt:variant>
      <vt:variant>
        <vt:i4>0</vt:i4>
      </vt:variant>
      <vt:variant>
        <vt:i4>5</vt:i4>
      </vt:variant>
      <vt:variant>
        <vt:lpwstr>https://www.agedcarequality.gov.au/news-publications/media-releases/commission-cracks-down-aged-care-providers-failing-meet-care-minutes</vt:lpwstr>
      </vt:variant>
      <vt:variant>
        <vt:lpwstr/>
      </vt:variant>
      <vt:variant>
        <vt:i4>4587608</vt:i4>
      </vt:variant>
      <vt:variant>
        <vt:i4>63</vt:i4>
      </vt:variant>
      <vt:variant>
        <vt:i4>0</vt:i4>
      </vt:variant>
      <vt:variant>
        <vt:i4>5</vt:i4>
      </vt:variant>
      <vt:variant>
        <vt:lpwstr>https://www.health.gov.au/resources/publications/letter-to-aged-care-providers-from-the-minister-for-aged-care-about-care-minutes-1-october-2024?language=en</vt:lpwstr>
      </vt:variant>
      <vt:variant>
        <vt:lpwstr/>
      </vt:variant>
      <vt:variant>
        <vt:i4>4390961</vt:i4>
      </vt:variant>
      <vt:variant>
        <vt:i4>60</vt:i4>
      </vt:variant>
      <vt:variant>
        <vt:i4>0</vt:i4>
      </vt:variant>
      <vt:variant>
        <vt:i4>5</vt:i4>
      </vt:variant>
      <vt:variant>
        <vt:lpwstr>https://opus.lib.uts.edu.au/bitstream/10453/182408/2/UARC_Australias Aged Care Sector Full Year Report 2023-24.pdf</vt:lpwstr>
      </vt:variant>
      <vt:variant>
        <vt:lpwstr/>
      </vt:variant>
      <vt:variant>
        <vt:i4>2687035</vt:i4>
      </vt:variant>
      <vt:variant>
        <vt:i4>57</vt:i4>
      </vt:variant>
      <vt:variant>
        <vt:i4>0</vt:i4>
      </vt:variant>
      <vt:variant>
        <vt:i4>5</vt:i4>
      </vt:variant>
      <vt:variant>
        <vt:lpwstr>https://opus.lib.uts.edu.au/handle/10453/179532</vt:lpwstr>
      </vt:variant>
      <vt:variant>
        <vt:lpwstr/>
      </vt:variant>
      <vt:variant>
        <vt:i4>4390932</vt:i4>
      </vt:variant>
      <vt:variant>
        <vt:i4>54</vt:i4>
      </vt:variant>
      <vt:variant>
        <vt:i4>0</vt:i4>
      </vt:variant>
      <vt:variant>
        <vt:i4>5</vt:i4>
      </vt:variant>
      <vt:variant>
        <vt:lpwstr>https://www.stewartbrown.com.au/images/documents/StewartBrown_-_Aged_Care_Financial_Performance_Survey_Report_FY_June_2024.pdf</vt:lpwstr>
      </vt:variant>
      <vt:variant>
        <vt:lpwstr/>
      </vt:variant>
      <vt:variant>
        <vt:i4>4194327</vt:i4>
      </vt:variant>
      <vt:variant>
        <vt:i4>51</vt:i4>
      </vt:variant>
      <vt:variant>
        <vt:i4>0</vt:i4>
      </vt:variant>
      <vt:variant>
        <vt:i4>5</vt:i4>
      </vt:variant>
      <vt:variant>
        <vt:lpwstr>https://www.health.gov.au/resources/publications/care-minutes-in-residential-aged-care-dashboard?language=en</vt:lpwstr>
      </vt:variant>
      <vt:variant>
        <vt:lpwstr/>
      </vt:variant>
      <vt:variant>
        <vt:i4>2293810</vt:i4>
      </vt:variant>
      <vt:variant>
        <vt:i4>48</vt:i4>
      </vt:variant>
      <vt:variant>
        <vt:i4>0</vt:i4>
      </vt:variant>
      <vt:variant>
        <vt:i4>5</vt:i4>
      </vt:variant>
      <vt:variant>
        <vt:lpwstr>https://www.health.gov.au/topics/rural-health-workforce/classifications/mmm</vt:lpwstr>
      </vt:variant>
      <vt:variant>
        <vt:lpwstr/>
      </vt:variant>
      <vt:variant>
        <vt:i4>8192086</vt:i4>
      </vt:variant>
      <vt:variant>
        <vt:i4>45</vt:i4>
      </vt:variant>
      <vt:variant>
        <vt:i4>0</vt:i4>
      </vt:variant>
      <vt:variant>
        <vt:i4>5</vt:i4>
      </vt:variant>
      <vt:variant>
        <vt:lpwstr>https://www.jobsandskills.gov.au/sites/default/files/2023-12/Care Workforce Labour Market Study_0.pdf</vt:lpwstr>
      </vt:variant>
      <vt:variant>
        <vt:lpwstr/>
      </vt:variant>
      <vt:variant>
        <vt:i4>1966108</vt:i4>
      </vt:variant>
      <vt:variant>
        <vt:i4>42</vt:i4>
      </vt:variant>
      <vt:variant>
        <vt:i4>0</vt:i4>
      </vt:variant>
      <vt:variant>
        <vt:i4>5</vt:i4>
      </vt:variant>
      <vt:variant>
        <vt:lpwstr>https://www.royalcommission.gov.au/aged-care/final-report</vt:lpwstr>
      </vt:variant>
      <vt:variant>
        <vt:lpwstr/>
      </vt:variant>
      <vt:variant>
        <vt:i4>1966108</vt:i4>
      </vt:variant>
      <vt:variant>
        <vt:i4>39</vt:i4>
      </vt:variant>
      <vt:variant>
        <vt:i4>0</vt:i4>
      </vt:variant>
      <vt:variant>
        <vt:i4>5</vt:i4>
      </vt:variant>
      <vt:variant>
        <vt:lpwstr>https://www.royalcommission.gov.au/aged-care/final-report</vt:lpwstr>
      </vt:variant>
      <vt:variant>
        <vt:lpwstr/>
      </vt:variant>
      <vt:variant>
        <vt:i4>4194327</vt:i4>
      </vt:variant>
      <vt:variant>
        <vt:i4>36</vt:i4>
      </vt:variant>
      <vt:variant>
        <vt:i4>0</vt:i4>
      </vt:variant>
      <vt:variant>
        <vt:i4>5</vt:i4>
      </vt:variant>
      <vt:variant>
        <vt:lpwstr>https://www.health.gov.au/resources/publications/care-minutes-in-residential-aged-care-dashboard?language=en</vt:lpwstr>
      </vt:variant>
      <vt:variant>
        <vt:lpwstr/>
      </vt:variant>
      <vt:variant>
        <vt:i4>2949175</vt:i4>
      </vt:variant>
      <vt:variant>
        <vt:i4>33</vt:i4>
      </vt:variant>
      <vt:variant>
        <vt:i4>0</vt:i4>
      </vt:variant>
      <vt:variant>
        <vt:i4>5</vt:i4>
      </vt:variant>
      <vt:variant>
        <vt:lpwstr>https://www.health.gov.au/resources/publications/provider-level-care-minutes-performance-from-october-2023</vt:lpwstr>
      </vt:variant>
      <vt:variant>
        <vt:lpwstr/>
      </vt:variant>
      <vt:variant>
        <vt:i4>8323197</vt:i4>
      </vt:variant>
      <vt:variant>
        <vt:i4>30</vt:i4>
      </vt:variant>
      <vt:variant>
        <vt:i4>0</vt:i4>
      </vt:variant>
      <vt:variant>
        <vt:i4>5</vt:i4>
      </vt:variant>
      <vt:variant>
        <vt:lpwstr>https://www.health.gov.au/resources/publications/service-level-care-minutes-performance-in-residential-aged-care-from-october-to-december-2024</vt:lpwstr>
      </vt:variant>
      <vt:variant>
        <vt:lpwstr/>
      </vt:variant>
      <vt:variant>
        <vt:i4>7798829</vt:i4>
      </vt:variant>
      <vt:variant>
        <vt:i4>27</vt:i4>
      </vt:variant>
      <vt:variant>
        <vt:i4>0</vt:i4>
      </vt:variant>
      <vt:variant>
        <vt:i4>5</vt:i4>
      </vt:variant>
      <vt:variant>
        <vt:lpwstr>https://www.health.gov.au/resources/publications/star-ratings-evaluation-summary-report?language=en%22%20%5Cl%20%22:~:text=Summary%20report%20from%20the%202024%20independent%20evaluation%20of,activities%20were%20held%20between%20April%20and%20August%202024.</vt:lpwstr>
      </vt:variant>
      <vt:variant>
        <vt:lpwstr/>
      </vt:variant>
      <vt:variant>
        <vt:i4>3735608</vt:i4>
      </vt:variant>
      <vt:variant>
        <vt:i4>24</vt:i4>
      </vt:variant>
      <vt:variant>
        <vt:i4>0</vt:i4>
      </vt:variant>
      <vt:variant>
        <vt:i4>5</vt:i4>
      </vt:variant>
      <vt:variant>
        <vt:lpwstr>https://www.myagedcare.gov.au/find-a-provider/</vt:lpwstr>
      </vt:variant>
      <vt:variant>
        <vt:lpwstr/>
      </vt:variant>
      <vt:variant>
        <vt:i4>6881314</vt:i4>
      </vt:variant>
      <vt:variant>
        <vt:i4>21</vt:i4>
      </vt:variant>
      <vt:variant>
        <vt:i4>0</vt:i4>
      </vt:variant>
      <vt:variant>
        <vt:i4>5</vt:i4>
      </vt:variant>
      <vt:variant>
        <vt:lpwstr>https://www.myagedcare.gov.au/</vt:lpwstr>
      </vt:variant>
      <vt:variant>
        <vt:lpwstr/>
      </vt:variant>
      <vt:variant>
        <vt:i4>5636191</vt:i4>
      </vt:variant>
      <vt:variant>
        <vt:i4>18</vt:i4>
      </vt:variant>
      <vt:variant>
        <vt:i4>0</vt:i4>
      </vt:variant>
      <vt:variant>
        <vt:i4>5</vt:i4>
      </vt:variant>
      <vt:variant>
        <vt:lpwstr>https://www.health.gov.au/our-work/star-ratings-for-residential-aged-care</vt:lpwstr>
      </vt:variant>
      <vt:variant>
        <vt:lpwstr/>
      </vt:variant>
      <vt:variant>
        <vt:i4>4849747</vt:i4>
      </vt:variant>
      <vt:variant>
        <vt:i4>15</vt:i4>
      </vt:variant>
      <vt:variant>
        <vt:i4>0</vt:i4>
      </vt:variant>
      <vt:variant>
        <vt:i4>5</vt:i4>
      </vt:variant>
      <vt:variant>
        <vt:lpwstr>https://www.agedcarequality.gov.au/resource-library/rb-2023-19-workforce-related-responsibilities</vt:lpwstr>
      </vt:variant>
      <vt:variant>
        <vt:lpwstr/>
      </vt:variant>
      <vt:variant>
        <vt:i4>6094878</vt:i4>
      </vt:variant>
      <vt:variant>
        <vt:i4>12</vt:i4>
      </vt:variant>
      <vt:variant>
        <vt:i4>0</vt:i4>
      </vt:variant>
      <vt:variant>
        <vt:i4>5</vt:i4>
      </vt:variant>
      <vt:variant>
        <vt:lpwstr>https://www.health.gov.au/our-work/care-minutes-registered-nurses-aged-care/care-minutes/support</vt:lpwstr>
      </vt:variant>
      <vt:variant>
        <vt:lpwstr/>
      </vt:variant>
      <vt:variant>
        <vt:i4>6946918</vt:i4>
      </vt:variant>
      <vt:variant>
        <vt:i4>9</vt:i4>
      </vt:variant>
      <vt:variant>
        <vt:i4>0</vt:i4>
      </vt:variant>
      <vt:variant>
        <vt:i4>5</vt:i4>
      </vt:variant>
      <vt:variant>
        <vt:lpwstr>https://www.health.gov.au/our-work/care-minutes-registered-nurses-aged-care</vt:lpwstr>
      </vt:variant>
      <vt:variant>
        <vt:lpwstr/>
      </vt:variant>
      <vt:variant>
        <vt:i4>6488173</vt:i4>
      </vt:variant>
      <vt:variant>
        <vt:i4>6</vt:i4>
      </vt:variant>
      <vt:variant>
        <vt:i4>0</vt:i4>
      </vt:variant>
      <vt:variant>
        <vt:i4>5</vt:i4>
      </vt:variant>
      <vt:variant>
        <vt:lpwstr>https://www.health.gov.au/resources/publications/the-australian-national-aged-care-classification-an-acc-funding-guide</vt:lpwstr>
      </vt:variant>
      <vt:variant>
        <vt:lpwstr/>
      </vt:variant>
      <vt:variant>
        <vt:i4>2818109</vt:i4>
      </vt:variant>
      <vt:variant>
        <vt:i4>3</vt:i4>
      </vt:variant>
      <vt:variant>
        <vt:i4>0</vt:i4>
      </vt:variant>
      <vt:variant>
        <vt:i4>5</vt:i4>
      </vt:variant>
      <vt:variant>
        <vt:lpwstr>https://www.legislation.gov.au/F2023L01220/latest/text</vt:lpwstr>
      </vt:variant>
      <vt:variant>
        <vt:lpwstr/>
      </vt:variant>
      <vt:variant>
        <vt:i4>2490430</vt:i4>
      </vt:variant>
      <vt:variant>
        <vt:i4>0</vt:i4>
      </vt:variant>
      <vt:variant>
        <vt:i4>0</vt:i4>
      </vt:variant>
      <vt:variant>
        <vt:i4>5</vt:i4>
      </vt:variant>
      <vt:variant>
        <vt:lpwstr>https://www.legislation.gov.au/F2014L00830/latest/text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2025-09-15T02:37:00Z</dcterms:created>
  <dcterms:modified xsi:type="dcterms:W3CDTF">2025-09-15T02:37:00Z</dcterms:modified>
</cp:coreProperties>
</file>