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E60D3" w14:textId="77777777" w:rsidR="009514E7" w:rsidRDefault="009514E7" w:rsidP="00AA12EC">
      <w:pPr>
        <w:pStyle w:val="Title"/>
        <w:tabs>
          <w:tab w:val="left" w:pos="7938"/>
        </w:tabs>
      </w:pPr>
      <w:bookmarkStart w:id="0" w:name="_Toc96326909"/>
      <w:bookmarkStart w:id="1" w:name="_GoBack"/>
      <w:bookmarkEnd w:id="1"/>
    </w:p>
    <w:p w14:paraId="0A62C879" w14:textId="77777777" w:rsidR="009514E7" w:rsidRDefault="009514E7" w:rsidP="00AA12EC">
      <w:pPr>
        <w:pStyle w:val="Title"/>
        <w:tabs>
          <w:tab w:val="left" w:pos="7938"/>
        </w:tabs>
      </w:pPr>
    </w:p>
    <w:p w14:paraId="5F4EC10D" w14:textId="0A055A38" w:rsidR="00A62EF3" w:rsidRDefault="00E455C1" w:rsidP="00AA12EC">
      <w:pPr>
        <w:pStyle w:val="Title"/>
        <w:tabs>
          <w:tab w:val="left" w:pos="7938"/>
        </w:tabs>
      </w:pPr>
      <w:r>
        <w:t xml:space="preserve">New Policy Proposal: Resetting the Social Security Deeming Rates </w:t>
      </w:r>
    </w:p>
    <w:p w14:paraId="6B50F121" w14:textId="40F0EEB2" w:rsidR="00A62EF3" w:rsidRDefault="00E455C1" w:rsidP="00A62EF3">
      <w:pPr>
        <w:pStyle w:val="Subtitle"/>
      </w:pPr>
      <w:r>
        <w:t>I</w:t>
      </w:r>
      <w:r w:rsidR="00C76B32">
        <w:t>mpact Analysis</w:t>
      </w:r>
      <w:r w:rsidR="000652B0">
        <w:t xml:space="preserve"> (</w:t>
      </w:r>
      <w:r w:rsidR="000652B0" w:rsidRPr="000652B0">
        <w:t>OIA25-09847</w:t>
      </w:r>
      <w:r w:rsidR="000652B0">
        <w:t>)</w:t>
      </w:r>
    </w:p>
    <w:p w14:paraId="1B3F5DED" w14:textId="3390B1BE" w:rsidR="00333C8F" w:rsidRPr="00C243DF" w:rsidRDefault="009D3710" w:rsidP="00A62EF3">
      <w:pPr>
        <w:rPr>
          <w:rStyle w:val="Emphasis"/>
          <w:i w:val="0"/>
        </w:rPr>
      </w:pPr>
      <w:r>
        <w:rPr>
          <w:rStyle w:val="Emphasis"/>
          <w:i w:val="0"/>
        </w:rPr>
        <w:t xml:space="preserve">Prepared by </w:t>
      </w:r>
      <w:r w:rsidR="00E455C1">
        <w:rPr>
          <w:rStyle w:val="Emphasis"/>
          <w:i w:val="0"/>
        </w:rPr>
        <w:t xml:space="preserve">The Department of Social Services </w:t>
      </w:r>
    </w:p>
    <w:p w14:paraId="064EA513" w14:textId="1508719F" w:rsidR="00C76B32" w:rsidRDefault="00C76B32">
      <w:pPr>
        <w:spacing w:after="200" w:line="288" w:lineRule="auto"/>
        <w:rPr>
          <w:iCs/>
        </w:rPr>
      </w:pPr>
      <w:r>
        <w:rPr>
          <w:iCs/>
        </w:rPr>
        <w:br w:type="page"/>
      </w:r>
    </w:p>
    <w:bookmarkEnd w:id="0"/>
    <w:p w14:paraId="024F66B0" w14:textId="77777777" w:rsidR="00A62EF3" w:rsidRDefault="0014151F" w:rsidP="0014151F">
      <w:pPr>
        <w:pStyle w:val="Heading1"/>
        <w:pageBreakBefore/>
        <w:rPr>
          <w:noProof/>
        </w:rPr>
      </w:pPr>
      <w:r>
        <w:rPr>
          <w:noProof/>
        </w:rPr>
        <w:lastRenderedPageBreak/>
        <w:t>Contents</w:t>
      </w:r>
    </w:p>
    <w:p w14:paraId="1147B694" w14:textId="77777777" w:rsidR="0014151F" w:rsidRPr="00E455C1" w:rsidRDefault="0014151F" w:rsidP="00BB4B8C">
      <w:pPr>
        <w:pStyle w:val="Heading3"/>
        <w:numPr>
          <w:ilvl w:val="0"/>
          <w:numId w:val="11"/>
        </w:numPr>
      </w:pPr>
      <w:r w:rsidRPr="00E455C1">
        <w:t>What is the policy problem you are trying to solve and what data is available?</w:t>
      </w:r>
    </w:p>
    <w:p w14:paraId="07341859" w14:textId="77777777" w:rsidR="0014151F" w:rsidRPr="00E455C1" w:rsidRDefault="0014151F" w:rsidP="00BB4B8C">
      <w:pPr>
        <w:pStyle w:val="Heading3"/>
        <w:numPr>
          <w:ilvl w:val="0"/>
          <w:numId w:val="11"/>
        </w:numPr>
      </w:pPr>
      <w:r w:rsidRPr="00E455C1">
        <w:t>What are the objectives, why is government intervention needed to achieve them, and how will success be measured</w:t>
      </w:r>
    </w:p>
    <w:p w14:paraId="7496B3DE" w14:textId="77777777" w:rsidR="0014151F" w:rsidRPr="00E455C1" w:rsidRDefault="0014151F" w:rsidP="00BB4B8C">
      <w:pPr>
        <w:pStyle w:val="Heading3"/>
        <w:numPr>
          <w:ilvl w:val="0"/>
          <w:numId w:val="11"/>
        </w:numPr>
      </w:pPr>
      <w:r w:rsidRPr="00E455C1">
        <w:t>What policy options are you considering?</w:t>
      </w:r>
    </w:p>
    <w:p w14:paraId="547F4BED" w14:textId="77777777" w:rsidR="0014151F" w:rsidRDefault="0014151F" w:rsidP="00BB4B8C">
      <w:pPr>
        <w:pStyle w:val="Heading3"/>
        <w:numPr>
          <w:ilvl w:val="0"/>
          <w:numId w:val="11"/>
        </w:numPr>
      </w:pPr>
      <w:r w:rsidRPr="00E455C1">
        <w:t>What is the likely net benefit of each option?</w:t>
      </w:r>
    </w:p>
    <w:p w14:paraId="75F5EE90" w14:textId="77777777" w:rsidR="00EE551A" w:rsidRPr="0014151F" w:rsidRDefault="00EE551A" w:rsidP="00D45198">
      <w:pPr>
        <w:pStyle w:val="Heading3"/>
        <w:numPr>
          <w:ilvl w:val="0"/>
          <w:numId w:val="11"/>
        </w:numPr>
      </w:pPr>
      <w:r>
        <w:t>Who did you consult and how did you incorporate their feedback?</w:t>
      </w:r>
    </w:p>
    <w:p w14:paraId="76CE0A96" w14:textId="77777777" w:rsidR="00EE551A" w:rsidRPr="0014151F" w:rsidRDefault="00EE551A" w:rsidP="00D45198">
      <w:pPr>
        <w:pStyle w:val="Heading3"/>
        <w:numPr>
          <w:ilvl w:val="0"/>
          <w:numId w:val="11"/>
        </w:numPr>
      </w:pPr>
      <w:r>
        <w:t>What is the best option from those you have considered and how will it be implemented?</w:t>
      </w:r>
      <w:r w:rsidRPr="00EE551A">
        <w:t xml:space="preserve"> </w:t>
      </w:r>
    </w:p>
    <w:p w14:paraId="59791B7F" w14:textId="073F245A" w:rsidR="00EE551A" w:rsidRPr="00EE551A" w:rsidRDefault="00EE551A" w:rsidP="00D45198">
      <w:pPr>
        <w:pStyle w:val="Heading3"/>
        <w:numPr>
          <w:ilvl w:val="0"/>
          <w:numId w:val="11"/>
        </w:numPr>
      </w:pPr>
      <w:r>
        <w:t>How will you evaluate you</w:t>
      </w:r>
      <w:r w:rsidR="00912FE3">
        <w:t>r</w:t>
      </w:r>
      <w:r>
        <w:t xml:space="preserve"> chosen option against the success metrics?</w:t>
      </w:r>
    </w:p>
    <w:p w14:paraId="200CCF94" w14:textId="77777777" w:rsidR="00E455C1" w:rsidRDefault="00E455C1" w:rsidP="00EB129F"/>
    <w:p w14:paraId="605C66DB" w14:textId="77777777" w:rsidR="00EB129F" w:rsidRDefault="00EB129F" w:rsidP="00EB129F"/>
    <w:p w14:paraId="3EC96EE1" w14:textId="77777777" w:rsidR="00EB129F" w:rsidRDefault="00EB129F" w:rsidP="00EB129F"/>
    <w:p w14:paraId="773C1E18" w14:textId="77777777" w:rsidR="00EB129F" w:rsidRDefault="00EB129F" w:rsidP="00EB129F"/>
    <w:p w14:paraId="4532E2BF" w14:textId="77777777" w:rsidR="00EB129F" w:rsidRDefault="00EB129F" w:rsidP="00EB129F"/>
    <w:p w14:paraId="2393D922" w14:textId="77777777" w:rsidR="00EB129F" w:rsidRDefault="00EB129F" w:rsidP="00EB129F"/>
    <w:p w14:paraId="14F1940E" w14:textId="77777777" w:rsidR="00EB129F" w:rsidRDefault="00EB129F" w:rsidP="00EB129F"/>
    <w:p w14:paraId="5B7F01AE" w14:textId="77777777" w:rsidR="00EB129F" w:rsidRDefault="00EB129F" w:rsidP="00EB129F"/>
    <w:p w14:paraId="198ABE40" w14:textId="77777777" w:rsidR="00EB129F" w:rsidRDefault="00EB129F" w:rsidP="00E455C1"/>
    <w:p w14:paraId="0C7AA0EB" w14:textId="77777777" w:rsidR="00E455C1" w:rsidRDefault="00E455C1" w:rsidP="00E455C1"/>
    <w:p w14:paraId="48750C45" w14:textId="77777777" w:rsidR="00E455C1" w:rsidRDefault="00E455C1" w:rsidP="00E455C1"/>
    <w:p w14:paraId="1531D010" w14:textId="77777777" w:rsidR="00E455C1" w:rsidRDefault="00E455C1" w:rsidP="00E455C1"/>
    <w:p w14:paraId="6CE2FF58" w14:textId="77777777" w:rsidR="00E455C1" w:rsidRDefault="00E455C1" w:rsidP="00E455C1"/>
    <w:p w14:paraId="2A012877" w14:textId="77777777" w:rsidR="00E455C1" w:rsidRDefault="00E455C1" w:rsidP="00E455C1"/>
    <w:p w14:paraId="5F925CC5" w14:textId="77777777" w:rsidR="0014151F" w:rsidRDefault="0014151F" w:rsidP="00BB4B8C">
      <w:pPr>
        <w:pStyle w:val="Heading1"/>
        <w:pageBreakBefore/>
        <w:numPr>
          <w:ilvl w:val="0"/>
          <w:numId w:val="13"/>
        </w:numPr>
        <w:ind w:left="714" w:hanging="357"/>
      </w:pPr>
      <w:r>
        <w:lastRenderedPageBreak/>
        <w:t>What is the policy problem you are trying to solve and what data is available?</w:t>
      </w:r>
    </w:p>
    <w:p w14:paraId="1E5883AC" w14:textId="77777777" w:rsidR="00685D03" w:rsidRDefault="00231658" w:rsidP="00820355">
      <w:pPr>
        <w:rPr>
          <w:szCs w:val="22"/>
        </w:rPr>
      </w:pPr>
      <w:r>
        <w:rPr>
          <w:szCs w:val="22"/>
        </w:rPr>
        <w:t xml:space="preserve">With the end of a three-year freeze of the social security deeming rates on 30 June 2025, it </w:t>
      </w:r>
      <w:r w:rsidR="007B3E41">
        <w:rPr>
          <w:szCs w:val="22"/>
        </w:rPr>
        <w:t>is appropriate to begin re</w:t>
      </w:r>
      <w:r w:rsidR="001972BF">
        <w:rPr>
          <w:szCs w:val="22"/>
        </w:rPr>
        <w:t xml:space="preserve">turning the rates to their normal operation. </w:t>
      </w:r>
    </w:p>
    <w:p w14:paraId="4AB6C846" w14:textId="46ABDBEA" w:rsidR="00161391" w:rsidRPr="00645467" w:rsidRDefault="00161391" w:rsidP="00645467">
      <w:pPr>
        <w:keepNext/>
        <w:spacing w:before="240"/>
        <w:rPr>
          <w:b/>
          <w:bCs/>
          <w:szCs w:val="22"/>
        </w:rPr>
      </w:pPr>
      <w:r w:rsidRPr="00645467">
        <w:rPr>
          <w:b/>
          <w:bCs/>
          <w:szCs w:val="22"/>
        </w:rPr>
        <w:t xml:space="preserve">The deeming rates </w:t>
      </w:r>
    </w:p>
    <w:p w14:paraId="697D4EDB" w14:textId="3EFAA43C" w:rsidR="003E7FBD" w:rsidRDefault="0045701C" w:rsidP="00645467">
      <w:pPr>
        <w:rPr>
          <w:szCs w:val="22"/>
        </w:rPr>
      </w:pPr>
      <w:r>
        <w:rPr>
          <w:szCs w:val="22"/>
        </w:rPr>
        <w:t>The social security d</w:t>
      </w:r>
      <w:r w:rsidR="00AB577B" w:rsidRPr="00F351FB">
        <w:rPr>
          <w:szCs w:val="22"/>
        </w:rPr>
        <w:t xml:space="preserve">eeming </w:t>
      </w:r>
      <w:r w:rsidR="00B807ED">
        <w:rPr>
          <w:szCs w:val="22"/>
        </w:rPr>
        <w:t xml:space="preserve">rates </w:t>
      </w:r>
      <w:r>
        <w:rPr>
          <w:szCs w:val="22"/>
        </w:rPr>
        <w:t xml:space="preserve">provide </w:t>
      </w:r>
      <w:r w:rsidR="00AB577B" w:rsidRPr="00F351FB">
        <w:rPr>
          <w:szCs w:val="22"/>
        </w:rPr>
        <w:t xml:space="preserve">a fair and simple way to assess the income people can </w:t>
      </w:r>
      <w:r w:rsidR="007F10E3">
        <w:rPr>
          <w:szCs w:val="22"/>
        </w:rPr>
        <w:t>earn</w:t>
      </w:r>
      <w:r w:rsidR="007F10E3" w:rsidRPr="00F351FB">
        <w:rPr>
          <w:szCs w:val="22"/>
        </w:rPr>
        <w:t xml:space="preserve"> </w:t>
      </w:r>
      <w:r w:rsidR="00CE034E">
        <w:rPr>
          <w:szCs w:val="22"/>
        </w:rPr>
        <w:t>on</w:t>
      </w:r>
      <w:r w:rsidR="00AB577B" w:rsidRPr="00F351FB">
        <w:rPr>
          <w:szCs w:val="22"/>
        </w:rPr>
        <w:t xml:space="preserve"> their financial assets for social security purposes. </w:t>
      </w:r>
    </w:p>
    <w:p w14:paraId="6B94557E" w14:textId="3AFDAD9F" w:rsidR="00201ADA" w:rsidRDefault="00AD1957" w:rsidP="00201ADA">
      <w:r>
        <w:rPr>
          <w:szCs w:val="22"/>
        </w:rPr>
        <w:t xml:space="preserve">Australia’s social security system is targeted to support those most in need. </w:t>
      </w:r>
      <w:r w:rsidR="00201ADA">
        <w:t>Means test</w:t>
      </w:r>
      <w:r w:rsidR="007D354D">
        <w:t>ing</w:t>
      </w:r>
      <w:r w:rsidR="00201ADA" w:rsidRPr="00B47F7C">
        <w:t xml:space="preserve"> </w:t>
      </w:r>
      <w:r w:rsidR="00201ADA">
        <w:t>appl</w:t>
      </w:r>
      <w:r w:rsidR="007D354D">
        <w:t>ies</w:t>
      </w:r>
      <w:r w:rsidR="00201ADA" w:rsidRPr="00B47F7C">
        <w:t xml:space="preserve"> </w:t>
      </w:r>
      <w:r w:rsidR="00201ADA">
        <w:t>for</w:t>
      </w:r>
      <w:r w:rsidR="00201ADA" w:rsidRPr="00B47F7C">
        <w:t xml:space="preserve"> most income support payments </w:t>
      </w:r>
      <w:r w:rsidR="000054F0">
        <w:t>(</w:t>
      </w:r>
      <w:r w:rsidR="00201ADA" w:rsidRPr="00B47F7C">
        <w:t>and benefits</w:t>
      </w:r>
      <w:r w:rsidR="000054F0">
        <w:t>)</w:t>
      </w:r>
      <w:r w:rsidR="00201ADA">
        <w:t xml:space="preserve"> </w:t>
      </w:r>
      <w:r w:rsidR="00201ADA" w:rsidRPr="00B47F7C">
        <w:t xml:space="preserve">and </w:t>
      </w:r>
      <w:r w:rsidR="00623B4B">
        <w:t>is</w:t>
      </w:r>
      <w:r w:rsidR="00201ADA" w:rsidRPr="00B47F7C">
        <w:t xml:space="preserve"> considered the fairest way to ensure </w:t>
      </w:r>
      <w:r w:rsidR="00201ADA">
        <w:t>support is targeted</w:t>
      </w:r>
      <w:r w:rsidR="00201ADA" w:rsidRPr="00B47F7C">
        <w:t xml:space="preserve"> to those in the community with the greatest need</w:t>
      </w:r>
      <w:r w:rsidR="00BA29B7">
        <w:t xml:space="preserve">. </w:t>
      </w:r>
      <w:r w:rsidR="00201ADA" w:rsidRPr="00B47F7C">
        <w:t xml:space="preserve"> </w:t>
      </w:r>
    </w:p>
    <w:p w14:paraId="711A0C16" w14:textId="7811BD58" w:rsidR="00B96D40" w:rsidRDefault="00BA29B7" w:rsidP="00B96D40">
      <w:r>
        <w:t>The means test include</w:t>
      </w:r>
      <w:r w:rsidR="003515D7">
        <w:t>s</w:t>
      </w:r>
      <w:r w:rsidR="00201ADA">
        <w:t xml:space="preserve"> an</w:t>
      </w:r>
      <w:r w:rsidR="00201ADA" w:rsidRPr="00B23256">
        <w:t xml:space="preserve"> income test and an assets test. </w:t>
      </w:r>
      <w:r w:rsidR="00E078BC">
        <w:t>A recipient’s rate of payment is calculated under both tests, and the</w:t>
      </w:r>
      <w:r w:rsidR="00E078BC" w:rsidRPr="00B23256">
        <w:t xml:space="preserve"> </w:t>
      </w:r>
      <w:r w:rsidR="005424C6">
        <w:t>one</w:t>
      </w:r>
      <w:r w:rsidR="00E078BC" w:rsidRPr="00B23256">
        <w:t xml:space="preserve"> that results in the lower rate of payment </w:t>
      </w:r>
      <w:r w:rsidR="005424C6">
        <w:t xml:space="preserve">is the one that applies for </w:t>
      </w:r>
      <w:r w:rsidR="00D94476">
        <w:t>an individual recipient</w:t>
      </w:r>
      <w:r w:rsidR="00E078BC" w:rsidRPr="00B23256">
        <w:t>.</w:t>
      </w:r>
      <w:r w:rsidR="00E078BC">
        <w:t xml:space="preserve"> </w:t>
      </w:r>
      <w:r w:rsidR="00C97886">
        <w:t xml:space="preserve">Free areas </w:t>
      </w:r>
      <w:r w:rsidR="000054F0">
        <w:t xml:space="preserve">(for both income and assets) </w:t>
      </w:r>
      <w:r w:rsidR="00C97886">
        <w:t xml:space="preserve">and taper rates result in a recipient’s payment rate being reduced gradually </w:t>
      </w:r>
      <w:r w:rsidR="00C97886" w:rsidRPr="002E284B">
        <w:t>as</w:t>
      </w:r>
      <w:r w:rsidR="00C97886">
        <w:t xml:space="preserve"> their capacity to</w:t>
      </w:r>
      <w:r w:rsidR="00C97886" w:rsidRPr="002E284B">
        <w:t xml:space="preserve"> provide for </w:t>
      </w:r>
      <w:r w:rsidR="00C97886">
        <w:t>their own living costs</w:t>
      </w:r>
      <w:r w:rsidR="00C97886" w:rsidRPr="002E284B">
        <w:t xml:space="preserve"> increases. </w:t>
      </w:r>
      <w:r w:rsidR="00D94476">
        <w:t>This</w:t>
      </w:r>
      <w:r w:rsidR="00B96D40">
        <w:t xml:space="preserve"> ensure</w:t>
      </w:r>
      <w:r w:rsidR="00D94476">
        <w:t>s</w:t>
      </w:r>
      <w:r w:rsidR="00B96D40">
        <w:t xml:space="preserve"> a recipient is always better off with additional income or assets than </w:t>
      </w:r>
      <w:r w:rsidR="00E078BC">
        <w:t>if they rely</w:t>
      </w:r>
      <w:r w:rsidR="00B96D40">
        <w:t xml:space="preserve"> solely on income support. </w:t>
      </w:r>
    </w:p>
    <w:p w14:paraId="34A0C00E" w14:textId="4B9E9963" w:rsidR="00201ADA" w:rsidRDefault="00201ADA" w:rsidP="00201ADA">
      <w:r>
        <w:t xml:space="preserve">A recipient whose payment rate is determined by the income test is said to be on an </w:t>
      </w:r>
      <w:r w:rsidRPr="00112571">
        <w:rPr>
          <w:i/>
          <w:iCs/>
        </w:rPr>
        <w:t>income-tested rate</w:t>
      </w:r>
      <w:r w:rsidRPr="00112571">
        <w:t xml:space="preserve"> of payment</w:t>
      </w:r>
      <w:r>
        <w:t xml:space="preserve">. A recipient whose payment rate is determined by the assets test is on an </w:t>
      </w:r>
      <w:r w:rsidRPr="00112571">
        <w:rPr>
          <w:i/>
          <w:iCs/>
        </w:rPr>
        <w:t>asset</w:t>
      </w:r>
      <w:r w:rsidR="001E5218">
        <w:rPr>
          <w:i/>
          <w:iCs/>
        </w:rPr>
        <w:t>s</w:t>
      </w:r>
      <w:r w:rsidR="00563D2E">
        <w:rPr>
          <w:i/>
          <w:iCs/>
        </w:rPr>
        <w:noBreakHyphen/>
      </w:r>
      <w:r w:rsidRPr="00112571">
        <w:rPr>
          <w:i/>
          <w:iCs/>
        </w:rPr>
        <w:t>tested rate</w:t>
      </w:r>
      <w:r w:rsidRPr="00112571">
        <w:t xml:space="preserve"> of payment</w:t>
      </w:r>
      <w:r>
        <w:t xml:space="preserve">. </w:t>
      </w:r>
    </w:p>
    <w:p w14:paraId="16C82F1C" w14:textId="6A344A64" w:rsidR="00AB577B" w:rsidRDefault="00487FCD" w:rsidP="00645467">
      <w:pPr>
        <w:rPr>
          <w:szCs w:val="22"/>
        </w:rPr>
      </w:pPr>
      <w:r>
        <w:t>The deeming rates are</w:t>
      </w:r>
      <w:r w:rsidR="00201ADA" w:rsidRPr="0014799F">
        <w:t xml:space="preserve"> </w:t>
      </w:r>
      <w:r w:rsidR="00201ADA">
        <w:t>a</w:t>
      </w:r>
      <w:r w:rsidR="000054F0">
        <w:t>n important</w:t>
      </w:r>
      <w:r w:rsidR="00201ADA">
        <w:t xml:space="preserve"> part of the income test</w:t>
      </w:r>
      <w:r w:rsidR="00AF5805">
        <w:t xml:space="preserve">. </w:t>
      </w:r>
      <w:r w:rsidR="00FC4B71">
        <w:rPr>
          <w:szCs w:val="22"/>
        </w:rPr>
        <w:t>Deeming</w:t>
      </w:r>
      <w:r w:rsidR="00AB577B" w:rsidRPr="00F351FB">
        <w:rPr>
          <w:szCs w:val="22"/>
        </w:rPr>
        <w:t xml:space="preserve"> assume</w:t>
      </w:r>
      <w:r w:rsidR="00FC4B71">
        <w:rPr>
          <w:szCs w:val="22"/>
        </w:rPr>
        <w:t>s</w:t>
      </w:r>
      <w:r w:rsidR="00AB577B" w:rsidRPr="00F351FB">
        <w:rPr>
          <w:szCs w:val="22"/>
        </w:rPr>
        <w:t xml:space="preserve"> people can earn the kinds of returns </w:t>
      </w:r>
      <w:r w:rsidR="00494D8A">
        <w:rPr>
          <w:szCs w:val="22"/>
        </w:rPr>
        <w:t xml:space="preserve">on their financial assets that are </w:t>
      </w:r>
      <w:r w:rsidR="00AB577B" w:rsidRPr="00F351FB">
        <w:rPr>
          <w:szCs w:val="22"/>
        </w:rPr>
        <w:t xml:space="preserve">available from </w:t>
      </w:r>
      <w:r w:rsidR="00B127D0">
        <w:rPr>
          <w:szCs w:val="22"/>
        </w:rPr>
        <w:t>simple</w:t>
      </w:r>
      <w:r w:rsidR="00AB577B" w:rsidRPr="00F351FB">
        <w:rPr>
          <w:szCs w:val="22"/>
        </w:rPr>
        <w:t xml:space="preserve"> investments such as bank accounts, </w:t>
      </w:r>
      <w:r w:rsidR="00DD6215">
        <w:rPr>
          <w:szCs w:val="22"/>
        </w:rPr>
        <w:t xml:space="preserve">term deposits, </w:t>
      </w:r>
      <w:r w:rsidR="00AB577B" w:rsidRPr="00F351FB">
        <w:rPr>
          <w:szCs w:val="22"/>
        </w:rPr>
        <w:t xml:space="preserve">shares and managed funds. </w:t>
      </w:r>
      <w:r w:rsidR="004B5239" w:rsidRPr="004B5239">
        <w:rPr>
          <w:szCs w:val="22"/>
        </w:rPr>
        <w:t xml:space="preserve">A recipient is </w:t>
      </w:r>
      <w:r w:rsidR="004B5239" w:rsidRPr="000225CD">
        <w:rPr>
          <w:szCs w:val="22"/>
        </w:rPr>
        <w:t>assumed</w:t>
      </w:r>
      <w:r w:rsidR="004B5239" w:rsidRPr="004B5239">
        <w:rPr>
          <w:szCs w:val="22"/>
        </w:rPr>
        <w:t xml:space="preserve"> (deemed) to earn the amount determined by the deeming rates, regardless of the return they actually earn on their investments.</w:t>
      </w:r>
      <w:r w:rsidR="004B5239">
        <w:rPr>
          <w:szCs w:val="22"/>
        </w:rPr>
        <w:t xml:space="preserve"> </w:t>
      </w:r>
      <w:r w:rsidR="00AB577B" w:rsidRPr="00F351FB">
        <w:rPr>
          <w:szCs w:val="22"/>
        </w:rPr>
        <w:t>Anything a person earns above the deeming rates does not affect their income support payment</w:t>
      </w:r>
      <w:r w:rsidR="006054F4">
        <w:rPr>
          <w:szCs w:val="22"/>
        </w:rPr>
        <w:t xml:space="preserve"> rate</w:t>
      </w:r>
      <w:r w:rsidR="00AB577B" w:rsidRPr="00F351FB">
        <w:rPr>
          <w:szCs w:val="22"/>
        </w:rPr>
        <w:t xml:space="preserve">. </w:t>
      </w:r>
    </w:p>
    <w:p w14:paraId="62D32DE6" w14:textId="6A14FCA1" w:rsidR="00494D8A" w:rsidRPr="00494D8A" w:rsidRDefault="003515D7" w:rsidP="00494D8A">
      <w:r>
        <w:t>Deeming was introduced in its current form in 1996 to simplify reporting and administrative requirements</w:t>
      </w:r>
      <w:r w:rsidR="00494D8A">
        <w:t>. It</w:t>
      </w:r>
      <w:r w:rsidR="00494D8A" w:rsidRPr="00494D8A">
        <w:t xml:space="preserve"> replaces the need for recipients to </w:t>
      </w:r>
      <w:r w:rsidR="00494D8A">
        <w:t xml:space="preserve">track and </w:t>
      </w:r>
      <w:r w:rsidR="00494D8A" w:rsidRPr="00494D8A">
        <w:t xml:space="preserve">report </w:t>
      </w:r>
      <w:r w:rsidR="00494D8A">
        <w:t xml:space="preserve">their </w:t>
      </w:r>
      <w:r w:rsidR="00494D8A" w:rsidRPr="00494D8A">
        <w:t>actual investment income</w:t>
      </w:r>
      <w:r w:rsidR="00494D8A">
        <w:t xml:space="preserve"> from different types of financial assets, </w:t>
      </w:r>
      <w:r>
        <w:t>and encourage</w:t>
      </w:r>
      <w:r w:rsidR="00494D8A">
        <w:t>s</w:t>
      </w:r>
      <w:r>
        <w:t xml:space="preserve"> </w:t>
      </w:r>
      <w:r w:rsidR="00494D8A">
        <w:t>them</w:t>
      </w:r>
      <w:r>
        <w:t xml:space="preserve"> to seek a reasonable rate of return </w:t>
      </w:r>
      <w:r w:rsidR="00494D8A">
        <w:t>across</w:t>
      </w:r>
      <w:r>
        <w:t xml:space="preserve"> their financial investments</w:t>
      </w:r>
      <w:r w:rsidR="00494D8A">
        <w:t xml:space="preserve"> as a whole</w:t>
      </w:r>
      <w:r>
        <w:t>.</w:t>
      </w:r>
      <w:r w:rsidR="00494D8A">
        <w:t xml:space="preserve"> </w:t>
      </w:r>
    </w:p>
    <w:p w14:paraId="4761B698" w14:textId="1E104B21" w:rsidR="00083C04" w:rsidRPr="00083C04" w:rsidRDefault="00083C04" w:rsidP="00083C04">
      <w:pPr>
        <w:rPr>
          <w:szCs w:val="22"/>
        </w:rPr>
      </w:pPr>
      <w:r w:rsidRPr="00083C04">
        <w:rPr>
          <w:szCs w:val="22"/>
        </w:rPr>
        <w:t>There are two deeming rates, which apply to financial assets above and below certain thresholds. From 1</w:t>
      </w:r>
      <w:r w:rsidR="004B5239">
        <w:rPr>
          <w:szCs w:val="22"/>
        </w:rPr>
        <w:t> </w:t>
      </w:r>
      <w:r w:rsidRPr="00083C04">
        <w:rPr>
          <w:szCs w:val="22"/>
        </w:rPr>
        <w:t xml:space="preserve">July 2025: </w:t>
      </w:r>
    </w:p>
    <w:p w14:paraId="0AA6BF83" w14:textId="48347E66" w:rsidR="00083C04" w:rsidRDefault="00083C04" w:rsidP="00083C04">
      <w:pPr>
        <w:pStyle w:val="ListParagraph"/>
        <w:numPr>
          <w:ilvl w:val="1"/>
          <w:numId w:val="37"/>
        </w:numPr>
        <w:spacing w:after="200" w:line="240" w:lineRule="auto"/>
        <w:contextualSpacing w:val="0"/>
        <w:rPr>
          <w:rFonts w:cs="Arial"/>
          <w:iCs/>
        </w:rPr>
      </w:pPr>
      <w:r>
        <w:rPr>
          <w:rFonts w:cs="Arial"/>
          <w:iCs/>
        </w:rPr>
        <w:t>T</w:t>
      </w:r>
      <w:r w:rsidRPr="009D230C">
        <w:rPr>
          <w:rFonts w:cs="Arial"/>
          <w:iCs/>
        </w:rPr>
        <w:t>he lower deeming rate</w:t>
      </w:r>
      <w:r w:rsidR="005B0A50">
        <w:rPr>
          <w:rFonts w:cs="Arial"/>
          <w:iCs/>
        </w:rPr>
        <w:t xml:space="preserve">, currently set at 0.25 per cent, </w:t>
      </w:r>
      <w:r w:rsidRPr="009D230C">
        <w:rPr>
          <w:rFonts w:cs="Arial"/>
          <w:iCs/>
        </w:rPr>
        <w:t xml:space="preserve">applies to the first $64,200 of a single recipient’s total financial </w:t>
      </w:r>
      <w:r>
        <w:rPr>
          <w:rFonts w:cs="Arial"/>
          <w:iCs/>
        </w:rPr>
        <w:t>assets</w:t>
      </w:r>
      <w:r w:rsidRPr="009D230C">
        <w:rPr>
          <w:rFonts w:cs="Arial"/>
          <w:iCs/>
        </w:rPr>
        <w:t xml:space="preserve">, and the first $106,200 of a pensioner couple’s total combined financial </w:t>
      </w:r>
      <w:r>
        <w:rPr>
          <w:rFonts w:cs="Arial"/>
          <w:iCs/>
        </w:rPr>
        <w:t>assets</w:t>
      </w:r>
      <w:r w:rsidRPr="009D230C">
        <w:rPr>
          <w:rFonts w:cs="Arial"/>
          <w:iCs/>
        </w:rPr>
        <w:t xml:space="preserve">. </w:t>
      </w:r>
    </w:p>
    <w:p w14:paraId="3A0DB359" w14:textId="3A794A5A" w:rsidR="00083C04" w:rsidRDefault="00083C04" w:rsidP="00083C04">
      <w:pPr>
        <w:pStyle w:val="ListParagraph"/>
        <w:numPr>
          <w:ilvl w:val="1"/>
          <w:numId w:val="37"/>
        </w:numPr>
        <w:spacing w:after="200" w:line="240" w:lineRule="auto"/>
        <w:contextualSpacing w:val="0"/>
        <w:rPr>
          <w:rFonts w:cs="Arial"/>
          <w:iCs/>
        </w:rPr>
      </w:pPr>
      <w:r>
        <w:rPr>
          <w:rFonts w:cs="Arial"/>
          <w:iCs/>
        </w:rPr>
        <w:t>T</w:t>
      </w:r>
      <w:r w:rsidRPr="009D230C">
        <w:rPr>
          <w:rFonts w:cs="Arial"/>
          <w:iCs/>
        </w:rPr>
        <w:t>he upper deeming rate</w:t>
      </w:r>
      <w:r w:rsidR="005B0A50">
        <w:rPr>
          <w:rFonts w:cs="Arial"/>
          <w:iCs/>
        </w:rPr>
        <w:t>, currently set at 2.25 per cent,</w:t>
      </w:r>
      <w:r w:rsidRPr="009D230C">
        <w:rPr>
          <w:rFonts w:cs="Arial"/>
          <w:iCs/>
        </w:rPr>
        <w:t xml:space="preserve"> applies to any financial investments above these thresholds. </w:t>
      </w:r>
    </w:p>
    <w:p w14:paraId="43693EE8" w14:textId="2A76A6B1" w:rsidR="005B0A50" w:rsidRDefault="005B0A50" w:rsidP="00545865">
      <w:pPr>
        <w:rPr>
          <w:szCs w:val="22"/>
        </w:rPr>
      </w:pPr>
      <w:r w:rsidRPr="005B0A50">
        <w:rPr>
          <w:szCs w:val="22"/>
        </w:rPr>
        <w:lastRenderedPageBreak/>
        <w:t xml:space="preserve">The deeming rates are set via a Ministerial instrument under section 1082 of the </w:t>
      </w:r>
      <w:r w:rsidRPr="005B0A50">
        <w:rPr>
          <w:i/>
          <w:iCs/>
          <w:szCs w:val="22"/>
        </w:rPr>
        <w:t>Social Security Act 1991</w:t>
      </w:r>
      <w:r w:rsidRPr="005B0A50">
        <w:rPr>
          <w:szCs w:val="22"/>
        </w:rPr>
        <w:t xml:space="preserve"> (the Act). The</w:t>
      </w:r>
      <w:r>
        <w:rPr>
          <w:szCs w:val="22"/>
        </w:rPr>
        <w:t xml:space="preserve"> deeming</w:t>
      </w:r>
      <w:r w:rsidRPr="005B0A50">
        <w:rPr>
          <w:szCs w:val="22"/>
        </w:rPr>
        <w:t xml:space="preserve"> thresholds</w:t>
      </w:r>
      <w:r>
        <w:rPr>
          <w:szCs w:val="22"/>
        </w:rPr>
        <w:t xml:space="preserve"> are</w:t>
      </w:r>
      <w:r w:rsidRPr="005B0A50">
        <w:rPr>
          <w:szCs w:val="22"/>
        </w:rPr>
        <w:t xml:space="preserve"> indexed by movements in the Consumer Price Index on 1 July each year under section 1081 of the </w:t>
      </w:r>
      <w:r w:rsidRPr="00645467">
        <w:rPr>
          <w:szCs w:val="22"/>
        </w:rPr>
        <w:t>Act</w:t>
      </w:r>
      <w:r w:rsidRPr="005B0A50">
        <w:rPr>
          <w:szCs w:val="22"/>
        </w:rPr>
        <w:t xml:space="preserve">. </w:t>
      </w:r>
    </w:p>
    <w:p w14:paraId="4C367A04" w14:textId="694BAC42" w:rsidR="000C08DC" w:rsidRDefault="000C08DC" w:rsidP="00645467">
      <w:pPr>
        <w:keepNext/>
        <w:spacing w:before="240"/>
        <w:rPr>
          <w:b/>
          <w:bCs/>
          <w:szCs w:val="22"/>
        </w:rPr>
      </w:pPr>
      <w:r>
        <w:rPr>
          <w:b/>
          <w:bCs/>
          <w:szCs w:val="22"/>
        </w:rPr>
        <w:t>Who is affected by the deeming rates?</w:t>
      </w:r>
    </w:p>
    <w:p w14:paraId="549FC80E" w14:textId="4A815B5F" w:rsidR="00F70A3F" w:rsidRPr="008E4678" w:rsidRDefault="00F70A3F" w:rsidP="00F70A3F">
      <w:r>
        <w:t xml:space="preserve">Deemed income </w:t>
      </w:r>
      <w:r w:rsidRPr="008E4678">
        <w:t xml:space="preserve">is calculated for all income support recipients </w:t>
      </w:r>
      <w:r w:rsidR="00000F69">
        <w:t>with</w:t>
      </w:r>
      <w:r w:rsidRPr="008E4678">
        <w:t xml:space="preserve"> financial assets</w:t>
      </w:r>
      <w:r>
        <w:t xml:space="preserve"> and can affect the rate of all </w:t>
      </w:r>
      <w:r w:rsidR="004A11BF">
        <w:t xml:space="preserve">income support </w:t>
      </w:r>
      <w:r>
        <w:t>payment types.</w:t>
      </w:r>
      <w:r w:rsidRPr="008E4678">
        <w:t xml:space="preserve"> </w:t>
      </w:r>
      <w:r w:rsidR="00936CDF">
        <w:t xml:space="preserve">However, the </w:t>
      </w:r>
      <w:r w:rsidR="004A11BF">
        <w:t xml:space="preserve">income free areas and taper rates that apply </w:t>
      </w:r>
      <w:r w:rsidR="00C231A6">
        <w:t xml:space="preserve">to </w:t>
      </w:r>
      <w:r w:rsidR="004A11BF">
        <w:t>different payments mean</w:t>
      </w:r>
      <w:r>
        <w:t xml:space="preserve"> d</w:t>
      </w:r>
      <w:r w:rsidRPr="008E4678">
        <w:t>eemed income will only reduce a recipient’s payment rate if the following conditions are met: </w:t>
      </w:r>
    </w:p>
    <w:p w14:paraId="10CAB261" w14:textId="5D51B123" w:rsidR="00F70A3F" w:rsidRPr="008E4678" w:rsidRDefault="00F70A3F" w:rsidP="00F70A3F">
      <w:pPr>
        <w:numPr>
          <w:ilvl w:val="0"/>
          <w:numId w:val="30"/>
        </w:numPr>
      </w:pPr>
      <w:r w:rsidRPr="008E4678">
        <w:rPr>
          <w:lang w:val="en-US"/>
        </w:rPr>
        <w:t xml:space="preserve">The recipient must </w:t>
      </w:r>
      <w:r>
        <w:rPr>
          <w:lang w:val="en-US"/>
        </w:rPr>
        <w:t>be</w:t>
      </w:r>
      <w:r w:rsidRPr="008E4678">
        <w:rPr>
          <w:lang w:val="en-US"/>
        </w:rPr>
        <w:t xml:space="preserve"> on an income</w:t>
      </w:r>
      <w:r w:rsidR="00CD64B1">
        <w:rPr>
          <w:lang w:val="en-US"/>
        </w:rPr>
        <w:t>-</w:t>
      </w:r>
      <w:r w:rsidRPr="008E4678">
        <w:rPr>
          <w:lang w:val="en-US"/>
        </w:rPr>
        <w:t>tested rate of payment, meaning the income test produces a lower payment rate for them than the assets test; and</w:t>
      </w:r>
      <w:r w:rsidRPr="008E4678">
        <w:t> </w:t>
      </w:r>
    </w:p>
    <w:p w14:paraId="4B29FF4A" w14:textId="3A709371" w:rsidR="00F70A3F" w:rsidRPr="008E4678" w:rsidRDefault="00F70A3F" w:rsidP="00F70A3F">
      <w:pPr>
        <w:numPr>
          <w:ilvl w:val="0"/>
          <w:numId w:val="31"/>
        </w:numPr>
      </w:pPr>
      <w:r>
        <w:rPr>
          <w:lang w:val="en-US"/>
        </w:rPr>
        <w:t>The recipient’s</w:t>
      </w:r>
      <w:r w:rsidRPr="008E4678">
        <w:rPr>
          <w:lang w:val="en-US"/>
        </w:rPr>
        <w:t xml:space="preserve"> total income – which includes </w:t>
      </w:r>
      <w:r>
        <w:rPr>
          <w:lang w:val="en-US"/>
        </w:rPr>
        <w:t xml:space="preserve">their </w:t>
      </w:r>
      <w:r w:rsidRPr="008E4678">
        <w:rPr>
          <w:lang w:val="en-US"/>
        </w:rPr>
        <w:t>deemed income together with any other sources of income, such as employment</w:t>
      </w:r>
      <w:r>
        <w:rPr>
          <w:lang w:val="en-US"/>
        </w:rPr>
        <w:t>, business,</w:t>
      </w:r>
      <w:r w:rsidRPr="008E4678">
        <w:rPr>
          <w:lang w:val="en-US"/>
        </w:rPr>
        <w:t xml:space="preserve"> </w:t>
      </w:r>
      <w:r w:rsidRPr="008E4678">
        <w:rPr>
          <w:u w:val="single"/>
          <w:lang w:val="en-US"/>
        </w:rPr>
        <w:t>assessable</w:t>
      </w:r>
      <w:r w:rsidRPr="0070297D">
        <w:rPr>
          <w:lang w:val="en-US"/>
        </w:rPr>
        <w:t xml:space="preserve"> </w:t>
      </w:r>
      <w:r w:rsidRPr="008E4678">
        <w:rPr>
          <w:lang w:val="en-US"/>
        </w:rPr>
        <w:t xml:space="preserve">superannuation or </w:t>
      </w:r>
      <w:r>
        <w:rPr>
          <w:lang w:val="en-US"/>
        </w:rPr>
        <w:t>a foreign pension</w:t>
      </w:r>
      <w:r w:rsidRPr="008E4678">
        <w:rPr>
          <w:lang w:val="en-US"/>
        </w:rPr>
        <w:t xml:space="preserve"> – exceeds the income free area for their payment. For example, from 1 July 2025: </w:t>
      </w:r>
      <w:r w:rsidRPr="008E4678">
        <w:t> </w:t>
      </w:r>
    </w:p>
    <w:p w14:paraId="2533A1BC" w14:textId="77777777" w:rsidR="00F70A3F" w:rsidRPr="008E4678" w:rsidRDefault="00F70A3F" w:rsidP="00F70A3F">
      <w:pPr>
        <w:numPr>
          <w:ilvl w:val="0"/>
          <w:numId w:val="32"/>
        </w:numPr>
      </w:pPr>
      <w:r w:rsidRPr="008E4678">
        <w:rPr>
          <w:lang w:val="en-US"/>
        </w:rPr>
        <w:t>For pensions, the income free area</w:t>
      </w:r>
      <w:r w:rsidRPr="008E4678">
        <w:t xml:space="preserve"> is $218 a fortnight for singles and $380 for couples combined.  </w:t>
      </w:r>
    </w:p>
    <w:p w14:paraId="48D079B2" w14:textId="204FCAB0" w:rsidR="00F70A3F" w:rsidRPr="008E4678" w:rsidRDefault="00F70A3F" w:rsidP="00F70A3F">
      <w:pPr>
        <w:numPr>
          <w:ilvl w:val="0"/>
          <w:numId w:val="32"/>
        </w:numPr>
      </w:pPr>
      <w:r w:rsidRPr="008E4678">
        <w:t xml:space="preserve">For </w:t>
      </w:r>
      <w:proofErr w:type="spellStart"/>
      <w:r w:rsidRPr="008E4678">
        <w:t>J</w:t>
      </w:r>
      <w:r>
        <w:t>ob</w:t>
      </w:r>
      <w:r w:rsidRPr="008E4678">
        <w:t>S</w:t>
      </w:r>
      <w:r>
        <w:t>eeker</w:t>
      </w:r>
      <w:proofErr w:type="spellEnd"/>
      <w:r>
        <w:t xml:space="preserve"> </w:t>
      </w:r>
      <w:r w:rsidRPr="008E4678">
        <w:t>P</w:t>
      </w:r>
      <w:r>
        <w:t>ayment</w:t>
      </w:r>
      <w:r w:rsidRPr="008E4678">
        <w:t>, the income free area is $150 a fortnight.  </w:t>
      </w:r>
    </w:p>
    <w:p w14:paraId="5F0773EA" w14:textId="4BC2716C" w:rsidR="00F70A3F" w:rsidRDefault="0005771E" w:rsidP="00020520">
      <w:pPr>
        <w:rPr>
          <w:szCs w:val="22"/>
        </w:rPr>
      </w:pPr>
      <w:r w:rsidRPr="00645467">
        <w:rPr>
          <w:szCs w:val="22"/>
        </w:rPr>
        <w:t xml:space="preserve">As at 27 June 2025, </w:t>
      </w:r>
      <w:r w:rsidR="00DE33D9">
        <w:rPr>
          <w:szCs w:val="22"/>
        </w:rPr>
        <w:t>there were almost 5.4 million</w:t>
      </w:r>
      <w:r w:rsidR="00462111">
        <w:rPr>
          <w:szCs w:val="22"/>
        </w:rPr>
        <w:t xml:space="preserve"> people receiving an</w:t>
      </w:r>
      <w:r w:rsidR="00DE33D9">
        <w:rPr>
          <w:szCs w:val="22"/>
        </w:rPr>
        <w:t xml:space="preserve"> income support </w:t>
      </w:r>
      <w:r w:rsidR="00462111">
        <w:rPr>
          <w:szCs w:val="22"/>
        </w:rPr>
        <w:t>payment</w:t>
      </w:r>
      <w:r w:rsidR="00DE33D9">
        <w:rPr>
          <w:szCs w:val="22"/>
        </w:rPr>
        <w:t>. A</w:t>
      </w:r>
      <w:r w:rsidR="0045090E" w:rsidRPr="00645467">
        <w:rPr>
          <w:szCs w:val="22"/>
        </w:rPr>
        <w:t xml:space="preserve">round 771,000 </w:t>
      </w:r>
      <w:r w:rsidR="00455366">
        <w:rPr>
          <w:szCs w:val="22"/>
        </w:rPr>
        <w:t xml:space="preserve">of </w:t>
      </w:r>
      <w:r w:rsidR="00912132">
        <w:rPr>
          <w:szCs w:val="22"/>
        </w:rPr>
        <w:t xml:space="preserve">these </w:t>
      </w:r>
      <w:r w:rsidR="0045090E" w:rsidRPr="00645467">
        <w:rPr>
          <w:szCs w:val="22"/>
        </w:rPr>
        <w:t xml:space="preserve">recipients </w:t>
      </w:r>
      <w:r w:rsidR="00455366">
        <w:rPr>
          <w:szCs w:val="22"/>
        </w:rPr>
        <w:t>had</w:t>
      </w:r>
      <w:r w:rsidR="0045090E" w:rsidRPr="00645467">
        <w:rPr>
          <w:szCs w:val="22"/>
        </w:rPr>
        <w:t xml:space="preserve"> their payment rate affected by </w:t>
      </w:r>
      <w:r w:rsidR="00455366">
        <w:rPr>
          <w:szCs w:val="22"/>
        </w:rPr>
        <w:t>deemed income</w:t>
      </w:r>
      <w:r w:rsidR="0045090E" w:rsidRPr="00645467">
        <w:rPr>
          <w:szCs w:val="22"/>
        </w:rPr>
        <w:t xml:space="preserve">. </w:t>
      </w:r>
      <w:r w:rsidR="0087504B">
        <w:rPr>
          <w:szCs w:val="22"/>
        </w:rPr>
        <w:t xml:space="preserve">Table 1 </w:t>
      </w:r>
      <w:r w:rsidR="0025537E">
        <w:rPr>
          <w:szCs w:val="22"/>
        </w:rPr>
        <w:t xml:space="preserve">below </w:t>
      </w:r>
      <w:r w:rsidR="0087504B">
        <w:rPr>
          <w:szCs w:val="22"/>
        </w:rPr>
        <w:t>shows the number of recipients of each major income support payment type who are currently on</w:t>
      </w:r>
      <w:r w:rsidR="00393087">
        <w:rPr>
          <w:szCs w:val="22"/>
        </w:rPr>
        <w:t xml:space="preserve"> a rate of payment being reduced by deemed income. </w:t>
      </w:r>
    </w:p>
    <w:p w14:paraId="727D1ED1" w14:textId="6F0BF5C1" w:rsidR="0025537E" w:rsidRDefault="0025537E" w:rsidP="00B13547">
      <w:pPr>
        <w:rPr>
          <w:b/>
          <w:bCs/>
          <w:i/>
          <w:iCs/>
        </w:rPr>
      </w:pPr>
      <w:r>
        <w:t xml:space="preserve">Age </w:t>
      </w:r>
      <w:r w:rsidRPr="008E4678">
        <w:t xml:space="preserve">pensioners </w:t>
      </w:r>
      <w:r>
        <w:t xml:space="preserve">comprise around </w:t>
      </w:r>
      <w:r w:rsidRPr="008E4678">
        <w:t>60</w:t>
      </w:r>
      <w:r>
        <w:t> </w:t>
      </w:r>
      <w:r w:rsidRPr="008E4678">
        <w:t>per</w:t>
      </w:r>
      <w:r>
        <w:t> </w:t>
      </w:r>
      <w:r w:rsidRPr="008E4678">
        <w:t xml:space="preserve">cent </w:t>
      </w:r>
      <w:r>
        <w:t xml:space="preserve">of the </w:t>
      </w:r>
      <w:r w:rsidDel="0036074A">
        <w:t xml:space="preserve">recipients affected by deeming </w:t>
      </w:r>
      <w:r w:rsidR="0023606F">
        <w:t>and</w:t>
      </w:r>
      <w:r>
        <w:t xml:space="preserve"> tend to experience the largest impact </w:t>
      </w:r>
      <w:r w:rsidR="0023606F">
        <w:t xml:space="preserve">from </w:t>
      </w:r>
      <w:r>
        <w:t xml:space="preserve">deeming on their payment rates. </w:t>
      </w:r>
      <w:r w:rsidRPr="00F31579">
        <w:t xml:space="preserve">This is </w:t>
      </w:r>
      <w:r w:rsidR="0023606F">
        <w:t>because</w:t>
      </w:r>
      <w:r>
        <w:t xml:space="preserve"> age pensioners tend to </w:t>
      </w:r>
      <w:r w:rsidRPr="00F31579">
        <w:t>hold more financial assets than people receiving other income support payment</w:t>
      </w:r>
      <w:r w:rsidR="00C20BF6">
        <w:t>s</w:t>
      </w:r>
      <w:r w:rsidRPr="00F31579">
        <w:t>.</w:t>
      </w:r>
      <w:r>
        <w:t xml:space="preserve"> There are several reasons for this, including that people of Age Pension age have had longer to accumulate financial assets</w:t>
      </w:r>
      <w:r w:rsidR="003A6B51">
        <w:t xml:space="preserve">, </w:t>
      </w:r>
      <w:r w:rsidR="00B13547">
        <w:t xml:space="preserve">and </w:t>
      </w:r>
      <w:r w:rsidR="0023606F">
        <w:t xml:space="preserve">their </w:t>
      </w:r>
      <w:r>
        <w:t xml:space="preserve">superannuation </w:t>
      </w:r>
      <w:r w:rsidR="00FF1A81">
        <w:t>balances</w:t>
      </w:r>
      <w:r w:rsidR="00B13547">
        <w:t xml:space="preserve"> are assessable</w:t>
      </w:r>
      <w:r>
        <w:t>.</w:t>
      </w:r>
      <w:r>
        <w:rPr>
          <w:b/>
          <w:bCs/>
          <w:i/>
          <w:iCs/>
        </w:rPr>
        <w:br w:type="page"/>
      </w:r>
    </w:p>
    <w:p w14:paraId="179235F9" w14:textId="77777777" w:rsidR="002C7B21" w:rsidRPr="008E4678" w:rsidRDefault="002C7B21" w:rsidP="00F364B5">
      <w:pPr>
        <w:keepNext/>
        <w:spacing w:after="0"/>
        <w:rPr>
          <w:b/>
          <w:bCs/>
          <w:i/>
          <w:iCs/>
        </w:rPr>
      </w:pPr>
      <w:r w:rsidRPr="008E4678">
        <w:rPr>
          <w:b/>
          <w:bCs/>
          <w:i/>
          <w:iCs/>
        </w:rPr>
        <w:lastRenderedPageBreak/>
        <w:t>Table 1: Income support recipients currently on a rate of payment being reduced by deemed income </w:t>
      </w:r>
    </w:p>
    <w:tbl>
      <w:tblPr>
        <w:tblStyle w:val="Custom1"/>
        <w:tblW w:w="9638" w:type="dxa"/>
        <w:tblLook w:val="04A0" w:firstRow="1" w:lastRow="0" w:firstColumn="1" w:lastColumn="0" w:noHBand="0" w:noVBand="1"/>
      </w:tblPr>
      <w:tblGrid>
        <w:gridCol w:w="4395"/>
        <w:gridCol w:w="1559"/>
        <w:gridCol w:w="1794"/>
        <w:gridCol w:w="1890"/>
      </w:tblGrid>
      <w:tr w:rsidR="00A31495" w:rsidRPr="008E4678" w14:paraId="0A579416" w14:textId="77777777" w:rsidTr="004556B4">
        <w:trPr>
          <w:cnfStyle w:val="100000000000" w:firstRow="1" w:lastRow="0" w:firstColumn="0" w:lastColumn="0" w:oddVBand="0" w:evenVBand="0" w:oddHBand="0" w:evenHBand="0" w:firstRowFirstColumn="0" w:firstRowLastColumn="0" w:lastRowFirstColumn="0" w:lastRowLastColumn="0"/>
          <w:trHeight w:val="927"/>
        </w:trPr>
        <w:tc>
          <w:tcPr>
            <w:tcW w:w="4395" w:type="dxa"/>
            <w:hideMark/>
          </w:tcPr>
          <w:p w14:paraId="5F2D4408" w14:textId="77777777" w:rsidR="002C7B21" w:rsidRPr="008E4678" w:rsidRDefault="002C7B21">
            <w:pPr>
              <w:spacing w:before="40" w:after="40"/>
              <w:rPr>
                <w:bCs/>
              </w:rPr>
            </w:pPr>
            <w:r w:rsidRPr="008E4678">
              <w:rPr>
                <w:bCs/>
              </w:rPr>
              <w:t>Payment type </w:t>
            </w:r>
          </w:p>
        </w:tc>
        <w:tc>
          <w:tcPr>
            <w:tcW w:w="1559" w:type="dxa"/>
            <w:hideMark/>
          </w:tcPr>
          <w:p w14:paraId="6697D80C" w14:textId="77777777" w:rsidR="002C7B21" w:rsidRPr="008E4678" w:rsidRDefault="002C7B21">
            <w:pPr>
              <w:spacing w:before="40" w:after="40"/>
              <w:jc w:val="right"/>
              <w:rPr>
                <w:bCs/>
              </w:rPr>
            </w:pPr>
            <w:r w:rsidRPr="008E4678">
              <w:rPr>
                <w:bCs/>
              </w:rPr>
              <w:t>Total payment recipients </w:t>
            </w:r>
          </w:p>
        </w:tc>
        <w:tc>
          <w:tcPr>
            <w:tcW w:w="1794" w:type="dxa"/>
            <w:hideMark/>
          </w:tcPr>
          <w:p w14:paraId="6A4828D6" w14:textId="77777777" w:rsidR="002C7B21" w:rsidRPr="008E4678" w:rsidRDefault="002C7B21">
            <w:pPr>
              <w:spacing w:before="40" w:after="40"/>
              <w:jc w:val="right"/>
              <w:rPr>
                <w:b w:val="0"/>
              </w:rPr>
            </w:pPr>
            <w:r>
              <w:t>Number of recipients affected</w:t>
            </w:r>
            <w:r w:rsidRPr="008E4678">
              <w:rPr>
                <w:bCs/>
              </w:rPr>
              <w:t xml:space="preserve"> by deeming </w:t>
            </w:r>
          </w:p>
        </w:tc>
        <w:tc>
          <w:tcPr>
            <w:tcW w:w="1890" w:type="dxa"/>
          </w:tcPr>
          <w:p w14:paraId="6D5389D5" w14:textId="77777777" w:rsidR="002C7B21" w:rsidRPr="007752CA" w:rsidRDefault="002C7B21">
            <w:pPr>
              <w:spacing w:before="40" w:after="40"/>
              <w:jc w:val="right"/>
              <w:rPr>
                <w:bCs/>
              </w:rPr>
            </w:pPr>
            <w:r w:rsidRPr="007752CA">
              <w:rPr>
                <w:bCs/>
              </w:rPr>
              <w:t>% of payment recipients affected by deeming</w:t>
            </w:r>
          </w:p>
        </w:tc>
      </w:tr>
      <w:tr w:rsidR="00A31495" w:rsidRPr="008E4678" w14:paraId="1FE22E10" w14:textId="77777777" w:rsidTr="004556B4">
        <w:trPr>
          <w:cnfStyle w:val="000000100000" w:firstRow="0" w:lastRow="0" w:firstColumn="0" w:lastColumn="0" w:oddVBand="0" w:evenVBand="0" w:oddHBand="1" w:evenHBand="0" w:firstRowFirstColumn="0" w:firstRowLastColumn="0" w:lastRowFirstColumn="0" w:lastRowLastColumn="0"/>
          <w:trHeight w:val="300"/>
        </w:trPr>
        <w:tc>
          <w:tcPr>
            <w:tcW w:w="4395" w:type="dxa"/>
            <w:hideMark/>
          </w:tcPr>
          <w:p w14:paraId="5D8B2776" w14:textId="77777777" w:rsidR="00CF3EC8" w:rsidRPr="00B13547" w:rsidRDefault="00CF3EC8" w:rsidP="00CF3EC8">
            <w:pPr>
              <w:spacing w:before="40" w:after="40"/>
            </w:pPr>
            <w:r w:rsidRPr="00B13547">
              <w:t>Age Pension </w:t>
            </w:r>
          </w:p>
        </w:tc>
        <w:tc>
          <w:tcPr>
            <w:tcW w:w="1559" w:type="dxa"/>
          </w:tcPr>
          <w:p w14:paraId="3E75D19A" w14:textId="12502191" w:rsidR="00CF3EC8" w:rsidRPr="00B13547" w:rsidRDefault="00CF3EC8" w:rsidP="00CF3EC8">
            <w:pPr>
              <w:spacing w:before="40" w:after="40"/>
              <w:jc w:val="right"/>
            </w:pPr>
            <w:r w:rsidRPr="00B13547">
              <w:t>2,667,</w:t>
            </w:r>
            <w:r>
              <w:t>400</w:t>
            </w:r>
          </w:p>
        </w:tc>
        <w:tc>
          <w:tcPr>
            <w:tcW w:w="1794" w:type="dxa"/>
          </w:tcPr>
          <w:p w14:paraId="48F6E4D3" w14:textId="7D51637A" w:rsidR="00CF3EC8" w:rsidRPr="00B13547" w:rsidRDefault="00CF3EC8" w:rsidP="00CF3EC8">
            <w:pPr>
              <w:spacing w:before="40" w:after="40"/>
              <w:jc w:val="right"/>
            </w:pPr>
            <w:r w:rsidRPr="00B13547">
              <w:t>457,</w:t>
            </w:r>
            <w:r>
              <w:t>300</w:t>
            </w:r>
          </w:p>
        </w:tc>
        <w:tc>
          <w:tcPr>
            <w:tcW w:w="1890" w:type="dxa"/>
          </w:tcPr>
          <w:p w14:paraId="42B5515D" w14:textId="727A0216" w:rsidR="00CF3EC8" w:rsidRPr="00B13547" w:rsidRDefault="00CF3EC8" w:rsidP="00CF3EC8">
            <w:pPr>
              <w:spacing w:before="40" w:after="40"/>
              <w:jc w:val="right"/>
            </w:pPr>
            <w:r w:rsidRPr="00C71BA0">
              <w:t>59.3%</w:t>
            </w:r>
          </w:p>
        </w:tc>
      </w:tr>
      <w:tr w:rsidR="002C7B21" w:rsidRPr="008E4678" w14:paraId="6368AA97" w14:textId="77777777" w:rsidTr="00B13547">
        <w:trPr>
          <w:trHeight w:val="300"/>
        </w:trPr>
        <w:tc>
          <w:tcPr>
            <w:tcW w:w="4395" w:type="dxa"/>
            <w:hideMark/>
          </w:tcPr>
          <w:p w14:paraId="178984B3" w14:textId="77777777" w:rsidR="002C7B21" w:rsidRPr="00B13547" w:rsidRDefault="002C7B21">
            <w:pPr>
              <w:spacing w:before="40" w:after="40"/>
            </w:pPr>
            <w:proofErr w:type="spellStart"/>
            <w:r w:rsidRPr="00B13547">
              <w:t>JobSeeker</w:t>
            </w:r>
            <w:proofErr w:type="spellEnd"/>
            <w:r w:rsidRPr="00B13547">
              <w:t xml:space="preserve"> Payment </w:t>
            </w:r>
          </w:p>
        </w:tc>
        <w:tc>
          <w:tcPr>
            <w:tcW w:w="1559" w:type="dxa"/>
          </w:tcPr>
          <w:p w14:paraId="11B4873E" w14:textId="77777777" w:rsidR="002C7B21" w:rsidRPr="00B13547" w:rsidRDefault="002C7B21">
            <w:pPr>
              <w:spacing w:before="40" w:after="40"/>
              <w:jc w:val="right"/>
            </w:pPr>
            <w:r w:rsidRPr="00B13547">
              <w:t>883,700</w:t>
            </w:r>
          </w:p>
        </w:tc>
        <w:tc>
          <w:tcPr>
            <w:tcW w:w="1794" w:type="dxa"/>
          </w:tcPr>
          <w:p w14:paraId="55B5228C" w14:textId="24890D0C" w:rsidR="002C7B21" w:rsidRPr="00B13547" w:rsidRDefault="002C7B21">
            <w:pPr>
              <w:spacing w:before="40" w:after="40"/>
              <w:jc w:val="right"/>
            </w:pPr>
            <w:r w:rsidRPr="00B13547">
              <w:t>95,9</w:t>
            </w:r>
            <w:r w:rsidR="00A8362B">
              <w:t>00</w:t>
            </w:r>
          </w:p>
        </w:tc>
        <w:tc>
          <w:tcPr>
            <w:tcW w:w="1890" w:type="dxa"/>
          </w:tcPr>
          <w:p w14:paraId="20FB4A93" w14:textId="3EB4B4B6" w:rsidR="002C7B21" w:rsidRPr="00B13547" w:rsidRDefault="002C7B21">
            <w:pPr>
              <w:spacing w:before="40" w:after="40"/>
              <w:jc w:val="right"/>
            </w:pPr>
            <w:r w:rsidRPr="00C71BA0">
              <w:t>12</w:t>
            </w:r>
            <w:r w:rsidR="00CF3EC8" w:rsidRPr="00C71BA0">
              <w:t>.4</w:t>
            </w:r>
            <w:r w:rsidRPr="00C71BA0">
              <w:t>%</w:t>
            </w:r>
          </w:p>
        </w:tc>
      </w:tr>
      <w:tr w:rsidR="00A31495" w:rsidRPr="008E4678" w14:paraId="27630967" w14:textId="77777777" w:rsidTr="004556B4">
        <w:trPr>
          <w:cnfStyle w:val="000000100000" w:firstRow="0" w:lastRow="0" w:firstColumn="0" w:lastColumn="0" w:oddVBand="0" w:evenVBand="0" w:oddHBand="1" w:evenHBand="0" w:firstRowFirstColumn="0" w:firstRowLastColumn="0" w:lastRowFirstColumn="0" w:lastRowLastColumn="0"/>
          <w:trHeight w:val="300"/>
        </w:trPr>
        <w:tc>
          <w:tcPr>
            <w:tcW w:w="4395" w:type="dxa"/>
            <w:hideMark/>
          </w:tcPr>
          <w:p w14:paraId="41653DBE" w14:textId="77777777" w:rsidR="00CF3EC8" w:rsidRPr="00B13547" w:rsidRDefault="00CF3EC8" w:rsidP="00CF3EC8">
            <w:pPr>
              <w:spacing w:before="40" w:after="40"/>
            </w:pPr>
            <w:r w:rsidRPr="00B13547">
              <w:t>Disability Support Pension </w:t>
            </w:r>
          </w:p>
        </w:tc>
        <w:tc>
          <w:tcPr>
            <w:tcW w:w="1559" w:type="dxa"/>
          </w:tcPr>
          <w:p w14:paraId="63FE8886" w14:textId="74CBAE81" w:rsidR="00CF3EC8" w:rsidRPr="00B13547" w:rsidRDefault="00CF3EC8" w:rsidP="00CF3EC8">
            <w:pPr>
              <w:spacing w:before="40" w:after="40"/>
              <w:jc w:val="right"/>
            </w:pPr>
            <w:r w:rsidRPr="00B13547">
              <w:t>830,</w:t>
            </w:r>
            <w:r>
              <w:t>900</w:t>
            </w:r>
          </w:p>
        </w:tc>
        <w:tc>
          <w:tcPr>
            <w:tcW w:w="1794" w:type="dxa"/>
          </w:tcPr>
          <w:p w14:paraId="36C8691A" w14:textId="4BC52BC8" w:rsidR="00CF3EC8" w:rsidRPr="00B13547" w:rsidRDefault="00CF3EC8" w:rsidP="00CF3EC8">
            <w:pPr>
              <w:spacing w:before="40" w:after="40"/>
              <w:jc w:val="right"/>
            </w:pPr>
            <w:r w:rsidRPr="00B13547">
              <w:t>61,5</w:t>
            </w:r>
            <w:r>
              <w:t>00</w:t>
            </w:r>
          </w:p>
        </w:tc>
        <w:tc>
          <w:tcPr>
            <w:tcW w:w="1890" w:type="dxa"/>
          </w:tcPr>
          <w:p w14:paraId="4174DDEA" w14:textId="661ECF13" w:rsidR="00CF3EC8" w:rsidRPr="00B13547" w:rsidRDefault="00CF3EC8" w:rsidP="00CF3EC8">
            <w:pPr>
              <w:spacing w:before="40" w:after="40"/>
              <w:jc w:val="right"/>
            </w:pPr>
            <w:r w:rsidRPr="00C71BA0">
              <w:t>8.0%</w:t>
            </w:r>
          </w:p>
        </w:tc>
      </w:tr>
      <w:tr w:rsidR="002C7B21" w:rsidRPr="008E4678" w14:paraId="71C7960F" w14:textId="77777777" w:rsidTr="00B13547">
        <w:trPr>
          <w:trHeight w:val="300"/>
        </w:trPr>
        <w:tc>
          <w:tcPr>
            <w:tcW w:w="4395" w:type="dxa"/>
            <w:hideMark/>
          </w:tcPr>
          <w:p w14:paraId="293B867C" w14:textId="77777777" w:rsidR="002C7B21" w:rsidRPr="00B13547" w:rsidRDefault="002C7B21">
            <w:pPr>
              <w:spacing w:before="40" w:after="40"/>
            </w:pPr>
            <w:r w:rsidRPr="00B13547">
              <w:t>Parenting Payment Single </w:t>
            </w:r>
          </w:p>
        </w:tc>
        <w:tc>
          <w:tcPr>
            <w:tcW w:w="1559" w:type="dxa"/>
          </w:tcPr>
          <w:p w14:paraId="6BA317CA" w14:textId="797D9BC4" w:rsidR="002C7B21" w:rsidRPr="00B13547" w:rsidRDefault="002C7B21">
            <w:pPr>
              <w:spacing w:before="40" w:after="40"/>
              <w:jc w:val="right"/>
            </w:pPr>
            <w:r w:rsidRPr="00B13547">
              <w:t>331,</w:t>
            </w:r>
            <w:r w:rsidR="00E158BE">
              <w:t>800</w:t>
            </w:r>
          </w:p>
        </w:tc>
        <w:tc>
          <w:tcPr>
            <w:tcW w:w="1794" w:type="dxa"/>
          </w:tcPr>
          <w:p w14:paraId="6AD48AEE" w14:textId="16F4570F" w:rsidR="002C7B21" w:rsidRPr="00B13547" w:rsidRDefault="002C7B21">
            <w:pPr>
              <w:spacing w:before="40" w:after="40"/>
              <w:jc w:val="right"/>
            </w:pPr>
            <w:r w:rsidRPr="00B13547">
              <w:t>57,3</w:t>
            </w:r>
            <w:r w:rsidR="00A8362B">
              <w:t>0</w:t>
            </w:r>
            <w:r w:rsidRPr="00B13547">
              <w:t>0</w:t>
            </w:r>
          </w:p>
        </w:tc>
        <w:tc>
          <w:tcPr>
            <w:tcW w:w="1890" w:type="dxa"/>
          </w:tcPr>
          <w:p w14:paraId="76E2B1B0" w14:textId="6871853D" w:rsidR="002C7B21" w:rsidRPr="00B13547" w:rsidRDefault="002C7B21">
            <w:pPr>
              <w:spacing w:before="40" w:after="40"/>
              <w:jc w:val="right"/>
            </w:pPr>
            <w:r w:rsidRPr="00C71BA0">
              <w:t>7</w:t>
            </w:r>
            <w:r w:rsidR="00CF3EC8" w:rsidRPr="00C71BA0">
              <w:t>.4</w:t>
            </w:r>
            <w:r w:rsidRPr="00C71BA0">
              <w:t>%</w:t>
            </w:r>
          </w:p>
        </w:tc>
      </w:tr>
      <w:tr w:rsidR="00A31495" w:rsidRPr="008E4678" w14:paraId="5EAE91D6" w14:textId="77777777" w:rsidTr="004556B4">
        <w:trPr>
          <w:cnfStyle w:val="000000100000" w:firstRow="0" w:lastRow="0" w:firstColumn="0" w:lastColumn="0" w:oddVBand="0" w:evenVBand="0" w:oddHBand="1" w:evenHBand="0" w:firstRowFirstColumn="0" w:firstRowLastColumn="0" w:lastRowFirstColumn="0" w:lastRowLastColumn="0"/>
          <w:trHeight w:val="300"/>
        </w:trPr>
        <w:tc>
          <w:tcPr>
            <w:tcW w:w="4395" w:type="dxa"/>
            <w:hideMark/>
          </w:tcPr>
          <w:p w14:paraId="10D4B7A9" w14:textId="77777777" w:rsidR="00CF3EC8" w:rsidRPr="00B13547" w:rsidRDefault="00CF3EC8" w:rsidP="00CF3EC8">
            <w:pPr>
              <w:spacing w:before="40" w:after="40"/>
            </w:pPr>
            <w:r w:rsidRPr="00B13547">
              <w:t>Carer Payment </w:t>
            </w:r>
          </w:p>
        </w:tc>
        <w:tc>
          <w:tcPr>
            <w:tcW w:w="1559" w:type="dxa"/>
          </w:tcPr>
          <w:p w14:paraId="4B968BC3" w14:textId="4E62801D" w:rsidR="00CF3EC8" w:rsidRPr="00B13547" w:rsidRDefault="00CF3EC8" w:rsidP="00CF3EC8">
            <w:pPr>
              <w:spacing w:before="40" w:after="40"/>
              <w:jc w:val="right"/>
            </w:pPr>
            <w:r w:rsidRPr="00B13547">
              <w:t>325,</w:t>
            </w:r>
            <w:r w:rsidR="006B235E">
              <w:t>800</w:t>
            </w:r>
          </w:p>
        </w:tc>
        <w:tc>
          <w:tcPr>
            <w:tcW w:w="1794" w:type="dxa"/>
          </w:tcPr>
          <w:p w14:paraId="697C889C" w14:textId="5B8C24CC" w:rsidR="00CF3EC8" w:rsidRPr="00B13547" w:rsidRDefault="00CF3EC8" w:rsidP="00CF3EC8">
            <w:pPr>
              <w:spacing w:before="40" w:after="40"/>
              <w:jc w:val="right"/>
            </w:pPr>
            <w:r w:rsidRPr="00B13547">
              <w:t>40,8</w:t>
            </w:r>
            <w:r>
              <w:t>0</w:t>
            </w:r>
            <w:r w:rsidRPr="00B13547">
              <w:t>0</w:t>
            </w:r>
          </w:p>
        </w:tc>
        <w:tc>
          <w:tcPr>
            <w:tcW w:w="1890" w:type="dxa"/>
          </w:tcPr>
          <w:p w14:paraId="6991C187" w14:textId="38DDAFB4" w:rsidR="00CF3EC8" w:rsidRPr="00B13547" w:rsidRDefault="00CF3EC8" w:rsidP="00CF3EC8">
            <w:pPr>
              <w:spacing w:before="40" w:after="40"/>
              <w:jc w:val="right"/>
            </w:pPr>
            <w:r w:rsidRPr="00C71BA0">
              <w:t>5.3%</w:t>
            </w:r>
          </w:p>
        </w:tc>
      </w:tr>
      <w:tr w:rsidR="002C7B21" w:rsidRPr="008E4678" w14:paraId="2CB416FC" w14:textId="77777777" w:rsidTr="00B13547">
        <w:trPr>
          <w:trHeight w:val="300"/>
        </w:trPr>
        <w:tc>
          <w:tcPr>
            <w:tcW w:w="4395" w:type="dxa"/>
            <w:hideMark/>
          </w:tcPr>
          <w:p w14:paraId="62C41B76" w14:textId="77777777" w:rsidR="002C7B21" w:rsidRPr="00B13547" w:rsidRDefault="002C7B21">
            <w:pPr>
              <w:spacing w:before="40" w:after="40"/>
            </w:pPr>
            <w:r w:rsidRPr="00B13547">
              <w:t>Youth Allowance (student and apprentice) </w:t>
            </w:r>
          </w:p>
        </w:tc>
        <w:tc>
          <w:tcPr>
            <w:tcW w:w="1559" w:type="dxa"/>
          </w:tcPr>
          <w:p w14:paraId="185E741B" w14:textId="6262A952" w:rsidR="002C7B21" w:rsidRPr="00B13547" w:rsidRDefault="002C7B21">
            <w:pPr>
              <w:spacing w:before="40" w:after="40"/>
              <w:jc w:val="right"/>
            </w:pPr>
            <w:r w:rsidRPr="00B13547">
              <w:t>158,</w:t>
            </w:r>
            <w:r w:rsidR="00E158BE">
              <w:t>900</w:t>
            </w:r>
          </w:p>
        </w:tc>
        <w:tc>
          <w:tcPr>
            <w:tcW w:w="1794" w:type="dxa"/>
          </w:tcPr>
          <w:p w14:paraId="7A98FB68" w14:textId="77777777" w:rsidR="002C7B21" w:rsidRPr="00B13547" w:rsidRDefault="002C7B21">
            <w:pPr>
              <w:spacing w:before="40" w:after="40"/>
              <w:jc w:val="right"/>
            </w:pPr>
            <w:r w:rsidRPr="00B13547">
              <w:t>36,900</w:t>
            </w:r>
          </w:p>
        </w:tc>
        <w:tc>
          <w:tcPr>
            <w:tcW w:w="1890" w:type="dxa"/>
          </w:tcPr>
          <w:p w14:paraId="59F1CF8C" w14:textId="04C7AE36" w:rsidR="002C7B21" w:rsidRPr="00B13547" w:rsidRDefault="00CF3EC8">
            <w:pPr>
              <w:spacing w:before="40" w:after="40"/>
              <w:jc w:val="right"/>
            </w:pPr>
            <w:r w:rsidRPr="00C71BA0">
              <w:t>4.8</w:t>
            </w:r>
            <w:r w:rsidR="002C7B21" w:rsidRPr="00C71BA0">
              <w:t>%</w:t>
            </w:r>
          </w:p>
        </w:tc>
      </w:tr>
      <w:tr w:rsidR="00A31495" w:rsidRPr="008E4678" w14:paraId="673DF83E" w14:textId="77777777" w:rsidTr="00B13547">
        <w:trPr>
          <w:cnfStyle w:val="000000100000" w:firstRow="0" w:lastRow="0" w:firstColumn="0" w:lastColumn="0" w:oddVBand="0" w:evenVBand="0" w:oddHBand="1" w:evenHBand="0" w:firstRowFirstColumn="0" w:firstRowLastColumn="0" w:lastRowFirstColumn="0" w:lastRowLastColumn="0"/>
          <w:trHeight w:val="300"/>
        </w:trPr>
        <w:tc>
          <w:tcPr>
            <w:tcW w:w="4395" w:type="dxa"/>
            <w:hideMark/>
          </w:tcPr>
          <w:p w14:paraId="08315864" w14:textId="77777777" w:rsidR="002C7B21" w:rsidRPr="00B13547" w:rsidRDefault="002C7B21">
            <w:pPr>
              <w:spacing w:before="40" w:after="40"/>
            </w:pPr>
            <w:r w:rsidRPr="00B13547">
              <w:t>Youth Allowance (other) </w:t>
            </w:r>
          </w:p>
        </w:tc>
        <w:tc>
          <w:tcPr>
            <w:tcW w:w="1559" w:type="dxa"/>
          </w:tcPr>
          <w:p w14:paraId="68189824" w14:textId="3BD0610E" w:rsidR="002C7B21" w:rsidRPr="00B13547" w:rsidRDefault="002C7B21">
            <w:pPr>
              <w:spacing w:before="40" w:after="40"/>
              <w:jc w:val="right"/>
            </w:pPr>
            <w:r w:rsidRPr="00B13547">
              <w:t>101,</w:t>
            </w:r>
            <w:r w:rsidR="00E158BE">
              <w:t>500</w:t>
            </w:r>
          </w:p>
        </w:tc>
        <w:tc>
          <w:tcPr>
            <w:tcW w:w="1794" w:type="dxa"/>
          </w:tcPr>
          <w:p w14:paraId="1291968A" w14:textId="1C3F5D79" w:rsidR="002C7B21" w:rsidRPr="00B13547" w:rsidRDefault="002C7B21">
            <w:pPr>
              <w:spacing w:before="40" w:after="40"/>
              <w:jc w:val="right"/>
            </w:pPr>
            <w:r w:rsidRPr="00B13547">
              <w:t>5,</w:t>
            </w:r>
            <w:r w:rsidR="005D3C8C">
              <w:t>40</w:t>
            </w:r>
            <w:r w:rsidRPr="00B13547">
              <w:t>0</w:t>
            </w:r>
          </w:p>
        </w:tc>
        <w:tc>
          <w:tcPr>
            <w:tcW w:w="1890" w:type="dxa"/>
          </w:tcPr>
          <w:p w14:paraId="7648F077" w14:textId="77777777" w:rsidR="002C7B21" w:rsidRPr="00B13547" w:rsidRDefault="002C7B21">
            <w:pPr>
              <w:spacing w:before="40" w:after="40"/>
              <w:jc w:val="right"/>
            </w:pPr>
            <w:r w:rsidRPr="00C71BA0">
              <w:t>0.7%</w:t>
            </w:r>
          </w:p>
        </w:tc>
      </w:tr>
      <w:tr w:rsidR="001D03A6" w:rsidRPr="008E4678" w14:paraId="4E4BC560" w14:textId="77777777" w:rsidTr="004556B4">
        <w:trPr>
          <w:trHeight w:val="300"/>
        </w:trPr>
        <w:tc>
          <w:tcPr>
            <w:tcW w:w="4395" w:type="dxa"/>
            <w:hideMark/>
          </w:tcPr>
          <w:p w14:paraId="0969FEDC" w14:textId="77777777" w:rsidR="001D03A6" w:rsidRPr="00B13547" w:rsidRDefault="001D03A6" w:rsidP="00CF3EC8">
            <w:pPr>
              <w:spacing w:before="40" w:after="40"/>
            </w:pPr>
            <w:r w:rsidRPr="00B13547">
              <w:t>Parenting Payment Partnered </w:t>
            </w:r>
          </w:p>
        </w:tc>
        <w:tc>
          <w:tcPr>
            <w:tcW w:w="1559" w:type="dxa"/>
          </w:tcPr>
          <w:p w14:paraId="4262E0B0" w14:textId="77777777" w:rsidR="001D03A6" w:rsidRPr="00B13547" w:rsidRDefault="001D03A6" w:rsidP="00CF3EC8">
            <w:pPr>
              <w:spacing w:before="40" w:after="40"/>
              <w:jc w:val="right"/>
            </w:pPr>
            <w:r w:rsidRPr="00B13547">
              <w:t>59,</w:t>
            </w:r>
            <w:r>
              <w:t>100</w:t>
            </w:r>
          </w:p>
        </w:tc>
        <w:tc>
          <w:tcPr>
            <w:tcW w:w="1794" w:type="dxa"/>
          </w:tcPr>
          <w:p w14:paraId="6652A490" w14:textId="77777777" w:rsidR="001D03A6" w:rsidRPr="00B13547" w:rsidRDefault="001D03A6" w:rsidP="00CF3EC8">
            <w:pPr>
              <w:spacing w:before="40" w:after="40"/>
              <w:jc w:val="right"/>
            </w:pPr>
            <w:r w:rsidRPr="00B13547">
              <w:t>7,4</w:t>
            </w:r>
            <w:r>
              <w:t>0</w:t>
            </w:r>
            <w:r w:rsidRPr="00B13547">
              <w:t>0</w:t>
            </w:r>
          </w:p>
        </w:tc>
        <w:tc>
          <w:tcPr>
            <w:tcW w:w="1890" w:type="dxa"/>
          </w:tcPr>
          <w:p w14:paraId="0B802658" w14:textId="77777777" w:rsidR="001D03A6" w:rsidRPr="00B13547" w:rsidRDefault="001D03A6" w:rsidP="00CF3EC8">
            <w:pPr>
              <w:spacing w:before="40" w:after="40"/>
              <w:jc w:val="right"/>
            </w:pPr>
            <w:r w:rsidRPr="00C71BA0">
              <w:t>1.0%</w:t>
            </w:r>
          </w:p>
        </w:tc>
      </w:tr>
      <w:tr w:rsidR="00A31495" w:rsidRPr="008E4678" w14:paraId="39CED0A1" w14:textId="77777777" w:rsidTr="004556B4">
        <w:trPr>
          <w:cnfStyle w:val="000000100000" w:firstRow="0" w:lastRow="0" w:firstColumn="0" w:lastColumn="0" w:oddVBand="0" w:evenVBand="0" w:oddHBand="1" w:evenHBand="0" w:firstRowFirstColumn="0" w:firstRowLastColumn="0" w:lastRowFirstColumn="0" w:lastRowLastColumn="0"/>
          <w:trHeight w:val="300"/>
        </w:trPr>
        <w:tc>
          <w:tcPr>
            <w:tcW w:w="4395" w:type="dxa"/>
            <w:hideMark/>
          </w:tcPr>
          <w:p w14:paraId="4F695BD5" w14:textId="77777777" w:rsidR="00CF3EC8" w:rsidRPr="00B13547" w:rsidRDefault="00CF3EC8" w:rsidP="00CF3EC8">
            <w:pPr>
              <w:spacing w:before="40" w:after="40"/>
            </w:pPr>
            <w:proofErr w:type="spellStart"/>
            <w:r w:rsidRPr="00B13547">
              <w:t>Austudy</w:t>
            </w:r>
            <w:proofErr w:type="spellEnd"/>
            <w:r w:rsidRPr="00B13547">
              <w:t> </w:t>
            </w:r>
          </w:p>
        </w:tc>
        <w:tc>
          <w:tcPr>
            <w:tcW w:w="1559" w:type="dxa"/>
          </w:tcPr>
          <w:p w14:paraId="17F4D725" w14:textId="32F893C0" w:rsidR="00CF3EC8" w:rsidRPr="00B13547" w:rsidRDefault="00CF3EC8" w:rsidP="00CF3EC8">
            <w:pPr>
              <w:spacing w:before="40" w:after="40"/>
              <w:jc w:val="right"/>
            </w:pPr>
            <w:r w:rsidRPr="00B13547">
              <w:t>25,</w:t>
            </w:r>
            <w:r>
              <w:t>000</w:t>
            </w:r>
          </w:p>
        </w:tc>
        <w:tc>
          <w:tcPr>
            <w:tcW w:w="1794" w:type="dxa"/>
          </w:tcPr>
          <w:p w14:paraId="26EE54F9" w14:textId="15BF776D" w:rsidR="00CF3EC8" w:rsidRPr="00B13547" w:rsidRDefault="00CF3EC8" w:rsidP="00CF3EC8">
            <w:pPr>
              <w:spacing w:before="40" w:after="40"/>
              <w:jc w:val="right"/>
            </w:pPr>
            <w:r>
              <w:t>4,000</w:t>
            </w:r>
          </w:p>
        </w:tc>
        <w:tc>
          <w:tcPr>
            <w:tcW w:w="1890" w:type="dxa"/>
          </w:tcPr>
          <w:p w14:paraId="203EA695" w14:textId="77777777" w:rsidR="00CF3EC8" w:rsidRPr="00B13547" w:rsidRDefault="00CF3EC8" w:rsidP="00CF3EC8">
            <w:pPr>
              <w:spacing w:before="40" w:after="40"/>
              <w:jc w:val="right"/>
            </w:pPr>
            <w:r w:rsidRPr="00C71BA0">
              <w:t>0.5%</w:t>
            </w:r>
          </w:p>
        </w:tc>
      </w:tr>
      <w:tr w:rsidR="006D53F2" w:rsidRPr="008E4678" w14:paraId="26BAA145" w14:textId="77777777" w:rsidTr="004556B4">
        <w:trPr>
          <w:trHeight w:val="300"/>
        </w:trPr>
        <w:tc>
          <w:tcPr>
            <w:tcW w:w="4395" w:type="dxa"/>
            <w:hideMark/>
          </w:tcPr>
          <w:p w14:paraId="758F5A8F" w14:textId="77777777" w:rsidR="00CF3EC8" w:rsidRPr="00B13547" w:rsidRDefault="00CF3EC8" w:rsidP="00CF3EC8">
            <w:pPr>
              <w:spacing w:before="40" w:after="40"/>
            </w:pPr>
            <w:r w:rsidRPr="00B13547">
              <w:t>ABSTUDY (Living Allowance) </w:t>
            </w:r>
          </w:p>
        </w:tc>
        <w:tc>
          <w:tcPr>
            <w:tcW w:w="1559" w:type="dxa"/>
          </w:tcPr>
          <w:p w14:paraId="17920D0C" w14:textId="1B7AD977" w:rsidR="00CF3EC8" w:rsidRPr="00B13547" w:rsidRDefault="00CF3EC8" w:rsidP="00CF3EC8">
            <w:pPr>
              <w:spacing w:before="40" w:after="40"/>
              <w:jc w:val="right"/>
            </w:pPr>
            <w:r w:rsidRPr="00B13547">
              <w:t>8,</w:t>
            </w:r>
            <w:r>
              <w:t>000</w:t>
            </w:r>
          </w:p>
        </w:tc>
        <w:tc>
          <w:tcPr>
            <w:tcW w:w="1794" w:type="dxa"/>
          </w:tcPr>
          <w:p w14:paraId="590B4AD1" w14:textId="3C0BF12D" w:rsidR="00CF3EC8" w:rsidRPr="00B13547" w:rsidRDefault="00CF3EC8" w:rsidP="00CF3EC8">
            <w:pPr>
              <w:spacing w:before="40" w:after="40"/>
              <w:jc w:val="right"/>
            </w:pPr>
            <w:r w:rsidRPr="00B13547">
              <w:t>7</w:t>
            </w:r>
            <w:r>
              <w:t>00</w:t>
            </w:r>
          </w:p>
        </w:tc>
        <w:tc>
          <w:tcPr>
            <w:tcW w:w="1890" w:type="dxa"/>
          </w:tcPr>
          <w:p w14:paraId="21421C61" w14:textId="77777777" w:rsidR="00CF3EC8" w:rsidRPr="00B13547" w:rsidRDefault="00CF3EC8" w:rsidP="00CF3EC8">
            <w:pPr>
              <w:spacing w:before="40" w:after="40"/>
              <w:jc w:val="right"/>
            </w:pPr>
            <w:r w:rsidRPr="00C71BA0">
              <w:t>0.1%</w:t>
            </w:r>
          </w:p>
        </w:tc>
      </w:tr>
      <w:tr w:rsidR="00A31495" w:rsidRPr="008E4678" w14:paraId="0763034B" w14:textId="77777777" w:rsidTr="00B13547">
        <w:trPr>
          <w:cnfStyle w:val="000000100000" w:firstRow="0" w:lastRow="0" w:firstColumn="0" w:lastColumn="0" w:oddVBand="0" w:evenVBand="0" w:oddHBand="1" w:evenHBand="0" w:firstRowFirstColumn="0" w:firstRowLastColumn="0" w:lastRowFirstColumn="0" w:lastRowLastColumn="0"/>
          <w:trHeight w:val="300"/>
        </w:trPr>
        <w:tc>
          <w:tcPr>
            <w:tcW w:w="4395" w:type="dxa"/>
            <w:hideMark/>
          </w:tcPr>
          <w:p w14:paraId="7EFCCD38" w14:textId="77777777" w:rsidR="001D03A6" w:rsidRPr="00B13547" w:rsidRDefault="001D03A6">
            <w:pPr>
              <w:spacing w:before="40" w:after="40"/>
            </w:pPr>
            <w:r w:rsidRPr="00B13547">
              <w:t>Special Benefit </w:t>
            </w:r>
          </w:p>
        </w:tc>
        <w:tc>
          <w:tcPr>
            <w:tcW w:w="1559" w:type="dxa"/>
          </w:tcPr>
          <w:p w14:paraId="4359C99E" w14:textId="77777777" w:rsidR="001D03A6" w:rsidRPr="00B13547" w:rsidRDefault="001D03A6">
            <w:pPr>
              <w:spacing w:before="40" w:after="40"/>
              <w:jc w:val="right"/>
            </w:pPr>
            <w:r w:rsidRPr="00B13547">
              <w:t>5,</w:t>
            </w:r>
            <w:r>
              <w:t>700</w:t>
            </w:r>
          </w:p>
        </w:tc>
        <w:tc>
          <w:tcPr>
            <w:tcW w:w="1794" w:type="dxa"/>
          </w:tcPr>
          <w:p w14:paraId="66987801" w14:textId="77777777" w:rsidR="001D03A6" w:rsidRPr="00B13547" w:rsidRDefault="001D03A6">
            <w:pPr>
              <w:spacing w:before="40" w:after="40"/>
              <w:jc w:val="right"/>
            </w:pPr>
            <w:r w:rsidRPr="00B13547">
              <w:t>3,3</w:t>
            </w:r>
            <w:r>
              <w:t>00</w:t>
            </w:r>
          </w:p>
        </w:tc>
        <w:tc>
          <w:tcPr>
            <w:tcW w:w="1890" w:type="dxa"/>
          </w:tcPr>
          <w:p w14:paraId="0240B4C1" w14:textId="77777777" w:rsidR="001D03A6" w:rsidRPr="00B13547" w:rsidRDefault="001D03A6">
            <w:pPr>
              <w:spacing w:before="40" w:after="40"/>
              <w:jc w:val="right"/>
            </w:pPr>
            <w:r w:rsidRPr="00C71BA0">
              <w:t>0.4%</w:t>
            </w:r>
          </w:p>
        </w:tc>
      </w:tr>
      <w:tr w:rsidR="002C7B21" w:rsidRPr="008E4678" w14:paraId="62E76983" w14:textId="77777777" w:rsidTr="00B13547">
        <w:trPr>
          <w:trHeight w:val="300"/>
        </w:trPr>
        <w:tc>
          <w:tcPr>
            <w:tcW w:w="4395" w:type="dxa"/>
            <w:hideMark/>
          </w:tcPr>
          <w:p w14:paraId="4FB9B871" w14:textId="77777777" w:rsidR="002C7B21" w:rsidRPr="008E4678" w:rsidRDefault="002C7B21">
            <w:pPr>
              <w:spacing w:before="40" w:after="40"/>
              <w:rPr>
                <w:b/>
                <w:bCs/>
              </w:rPr>
            </w:pPr>
            <w:r w:rsidRPr="008E4678">
              <w:rPr>
                <w:b/>
                <w:bCs/>
              </w:rPr>
              <w:t>Total </w:t>
            </w:r>
          </w:p>
        </w:tc>
        <w:tc>
          <w:tcPr>
            <w:tcW w:w="1559" w:type="dxa"/>
          </w:tcPr>
          <w:p w14:paraId="22E5B7F9" w14:textId="5B7EAD08" w:rsidR="002C7B21" w:rsidRPr="00B13547" w:rsidRDefault="002C7B21">
            <w:pPr>
              <w:spacing w:before="40" w:after="40"/>
              <w:jc w:val="right"/>
              <w:rPr>
                <w:b/>
              </w:rPr>
            </w:pPr>
            <w:r w:rsidRPr="00B13547">
              <w:rPr>
                <w:b/>
              </w:rPr>
              <w:t>5,397,</w:t>
            </w:r>
            <w:r w:rsidR="0025537E">
              <w:rPr>
                <w:b/>
              </w:rPr>
              <w:t>800</w:t>
            </w:r>
          </w:p>
        </w:tc>
        <w:tc>
          <w:tcPr>
            <w:tcW w:w="1794" w:type="dxa"/>
          </w:tcPr>
          <w:p w14:paraId="61CF830D" w14:textId="55239A06" w:rsidR="002C7B21" w:rsidRPr="00B13547" w:rsidRDefault="002C7B21">
            <w:pPr>
              <w:spacing w:before="40" w:after="40"/>
              <w:jc w:val="right"/>
              <w:rPr>
                <w:b/>
              </w:rPr>
            </w:pPr>
            <w:r w:rsidRPr="00B13547">
              <w:rPr>
                <w:b/>
              </w:rPr>
              <w:t>770,</w:t>
            </w:r>
            <w:r w:rsidR="005D3C8C">
              <w:rPr>
                <w:b/>
              </w:rPr>
              <w:t>700</w:t>
            </w:r>
          </w:p>
        </w:tc>
        <w:tc>
          <w:tcPr>
            <w:tcW w:w="1890" w:type="dxa"/>
          </w:tcPr>
          <w:p w14:paraId="70E38161" w14:textId="77777777" w:rsidR="002C7B21" w:rsidRPr="00B13547" w:rsidRDefault="002C7B21">
            <w:pPr>
              <w:spacing w:before="40" w:after="40"/>
              <w:jc w:val="right"/>
              <w:rPr>
                <w:b/>
              </w:rPr>
            </w:pPr>
            <w:r w:rsidRPr="00B13547">
              <w:rPr>
                <w:b/>
              </w:rPr>
              <w:t>100.0%</w:t>
            </w:r>
          </w:p>
        </w:tc>
      </w:tr>
    </w:tbl>
    <w:p w14:paraId="62C7A96B" w14:textId="77777777" w:rsidR="002C7B21" w:rsidRPr="00B13547" w:rsidRDefault="002C7B21" w:rsidP="002C7B21">
      <w:pPr>
        <w:spacing w:line="240" w:lineRule="auto"/>
        <w:rPr>
          <w:i/>
          <w:sz w:val="18"/>
          <w:szCs w:val="18"/>
        </w:rPr>
      </w:pPr>
      <w:r w:rsidRPr="00B13547">
        <w:rPr>
          <w:i/>
          <w:sz w:val="18"/>
          <w:szCs w:val="18"/>
        </w:rPr>
        <w:t>Services Australia administrative data as at 27 June 2025. Figures are rounded to the nearest 100.</w:t>
      </w:r>
    </w:p>
    <w:p w14:paraId="5DAC34F5" w14:textId="6406087A" w:rsidR="0029516E" w:rsidRPr="008E4678" w:rsidRDefault="0029516E" w:rsidP="0029516E">
      <w:r>
        <w:t xml:space="preserve">Table 2 shows the average and median amount of assessable financial assets held by recipients of each major </w:t>
      </w:r>
      <w:r w:rsidR="00D579C7">
        <w:t xml:space="preserve">income support </w:t>
      </w:r>
      <w:r>
        <w:t>payment type</w:t>
      </w:r>
      <w:r w:rsidR="00224313">
        <w:rPr>
          <w:rStyle w:val="FootnoteReference"/>
        </w:rPr>
        <w:footnoteReference w:id="1"/>
      </w:r>
      <w:r>
        <w:t>. Age</w:t>
      </w:r>
      <w:r w:rsidRPr="00F31579">
        <w:t xml:space="preserve"> pensioners </w:t>
      </w:r>
      <w:r>
        <w:t xml:space="preserve">affected by deeming </w:t>
      </w:r>
      <w:r w:rsidRPr="00F31579">
        <w:t xml:space="preserve">have </w:t>
      </w:r>
      <w:r>
        <w:t xml:space="preserve">an average of </w:t>
      </w:r>
      <w:r w:rsidRPr="00F31579">
        <w:t>around $</w:t>
      </w:r>
      <w:r w:rsidR="00861EBD">
        <w:t>126,600</w:t>
      </w:r>
      <w:r w:rsidRPr="00F31579">
        <w:t xml:space="preserve"> in financial assets. However, the median is much lower, at </w:t>
      </w:r>
      <w:r w:rsidR="006D7333">
        <w:t xml:space="preserve">around </w:t>
      </w:r>
      <w:r w:rsidR="00E12E47">
        <w:t>$</w:t>
      </w:r>
      <w:r w:rsidR="00861EBD">
        <w:t>82,700</w:t>
      </w:r>
      <w:r w:rsidRPr="00F31579">
        <w:t xml:space="preserve"> in financial assets. Th</w:t>
      </w:r>
      <w:r>
        <w:t>is</w:t>
      </w:r>
      <w:r w:rsidRPr="00F31579">
        <w:t xml:space="preserve"> pattern is repeated for the other major payment types</w:t>
      </w:r>
      <w:r>
        <w:t xml:space="preserve">, and </w:t>
      </w:r>
      <w:r w:rsidRPr="008E4678">
        <w:t xml:space="preserve">indicates the averages are </w:t>
      </w:r>
      <w:r w:rsidR="000054F0">
        <w:t xml:space="preserve">affected by a small number </w:t>
      </w:r>
      <w:proofErr w:type="gramStart"/>
      <w:r w:rsidR="000054F0">
        <w:t xml:space="preserve">of </w:t>
      </w:r>
      <w:r w:rsidRPr="008E4678">
        <w:t xml:space="preserve"> people</w:t>
      </w:r>
      <w:proofErr w:type="gramEnd"/>
      <w:r>
        <w:t xml:space="preserve"> </w:t>
      </w:r>
      <w:r w:rsidR="008B0315">
        <w:t xml:space="preserve">with </w:t>
      </w:r>
      <w:r w:rsidR="00A34FF1">
        <w:t xml:space="preserve">relatively high financial assets </w:t>
      </w:r>
      <w:r>
        <w:t>in the cohort.</w:t>
      </w:r>
      <w:r w:rsidRPr="008E4678">
        <w:t>  </w:t>
      </w:r>
    </w:p>
    <w:p w14:paraId="3FADC295" w14:textId="77777777" w:rsidR="0029516E" w:rsidRDefault="0029516E">
      <w:pPr>
        <w:spacing w:after="200" w:line="288" w:lineRule="auto"/>
        <w:rPr>
          <w:i/>
          <w:iCs/>
        </w:rPr>
      </w:pPr>
      <w:r>
        <w:rPr>
          <w:i/>
          <w:iCs/>
        </w:rPr>
        <w:br w:type="page"/>
      </w:r>
    </w:p>
    <w:p w14:paraId="32788614" w14:textId="608A961D" w:rsidR="0029516E" w:rsidRPr="00B13547" w:rsidRDefault="0029516E" w:rsidP="00B13547">
      <w:pPr>
        <w:keepNext/>
        <w:spacing w:after="0"/>
        <w:rPr>
          <w:b/>
          <w:bCs/>
          <w:i/>
          <w:iCs/>
        </w:rPr>
      </w:pPr>
      <w:r w:rsidRPr="00B13547">
        <w:rPr>
          <w:b/>
          <w:bCs/>
          <w:i/>
          <w:iCs/>
        </w:rPr>
        <w:lastRenderedPageBreak/>
        <w:t>Table 2: Average and median financial assets for recipients currently on a rate of payment affected by deemed income</w:t>
      </w:r>
    </w:p>
    <w:tbl>
      <w:tblPr>
        <w:tblStyle w:val="Custom1"/>
        <w:tblW w:w="0" w:type="auto"/>
        <w:tblLook w:val="04A0" w:firstRow="1" w:lastRow="0" w:firstColumn="1" w:lastColumn="0" w:noHBand="0" w:noVBand="1"/>
      </w:tblPr>
      <w:tblGrid>
        <w:gridCol w:w="4253"/>
        <w:gridCol w:w="2692"/>
        <w:gridCol w:w="2693"/>
      </w:tblGrid>
      <w:tr w:rsidR="001A6E8B" w:rsidRPr="009A4CBF" w14:paraId="75FF4C5F" w14:textId="77777777" w:rsidTr="004556B4">
        <w:trPr>
          <w:cnfStyle w:val="100000000000" w:firstRow="1" w:lastRow="0" w:firstColumn="0" w:lastColumn="0" w:oddVBand="0" w:evenVBand="0" w:oddHBand="0" w:evenHBand="0" w:firstRowFirstColumn="0" w:firstRowLastColumn="0" w:lastRowFirstColumn="0" w:lastRowLastColumn="0"/>
          <w:trHeight w:val="55"/>
        </w:trPr>
        <w:tc>
          <w:tcPr>
            <w:tcW w:w="4253" w:type="dxa"/>
            <w:vAlign w:val="center"/>
            <w:hideMark/>
          </w:tcPr>
          <w:p w14:paraId="54BC7665" w14:textId="77777777" w:rsidR="0029516E" w:rsidRPr="009A4CBF" w:rsidRDefault="0029516E">
            <w:pPr>
              <w:spacing w:before="40" w:after="40"/>
            </w:pPr>
            <w:r w:rsidRPr="009A4CBF">
              <w:t>Payment</w:t>
            </w:r>
          </w:p>
        </w:tc>
        <w:tc>
          <w:tcPr>
            <w:tcW w:w="2692" w:type="dxa"/>
            <w:vAlign w:val="center"/>
            <w:hideMark/>
          </w:tcPr>
          <w:p w14:paraId="5D16E552" w14:textId="77777777" w:rsidR="0029516E" w:rsidRPr="009A4CBF" w:rsidRDefault="0029516E">
            <w:pPr>
              <w:spacing w:before="40" w:after="40"/>
              <w:jc w:val="center"/>
            </w:pPr>
            <w:r w:rsidRPr="009A4CBF">
              <w:t>Average assets held</w:t>
            </w:r>
          </w:p>
        </w:tc>
        <w:tc>
          <w:tcPr>
            <w:tcW w:w="2693" w:type="dxa"/>
            <w:vAlign w:val="center"/>
            <w:hideMark/>
          </w:tcPr>
          <w:p w14:paraId="52685274" w14:textId="77777777" w:rsidR="0029516E" w:rsidRPr="009A4CBF" w:rsidRDefault="0029516E">
            <w:pPr>
              <w:spacing w:before="40" w:after="40"/>
              <w:jc w:val="center"/>
            </w:pPr>
            <w:r w:rsidRPr="009A4CBF">
              <w:t>Median assets held</w:t>
            </w:r>
          </w:p>
        </w:tc>
      </w:tr>
      <w:tr w:rsidR="001A6E8B" w:rsidRPr="009A4CBF" w14:paraId="3A3F19CD" w14:textId="77777777" w:rsidTr="004556B4">
        <w:trPr>
          <w:cnfStyle w:val="000000100000" w:firstRow="0" w:lastRow="0" w:firstColumn="0" w:lastColumn="0" w:oddVBand="0" w:evenVBand="0" w:oddHBand="1" w:evenHBand="0" w:firstRowFirstColumn="0" w:firstRowLastColumn="0" w:lastRowFirstColumn="0" w:lastRowLastColumn="0"/>
          <w:trHeight w:val="221"/>
        </w:trPr>
        <w:tc>
          <w:tcPr>
            <w:tcW w:w="4253" w:type="dxa"/>
            <w:vAlign w:val="center"/>
            <w:hideMark/>
          </w:tcPr>
          <w:p w14:paraId="5B5EDD74" w14:textId="478DEDDF" w:rsidR="00C2245A" w:rsidRPr="00307EE2" w:rsidRDefault="00C2245A" w:rsidP="000A01D5">
            <w:pPr>
              <w:spacing w:before="40" w:after="40"/>
            </w:pPr>
            <w:r w:rsidRPr="00222794">
              <w:t>Age Pension </w:t>
            </w:r>
          </w:p>
        </w:tc>
        <w:tc>
          <w:tcPr>
            <w:tcW w:w="2692" w:type="dxa"/>
            <w:vAlign w:val="center"/>
          </w:tcPr>
          <w:p w14:paraId="616294DD" w14:textId="66089A9A" w:rsidR="00C2245A" w:rsidRPr="009A4CBF" w:rsidRDefault="00C2245A" w:rsidP="000A01D5">
            <w:pPr>
              <w:spacing w:before="40" w:after="40"/>
              <w:jc w:val="center"/>
            </w:pPr>
            <w:r w:rsidRPr="006D27FF">
              <w:t>$126,600</w:t>
            </w:r>
          </w:p>
        </w:tc>
        <w:tc>
          <w:tcPr>
            <w:tcW w:w="2693" w:type="dxa"/>
            <w:vAlign w:val="center"/>
          </w:tcPr>
          <w:p w14:paraId="1DF5C771" w14:textId="7DFFCAE4" w:rsidR="00C2245A" w:rsidRPr="009A4CBF" w:rsidRDefault="00832133" w:rsidP="000A01D5">
            <w:pPr>
              <w:spacing w:before="40" w:after="40"/>
              <w:jc w:val="center"/>
            </w:pPr>
            <w:r>
              <w:t>$82,700</w:t>
            </w:r>
          </w:p>
        </w:tc>
      </w:tr>
      <w:tr w:rsidR="0029516E" w:rsidRPr="009A4CBF" w14:paraId="42141581" w14:textId="77777777" w:rsidTr="00B13547">
        <w:trPr>
          <w:trHeight w:val="17"/>
        </w:trPr>
        <w:tc>
          <w:tcPr>
            <w:tcW w:w="4253" w:type="dxa"/>
            <w:vAlign w:val="center"/>
            <w:hideMark/>
          </w:tcPr>
          <w:p w14:paraId="4F11577D" w14:textId="20659DED" w:rsidR="0029516E" w:rsidRPr="009A4CBF" w:rsidRDefault="0029516E">
            <w:pPr>
              <w:spacing w:before="40" w:after="40"/>
            </w:pPr>
            <w:proofErr w:type="spellStart"/>
            <w:r w:rsidRPr="009A4CBF">
              <w:t>JobSeeker</w:t>
            </w:r>
            <w:proofErr w:type="spellEnd"/>
            <w:r w:rsidRPr="009A4CBF">
              <w:t xml:space="preserve"> Payment</w:t>
            </w:r>
            <w:r w:rsidR="00307EE2" w:rsidRPr="00222794">
              <w:t> </w:t>
            </w:r>
          </w:p>
        </w:tc>
        <w:tc>
          <w:tcPr>
            <w:tcW w:w="2692" w:type="dxa"/>
            <w:vAlign w:val="center"/>
          </w:tcPr>
          <w:p w14:paraId="675636D7" w14:textId="73200625" w:rsidR="0029516E" w:rsidRPr="009A4CBF" w:rsidRDefault="00C2245A">
            <w:pPr>
              <w:spacing w:before="40" w:after="40"/>
              <w:jc w:val="center"/>
            </w:pPr>
            <w:r w:rsidRPr="006D27FF">
              <w:t>$28,100</w:t>
            </w:r>
          </w:p>
        </w:tc>
        <w:tc>
          <w:tcPr>
            <w:tcW w:w="2693" w:type="dxa"/>
            <w:vAlign w:val="center"/>
          </w:tcPr>
          <w:p w14:paraId="7182CD8A" w14:textId="43D15DBB" w:rsidR="0029516E" w:rsidRPr="009A4CBF" w:rsidRDefault="0080610E">
            <w:pPr>
              <w:spacing w:before="40" w:after="40"/>
              <w:jc w:val="center"/>
            </w:pPr>
            <w:r>
              <w:t>$2,3</w:t>
            </w:r>
            <w:r w:rsidR="00C57041">
              <w:t>00</w:t>
            </w:r>
          </w:p>
        </w:tc>
      </w:tr>
      <w:tr w:rsidR="001A6E8B" w:rsidRPr="009A4CBF" w14:paraId="1F93378F" w14:textId="77777777" w:rsidTr="004556B4">
        <w:trPr>
          <w:cnfStyle w:val="000000100000" w:firstRow="0" w:lastRow="0" w:firstColumn="0" w:lastColumn="0" w:oddVBand="0" w:evenVBand="0" w:oddHBand="1" w:evenHBand="0" w:firstRowFirstColumn="0" w:firstRowLastColumn="0" w:lastRowFirstColumn="0" w:lastRowLastColumn="0"/>
          <w:trHeight w:val="380"/>
        </w:trPr>
        <w:tc>
          <w:tcPr>
            <w:tcW w:w="4253" w:type="dxa"/>
            <w:vAlign w:val="center"/>
            <w:hideMark/>
          </w:tcPr>
          <w:p w14:paraId="1789BEC5" w14:textId="3B541B25" w:rsidR="00C2245A" w:rsidRPr="00307EE2" w:rsidRDefault="00C2245A" w:rsidP="000A01D5">
            <w:pPr>
              <w:spacing w:before="40" w:after="40"/>
            </w:pPr>
            <w:r w:rsidRPr="00222794">
              <w:t>Disability Support Pension </w:t>
            </w:r>
          </w:p>
        </w:tc>
        <w:tc>
          <w:tcPr>
            <w:tcW w:w="2692" w:type="dxa"/>
            <w:vAlign w:val="center"/>
          </w:tcPr>
          <w:p w14:paraId="1A685B4B" w14:textId="2E98B17A" w:rsidR="00C2245A" w:rsidRPr="009A4CBF" w:rsidRDefault="00C2245A" w:rsidP="000A01D5">
            <w:pPr>
              <w:spacing w:before="40" w:after="40"/>
              <w:jc w:val="center"/>
            </w:pPr>
            <w:r w:rsidRPr="006D27FF">
              <w:t>$61,300</w:t>
            </w:r>
          </w:p>
        </w:tc>
        <w:tc>
          <w:tcPr>
            <w:tcW w:w="2693" w:type="dxa"/>
            <w:vAlign w:val="center"/>
          </w:tcPr>
          <w:p w14:paraId="308309EA" w14:textId="7FF40893" w:rsidR="00C2245A" w:rsidRPr="009A4CBF" w:rsidRDefault="006E726D" w:rsidP="000A01D5">
            <w:pPr>
              <w:spacing w:before="40" w:after="40"/>
              <w:jc w:val="center"/>
            </w:pPr>
            <w:r w:rsidRPr="006E726D">
              <w:t>$8,400</w:t>
            </w:r>
          </w:p>
        </w:tc>
      </w:tr>
      <w:tr w:rsidR="0029516E" w:rsidRPr="009A4CBF" w14:paraId="39801A8D" w14:textId="77777777" w:rsidTr="00B13547">
        <w:trPr>
          <w:trHeight w:val="17"/>
        </w:trPr>
        <w:tc>
          <w:tcPr>
            <w:tcW w:w="4253" w:type="dxa"/>
            <w:vAlign w:val="center"/>
            <w:hideMark/>
          </w:tcPr>
          <w:p w14:paraId="20EA2B43" w14:textId="7C1312F7" w:rsidR="0029516E" w:rsidRPr="009A4CBF" w:rsidRDefault="0029516E">
            <w:pPr>
              <w:spacing w:before="40" w:after="40"/>
            </w:pPr>
            <w:r w:rsidRPr="009A4CBF">
              <w:t>Parenting Payment Single</w:t>
            </w:r>
            <w:r w:rsidR="00307EE2" w:rsidRPr="00222794">
              <w:t> </w:t>
            </w:r>
          </w:p>
        </w:tc>
        <w:tc>
          <w:tcPr>
            <w:tcW w:w="2692" w:type="dxa"/>
            <w:vAlign w:val="center"/>
          </w:tcPr>
          <w:p w14:paraId="528A5DCA" w14:textId="32DD6EDC" w:rsidR="0029516E" w:rsidRPr="009A4CBF" w:rsidRDefault="00C2245A">
            <w:pPr>
              <w:spacing w:before="40" w:after="40"/>
              <w:jc w:val="center"/>
            </w:pPr>
            <w:r w:rsidRPr="006D27FF">
              <w:t>$16,200</w:t>
            </w:r>
          </w:p>
        </w:tc>
        <w:tc>
          <w:tcPr>
            <w:tcW w:w="2693" w:type="dxa"/>
            <w:vAlign w:val="center"/>
          </w:tcPr>
          <w:p w14:paraId="213CEDEB" w14:textId="55A79487" w:rsidR="0029516E" w:rsidRPr="009A4CBF" w:rsidRDefault="009E29AB">
            <w:pPr>
              <w:spacing w:before="40" w:after="40"/>
              <w:jc w:val="center"/>
            </w:pPr>
            <w:r w:rsidRPr="009E29AB">
              <w:t>$1,700</w:t>
            </w:r>
          </w:p>
        </w:tc>
      </w:tr>
      <w:tr w:rsidR="001A6E8B" w:rsidRPr="009A4CBF" w14:paraId="3252DEDC" w14:textId="77777777" w:rsidTr="004556B4">
        <w:trPr>
          <w:cnfStyle w:val="000000100000" w:firstRow="0" w:lastRow="0" w:firstColumn="0" w:lastColumn="0" w:oddVBand="0" w:evenVBand="0" w:oddHBand="1" w:evenHBand="0" w:firstRowFirstColumn="0" w:firstRowLastColumn="0" w:lastRowFirstColumn="0" w:lastRowLastColumn="0"/>
          <w:trHeight w:val="104"/>
        </w:trPr>
        <w:tc>
          <w:tcPr>
            <w:tcW w:w="4253" w:type="dxa"/>
            <w:vAlign w:val="center"/>
            <w:hideMark/>
          </w:tcPr>
          <w:p w14:paraId="02876652" w14:textId="556A2312" w:rsidR="00C2245A" w:rsidRPr="00307EE2" w:rsidRDefault="00C2245A" w:rsidP="000A01D5">
            <w:pPr>
              <w:spacing w:before="40" w:after="40"/>
            </w:pPr>
            <w:r w:rsidRPr="00222794">
              <w:t>Carer Payment </w:t>
            </w:r>
          </w:p>
        </w:tc>
        <w:tc>
          <w:tcPr>
            <w:tcW w:w="2692" w:type="dxa"/>
            <w:vAlign w:val="center"/>
          </w:tcPr>
          <w:p w14:paraId="1F6D1C20" w14:textId="73F2CA15" w:rsidR="00C2245A" w:rsidRPr="009A4CBF" w:rsidRDefault="00C2245A" w:rsidP="000A01D5">
            <w:pPr>
              <w:spacing w:before="40" w:after="40"/>
              <w:jc w:val="center"/>
            </w:pPr>
            <w:r w:rsidRPr="006D27FF">
              <w:t>$38,100</w:t>
            </w:r>
          </w:p>
        </w:tc>
        <w:tc>
          <w:tcPr>
            <w:tcW w:w="2693" w:type="dxa"/>
            <w:vAlign w:val="center"/>
          </w:tcPr>
          <w:p w14:paraId="37DCC448" w14:textId="3F31639C" w:rsidR="00C2245A" w:rsidRPr="009A4CBF" w:rsidRDefault="002A2F6C" w:rsidP="000A01D5">
            <w:pPr>
              <w:spacing w:before="40" w:after="40"/>
              <w:jc w:val="center"/>
            </w:pPr>
            <w:r w:rsidRPr="002A2F6C">
              <w:t>$4,100</w:t>
            </w:r>
          </w:p>
        </w:tc>
      </w:tr>
      <w:tr w:rsidR="0029516E" w:rsidRPr="009A4CBF" w14:paraId="01138AED" w14:textId="77777777" w:rsidTr="00B13547">
        <w:trPr>
          <w:trHeight w:val="114"/>
        </w:trPr>
        <w:tc>
          <w:tcPr>
            <w:tcW w:w="4253" w:type="dxa"/>
            <w:vAlign w:val="center"/>
            <w:hideMark/>
          </w:tcPr>
          <w:p w14:paraId="06AC89DA" w14:textId="4A030E67" w:rsidR="0029516E" w:rsidRPr="009A4CBF" w:rsidRDefault="0029516E">
            <w:pPr>
              <w:spacing w:before="40" w:after="40"/>
            </w:pPr>
            <w:r w:rsidRPr="009A4CBF">
              <w:t>Youth Allowance (</w:t>
            </w:r>
            <w:r w:rsidR="00307EE2" w:rsidRPr="00222794">
              <w:t>student and apprentice) </w:t>
            </w:r>
          </w:p>
        </w:tc>
        <w:tc>
          <w:tcPr>
            <w:tcW w:w="2692" w:type="dxa"/>
            <w:vAlign w:val="center"/>
          </w:tcPr>
          <w:p w14:paraId="243123AC" w14:textId="443F7181" w:rsidR="0029516E" w:rsidRPr="009A4CBF" w:rsidRDefault="00C2245A">
            <w:pPr>
              <w:spacing w:before="40" w:after="40"/>
              <w:jc w:val="center"/>
            </w:pPr>
            <w:r w:rsidRPr="006D27FF">
              <w:t>$7,900</w:t>
            </w:r>
          </w:p>
        </w:tc>
        <w:tc>
          <w:tcPr>
            <w:tcW w:w="2693" w:type="dxa"/>
            <w:vAlign w:val="center"/>
          </w:tcPr>
          <w:p w14:paraId="0C324F29" w14:textId="46D1C873" w:rsidR="0029516E" w:rsidRPr="009A4CBF" w:rsidRDefault="00A111A7">
            <w:pPr>
              <w:spacing w:before="40" w:after="40"/>
              <w:jc w:val="center"/>
            </w:pPr>
            <w:r w:rsidRPr="00A111A7">
              <w:t>$2,500</w:t>
            </w:r>
          </w:p>
        </w:tc>
      </w:tr>
      <w:tr w:rsidR="001A6E8B" w:rsidRPr="009A4CBF" w14:paraId="1C939C09" w14:textId="77777777" w:rsidTr="00B13547">
        <w:trPr>
          <w:cnfStyle w:val="000000100000" w:firstRow="0" w:lastRow="0" w:firstColumn="0" w:lastColumn="0" w:oddVBand="0" w:evenVBand="0" w:oddHBand="1" w:evenHBand="0" w:firstRowFirstColumn="0" w:firstRowLastColumn="0" w:lastRowFirstColumn="0" w:lastRowLastColumn="0"/>
          <w:trHeight w:val="146"/>
        </w:trPr>
        <w:tc>
          <w:tcPr>
            <w:tcW w:w="4253" w:type="dxa"/>
            <w:vAlign w:val="center"/>
            <w:hideMark/>
          </w:tcPr>
          <w:p w14:paraId="016EF785" w14:textId="77777777" w:rsidR="00D74BA2" w:rsidRPr="009A4CBF" w:rsidRDefault="00D74BA2">
            <w:pPr>
              <w:spacing w:before="40" w:after="40"/>
            </w:pPr>
            <w:r w:rsidRPr="00222794">
              <w:t>Youth Allowance (other) </w:t>
            </w:r>
          </w:p>
        </w:tc>
        <w:tc>
          <w:tcPr>
            <w:tcW w:w="2692" w:type="dxa"/>
            <w:vAlign w:val="center"/>
          </w:tcPr>
          <w:p w14:paraId="191A6842" w14:textId="77777777" w:rsidR="00D74BA2" w:rsidRPr="009A4CBF" w:rsidRDefault="00D74BA2">
            <w:pPr>
              <w:spacing w:before="40" w:after="40"/>
              <w:jc w:val="center"/>
            </w:pPr>
            <w:r w:rsidRPr="006D27FF">
              <w:t>$17,200</w:t>
            </w:r>
          </w:p>
        </w:tc>
        <w:tc>
          <w:tcPr>
            <w:tcW w:w="2693" w:type="dxa"/>
            <w:vAlign w:val="center"/>
          </w:tcPr>
          <w:p w14:paraId="251E75A2" w14:textId="77777777" w:rsidR="00D74BA2" w:rsidRPr="009A4CBF" w:rsidRDefault="00D74BA2">
            <w:pPr>
              <w:spacing w:before="40" w:after="40"/>
              <w:jc w:val="center"/>
            </w:pPr>
            <w:r>
              <w:t>$800</w:t>
            </w:r>
          </w:p>
        </w:tc>
      </w:tr>
      <w:tr w:rsidR="00BD6108" w:rsidRPr="009A4CBF" w14:paraId="6374F12A" w14:textId="77777777" w:rsidTr="004556B4">
        <w:trPr>
          <w:trHeight w:val="136"/>
        </w:trPr>
        <w:tc>
          <w:tcPr>
            <w:tcW w:w="4253" w:type="dxa"/>
            <w:vAlign w:val="center"/>
            <w:hideMark/>
          </w:tcPr>
          <w:p w14:paraId="65C54DF5" w14:textId="75628A7E" w:rsidR="00307EE2" w:rsidRPr="00307EE2" w:rsidRDefault="00307EE2" w:rsidP="00307EE2">
            <w:pPr>
              <w:spacing w:before="40" w:after="40"/>
            </w:pPr>
            <w:r w:rsidRPr="00222794">
              <w:t>Parenting Payment Partnered </w:t>
            </w:r>
          </w:p>
        </w:tc>
        <w:tc>
          <w:tcPr>
            <w:tcW w:w="2692" w:type="dxa"/>
            <w:vAlign w:val="center"/>
          </w:tcPr>
          <w:p w14:paraId="5D4CA21F" w14:textId="50F22EAA" w:rsidR="00307EE2" w:rsidRPr="009A4CBF" w:rsidRDefault="00C2245A" w:rsidP="00307EE2">
            <w:pPr>
              <w:spacing w:before="40" w:after="40"/>
              <w:jc w:val="center"/>
            </w:pPr>
            <w:r w:rsidRPr="006D27FF">
              <w:t>$12,700</w:t>
            </w:r>
          </w:p>
        </w:tc>
        <w:tc>
          <w:tcPr>
            <w:tcW w:w="2693" w:type="dxa"/>
            <w:vAlign w:val="center"/>
          </w:tcPr>
          <w:p w14:paraId="5FF456B4" w14:textId="2FC48366" w:rsidR="00307EE2" w:rsidRPr="009A4CBF" w:rsidRDefault="001F0548" w:rsidP="00307EE2">
            <w:pPr>
              <w:spacing w:before="40" w:after="40"/>
              <w:jc w:val="center"/>
            </w:pPr>
            <w:r w:rsidRPr="001F0548">
              <w:t>$1,700</w:t>
            </w:r>
          </w:p>
        </w:tc>
      </w:tr>
      <w:tr w:rsidR="001A6E8B" w:rsidRPr="009A4CBF" w14:paraId="7D77F388" w14:textId="77777777" w:rsidTr="004556B4">
        <w:trPr>
          <w:cnfStyle w:val="000000100000" w:firstRow="0" w:lastRow="0" w:firstColumn="0" w:lastColumn="0" w:oddVBand="0" w:evenVBand="0" w:oddHBand="1" w:evenHBand="0" w:firstRowFirstColumn="0" w:firstRowLastColumn="0" w:lastRowFirstColumn="0" w:lastRowLastColumn="0"/>
          <w:trHeight w:val="146"/>
        </w:trPr>
        <w:tc>
          <w:tcPr>
            <w:tcW w:w="4253" w:type="dxa"/>
            <w:vAlign w:val="center"/>
          </w:tcPr>
          <w:p w14:paraId="3B52CD62" w14:textId="2C06F5E9" w:rsidR="00307EE2" w:rsidRPr="00307EE2" w:rsidRDefault="00307EE2" w:rsidP="00307EE2">
            <w:pPr>
              <w:spacing w:before="40" w:after="40"/>
            </w:pPr>
            <w:proofErr w:type="spellStart"/>
            <w:r w:rsidRPr="00222794">
              <w:t>Austudy</w:t>
            </w:r>
            <w:proofErr w:type="spellEnd"/>
            <w:r w:rsidRPr="00222794">
              <w:t> </w:t>
            </w:r>
          </w:p>
        </w:tc>
        <w:tc>
          <w:tcPr>
            <w:tcW w:w="2692" w:type="dxa"/>
            <w:vAlign w:val="center"/>
          </w:tcPr>
          <w:p w14:paraId="729E0031" w14:textId="5589583A" w:rsidR="00307EE2" w:rsidRPr="009A4CBF" w:rsidRDefault="00C2245A" w:rsidP="00307EE2">
            <w:pPr>
              <w:spacing w:before="40" w:after="40"/>
              <w:jc w:val="center"/>
            </w:pPr>
            <w:r w:rsidRPr="006D27FF">
              <w:t>$3,500</w:t>
            </w:r>
          </w:p>
        </w:tc>
        <w:tc>
          <w:tcPr>
            <w:tcW w:w="2693" w:type="dxa"/>
            <w:vAlign w:val="center"/>
          </w:tcPr>
          <w:p w14:paraId="327A3E9B" w14:textId="0282D4A3" w:rsidR="00307EE2" w:rsidRPr="009A4CBF" w:rsidRDefault="00DA519A" w:rsidP="00307EE2">
            <w:pPr>
              <w:spacing w:before="40" w:after="40"/>
              <w:jc w:val="center"/>
            </w:pPr>
            <w:r>
              <w:t>$3,200</w:t>
            </w:r>
          </w:p>
        </w:tc>
      </w:tr>
      <w:tr w:rsidR="00BD6108" w:rsidRPr="009A4CBF" w14:paraId="288FEB44" w14:textId="77777777" w:rsidTr="004556B4">
        <w:trPr>
          <w:trHeight w:val="157"/>
        </w:trPr>
        <w:tc>
          <w:tcPr>
            <w:tcW w:w="4253" w:type="dxa"/>
            <w:vAlign w:val="center"/>
            <w:hideMark/>
          </w:tcPr>
          <w:p w14:paraId="32FED6D8" w14:textId="37E68E73" w:rsidR="00307EE2" w:rsidRPr="009A4CBF" w:rsidRDefault="00307EE2" w:rsidP="00307EE2">
            <w:pPr>
              <w:spacing w:before="40" w:after="40"/>
            </w:pPr>
            <w:r w:rsidRPr="00222794">
              <w:t>ABSTUDY (Living Allowance) </w:t>
            </w:r>
          </w:p>
        </w:tc>
        <w:tc>
          <w:tcPr>
            <w:tcW w:w="2692" w:type="dxa"/>
            <w:vAlign w:val="center"/>
          </w:tcPr>
          <w:p w14:paraId="7584E4FF" w14:textId="5B4CF651" w:rsidR="00307EE2" w:rsidRPr="009A4CBF" w:rsidRDefault="00C2245A" w:rsidP="00307EE2">
            <w:pPr>
              <w:spacing w:before="40" w:after="40"/>
              <w:jc w:val="center"/>
            </w:pPr>
            <w:r w:rsidRPr="006D27FF">
              <w:t>$6,400</w:t>
            </w:r>
          </w:p>
        </w:tc>
        <w:tc>
          <w:tcPr>
            <w:tcW w:w="2693" w:type="dxa"/>
            <w:vAlign w:val="center"/>
          </w:tcPr>
          <w:p w14:paraId="06520440" w14:textId="3D748106" w:rsidR="00307EE2" w:rsidRPr="009A4CBF" w:rsidRDefault="00DA519A" w:rsidP="00307EE2">
            <w:pPr>
              <w:spacing w:before="40" w:after="40"/>
              <w:jc w:val="center"/>
            </w:pPr>
            <w:r>
              <w:t>$1,600</w:t>
            </w:r>
          </w:p>
        </w:tc>
      </w:tr>
      <w:tr w:rsidR="001A6E8B" w:rsidRPr="009A4CBF" w14:paraId="20513E9F" w14:textId="77777777" w:rsidTr="00B13547">
        <w:trPr>
          <w:cnfStyle w:val="000000100000" w:firstRow="0" w:lastRow="0" w:firstColumn="0" w:lastColumn="0" w:oddVBand="0" w:evenVBand="0" w:oddHBand="1" w:evenHBand="0" w:firstRowFirstColumn="0" w:firstRowLastColumn="0" w:lastRowFirstColumn="0" w:lastRowLastColumn="0"/>
          <w:trHeight w:val="146"/>
        </w:trPr>
        <w:tc>
          <w:tcPr>
            <w:tcW w:w="4253" w:type="dxa"/>
            <w:vAlign w:val="center"/>
          </w:tcPr>
          <w:p w14:paraId="5D25AA6D" w14:textId="77777777" w:rsidR="00D74BA2" w:rsidRPr="00307EE2" w:rsidRDefault="00D74BA2" w:rsidP="000A01D5">
            <w:pPr>
              <w:spacing w:before="40" w:after="40"/>
            </w:pPr>
            <w:r w:rsidRPr="00222794">
              <w:t>Special Benefit </w:t>
            </w:r>
          </w:p>
        </w:tc>
        <w:tc>
          <w:tcPr>
            <w:tcW w:w="2692" w:type="dxa"/>
            <w:vAlign w:val="center"/>
          </w:tcPr>
          <w:p w14:paraId="09080572" w14:textId="77777777" w:rsidR="00D74BA2" w:rsidRPr="009A4CBF" w:rsidRDefault="00D74BA2" w:rsidP="000A01D5">
            <w:pPr>
              <w:spacing w:before="40" w:after="40"/>
              <w:jc w:val="center"/>
            </w:pPr>
            <w:r w:rsidRPr="006D27FF">
              <w:t>$1,600</w:t>
            </w:r>
          </w:p>
        </w:tc>
        <w:tc>
          <w:tcPr>
            <w:tcW w:w="2693" w:type="dxa"/>
            <w:vAlign w:val="center"/>
          </w:tcPr>
          <w:p w14:paraId="13C5A4D5" w14:textId="77777777" w:rsidR="00D74BA2" w:rsidRPr="009A4CBF" w:rsidRDefault="00D74BA2" w:rsidP="000A01D5">
            <w:pPr>
              <w:spacing w:before="40" w:after="40"/>
              <w:jc w:val="center"/>
            </w:pPr>
            <w:r>
              <w:t>$700</w:t>
            </w:r>
          </w:p>
        </w:tc>
      </w:tr>
    </w:tbl>
    <w:p w14:paraId="409DDC40" w14:textId="103A7E1C" w:rsidR="0029516E" w:rsidRDefault="00FD1756" w:rsidP="00B13547">
      <w:pPr>
        <w:spacing w:line="240" w:lineRule="auto"/>
        <w:rPr>
          <w:szCs w:val="22"/>
        </w:rPr>
      </w:pPr>
      <w:r w:rsidRPr="00B13547">
        <w:rPr>
          <w:i/>
          <w:sz w:val="18"/>
          <w:szCs w:val="18"/>
        </w:rPr>
        <w:t>Services Australia administrative data as at 27 June 2025.</w:t>
      </w:r>
      <w:r w:rsidR="0029516E" w:rsidRPr="00B13547">
        <w:rPr>
          <w:i/>
          <w:sz w:val="18"/>
          <w:szCs w:val="18"/>
        </w:rPr>
        <w:t xml:space="preserve"> Figures have been rounded. </w:t>
      </w:r>
      <w:r w:rsidRPr="00B13547">
        <w:rPr>
          <w:i/>
          <w:sz w:val="18"/>
          <w:szCs w:val="18"/>
        </w:rPr>
        <w:br/>
      </w:r>
      <w:r w:rsidR="0029516E" w:rsidRPr="00B13547">
        <w:rPr>
          <w:i/>
          <w:sz w:val="18"/>
          <w:szCs w:val="18"/>
        </w:rPr>
        <w:t>For couples where neither member is a pension recipient, only the payment recipient’s financial assets are reported.</w:t>
      </w:r>
    </w:p>
    <w:p w14:paraId="4A058B84" w14:textId="2C269F3E" w:rsidR="00D33380" w:rsidRPr="00645467" w:rsidRDefault="00D33380" w:rsidP="00645467">
      <w:pPr>
        <w:spacing w:before="240"/>
        <w:rPr>
          <w:b/>
          <w:bCs/>
          <w:szCs w:val="22"/>
        </w:rPr>
      </w:pPr>
      <w:r>
        <w:rPr>
          <w:b/>
          <w:bCs/>
          <w:szCs w:val="22"/>
        </w:rPr>
        <w:t>The deeming rate freeze</w:t>
      </w:r>
    </w:p>
    <w:p w14:paraId="448671C9" w14:textId="2C6B8E81" w:rsidR="00CE1706" w:rsidRDefault="00D111B9" w:rsidP="00645467">
      <w:pPr>
        <w:spacing w:after="200" w:line="288" w:lineRule="auto"/>
        <w:rPr>
          <w:szCs w:val="22"/>
        </w:rPr>
      </w:pPr>
      <w:r>
        <w:rPr>
          <w:szCs w:val="22"/>
        </w:rPr>
        <w:t xml:space="preserve">The Government </w:t>
      </w:r>
      <w:r w:rsidR="006D53F2">
        <w:rPr>
          <w:szCs w:val="22"/>
        </w:rPr>
        <w:t>froze</w:t>
      </w:r>
      <w:r w:rsidR="00DE76A4">
        <w:rPr>
          <w:szCs w:val="22"/>
        </w:rPr>
        <w:t xml:space="preserve"> the deeming rates </w:t>
      </w:r>
      <w:r>
        <w:rPr>
          <w:szCs w:val="22"/>
        </w:rPr>
        <w:t xml:space="preserve">for two years, </w:t>
      </w:r>
      <w:r w:rsidR="00DE76A4">
        <w:rPr>
          <w:szCs w:val="22"/>
        </w:rPr>
        <w:t>from</w:t>
      </w:r>
      <w:r w:rsidR="00CE1706">
        <w:rPr>
          <w:szCs w:val="22"/>
        </w:rPr>
        <w:t xml:space="preserve"> 1 July 202</w:t>
      </w:r>
      <w:r w:rsidR="00DE76A4">
        <w:rPr>
          <w:szCs w:val="22"/>
        </w:rPr>
        <w:t>2 to 30 June 2024</w:t>
      </w:r>
      <w:r>
        <w:rPr>
          <w:szCs w:val="22"/>
        </w:rPr>
        <w:t xml:space="preserve">, to provide cost of living support to pensioners and other </w:t>
      </w:r>
      <w:r w:rsidR="00043ED4">
        <w:rPr>
          <w:szCs w:val="22"/>
        </w:rPr>
        <w:t xml:space="preserve">income support </w:t>
      </w:r>
      <w:r>
        <w:rPr>
          <w:szCs w:val="22"/>
        </w:rPr>
        <w:t>recipients who rely on investment income in addition to their income support payment</w:t>
      </w:r>
      <w:r w:rsidR="00B40DC0">
        <w:rPr>
          <w:szCs w:val="22"/>
        </w:rPr>
        <w:t>.</w:t>
      </w:r>
      <w:r w:rsidR="00B40DC0">
        <w:rPr>
          <w:rStyle w:val="FootnoteReference"/>
          <w:szCs w:val="22"/>
        </w:rPr>
        <w:footnoteReference w:id="2"/>
      </w:r>
      <w:r w:rsidR="00B40DC0">
        <w:rPr>
          <w:szCs w:val="22"/>
        </w:rPr>
        <w:t xml:space="preserve"> </w:t>
      </w:r>
      <w:r w:rsidR="0010234A">
        <w:rPr>
          <w:szCs w:val="22"/>
        </w:rPr>
        <w:t xml:space="preserve">The freeze was extended for a further 12 months to 30 June 2025 as </w:t>
      </w:r>
      <w:r w:rsidR="00581018">
        <w:rPr>
          <w:szCs w:val="22"/>
        </w:rPr>
        <w:t>part of the</w:t>
      </w:r>
      <w:r w:rsidR="00A37041">
        <w:rPr>
          <w:szCs w:val="22"/>
        </w:rPr>
        <w:t xml:space="preserve"> 2024</w:t>
      </w:r>
      <w:r w:rsidR="00581018">
        <w:rPr>
          <w:szCs w:val="22"/>
        </w:rPr>
        <w:t>-25 Federal Budget</w:t>
      </w:r>
      <w:r w:rsidR="0010234A">
        <w:rPr>
          <w:szCs w:val="22"/>
        </w:rPr>
        <w:t>.</w:t>
      </w:r>
    </w:p>
    <w:p w14:paraId="696F64CA" w14:textId="205F8C2F" w:rsidR="00CA0729" w:rsidRDefault="00CA0729" w:rsidP="00A85B9A">
      <w:pPr>
        <w:spacing w:after="200" w:line="288" w:lineRule="auto"/>
      </w:pPr>
      <w:r>
        <w:rPr>
          <w:szCs w:val="22"/>
        </w:rPr>
        <w:t>The end of the freeze does not mean the deeming rates change</w:t>
      </w:r>
      <w:r w:rsidR="00CB4845" w:rsidRPr="00CB4845">
        <w:rPr>
          <w:szCs w:val="22"/>
        </w:rPr>
        <w:t xml:space="preserve"> </w:t>
      </w:r>
      <w:r w:rsidR="00CB4845">
        <w:rPr>
          <w:szCs w:val="22"/>
        </w:rPr>
        <w:t>automatically</w:t>
      </w:r>
      <w:r>
        <w:rPr>
          <w:szCs w:val="22"/>
        </w:rPr>
        <w:t>. The deeming rates can only be changed by an explicit decision of the Minister for Social Services</w:t>
      </w:r>
      <w:r w:rsidR="005D5986">
        <w:rPr>
          <w:szCs w:val="22"/>
        </w:rPr>
        <w:t xml:space="preserve"> under the Act</w:t>
      </w:r>
      <w:r w:rsidR="00430854">
        <w:rPr>
          <w:szCs w:val="22"/>
        </w:rPr>
        <w:t>.</w:t>
      </w:r>
      <w:r>
        <w:rPr>
          <w:szCs w:val="22"/>
        </w:rPr>
        <w:t xml:space="preserve"> If no decision is made, the rates will </w:t>
      </w:r>
      <w:r w:rsidR="001F5CC5">
        <w:rPr>
          <w:szCs w:val="22"/>
        </w:rPr>
        <w:t>stay</w:t>
      </w:r>
      <w:r>
        <w:rPr>
          <w:szCs w:val="22"/>
        </w:rPr>
        <w:t xml:space="preserve"> at 0.25 per cent and 2.25 per cent </w:t>
      </w:r>
      <w:r w:rsidR="005D5986">
        <w:rPr>
          <w:szCs w:val="22"/>
        </w:rPr>
        <w:t>indefinitely</w:t>
      </w:r>
      <w:r>
        <w:rPr>
          <w:szCs w:val="22"/>
        </w:rPr>
        <w:t>.</w:t>
      </w:r>
    </w:p>
    <w:p w14:paraId="6F37AD2E" w14:textId="40D97B17" w:rsidR="00967BE6" w:rsidRDefault="003D2906" w:rsidP="004E3D1D">
      <w:pPr>
        <w:tabs>
          <w:tab w:val="num" w:pos="720"/>
        </w:tabs>
        <w:spacing w:after="200" w:line="288" w:lineRule="auto"/>
      </w:pPr>
      <w:r>
        <w:t>D</w:t>
      </w:r>
      <w:r w:rsidR="00BC7A72">
        <w:t>u</w:t>
      </w:r>
      <w:r w:rsidR="000054F0">
        <w:t>ring</w:t>
      </w:r>
      <w:r w:rsidR="003515D7">
        <w:t xml:space="preserve"> </w:t>
      </w:r>
      <w:r w:rsidR="00BC7A72">
        <w:t xml:space="preserve">the freeze, the deeming rates have remained at </w:t>
      </w:r>
      <w:r w:rsidR="007C578F">
        <w:t xml:space="preserve">the </w:t>
      </w:r>
      <w:r w:rsidR="00BC7A72">
        <w:t xml:space="preserve">levels </w:t>
      </w:r>
      <w:r w:rsidR="00CA593D">
        <w:t>set</w:t>
      </w:r>
      <w:r w:rsidR="001C7765">
        <w:t xml:space="preserve"> </w:t>
      </w:r>
      <w:r w:rsidR="001C7765" w:rsidRPr="00427123">
        <w:t xml:space="preserve">on 1 May 2020 </w:t>
      </w:r>
      <w:r w:rsidR="00CD71A2">
        <w:t>during</w:t>
      </w:r>
      <w:r w:rsidR="00243643">
        <w:t xml:space="preserve"> the emergency conditions </w:t>
      </w:r>
      <w:r w:rsidR="003073C2">
        <w:t>of</w:t>
      </w:r>
      <w:r w:rsidR="00243643">
        <w:t xml:space="preserve"> the </w:t>
      </w:r>
      <w:r w:rsidR="00B70B70">
        <w:t xml:space="preserve">early </w:t>
      </w:r>
      <w:r w:rsidR="001C7765">
        <w:t xml:space="preserve">COVID-19 pandemic. </w:t>
      </w:r>
      <w:r w:rsidR="000F4683">
        <w:t>At that time, both</w:t>
      </w:r>
      <w:r w:rsidR="001C7765">
        <w:t xml:space="preserve"> </w:t>
      </w:r>
      <w:r w:rsidR="001C7765" w:rsidRPr="00A3654C">
        <w:t>deeming rates were reduced by 75 basis points</w:t>
      </w:r>
      <w:r w:rsidR="00550572">
        <w:t xml:space="preserve">. This reduced </w:t>
      </w:r>
      <w:r w:rsidR="001C7765" w:rsidRPr="00A3654C">
        <w:t>the lower deeming rate from 1</w:t>
      </w:r>
      <w:r w:rsidR="00550572">
        <w:t xml:space="preserve"> per cent</w:t>
      </w:r>
      <w:r w:rsidR="001C7765" w:rsidRPr="00A3654C">
        <w:t xml:space="preserve"> to 0.25</w:t>
      </w:r>
      <w:r w:rsidR="00550572">
        <w:t xml:space="preserve"> per cent</w:t>
      </w:r>
      <w:r w:rsidR="001C7765" w:rsidRPr="00A3654C">
        <w:t xml:space="preserve"> and the upper deeming rate from 3</w:t>
      </w:r>
      <w:r w:rsidR="00550572">
        <w:t xml:space="preserve"> per cent</w:t>
      </w:r>
      <w:r w:rsidR="001C7765" w:rsidRPr="00A3654C">
        <w:t xml:space="preserve"> to 2.25</w:t>
      </w:r>
      <w:r w:rsidR="00550572">
        <w:t xml:space="preserve"> per cent</w:t>
      </w:r>
      <w:r w:rsidR="001C7765" w:rsidRPr="00A3654C">
        <w:t xml:space="preserve">. </w:t>
      </w:r>
    </w:p>
    <w:p w14:paraId="0EC16AE5" w14:textId="64F87B77" w:rsidR="002367A3" w:rsidRDefault="002367A3" w:rsidP="004E3D1D">
      <w:pPr>
        <w:tabs>
          <w:tab w:val="num" w:pos="720"/>
        </w:tabs>
        <w:spacing w:after="200" w:line="288" w:lineRule="auto"/>
      </w:pPr>
    </w:p>
    <w:p w14:paraId="4F160CDA" w14:textId="77777777" w:rsidR="0051741D" w:rsidRPr="00821A57" w:rsidRDefault="0051741D" w:rsidP="0051741D">
      <w:pPr>
        <w:spacing w:before="240"/>
        <w:rPr>
          <w:b/>
          <w:bCs/>
          <w:szCs w:val="22"/>
        </w:rPr>
      </w:pPr>
      <w:r>
        <w:rPr>
          <w:b/>
          <w:bCs/>
          <w:szCs w:val="22"/>
        </w:rPr>
        <w:lastRenderedPageBreak/>
        <w:t>Resetting the deeming rates</w:t>
      </w:r>
    </w:p>
    <w:p w14:paraId="5D55267B" w14:textId="38E742BB" w:rsidR="004E3D1D" w:rsidRDefault="004E3D1D" w:rsidP="004E3D1D">
      <w:pPr>
        <w:tabs>
          <w:tab w:val="num" w:pos="720"/>
        </w:tabs>
        <w:spacing w:after="200" w:line="288" w:lineRule="auto"/>
      </w:pPr>
      <w:r>
        <w:t>The</w:t>
      </w:r>
      <w:r w:rsidRPr="00FA5C30">
        <w:t xml:space="preserve"> intent of the deeming provisions is that the deeming rates should be adjusted periodically to reflect the investment returns reasonably available to pensioners and other income support recipients. </w:t>
      </w:r>
      <w:r>
        <w:t xml:space="preserve">The Explanatory Memorandum to the </w:t>
      </w:r>
      <w:r w:rsidRPr="00020D1D">
        <w:rPr>
          <w:i/>
          <w:iCs/>
        </w:rPr>
        <w:t>Social Security and Veterans’ Affairs Legislation Amendment Act 1995</w:t>
      </w:r>
      <w:r>
        <w:t xml:space="preserve">, which introduced the current deeming framework, stated: </w:t>
      </w:r>
    </w:p>
    <w:p w14:paraId="26B22E34" w14:textId="77777777" w:rsidR="004E3D1D" w:rsidRPr="00D75D59" w:rsidRDefault="004E3D1D" w:rsidP="004E3D1D">
      <w:pPr>
        <w:tabs>
          <w:tab w:val="num" w:pos="720"/>
        </w:tabs>
        <w:spacing w:after="200" w:line="288" w:lineRule="auto"/>
        <w:ind w:left="720"/>
        <w:rPr>
          <w:sz w:val="20"/>
          <w:szCs w:val="20"/>
        </w:rPr>
      </w:pPr>
      <w:r w:rsidRPr="00D75D59">
        <w:rPr>
          <w:sz w:val="20"/>
          <w:szCs w:val="20"/>
        </w:rPr>
        <w:t>These rates will be reviewed periodically to take into account movements in the financial markets.</w:t>
      </w:r>
    </w:p>
    <w:p w14:paraId="0FAD6C9D" w14:textId="0EAA17D3" w:rsidR="00D076E2" w:rsidRPr="00F351FB" w:rsidRDefault="00D076E2" w:rsidP="00D076E2">
      <w:pPr>
        <w:rPr>
          <w:szCs w:val="22"/>
        </w:rPr>
      </w:pPr>
      <w:r>
        <w:rPr>
          <w:szCs w:val="22"/>
        </w:rPr>
        <w:t>The</w:t>
      </w:r>
      <w:r w:rsidRPr="00447013">
        <w:rPr>
          <w:szCs w:val="22"/>
        </w:rPr>
        <w:t xml:space="preserve"> </w:t>
      </w:r>
      <w:r>
        <w:rPr>
          <w:szCs w:val="22"/>
        </w:rPr>
        <w:t>practice of successive governments is that</w:t>
      </w:r>
      <w:r w:rsidRPr="00F351FB">
        <w:rPr>
          <w:szCs w:val="22"/>
        </w:rPr>
        <w:t xml:space="preserve">: </w:t>
      </w:r>
    </w:p>
    <w:p w14:paraId="0B2C8713" w14:textId="77777777" w:rsidR="00D076E2" w:rsidRPr="00F351FB" w:rsidRDefault="00D076E2" w:rsidP="00D076E2">
      <w:pPr>
        <w:pStyle w:val="ListParagraph"/>
        <w:numPr>
          <w:ilvl w:val="0"/>
          <w:numId w:val="22"/>
        </w:numPr>
        <w:spacing w:before="120"/>
        <w:ind w:left="714" w:hanging="357"/>
        <w:contextualSpacing w:val="0"/>
        <w:rPr>
          <w:szCs w:val="22"/>
        </w:rPr>
      </w:pPr>
      <w:r w:rsidRPr="00F351FB">
        <w:rPr>
          <w:szCs w:val="22"/>
        </w:rPr>
        <w:t xml:space="preserve">The lower deeming rate should reflect the returns available from safe and accessible investments, such as bank accounts. </w:t>
      </w:r>
    </w:p>
    <w:p w14:paraId="464694AE" w14:textId="39722E14" w:rsidR="00D076E2" w:rsidRDefault="00D076E2" w:rsidP="00D076E2">
      <w:pPr>
        <w:pStyle w:val="ListParagraph"/>
        <w:numPr>
          <w:ilvl w:val="0"/>
          <w:numId w:val="22"/>
        </w:numPr>
        <w:ind w:left="714" w:hanging="357"/>
        <w:contextualSpacing w:val="0"/>
        <w:rPr>
          <w:szCs w:val="22"/>
        </w:rPr>
      </w:pPr>
      <w:r w:rsidRPr="00F351FB">
        <w:rPr>
          <w:szCs w:val="22"/>
        </w:rPr>
        <w:t xml:space="preserve">The </w:t>
      </w:r>
      <w:r>
        <w:rPr>
          <w:szCs w:val="22"/>
        </w:rPr>
        <w:t>upper</w:t>
      </w:r>
      <w:r w:rsidRPr="00F351FB">
        <w:rPr>
          <w:szCs w:val="22"/>
        </w:rPr>
        <w:t xml:space="preserve"> deeming rate should recognise recipients with more financial assets can seek increased returns</w:t>
      </w:r>
      <w:r w:rsidR="00A02CD6">
        <w:rPr>
          <w:szCs w:val="22"/>
        </w:rPr>
        <w:t xml:space="preserve"> on </w:t>
      </w:r>
      <w:r w:rsidR="00957AB0">
        <w:rPr>
          <w:szCs w:val="22"/>
        </w:rPr>
        <w:t>that portion of their assets</w:t>
      </w:r>
      <w:r w:rsidRPr="00F351FB">
        <w:rPr>
          <w:szCs w:val="22"/>
        </w:rPr>
        <w:t xml:space="preserve"> by accepting some reduced accessibility and/or additional risk, for example through longer term deposits, share dividends, and/or managed funds.</w:t>
      </w:r>
    </w:p>
    <w:p w14:paraId="43172842" w14:textId="4A5A390C" w:rsidR="00373E75" w:rsidRPr="00373E75" w:rsidRDefault="00EB4D14" w:rsidP="00645467">
      <w:r>
        <w:t>With the ending of the freeze, there</w:t>
      </w:r>
      <w:r w:rsidR="00373E75" w:rsidRPr="00373E75">
        <w:t xml:space="preserve"> are strong policy reasons to return the deeming rates to their normal operation. </w:t>
      </w:r>
    </w:p>
    <w:p w14:paraId="40E82A4B" w14:textId="05361B1B" w:rsidR="006D0A1A" w:rsidRPr="006D0A1A" w:rsidRDefault="007806B0" w:rsidP="00792039">
      <w:pPr>
        <w:tabs>
          <w:tab w:val="num" w:pos="720"/>
        </w:tabs>
        <w:spacing w:after="200" w:line="288" w:lineRule="auto"/>
      </w:pPr>
      <w:r w:rsidRPr="006D0A1A">
        <w:t xml:space="preserve">Disproportionately low deeming rates treat recipients with investment income concessionally compared to those with other sources of income (such as a foreign pension, or employment income for working age recipients). This is inconsistent with the basic </w:t>
      </w:r>
      <w:r w:rsidR="00987940" w:rsidRPr="006D0A1A">
        <w:t xml:space="preserve">horizontal equity </w:t>
      </w:r>
      <w:r w:rsidRPr="006D0A1A">
        <w:t xml:space="preserve">principle </w:t>
      </w:r>
      <w:r w:rsidR="007C3A0F">
        <w:t xml:space="preserve">that underpins the social security system, according to which </w:t>
      </w:r>
      <w:r w:rsidRPr="006D0A1A">
        <w:t>people with similar means should get similar income support outcomes.</w:t>
      </w:r>
      <w:r w:rsidR="006D0A1A" w:rsidRPr="006D0A1A">
        <w:t xml:space="preserve"> </w:t>
      </w:r>
    </w:p>
    <w:p w14:paraId="59C9D205" w14:textId="3BBE2614" w:rsidR="00F520ED" w:rsidRDefault="006D0A1A" w:rsidP="00792039">
      <w:pPr>
        <w:tabs>
          <w:tab w:val="num" w:pos="720"/>
        </w:tabs>
        <w:spacing w:after="200" w:line="288" w:lineRule="auto"/>
      </w:pPr>
      <w:r w:rsidRPr="006D0A1A">
        <w:t>For example, a single age pensioner with $</w:t>
      </w:r>
      <w:r w:rsidR="00A4145E">
        <w:t>2</w:t>
      </w:r>
      <w:r w:rsidRPr="006D0A1A">
        <w:t>00,000 in financial assets is deemed to earn investment income of around $</w:t>
      </w:r>
      <w:r w:rsidR="00467939">
        <w:t>124</w:t>
      </w:r>
      <w:r w:rsidRPr="006D0A1A">
        <w:t> per fortnight under the current deeming rates, or around $</w:t>
      </w:r>
      <w:r w:rsidR="00467939">
        <w:t>3,216</w:t>
      </w:r>
      <w:r w:rsidRPr="006D0A1A">
        <w:t xml:space="preserve"> per year. This is the amount that would be assessed in the income test. </w:t>
      </w:r>
      <w:r w:rsidR="00CD6D0D">
        <w:t xml:space="preserve">As </w:t>
      </w:r>
      <w:r w:rsidR="00F520ED">
        <w:t>this amount of income</w:t>
      </w:r>
      <w:r w:rsidR="00CD6D0D">
        <w:t xml:space="preserve"> is lower than the income free area, they would receive the maximum rate of Age Pension</w:t>
      </w:r>
      <w:r w:rsidR="00E320E6">
        <w:t xml:space="preserve"> </w:t>
      </w:r>
      <w:r w:rsidR="00E320E6" w:rsidRPr="006E04E2">
        <w:t>(</w:t>
      </w:r>
      <w:r w:rsidR="006979DE" w:rsidRPr="006E04E2">
        <w:t>$1,</w:t>
      </w:r>
      <w:r w:rsidR="007F7596" w:rsidRPr="006E04E2">
        <w:t>149</w:t>
      </w:r>
      <w:r w:rsidR="007F7596">
        <w:t> </w:t>
      </w:r>
      <w:r w:rsidR="007F7596" w:rsidRPr="006E04E2">
        <w:t>per</w:t>
      </w:r>
      <w:r w:rsidR="007F7596">
        <w:t> </w:t>
      </w:r>
      <w:r w:rsidR="006E04E2" w:rsidRPr="006E04E2">
        <w:t>fortnight</w:t>
      </w:r>
      <w:r w:rsidR="006979DE" w:rsidRPr="006E04E2">
        <w:t xml:space="preserve"> using 1 July 2025 rates and thresholds)</w:t>
      </w:r>
      <w:r w:rsidR="00CD6D0D">
        <w:t>.</w:t>
      </w:r>
      <w:r w:rsidRPr="006D0A1A">
        <w:t xml:space="preserve"> </w:t>
      </w:r>
    </w:p>
    <w:p w14:paraId="76FB6A38" w14:textId="5F2538D9" w:rsidR="006D0A1A" w:rsidRPr="006D0A1A" w:rsidRDefault="006D0A1A" w:rsidP="00792039">
      <w:pPr>
        <w:tabs>
          <w:tab w:val="num" w:pos="720"/>
        </w:tabs>
        <w:spacing w:after="200" w:line="288" w:lineRule="auto"/>
      </w:pPr>
      <w:r w:rsidRPr="006D0A1A">
        <w:t>However, if th</w:t>
      </w:r>
      <w:r w:rsidR="00F520ED">
        <w:t>is</w:t>
      </w:r>
      <w:r w:rsidRPr="006D0A1A">
        <w:t xml:space="preserve"> person has their $</w:t>
      </w:r>
      <w:r w:rsidR="00467939">
        <w:t>2</w:t>
      </w:r>
      <w:r w:rsidRPr="006D0A1A">
        <w:t xml:space="preserve">00,000 invested in a 12-month term deposit at </w:t>
      </w:r>
      <w:r w:rsidR="00221671">
        <w:t xml:space="preserve">an </w:t>
      </w:r>
      <w:r w:rsidRPr="006D0A1A">
        <w:t>interest rate of 3.5 per</w:t>
      </w:r>
      <w:r w:rsidR="009836B3">
        <w:t> </w:t>
      </w:r>
      <w:r w:rsidRPr="006D0A1A">
        <w:t>cent per annum, they would earn an actual return of $</w:t>
      </w:r>
      <w:r w:rsidR="00DE6D12">
        <w:t>7</w:t>
      </w:r>
      <w:r w:rsidRPr="006D0A1A">
        <w:t>,000 after one year – equivalent to around $</w:t>
      </w:r>
      <w:r w:rsidR="00DE6D12">
        <w:t>2</w:t>
      </w:r>
      <w:r w:rsidR="00B114DE">
        <w:t>69</w:t>
      </w:r>
      <w:r w:rsidRPr="006D0A1A">
        <w:t> per fortnight.</w:t>
      </w:r>
      <w:r w:rsidR="00EC186C">
        <w:t xml:space="preserve"> </w:t>
      </w:r>
      <w:r w:rsidR="00792039">
        <w:t>Under the current deeming rates, their</w:t>
      </w:r>
      <w:r w:rsidR="00EC186C">
        <w:t xml:space="preserve"> deemed income is </w:t>
      </w:r>
      <w:r w:rsidR="00775806">
        <w:t>$145</w:t>
      </w:r>
      <w:r w:rsidR="006A7A17">
        <w:t xml:space="preserve"> per fortnight</w:t>
      </w:r>
      <w:r w:rsidR="00775806">
        <w:t xml:space="preserve"> less than their actual investment income.</w:t>
      </w:r>
    </w:p>
    <w:p w14:paraId="570777F2" w14:textId="05B9E348" w:rsidR="009749E2" w:rsidRDefault="006D0A1A" w:rsidP="00792039">
      <w:pPr>
        <w:tabs>
          <w:tab w:val="num" w:pos="720"/>
        </w:tabs>
        <w:spacing w:after="200" w:line="288" w:lineRule="auto"/>
        <w:rPr>
          <w:szCs w:val="22"/>
        </w:rPr>
      </w:pPr>
      <w:r w:rsidRPr="006D0A1A">
        <w:t>In contrast, a single age pensioner who has $</w:t>
      </w:r>
      <w:r w:rsidR="00B114DE">
        <w:t>269</w:t>
      </w:r>
      <w:r w:rsidRPr="006D0A1A">
        <w:t xml:space="preserve"> per fortnight in income from another source, for example a small foreign pension, would have the </w:t>
      </w:r>
      <w:r w:rsidR="00436B45">
        <w:t xml:space="preserve">full </w:t>
      </w:r>
      <w:r w:rsidRPr="006D0A1A">
        <w:t>amount assessed in the income test</w:t>
      </w:r>
      <w:r w:rsidR="00436B45">
        <w:t xml:space="preserve">. They </w:t>
      </w:r>
      <w:r w:rsidR="00884B2D">
        <w:t xml:space="preserve">would receive an income-tested part rate of </w:t>
      </w:r>
      <w:r w:rsidRPr="006D0A1A">
        <w:t xml:space="preserve">Age Pension </w:t>
      </w:r>
      <w:r w:rsidR="006A4A71">
        <w:t xml:space="preserve">of $1,123.50 </w:t>
      </w:r>
      <w:r w:rsidR="006E04E2" w:rsidRPr="006E04E2">
        <w:t xml:space="preserve">per fortnight </w:t>
      </w:r>
      <w:r w:rsidR="006A4A71">
        <w:t xml:space="preserve">(using </w:t>
      </w:r>
      <w:r w:rsidR="007F7596">
        <w:t>1 July </w:t>
      </w:r>
      <w:r w:rsidR="006A4A71">
        <w:t xml:space="preserve">2025 rates and thresholds) </w:t>
      </w:r>
      <w:r w:rsidR="002C5C15">
        <w:t>because</w:t>
      </w:r>
      <w:r w:rsidR="002F6331">
        <w:t xml:space="preserve"> th</w:t>
      </w:r>
      <w:r w:rsidR="00884B2D">
        <w:t>eir income</w:t>
      </w:r>
      <w:r w:rsidR="002F6331">
        <w:t xml:space="preserve"> is over the income free area</w:t>
      </w:r>
      <w:r w:rsidRPr="006D0A1A">
        <w:t>.</w:t>
      </w:r>
      <w:r w:rsidR="008D2046">
        <w:t xml:space="preserve">  </w:t>
      </w:r>
    </w:p>
    <w:p w14:paraId="76667F0D" w14:textId="0BCF495A" w:rsidR="0047267B" w:rsidRPr="002265B1" w:rsidRDefault="00373E75" w:rsidP="0047267B">
      <w:pPr>
        <w:rPr>
          <w:szCs w:val="22"/>
        </w:rPr>
      </w:pPr>
      <w:r w:rsidRPr="00FA5C30">
        <w:t xml:space="preserve">The economic environment has changed considerably </w:t>
      </w:r>
      <w:r>
        <w:t>since the deeming rates were set to their current levels on 1 May 2020 during the early stages of the pandemic</w:t>
      </w:r>
      <w:r w:rsidR="00D61545">
        <w:t xml:space="preserve">. </w:t>
      </w:r>
      <w:r w:rsidR="00AA3D9B">
        <w:rPr>
          <w:szCs w:val="22"/>
        </w:rPr>
        <w:t xml:space="preserve">The </w:t>
      </w:r>
      <w:r w:rsidR="0047267B">
        <w:rPr>
          <w:szCs w:val="22"/>
        </w:rPr>
        <w:t xml:space="preserve">interest rates currently available on bank accounts and other interest-bearing investment products are significantly higher today than when the </w:t>
      </w:r>
      <w:r w:rsidR="00AA3D9B">
        <w:rPr>
          <w:szCs w:val="22"/>
        </w:rPr>
        <w:t xml:space="preserve">deeming </w:t>
      </w:r>
      <w:r w:rsidR="0047267B">
        <w:rPr>
          <w:szCs w:val="22"/>
        </w:rPr>
        <w:t xml:space="preserve">rates were set </w:t>
      </w:r>
      <w:r w:rsidR="00AA3D9B">
        <w:rPr>
          <w:szCs w:val="22"/>
        </w:rPr>
        <w:t xml:space="preserve">to </w:t>
      </w:r>
      <w:r w:rsidR="0047267B">
        <w:rPr>
          <w:szCs w:val="22"/>
        </w:rPr>
        <w:t xml:space="preserve">their current levels in 2020.  </w:t>
      </w:r>
    </w:p>
    <w:p w14:paraId="6F93B52E" w14:textId="15426DA1" w:rsidR="00373E75" w:rsidRPr="00F351FB" w:rsidRDefault="00373E75" w:rsidP="00373E75">
      <w:pPr>
        <w:spacing w:after="200" w:line="288" w:lineRule="auto"/>
        <w:rPr>
          <w:szCs w:val="22"/>
        </w:rPr>
      </w:pPr>
      <w:r w:rsidRPr="00F351FB">
        <w:rPr>
          <w:szCs w:val="22"/>
        </w:rPr>
        <w:lastRenderedPageBreak/>
        <w:t>Most of the recipients who benefited from the deeming freeze are on a part-rate of payment because they have financial assets and investment income to assist with their living costs. The high inflation of recent years resulted in higher indexation of income support payment rates and thresholds to reflect the growth in living costs. Indexation benefits all payment recipients</w:t>
      </w:r>
      <w:r w:rsidR="009608DF">
        <w:rPr>
          <w:szCs w:val="22"/>
        </w:rPr>
        <w:t xml:space="preserve"> equally</w:t>
      </w:r>
      <w:r w:rsidRPr="00F351FB">
        <w:rPr>
          <w:szCs w:val="22"/>
        </w:rPr>
        <w:t xml:space="preserve">, including those who also </w:t>
      </w:r>
      <w:r w:rsidR="00001688">
        <w:rPr>
          <w:szCs w:val="22"/>
        </w:rPr>
        <w:t>gained additional benefits</w:t>
      </w:r>
      <w:r w:rsidRPr="00F351FB">
        <w:rPr>
          <w:szCs w:val="22"/>
        </w:rPr>
        <w:t xml:space="preserve"> from the deeming freeze.</w:t>
      </w:r>
    </w:p>
    <w:p w14:paraId="08A20E4E" w14:textId="73F7C327" w:rsidR="00AB577B" w:rsidRDefault="00AB577B">
      <w:pPr>
        <w:spacing w:after="200" w:line="288" w:lineRule="auto"/>
      </w:pPr>
      <w:r>
        <w:br w:type="page"/>
      </w:r>
    </w:p>
    <w:p w14:paraId="0EF51184" w14:textId="138B9C01" w:rsidR="00F40CFA" w:rsidRDefault="00F40CFA" w:rsidP="00BB4B8C">
      <w:pPr>
        <w:pStyle w:val="Heading1"/>
        <w:numPr>
          <w:ilvl w:val="0"/>
          <w:numId w:val="13"/>
        </w:numPr>
      </w:pPr>
      <w:bookmarkStart w:id="2" w:name="_Toc96326922"/>
      <w:r>
        <w:lastRenderedPageBreak/>
        <w:t>What are the objectives, why is government intervention needed to achieve them, and how will success be measured?</w:t>
      </w:r>
    </w:p>
    <w:p w14:paraId="06DC4110" w14:textId="0D33DD21" w:rsidR="00CC2673" w:rsidRDefault="00074939" w:rsidP="00EA190E">
      <w:pPr>
        <w:rPr>
          <w:szCs w:val="22"/>
        </w:rPr>
      </w:pPr>
      <w:r w:rsidRPr="00E00443">
        <w:rPr>
          <w:szCs w:val="22"/>
        </w:rPr>
        <w:t xml:space="preserve">The </w:t>
      </w:r>
      <w:r w:rsidR="0045466B" w:rsidRPr="008C4E14">
        <w:rPr>
          <w:szCs w:val="22"/>
        </w:rPr>
        <w:t>objective</w:t>
      </w:r>
      <w:r w:rsidR="0082441D" w:rsidRPr="00E00443">
        <w:rPr>
          <w:szCs w:val="22"/>
        </w:rPr>
        <w:t xml:space="preserve"> is </w:t>
      </w:r>
      <w:r w:rsidR="00CC0671">
        <w:rPr>
          <w:szCs w:val="22"/>
        </w:rPr>
        <w:t xml:space="preserve">to </w:t>
      </w:r>
      <w:r w:rsidR="00D419A2">
        <w:rPr>
          <w:szCs w:val="22"/>
        </w:rPr>
        <w:t>restore the deeming rates to their normal operation by</w:t>
      </w:r>
      <w:r w:rsidR="00576452">
        <w:rPr>
          <w:szCs w:val="22"/>
        </w:rPr>
        <w:t xml:space="preserve"> </w:t>
      </w:r>
      <w:r w:rsidR="0041262D">
        <w:rPr>
          <w:szCs w:val="22"/>
        </w:rPr>
        <w:t>adjusting them</w:t>
      </w:r>
      <w:r w:rsidR="00576452">
        <w:rPr>
          <w:szCs w:val="22"/>
        </w:rPr>
        <w:t xml:space="preserve"> </w:t>
      </w:r>
      <w:r w:rsidR="00D419A2">
        <w:rPr>
          <w:szCs w:val="22"/>
        </w:rPr>
        <w:t xml:space="preserve">to reflect reasonably available </w:t>
      </w:r>
      <w:r w:rsidR="00881131">
        <w:rPr>
          <w:szCs w:val="22"/>
        </w:rPr>
        <w:t xml:space="preserve">investment </w:t>
      </w:r>
      <w:r w:rsidR="00D419A2">
        <w:rPr>
          <w:szCs w:val="22"/>
        </w:rPr>
        <w:t>returns</w:t>
      </w:r>
      <w:r w:rsidR="007A5687">
        <w:rPr>
          <w:szCs w:val="22"/>
        </w:rPr>
        <w:t xml:space="preserve">, consistent with the </w:t>
      </w:r>
      <w:r w:rsidR="00136D58">
        <w:rPr>
          <w:szCs w:val="22"/>
        </w:rPr>
        <w:t xml:space="preserve">practice of successive governments. </w:t>
      </w:r>
    </w:p>
    <w:p w14:paraId="3D82DCA5" w14:textId="750C7D38" w:rsidR="00F658C0" w:rsidRPr="009E3036" w:rsidRDefault="00F658C0" w:rsidP="00F658C0">
      <w:pPr>
        <w:rPr>
          <w:szCs w:val="22"/>
        </w:rPr>
      </w:pPr>
      <w:r w:rsidRPr="009E3036">
        <w:rPr>
          <w:szCs w:val="22"/>
        </w:rPr>
        <w:t>The average return currently offered on savings accounts targeted at older Australians by the Big</w:t>
      </w:r>
      <w:r>
        <w:rPr>
          <w:szCs w:val="22"/>
        </w:rPr>
        <w:t> </w:t>
      </w:r>
      <w:r w:rsidRPr="009E3036">
        <w:rPr>
          <w:szCs w:val="22"/>
        </w:rPr>
        <w:t>Four banks – a key indicator for the lower deeming rate – is 1.23 per cent per annum for someone with an account balance of around $64,200 (the deeming threshold for a single person)</w:t>
      </w:r>
      <w:r w:rsidR="006B1F26">
        <w:rPr>
          <w:rStyle w:val="FootnoteReference"/>
          <w:szCs w:val="22"/>
        </w:rPr>
        <w:footnoteReference w:id="3"/>
      </w:r>
      <w:r w:rsidRPr="009E3036">
        <w:rPr>
          <w:szCs w:val="22"/>
        </w:rPr>
        <w:t xml:space="preserve">. </w:t>
      </w:r>
    </w:p>
    <w:p w14:paraId="605783AD" w14:textId="2B7722D1" w:rsidR="00F658C0" w:rsidRPr="00F8218A" w:rsidRDefault="008067E5" w:rsidP="00F658C0">
      <w:pPr>
        <w:rPr>
          <w:szCs w:val="22"/>
        </w:rPr>
      </w:pPr>
      <w:r>
        <w:rPr>
          <w:szCs w:val="22"/>
        </w:rPr>
        <w:t>For the upper deeming rate, k</w:t>
      </w:r>
      <w:r w:rsidR="00F658C0" w:rsidRPr="00F8218A">
        <w:rPr>
          <w:szCs w:val="22"/>
        </w:rPr>
        <w:t xml:space="preserve">ey indicators </w:t>
      </w:r>
      <w:r w:rsidR="00F8218A" w:rsidRPr="00B946F2">
        <w:rPr>
          <w:szCs w:val="22"/>
        </w:rPr>
        <w:t>include</w:t>
      </w:r>
      <w:r w:rsidR="00F658C0" w:rsidRPr="00F8218A">
        <w:rPr>
          <w:szCs w:val="22"/>
        </w:rPr>
        <w:t xml:space="preserve"> 12</w:t>
      </w:r>
      <w:r w:rsidR="00F658C0" w:rsidRPr="00F8218A">
        <w:rPr>
          <w:szCs w:val="22"/>
        </w:rPr>
        <w:noBreakHyphen/>
        <w:t>month term deposits from the Big Four Banks</w:t>
      </w:r>
      <w:r w:rsidR="00F8218A" w:rsidRPr="00F8218A">
        <w:rPr>
          <w:szCs w:val="22"/>
        </w:rPr>
        <w:t>, which</w:t>
      </w:r>
      <w:r w:rsidR="00F658C0" w:rsidRPr="00F8218A">
        <w:rPr>
          <w:szCs w:val="22"/>
        </w:rPr>
        <w:t xml:space="preserve"> are currently offering an average return of 3.60 per cent</w:t>
      </w:r>
      <w:r w:rsidR="00D5028D">
        <w:rPr>
          <w:szCs w:val="22"/>
        </w:rPr>
        <w:t xml:space="preserve"> per annum</w:t>
      </w:r>
      <w:r w:rsidR="00D5028D">
        <w:rPr>
          <w:rStyle w:val="FootnoteReference"/>
          <w:szCs w:val="22"/>
        </w:rPr>
        <w:footnoteReference w:id="4"/>
      </w:r>
      <w:r w:rsidR="002D46DE">
        <w:rPr>
          <w:szCs w:val="22"/>
        </w:rPr>
        <w:t xml:space="preserve">, and the </w:t>
      </w:r>
      <w:r w:rsidR="00F658C0" w:rsidRPr="00F8218A">
        <w:rPr>
          <w:szCs w:val="22"/>
        </w:rPr>
        <w:t>ASX All Ordinaries dividend yield</w:t>
      </w:r>
      <w:r w:rsidR="002D46DE">
        <w:rPr>
          <w:szCs w:val="22"/>
        </w:rPr>
        <w:t xml:space="preserve">, which </w:t>
      </w:r>
      <w:r w:rsidR="00F658C0" w:rsidRPr="00F8218A">
        <w:rPr>
          <w:szCs w:val="22"/>
        </w:rPr>
        <w:t>is 3.29 per cent</w:t>
      </w:r>
      <w:r w:rsidR="00CB474D">
        <w:rPr>
          <w:szCs w:val="22"/>
        </w:rPr>
        <w:t xml:space="preserve"> as at June 2025</w:t>
      </w:r>
      <w:r w:rsidR="00474B2B">
        <w:rPr>
          <w:rStyle w:val="FootnoteReference"/>
          <w:szCs w:val="22"/>
        </w:rPr>
        <w:footnoteReference w:id="5"/>
      </w:r>
      <w:r w:rsidR="00F658C0" w:rsidRPr="00F8218A">
        <w:rPr>
          <w:szCs w:val="22"/>
        </w:rPr>
        <w:t>.</w:t>
      </w:r>
    </w:p>
    <w:p w14:paraId="2BF15E2D" w14:textId="68106464" w:rsidR="00D56953" w:rsidRPr="00432067" w:rsidRDefault="00D56953" w:rsidP="00D56953">
      <w:pPr>
        <w:rPr>
          <w:b/>
        </w:rPr>
      </w:pPr>
      <w:r w:rsidRPr="00432067">
        <w:rPr>
          <w:b/>
          <w:bCs/>
        </w:rPr>
        <w:t xml:space="preserve">There </w:t>
      </w:r>
      <w:r w:rsidR="00151939">
        <w:rPr>
          <w:b/>
          <w:bCs/>
        </w:rPr>
        <w:t>is</w:t>
      </w:r>
      <w:r w:rsidRPr="00432067">
        <w:rPr>
          <w:b/>
          <w:bCs/>
        </w:rPr>
        <w:t xml:space="preserve"> no viable alternative</w:t>
      </w:r>
      <w:r w:rsidR="00151939">
        <w:rPr>
          <w:b/>
          <w:bCs/>
        </w:rPr>
        <w:t xml:space="preserve"> to </w:t>
      </w:r>
      <w:r w:rsidRPr="00432067">
        <w:rPr>
          <w:b/>
          <w:bCs/>
        </w:rPr>
        <w:t>government action</w:t>
      </w:r>
    </w:p>
    <w:p w14:paraId="63203F70" w14:textId="6005AF48" w:rsidR="002F3F86" w:rsidRDefault="00724507" w:rsidP="00D56953">
      <w:r>
        <w:t xml:space="preserve">The deeming rates </w:t>
      </w:r>
      <w:r w:rsidR="00B35E95">
        <w:t>are</w:t>
      </w:r>
      <w:r>
        <w:t xml:space="preserve"> intended to be adjusted from time to time to reflect changing investment returns. </w:t>
      </w:r>
      <w:r w:rsidR="00645298">
        <w:t xml:space="preserve">This has been the practice of governments since the current deeming framework was introduced into legislation in 1996. </w:t>
      </w:r>
      <w:r w:rsidR="00D56953">
        <w:t xml:space="preserve">Under law, the rates can only be adjusted by the Minister for Social Services. </w:t>
      </w:r>
      <w:r w:rsidR="002F3F86">
        <w:t xml:space="preserve">There is </w:t>
      </w:r>
      <w:r>
        <w:t>therefore no alternative to</w:t>
      </w:r>
      <w:r w:rsidR="002F3F86">
        <w:t xml:space="preserve"> </w:t>
      </w:r>
      <w:r w:rsidR="00191D85">
        <w:t xml:space="preserve">Government action. </w:t>
      </w:r>
      <w:r w:rsidR="002F3F86">
        <w:t xml:space="preserve"> </w:t>
      </w:r>
    </w:p>
    <w:p w14:paraId="02B0DBC3" w14:textId="2DD804B0" w:rsidR="00FE0584" w:rsidRPr="00432067" w:rsidRDefault="00145C3E" w:rsidP="00432067">
      <w:pPr>
        <w:spacing w:before="240"/>
        <w:rPr>
          <w:szCs w:val="22"/>
        </w:rPr>
      </w:pPr>
      <w:r>
        <w:rPr>
          <w:b/>
          <w:bCs/>
          <w:szCs w:val="22"/>
        </w:rPr>
        <w:t xml:space="preserve">Fairness and equity </w:t>
      </w:r>
    </w:p>
    <w:p w14:paraId="16A1E74E" w14:textId="6768DF7D" w:rsidR="002803E1" w:rsidRDefault="00900043" w:rsidP="00432067">
      <w:pPr>
        <w:rPr>
          <w:szCs w:val="22"/>
        </w:rPr>
      </w:pPr>
      <w:r>
        <w:rPr>
          <w:szCs w:val="22"/>
        </w:rPr>
        <w:t xml:space="preserve">Fairness </w:t>
      </w:r>
      <w:r w:rsidR="00C00AE7">
        <w:rPr>
          <w:szCs w:val="22"/>
        </w:rPr>
        <w:t>and equity are</w:t>
      </w:r>
      <w:r>
        <w:rPr>
          <w:szCs w:val="22"/>
        </w:rPr>
        <w:t xml:space="preserve"> basic </w:t>
      </w:r>
      <w:r w:rsidR="005356AD">
        <w:rPr>
          <w:szCs w:val="22"/>
        </w:rPr>
        <w:t>principle</w:t>
      </w:r>
      <w:r w:rsidR="00C00AE7">
        <w:rPr>
          <w:szCs w:val="22"/>
        </w:rPr>
        <w:t>s</w:t>
      </w:r>
      <w:r w:rsidR="005356AD">
        <w:rPr>
          <w:szCs w:val="22"/>
        </w:rPr>
        <w:t xml:space="preserve"> of the social security system. In relation to the deeming rates, there are </w:t>
      </w:r>
      <w:r w:rsidR="002803E1">
        <w:rPr>
          <w:szCs w:val="22"/>
        </w:rPr>
        <w:t xml:space="preserve">two </w:t>
      </w:r>
      <w:r w:rsidR="0049023C">
        <w:rPr>
          <w:szCs w:val="22"/>
        </w:rPr>
        <w:t>aspects</w:t>
      </w:r>
      <w:r w:rsidR="002803E1">
        <w:rPr>
          <w:szCs w:val="22"/>
        </w:rPr>
        <w:t xml:space="preserve"> to consider. </w:t>
      </w:r>
    </w:p>
    <w:p w14:paraId="0C88C058" w14:textId="6453368A" w:rsidR="002803E1" w:rsidRDefault="00176729" w:rsidP="002803E1">
      <w:pPr>
        <w:rPr>
          <w:szCs w:val="22"/>
        </w:rPr>
      </w:pPr>
      <w:r>
        <w:rPr>
          <w:szCs w:val="22"/>
        </w:rPr>
        <w:t>First, the</w:t>
      </w:r>
      <w:r w:rsidR="002803E1">
        <w:rPr>
          <w:szCs w:val="22"/>
        </w:rPr>
        <w:t xml:space="preserve"> deeming rates should reflect rates of return that pensioners and other income support recipients can reasonably achieve from their investments. This means the deeming rates should be set based on evidence about the rates of return available in the market</w:t>
      </w:r>
      <w:r w:rsidR="006E68AE">
        <w:rPr>
          <w:szCs w:val="22"/>
        </w:rPr>
        <w:t xml:space="preserve"> for </w:t>
      </w:r>
      <w:r w:rsidR="00B44259">
        <w:rPr>
          <w:szCs w:val="22"/>
        </w:rPr>
        <w:t>readily</w:t>
      </w:r>
      <w:r w:rsidR="006E68AE">
        <w:rPr>
          <w:szCs w:val="22"/>
        </w:rPr>
        <w:t xml:space="preserve"> accessible investments such as bank accounts, term deposits, shares, managed funds</w:t>
      </w:r>
      <w:r w:rsidR="00F635D3">
        <w:rPr>
          <w:szCs w:val="22"/>
        </w:rPr>
        <w:t>, and superannuation</w:t>
      </w:r>
      <w:r w:rsidR="006E68AE">
        <w:rPr>
          <w:szCs w:val="22"/>
        </w:rPr>
        <w:t xml:space="preserve">. </w:t>
      </w:r>
      <w:r w:rsidR="00D56CD3">
        <w:rPr>
          <w:szCs w:val="22"/>
        </w:rPr>
        <w:t>Recipients</w:t>
      </w:r>
      <w:r w:rsidR="006E68AE">
        <w:rPr>
          <w:szCs w:val="22"/>
        </w:rPr>
        <w:t xml:space="preserve"> should not be expected to </w:t>
      </w:r>
      <w:r w:rsidR="000E5DE0">
        <w:rPr>
          <w:szCs w:val="22"/>
        </w:rPr>
        <w:t>achieve</w:t>
      </w:r>
      <w:r>
        <w:rPr>
          <w:szCs w:val="22"/>
        </w:rPr>
        <w:t xml:space="preserve"> rates of</w:t>
      </w:r>
      <w:r w:rsidR="000E5DE0">
        <w:rPr>
          <w:szCs w:val="22"/>
        </w:rPr>
        <w:t xml:space="preserve"> return</w:t>
      </w:r>
      <w:r>
        <w:rPr>
          <w:szCs w:val="22"/>
        </w:rPr>
        <w:t xml:space="preserve"> that beat the </w:t>
      </w:r>
      <w:r w:rsidR="00D56CD3">
        <w:rPr>
          <w:szCs w:val="22"/>
        </w:rPr>
        <w:t>market or</w:t>
      </w:r>
      <w:r w:rsidR="000E5DE0">
        <w:rPr>
          <w:szCs w:val="22"/>
        </w:rPr>
        <w:t xml:space="preserve"> require specialised </w:t>
      </w:r>
      <w:r>
        <w:rPr>
          <w:szCs w:val="22"/>
        </w:rPr>
        <w:t xml:space="preserve">financial </w:t>
      </w:r>
      <w:r w:rsidR="000E5DE0">
        <w:rPr>
          <w:szCs w:val="22"/>
        </w:rPr>
        <w:t>knowledge or services</w:t>
      </w:r>
      <w:r>
        <w:rPr>
          <w:szCs w:val="22"/>
        </w:rPr>
        <w:t xml:space="preserve">. </w:t>
      </w:r>
    </w:p>
    <w:p w14:paraId="218EF801" w14:textId="6181A652" w:rsidR="002803E1" w:rsidRDefault="00A540CF" w:rsidP="00432067">
      <w:pPr>
        <w:rPr>
          <w:szCs w:val="22"/>
        </w:rPr>
      </w:pPr>
      <w:r>
        <w:rPr>
          <w:szCs w:val="22"/>
        </w:rPr>
        <w:t xml:space="preserve">Second, </w:t>
      </w:r>
      <w:r w:rsidR="002D22BD">
        <w:rPr>
          <w:szCs w:val="22"/>
        </w:rPr>
        <w:t xml:space="preserve">investment income </w:t>
      </w:r>
      <w:r w:rsidR="00F12CF4">
        <w:rPr>
          <w:szCs w:val="22"/>
        </w:rPr>
        <w:t xml:space="preserve">should </w:t>
      </w:r>
      <w:r w:rsidR="004E6998">
        <w:rPr>
          <w:szCs w:val="22"/>
        </w:rPr>
        <w:t>be</w:t>
      </w:r>
      <w:r w:rsidR="002D22BD">
        <w:rPr>
          <w:szCs w:val="22"/>
        </w:rPr>
        <w:t xml:space="preserve"> treated similarly to other forms of income</w:t>
      </w:r>
      <w:r w:rsidR="00462CC8">
        <w:rPr>
          <w:szCs w:val="22"/>
        </w:rPr>
        <w:t xml:space="preserve">. </w:t>
      </w:r>
      <w:r w:rsidR="00D848F5">
        <w:rPr>
          <w:szCs w:val="22"/>
        </w:rPr>
        <w:t xml:space="preserve">An </w:t>
      </w:r>
      <w:r w:rsidR="005051F8">
        <w:rPr>
          <w:szCs w:val="22"/>
        </w:rPr>
        <w:t xml:space="preserve">indefinite concession </w:t>
      </w:r>
      <w:r w:rsidR="004F039C">
        <w:rPr>
          <w:szCs w:val="22"/>
        </w:rPr>
        <w:t xml:space="preserve">on investment income is not fair or equitable for </w:t>
      </w:r>
      <w:r w:rsidR="00E73972">
        <w:rPr>
          <w:szCs w:val="22"/>
        </w:rPr>
        <w:t xml:space="preserve">recipients </w:t>
      </w:r>
      <w:r w:rsidR="004F039C">
        <w:rPr>
          <w:szCs w:val="22"/>
        </w:rPr>
        <w:t xml:space="preserve">who have no additional income </w:t>
      </w:r>
      <w:r w:rsidR="00CE00F2">
        <w:rPr>
          <w:szCs w:val="22"/>
        </w:rPr>
        <w:t xml:space="preserve">besides their payment, or who have </w:t>
      </w:r>
      <w:r w:rsidR="00462CC8">
        <w:rPr>
          <w:szCs w:val="22"/>
        </w:rPr>
        <w:t xml:space="preserve">income from </w:t>
      </w:r>
      <w:r w:rsidR="00F15C2D">
        <w:rPr>
          <w:szCs w:val="22"/>
        </w:rPr>
        <w:t xml:space="preserve">other sources. </w:t>
      </w:r>
    </w:p>
    <w:p w14:paraId="1783F1B6" w14:textId="04BAFF0B" w:rsidR="00AA5442" w:rsidRDefault="005D09D6" w:rsidP="00432067">
      <w:pPr>
        <w:rPr>
          <w:szCs w:val="22"/>
        </w:rPr>
      </w:pPr>
      <w:r>
        <w:rPr>
          <w:szCs w:val="22"/>
        </w:rPr>
        <w:t>S</w:t>
      </w:r>
      <w:r w:rsidR="00AA5442" w:rsidRPr="00AA5442">
        <w:rPr>
          <w:szCs w:val="22"/>
        </w:rPr>
        <w:t xml:space="preserve">uccess in this aspect </w:t>
      </w:r>
      <w:r>
        <w:rPr>
          <w:szCs w:val="22"/>
        </w:rPr>
        <w:t>would</w:t>
      </w:r>
      <w:r w:rsidR="00AA5442" w:rsidRPr="00AA5442">
        <w:rPr>
          <w:szCs w:val="22"/>
        </w:rPr>
        <w:t xml:space="preserve"> be measured by </w:t>
      </w:r>
      <w:r w:rsidR="00C02330">
        <w:rPr>
          <w:szCs w:val="22"/>
        </w:rPr>
        <w:t xml:space="preserve">how well </w:t>
      </w:r>
      <w:r w:rsidR="00402D83" w:rsidRPr="00402D83">
        <w:rPr>
          <w:szCs w:val="22"/>
        </w:rPr>
        <w:t xml:space="preserve">the deeming rates </w:t>
      </w:r>
      <w:r w:rsidR="00402D83">
        <w:rPr>
          <w:szCs w:val="22"/>
        </w:rPr>
        <w:t>are</w:t>
      </w:r>
      <w:r w:rsidR="00402D83" w:rsidRPr="00402D83">
        <w:rPr>
          <w:szCs w:val="22"/>
        </w:rPr>
        <w:t xml:space="preserve"> align</w:t>
      </w:r>
      <w:r w:rsidR="00402D83">
        <w:rPr>
          <w:szCs w:val="22"/>
        </w:rPr>
        <w:t>ed</w:t>
      </w:r>
      <w:r w:rsidR="00402D83" w:rsidRPr="00402D83">
        <w:rPr>
          <w:szCs w:val="22"/>
        </w:rPr>
        <w:t xml:space="preserve"> with the </w:t>
      </w:r>
      <w:r w:rsidR="00AD47EA">
        <w:rPr>
          <w:szCs w:val="22"/>
        </w:rPr>
        <w:t>rates of return intended to be reflect</w:t>
      </w:r>
      <w:r w:rsidR="00F51FA6">
        <w:rPr>
          <w:szCs w:val="22"/>
        </w:rPr>
        <w:t>ed</w:t>
      </w:r>
      <w:r w:rsidR="00AD47EA">
        <w:rPr>
          <w:szCs w:val="22"/>
        </w:rPr>
        <w:t xml:space="preserve"> in</w:t>
      </w:r>
      <w:r w:rsidR="00402D83" w:rsidRPr="00402D83">
        <w:rPr>
          <w:szCs w:val="22"/>
        </w:rPr>
        <w:t xml:space="preserve"> the upper and lower rates. The deeming rates would be set at levels </w:t>
      </w:r>
      <w:r w:rsidR="007E5083">
        <w:rPr>
          <w:szCs w:val="22"/>
        </w:rPr>
        <w:t xml:space="preserve">comparable to </w:t>
      </w:r>
      <w:r w:rsidR="00402D83" w:rsidRPr="00402D83">
        <w:rPr>
          <w:szCs w:val="22"/>
        </w:rPr>
        <w:t xml:space="preserve">current returns on investments that are </w:t>
      </w:r>
      <w:r w:rsidR="000538B7">
        <w:rPr>
          <w:szCs w:val="22"/>
        </w:rPr>
        <w:t>reasonably</w:t>
      </w:r>
      <w:r w:rsidR="00402D83" w:rsidRPr="00402D83">
        <w:rPr>
          <w:szCs w:val="22"/>
        </w:rPr>
        <w:t xml:space="preserve"> accessible to age pensioners.</w:t>
      </w:r>
    </w:p>
    <w:p w14:paraId="118854E1" w14:textId="61A0515F" w:rsidR="00D415FF" w:rsidRPr="00C56D5D" w:rsidRDefault="00145C3E" w:rsidP="00432067">
      <w:pPr>
        <w:rPr>
          <w:b/>
          <w:bCs/>
          <w:szCs w:val="22"/>
        </w:rPr>
      </w:pPr>
      <w:r>
        <w:rPr>
          <w:b/>
          <w:bCs/>
          <w:szCs w:val="22"/>
        </w:rPr>
        <w:lastRenderedPageBreak/>
        <w:t>Community</w:t>
      </w:r>
      <w:r w:rsidR="00402D83">
        <w:rPr>
          <w:b/>
          <w:bCs/>
          <w:szCs w:val="22"/>
        </w:rPr>
        <w:t xml:space="preserve"> confidence in the social security system</w:t>
      </w:r>
    </w:p>
    <w:p w14:paraId="54D71FC9" w14:textId="186DFF8B" w:rsidR="004309D8" w:rsidRDefault="00F4382F" w:rsidP="00EB4163">
      <w:pPr>
        <w:rPr>
          <w:szCs w:val="22"/>
        </w:rPr>
      </w:pPr>
      <w:r>
        <w:rPr>
          <w:szCs w:val="22"/>
        </w:rPr>
        <w:t xml:space="preserve">Deeming rates need to reflect community expectations </w:t>
      </w:r>
      <w:r w:rsidR="00145C3E">
        <w:rPr>
          <w:szCs w:val="22"/>
        </w:rPr>
        <w:t>about</w:t>
      </w:r>
      <w:r>
        <w:rPr>
          <w:szCs w:val="22"/>
        </w:rPr>
        <w:t xml:space="preserve"> the targeted nature of Australia’s social </w:t>
      </w:r>
      <w:r w:rsidR="00D273F5">
        <w:rPr>
          <w:szCs w:val="22"/>
        </w:rPr>
        <w:t>security</w:t>
      </w:r>
      <w:r>
        <w:rPr>
          <w:szCs w:val="22"/>
        </w:rPr>
        <w:t xml:space="preserve"> safety net. </w:t>
      </w:r>
      <w:r w:rsidR="00465E78">
        <w:rPr>
          <w:szCs w:val="22"/>
        </w:rPr>
        <w:t>An ongoing, d</w:t>
      </w:r>
      <w:r w:rsidR="00962110">
        <w:rPr>
          <w:szCs w:val="22"/>
        </w:rPr>
        <w:t>isproportionate</w:t>
      </w:r>
      <w:r w:rsidR="00465E78">
        <w:rPr>
          <w:szCs w:val="22"/>
        </w:rPr>
        <w:t xml:space="preserve"> concession on investment income </w:t>
      </w:r>
      <w:r w:rsidR="00700B08">
        <w:rPr>
          <w:szCs w:val="22"/>
        </w:rPr>
        <w:t>risk</w:t>
      </w:r>
      <w:r w:rsidR="00BA3C43">
        <w:rPr>
          <w:szCs w:val="22"/>
        </w:rPr>
        <w:t>s</w:t>
      </w:r>
      <w:r w:rsidR="00700B08">
        <w:rPr>
          <w:szCs w:val="22"/>
        </w:rPr>
        <w:t xml:space="preserve"> reducing</w:t>
      </w:r>
      <w:r w:rsidR="00645CB8">
        <w:rPr>
          <w:szCs w:val="22"/>
        </w:rPr>
        <w:t xml:space="preserve"> community confidence</w:t>
      </w:r>
      <w:r w:rsidR="00872C5D">
        <w:rPr>
          <w:szCs w:val="22"/>
        </w:rPr>
        <w:t>, particularly</w:t>
      </w:r>
      <w:r w:rsidR="00645CB8">
        <w:rPr>
          <w:szCs w:val="22"/>
        </w:rPr>
        <w:t xml:space="preserve"> if </w:t>
      </w:r>
      <w:r w:rsidR="00BA3C43">
        <w:rPr>
          <w:szCs w:val="22"/>
        </w:rPr>
        <w:t>it</w:t>
      </w:r>
      <w:r w:rsidR="0059029F">
        <w:rPr>
          <w:szCs w:val="22"/>
        </w:rPr>
        <w:t xml:space="preserve"> </w:t>
      </w:r>
      <w:r w:rsidR="00872C5D">
        <w:rPr>
          <w:szCs w:val="22"/>
        </w:rPr>
        <w:t>is perceived individuals with similar means are being treating differently in the system</w:t>
      </w:r>
      <w:r w:rsidR="007C4186">
        <w:rPr>
          <w:szCs w:val="22"/>
        </w:rPr>
        <w:t xml:space="preserve">. </w:t>
      </w:r>
    </w:p>
    <w:p w14:paraId="76F4ACA8" w14:textId="17BBFE0A" w:rsidR="004C1D33" w:rsidRDefault="00245C43" w:rsidP="00432067">
      <w:pPr>
        <w:rPr>
          <w:szCs w:val="22"/>
        </w:rPr>
      </w:pPr>
      <w:r>
        <w:rPr>
          <w:szCs w:val="22"/>
        </w:rPr>
        <w:t>S</w:t>
      </w:r>
      <w:r w:rsidR="00A65110" w:rsidRPr="00AA5442">
        <w:rPr>
          <w:szCs w:val="22"/>
        </w:rPr>
        <w:t xml:space="preserve">uccess in this aspect will be measured by stakeholder opinion. While difficult to quantify, this would include feedback from </w:t>
      </w:r>
      <w:r w:rsidR="00FE7C41">
        <w:rPr>
          <w:szCs w:val="22"/>
        </w:rPr>
        <w:t>social security recipients</w:t>
      </w:r>
      <w:r w:rsidR="00906BF7">
        <w:rPr>
          <w:szCs w:val="22"/>
        </w:rPr>
        <w:t xml:space="preserve">, </w:t>
      </w:r>
      <w:r w:rsidR="006E2F4B">
        <w:rPr>
          <w:szCs w:val="22"/>
        </w:rPr>
        <w:t>peak bodies</w:t>
      </w:r>
      <w:r w:rsidR="00FE7C41">
        <w:rPr>
          <w:szCs w:val="22"/>
        </w:rPr>
        <w:t xml:space="preserve"> and </w:t>
      </w:r>
      <w:r w:rsidR="00A65110">
        <w:rPr>
          <w:szCs w:val="22"/>
        </w:rPr>
        <w:t xml:space="preserve">the broader public, including those participating in discussions around </w:t>
      </w:r>
      <w:r w:rsidR="00FE7C41">
        <w:rPr>
          <w:szCs w:val="22"/>
        </w:rPr>
        <w:t xml:space="preserve">the </w:t>
      </w:r>
      <w:r w:rsidR="00A65110">
        <w:rPr>
          <w:szCs w:val="22"/>
        </w:rPr>
        <w:t xml:space="preserve">sustainability of government </w:t>
      </w:r>
      <w:r w:rsidR="00F17B29">
        <w:rPr>
          <w:szCs w:val="22"/>
        </w:rPr>
        <w:t>services</w:t>
      </w:r>
      <w:r w:rsidR="000B6135">
        <w:rPr>
          <w:szCs w:val="22"/>
        </w:rPr>
        <w:t xml:space="preserve">. </w:t>
      </w:r>
      <w:r w:rsidR="00AE1D1D" w:rsidRPr="00AE1D1D">
        <w:rPr>
          <w:szCs w:val="22"/>
        </w:rPr>
        <w:t xml:space="preserve">Success would also be measured by how well the public understands </w:t>
      </w:r>
      <w:r w:rsidR="00E6792B">
        <w:rPr>
          <w:szCs w:val="22"/>
        </w:rPr>
        <w:t xml:space="preserve">the </w:t>
      </w:r>
      <w:r w:rsidR="00323B65">
        <w:rPr>
          <w:szCs w:val="22"/>
        </w:rPr>
        <w:t xml:space="preserve">intent of the </w:t>
      </w:r>
      <w:r w:rsidR="00AE1D1D" w:rsidRPr="00AE1D1D">
        <w:rPr>
          <w:szCs w:val="22"/>
        </w:rPr>
        <w:t xml:space="preserve">deeming rates </w:t>
      </w:r>
      <w:r w:rsidR="00323B65">
        <w:rPr>
          <w:szCs w:val="22"/>
        </w:rPr>
        <w:t>and how they are</w:t>
      </w:r>
      <w:r w:rsidR="00FE7C41">
        <w:rPr>
          <w:szCs w:val="22"/>
        </w:rPr>
        <w:t xml:space="preserve"> </w:t>
      </w:r>
      <w:r w:rsidR="00E6792B">
        <w:rPr>
          <w:szCs w:val="22"/>
        </w:rPr>
        <w:t>adjusted</w:t>
      </w:r>
      <w:r w:rsidR="00FE7C41">
        <w:rPr>
          <w:szCs w:val="22"/>
        </w:rPr>
        <w:t xml:space="preserve"> according</w:t>
      </w:r>
      <w:r w:rsidR="00BE7C9B">
        <w:rPr>
          <w:szCs w:val="22"/>
        </w:rPr>
        <w:t xml:space="preserve"> to</w:t>
      </w:r>
      <w:r w:rsidR="00FE7C41">
        <w:rPr>
          <w:szCs w:val="22"/>
        </w:rPr>
        <w:t xml:space="preserve"> </w:t>
      </w:r>
      <w:r w:rsidR="00974EAC">
        <w:rPr>
          <w:szCs w:val="22"/>
        </w:rPr>
        <w:t>market conditions</w:t>
      </w:r>
      <w:r w:rsidR="00E6792B">
        <w:rPr>
          <w:szCs w:val="22"/>
        </w:rPr>
        <w:t>.</w:t>
      </w:r>
      <w:r w:rsidR="00AE1D1D" w:rsidRPr="00AE1D1D">
        <w:rPr>
          <w:szCs w:val="22"/>
        </w:rPr>
        <w:t xml:space="preserve"> </w:t>
      </w:r>
    </w:p>
    <w:p w14:paraId="3A64E6A4" w14:textId="68311E32" w:rsidR="000B6135" w:rsidRDefault="002E5A15" w:rsidP="00432067">
      <w:pPr>
        <w:rPr>
          <w:b/>
          <w:bCs/>
          <w:szCs w:val="22"/>
        </w:rPr>
      </w:pPr>
      <w:r>
        <w:rPr>
          <w:b/>
          <w:bCs/>
          <w:szCs w:val="22"/>
        </w:rPr>
        <w:t xml:space="preserve">Predictability </w:t>
      </w:r>
    </w:p>
    <w:p w14:paraId="435EB3A0" w14:textId="10177CC1" w:rsidR="000B6135" w:rsidRDefault="00FA6DE5" w:rsidP="00432067">
      <w:pPr>
        <w:rPr>
          <w:szCs w:val="22"/>
        </w:rPr>
      </w:pPr>
      <w:r>
        <w:rPr>
          <w:szCs w:val="22"/>
        </w:rPr>
        <w:t>Social security r</w:t>
      </w:r>
      <w:r w:rsidR="00F17A06">
        <w:rPr>
          <w:szCs w:val="22"/>
        </w:rPr>
        <w:t>ecipients</w:t>
      </w:r>
      <w:r w:rsidR="00715FBA">
        <w:rPr>
          <w:szCs w:val="22"/>
        </w:rPr>
        <w:t xml:space="preserve"> should </w:t>
      </w:r>
      <w:r w:rsidR="009C64DA">
        <w:rPr>
          <w:szCs w:val="22"/>
        </w:rPr>
        <w:t>have the information they need</w:t>
      </w:r>
      <w:r w:rsidR="00707C7D">
        <w:rPr>
          <w:szCs w:val="22"/>
        </w:rPr>
        <w:t xml:space="preserve"> to form reasonable expectations about </w:t>
      </w:r>
      <w:r w:rsidR="007D480D">
        <w:rPr>
          <w:szCs w:val="22"/>
        </w:rPr>
        <w:t xml:space="preserve">the factors that will </w:t>
      </w:r>
      <w:r w:rsidR="00F17A06">
        <w:rPr>
          <w:szCs w:val="22"/>
        </w:rPr>
        <w:t xml:space="preserve">determine </w:t>
      </w:r>
      <w:r w:rsidR="00F073BF">
        <w:rPr>
          <w:szCs w:val="22"/>
        </w:rPr>
        <w:t>their future entitlement to</w:t>
      </w:r>
      <w:r w:rsidR="00AD517B">
        <w:rPr>
          <w:szCs w:val="22"/>
        </w:rPr>
        <w:t xml:space="preserve"> income</w:t>
      </w:r>
      <w:r w:rsidR="00F073BF">
        <w:rPr>
          <w:szCs w:val="22"/>
        </w:rPr>
        <w:t xml:space="preserve"> </w:t>
      </w:r>
      <w:r w:rsidR="008C2D1D">
        <w:rPr>
          <w:szCs w:val="22"/>
        </w:rPr>
        <w:t>support</w:t>
      </w:r>
      <w:r w:rsidR="00F073BF">
        <w:rPr>
          <w:szCs w:val="22"/>
        </w:rPr>
        <w:t xml:space="preserve">. </w:t>
      </w:r>
    </w:p>
    <w:p w14:paraId="63C0BBCE" w14:textId="6B0E7457" w:rsidR="005C6A74" w:rsidRDefault="003A432D" w:rsidP="00432067">
      <w:pPr>
        <w:rPr>
          <w:szCs w:val="22"/>
        </w:rPr>
      </w:pPr>
      <w:r>
        <w:rPr>
          <w:szCs w:val="22"/>
        </w:rPr>
        <w:t xml:space="preserve">Any decision on the deeming rates should </w:t>
      </w:r>
      <w:r w:rsidR="00B33907">
        <w:rPr>
          <w:szCs w:val="22"/>
        </w:rPr>
        <w:t xml:space="preserve">be based on </w:t>
      </w:r>
      <w:r w:rsidR="00C5047E">
        <w:rPr>
          <w:szCs w:val="22"/>
        </w:rPr>
        <w:t xml:space="preserve">the </w:t>
      </w:r>
      <w:r w:rsidR="006B431D">
        <w:rPr>
          <w:szCs w:val="22"/>
        </w:rPr>
        <w:t>principles</w:t>
      </w:r>
      <w:r w:rsidR="00C5047E">
        <w:rPr>
          <w:szCs w:val="22"/>
        </w:rPr>
        <w:t xml:space="preserve"> for </w:t>
      </w:r>
      <w:r w:rsidR="0012329A">
        <w:rPr>
          <w:szCs w:val="22"/>
        </w:rPr>
        <w:t>setting the rates</w:t>
      </w:r>
      <w:r w:rsidR="00D81A10">
        <w:rPr>
          <w:szCs w:val="22"/>
        </w:rPr>
        <w:t xml:space="preserve"> that have been followed </w:t>
      </w:r>
      <w:r w:rsidR="00672DB0">
        <w:rPr>
          <w:szCs w:val="22"/>
        </w:rPr>
        <w:t>by successive governments</w:t>
      </w:r>
      <w:r w:rsidR="0012329A">
        <w:rPr>
          <w:szCs w:val="22"/>
        </w:rPr>
        <w:t xml:space="preserve">. While market </w:t>
      </w:r>
      <w:r w:rsidR="00526535">
        <w:rPr>
          <w:szCs w:val="22"/>
        </w:rPr>
        <w:t>movements themselves</w:t>
      </w:r>
      <w:r w:rsidR="0012329A">
        <w:rPr>
          <w:szCs w:val="22"/>
        </w:rPr>
        <w:t xml:space="preserve"> cannot </w:t>
      </w:r>
      <w:r w:rsidR="009E3054">
        <w:rPr>
          <w:szCs w:val="22"/>
        </w:rPr>
        <w:t xml:space="preserve">be </w:t>
      </w:r>
      <w:r w:rsidR="0012329A">
        <w:rPr>
          <w:szCs w:val="22"/>
        </w:rPr>
        <w:t>predicted</w:t>
      </w:r>
      <w:r w:rsidR="005C6A74">
        <w:rPr>
          <w:szCs w:val="22"/>
        </w:rPr>
        <w:t xml:space="preserve">, </w:t>
      </w:r>
      <w:r w:rsidR="00695103">
        <w:rPr>
          <w:szCs w:val="22"/>
        </w:rPr>
        <w:t xml:space="preserve">recipients should </w:t>
      </w:r>
      <w:r w:rsidR="00395C1B">
        <w:rPr>
          <w:szCs w:val="22"/>
        </w:rPr>
        <w:t xml:space="preserve">be confident that </w:t>
      </w:r>
      <w:r w:rsidR="0014594B">
        <w:rPr>
          <w:szCs w:val="22"/>
        </w:rPr>
        <w:t xml:space="preserve">the deeming rates will </w:t>
      </w:r>
      <w:r w:rsidR="00EA04BB">
        <w:rPr>
          <w:szCs w:val="22"/>
        </w:rPr>
        <w:t xml:space="preserve">be adjusted periodically to </w:t>
      </w:r>
      <w:r w:rsidR="00526535">
        <w:rPr>
          <w:szCs w:val="22"/>
        </w:rPr>
        <w:t>broadly reflect those</w:t>
      </w:r>
      <w:r w:rsidR="00FA2AD8">
        <w:rPr>
          <w:szCs w:val="22"/>
        </w:rPr>
        <w:t xml:space="preserve"> movements</w:t>
      </w:r>
      <w:r w:rsidR="00EA04BB">
        <w:rPr>
          <w:szCs w:val="22"/>
        </w:rPr>
        <w:t xml:space="preserve">. </w:t>
      </w:r>
    </w:p>
    <w:p w14:paraId="115C04B3" w14:textId="7EEF8080" w:rsidR="00F457D9" w:rsidRDefault="00A24444" w:rsidP="00432067">
      <w:pPr>
        <w:rPr>
          <w:szCs w:val="22"/>
        </w:rPr>
      </w:pPr>
      <w:r>
        <w:rPr>
          <w:szCs w:val="22"/>
        </w:rPr>
        <w:t xml:space="preserve">Recipients should also be </w:t>
      </w:r>
      <w:r w:rsidR="001A6DE5">
        <w:rPr>
          <w:szCs w:val="22"/>
        </w:rPr>
        <w:t xml:space="preserve">able to predict when </w:t>
      </w:r>
      <w:r w:rsidR="00470B42">
        <w:rPr>
          <w:szCs w:val="22"/>
        </w:rPr>
        <w:t xml:space="preserve">adjustments to the deeming rates will occur. </w:t>
      </w:r>
      <w:r w:rsidR="008907C8">
        <w:rPr>
          <w:szCs w:val="22"/>
        </w:rPr>
        <w:t>In normal circumstances</w:t>
      </w:r>
      <w:r w:rsidR="00D334DF">
        <w:rPr>
          <w:szCs w:val="22"/>
        </w:rPr>
        <w:t xml:space="preserve">, </w:t>
      </w:r>
      <w:r w:rsidR="00913FC5">
        <w:rPr>
          <w:szCs w:val="22"/>
        </w:rPr>
        <w:t>any adjustment to the</w:t>
      </w:r>
      <w:r w:rsidR="00D334DF">
        <w:rPr>
          <w:szCs w:val="22"/>
        </w:rPr>
        <w:t xml:space="preserve"> rates </w:t>
      </w:r>
      <w:r w:rsidR="008907C8">
        <w:rPr>
          <w:szCs w:val="22"/>
        </w:rPr>
        <w:t>should</w:t>
      </w:r>
      <w:r w:rsidR="00D334DF">
        <w:rPr>
          <w:szCs w:val="22"/>
        </w:rPr>
        <w:t xml:space="preserve"> </w:t>
      </w:r>
      <w:r w:rsidR="00913FC5">
        <w:rPr>
          <w:szCs w:val="22"/>
        </w:rPr>
        <w:t xml:space="preserve">occur </w:t>
      </w:r>
      <w:r w:rsidR="00D334DF">
        <w:rPr>
          <w:szCs w:val="22"/>
        </w:rPr>
        <w:t xml:space="preserve">at the same time as indexation is applied to pensions and allowances. This </w:t>
      </w:r>
      <w:r w:rsidR="00B56120">
        <w:rPr>
          <w:szCs w:val="22"/>
        </w:rPr>
        <w:t>happens</w:t>
      </w:r>
      <w:r w:rsidR="00D334DF">
        <w:rPr>
          <w:szCs w:val="22"/>
        </w:rPr>
        <w:t xml:space="preserve"> twice </w:t>
      </w:r>
      <w:r w:rsidR="00B56120">
        <w:rPr>
          <w:szCs w:val="22"/>
        </w:rPr>
        <w:t>a</w:t>
      </w:r>
      <w:r w:rsidR="00D334DF">
        <w:rPr>
          <w:szCs w:val="22"/>
        </w:rPr>
        <w:t xml:space="preserve"> year, on 20 March and 20 September. </w:t>
      </w:r>
      <w:r w:rsidR="00626223">
        <w:rPr>
          <w:szCs w:val="22"/>
        </w:rPr>
        <w:t>Changes outside of this cycle would ideally be made only in exceptional circumstances</w:t>
      </w:r>
      <w:r w:rsidR="00CF4BA6">
        <w:rPr>
          <w:szCs w:val="22"/>
        </w:rPr>
        <w:t xml:space="preserve">. </w:t>
      </w:r>
    </w:p>
    <w:p w14:paraId="2A3D4EF1" w14:textId="093D4E08" w:rsidR="00A24444" w:rsidRDefault="001563B3" w:rsidP="00432067">
      <w:pPr>
        <w:rPr>
          <w:szCs w:val="22"/>
        </w:rPr>
      </w:pPr>
      <w:r>
        <w:rPr>
          <w:szCs w:val="22"/>
        </w:rPr>
        <w:t xml:space="preserve">A regular schedule of review </w:t>
      </w:r>
      <w:r w:rsidR="00193256">
        <w:rPr>
          <w:szCs w:val="22"/>
        </w:rPr>
        <w:t xml:space="preserve">in the lead up to each indexation day </w:t>
      </w:r>
      <w:r>
        <w:rPr>
          <w:szCs w:val="22"/>
        </w:rPr>
        <w:t>would</w:t>
      </w:r>
      <w:r w:rsidR="000C4F6D">
        <w:rPr>
          <w:szCs w:val="22"/>
        </w:rPr>
        <w:t xml:space="preserve"> </w:t>
      </w:r>
      <w:r w:rsidR="00F457D9">
        <w:rPr>
          <w:szCs w:val="22"/>
        </w:rPr>
        <w:t xml:space="preserve">ensure recipients know when to expect a potential adjustment to the deeming rates and prevent them </w:t>
      </w:r>
      <w:r w:rsidR="00B25E40">
        <w:rPr>
          <w:szCs w:val="22"/>
        </w:rPr>
        <w:t>experienc</w:t>
      </w:r>
      <w:r w:rsidR="00F457D9">
        <w:rPr>
          <w:szCs w:val="22"/>
        </w:rPr>
        <w:t>ing</w:t>
      </w:r>
      <w:r w:rsidR="00B25E40">
        <w:rPr>
          <w:szCs w:val="22"/>
        </w:rPr>
        <w:t xml:space="preserve"> </w:t>
      </w:r>
      <w:r w:rsidR="00F457D9">
        <w:rPr>
          <w:szCs w:val="22"/>
        </w:rPr>
        <w:t>an excessive number of changes to</w:t>
      </w:r>
      <w:r w:rsidR="00B25E40">
        <w:rPr>
          <w:szCs w:val="22"/>
        </w:rPr>
        <w:t xml:space="preserve"> payment rate throughout the year</w:t>
      </w:r>
      <w:r w:rsidR="00F457D9">
        <w:rPr>
          <w:szCs w:val="22"/>
        </w:rPr>
        <w:t xml:space="preserve">. It also has the benefit of allowing payment indexation to offset some of the impact of an increase to the deeming rates. </w:t>
      </w:r>
    </w:p>
    <w:p w14:paraId="0E29A6CA" w14:textId="788B7733" w:rsidR="008C2D1D" w:rsidRDefault="00D82AFE" w:rsidP="00432067">
      <w:pPr>
        <w:rPr>
          <w:szCs w:val="22"/>
        </w:rPr>
      </w:pPr>
      <w:r>
        <w:rPr>
          <w:szCs w:val="22"/>
        </w:rPr>
        <w:t>S</w:t>
      </w:r>
      <w:r w:rsidR="008C2D1D" w:rsidRPr="00AA5442">
        <w:rPr>
          <w:szCs w:val="22"/>
        </w:rPr>
        <w:t xml:space="preserve">uccess in this aspect </w:t>
      </w:r>
      <w:r>
        <w:rPr>
          <w:szCs w:val="22"/>
        </w:rPr>
        <w:t>would</w:t>
      </w:r>
      <w:r w:rsidR="008C2D1D" w:rsidRPr="00AA5442">
        <w:rPr>
          <w:szCs w:val="22"/>
        </w:rPr>
        <w:t xml:space="preserve"> </w:t>
      </w:r>
      <w:r w:rsidR="008312E7">
        <w:rPr>
          <w:szCs w:val="22"/>
        </w:rPr>
        <w:t xml:space="preserve">require a regular process for reviewing </w:t>
      </w:r>
      <w:r w:rsidR="007B23AD">
        <w:rPr>
          <w:szCs w:val="22"/>
        </w:rPr>
        <w:t xml:space="preserve">and adjusting </w:t>
      </w:r>
      <w:r w:rsidR="008312E7">
        <w:rPr>
          <w:szCs w:val="22"/>
        </w:rPr>
        <w:t>the deeming rates that is well understood by the public. While public understanding is</w:t>
      </w:r>
      <w:r w:rsidR="008C2D1D" w:rsidRPr="00AA5442">
        <w:rPr>
          <w:szCs w:val="22"/>
        </w:rPr>
        <w:t xml:space="preserve"> difficult to quantify, this would include feedback from people affected by </w:t>
      </w:r>
      <w:r w:rsidR="008C2D1D">
        <w:rPr>
          <w:szCs w:val="22"/>
        </w:rPr>
        <w:t xml:space="preserve">the deeming rates, </w:t>
      </w:r>
      <w:r w:rsidR="008C2D1D" w:rsidRPr="00AA5442">
        <w:rPr>
          <w:szCs w:val="22"/>
        </w:rPr>
        <w:t xml:space="preserve">and </w:t>
      </w:r>
      <w:r w:rsidR="008312E7">
        <w:rPr>
          <w:szCs w:val="22"/>
        </w:rPr>
        <w:t xml:space="preserve">from </w:t>
      </w:r>
      <w:r w:rsidR="008C2D1D" w:rsidRPr="00AA5442">
        <w:rPr>
          <w:szCs w:val="22"/>
        </w:rPr>
        <w:t xml:space="preserve">peak bodies in the social services space. </w:t>
      </w:r>
    </w:p>
    <w:p w14:paraId="7B847A4D" w14:textId="088BD437" w:rsidR="00180329" w:rsidRDefault="0068496E" w:rsidP="00F22AFB">
      <w:pPr>
        <w:keepNext/>
        <w:rPr>
          <w:b/>
          <w:bCs/>
          <w:szCs w:val="22"/>
        </w:rPr>
      </w:pPr>
      <w:r>
        <w:rPr>
          <w:b/>
          <w:bCs/>
          <w:szCs w:val="22"/>
        </w:rPr>
        <w:t xml:space="preserve">Reasonable </w:t>
      </w:r>
      <w:r w:rsidR="00180329">
        <w:rPr>
          <w:b/>
          <w:bCs/>
          <w:szCs w:val="22"/>
        </w:rPr>
        <w:t>Transition</w:t>
      </w:r>
    </w:p>
    <w:p w14:paraId="05715840" w14:textId="273CB6A7" w:rsidR="00074C1F" w:rsidRDefault="00185051" w:rsidP="00432067">
      <w:pPr>
        <w:rPr>
          <w:szCs w:val="22"/>
        </w:rPr>
      </w:pPr>
      <w:r>
        <w:rPr>
          <w:szCs w:val="22"/>
        </w:rPr>
        <w:t>While the current deeming rates are well below the levels suggested by longstanding policy</w:t>
      </w:r>
      <w:r w:rsidR="00A5602D">
        <w:rPr>
          <w:szCs w:val="22"/>
        </w:rPr>
        <w:t xml:space="preserve"> and should be restored to their normal operation</w:t>
      </w:r>
      <w:r>
        <w:rPr>
          <w:szCs w:val="22"/>
        </w:rPr>
        <w:t xml:space="preserve">, an immediate resetting of the rates would have a significant impact on </w:t>
      </w:r>
      <w:r w:rsidR="00F22AFB">
        <w:rPr>
          <w:szCs w:val="22"/>
        </w:rPr>
        <w:t>affected recipients.</w:t>
      </w:r>
      <w:r w:rsidR="00710679">
        <w:rPr>
          <w:szCs w:val="22"/>
        </w:rPr>
        <w:t xml:space="preserve"> The unprecedented circumstances of the COVID-19 pandemic and the</w:t>
      </w:r>
      <w:r w:rsidR="00F22AFB">
        <w:rPr>
          <w:szCs w:val="22"/>
        </w:rPr>
        <w:t xml:space="preserve"> deeming rate</w:t>
      </w:r>
      <w:r w:rsidR="00710679">
        <w:rPr>
          <w:szCs w:val="22"/>
        </w:rPr>
        <w:t xml:space="preserve"> freeze</w:t>
      </w:r>
      <w:r w:rsidR="00F22AFB">
        <w:rPr>
          <w:szCs w:val="22"/>
        </w:rPr>
        <w:t xml:space="preserve"> have </w:t>
      </w:r>
      <w:r w:rsidR="00710679">
        <w:rPr>
          <w:szCs w:val="22"/>
        </w:rPr>
        <w:t xml:space="preserve">led to a situation where the deeming rates have remained constant for more than 5 years while </w:t>
      </w:r>
      <w:r w:rsidR="00DD0AFC">
        <w:rPr>
          <w:szCs w:val="22"/>
        </w:rPr>
        <w:t xml:space="preserve">there have been significant changes in the rates of return they are intended to reflect. </w:t>
      </w:r>
    </w:p>
    <w:p w14:paraId="5945BD66" w14:textId="37462F9F" w:rsidR="007A36D2" w:rsidRDefault="00B533A9" w:rsidP="00432067">
      <w:pPr>
        <w:rPr>
          <w:szCs w:val="22"/>
        </w:rPr>
      </w:pPr>
      <w:r>
        <w:rPr>
          <w:szCs w:val="22"/>
        </w:rPr>
        <w:t xml:space="preserve">Without this combination of events, a gap between the deeming rates and the relevant rates of return would not have remained in place for such a long period of time. </w:t>
      </w:r>
      <w:r w:rsidR="00765A48">
        <w:rPr>
          <w:szCs w:val="22"/>
        </w:rPr>
        <w:t>As</w:t>
      </w:r>
      <w:r w:rsidR="00CB7DC1">
        <w:rPr>
          <w:szCs w:val="22"/>
        </w:rPr>
        <w:t xml:space="preserve"> it is</w:t>
      </w:r>
      <w:r w:rsidR="00765A48">
        <w:rPr>
          <w:szCs w:val="22"/>
        </w:rPr>
        <w:t>, recipients have not needed to take potential changes to the deeming rates into account in planning their finances for many years.</w:t>
      </w:r>
      <w:r w:rsidR="00DE45B3">
        <w:rPr>
          <w:szCs w:val="22"/>
        </w:rPr>
        <w:t xml:space="preserve"> </w:t>
      </w:r>
      <w:r w:rsidR="00E657CC">
        <w:rPr>
          <w:szCs w:val="22"/>
        </w:rPr>
        <w:t xml:space="preserve">A </w:t>
      </w:r>
      <w:r w:rsidR="003D6E45">
        <w:rPr>
          <w:szCs w:val="22"/>
        </w:rPr>
        <w:t>sudden</w:t>
      </w:r>
      <w:r w:rsidR="00E657CC">
        <w:rPr>
          <w:szCs w:val="22"/>
        </w:rPr>
        <w:t xml:space="preserve">, full reset of the deeming rates </w:t>
      </w:r>
      <w:r w:rsidR="005D25C6">
        <w:rPr>
          <w:szCs w:val="22"/>
        </w:rPr>
        <w:t>would not be reasonable in these circumstances</w:t>
      </w:r>
      <w:r w:rsidR="007A36D2">
        <w:rPr>
          <w:szCs w:val="22"/>
        </w:rPr>
        <w:t xml:space="preserve">. </w:t>
      </w:r>
    </w:p>
    <w:p w14:paraId="1ABF9E8C" w14:textId="53B353C3" w:rsidR="00BF3BDE" w:rsidRDefault="007A36D2" w:rsidP="00432067">
      <w:pPr>
        <w:rPr>
          <w:szCs w:val="22"/>
        </w:rPr>
      </w:pPr>
      <w:r>
        <w:rPr>
          <w:szCs w:val="22"/>
        </w:rPr>
        <w:lastRenderedPageBreak/>
        <w:t xml:space="preserve">The </w:t>
      </w:r>
      <w:r w:rsidR="00B66A0F">
        <w:rPr>
          <w:szCs w:val="22"/>
        </w:rPr>
        <w:t xml:space="preserve">transition </w:t>
      </w:r>
      <w:r>
        <w:rPr>
          <w:szCs w:val="22"/>
        </w:rPr>
        <w:t xml:space="preserve">back to normal operation of the deeming rates </w:t>
      </w:r>
      <w:r w:rsidR="00B66A0F">
        <w:rPr>
          <w:szCs w:val="22"/>
        </w:rPr>
        <w:t>should therefore occur in a staged manner that allows recipients time to adjust</w:t>
      </w:r>
      <w:r w:rsidR="004F39D0">
        <w:rPr>
          <w:szCs w:val="22"/>
        </w:rPr>
        <w:t xml:space="preserve">. </w:t>
      </w:r>
      <w:r w:rsidR="00356720">
        <w:rPr>
          <w:szCs w:val="22"/>
        </w:rPr>
        <w:t>Changes to the rates should also</w:t>
      </w:r>
      <w:r w:rsidR="00117F83">
        <w:rPr>
          <w:szCs w:val="22"/>
        </w:rPr>
        <w:t xml:space="preserve"> take effect at the same time as payment indexation to allow indexation increases to partially</w:t>
      </w:r>
      <w:r w:rsidR="006463EF">
        <w:rPr>
          <w:szCs w:val="22"/>
        </w:rPr>
        <w:t xml:space="preserve"> or fully offset the impact on recipients. </w:t>
      </w:r>
    </w:p>
    <w:p w14:paraId="4D6A9F0B" w14:textId="1370BA33" w:rsidR="00405232" w:rsidRDefault="00A336F8" w:rsidP="009F5B50">
      <w:pPr>
        <w:pStyle w:val="Heading1"/>
        <w:numPr>
          <w:ilvl w:val="0"/>
          <w:numId w:val="13"/>
        </w:numPr>
      </w:pPr>
      <w:r>
        <w:rPr>
          <w:sz w:val="20"/>
          <w:szCs w:val="20"/>
        </w:rPr>
        <w:br w:type="page"/>
      </w:r>
      <w:bookmarkStart w:id="3" w:name="_Toc96326924"/>
      <w:bookmarkEnd w:id="2"/>
      <w:r w:rsidR="00405232">
        <w:lastRenderedPageBreak/>
        <w:t>What policy options are you considering?</w:t>
      </w:r>
    </w:p>
    <w:p w14:paraId="551E339A" w14:textId="77777777" w:rsidR="00652DA3" w:rsidRDefault="00036119" w:rsidP="005C6887">
      <w:r>
        <w:t xml:space="preserve">Two </w:t>
      </w:r>
      <w:r w:rsidR="00FF7423">
        <w:t>options were considered</w:t>
      </w:r>
      <w:r w:rsidR="00311650">
        <w:t xml:space="preserve">. The first option would </w:t>
      </w:r>
      <w:r w:rsidR="00AD0C16">
        <w:t>leave the rates unchanged</w:t>
      </w:r>
      <w:r w:rsidR="002A4B65">
        <w:t xml:space="preserve">. The second would </w:t>
      </w:r>
      <w:r w:rsidR="00B27E3F">
        <w:t xml:space="preserve">incrementally </w:t>
      </w:r>
      <w:r w:rsidR="000D6157">
        <w:t xml:space="preserve">increase the </w:t>
      </w:r>
      <w:r w:rsidR="007F1CA4">
        <w:t>deeming rates</w:t>
      </w:r>
      <w:r w:rsidR="008B6DE2">
        <w:t xml:space="preserve"> </w:t>
      </w:r>
      <w:r w:rsidR="008068E7">
        <w:t xml:space="preserve">until they reach </w:t>
      </w:r>
      <w:r w:rsidR="00C639E7">
        <w:t xml:space="preserve">the appropriate levels, </w:t>
      </w:r>
      <w:r w:rsidR="008B6DE2">
        <w:t>with the first increase being</w:t>
      </w:r>
      <w:r w:rsidR="000D6157">
        <w:t xml:space="preserve"> implemented on the n</w:t>
      </w:r>
      <w:r w:rsidR="009F3136">
        <w:t>ext indexation day for pensions and allowances, 20</w:t>
      </w:r>
      <w:r w:rsidR="002A4B65">
        <w:t> </w:t>
      </w:r>
      <w:r w:rsidR="009F3136">
        <w:t xml:space="preserve">September 2025. </w:t>
      </w:r>
    </w:p>
    <w:p w14:paraId="1EEBDBD2" w14:textId="6A809BF2" w:rsidR="000216AF" w:rsidRDefault="00EF7CB9" w:rsidP="005C6887">
      <w:r>
        <w:t xml:space="preserve">An immediate transition of the deeming rates to reflect available </w:t>
      </w:r>
      <w:r w:rsidR="00592D97">
        <w:t>investment returns would be inconsistent with the Reasonable Transition criterion</w:t>
      </w:r>
      <w:r w:rsidR="006577FB">
        <w:t xml:space="preserve"> articulated in the previous section</w:t>
      </w:r>
      <w:r w:rsidR="002A4B65">
        <w:t>.</w:t>
      </w:r>
      <w:r w:rsidR="006577FB">
        <w:t xml:space="preserve"> </w:t>
      </w:r>
      <w:r w:rsidR="002A4B65">
        <w:t xml:space="preserve"> </w:t>
      </w:r>
      <w:r w:rsidR="008E39E1">
        <w:t>The need for a significant</w:t>
      </w:r>
      <w:r w:rsidR="00C543F4">
        <w:t xml:space="preserve"> </w:t>
      </w:r>
      <w:r w:rsidR="001D09A5">
        <w:t xml:space="preserve">transition is a one-off </w:t>
      </w:r>
      <w:r w:rsidR="00DD148C">
        <w:t xml:space="preserve">situation </w:t>
      </w:r>
      <w:r w:rsidR="00C1770D">
        <w:t xml:space="preserve">caused by the confluence of the COVID-19 pandemic, the deeming rate freeze, and subsequent changes in the </w:t>
      </w:r>
      <w:r w:rsidR="00210C1A">
        <w:t>overall economic environment,</w:t>
      </w:r>
      <w:r w:rsidR="00C1770D">
        <w:t xml:space="preserve"> </w:t>
      </w:r>
      <w:r w:rsidR="006B6417">
        <w:t>an</w:t>
      </w:r>
      <w:r w:rsidR="008E39E1">
        <w:t>d is unlikely to be repeated in the foreseeable future.</w:t>
      </w:r>
      <w:r w:rsidR="006B6417">
        <w:t xml:space="preserve"> </w:t>
      </w:r>
    </w:p>
    <w:p w14:paraId="2A9326E0" w14:textId="67F50272" w:rsidR="005A2B4A" w:rsidRPr="00AD0E71" w:rsidRDefault="00722C31" w:rsidP="00AD0E71">
      <w:pPr>
        <w:pStyle w:val="Heading2"/>
        <w:numPr>
          <w:ilvl w:val="1"/>
          <w:numId w:val="13"/>
        </w:numPr>
        <w:ind w:left="851" w:hanging="851"/>
        <w:rPr>
          <w:lang w:val="en-US"/>
        </w:rPr>
      </w:pPr>
      <w:r>
        <w:rPr>
          <w:lang w:val="en-US"/>
        </w:rPr>
        <w:t xml:space="preserve">Option 1: </w:t>
      </w:r>
      <w:r w:rsidR="00F91698" w:rsidRPr="00AD0E71">
        <w:rPr>
          <w:lang w:val="en-US"/>
        </w:rPr>
        <w:t>No Government action</w:t>
      </w:r>
      <w:r w:rsidR="002E41BB">
        <w:rPr>
          <w:lang w:val="en-US"/>
        </w:rPr>
        <w:t xml:space="preserve"> (Status quo)</w:t>
      </w:r>
    </w:p>
    <w:p w14:paraId="4A94896E" w14:textId="15F14DF6" w:rsidR="005243CB" w:rsidRPr="005243CB" w:rsidRDefault="005243CB" w:rsidP="005243CB">
      <w:pPr>
        <w:rPr>
          <w:szCs w:val="22"/>
        </w:rPr>
      </w:pPr>
      <w:r w:rsidRPr="005243CB">
        <w:rPr>
          <w:szCs w:val="22"/>
        </w:rPr>
        <w:t xml:space="preserve">This option would leave the deeming rates at their current levels of 0.25 per cent for the lower rate and 2.25 per cent for the upper rate, originally set during the emergency conditions of the early COVID-19 pandemic. </w:t>
      </w:r>
    </w:p>
    <w:p w14:paraId="2CA6BBAF" w14:textId="0C2E1EBD" w:rsidR="00562209" w:rsidRPr="00562209" w:rsidRDefault="00562209" w:rsidP="00562209">
      <w:pPr>
        <w:rPr>
          <w:szCs w:val="22"/>
        </w:rPr>
      </w:pPr>
      <w:r w:rsidRPr="00562209">
        <w:rPr>
          <w:szCs w:val="22"/>
        </w:rPr>
        <w:t>As the</w:t>
      </w:r>
      <w:r>
        <w:rPr>
          <w:szCs w:val="22"/>
        </w:rPr>
        <w:t xml:space="preserve"> deeming</w:t>
      </w:r>
      <w:r w:rsidRPr="00562209">
        <w:rPr>
          <w:szCs w:val="22"/>
        </w:rPr>
        <w:t xml:space="preserve"> rates can only be changed by Ministerial determination, without government action they will remain at </w:t>
      </w:r>
      <w:r w:rsidR="00C447EE">
        <w:rPr>
          <w:szCs w:val="22"/>
        </w:rPr>
        <w:t>these</w:t>
      </w:r>
      <w:r w:rsidRPr="00562209">
        <w:rPr>
          <w:szCs w:val="22"/>
        </w:rPr>
        <w:t xml:space="preserve"> levels indefinitely.</w:t>
      </w:r>
    </w:p>
    <w:p w14:paraId="5833714B" w14:textId="7F28626D" w:rsidR="005A2B4A" w:rsidRPr="00AD0E71" w:rsidRDefault="005A2B4A" w:rsidP="00AD0E71">
      <w:pPr>
        <w:pStyle w:val="Heading2"/>
        <w:numPr>
          <w:ilvl w:val="1"/>
          <w:numId w:val="13"/>
        </w:numPr>
        <w:ind w:left="851" w:hanging="851"/>
        <w:rPr>
          <w:lang w:val="en-US"/>
        </w:rPr>
      </w:pPr>
      <w:r w:rsidRPr="00AD0E71">
        <w:rPr>
          <w:lang w:val="en-US"/>
        </w:rPr>
        <w:t>Option 2: Reset the rates in increments</w:t>
      </w:r>
    </w:p>
    <w:p w14:paraId="488E2DE7" w14:textId="73D142A6" w:rsidR="005A2B4A" w:rsidRDefault="005A2B4A" w:rsidP="005A2B4A">
      <w:pPr>
        <w:spacing w:after="200" w:line="288" w:lineRule="auto"/>
      </w:pPr>
      <w:r w:rsidRPr="00F351FB">
        <w:t xml:space="preserve">This option would </w:t>
      </w:r>
      <w:r>
        <w:t xml:space="preserve">reset the deeming rates </w:t>
      </w:r>
      <w:r w:rsidR="004C6BBA">
        <w:t xml:space="preserve">incrementally, with </w:t>
      </w:r>
      <w:r w:rsidR="002C4BBD">
        <w:t xml:space="preserve">stepped increases </w:t>
      </w:r>
      <w:r w:rsidR="003515D7">
        <w:t xml:space="preserve">on 20 September </w:t>
      </w:r>
      <w:r w:rsidR="00966255">
        <w:t xml:space="preserve">and 20 March </w:t>
      </w:r>
      <w:r w:rsidR="003515D7">
        <w:t>(the indexation points for most pensions and allowances),</w:t>
      </w:r>
      <w:r w:rsidRPr="00D0671D">
        <w:t xml:space="preserve"> starting on 20 September 2025</w:t>
      </w:r>
      <w:r w:rsidR="00966255">
        <w:t>,</w:t>
      </w:r>
      <w:r w:rsidRPr="00D0671D">
        <w:t xml:space="preserve"> until </w:t>
      </w:r>
      <w:r w:rsidR="005A4BBE">
        <w:t>the rates</w:t>
      </w:r>
      <w:r w:rsidRPr="00D0671D">
        <w:t xml:space="preserve"> </w:t>
      </w:r>
      <w:r w:rsidR="002C4BBD">
        <w:t>appropriately reflect</w:t>
      </w:r>
      <w:r w:rsidRPr="00D0671D">
        <w:t xml:space="preserve"> the investment returns </w:t>
      </w:r>
      <w:r w:rsidR="00BF0005">
        <w:t xml:space="preserve">available </w:t>
      </w:r>
      <w:r w:rsidRPr="00D0671D">
        <w:t>at the time.</w:t>
      </w:r>
      <w:r>
        <w:t xml:space="preserve"> </w:t>
      </w:r>
      <w:r w:rsidR="00895CA6">
        <w:t>From that point forward, the</w:t>
      </w:r>
      <w:r w:rsidR="005A4BBE">
        <w:t xml:space="preserve"> deeming</w:t>
      </w:r>
      <w:r w:rsidR="00895CA6">
        <w:t xml:space="preserve"> rates would be reviewed in the lead up to each March and September indexation day and adjusted if necessary to ensure they</w:t>
      </w:r>
      <w:r w:rsidR="00615FCD">
        <w:t xml:space="preserve"> continue to </w:t>
      </w:r>
      <w:r w:rsidR="0052379D">
        <w:t xml:space="preserve">operate as intended. </w:t>
      </w:r>
    </w:p>
    <w:p w14:paraId="21D2DFDB" w14:textId="77777777" w:rsidR="00624C15" w:rsidRDefault="005A2B4A" w:rsidP="005A2B4A">
      <w:pPr>
        <w:spacing w:after="200" w:line="288" w:lineRule="auto"/>
      </w:pPr>
      <w:r>
        <w:t>The most reasonable approach is to increase the rates in 50 basis points</w:t>
      </w:r>
      <w:r w:rsidR="00571BAA">
        <w:t xml:space="preserve"> increments. The first increase </w:t>
      </w:r>
      <w:r w:rsidR="007624C5">
        <w:t>in September 2025 would</w:t>
      </w:r>
      <w:r w:rsidR="00571BAA">
        <w:t xml:space="preserve"> </w:t>
      </w:r>
      <w:r w:rsidR="007624C5">
        <w:t>increase</w:t>
      </w:r>
      <w:r w:rsidR="00571BAA">
        <w:t xml:space="preserve"> the </w:t>
      </w:r>
      <w:r w:rsidR="007624C5">
        <w:t xml:space="preserve">lower </w:t>
      </w:r>
      <w:r w:rsidR="00B6654F">
        <w:t xml:space="preserve">deeming </w:t>
      </w:r>
      <w:r w:rsidR="007624C5">
        <w:t>rate</w:t>
      </w:r>
      <w:r w:rsidR="00571BAA">
        <w:t xml:space="preserve"> to 0.75 per cent and</w:t>
      </w:r>
      <w:r w:rsidR="007624C5">
        <w:t xml:space="preserve"> the upper deemi</w:t>
      </w:r>
      <w:r w:rsidR="00B6654F">
        <w:t>ng rate to</w:t>
      </w:r>
      <w:r w:rsidR="00571BAA">
        <w:t xml:space="preserve"> 2.75 per cent. </w:t>
      </w:r>
    </w:p>
    <w:p w14:paraId="7D911797" w14:textId="6AD36FCE" w:rsidR="008223BD" w:rsidRDefault="00571BAA">
      <w:pPr>
        <w:spacing w:after="200" w:line="288" w:lineRule="auto"/>
      </w:pPr>
      <w:r>
        <w:t xml:space="preserve">These </w:t>
      </w:r>
      <w:r w:rsidR="004D549B">
        <w:t xml:space="preserve">would still be transitional </w:t>
      </w:r>
      <w:r w:rsidR="00007885">
        <w:t xml:space="preserve">deeming </w:t>
      </w:r>
      <w:r w:rsidR="004D549B">
        <w:t>rates that remain below the</w:t>
      </w:r>
      <w:r w:rsidR="003D463F">
        <w:t xml:space="preserve"> level of</w:t>
      </w:r>
      <w:r w:rsidR="004D549B">
        <w:t xml:space="preserve"> investment return</w:t>
      </w:r>
      <w:r>
        <w:t xml:space="preserve"> reasonably available in the current economic environment.</w:t>
      </w:r>
      <w:r w:rsidR="00624C15">
        <w:t xml:space="preserve"> </w:t>
      </w:r>
      <w:r w:rsidR="001630A8">
        <w:t xml:space="preserve">The rates would be reviewed again in the lead up to </w:t>
      </w:r>
      <w:r w:rsidR="009905EF">
        <w:t>payment indexation on</w:t>
      </w:r>
      <w:r w:rsidR="001630A8">
        <w:t xml:space="preserve"> 20 March 2026</w:t>
      </w:r>
      <w:r w:rsidR="002B3DE9">
        <w:t xml:space="preserve">. </w:t>
      </w:r>
      <w:r w:rsidR="00466631">
        <w:t>Depending on</w:t>
      </w:r>
      <w:r w:rsidR="008809B3">
        <w:t xml:space="preserve"> the in</w:t>
      </w:r>
      <w:r w:rsidR="00466631">
        <w:t>vestment returns available at the time, an additional increase of no more than 50 basis points would be considered</w:t>
      </w:r>
      <w:r w:rsidR="00281104">
        <w:t xml:space="preserve"> at that time. </w:t>
      </w:r>
    </w:p>
    <w:p w14:paraId="03B68CF4" w14:textId="77777777" w:rsidR="006D4D6F" w:rsidRDefault="006D4D6F">
      <w:pPr>
        <w:spacing w:after="200" w:line="288" w:lineRule="auto"/>
        <w:rPr>
          <w:rFonts w:asciiTheme="majorHAnsi" w:eastAsiaTheme="majorEastAsia" w:hAnsiTheme="majorHAnsi" w:cstheme="majorBidi"/>
          <w:color w:val="1C2B39" w:themeColor="accent1"/>
          <w:sz w:val="48"/>
          <w:szCs w:val="40"/>
        </w:rPr>
      </w:pPr>
      <w:r>
        <w:br w:type="page"/>
      </w:r>
    </w:p>
    <w:p w14:paraId="2B152EE1" w14:textId="77777777" w:rsidR="00D34868" w:rsidRPr="00D34868" w:rsidRDefault="00405232" w:rsidP="00D34868">
      <w:pPr>
        <w:pStyle w:val="Heading1"/>
        <w:numPr>
          <w:ilvl w:val="0"/>
          <w:numId w:val="13"/>
        </w:numPr>
      </w:pPr>
      <w:r>
        <w:lastRenderedPageBreak/>
        <w:t>What is the likely net benefit of each option?</w:t>
      </w:r>
    </w:p>
    <w:p w14:paraId="212EE287" w14:textId="70A477A7" w:rsidR="00FD265D" w:rsidRDefault="00A13E74" w:rsidP="00D45198">
      <w:r>
        <w:t xml:space="preserve">Both </w:t>
      </w:r>
      <w:r w:rsidR="00A25C95">
        <w:t>options</w:t>
      </w:r>
      <w:r w:rsidR="00142DE2">
        <w:t xml:space="preserve"> </w:t>
      </w:r>
      <w:r w:rsidR="001E3BED">
        <w:t>a</w:t>
      </w:r>
      <w:r w:rsidR="00BA60A6">
        <w:t>ffect</w:t>
      </w:r>
      <w:r w:rsidR="00A25C95">
        <w:t xml:space="preserve"> individuals</w:t>
      </w:r>
      <w:r w:rsidR="00484697">
        <w:t xml:space="preserve"> only</w:t>
      </w:r>
      <w:r w:rsidR="00154B60">
        <w:t xml:space="preserve">, by </w:t>
      </w:r>
      <w:r w:rsidR="00F037E4">
        <w:t>impacting</w:t>
      </w:r>
      <w:r w:rsidR="00154B60">
        <w:t xml:space="preserve"> their income support payment rate</w:t>
      </w:r>
      <w:r w:rsidR="00F037E4">
        <w:t>s</w:t>
      </w:r>
      <w:r w:rsidR="00154B60">
        <w:t xml:space="preserve"> if they have sufficient financial assets</w:t>
      </w:r>
      <w:r w:rsidR="00A25C95">
        <w:t>.</w:t>
      </w:r>
      <w:r w:rsidR="00484697">
        <w:t xml:space="preserve"> </w:t>
      </w:r>
      <w:r w:rsidR="008F3BBB">
        <w:t>There are no impacts on businesses or community organisations, and</w:t>
      </w:r>
      <w:r w:rsidR="008F3BBB" w:rsidDel="00154B60">
        <w:t xml:space="preserve"> </w:t>
      </w:r>
      <w:r w:rsidR="00FD265D">
        <w:t>no regulatory burden or compliance expectation</w:t>
      </w:r>
      <w:r w:rsidR="00281104">
        <w:t>s</w:t>
      </w:r>
      <w:r w:rsidR="00FD265D">
        <w:t xml:space="preserve"> associated with either option. </w:t>
      </w:r>
    </w:p>
    <w:p w14:paraId="1AD78029" w14:textId="7714B737" w:rsidR="00115457" w:rsidRPr="00A25C95" w:rsidRDefault="00FD4940" w:rsidP="00D45198">
      <w:r>
        <w:t xml:space="preserve">The options were assessed on </w:t>
      </w:r>
      <w:r w:rsidR="007D3CE0">
        <w:t xml:space="preserve">the criteria of </w:t>
      </w:r>
      <w:r>
        <w:t>fairness, community expectations</w:t>
      </w:r>
      <w:r w:rsidR="0068496E">
        <w:t xml:space="preserve">, </w:t>
      </w:r>
      <w:r w:rsidR="007D3CE0">
        <w:t>predictability</w:t>
      </w:r>
      <w:r w:rsidR="0068496E">
        <w:t xml:space="preserve"> and reasonable transition</w:t>
      </w:r>
      <w:r>
        <w:t>.</w:t>
      </w:r>
    </w:p>
    <w:p w14:paraId="5FE9FE39" w14:textId="68073E0A" w:rsidR="00405232" w:rsidRDefault="00BF4C13" w:rsidP="00AD0E71">
      <w:pPr>
        <w:pStyle w:val="Heading2"/>
        <w:numPr>
          <w:ilvl w:val="1"/>
          <w:numId w:val="13"/>
        </w:numPr>
        <w:ind w:left="851" w:hanging="851"/>
        <w:rPr>
          <w:lang w:val="en-US"/>
        </w:rPr>
      </w:pPr>
      <w:r>
        <w:rPr>
          <w:lang w:val="en-US"/>
        </w:rPr>
        <w:t xml:space="preserve">Option 1: </w:t>
      </w:r>
      <w:r w:rsidR="00F91698">
        <w:rPr>
          <w:lang w:val="en-US"/>
        </w:rPr>
        <w:t>No Government action</w:t>
      </w:r>
      <w:r w:rsidR="00D34868">
        <w:rPr>
          <w:lang w:val="en-US"/>
        </w:rPr>
        <w:t xml:space="preserve"> </w:t>
      </w:r>
      <w:r>
        <w:rPr>
          <w:lang w:val="en-US"/>
        </w:rPr>
        <w:t>(Status quo)</w:t>
      </w:r>
    </w:p>
    <w:p w14:paraId="7A429A0F" w14:textId="3497C35B" w:rsidR="006225BC" w:rsidRPr="00C56D5D" w:rsidRDefault="006225BC" w:rsidP="00D45198">
      <w:pPr>
        <w:rPr>
          <w:b/>
          <w:bCs/>
        </w:rPr>
      </w:pPr>
      <w:r>
        <w:rPr>
          <w:b/>
          <w:bCs/>
        </w:rPr>
        <w:t>Fairness</w:t>
      </w:r>
    </w:p>
    <w:p w14:paraId="4ECCE1F2" w14:textId="162D6D59" w:rsidR="006225BC" w:rsidRDefault="000134D0" w:rsidP="005C6887">
      <w:r>
        <w:t>Under this option, the d</w:t>
      </w:r>
      <w:r w:rsidR="000623DB">
        <w:t>eeming rates would continue to be disproportionately low</w:t>
      </w:r>
      <w:r w:rsidR="009A273C">
        <w:t>.</w:t>
      </w:r>
      <w:r w:rsidR="00C52634">
        <w:t xml:space="preserve"> </w:t>
      </w:r>
      <w:r w:rsidR="00F4149D">
        <w:t>Contrary to the principle of horizontal equity, i</w:t>
      </w:r>
      <w:r w:rsidR="000623DB">
        <w:t xml:space="preserve">ncome from investments would </w:t>
      </w:r>
      <w:r w:rsidR="00C52634">
        <w:t>continue to be treated concessionally</w:t>
      </w:r>
      <w:r w:rsidR="000623DB">
        <w:t xml:space="preserve"> compared to </w:t>
      </w:r>
      <w:r w:rsidR="006164C5">
        <w:t>other forms of income</w:t>
      </w:r>
      <w:r w:rsidR="00AB4D42">
        <w:t xml:space="preserve">, including employment income for working age people. </w:t>
      </w:r>
    </w:p>
    <w:p w14:paraId="4995E2FE" w14:textId="4A327ADF" w:rsidR="001D0701" w:rsidRPr="00122FE9" w:rsidRDefault="001D0701" w:rsidP="00D45198">
      <w:pPr>
        <w:rPr>
          <w:b/>
          <w:bCs/>
        </w:rPr>
      </w:pPr>
      <w:r>
        <w:rPr>
          <w:b/>
          <w:bCs/>
        </w:rPr>
        <w:t xml:space="preserve">Community </w:t>
      </w:r>
      <w:r w:rsidR="00E3269F">
        <w:rPr>
          <w:b/>
          <w:bCs/>
        </w:rPr>
        <w:t>confidence and expectations</w:t>
      </w:r>
    </w:p>
    <w:p w14:paraId="7899F111" w14:textId="6BCB34D0" w:rsidR="001D0701" w:rsidRDefault="001D0701" w:rsidP="00D45198">
      <w:r>
        <w:t>The deeming rates would continue to not meet community expectations</w:t>
      </w:r>
      <w:r w:rsidR="002503DA">
        <w:t xml:space="preserve"> that </w:t>
      </w:r>
      <w:r w:rsidR="00A25C95">
        <w:t xml:space="preserve">the social security system is </w:t>
      </w:r>
      <w:r w:rsidR="002503DA">
        <w:t>appropriately</w:t>
      </w:r>
      <w:r w:rsidR="00A25C95">
        <w:t xml:space="preserve"> </w:t>
      </w:r>
      <w:r w:rsidR="009B1970">
        <w:t xml:space="preserve">fair and </w:t>
      </w:r>
      <w:r w:rsidR="00A25C95">
        <w:t>targeted to need</w:t>
      </w:r>
      <w:r w:rsidR="00DC5B32">
        <w:t xml:space="preserve">. </w:t>
      </w:r>
    </w:p>
    <w:p w14:paraId="3E8B7715" w14:textId="07F4C14C" w:rsidR="00A25C95" w:rsidRDefault="00DC5B32" w:rsidP="00D45198">
      <w:pPr>
        <w:rPr>
          <w:b/>
          <w:bCs/>
        </w:rPr>
      </w:pPr>
      <w:r>
        <w:rPr>
          <w:b/>
          <w:bCs/>
        </w:rPr>
        <w:t>Predictability</w:t>
      </w:r>
    </w:p>
    <w:p w14:paraId="32975A7E" w14:textId="5FC9AE94" w:rsidR="006C09F3" w:rsidRDefault="00A25C95" w:rsidP="00D45198">
      <w:r>
        <w:t xml:space="preserve">This approach does not </w:t>
      </w:r>
      <w:r w:rsidR="00DC5B32">
        <w:t>improve predictability for recipients</w:t>
      </w:r>
      <w:r>
        <w:t xml:space="preserve"> affected by the deeming rates. It does not give them a clear indication of when the deeming rates may change in future, </w:t>
      </w:r>
      <w:r w:rsidR="004147B9">
        <w:t xml:space="preserve">or </w:t>
      </w:r>
      <w:r>
        <w:t>by how much.</w:t>
      </w:r>
      <w:r w:rsidR="00053F41">
        <w:t xml:space="preserve"> </w:t>
      </w:r>
      <w:r w:rsidR="007C0E44">
        <w:t xml:space="preserve">While the deeming rates would remain low for the time being, </w:t>
      </w:r>
      <w:r w:rsidR="005D4D4E">
        <w:t xml:space="preserve">recipients would be aware this situation </w:t>
      </w:r>
      <w:r w:rsidR="00A95923">
        <w:t>would</w:t>
      </w:r>
      <w:r w:rsidR="005D4D4E">
        <w:t xml:space="preserve"> </w:t>
      </w:r>
      <w:r w:rsidR="001E5AB2">
        <w:t>be</w:t>
      </w:r>
      <w:r w:rsidR="005D4D4E">
        <w:t xml:space="preserve"> unlikely to </w:t>
      </w:r>
      <w:r w:rsidR="005301FD">
        <w:t xml:space="preserve">remain in place indefinitely. </w:t>
      </w:r>
    </w:p>
    <w:p w14:paraId="128DB0C5" w14:textId="47C18102" w:rsidR="0068496E" w:rsidRDefault="0068496E" w:rsidP="0068496E">
      <w:pPr>
        <w:rPr>
          <w:b/>
          <w:bCs/>
        </w:rPr>
      </w:pPr>
      <w:r>
        <w:rPr>
          <w:b/>
          <w:bCs/>
        </w:rPr>
        <w:t>Reasonable transition</w:t>
      </w:r>
    </w:p>
    <w:p w14:paraId="6A351C5B" w14:textId="4C1D02E5" w:rsidR="0068496E" w:rsidRPr="00D34868" w:rsidRDefault="009851A1" w:rsidP="00D45198">
      <w:r>
        <w:t xml:space="preserve">Under this option, there would be no transition. </w:t>
      </w:r>
      <w:r w:rsidR="007E52EE">
        <w:t xml:space="preserve"> </w:t>
      </w:r>
    </w:p>
    <w:p w14:paraId="058D3A13" w14:textId="77777777" w:rsidR="00CC14CD" w:rsidRPr="00AD0E71" w:rsidRDefault="00CC14CD" w:rsidP="00CC14CD">
      <w:pPr>
        <w:pStyle w:val="Heading3"/>
        <w:rPr>
          <w:rFonts w:asciiTheme="minorHAnsi" w:eastAsiaTheme="minorEastAsia" w:hAnsiTheme="minorHAnsi" w:cstheme="minorBidi"/>
          <w:b/>
          <w:color w:val="auto"/>
          <w:sz w:val="22"/>
          <w:szCs w:val="21"/>
        </w:rPr>
      </w:pPr>
      <w:r w:rsidRPr="00AD0E71">
        <w:rPr>
          <w:rFonts w:asciiTheme="minorHAnsi" w:eastAsiaTheme="minorEastAsia" w:hAnsiTheme="minorHAnsi" w:cstheme="minorBidi"/>
          <w:b/>
          <w:color w:val="auto"/>
          <w:sz w:val="22"/>
          <w:szCs w:val="21"/>
        </w:rPr>
        <w:t>Impact</w:t>
      </w:r>
    </w:p>
    <w:p w14:paraId="0B2F0760" w14:textId="6BD5C223" w:rsidR="00C52634" w:rsidRDefault="00C52634" w:rsidP="00C52634">
      <w:r>
        <w:t xml:space="preserve">Under this option, the net financial impact on individuals would be nil </w:t>
      </w:r>
      <w:r w:rsidR="009608C5">
        <w:t xml:space="preserve">and there would be no regulatory </w:t>
      </w:r>
      <w:r w:rsidR="001E6F72">
        <w:t>cost</w:t>
      </w:r>
      <w:r w:rsidR="009608C5">
        <w:t xml:space="preserve">, </w:t>
      </w:r>
      <w:r>
        <w:t xml:space="preserve">as there would be no changes to the </w:t>
      </w:r>
      <w:r w:rsidR="00CF6DE6">
        <w:t xml:space="preserve">deeming </w:t>
      </w:r>
      <w:r w:rsidR="002548CF">
        <w:t>rates</w:t>
      </w:r>
      <w:r w:rsidR="00AA11E1">
        <w:t xml:space="preserve">. </w:t>
      </w:r>
      <w:r>
        <w:t xml:space="preserve"> </w:t>
      </w:r>
    </w:p>
    <w:p w14:paraId="341CCD06" w14:textId="2EC2D18A" w:rsidR="009D4507" w:rsidRPr="00D34868" w:rsidRDefault="009D4507" w:rsidP="00C52634">
      <w:r w:rsidRPr="00897F20">
        <w:rPr>
          <w:b/>
          <w:bCs/>
        </w:rPr>
        <w:t>Regulatory impacts</w:t>
      </w:r>
    </w:p>
    <w:p w14:paraId="46A5A242" w14:textId="7CA69C70" w:rsidR="00966255" w:rsidRDefault="009D4507" w:rsidP="00966255">
      <w:pPr>
        <w:rPr>
          <w:b/>
          <w:bCs/>
          <w:i/>
          <w:iCs/>
        </w:rPr>
      </w:pPr>
      <w:r>
        <w:t xml:space="preserve">This option would have no regulatory impacts on people, communities or businesses. </w:t>
      </w:r>
    </w:p>
    <w:p w14:paraId="2C64E859" w14:textId="77777777" w:rsidR="00AE5870" w:rsidRDefault="00AE5870">
      <w:pPr>
        <w:spacing w:after="200" w:line="288" w:lineRule="auto"/>
        <w:rPr>
          <w:b/>
          <w:bCs/>
          <w:i/>
          <w:iCs/>
        </w:rPr>
      </w:pPr>
      <w:r>
        <w:rPr>
          <w:b/>
          <w:bCs/>
          <w:i/>
          <w:iCs/>
        </w:rPr>
        <w:br w:type="page"/>
      </w:r>
    </w:p>
    <w:p w14:paraId="733354C3" w14:textId="334A5B84" w:rsidR="00B05CDA" w:rsidRPr="00382EF4" w:rsidRDefault="00382EF4" w:rsidP="000225CD">
      <w:pPr>
        <w:rPr>
          <w:b/>
          <w:i/>
        </w:rPr>
      </w:pPr>
      <w:r w:rsidRPr="00382EF4">
        <w:rPr>
          <w:b/>
          <w:bCs/>
          <w:i/>
          <w:iCs/>
        </w:rPr>
        <w:lastRenderedPageBreak/>
        <w:t xml:space="preserve">Regulatory costs </w:t>
      </w:r>
      <w:r w:rsidR="00667A46">
        <w:rPr>
          <w:b/>
          <w:bCs/>
          <w:i/>
          <w:iCs/>
        </w:rPr>
        <w:t>t</w:t>
      </w:r>
      <w:r w:rsidRPr="00382EF4">
        <w:rPr>
          <w:b/>
          <w:bCs/>
          <w:i/>
          <w:iCs/>
        </w:rPr>
        <w:t>able 1</w:t>
      </w:r>
    </w:p>
    <w:tbl>
      <w:tblPr>
        <w:tblStyle w:val="Custom1"/>
        <w:tblW w:w="0" w:type="auto"/>
        <w:tblLook w:val="0660" w:firstRow="1" w:lastRow="1" w:firstColumn="0" w:lastColumn="0" w:noHBand="1" w:noVBand="1"/>
      </w:tblPr>
      <w:tblGrid>
        <w:gridCol w:w="2555"/>
        <w:gridCol w:w="1691"/>
        <w:gridCol w:w="1691"/>
        <w:gridCol w:w="1691"/>
        <w:gridCol w:w="1692"/>
      </w:tblGrid>
      <w:tr w:rsidR="00A45B30" w:rsidRPr="00995541" w14:paraId="42390964" w14:textId="77777777">
        <w:trPr>
          <w:cnfStyle w:val="100000000000" w:firstRow="1" w:lastRow="0" w:firstColumn="0" w:lastColumn="0" w:oddVBand="0" w:evenVBand="0" w:oddHBand="0" w:evenHBand="0" w:firstRowFirstColumn="0" w:firstRowLastColumn="0" w:lastRowFirstColumn="0" w:lastRowLastColumn="0"/>
          <w:trHeight w:val="350"/>
          <w:tblHeader/>
        </w:trPr>
        <w:tc>
          <w:tcPr>
            <w:tcW w:w="9320" w:type="dxa"/>
            <w:gridSpan w:val="5"/>
          </w:tcPr>
          <w:p w14:paraId="0AF3B37A" w14:textId="77777777" w:rsidR="00B05CDA" w:rsidRPr="00995541" w:rsidRDefault="00B05CDA">
            <w:pPr>
              <w:pStyle w:val="TBLHeading"/>
            </w:pPr>
            <w:r w:rsidRPr="00995541">
              <w:t>Average annual regulatory costs</w:t>
            </w:r>
            <w:r>
              <w:t xml:space="preserve"> of no government action (status quo)</w:t>
            </w:r>
          </w:p>
        </w:tc>
      </w:tr>
      <w:tr w:rsidR="00B05CDA" w:rsidRPr="00995541" w14:paraId="48C81BC2" w14:textId="77777777">
        <w:trPr>
          <w:trHeight w:val="350"/>
        </w:trPr>
        <w:tc>
          <w:tcPr>
            <w:tcW w:w="2555" w:type="dxa"/>
          </w:tcPr>
          <w:p w14:paraId="212A1267" w14:textId="77777777" w:rsidR="00B05CDA" w:rsidRPr="00995541" w:rsidRDefault="00B05CDA">
            <w:pPr>
              <w:pStyle w:val="TBLText"/>
              <w:rPr>
                <w:sz w:val="22"/>
              </w:rPr>
            </w:pPr>
            <w:r w:rsidRPr="00995541">
              <w:rPr>
                <w:sz w:val="22"/>
              </w:rPr>
              <w:t>Change in costs ($</w:t>
            </w:r>
            <w:r>
              <w:rPr>
                <w:sz w:val="22"/>
              </w:rPr>
              <w:t> </w:t>
            </w:r>
            <w:r w:rsidRPr="00995541">
              <w:rPr>
                <w:sz w:val="22"/>
              </w:rPr>
              <w:t>million)</w:t>
            </w:r>
          </w:p>
        </w:tc>
        <w:tc>
          <w:tcPr>
            <w:tcW w:w="1691" w:type="dxa"/>
          </w:tcPr>
          <w:p w14:paraId="6610C16C" w14:textId="77777777" w:rsidR="00B05CDA" w:rsidRPr="00995541" w:rsidRDefault="00B05CDA">
            <w:pPr>
              <w:pStyle w:val="TBLText"/>
              <w:rPr>
                <w:sz w:val="22"/>
              </w:rPr>
            </w:pPr>
            <w:r w:rsidRPr="00995541">
              <w:rPr>
                <w:sz w:val="22"/>
              </w:rPr>
              <w:t>Individuals</w:t>
            </w:r>
          </w:p>
        </w:tc>
        <w:tc>
          <w:tcPr>
            <w:tcW w:w="1691" w:type="dxa"/>
          </w:tcPr>
          <w:p w14:paraId="2BD93B6E" w14:textId="77777777" w:rsidR="00B05CDA" w:rsidRPr="00995541" w:rsidRDefault="00B05CDA">
            <w:pPr>
              <w:pStyle w:val="TBLText"/>
              <w:rPr>
                <w:sz w:val="22"/>
              </w:rPr>
            </w:pPr>
            <w:r w:rsidRPr="00995541">
              <w:rPr>
                <w:sz w:val="22"/>
              </w:rPr>
              <w:t xml:space="preserve">Business </w:t>
            </w:r>
          </w:p>
        </w:tc>
        <w:tc>
          <w:tcPr>
            <w:tcW w:w="1691" w:type="dxa"/>
          </w:tcPr>
          <w:p w14:paraId="47C9B3B7" w14:textId="77777777" w:rsidR="00B05CDA" w:rsidRPr="00995541" w:rsidRDefault="00B05CDA">
            <w:pPr>
              <w:pStyle w:val="TBLText"/>
              <w:rPr>
                <w:sz w:val="22"/>
              </w:rPr>
            </w:pPr>
            <w:r w:rsidRPr="00995541">
              <w:rPr>
                <w:sz w:val="22"/>
              </w:rPr>
              <w:t>Community organisations</w:t>
            </w:r>
          </w:p>
        </w:tc>
        <w:tc>
          <w:tcPr>
            <w:tcW w:w="1692" w:type="dxa"/>
          </w:tcPr>
          <w:p w14:paraId="20005BA2" w14:textId="77777777" w:rsidR="00B05CDA" w:rsidRPr="00995541" w:rsidRDefault="00B05CDA">
            <w:pPr>
              <w:pStyle w:val="TBLText"/>
              <w:rPr>
                <w:sz w:val="22"/>
              </w:rPr>
            </w:pPr>
            <w:r w:rsidRPr="00995541">
              <w:rPr>
                <w:sz w:val="22"/>
              </w:rPr>
              <w:t>Total change in cost</w:t>
            </w:r>
          </w:p>
        </w:tc>
      </w:tr>
      <w:tr w:rsidR="00B05CDA" w:rsidRPr="00995541" w14:paraId="5D84D772" w14:textId="77777777">
        <w:trPr>
          <w:trHeight w:val="350"/>
        </w:trPr>
        <w:tc>
          <w:tcPr>
            <w:tcW w:w="2555" w:type="dxa"/>
          </w:tcPr>
          <w:p w14:paraId="3FDDCD60" w14:textId="77777777" w:rsidR="00B05CDA" w:rsidRPr="00995541" w:rsidRDefault="00B05CDA">
            <w:pPr>
              <w:pStyle w:val="TBLText"/>
              <w:rPr>
                <w:sz w:val="22"/>
              </w:rPr>
            </w:pPr>
            <w:r w:rsidRPr="00995541">
              <w:rPr>
                <w:sz w:val="22"/>
              </w:rPr>
              <w:t>Total, by sector</w:t>
            </w:r>
          </w:p>
        </w:tc>
        <w:tc>
          <w:tcPr>
            <w:tcW w:w="1691" w:type="dxa"/>
          </w:tcPr>
          <w:p w14:paraId="3B1CA4EE" w14:textId="77777777" w:rsidR="00B05CDA" w:rsidRPr="00995541" w:rsidRDefault="00B05CDA">
            <w:pPr>
              <w:pStyle w:val="TBLText"/>
              <w:rPr>
                <w:sz w:val="22"/>
              </w:rPr>
            </w:pPr>
            <w:r w:rsidRPr="00995541">
              <w:rPr>
                <w:sz w:val="22"/>
              </w:rPr>
              <w:t>$</w:t>
            </w:r>
            <w:r>
              <w:rPr>
                <w:sz w:val="22"/>
              </w:rPr>
              <w:t>0</w:t>
            </w:r>
          </w:p>
        </w:tc>
        <w:tc>
          <w:tcPr>
            <w:tcW w:w="1691" w:type="dxa"/>
          </w:tcPr>
          <w:p w14:paraId="54F01C1F" w14:textId="77777777" w:rsidR="00B05CDA" w:rsidRPr="00995541" w:rsidRDefault="00B05CDA">
            <w:pPr>
              <w:pStyle w:val="TBLText"/>
              <w:rPr>
                <w:sz w:val="22"/>
              </w:rPr>
            </w:pPr>
            <w:r w:rsidRPr="00995541">
              <w:rPr>
                <w:sz w:val="22"/>
              </w:rPr>
              <w:t>$</w:t>
            </w:r>
            <w:r>
              <w:rPr>
                <w:sz w:val="22"/>
              </w:rPr>
              <w:t>0</w:t>
            </w:r>
          </w:p>
        </w:tc>
        <w:tc>
          <w:tcPr>
            <w:tcW w:w="1691" w:type="dxa"/>
          </w:tcPr>
          <w:p w14:paraId="1A73AD0D" w14:textId="77777777" w:rsidR="00B05CDA" w:rsidRPr="00995541" w:rsidRDefault="00B05CDA">
            <w:pPr>
              <w:pStyle w:val="TBLText"/>
              <w:rPr>
                <w:sz w:val="22"/>
              </w:rPr>
            </w:pPr>
            <w:r w:rsidRPr="00995541">
              <w:rPr>
                <w:sz w:val="22"/>
              </w:rPr>
              <w:t>$</w:t>
            </w:r>
            <w:r>
              <w:rPr>
                <w:sz w:val="22"/>
              </w:rPr>
              <w:t>0</w:t>
            </w:r>
          </w:p>
        </w:tc>
        <w:tc>
          <w:tcPr>
            <w:tcW w:w="1692" w:type="dxa"/>
          </w:tcPr>
          <w:p w14:paraId="62C292C1" w14:textId="77777777" w:rsidR="00B05CDA" w:rsidRPr="00995541" w:rsidRDefault="00B05CDA">
            <w:pPr>
              <w:pStyle w:val="TBLText"/>
              <w:rPr>
                <w:sz w:val="22"/>
              </w:rPr>
            </w:pPr>
            <w:r w:rsidRPr="00995541">
              <w:rPr>
                <w:sz w:val="22"/>
              </w:rPr>
              <w:t>$</w:t>
            </w:r>
            <w:r>
              <w:rPr>
                <w:sz w:val="22"/>
              </w:rPr>
              <w:t>0</w:t>
            </w:r>
          </w:p>
        </w:tc>
      </w:tr>
    </w:tbl>
    <w:p w14:paraId="2278BC16" w14:textId="77777777" w:rsidR="00CC14CD" w:rsidRDefault="00CC14CD" w:rsidP="00D45198"/>
    <w:p w14:paraId="315EBCF5" w14:textId="5C3ED421" w:rsidR="00D34868" w:rsidRDefault="00BF4C13" w:rsidP="00D45198">
      <w:pPr>
        <w:pStyle w:val="Heading2"/>
        <w:numPr>
          <w:ilvl w:val="1"/>
          <w:numId w:val="13"/>
        </w:numPr>
        <w:ind w:left="851" w:hanging="851"/>
        <w:rPr>
          <w:lang w:val="en-US"/>
        </w:rPr>
      </w:pPr>
      <w:r>
        <w:rPr>
          <w:lang w:val="en-US"/>
        </w:rPr>
        <w:t>Option 2:</w:t>
      </w:r>
      <w:r w:rsidR="00D34868">
        <w:rPr>
          <w:lang w:val="en-US"/>
        </w:rPr>
        <w:t xml:space="preserve"> </w:t>
      </w:r>
      <w:r w:rsidR="00D34868" w:rsidRPr="00D34868">
        <w:rPr>
          <w:lang w:val="en-US"/>
        </w:rPr>
        <w:t xml:space="preserve">Reset the rates in increments </w:t>
      </w:r>
    </w:p>
    <w:p w14:paraId="28D9E820" w14:textId="0186FF2B" w:rsidR="00A25C95" w:rsidRDefault="00A25C95" w:rsidP="00D45198">
      <w:pPr>
        <w:rPr>
          <w:rFonts w:cs="Arial"/>
        </w:rPr>
      </w:pPr>
      <w:r>
        <w:rPr>
          <w:rFonts w:cs="Arial"/>
          <w:b/>
          <w:bCs/>
        </w:rPr>
        <w:t>Fairness</w:t>
      </w:r>
    </w:p>
    <w:p w14:paraId="551B7662" w14:textId="77777777" w:rsidR="00BC37F7" w:rsidRDefault="002E198D" w:rsidP="00D45198">
      <w:r>
        <w:t xml:space="preserve">Deeming rates would gradually return to levels where outcomes are </w:t>
      </w:r>
      <w:r w:rsidR="00BC7A74">
        <w:t xml:space="preserve">comparable between </w:t>
      </w:r>
      <w:r>
        <w:t xml:space="preserve">those with income from </w:t>
      </w:r>
      <w:r w:rsidR="006F4B30">
        <w:t xml:space="preserve">financial </w:t>
      </w:r>
      <w:r>
        <w:t>investments and those with income from other sources.</w:t>
      </w:r>
      <w:r w:rsidR="00DC2820">
        <w:t xml:space="preserve"> </w:t>
      </w:r>
    </w:p>
    <w:p w14:paraId="2A5206AD" w14:textId="5B25F9B8" w:rsidR="00370D0A" w:rsidRDefault="00DC2820" w:rsidP="00D45198">
      <w:r>
        <w:t xml:space="preserve">This </w:t>
      </w:r>
      <w:r w:rsidR="00345532">
        <w:t xml:space="preserve">option </w:t>
      </w:r>
      <w:r>
        <w:t xml:space="preserve">would improve horizontal equity within the </w:t>
      </w:r>
      <w:r w:rsidR="00BC37F7">
        <w:t>social security system</w:t>
      </w:r>
      <w:r w:rsidR="00345532">
        <w:t xml:space="preserve"> </w:t>
      </w:r>
      <w:r w:rsidR="0025481E">
        <w:t>a</w:t>
      </w:r>
      <w:r w:rsidR="00BF6413">
        <w:t xml:space="preserve">nd ensure investment income is assessed in a fair way based on the intended operation of each deeming rates and the levels of return reasonably available to pensioners and other income support recipients. </w:t>
      </w:r>
      <w:r w:rsidR="00BC37F7">
        <w:t xml:space="preserve"> </w:t>
      </w:r>
    </w:p>
    <w:p w14:paraId="3055C03D" w14:textId="0285AE6E" w:rsidR="00370D0A" w:rsidRPr="00122FE9" w:rsidRDefault="00370D0A" w:rsidP="00D45198">
      <w:pPr>
        <w:spacing w:after="200" w:line="288" w:lineRule="auto"/>
        <w:rPr>
          <w:b/>
          <w:bCs/>
        </w:rPr>
      </w:pPr>
      <w:r>
        <w:rPr>
          <w:b/>
          <w:bCs/>
        </w:rPr>
        <w:t xml:space="preserve">Community </w:t>
      </w:r>
      <w:r w:rsidR="00E3269F">
        <w:rPr>
          <w:b/>
          <w:bCs/>
        </w:rPr>
        <w:t>confidence and expectations</w:t>
      </w:r>
    </w:p>
    <w:p w14:paraId="64BCB23C" w14:textId="69FFE6D2" w:rsidR="00370D0A" w:rsidRDefault="00370D0A" w:rsidP="00D45198">
      <w:r>
        <w:t xml:space="preserve">The deeming rates would </w:t>
      </w:r>
      <w:r w:rsidR="00102CAE">
        <w:t xml:space="preserve">gradually </w:t>
      </w:r>
      <w:r w:rsidR="00566460">
        <w:t>be increased</w:t>
      </w:r>
      <w:r w:rsidR="007A18BF">
        <w:t xml:space="preserve"> to a level that would be expected to </w:t>
      </w:r>
      <w:r>
        <w:t xml:space="preserve">meet community expectations. </w:t>
      </w:r>
      <w:r w:rsidR="00C30E7F">
        <w:t xml:space="preserve">The </w:t>
      </w:r>
      <w:r w:rsidR="003318D0">
        <w:t xml:space="preserve">speed at which this </w:t>
      </w:r>
      <w:r w:rsidR="00C30E7F">
        <w:t xml:space="preserve">would occur </w:t>
      </w:r>
      <w:r w:rsidR="003318D0">
        <w:t xml:space="preserve">may or may not be considered reasonable by some stakeholders. </w:t>
      </w:r>
    </w:p>
    <w:p w14:paraId="02C46D65" w14:textId="62B1DD25" w:rsidR="00E32364" w:rsidRDefault="0029749E" w:rsidP="00D45198">
      <w:pPr>
        <w:rPr>
          <w:b/>
          <w:bCs/>
        </w:rPr>
      </w:pPr>
      <w:r w:rsidRPr="0029749E">
        <w:rPr>
          <w:b/>
          <w:bCs/>
        </w:rPr>
        <w:t>Predictability</w:t>
      </w:r>
    </w:p>
    <w:p w14:paraId="6F73E738" w14:textId="6366088F" w:rsidR="00FC74F1" w:rsidRDefault="00370D0A" w:rsidP="00D45198">
      <w:r>
        <w:t xml:space="preserve">This approach </w:t>
      </w:r>
      <w:r w:rsidR="007A18BF">
        <w:t>provides</w:t>
      </w:r>
      <w:r>
        <w:t xml:space="preserve"> certainty to those affected by the deeming rates</w:t>
      </w:r>
      <w:r w:rsidR="007A18BF">
        <w:t xml:space="preserve">, by giving them a clear indication </w:t>
      </w:r>
      <w:r w:rsidR="0039370A">
        <w:t>deeming rates will increase until they meet target levels</w:t>
      </w:r>
      <w:r w:rsidR="001B1944">
        <w:t xml:space="preserve"> and will be adjusted each 20 March and 20 September depending on the economic conditions at the time</w:t>
      </w:r>
      <w:r w:rsidR="0039370A">
        <w:t>.</w:t>
      </w:r>
    </w:p>
    <w:p w14:paraId="3522E89F" w14:textId="77777777" w:rsidR="00844563" w:rsidRDefault="00844563" w:rsidP="00844563">
      <w:pPr>
        <w:rPr>
          <w:b/>
          <w:bCs/>
        </w:rPr>
      </w:pPr>
      <w:r>
        <w:rPr>
          <w:b/>
          <w:bCs/>
        </w:rPr>
        <w:t>Reasonable transition</w:t>
      </w:r>
    </w:p>
    <w:p w14:paraId="5ACED77C" w14:textId="1BCA5587" w:rsidR="00DC2820" w:rsidRPr="00D34868" w:rsidRDefault="00E41B18" w:rsidP="00844563">
      <w:r>
        <w:t>Incrementally resetting</w:t>
      </w:r>
      <w:r w:rsidR="00DC2820">
        <w:t xml:space="preserve"> the deeming rates would allow affected </w:t>
      </w:r>
      <w:r w:rsidR="001B1944">
        <w:t xml:space="preserve">individuals </w:t>
      </w:r>
      <w:r w:rsidR="00DC2820">
        <w:t xml:space="preserve">time to adjust before the rates are fully reset to reflect available investment returns. </w:t>
      </w:r>
      <w:r w:rsidR="00DF6487">
        <w:t xml:space="preserve">Applying the changes to the deeming rates on 20 September 2025 would allow payment indexation to partially or fully offset the impact on </w:t>
      </w:r>
      <w:r w:rsidR="00D91F75">
        <w:t xml:space="preserve">affected recipients’ payment rates. </w:t>
      </w:r>
    </w:p>
    <w:p w14:paraId="7A638C10" w14:textId="77777777" w:rsidR="002C4B77" w:rsidRPr="0086095B" w:rsidRDefault="002C4B77" w:rsidP="002C4B77">
      <w:pPr>
        <w:rPr>
          <w:b/>
        </w:rPr>
      </w:pPr>
      <w:r w:rsidRPr="0086095B">
        <w:rPr>
          <w:b/>
        </w:rPr>
        <w:t>Impact</w:t>
      </w:r>
    </w:p>
    <w:p w14:paraId="2543A37F" w14:textId="0C2190E8" w:rsidR="000602DC" w:rsidRDefault="000602DC" w:rsidP="000602DC">
      <w:pPr>
        <w:rPr>
          <w:rFonts w:cs="Arial"/>
        </w:rPr>
      </w:pPr>
      <w:r w:rsidRPr="00AD0E71">
        <w:rPr>
          <w:rFonts w:cs="Arial"/>
        </w:rPr>
        <w:t xml:space="preserve">This option would impact all recipients whose payment rate is affected by deemed income, as well as </w:t>
      </w:r>
      <w:r w:rsidR="009E307D">
        <w:rPr>
          <w:rFonts w:cs="Arial"/>
        </w:rPr>
        <w:t xml:space="preserve">a small number of </w:t>
      </w:r>
      <w:r w:rsidRPr="00AD0E71">
        <w:rPr>
          <w:rFonts w:cs="Arial"/>
        </w:rPr>
        <w:t>recipients who would start receiving an income-tested part rate of payment as a result of the deeming rate increase.</w:t>
      </w:r>
      <w:r>
        <w:rPr>
          <w:rFonts w:cs="Arial"/>
        </w:rPr>
        <w:t xml:space="preserve"> </w:t>
      </w:r>
    </w:p>
    <w:p w14:paraId="580133A1" w14:textId="02F6F789" w:rsidR="002C4B77" w:rsidRDefault="00F364B5" w:rsidP="002C4B77">
      <w:r>
        <w:t>Table 3</w:t>
      </w:r>
      <w:r w:rsidR="002C4B77">
        <w:t xml:space="preserve"> shows the increase in deemed income assessed per fortnight for </w:t>
      </w:r>
      <w:r w:rsidR="00455D6C">
        <w:t xml:space="preserve">recipients with </w:t>
      </w:r>
      <w:r w:rsidR="002C4B77">
        <w:t xml:space="preserve">different levels of financial assets when the deeming rates </w:t>
      </w:r>
      <w:r w:rsidR="008B4E77">
        <w:t xml:space="preserve">are increased </w:t>
      </w:r>
      <w:r w:rsidR="00933A5B">
        <w:t>under this option</w:t>
      </w:r>
      <w:r w:rsidR="002C4B77">
        <w:t xml:space="preserve">. Under the income test, every dollar of income (including deemed) over the income free area for the payment would decrease </w:t>
      </w:r>
      <w:r w:rsidR="00933A5B">
        <w:t>a recipient’s</w:t>
      </w:r>
      <w:r w:rsidR="002C4B77">
        <w:t xml:space="preserve"> payment rate by </w:t>
      </w:r>
      <w:r w:rsidR="00AD09A4">
        <w:t xml:space="preserve">the relevant </w:t>
      </w:r>
      <w:r w:rsidR="00DD5D6E">
        <w:t>income test</w:t>
      </w:r>
      <w:r w:rsidR="00AD09A4">
        <w:t xml:space="preserve"> taper </w:t>
      </w:r>
      <w:r w:rsidR="00933A5B">
        <w:t>amount</w:t>
      </w:r>
      <w:r w:rsidR="002C4B77" w:rsidRPr="00810C55">
        <w:t xml:space="preserve"> </w:t>
      </w:r>
      <w:r w:rsidR="00933A5B">
        <w:t>each</w:t>
      </w:r>
      <w:r w:rsidR="002C4B77">
        <w:t xml:space="preserve"> fortnight.</w:t>
      </w:r>
      <w:r w:rsidR="000A3FD1">
        <w:t xml:space="preserve"> </w:t>
      </w:r>
    </w:p>
    <w:p w14:paraId="66A43B0F" w14:textId="0A3121BF" w:rsidR="00277663" w:rsidRPr="008C26C3" w:rsidRDefault="00277663" w:rsidP="008C26C3">
      <w:pPr>
        <w:spacing w:after="0"/>
        <w:rPr>
          <w:rFonts w:cs="Arial"/>
          <w:b/>
        </w:rPr>
      </w:pPr>
      <w:r w:rsidRPr="008C26C3">
        <w:rPr>
          <w:rFonts w:cs="Arial"/>
          <w:b/>
        </w:rPr>
        <w:lastRenderedPageBreak/>
        <w:t xml:space="preserve">Table </w:t>
      </w:r>
      <w:r w:rsidR="00F364B5">
        <w:rPr>
          <w:rFonts w:cs="Arial"/>
          <w:b/>
          <w:bCs/>
        </w:rPr>
        <w:t>3</w:t>
      </w:r>
      <w:r w:rsidRPr="008C26C3">
        <w:rPr>
          <w:rFonts w:cs="Arial"/>
          <w:b/>
        </w:rPr>
        <w:t>: Increase in deemed income for single income support recipients with different assets levels</w:t>
      </w:r>
      <w:r w:rsidR="00526871">
        <w:rPr>
          <w:rFonts w:cs="Arial"/>
          <w:b/>
        </w:rPr>
        <w:t xml:space="preserve"> </w:t>
      </w:r>
    </w:p>
    <w:tbl>
      <w:tblPr>
        <w:tblStyle w:val="Custom1"/>
        <w:tblW w:w="0" w:type="auto"/>
        <w:tblBorders>
          <w:insideH w:val="single" w:sz="4" w:space="0" w:color="auto"/>
          <w:insideV w:val="single" w:sz="4" w:space="0" w:color="auto"/>
        </w:tblBorders>
        <w:tblLook w:val="04A0" w:firstRow="1" w:lastRow="0" w:firstColumn="1" w:lastColumn="0" w:noHBand="0" w:noVBand="1"/>
      </w:tblPr>
      <w:tblGrid>
        <w:gridCol w:w="2694"/>
        <w:gridCol w:w="2311"/>
        <w:gridCol w:w="2311"/>
        <w:gridCol w:w="2312"/>
      </w:tblGrid>
      <w:tr w:rsidR="006B2B84" w14:paraId="7ABD82E2" w14:textId="77777777">
        <w:trPr>
          <w:cnfStyle w:val="100000000000" w:firstRow="1" w:lastRow="0" w:firstColumn="0" w:lastColumn="0" w:oddVBand="0" w:evenVBand="0" w:oddHBand="0" w:evenHBand="0" w:firstRowFirstColumn="0" w:firstRowLastColumn="0" w:lastRowFirstColumn="0" w:lastRowLastColumn="0"/>
          <w:cantSplit/>
        </w:trPr>
        <w:tc>
          <w:tcPr>
            <w:tcW w:w="2694" w:type="dxa"/>
          </w:tcPr>
          <w:p w14:paraId="41267E08" w14:textId="77777777" w:rsidR="002C4B77" w:rsidRDefault="002C4B77" w:rsidP="00D45198">
            <w:pPr>
              <w:spacing w:after="0"/>
            </w:pPr>
            <w:r>
              <w:t>Financial assets amount</w:t>
            </w:r>
          </w:p>
        </w:tc>
        <w:tc>
          <w:tcPr>
            <w:tcW w:w="2311" w:type="dxa"/>
          </w:tcPr>
          <w:p w14:paraId="7CBDCAE0" w14:textId="77777777" w:rsidR="002C4B77" w:rsidRDefault="002C4B77" w:rsidP="00D45198">
            <w:pPr>
              <w:spacing w:after="0"/>
            </w:pPr>
            <w:r>
              <w:t>Current deemed income (deeming rates at 0.25% and 2.25%) (per fortnight)</w:t>
            </w:r>
          </w:p>
        </w:tc>
        <w:tc>
          <w:tcPr>
            <w:tcW w:w="2311" w:type="dxa"/>
          </w:tcPr>
          <w:p w14:paraId="181CE8A4" w14:textId="77777777" w:rsidR="002C4B77" w:rsidRDefault="002C4B77" w:rsidP="00D45198">
            <w:pPr>
              <w:spacing w:after="0"/>
            </w:pPr>
            <w:r>
              <w:t>Deemed income if deeming rates were 0.75% and 2.75% (per fortnight)</w:t>
            </w:r>
          </w:p>
        </w:tc>
        <w:tc>
          <w:tcPr>
            <w:tcW w:w="2312" w:type="dxa"/>
          </w:tcPr>
          <w:p w14:paraId="28159965" w14:textId="77777777" w:rsidR="002C4B77" w:rsidRDefault="002C4B77" w:rsidP="00D45198">
            <w:pPr>
              <w:spacing w:after="0"/>
            </w:pPr>
            <w:r>
              <w:t>Change in deemed income to be assessed under the income test (per fortnight)</w:t>
            </w:r>
          </w:p>
        </w:tc>
      </w:tr>
      <w:tr w:rsidR="006B2B84" w14:paraId="1431B911" w14:textId="77777777">
        <w:trPr>
          <w:cnfStyle w:val="000000100000" w:firstRow="0" w:lastRow="0" w:firstColumn="0" w:lastColumn="0" w:oddVBand="0" w:evenVBand="0" w:oddHBand="1" w:evenHBand="0" w:firstRowFirstColumn="0" w:firstRowLastColumn="0" w:lastRowFirstColumn="0" w:lastRowLastColumn="0"/>
          <w:cantSplit/>
        </w:trPr>
        <w:tc>
          <w:tcPr>
            <w:tcW w:w="2694" w:type="dxa"/>
          </w:tcPr>
          <w:p w14:paraId="2CC649C7" w14:textId="77777777" w:rsidR="002C4B77" w:rsidRDefault="002C4B77" w:rsidP="00D45198">
            <w:pPr>
              <w:spacing w:after="0"/>
            </w:pPr>
            <w:r>
              <w:t>$20,000</w:t>
            </w:r>
          </w:p>
        </w:tc>
        <w:tc>
          <w:tcPr>
            <w:tcW w:w="2311" w:type="dxa"/>
          </w:tcPr>
          <w:p w14:paraId="4E0932DB" w14:textId="77777777" w:rsidR="002C4B77" w:rsidRDefault="002C4B77" w:rsidP="00D45198">
            <w:pPr>
              <w:spacing w:after="0"/>
            </w:pPr>
            <w:r w:rsidRPr="00F76063">
              <w:t>$1.92</w:t>
            </w:r>
          </w:p>
        </w:tc>
        <w:tc>
          <w:tcPr>
            <w:tcW w:w="2311" w:type="dxa"/>
          </w:tcPr>
          <w:p w14:paraId="51F0D40C" w14:textId="77777777" w:rsidR="002C4B77" w:rsidRDefault="002C4B77" w:rsidP="00D45198">
            <w:pPr>
              <w:spacing w:after="0"/>
            </w:pPr>
            <w:r w:rsidRPr="00F76063">
              <w:t>$5.77</w:t>
            </w:r>
          </w:p>
        </w:tc>
        <w:tc>
          <w:tcPr>
            <w:tcW w:w="2312" w:type="dxa"/>
          </w:tcPr>
          <w:p w14:paraId="1F03BE0F" w14:textId="77777777" w:rsidR="002C4B77" w:rsidRDefault="002C4B77" w:rsidP="00D45198">
            <w:pPr>
              <w:spacing w:after="0"/>
            </w:pPr>
            <w:r>
              <w:t>+</w:t>
            </w:r>
            <w:r w:rsidRPr="00F76063">
              <w:t>$3.85</w:t>
            </w:r>
          </w:p>
        </w:tc>
      </w:tr>
      <w:tr w:rsidR="002C4B77" w14:paraId="2D0AA0A4" w14:textId="77777777" w:rsidTr="00BF7C2C">
        <w:trPr>
          <w:cantSplit/>
          <w:trHeight w:val="234"/>
        </w:trPr>
        <w:tc>
          <w:tcPr>
            <w:tcW w:w="2694" w:type="dxa"/>
          </w:tcPr>
          <w:p w14:paraId="064D72F2" w14:textId="279D2C2F" w:rsidR="002C4B77" w:rsidRDefault="002C4B77" w:rsidP="00D45198">
            <w:pPr>
              <w:spacing w:after="0"/>
            </w:pPr>
            <w:r>
              <w:t>$64,200</w:t>
            </w:r>
          </w:p>
        </w:tc>
        <w:tc>
          <w:tcPr>
            <w:tcW w:w="2311" w:type="dxa"/>
          </w:tcPr>
          <w:p w14:paraId="643F6C7A" w14:textId="77777777" w:rsidR="002C4B77" w:rsidRDefault="002C4B77" w:rsidP="00D45198">
            <w:pPr>
              <w:spacing w:after="0"/>
            </w:pPr>
            <w:r w:rsidRPr="00F76063">
              <w:t>$6.17</w:t>
            </w:r>
          </w:p>
        </w:tc>
        <w:tc>
          <w:tcPr>
            <w:tcW w:w="2311" w:type="dxa"/>
          </w:tcPr>
          <w:p w14:paraId="703177DB" w14:textId="77777777" w:rsidR="002C4B77" w:rsidRDefault="002C4B77" w:rsidP="00D45198">
            <w:pPr>
              <w:spacing w:after="0"/>
            </w:pPr>
            <w:r w:rsidRPr="00F76063">
              <w:t>$18.52</w:t>
            </w:r>
          </w:p>
        </w:tc>
        <w:tc>
          <w:tcPr>
            <w:tcW w:w="2312" w:type="dxa"/>
          </w:tcPr>
          <w:p w14:paraId="34D01035" w14:textId="77777777" w:rsidR="002C4B77" w:rsidRDefault="002C4B77" w:rsidP="00D45198">
            <w:pPr>
              <w:spacing w:after="0"/>
            </w:pPr>
            <w:r>
              <w:t>+</w:t>
            </w:r>
            <w:r w:rsidRPr="00F76063">
              <w:t>$12.35</w:t>
            </w:r>
          </w:p>
        </w:tc>
      </w:tr>
      <w:tr w:rsidR="006B2B84" w14:paraId="429C65A5" w14:textId="77777777">
        <w:trPr>
          <w:cnfStyle w:val="000000100000" w:firstRow="0" w:lastRow="0" w:firstColumn="0" w:lastColumn="0" w:oddVBand="0" w:evenVBand="0" w:oddHBand="1" w:evenHBand="0" w:firstRowFirstColumn="0" w:firstRowLastColumn="0" w:lastRowFirstColumn="0" w:lastRowLastColumn="0"/>
          <w:cantSplit/>
        </w:trPr>
        <w:tc>
          <w:tcPr>
            <w:tcW w:w="2694" w:type="dxa"/>
          </w:tcPr>
          <w:p w14:paraId="0BC16FD3" w14:textId="77777777" w:rsidR="002C4B77" w:rsidRDefault="002C4B77" w:rsidP="00D45198">
            <w:pPr>
              <w:spacing w:after="0"/>
            </w:pPr>
            <w:r>
              <w:t>$85,000</w:t>
            </w:r>
          </w:p>
        </w:tc>
        <w:tc>
          <w:tcPr>
            <w:tcW w:w="2311" w:type="dxa"/>
          </w:tcPr>
          <w:p w14:paraId="16EBA6A1" w14:textId="77777777" w:rsidR="002C4B77" w:rsidRPr="00F76063" w:rsidRDefault="002C4B77" w:rsidP="00D45198">
            <w:pPr>
              <w:spacing w:after="0"/>
            </w:pPr>
            <w:r>
              <w:t>$24.17</w:t>
            </w:r>
          </w:p>
        </w:tc>
        <w:tc>
          <w:tcPr>
            <w:tcW w:w="2311" w:type="dxa"/>
          </w:tcPr>
          <w:p w14:paraId="69643212" w14:textId="77777777" w:rsidR="002C4B77" w:rsidRPr="00F76063" w:rsidRDefault="002C4B77" w:rsidP="00D45198">
            <w:pPr>
              <w:spacing w:after="0"/>
            </w:pPr>
            <w:r>
              <w:t>$40.52</w:t>
            </w:r>
          </w:p>
        </w:tc>
        <w:tc>
          <w:tcPr>
            <w:tcW w:w="2312" w:type="dxa"/>
          </w:tcPr>
          <w:p w14:paraId="43E1D699" w14:textId="77777777" w:rsidR="002C4B77" w:rsidRPr="00F76063" w:rsidRDefault="002C4B77" w:rsidP="00D45198">
            <w:pPr>
              <w:spacing w:after="0"/>
            </w:pPr>
            <w:r>
              <w:t>+$16.35</w:t>
            </w:r>
          </w:p>
        </w:tc>
      </w:tr>
      <w:tr w:rsidR="002C4B77" w14:paraId="56D93DEA" w14:textId="77777777" w:rsidTr="00BF7C2C">
        <w:trPr>
          <w:cantSplit/>
          <w:trHeight w:val="17"/>
        </w:trPr>
        <w:tc>
          <w:tcPr>
            <w:tcW w:w="2694" w:type="dxa"/>
          </w:tcPr>
          <w:p w14:paraId="77573904" w14:textId="77777777" w:rsidR="002C4B77" w:rsidRDefault="002C4B77" w:rsidP="00D45198">
            <w:pPr>
              <w:spacing w:after="0"/>
            </w:pPr>
            <w:r>
              <w:t>$120,000</w:t>
            </w:r>
          </w:p>
        </w:tc>
        <w:tc>
          <w:tcPr>
            <w:tcW w:w="2311" w:type="dxa"/>
          </w:tcPr>
          <w:p w14:paraId="68334AAF" w14:textId="77777777" w:rsidR="002C4B77" w:rsidRDefault="002C4B77" w:rsidP="00D45198">
            <w:pPr>
              <w:spacing w:after="0"/>
            </w:pPr>
            <w:r w:rsidRPr="00F76063">
              <w:t>$54.46</w:t>
            </w:r>
          </w:p>
        </w:tc>
        <w:tc>
          <w:tcPr>
            <w:tcW w:w="2311" w:type="dxa"/>
          </w:tcPr>
          <w:p w14:paraId="12C4FBB6" w14:textId="77777777" w:rsidR="002C4B77" w:rsidRDefault="002C4B77" w:rsidP="00D45198">
            <w:pPr>
              <w:spacing w:after="0"/>
            </w:pPr>
            <w:r w:rsidRPr="00F76063">
              <w:t>$77.54</w:t>
            </w:r>
          </w:p>
        </w:tc>
        <w:tc>
          <w:tcPr>
            <w:tcW w:w="2312" w:type="dxa"/>
          </w:tcPr>
          <w:p w14:paraId="29F92A51" w14:textId="77777777" w:rsidR="002C4B77" w:rsidRDefault="002C4B77" w:rsidP="00D45198">
            <w:pPr>
              <w:spacing w:after="0"/>
            </w:pPr>
            <w:r>
              <w:t>+</w:t>
            </w:r>
            <w:r w:rsidRPr="00F76063">
              <w:t>$23.08</w:t>
            </w:r>
          </w:p>
        </w:tc>
      </w:tr>
    </w:tbl>
    <w:p w14:paraId="672927B3" w14:textId="77777777" w:rsidR="002C4B77" w:rsidRDefault="002C4B77" w:rsidP="002C4B77"/>
    <w:p w14:paraId="75617213" w14:textId="4391893F" w:rsidR="0067239E" w:rsidRDefault="00DE4C5B" w:rsidP="002C4B77">
      <w:pPr>
        <w:rPr>
          <w:rFonts w:cs="Arial"/>
        </w:rPr>
      </w:pPr>
      <w:r w:rsidRPr="00DE4C5B">
        <w:rPr>
          <w:rFonts w:cs="Arial"/>
        </w:rPr>
        <w:t xml:space="preserve">The two-rate structure of </w:t>
      </w:r>
      <w:r w:rsidR="005D0BC1">
        <w:rPr>
          <w:rFonts w:cs="Arial"/>
        </w:rPr>
        <w:t xml:space="preserve">the </w:t>
      </w:r>
      <w:r w:rsidRPr="00DE4C5B">
        <w:rPr>
          <w:rFonts w:cs="Arial"/>
        </w:rPr>
        <w:t xml:space="preserve">deeming </w:t>
      </w:r>
      <w:r w:rsidR="006F048F">
        <w:rPr>
          <w:rFonts w:cs="Arial"/>
        </w:rPr>
        <w:t>rates</w:t>
      </w:r>
      <w:r w:rsidRPr="00DE4C5B">
        <w:rPr>
          <w:rFonts w:cs="Arial"/>
        </w:rPr>
        <w:t xml:space="preserve"> means the upper deeming rate only applies to a portion of </w:t>
      </w:r>
      <w:r>
        <w:rPr>
          <w:rFonts w:cs="Arial"/>
        </w:rPr>
        <w:t>a</w:t>
      </w:r>
      <w:r w:rsidR="003F6373">
        <w:rPr>
          <w:rFonts w:cs="Arial"/>
        </w:rPr>
        <w:t>n income support</w:t>
      </w:r>
      <w:r w:rsidRPr="00DE4C5B">
        <w:rPr>
          <w:rFonts w:cs="Arial"/>
        </w:rPr>
        <w:t xml:space="preserve"> </w:t>
      </w:r>
      <w:r w:rsidR="00166E35">
        <w:rPr>
          <w:rFonts w:cs="Arial"/>
        </w:rPr>
        <w:t>recipient</w:t>
      </w:r>
      <w:r w:rsidR="00A957E7">
        <w:rPr>
          <w:rFonts w:cs="Arial"/>
        </w:rPr>
        <w:t xml:space="preserve">’s </w:t>
      </w:r>
      <w:r w:rsidRPr="00DE4C5B">
        <w:rPr>
          <w:rFonts w:cs="Arial"/>
        </w:rPr>
        <w:t>financial investments, rather t</w:t>
      </w:r>
      <w:r w:rsidR="00A957E7">
        <w:rPr>
          <w:rFonts w:cs="Arial"/>
        </w:rPr>
        <w:t>han the total</w:t>
      </w:r>
      <w:r w:rsidRPr="00DE4C5B">
        <w:rPr>
          <w:rFonts w:cs="Arial"/>
        </w:rPr>
        <w:t xml:space="preserve">. </w:t>
      </w:r>
      <w:r w:rsidR="006C4688">
        <w:rPr>
          <w:rFonts w:cs="Arial"/>
        </w:rPr>
        <w:t>Table 4 s</w:t>
      </w:r>
      <w:r w:rsidR="0004450A">
        <w:rPr>
          <w:rFonts w:cs="Arial"/>
        </w:rPr>
        <w:t xml:space="preserve">hows the </w:t>
      </w:r>
      <w:r w:rsidR="005F643A">
        <w:rPr>
          <w:rFonts w:cs="Arial"/>
        </w:rPr>
        <w:t xml:space="preserve">effective </w:t>
      </w:r>
      <w:r w:rsidR="0067239E">
        <w:rPr>
          <w:rFonts w:cs="Arial"/>
        </w:rPr>
        <w:t xml:space="preserve">rate of return a recipient would need to achieve </w:t>
      </w:r>
      <w:r w:rsidR="00693A74">
        <w:rPr>
          <w:rFonts w:cs="Arial"/>
        </w:rPr>
        <w:t xml:space="preserve">across their investment portfolio </w:t>
      </w:r>
      <w:r w:rsidR="00C220B4">
        <w:rPr>
          <w:rFonts w:cs="Arial"/>
        </w:rPr>
        <w:t>to match</w:t>
      </w:r>
      <w:r w:rsidR="004B1BB6">
        <w:rPr>
          <w:rFonts w:cs="Arial"/>
        </w:rPr>
        <w:t xml:space="preserve"> their</w:t>
      </w:r>
      <w:r w:rsidR="00C220B4">
        <w:rPr>
          <w:rFonts w:cs="Arial"/>
        </w:rPr>
        <w:t xml:space="preserve"> </w:t>
      </w:r>
      <w:r w:rsidR="00021638">
        <w:rPr>
          <w:rFonts w:cs="Arial"/>
        </w:rPr>
        <w:t>deem</w:t>
      </w:r>
      <w:r w:rsidR="004B1BB6">
        <w:rPr>
          <w:rFonts w:cs="Arial"/>
        </w:rPr>
        <w:t>ed returns</w:t>
      </w:r>
      <w:r w:rsidR="0067239E">
        <w:rPr>
          <w:rFonts w:cs="Arial"/>
        </w:rPr>
        <w:t xml:space="preserve"> under this option, </w:t>
      </w:r>
      <w:r w:rsidR="00C220B4">
        <w:rPr>
          <w:rFonts w:cs="Arial"/>
        </w:rPr>
        <w:t xml:space="preserve">depending </w:t>
      </w:r>
      <w:r w:rsidR="008B4E77">
        <w:rPr>
          <w:rFonts w:cs="Arial"/>
        </w:rPr>
        <w:t xml:space="preserve">on </w:t>
      </w:r>
      <w:r w:rsidR="003557AE">
        <w:rPr>
          <w:rFonts w:cs="Arial"/>
        </w:rPr>
        <w:t>the total amount of</w:t>
      </w:r>
      <w:r w:rsidR="00693A74">
        <w:rPr>
          <w:rFonts w:cs="Arial"/>
        </w:rPr>
        <w:t xml:space="preserve"> their</w:t>
      </w:r>
      <w:r w:rsidR="003557AE">
        <w:rPr>
          <w:rFonts w:cs="Arial"/>
        </w:rPr>
        <w:t xml:space="preserve"> financial assets</w:t>
      </w:r>
      <w:r w:rsidR="00693A74">
        <w:rPr>
          <w:rFonts w:cs="Arial"/>
        </w:rPr>
        <w:t xml:space="preserve">. </w:t>
      </w:r>
    </w:p>
    <w:p w14:paraId="0B934319" w14:textId="407898B6" w:rsidR="00D457DE" w:rsidRPr="00810C55" w:rsidRDefault="00240DFE" w:rsidP="002C4B77">
      <w:pPr>
        <w:rPr>
          <w:rFonts w:cs="Arial"/>
        </w:rPr>
      </w:pPr>
      <w:r>
        <w:rPr>
          <w:rFonts w:cs="Arial"/>
        </w:rPr>
        <w:t xml:space="preserve">For example, </w:t>
      </w:r>
      <w:r w:rsidR="00991237">
        <w:rPr>
          <w:rFonts w:cs="Arial"/>
        </w:rPr>
        <w:t>w</w:t>
      </w:r>
      <w:r w:rsidR="00693A74">
        <w:rPr>
          <w:rFonts w:cs="Arial"/>
        </w:rPr>
        <w:t>ith</w:t>
      </w:r>
      <w:r w:rsidR="00C10412">
        <w:rPr>
          <w:rFonts w:cs="Arial"/>
        </w:rPr>
        <w:t xml:space="preserve"> the lower deeming rate set at 0.75 per cent and the upper deeming rate set at 2.75 per cent, </w:t>
      </w:r>
      <w:r w:rsidR="00DE4C5B" w:rsidRPr="00DE4C5B">
        <w:rPr>
          <w:rFonts w:cs="Arial"/>
        </w:rPr>
        <w:t>a single pensioner with $100,000 in financial assets would need to achieve a</w:t>
      </w:r>
      <w:r w:rsidR="00EF2CAC">
        <w:rPr>
          <w:rFonts w:cs="Arial"/>
        </w:rPr>
        <w:t>n effective</w:t>
      </w:r>
      <w:r w:rsidR="00DE4C5B" w:rsidRPr="00DE4C5B">
        <w:rPr>
          <w:rFonts w:cs="Arial"/>
        </w:rPr>
        <w:t xml:space="preserve"> rate of </w:t>
      </w:r>
      <w:r w:rsidR="00DE4C5B" w:rsidRPr="002C2DB8">
        <w:rPr>
          <w:rFonts w:cs="Arial"/>
        </w:rPr>
        <w:t>return of 1.</w:t>
      </w:r>
      <w:r w:rsidR="002C2DB8" w:rsidRPr="00D45198">
        <w:rPr>
          <w:rFonts w:cs="Arial"/>
        </w:rPr>
        <w:t>24</w:t>
      </w:r>
      <w:r w:rsidR="00DE4C5B" w:rsidRPr="00DE4C5B">
        <w:rPr>
          <w:rFonts w:cs="Arial"/>
        </w:rPr>
        <w:t xml:space="preserve"> per cent to match the</w:t>
      </w:r>
      <w:r w:rsidR="00164866">
        <w:rPr>
          <w:rFonts w:cs="Arial"/>
        </w:rPr>
        <w:t>ir</w:t>
      </w:r>
      <w:r w:rsidR="00DE4C5B" w:rsidRPr="00DE4C5B">
        <w:rPr>
          <w:rFonts w:cs="Arial"/>
        </w:rPr>
        <w:t xml:space="preserve"> </w:t>
      </w:r>
      <w:r w:rsidR="00164866">
        <w:rPr>
          <w:rFonts w:cs="Arial"/>
        </w:rPr>
        <w:t>deemed returns</w:t>
      </w:r>
      <w:r w:rsidR="00DE4C5B" w:rsidRPr="00DE4C5B">
        <w:rPr>
          <w:rFonts w:cs="Arial"/>
        </w:rPr>
        <w:t>.</w:t>
      </w:r>
      <w:r w:rsidR="00693A74">
        <w:rPr>
          <w:rFonts w:cs="Arial"/>
        </w:rPr>
        <w:t xml:space="preserve"> With $</w:t>
      </w:r>
      <w:r w:rsidR="004872D5">
        <w:rPr>
          <w:rFonts w:cs="Arial"/>
        </w:rPr>
        <w:t>15</w:t>
      </w:r>
      <w:r w:rsidR="00693A74">
        <w:rPr>
          <w:rFonts w:cs="Arial"/>
        </w:rPr>
        <w:t>0</w:t>
      </w:r>
      <w:r w:rsidR="009B1D27">
        <w:rPr>
          <w:rFonts w:cs="Arial"/>
        </w:rPr>
        <w:t>,000 in financial assets, they would need to achieve a</w:t>
      </w:r>
      <w:r w:rsidR="0082476C">
        <w:rPr>
          <w:rFonts w:cs="Arial"/>
        </w:rPr>
        <w:t>n effective</w:t>
      </w:r>
      <w:r w:rsidR="009B1D27">
        <w:rPr>
          <w:rFonts w:cs="Arial"/>
        </w:rPr>
        <w:t xml:space="preserve"> rate of return of </w:t>
      </w:r>
      <w:r w:rsidR="004872D5">
        <w:rPr>
          <w:rFonts w:cs="Arial"/>
        </w:rPr>
        <w:t xml:space="preserve">1.89 per cent. </w:t>
      </w:r>
    </w:p>
    <w:p w14:paraId="52C8FF29" w14:textId="487AFE83" w:rsidR="00F90B3A" w:rsidRPr="008C26C3" w:rsidRDefault="00F90B3A" w:rsidP="00F90B3A">
      <w:pPr>
        <w:spacing w:after="0"/>
        <w:rPr>
          <w:rFonts w:cs="Arial"/>
          <w:b/>
        </w:rPr>
      </w:pPr>
      <w:r w:rsidRPr="008C26C3">
        <w:rPr>
          <w:rFonts w:cs="Arial"/>
          <w:b/>
        </w:rPr>
        <w:t xml:space="preserve">Table </w:t>
      </w:r>
      <w:r>
        <w:rPr>
          <w:rFonts w:cs="Arial"/>
          <w:b/>
        </w:rPr>
        <w:t>4</w:t>
      </w:r>
      <w:r w:rsidRPr="008C26C3">
        <w:rPr>
          <w:rFonts w:cs="Arial"/>
          <w:b/>
        </w:rPr>
        <w:t xml:space="preserve">: </w:t>
      </w:r>
      <w:r>
        <w:rPr>
          <w:rFonts w:cs="Arial"/>
          <w:b/>
        </w:rPr>
        <w:t>Rates of return on investment to match the deeming rates of 0.75 per cent and 2.75</w:t>
      </w:r>
      <w:r w:rsidR="00CC2529">
        <w:rPr>
          <w:rFonts w:cs="Arial"/>
          <w:b/>
        </w:rPr>
        <w:t> </w:t>
      </w:r>
      <w:r>
        <w:rPr>
          <w:rFonts w:cs="Arial"/>
          <w:b/>
        </w:rPr>
        <w:t>per</w:t>
      </w:r>
      <w:r w:rsidR="00CC2529">
        <w:rPr>
          <w:rFonts w:cs="Arial"/>
          <w:b/>
        </w:rPr>
        <w:t> </w:t>
      </w:r>
      <w:r>
        <w:rPr>
          <w:rFonts w:cs="Arial"/>
          <w:b/>
        </w:rPr>
        <w:t xml:space="preserve">cent </w:t>
      </w:r>
    </w:p>
    <w:tbl>
      <w:tblPr>
        <w:tblStyle w:val="Custom1"/>
        <w:tblW w:w="0" w:type="auto"/>
        <w:jc w:val="center"/>
        <w:tblBorders>
          <w:insideH w:val="single" w:sz="4" w:space="0" w:color="auto"/>
          <w:insideV w:val="single" w:sz="4" w:space="0" w:color="auto"/>
        </w:tblBorders>
        <w:tblLook w:val="04A0" w:firstRow="1" w:lastRow="0" w:firstColumn="1" w:lastColumn="0" w:noHBand="0" w:noVBand="1"/>
      </w:tblPr>
      <w:tblGrid>
        <w:gridCol w:w="2694"/>
        <w:gridCol w:w="2835"/>
      </w:tblGrid>
      <w:tr w:rsidR="001A6E8B" w14:paraId="498E6374" w14:textId="77777777" w:rsidTr="00D4777B">
        <w:trPr>
          <w:cnfStyle w:val="100000000000" w:firstRow="1" w:lastRow="0" w:firstColumn="0" w:lastColumn="0" w:oddVBand="0" w:evenVBand="0" w:oddHBand="0" w:evenHBand="0" w:firstRowFirstColumn="0" w:firstRowLastColumn="0" w:lastRowFirstColumn="0" w:lastRowLastColumn="0"/>
          <w:cantSplit/>
          <w:jc w:val="center"/>
        </w:trPr>
        <w:tc>
          <w:tcPr>
            <w:tcW w:w="2694" w:type="dxa"/>
          </w:tcPr>
          <w:p w14:paraId="03F1AD5A" w14:textId="77777777" w:rsidR="00F90B3A" w:rsidRDefault="00F90B3A" w:rsidP="004D6D61">
            <w:pPr>
              <w:spacing w:before="40" w:after="40"/>
            </w:pPr>
            <w:r>
              <w:t>Financial assets amount</w:t>
            </w:r>
          </w:p>
        </w:tc>
        <w:tc>
          <w:tcPr>
            <w:tcW w:w="2835" w:type="dxa"/>
          </w:tcPr>
          <w:p w14:paraId="699406EC" w14:textId="4810A4C6" w:rsidR="00F90B3A" w:rsidRDefault="00D4777B" w:rsidP="004D6D61">
            <w:pPr>
              <w:spacing w:before="40" w:after="40"/>
              <w:jc w:val="center"/>
            </w:pPr>
            <w:r>
              <w:t>Effective r</w:t>
            </w:r>
            <w:r w:rsidR="00F90B3A">
              <w:t>ate of return</w:t>
            </w:r>
          </w:p>
        </w:tc>
      </w:tr>
      <w:tr w:rsidR="001A6E8B" w14:paraId="1BF767F6" w14:textId="77777777" w:rsidTr="00D4777B">
        <w:trPr>
          <w:cnfStyle w:val="000000100000" w:firstRow="0" w:lastRow="0" w:firstColumn="0" w:lastColumn="0" w:oddVBand="0" w:evenVBand="0" w:oddHBand="1" w:evenHBand="0" w:firstRowFirstColumn="0" w:firstRowLastColumn="0" w:lastRowFirstColumn="0" w:lastRowLastColumn="0"/>
          <w:cantSplit/>
          <w:jc w:val="center"/>
        </w:trPr>
        <w:tc>
          <w:tcPr>
            <w:tcW w:w="2694" w:type="dxa"/>
          </w:tcPr>
          <w:p w14:paraId="768A226B" w14:textId="29825132" w:rsidR="00F90B3A" w:rsidRDefault="00F90B3A" w:rsidP="004D6D61">
            <w:pPr>
              <w:spacing w:before="40" w:after="40"/>
            </w:pPr>
            <w:r>
              <w:t xml:space="preserve">$64,200 </w:t>
            </w:r>
          </w:p>
        </w:tc>
        <w:tc>
          <w:tcPr>
            <w:tcW w:w="2835" w:type="dxa"/>
          </w:tcPr>
          <w:p w14:paraId="2C575570" w14:textId="2AF59D4C" w:rsidR="00F90B3A" w:rsidRDefault="000A552C" w:rsidP="004D6D61">
            <w:pPr>
              <w:spacing w:before="40" w:after="40"/>
              <w:jc w:val="center"/>
            </w:pPr>
            <w:r>
              <w:t>0.75%</w:t>
            </w:r>
          </w:p>
        </w:tc>
      </w:tr>
      <w:tr w:rsidR="00F90B3A" w14:paraId="327DD2FC" w14:textId="77777777" w:rsidTr="00D4777B">
        <w:trPr>
          <w:cantSplit/>
          <w:trHeight w:val="234"/>
          <w:jc w:val="center"/>
        </w:trPr>
        <w:tc>
          <w:tcPr>
            <w:tcW w:w="2694" w:type="dxa"/>
          </w:tcPr>
          <w:p w14:paraId="7D5C0940" w14:textId="31CDB27A" w:rsidR="00F90B3A" w:rsidRDefault="00F90B3A" w:rsidP="004D6D61">
            <w:pPr>
              <w:spacing w:before="40" w:after="40"/>
            </w:pPr>
            <w:r>
              <w:t>$85,000</w:t>
            </w:r>
          </w:p>
        </w:tc>
        <w:tc>
          <w:tcPr>
            <w:tcW w:w="2835" w:type="dxa"/>
          </w:tcPr>
          <w:p w14:paraId="4EDBE7FE" w14:textId="50C4FA96" w:rsidR="00F90B3A" w:rsidRDefault="00EE327D" w:rsidP="004D6D61">
            <w:pPr>
              <w:spacing w:before="40" w:after="40"/>
              <w:jc w:val="center"/>
            </w:pPr>
            <w:r>
              <w:t>1.</w:t>
            </w:r>
            <w:r w:rsidR="00612141">
              <w:t>24</w:t>
            </w:r>
            <w:r>
              <w:t>%</w:t>
            </w:r>
          </w:p>
        </w:tc>
      </w:tr>
      <w:tr w:rsidR="001A6E8B" w14:paraId="76FE04A6" w14:textId="77777777" w:rsidTr="00D4777B">
        <w:trPr>
          <w:cnfStyle w:val="000000100000" w:firstRow="0" w:lastRow="0" w:firstColumn="0" w:lastColumn="0" w:oddVBand="0" w:evenVBand="0" w:oddHBand="1" w:evenHBand="0" w:firstRowFirstColumn="0" w:firstRowLastColumn="0" w:lastRowFirstColumn="0" w:lastRowLastColumn="0"/>
          <w:cantSplit/>
          <w:trHeight w:val="234"/>
          <w:jc w:val="center"/>
        </w:trPr>
        <w:tc>
          <w:tcPr>
            <w:tcW w:w="2694" w:type="dxa"/>
          </w:tcPr>
          <w:p w14:paraId="3CD73F2A" w14:textId="0DD7C4E0" w:rsidR="002D312E" w:rsidRDefault="00F36626" w:rsidP="004D6D61">
            <w:pPr>
              <w:spacing w:before="40" w:after="40"/>
            </w:pPr>
            <w:r>
              <w:t>$</w:t>
            </w:r>
            <w:r w:rsidR="002D312E">
              <w:t>100,000</w:t>
            </w:r>
          </w:p>
        </w:tc>
        <w:tc>
          <w:tcPr>
            <w:tcW w:w="2835" w:type="dxa"/>
          </w:tcPr>
          <w:p w14:paraId="289F0135" w14:textId="510A4D57" w:rsidR="002D312E" w:rsidRDefault="00C52700" w:rsidP="004D6D61">
            <w:pPr>
              <w:spacing w:before="40" w:after="40"/>
              <w:jc w:val="center"/>
            </w:pPr>
            <w:r>
              <w:t>1.47%</w:t>
            </w:r>
          </w:p>
        </w:tc>
      </w:tr>
      <w:tr w:rsidR="00D45198" w14:paraId="2B98332B" w14:textId="77777777" w:rsidTr="00D4777B">
        <w:trPr>
          <w:cantSplit/>
          <w:jc w:val="center"/>
        </w:trPr>
        <w:tc>
          <w:tcPr>
            <w:tcW w:w="2694" w:type="dxa"/>
            <w:shd w:val="clear" w:color="auto" w:fill="FFFFFF" w:themeFill="background2"/>
          </w:tcPr>
          <w:p w14:paraId="2013D46E" w14:textId="585EFDD1" w:rsidR="00F90B3A" w:rsidRDefault="00F90B3A" w:rsidP="004D6D61">
            <w:pPr>
              <w:spacing w:before="40" w:after="40"/>
            </w:pPr>
            <w:r>
              <w:t>$120,000</w:t>
            </w:r>
          </w:p>
        </w:tc>
        <w:tc>
          <w:tcPr>
            <w:tcW w:w="2835" w:type="dxa"/>
            <w:shd w:val="clear" w:color="auto" w:fill="FFFFFF" w:themeFill="background2"/>
          </w:tcPr>
          <w:p w14:paraId="33C9535B" w14:textId="002AAF41" w:rsidR="00F90B3A" w:rsidRPr="00F76063" w:rsidRDefault="00260C00" w:rsidP="004D6D61">
            <w:pPr>
              <w:spacing w:before="40" w:after="40"/>
              <w:jc w:val="center"/>
            </w:pPr>
            <w:r>
              <w:t>1.68%</w:t>
            </w:r>
          </w:p>
        </w:tc>
      </w:tr>
      <w:tr w:rsidR="001A6E8B" w14:paraId="3F83E3AF" w14:textId="77777777" w:rsidTr="00D4777B">
        <w:trPr>
          <w:cnfStyle w:val="000000100000" w:firstRow="0" w:lastRow="0" w:firstColumn="0" w:lastColumn="0" w:oddVBand="0" w:evenVBand="0" w:oddHBand="1" w:evenHBand="0" w:firstRowFirstColumn="0" w:firstRowLastColumn="0" w:lastRowFirstColumn="0" w:lastRowLastColumn="0"/>
          <w:cantSplit/>
          <w:trHeight w:val="17"/>
          <w:jc w:val="center"/>
        </w:trPr>
        <w:tc>
          <w:tcPr>
            <w:tcW w:w="2694" w:type="dxa"/>
          </w:tcPr>
          <w:p w14:paraId="08EFC055" w14:textId="6A9AD6D1" w:rsidR="00F90B3A" w:rsidRDefault="00F90B3A" w:rsidP="004D6D61">
            <w:pPr>
              <w:spacing w:before="40" w:after="40"/>
            </w:pPr>
            <w:r>
              <w:t>$150,000</w:t>
            </w:r>
          </w:p>
        </w:tc>
        <w:tc>
          <w:tcPr>
            <w:tcW w:w="2835" w:type="dxa"/>
          </w:tcPr>
          <w:p w14:paraId="70B229D5" w14:textId="7824A7B2" w:rsidR="00F90B3A" w:rsidRDefault="00B23740" w:rsidP="004D6D61">
            <w:pPr>
              <w:spacing w:before="40" w:after="40"/>
              <w:jc w:val="center"/>
            </w:pPr>
            <w:r>
              <w:t>1.89%</w:t>
            </w:r>
          </w:p>
        </w:tc>
      </w:tr>
    </w:tbl>
    <w:p w14:paraId="7C3561EE" w14:textId="5F38AB52" w:rsidR="002F0677" w:rsidRPr="002F0677" w:rsidRDefault="002F0677" w:rsidP="00C0196B">
      <w:pPr>
        <w:keepNext/>
        <w:spacing w:before="240"/>
        <w:rPr>
          <w:rFonts w:cs="Arial"/>
          <w:b/>
          <w:bCs/>
        </w:rPr>
      </w:pPr>
      <w:r>
        <w:rPr>
          <w:rFonts w:cs="Arial"/>
          <w:b/>
          <w:bCs/>
        </w:rPr>
        <w:t xml:space="preserve">Net effect on recipients </w:t>
      </w:r>
      <w:r w:rsidR="00E67C02">
        <w:rPr>
          <w:rFonts w:cs="Arial"/>
          <w:b/>
          <w:bCs/>
        </w:rPr>
        <w:t>after indexation</w:t>
      </w:r>
    </w:p>
    <w:p w14:paraId="6235CF23" w14:textId="21653150" w:rsidR="009E6EE9" w:rsidRDefault="009E6EE9" w:rsidP="00D45198">
      <w:pPr>
        <w:rPr>
          <w:rFonts w:cs="Arial"/>
          <w:bCs/>
        </w:rPr>
      </w:pPr>
      <w:r>
        <w:rPr>
          <w:rFonts w:cs="Arial"/>
          <w:bCs/>
        </w:rPr>
        <w:t>Any</w:t>
      </w:r>
      <w:r w:rsidR="002F0677">
        <w:rPr>
          <w:rFonts w:cs="Arial"/>
          <w:bCs/>
        </w:rPr>
        <w:t xml:space="preserve"> increase in deeming rates would </w:t>
      </w:r>
      <w:r w:rsidR="00C63E75">
        <w:rPr>
          <w:rFonts w:cs="Arial"/>
          <w:bCs/>
        </w:rPr>
        <w:t>impact</w:t>
      </w:r>
      <w:r w:rsidR="002F0677">
        <w:rPr>
          <w:rFonts w:cs="Arial"/>
          <w:bCs/>
        </w:rPr>
        <w:t xml:space="preserve"> payment </w:t>
      </w:r>
      <w:r w:rsidR="00C63E75">
        <w:rPr>
          <w:rFonts w:cs="Arial"/>
          <w:bCs/>
        </w:rPr>
        <w:t xml:space="preserve">rates for recipients with </w:t>
      </w:r>
      <w:r w:rsidR="00535CBF">
        <w:rPr>
          <w:rFonts w:cs="Arial"/>
          <w:bCs/>
        </w:rPr>
        <w:t>sufficient financial assets</w:t>
      </w:r>
      <w:r w:rsidR="00F066C6">
        <w:rPr>
          <w:rFonts w:cs="Arial"/>
          <w:bCs/>
        </w:rPr>
        <w:t xml:space="preserve">. However, </w:t>
      </w:r>
      <w:r>
        <w:rPr>
          <w:rFonts w:cs="Arial"/>
        </w:rPr>
        <w:t xml:space="preserve">aligning the commencement of this option </w:t>
      </w:r>
      <w:r w:rsidRPr="00BC0E9F">
        <w:rPr>
          <w:rFonts w:cs="Arial"/>
        </w:rPr>
        <w:t xml:space="preserve">with the indexation of pension and allowance </w:t>
      </w:r>
      <w:r>
        <w:rPr>
          <w:rFonts w:cs="Arial"/>
        </w:rPr>
        <w:t xml:space="preserve">payment </w:t>
      </w:r>
      <w:r w:rsidRPr="00BC0E9F">
        <w:rPr>
          <w:rFonts w:cs="Arial"/>
        </w:rPr>
        <w:t>rates</w:t>
      </w:r>
      <w:r>
        <w:rPr>
          <w:rFonts w:cs="Arial"/>
        </w:rPr>
        <w:t>,</w:t>
      </w:r>
      <w:r w:rsidRPr="00BC0E9F">
        <w:rPr>
          <w:rFonts w:cs="Arial"/>
        </w:rPr>
        <w:t xml:space="preserve"> </w:t>
      </w:r>
      <w:r w:rsidR="002B2206">
        <w:rPr>
          <w:rFonts w:cs="Arial"/>
        </w:rPr>
        <w:t>would</w:t>
      </w:r>
      <w:r w:rsidRPr="00BC0E9F">
        <w:rPr>
          <w:rFonts w:cs="Arial"/>
        </w:rPr>
        <w:t xml:space="preserve"> ensure recipients experience the least possible reduction in their </w:t>
      </w:r>
      <w:r w:rsidR="00C43B43">
        <w:rPr>
          <w:rFonts w:cs="Arial"/>
        </w:rPr>
        <w:t xml:space="preserve">actual </w:t>
      </w:r>
      <w:r w:rsidR="00505F91">
        <w:rPr>
          <w:rFonts w:cs="Arial"/>
        </w:rPr>
        <w:t xml:space="preserve">fortnightly </w:t>
      </w:r>
      <w:r w:rsidRPr="00BC0E9F">
        <w:rPr>
          <w:rFonts w:cs="Arial"/>
        </w:rPr>
        <w:t>payment rate.</w:t>
      </w:r>
      <w:r>
        <w:rPr>
          <w:rFonts w:cs="Arial"/>
        </w:rPr>
        <w:t xml:space="preserve"> </w:t>
      </w:r>
    </w:p>
    <w:p w14:paraId="3A962704" w14:textId="2B075421" w:rsidR="00CE4253" w:rsidRDefault="00CE1CCF" w:rsidP="00D45198">
      <w:pPr>
        <w:rPr>
          <w:rFonts w:cs="Arial"/>
          <w:bCs/>
        </w:rPr>
      </w:pPr>
      <w:r>
        <w:rPr>
          <w:rFonts w:cs="Arial"/>
          <w:bCs/>
        </w:rPr>
        <w:t xml:space="preserve">Under this option, </w:t>
      </w:r>
      <w:r w:rsidR="00E67C02">
        <w:rPr>
          <w:rFonts w:cs="Arial"/>
          <w:bCs/>
        </w:rPr>
        <w:t>Department of Social Services modelling</w:t>
      </w:r>
      <w:r w:rsidR="002F0677">
        <w:rPr>
          <w:rFonts w:cs="Arial"/>
          <w:bCs/>
        </w:rPr>
        <w:t xml:space="preserve"> </w:t>
      </w:r>
      <w:r w:rsidR="005F41CA">
        <w:rPr>
          <w:rFonts w:cs="Arial"/>
          <w:bCs/>
        </w:rPr>
        <w:t>indicates</w:t>
      </w:r>
      <w:r w:rsidR="002F0677">
        <w:rPr>
          <w:rFonts w:cs="Arial"/>
          <w:bCs/>
        </w:rPr>
        <w:t xml:space="preserve"> most recipients </w:t>
      </w:r>
      <w:r w:rsidR="00535CBF">
        <w:rPr>
          <w:rFonts w:cs="Arial"/>
          <w:bCs/>
        </w:rPr>
        <w:t xml:space="preserve">whose payment rate is affected by deemed income </w:t>
      </w:r>
      <w:r w:rsidR="002F0677">
        <w:rPr>
          <w:rFonts w:cs="Arial"/>
          <w:bCs/>
        </w:rPr>
        <w:t xml:space="preserve">would not experience an actual reduction </w:t>
      </w:r>
      <w:r w:rsidR="00A26F69">
        <w:rPr>
          <w:rFonts w:cs="Arial"/>
          <w:bCs/>
        </w:rPr>
        <w:t xml:space="preserve">in </w:t>
      </w:r>
      <w:r w:rsidR="0048010C">
        <w:rPr>
          <w:rFonts w:cs="Arial"/>
          <w:bCs/>
        </w:rPr>
        <w:t xml:space="preserve">their </w:t>
      </w:r>
      <w:r w:rsidR="00A26F69">
        <w:rPr>
          <w:rFonts w:cs="Arial"/>
          <w:bCs/>
        </w:rPr>
        <w:t xml:space="preserve">payment rate </w:t>
      </w:r>
      <w:r w:rsidR="002F0677">
        <w:rPr>
          <w:rFonts w:cs="Arial"/>
          <w:bCs/>
        </w:rPr>
        <w:t>on 20 September 2025</w:t>
      </w:r>
      <w:r w:rsidR="00E67C02">
        <w:rPr>
          <w:rFonts w:cs="Arial"/>
          <w:bCs/>
        </w:rPr>
        <w:t xml:space="preserve">. </w:t>
      </w:r>
    </w:p>
    <w:p w14:paraId="4696B1EC" w14:textId="05C5B609" w:rsidR="006767D5" w:rsidRDefault="00DB316F" w:rsidP="00D45198">
      <w:pPr>
        <w:rPr>
          <w:rFonts w:cs="Arial"/>
        </w:rPr>
      </w:pPr>
      <w:r>
        <w:rPr>
          <w:rFonts w:cs="Arial"/>
        </w:rPr>
        <w:lastRenderedPageBreak/>
        <w:t xml:space="preserve">As shown in Table </w:t>
      </w:r>
      <w:r w:rsidR="006767D5">
        <w:rPr>
          <w:rFonts w:cs="Arial"/>
        </w:rPr>
        <w:t>5</w:t>
      </w:r>
      <w:r>
        <w:rPr>
          <w:rFonts w:cs="Arial"/>
        </w:rPr>
        <w:t>a</w:t>
      </w:r>
      <w:r w:rsidR="00BE3061">
        <w:rPr>
          <w:rFonts w:cs="Arial"/>
        </w:rPr>
        <w:t>, when</w:t>
      </w:r>
      <w:r w:rsidRPr="00D34868">
        <w:rPr>
          <w:rFonts w:cs="Arial"/>
        </w:rPr>
        <w:t xml:space="preserve"> </w:t>
      </w:r>
      <w:r w:rsidR="00477B5A" w:rsidRPr="00D34868">
        <w:rPr>
          <w:rFonts w:cs="Arial"/>
        </w:rPr>
        <w:t>factoring</w:t>
      </w:r>
      <w:r w:rsidR="00477B5A">
        <w:rPr>
          <w:rFonts w:cs="Arial"/>
        </w:rPr>
        <w:t xml:space="preserve"> </w:t>
      </w:r>
      <w:r w:rsidR="0074529E">
        <w:rPr>
          <w:rFonts w:cs="Arial"/>
        </w:rPr>
        <w:t xml:space="preserve">in </w:t>
      </w:r>
      <w:r w:rsidR="00477B5A">
        <w:rPr>
          <w:rFonts w:cs="Arial"/>
        </w:rPr>
        <w:t xml:space="preserve">the </w:t>
      </w:r>
      <w:r w:rsidR="00477B5A" w:rsidRPr="00D34868">
        <w:rPr>
          <w:rFonts w:cs="Arial"/>
        </w:rPr>
        <w:t>increases from indexation</w:t>
      </w:r>
      <w:r w:rsidR="00E317F1">
        <w:rPr>
          <w:rFonts w:cs="Arial"/>
        </w:rPr>
        <w:t xml:space="preserve"> on</w:t>
      </w:r>
      <w:r w:rsidR="00C5589B">
        <w:rPr>
          <w:rFonts w:cs="Arial"/>
        </w:rPr>
        <w:t xml:space="preserve"> 20 September 2025</w:t>
      </w:r>
      <w:r w:rsidR="00477B5A" w:rsidRPr="00D34868">
        <w:rPr>
          <w:rFonts w:cs="Arial"/>
        </w:rPr>
        <w:t xml:space="preserve">, </w:t>
      </w:r>
      <w:r w:rsidR="005A70BF">
        <w:rPr>
          <w:rFonts w:cs="Arial"/>
        </w:rPr>
        <w:t xml:space="preserve">Department of Social Services modelling </w:t>
      </w:r>
      <w:r w:rsidR="00023F2E">
        <w:rPr>
          <w:rFonts w:cs="Arial"/>
        </w:rPr>
        <w:t xml:space="preserve">estimates that </w:t>
      </w:r>
      <w:r w:rsidR="00477B5A" w:rsidRPr="00D34868">
        <w:rPr>
          <w:rFonts w:cs="Arial"/>
        </w:rPr>
        <w:t xml:space="preserve">this option </w:t>
      </w:r>
      <w:r w:rsidR="00023F2E">
        <w:rPr>
          <w:rFonts w:cs="Arial"/>
        </w:rPr>
        <w:t>would be expected</w:t>
      </w:r>
      <w:r w:rsidR="00AB3E28">
        <w:rPr>
          <w:rFonts w:cs="Arial"/>
        </w:rPr>
        <w:t xml:space="preserve"> </w:t>
      </w:r>
      <w:r w:rsidR="00BE3061">
        <w:rPr>
          <w:rFonts w:cs="Arial"/>
        </w:rPr>
        <w:t>to</w:t>
      </w:r>
      <w:r w:rsidR="00BE3061" w:rsidRPr="00D34868">
        <w:rPr>
          <w:rFonts w:cs="Arial"/>
        </w:rPr>
        <w:t xml:space="preserve"> </w:t>
      </w:r>
      <w:r w:rsidR="00477B5A" w:rsidRPr="00D34868">
        <w:rPr>
          <w:rFonts w:cs="Arial"/>
        </w:rPr>
        <w:t xml:space="preserve">reduce payment rates for around </w:t>
      </w:r>
      <w:r w:rsidR="00366F50">
        <w:rPr>
          <w:rFonts w:cs="Arial"/>
        </w:rPr>
        <w:t>98,800</w:t>
      </w:r>
      <w:r w:rsidR="00477B5A" w:rsidRPr="00D34868">
        <w:rPr>
          <w:rFonts w:cs="Arial"/>
        </w:rPr>
        <w:t xml:space="preserve"> income support recipients, including around </w:t>
      </w:r>
      <w:r w:rsidR="00366F50">
        <w:rPr>
          <w:rFonts w:cs="Arial"/>
        </w:rPr>
        <w:t>69,500</w:t>
      </w:r>
      <w:r w:rsidR="00477B5A" w:rsidRPr="00D34868">
        <w:rPr>
          <w:rFonts w:cs="Arial"/>
        </w:rPr>
        <w:t xml:space="preserve"> age pensioners.</w:t>
      </w:r>
      <w:r w:rsidR="00477B5A">
        <w:rPr>
          <w:rFonts w:cs="Arial"/>
        </w:rPr>
        <w:t xml:space="preserve"> </w:t>
      </w:r>
      <w:r w:rsidR="00CB2BD7">
        <w:rPr>
          <w:rFonts w:cs="Arial"/>
        </w:rPr>
        <w:t xml:space="preserve">The median reduction in payment </w:t>
      </w:r>
      <w:r w:rsidR="00C92438">
        <w:rPr>
          <w:rFonts w:cs="Arial"/>
        </w:rPr>
        <w:t>on commencement</w:t>
      </w:r>
      <w:r w:rsidR="00CB2BD7">
        <w:rPr>
          <w:rFonts w:cs="Arial"/>
        </w:rPr>
        <w:t xml:space="preserve"> is estimated to be around $</w:t>
      </w:r>
      <w:r w:rsidR="002A66D9">
        <w:rPr>
          <w:rFonts w:cs="Arial"/>
        </w:rPr>
        <w:t>5.90</w:t>
      </w:r>
      <w:r w:rsidR="00CB2BD7">
        <w:rPr>
          <w:rFonts w:cs="Arial"/>
        </w:rPr>
        <w:t xml:space="preserve"> per fortnight</w:t>
      </w:r>
      <w:r w:rsidR="00A83F7D">
        <w:rPr>
          <w:rFonts w:cs="Arial"/>
        </w:rPr>
        <w:t xml:space="preserve">, with </w:t>
      </w:r>
      <w:r w:rsidR="00E2504F">
        <w:rPr>
          <w:rFonts w:cs="Arial"/>
        </w:rPr>
        <w:t xml:space="preserve">over 94,000 recipients </w:t>
      </w:r>
      <w:r w:rsidR="00AE0E6A">
        <w:rPr>
          <w:rFonts w:cs="Arial"/>
        </w:rPr>
        <w:t>(</w:t>
      </w:r>
      <w:r w:rsidR="00C92438">
        <w:rPr>
          <w:rFonts w:cs="Arial"/>
        </w:rPr>
        <w:t xml:space="preserve">around </w:t>
      </w:r>
      <w:r w:rsidR="00AE0E6A">
        <w:rPr>
          <w:rFonts w:cs="Arial"/>
        </w:rPr>
        <w:t>96</w:t>
      </w:r>
      <w:r w:rsidR="00C92438">
        <w:rPr>
          <w:rFonts w:cs="Arial"/>
        </w:rPr>
        <w:t> </w:t>
      </w:r>
      <w:r w:rsidR="00AE0E6A">
        <w:rPr>
          <w:rFonts w:cs="Arial"/>
        </w:rPr>
        <w:t>per</w:t>
      </w:r>
      <w:r w:rsidR="00C92438">
        <w:rPr>
          <w:rFonts w:cs="Arial"/>
        </w:rPr>
        <w:t> </w:t>
      </w:r>
      <w:r w:rsidR="00AE0E6A">
        <w:rPr>
          <w:rFonts w:cs="Arial"/>
        </w:rPr>
        <w:t xml:space="preserve">cent) </w:t>
      </w:r>
      <w:r w:rsidR="00023F2E" w:rsidRPr="00C40161">
        <w:rPr>
          <w:rFonts w:cs="Arial"/>
        </w:rPr>
        <w:t>estimated</w:t>
      </w:r>
      <w:r w:rsidR="00504B4B" w:rsidRPr="00C40161">
        <w:rPr>
          <w:rFonts w:cs="Arial"/>
        </w:rPr>
        <w:t xml:space="preserve"> to experience</w:t>
      </w:r>
      <w:r w:rsidR="00E2504F" w:rsidRPr="00C40161">
        <w:rPr>
          <w:rFonts w:cs="Arial"/>
        </w:rPr>
        <w:t xml:space="preserve"> a</w:t>
      </w:r>
      <w:r w:rsidR="00E2504F">
        <w:rPr>
          <w:rFonts w:cs="Arial"/>
        </w:rPr>
        <w:t xml:space="preserve"> reduction of less than </w:t>
      </w:r>
      <w:r w:rsidR="00646E78">
        <w:rPr>
          <w:rFonts w:cs="Arial"/>
        </w:rPr>
        <w:t>$30</w:t>
      </w:r>
      <w:r w:rsidR="00AE0E6A">
        <w:rPr>
          <w:rFonts w:cs="Arial"/>
        </w:rPr>
        <w:t xml:space="preserve"> per fortnight</w:t>
      </w:r>
      <w:r w:rsidR="00CB2BD7">
        <w:rPr>
          <w:rFonts w:cs="Arial"/>
        </w:rPr>
        <w:t xml:space="preserve">. </w:t>
      </w:r>
    </w:p>
    <w:p w14:paraId="3FA7584B" w14:textId="60A30A21" w:rsidR="00643B0B" w:rsidRPr="00643B0B" w:rsidRDefault="00643B0B" w:rsidP="0047087F">
      <w:pPr>
        <w:spacing w:after="0" w:line="288" w:lineRule="auto"/>
        <w:rPr>
          <w:rFonts w:cs="Arial"/>
          <w:b/>
          <w:bCs/>
        </w:rPr>
      </w:pPr>
      <w:r w:rsidRPr="00643B0B">
        <w:rPr>
          <w:rFonts w:cs="Arial"/>
          <w:b/>
          <w:bCs/>
        </w:rPr>
        <w:t xml:space="preserve">Table </w:t>
      </w:r>
      <w:r w:rsidR="006767D5">
        <w:rPr>
          <w:rFonts w:cs="Arial"/>
          <w:b/>
          <w:bCs/>
        </w:rPr>
        <w:t>5</w:t>
      </w:r>
      <w:r w:rsidR="004E34C3">
        <w:rPr>
          <w:rFonts w:cs="Arial"/>
          <w:b/>
          <w:bCs/>
        </w:rPr>
        <w:t>a</w:t>
      </w:r>
      <w:r>
        <w:rPr>
          <w:rFonts w:cs="Arial"/>
          <w:b/>
          <w:bCs/>
        </w:rPr>
        <w:t xml:space="preserve">: Estimated number of recipients who </w:t>
      </w:r>
      <w:r w:rsidR="00CB2BD7">
        <w:rPr>
          <w:rFonts w:cs="Arial"/>
          <w:b/>
          <w:bCs/>
        </w:rPr>
        <w:t>would experience a reduction in payment rate (per</w:t>
      </w:r>
      <w:r w:rsidR="007A5B13">
        <w:rPr>
          <w:rFonts w:cs="Arial"/>
          <w:b/>
          <w:bCs/>
        </w:rPr>
        <w:t> </w:t>
      </w:r>
      <w:r w:rsidR="00CB2BD7">
        <w:rPr>
          <w:rFonts w:cs="Arial"/>
          <w:b/>
          <w:bCs/>
        </w:rPr>
        <w:t xml:space="preserve">fortnight) as a result of deeming and indexation on </w:t>
      </w:r>
      <w:r w:rsidR="00754ABA">
        <w:rPr>
          <w:rFonts w:cs="Arial"/>
          <w:b/>
          <w:bCs/>
        </w:rPr>
        <w:t>20 September 2025</w:t>
      </w:r>
      <w:r w:rsidR="008A29EF">
        <w:rPr>
          <w:rFonts w:cs="Arial"/>
          <w:b/>
          <w:bCs/>
        </w:rPr>
        <w:t xml:space="preserve"> </w:t>
      </w:r>
      <w:r w:rsidR="00C57110">
        <w:rPr>
          <w:rFonts w:cs="Arial"/>
          <w:b/>
          <w:bCs/>
        </w:rPr>
        <w:t>under Option 2</w:t>
      </w:r>
    </w:p>
    <w:tbl>
      <w:tblPr>
        <w:tblStyle w:val="Custom1"/>
        <w:tblW w:w="9356" w:type="dxa"/>
        <w:tblLayout w:type="fixed"/>
        <w:tblLook w:val="04A0" w:firstRow="1" w:lastRow="0" w:firstColumn="1" w:lastColumn="0" w:noHBand="0" w:noVBand="1"/>
      </w:tblPr>
      <w:tblGrid>
        <w:gridCol w:w="4315"/>
        <w:gridCol w:w="2455"/>
        <w:gridCol w:w="2586"/>
      </w:tblGrid>
      <w:tr w:rsidR="001A6E8B" w:rsidRPr="00643B0B" w14:paraId="0F4CB2E0" w14:textId="77777777" w:rsidTr="00786D65">
        <w:trPr>
          <w:cnfStyle w:val="100000000000" w:firstRow="1" w:lastRow="0" w:firstColumn="0" w:lastColumn="0" w:oddVBand="0" w:evenVBand="0" w:oddHBand="0" w:evenHBand="0" w:firstRowFirstColumn="0" w:firstRowLastColumn="0" w:lastRowFirstColumn="0" w:lastRowLastColumn="0"/>
          <w:trHeight w:val="518"/>
        </w:trPr>
        <w:tc>
          <w:tcPr>
            <w:tcW w:w="4315" w:type="dxa"/>
            <w:noWrap/>
            <w:vAlign w:val="center"/>
            <w:hideMark/>
          </w:tcPr>
          <w:p w14:paraId="3451555A" w14:textId="77777777" w:rsidR="00643B0B" w:rsidRPr="00643B0B" w:rsidRDefault="00643B0B" w:rsidP="0072137B">
            <w:pPr>
              <w:rPr>
                <w:bCs/>
              </w:rPr>
            </w:pPr>
            <w:r w:rsidRPr="00643B0B">
              <w:rPr>
                <w:bCs/>
              </w:rPr>
              <w:t>Payment Type</w:t>
            </w:r>
          </w:p>
        </w:tc>
        <w:tc>
          <w:tcPr>
            <w:tcW w:w="2455" w:type="dxa"/>
            <w:vAlign w:val="center"/>
            <w:hideMark/>
          </w:tcPr>
          <w:p w14:paraId="2F442DA5" w14:textId="77777777" w:rsidR="00643B0B" w:rsidRPr="00643B0B" w:rsidRDefault="00643B0B" w:rsidP="0072137B">
            <w:pPr>
              <w:jc w:val="center"/>
              <w:rPr>
                <w:bCs/>
              </w:rPr>
            </w:pPr>
            <w:r w:rsidRPr="00643B0B">
              <w:rPr>
                <w:bCs/>
              </w:rPr>
              <w:t>Recipients</w:t>
            </w:r>
          </w:p>
        </w:tc>
        <w:tc>
          <w:tcPr>
            <w:tcW w:w="2586" w:type="dxa"/>
            <w:vAlign w:val="center"/>
            <w:hideMark/>
          </w:tcPr>
          <w:p w14:paraId="6597E583" w14:textId="77777777" w:rsidR="00643B0B" w:rsidRPr="00643B0B" w:rsidRDefault="00643B0B" w:rsidP="0072137B">
            <w:pPr>
              <w:jc w:val="center"/>
              <w:rPr>
                <w:bCs/>
              </w:rPr>
            </w:pPr>
            <w:r w:rsidRPr="00643B0B">
              <w:rPr>
                <w:bCs/>
              </w:rPr>
              <w:t>Median change</w:t>
            </w:r>
          </w:p>
        </w:tc>
      </w:tr>
      <w:tr w:rsidR="001A6E8B" w:rsidRPr="00643B0B" w14:paraId="4615B03C" w14:textId="77777777" w:rsidTr="00695D17">
        <w:trPr>
          <w:cnfStyle w:val="000000100000" w:firstRow="0" w:lastRow="0" w:firstColumn="0" w:lastColumn="0" w:oddVBand="0" w:evenVBand="0" w:oddHBand="1" w:evenHBand="0" w:firstRowFirstColumn="0" w:firstRowLastColumn="0" w:lastRowFirstColumn="0" w:lastRowLastColumn="0"/>
          <w:trHeight w:hRule="exact" w:val="454"/>
        </w:trPr>
        <w:tc>
          <w:tcPr>
            <w:tcW w:w="4315" w:type="dxa"/>
            <w:noWrap/>
            <w:vAlign w:val="center"/>
            <w:hideMark/>
          </w:tcPr>
          <w:p w14:paraId="0C76FE84" w14:textId="77777777" w:rsidR="00643B0B" w:rsidRPr="00643B0B" w:rsidRDefault="00643B0B" w:rsidP="0066013A">
            <w:pPr>
              <w:spacing w:after="120"/>
            </w:pPr>
            <w:r w:rsidRPr="00643B0B">
              <w:t>Age Pension</w:t>
            </w:r>
          </w:p>
        </w:tc>
        <w:tc>
          <w:tcPr>
            <w:tcW w:w="2455" w:type="dxa"/>
            <w:vAlign w:val="center"/>
            <w:hideMark/>
          </w:tcPr>
          <w:p w14:paraId="4C0EB7D6" w14:textId="77777777" w:rsidR="00643B0B" w:rsidRPr="00643B0B" w:rsidRDefault="00643B0B" w:rsidP="0072137B">
            <w:pPr>
              <w:jc w:val="center"/>
            </w:pPr>
            <w:r w:rsidRPr="00643B0B">
              <w:t>69,500</w:t>
            </w:r>
          </w:p>
        </w:tc>
        <w:tc>
          <w:tcPr>
            <w:tcW w:w="2586" w:type="dxa"/>
            <w:vAlign w:val="center"/>
            <w:hideMark/>
          </w:tcPr>
          <w:p w14:paraId="6BAF7B2F" w14:textId="77777777" w:rsidR="00643B0B" w:rsidRPr="00643B0B" w:rsidRDefault="00643B0B" w:rsidP="0072137B">
            <w:pPr>
              <w:jc w:val="center"/>
            </w:pPr>
            <w:r w:rsidRPr="00643B0B">
              <w:t>-$6.70</w:t>
            </w:r>
          </w:p>
        </w:tc>
      </w:tr>
      <w:tr w:rsidR="00643B0B" w:rsidRPr="00643B0B" w14:paraId="357F886C" w14:textId="77777777" w:rsidTr="00695D17">
        <w:trPr>
          <w:trHeight w:hRule="exact" w:val="454"/>
        </w:trPr>
        <w:tc>
          <w:tcPr>
            <w:tcW w:w="4315" w:type="dxa"/>
            <w:noWrap/>
            <w:vAlign w:val="center"/>
            <w:hideMark/>
          </w:tcPr>
          <w:p w14:paraId="4916D8DF" w14:textId="77777777" w:rsidR="00643B0B" w:rsidRPr="00643B0B" w:rsidRDefault="00643B0B" w:rsidP="0072137B">
            <w:proofErr w:type="spellStart"/>
            <w:r w:rsidRPr="00643B0B">
              <w:t>Austudy</w:t>
            </w:r>
            <w:proofErr w:type="spellEnd"/>
          </w:p>
        </w:tc>
        <w:tc>
          <w:tcPr>
            <w:tcW w:w="2455" w:type="dxa"/>
            <w:vAlign w:val="center"/>
            <w:hideMark/>
          </w:tcPr>
          <w:p w14:paraId="0C8AAC25" w14:textId="77777777" w:rsidR="00643B0B" w:rsidRPr="00643B0B" w:rsidRDefault="00643B0B" w:rsidP="0072137B">
            <w:pPr>
              <w:jc w:val="center"/>
            </w:pPr>
            <w:r w:rsidRPr="00643B0B">
              <w:t>2,800</w:t>
            </w:r>
          </w:p>
        </w:tc>
        <w:tc>
          <w:tcPr>
            <w:tcW w:w="2586" w:type="dxa"/>
            <w:vAlign w:val="center"/>
            <w:hideMark/>
          </w:tcPr>
          <w:p w14:paraId="3EFAC5B5" w14:textId="77777777" w:rsidR="00643B0B" w:rsidRPr="00643B0B" w:rsidRDefault="00643B0B" w:rsidP="0072137B">
            <w:pPr>
              <w:jc w:val="center"/>
            </w:pPr>
            <w:r w:rsidRPr="00643B0B">
              <w:t>-$0.50</w:t>
            </w:r>
          </w:p>
        </w:tc>
      </w:tr>
      <w:tr w:rsidR="001A6E8B" w:rsidRPr="00643B0B" w14:paraId="3CFF3717" w14:textId="77777777" w:rsidTr="00695D17">
        <w:trPr>
          <w:cnfStyle w:val="000000100000" w:firstRow="0" w:lastRow="0" w:firstColumn="0" w:lastColumn="0" w:oddVBand="0" w:evenVBand="0" w:oddHBand="1" w:evenHBand="0" w:firstRowFirstColumn="0" w:firstRowLastColumn="0" w:lastRowFirstColumn="0" w:lastRowLastColumn="0"/>
          <w:trHeight w:hRule="exact" w:val="454"/>
        </w:trPr>
        <w:tc>
          <w:tcPr>
            <w:tcW w:w="4315" w:type="dxa"/>
            <w:noWrap/>
            <w:vAlign w:val="center"/>
            <w:hideMark/>
          </w:tcPr>
          <w:p w14:paraId="78A15EA3" w14:textId="77777777" w:rsidR="00643B0B" w:rsidRPr="00643B0B" w:rsidRDefault="00643B0B" w:rsidP="0072137B">
            <w:r w:rsidRPr="00643B0B">
              <w:t>Carer Payment</w:t>
            </w:r>
          </w:p>
        </w:tc>
        <w:tc>
          <w:tcPr>
            <w:tcW w:w="2455" w:type="dxa"/>
            <w:vAlign w:val="center"/>
            <w:hideMark/>
          </w:tcPr>
          <w:p w14:paraId="61B89763" w14:textId="77777777" w:rsidR="00643B0B" w:rsidRPr="00643B0B" w:rsidRDefault="00643B0B" w:rsidP="0072137B">
            <w:pPr>
              <w:jc w:val="center"/>
            </w:pPr>
            <w:r w:rsidRPr="00643B0B">
              <w:t>1,800</w:t>
            </w:r>
          </w:p>
        </w:tc>
        <w:tc>
          <w:tcPr>
            <w:tcW w:w="2586" w:type="dxa"/>
            <w:vAlign w:val="center"/>
            <w:hideMark/>
          </w:tcPr>
          <w:p w14:paraId="01949AB1" w14:textId="77777777" w:rsidR="00643B0B" w:rsidRPr="00643B0B" w:rsidRDefault="00643B0B" w:rsidP="0072137B">
            <w:pPr>
              <w:jc w:val="center"/>
            </w:pPr>
            <w:r w:rsidRPr="00643B0B">
              <w:t>-$7.40</w:t>
            </w:r>
          </w:p>
        </w:tc>
      </w:tr>
      <w:tr w:rsidR="00643B0B" w:rsidRPr="00643B0B" w14:paraId="6C986F26" w14:textId="77777777" w:rsidTr="00695D17">
        <w:trPr>
          <w:trHeight w:hRule="exact" w:val="454"/>
        </w:trPr>
        <w:tc>
          <w:tcPr>
            <w:tcW w:w="4315" w:type="dxa"/>
            <w:noWrap/>
            <w:vAlign w:val="center"/>
            <w:hideMark/>
          </w:tcPr>
          <w:p w14:paraId="25F14F71" w14:textId="77777777" w:rsidR="00643B0B" w:rsidRPr="00643B0B" w:rsidRDefault="00643B0B" w:rsidP="0072137B">
            <w:r w:rsidRPr="00643B0B">
              <w:t>Disability Support Pension</w:t>
            </w:r>
          </w:p>
        </w:tc>
        <w:tc>
          <w:tcPr>
            <w:tcW w:w="2455" w:type="dxa"/>
            <w:vAlign w:val="center"/>
            <w:hideMark/>
          </w:tcPr>
          <w:p w14:paraId="35815813" w14:textId="77777777" w:rsidR="00643B0B" w:rsidRPr="00643B0B" w:rsidRDefault="00643B0B" w:rsidP="0072137B">
            <w:pPr>
              <w:jc w:val="center"/>
            </w:pPr>
            <w:r w:rsidRPr="00643B0B">
              <w:t>5,600</w:t>
            </w:r>
          </w:p>
        </w:tc>
        <w:tc>
          <w:tcPr>
            <w:tcW w:w="2586" w:type="dxa"/>
            <w:vAlign w:val="center"/>
            <w:hideMark/>
          </w:tcPr>
          <w:p w14:paraId="3E1CA951" w14:textId="77777777" w:rsidR="00643B0B" w:rsidRPr="00643B0B" w:rsidRDefault="00643B0B" w:rsidP="0072137B">
            <w:pPr>
              <w:jc w:val="center"/>
            </w:pPr>
            <w:r w:rsidRPr="00643B0B">
              <w:t>-$6.50</w:t>
            </w:r>
          </w:p>
        </w:tc>
      </w:tr>
      <w:tr w:rsidR="001A6E8B" w:rsidRPr="00643B0B" w14:paraId="101CA9E2" w14:textId="77777777" w:rsidTr="00695D17">
        <w:trPr>
          <w:cnfStyle w:val="000000100000" w:firstRow="0" w:lastRow="0" w:firstColumn="0" w:lastColumn="0" w:oddVBand="0" w:evenVBand="0" w:oddHBand="1" w:evenHBand="0" w:firstRowFirstColumn="0" w:firstRowLastColumn="0" w:lastRowFirstColumn="0" w:lastRowLastColumn="0"/>
          <w:trHeight w:hRule="exact" w:val="454"/>
        </w:trPr>
        <w:tc>
          <w:tcPr>
            <w:tcW w:w="4315" w:type="dxa"/>
            <w:noWrap/>
            <w:vAlign w:val="center"/>
          </w:tcPr>
          <w:p w14:paraId="06F555DA" w14:textId="0FF17DF7" w:rsidR="0072137B" w:rsidRPr="00643B0B" w:rsidRDefault="0072137B" w:rsidP="0072137B">
            <w:proofErr w:type="spellStart"/>
            <w:r w:rsidRPr="00643B0B">
              <w:t>JobSeeker</w:t>
            </w:r>
            <w:proofErr w:type="spellEnd"/>
            <w:r w:rsidRPr="00643B0B">
              <w:t xml:space="preserve"> Payment</w:t>
            </w:r>
          </w:p>
        </w:tc>
        <w:tc>
          <w:tcPr>
            <w:tcW w:w="2455" w:type="dxa"/>
            <w:vAlign w:val="center"/>
          </w:tcPr>
          <w:p w14:paraId="0CEB2FF1" w14:textId="3E7A30B1" w:rsidR="0072137B" w:rsidRPr="00643B0B" w:rsidRDefault="0072137B" w:rsidP="0072137B">
            <w:pPr>
              <w:jc w:val="center"/>
            </w:pPr>
            <w:r w:rsidRPr="00643B0B">
              <w:t>9,600</w:t>
            </w:r>
          </w:p>
        </w:tc>
        <w:tc>
          <w:tcPr>
            <w:tcW w:w="2586" w:type="dxa"/>
            <w:vAlign w:val="center"/>
          </w:tcPr>
          <w:p w14:paraId="359AD651" w14:textId="70AAC679" w:rsidR="0072137B" w:rsidRPr="00643B0B" w:rsidRDefault="0072137B" w:rsidP="0072137B">
            <w:pPr>
              <w:jc w:val="center"/>
            </w:pPr>
            <w:r w:rsidRPr="00643B0B">
              <w:t>-$9.30</w:t>
            </w:r>
          </w:p>
        </w:tc>
      </w:tr>
      <w:tr w:rsidR="00C74C07" w:rsidRPr="00643B0B" w14:paraId="0701D6BB" w14:textId="77777777" w:rsidTr="00695D17">
        <w:trPr>
          <w:trHeight w:hRule="exact" w:val="454"/>
        </w:trPr>
        <w:tc>
          <w:tcPr>
            <w:tcW w:w="4315" w:type="dxa"/>
            <w:noWrap/>
            <w:vAlign w:val="center"/>
            <w:hideMark/>
          </w:tcPr>
          <w:p w14:paraId="081E7246" w14:textId="77777777" w:rsidR="00643B0B" w:rsidRPr="00643B0B" w:rsidRDefault="00643B0B" w:rsidP="0072137B">
            <w:r w:rsidRPr="00643B0B">
              <w:t>Parenting Payment Partnered</w:t>
            </w:r>
          </w:p>
        </w:tc>
        <w:tc>
          <w:tcPr>
            <w:tcW w:w="2455" w:type="dxa"/>
            <w:vAlign w:val="center"/>
            <w:hideMark/>
          </w:tcPr>
          <w:p w14:paraId="1312AA32" w14:textId="77777777" w:rsidR="00643B0B" w:rsidRPr="00643B0B" w:rsidRDefault="00643B0B" w:rsidP="0072137B">
            <w:pPr>
              <w:jc w:val="center"/>
            </w:pPr>
            <w:r w:rsidRPr="00643B0B">
              <w:t>200</w:t>
            </w:r>
          </w:p>
        </w:tc>
        <w:tc>
          <w:tcPr>
            <w:tcW w:w="2586" w:type="dxa"/>
            <w:vAlign w:val="center"/>
            <w:hideMark/>
          </w:tcPr>
          <w:p w14:paraId="4E17ED92" w14:textId="77777777" w:rsidR="00643B0B" w:rsidRPr="00643B0B" w:rsidRDefault="00643B0B" w:rsidP="0072137B">
            <w:pPr>
              <w:jc w:val="center"/>
            </w:pPr>
            <w:r w:rsidRPr="00643B0B">
              <w:t>-$11.20</w:t>
            </w:r>
          </w:p>
        </w:tc>
      </w:tr>
      <w:tr w:rsidR="001A6E8B" w:rsidRPr="00643B0B" w14:paraId="1594A849" w14:textId="77777777" w:rsidTr="00695D17">
        <w:trPr>
          <w:cnfStyle w:val="000000100000" w:firstRow="0" w:lastRow="0" w:firstColumn="0" w:lastColumn="0" w:oddVBand="0" w:evenVBand="0" w:oddHBand="1" w:evenHBand="0" w:firstRowFirstColumn="0" w:firstRowLastColumn="0" w:lastRowFirstColumn="0" w:lastRowLastColumn="0"/>
          <w:trHeight w:hRule="exact" w:val="454"/>
        </w:trPr>
        <w:tc>
          <w:tcPr>
            <w:tcW w:w="4315" w:type="dxa"/>
            <w:noWrap/>
            <w:vAlign w:val="center"/>
            <w:hideMark/>
          </w:tcPr>
          <w:p w14:paraId="6C976B7E" w14:textId="77777777" w:rsidR="00643B0B" w:rsidRPr="00643B0B" w:rsidRDefault="00643B0B" w:rsidP="0072137B">
            <w:r w:rsidRPr="00643B0B">
              <w:t>Parenting Payment Single</w:t>
            </w:r>
          </w:p>
        </w:tc>
        <w:tc>
          <w:tcPr>
            <w:tcW w:w="2455" w:type="dxa"/>
            <w:vAlign w:val="center"/>
            <w:hideMark/>
          </w:tcPr>
          <w:p w14:paraId="0803BD62" w14:textId="77777777" w:rsidR="00643B0B" w:rsidRPr="00643B0B" w:rsidRDefault="00643B0B" w:rsidP="0072137B">
            <w:pPr>
              <w:jc w:val="center"/>
            </w:pPr>
            <w:r w:rsidRPr="00643B0B">
              <w:t>800</w:t>
            </w:r>
          </w:p>
        </w:tc>
        <w:tc>
          <w:tcPr>
            <w:tcW w:w="2586" w:type="dxa"/>
            <w:vAlign w:val="center"/>
            <w:hideMark/>
          </w:tcPr>
          <w:p w14:paraId="12850EC7" w14:textId="77777777" w:rsidR="00643B0B" w:rsidRPr="00643B0B" w:rsidRDefault="00643B0B" w:rsidP="0072137B">
            <w:pPr>
              <w:jc w:val="center"/>
            </w:pPr>
            <w:r w:rsidRPr="00643B0B">
              <w:t>-$7.80</w:t>
            </w:r>
          </w:p>
        </w:tc>
      </w:tr>
      <w:tr w:rsidR="00C74C07" w:rsidRPr="00643B0B" w14:paraId="2F605328" w14:textId="77777777" w:rsidTr="00695D17">
        <w:trPr>
          <w:trHeight w:hRule="exact" w:val="454"/>
        </w:trPr>
        <w:tc>
          <w:tcPr>
            <w:tcW w:w="4315" w:type="dxa"/>
            <w:noWrap/>
            <w:vAlign w:val="center"/>
            <w:hideMark/>
          </w:tcPr>
          <w:p w14:paraId="0308B0A5" w14:textId="77777777" w:rsidR="00643B0B" w:rsidRPr="00643B0B" w:rsidRDefault="00643B0B" w:rsidP="0072137B">
            <w:r w:rsidRPr="00643B0B">
              <w:t>Special Benefit</w:t>
            </w:r>
          </w:p>
        </w:tc>
        <w:tc>
          <w:tcPr>
            <w:tcW w:w="2455" w:type="dxa"/>
            <w:vAlign w:val="center"/>
            <w:hideMark/>
          </w:tcPr>
          <w:p w14:paraId="7F6D5F49" w14:textId="77777777" w:rsidR="00643B0B" w:rsidRPr="00643B0B" w:rsidRDefault="00643B0B" w:rsidP="0072137B">
            <w:pPr>
              <w:jc w:val="center"/>
            </w:pPr>
            <w:r w:rsidRPr="00643B0B">
              <w:t>300</w:t>
            </w:r>
          </w:p>
        </w:tc>
        <w:tc>
          <w:tcPr>
            <w:tcW w:w="2586" w:type="dxa"/>
            <w:vAlign w:val="center"/>
            <w:hideMark/>
          </w:tcPr>
          <w:p w14:paraId="21ED8050" w14:textId="77777777" w:rsidR="00643B0B" w:rsidRPr="00643B0B" w:rsidRDefault="00643B0B" w:rsidP="0072137B">
            <w:pPr>
              <w:jc w:val="center"/>
            </w:pPr>
            <w:r w:rsidRPr="00643B0B">
              <w:t>-$0.10</w:t>
            </w:r>
          </w:p>
        </w:tc>
      </w:tr>
      <w:tr w:rsidR="001A6E8B" w:rsidRPr="00643B0B" w14:paraId="3DE821FD" w14:textId="77777777" w:rsidTr="00695D17">
        <w:trPr>
          <w:cnfStyle w:val="000000100000" w:firstRow="0" w:lastRow="0" w:firstColumn="0" w:lastColumn="0" w:oddVBand="0" w:evenVBand="0" w:oddHBand="1" w:evenHBand="0" w:firstRowFirstColumn="0" w:firstRowLastColumn="0" w:lastRowFirstColumn="0" w:lastRowLastColumn="0"/>
          <w:trHeight w:hRule="exact" w:val="454"/>
        </w:trPr>
        <w:tc>
          <w:tcPr>
            <w:tcW w:w="4315" w:type="dxa"/>
            <w:noWrap/>
            <w:vAlign w:val="center"/>
            <w:hideMark/>
          </w:tcPr>
          <w:p w14:paraId="1D62F40F" w14:textId="77777777" w:rsidR="00643B0B" w:rsidRPr="00643B0B" w:rsidRDefault="00643B0B" w:rsidP="0072137B">
            <w:r w:rsidRPr="00643B0B">
              <w:t>Youth Allowance (student and apprentice)</w:t>
            </w:r>
          </w:p>
        </w:tc>
        <w:tc>
          <w:tcPr>
            <w:tcW w:w="2455" w:type="dxa"/>
            <w:vAlign w:val="center"/>
            <w:hideMark/>
          </w:tcPr>
          <w:p w14:paraId="7839A4B5" w14:textId="77777777" w:rsidR="00643B0B" w:rsidRPr="00643B0B" w:rsidRDefault="00643B0B" w:rsidP="0072137B">
            <w:pPr>
              <w:jc w:val="center"/>
            </w:pPr>
            <w:r w:rsidRPr="00643B0B">
              <w:t>7,200</w:t>
            </w:r>
          </w:p>
        </w:tc>
        <w:tc>
          <w:tcPr>
            <w:tcW w:w="2586" w:type="dxa"/>
            <w:vAlign w:val="center"/>
            <w:hideMark/>
          </w:tcPr>
          <w:p w14:paraId="5670BBF9" w14:textId="77777777" w:rsidR="00643B0B" w:rsidRPr="00643B0B" w:rsidRDefault="00643B0B" w:rsidP="0072137B">
            <w:pPr>
              <w:jc w:val="center"/>
            </w:pPr>
            <w:r w:rsidRPr="00643B0B">
              <w:t>-$0.60</w:t>
            </w:r>
          </w:p>
        </w:tc>
      </w:tr>
      <w:tr w:rsidR="00C74C07" w:rsidRPr="00643B0B" w14:paraId="7D60208B" w14:textId="77777777" w:rsidTr="00695D17">
        <w:trPr>
          <w:trHeight w:hRule="exact" w:val="454"/>
        </w:trPr>
        <w:tc>
          <w:tcPr>
            <w:tcW w:w="4315" w:type="dxa"/>
            <w:noWrap/>
            <w:vAlign w:val="center"/>
            <w:hideMark/>
          </w:tcPr>
          <w:p w14:paraId="0D6CBB48" w14:textId="77777777" w:rsidR="00643B0B" w:rsidRPr="00643B0B" w:rsidRDefault="00643B0B" w:rsidP="0072137B">
            <w:r w:rsidRPr="00643B0B">
              <w:t>Youth Allowance (other)</w:t>
            </w:r>
          </w:p>
        </w:tc>
        <w:tc>
          <w:tcPr>
            <w:tcW w:w="2455" w:type="dxa"/>
            <w:vAlign w:val="center"/>
            <w:hideMark/>
          </w:tcPr>
          <w:p w14:paraId="1F5980DD" w14:textId="77777777" w:rsidR="00643B0B" w:rsidRPr="00643B0B" w:rsidRDefault="00643B0B" w:rsidP="0072137B">
            <w:pPr>
              <w:jc w:val="center"/>
            </w:pPr>
            <w:r w:rsidRPr="00643B0B">
              <w:t>1,000</w:t>
            </w:r>
          </w:p>
        </w:tc>
        <w:tc>
          <w:tcPr>
            <w:tcW w:w="2586" w:type="dxa"/>
            <w:vAlign w:val="center"/>
            <w:hideMark/>
          </w:tcPr>
          <w:p w14:paraId="47B1719B" w14:textId="77777777" w:rsidR="00643B0B" w:rsidRPr="00643B0B" w:rsidRDefault="00643B0B" w:rsidP="0072137B">
            <w:pPr>
              <w:jc w:val="center"/>
            </w:pPr>
            <w:r w:rsidRPr="00643B0B">
              <w:t>-$0.10</w:t>
            </w:r>
          </w:p>
        </w:tc>
      </w:tr>
      <w:tr w:rsidR="001A6E8B" w:rsidRPr="00643B0B" w14:paraId="186EA16D" w14:textId="77777777" w:rsidTr="00695D17">
        <w:trPr>
          <w:cnfStyle w:val="000000100000" w:firstRow="0" w:lastRow="0" w:firstColumn="0" w:lastColumn="0" w:oddVBand="0" w:evenVBand="0" w:oddHBand="1" w:evenHBand="0" w:firstRowFirstColumn="0" w:firstRowLastColumn="0" w:lastRowFirstColumn="0" w:lastRowLastColumn="0"/>
          <w:trHeight w:hRule="exact" w:val="454"/>
        </w:trPr>
        <w:tc>
          <w:tcPr>
            <w:tcW w:w="4315" w:type="dxa"/>
            <w:noWrap/>
            <w:vAlign w:val="center"/>
            <w:hideMark/>
          </w:tcPr>
          <w:p w14:paraId="6BCD8182" w14:textId="77777777" w:rsidR="00643B0B" w:rsidRPr="00643B0B" w:rsidRDefault="00643B0B" w:rsidP="0072137B">
            <w:pPr>
              <w:rPr>
                <w:b/>
                <w:bCs/>
              </w:rPr>
            </w:pPr>
            <w:r w:rsidRPr="00643B0B">
              <w:rPr>
                <w:b/>
                <w:bCs/>
              </w:rPr>
              <w:t>Total</w:t>
            </w:r>
          </w:p>
        </w:tc>
        <w:tc>
          <w:tcPr>
            <w:tcW w:w="2455" w:type="dxa"/>
            <w:vAlign w:val="center"/>
            <w:hideMark/>
          </w:tcPr>
          <w:p w14:paraId="45EE52BC" w14:textId="77777777" w:rsidR="00643B0B" w:rsidRPr="00643B0B" w:rsidRDefault="00643B0B" w:rsidP="0072137B">
            <w:pPr>
              <w:jc w:val="center"/>
              <w:rPr>
                <w:b/>
                <w:bCs/>
              </w:rPr>
            </w:pPr>
            <w:r w:rsidRPr="00643B0B">
              <w:rPr>
                <w:b/>
                <w:bCs/>
              </w:rPr>
              <w:t>98,800</w:t>
            </w:r>
          </w:p>
        </w:tc>
        <w:tc>
          <w:tcPr>
            <w:tcW w:w="2586" w:type="dxa"/>
            <w:vAlign w:val="center"/>
            <w:hideMark/>
          </w:tcPr>
          <w:p w14:paraId="62E8CF89" w14:textId="77777777" w:rsidR="00643B0B" w:rsidRPr="00643B0B" w:rsidRDefault="00643B0B" w:rsidP="0072137B">
            <w:pPr>
              <w:jc w:val="center"/>
              <w:rPr>
                <w:b/>
                <w:bCs/>
              </w:rPr>
            </w:pPr>
            <w:r w:rsidRPr="00643B0B">
              <w:rPr>
                <w:b/>
                <w:bCs/>
              </w:rPr>
              <w:t>-$5.90</w:t>
            </w:r>
          </w:p>
        </w:tc>
      </w:tr>
    </w:tbl>
    <w:p w14:paraId="3CCF7A85" w14:textId="018CFB47" w:rsidR="00366F50" w:rsidRPr="004556B4" w:rsidRDefault="00736CDF" w:rsidP="002C4B77">
      <w:pPr>
        <w:rPr>
          <w:rFonts w:cs="Arial"/>
          <w:i/>
          <w:sz w:val="18"/>
          <w:szCs w:val="18"/>
        </w:rPr>
      </w:pPr>
      <w:r w:rsidRPr="004556B4">
        <w:rPr>
          <w:rFonts w:cs="Arial"/>
          <w:i/>
          <w:sz w:val="18"/>
          <w:szCs w:val="18"/>
        </w:rPr>
        <w:t>Department of Social Services modelling</w:t>
      </w:r>
      <w:r w:rsidR="00F364B5" w:rsidRPr="004556B4">
        <w:rPr>
          <w:rFonts w:cs="Arial"/>
          <w:i/>
          <w:sz w:val="18"/>
          <w:szCs w:val="18"/>
        </w:rPr>
        <w:t>. Estimates t</w:t>
      </w:r>
      <w:r w:rsidR="00E470D4" w:rsidRPr="004556B4">
        <w:rPr>
          <w:rFonts w:cs="Arial"/>
          <w:i/>
          <w:sz w:val="18"/>
          <w:szCs w:val="18"/>
        </w:rPr>
        <w:t>ak</w:t>
      </w:r>
      <w:r w:rsidR="00F364B5" w:rsidRPr="004556B4">
        <w:rPr>
          <w:rFonts w:cs="Arial"/>
          <w:i/>
          <w:sz w:val="18"/>
          <w:szCs w:val="18"/>
        </w:rPr>
        <w:t>e</w:t>
      </w:r>
      <w:r w:rsidR="00E470D4" w:rsidRPr="004556B4">
        <w:rPr>
          <w:rFonts w:cs="Arial"/>
          <w:i/>
          <w:sz w:val="18"/>
          <w:szCs w:val="18"/>
        </w:rPr>
        <w:t xml:space="preserve"> into account the indicative impact of indexation </w:t>
      </w:r>
      <w:r w:rsidR="004C509B" w:rsidRPr="004556B4">
        <w:rPr>
          <w:rFonts w:cs="Arial"/>
          <w:i/>
          <w:sz w:val="18"/>
          <w:szCs w:val="18"/>
        </w:rPr>
        <w:t>(based on June</w:t>
      </w:r>
      <w:r w:rsidR="00611A2D">
        <w:rPr>
          <w:rFonts w:cs="Arial"/>
          <w:i/>
          <w:sz w:val="18"/>
          <w:szCs w:val="18"/>
        </w:rPr>
        <w:t> </w:t>
      </w:r>
      <w:r w:rsidR="004C509B" w:rsidRPr="004556B4">
        <w:rPr>
          <w:rFonts w:cs="Arial"/>
          <w:i/>
          <w:sz w:val="18"/>
          <w:szCs w:val="18"/>
        </w:rPr>
        <w:t>2025 CPI and PBLCI)</w:t>
      </w:r>
      <w:r w:rsidR="00E470D4" w:rsidRPr="004556B4">
        <w:rPr>
          <w:rFonts w:cs="Arial"/>
          <w:i/>
          <w:sz w:val="18"/>
          <w:szCs w:val="18"/>
        </w:rPr>
        <w:t xml:space="preserve"> in the fortnight following 20 September 2025.</w:t>
      </w:r>
    </w:p>
    <w:p w14:paraId="0232C3C8" w14:textId="30532FD1" w:rsidR="00F25F8B" w:rsidRDefault="00CD21A9" w:rsidP="00456257">
      <w:pPr>
        <w:spacing w:after="200" w:line="288" w:lineRule="auto"/>
        <w:rPr>
          <w:rFonts w:cs="Arial"/>
        </w:rPr>
      </w:pPr>
      <w:r>
        <w:rPr>
          <w:rFonts w:cs="Arial"/>
        </w:rPr>
        <w:t xml:space="preserve">Table </w:t>
      </w:r>
      <w:r w:rsidR="006767D5">
        <w:rPr>
          <w:rFonts w:cs="Arial"/>
        </w:rPr>
        <w:t>5</w:t>
      </w:r>
      <w:r>
        <w:rPr>
          <w:rFonts w:cs="Arial"/>
        </w:rPr>
        <w:t>b</w:t>
      </w:r>
      <w:r w:rsidR="0027396B">
        <w:rPr>
          <w:rFonts w:cs="Arial"/>
        </w:rPr>
        <w:t xml:space="preserve"> </w:t>
      </w:r>
      <w:r w:rsidR="00924585">
        <w:rPr>
          <w:rFonts w:cs="Arial"/>
        </w:rPr>
        <w:t xml:space="preserve">shows </w:t>
      </w:r>
      <w:r w:rsidR="004F74D8">
        <w:rPr>
          <w:rFonts w:cs="Arial"/>
        </w:rPr>
        <w:t>how many</w:t>
      </w:r>
      <w:r w:rsidR="00924585">
        <w:rPr>
          <w:rFonts w:cs="Arial"/>
        </w:rPr>
        <w:t xml:space="preserve"> recipients </w:t>
      </w:r>
      <w:r w:rsidR="00A66E79">
        <w:rPr>
          <w:rFonts w:cs="Arial"/>
        </w:rPr>
        <w:t>are estimated to</w:t>
      </w:r>
      <w:r w:rsidR="004F74D8">
        <w:rPr>
          <w:rFonts w:cs="Arial"/>
        </w:rPr>
        <w:t xml:space="preserve"> receive a net increase or net decrease to their payment rate on 20 September </w:t>
      </w:r>
      <w:r w:rsidR="00160CE0">
        <w:rPr>
          <w:rFonts w:cs="Arial"/>
        </w:rPr>
        <w:t xml:space="preserve">2025. </w:t>
      </w:r>
    </w:p>
    <w:p w14:paraId="578E6784" w14:textId="77777777" w:rsidR="00E00070" w:rsidRDefault="00E00070">
      <w:pPr>
        <w:spacing w:after="200" w:line="288" w:lineRule="auto"/>
        <w:rPr>
          <w:rFonts w:cs="Arial"/>
          <w:b/>
          <w:bCs/>
        </w:rPr>
      </w:pPr>
      <w:r>
        <w:rPr>
          <w:rFonts w:cs="Arial"/>
          <w:b/>
          <w:bCs/>
        </w:rPr>
        <w:br w:type="page"/>
      </w:r>
    </w:p>
    <w:p w14:paraId="7EBBABBA" w14:textId="70390C01" w:rsidR="006D4D54" w:rsidRPr="00643B0B" w:rsidRDefault="006D4D54" w:rsidP="00D45198">
      <w:pPr>
        <w:spacing w:after="0" w:line="288" w:lineRule="auto"/>
        <w:rPr>
          <w:rFonts w:cs="Arial"/>
          <w:b/>
          <w:bCs/>
        </w:rPr>
      </w:pPr>
      <w:r w:rsidRPr="00643B0B">
        <w:rPr>
          <w:rFonts w:cs="Arial"/>
          <w:b/>
          <w:bCs/>
        </w:rPr>
        <w:lastRenderedPageBreak/>
        <w:t xml:space="preserve">Table </w:t>
      </w:r>
      <w:r w:rsidR="006767D5">
        <w:rPr>
          <w:rFonts w:cs="Arial"/>
          <w:b/>
          <w:bCs/>
        </w:rPr>
        <w:t>5</w:t>
      </w:r>
      <w:r>
        <w:rPr>
          <w:rFonts w:cs="Arial"/>
          <w:b/>
          <w:bCs/>
        </w:rPr>
        <w:t xml:space="preserve">b: Estimated net effect of deeming and indexation on </w:t>
      </w:r>
      <w:r w:rsidR="00077BBB">
        <w:rPr>
          <w:rFonts w:cs="Arial"/>
          <w:b/>
          <w:bCs/>
        </w:rPr>
        <w:t xml:space="preserve">all </w:t>
      </w:r>
      <w:r>
        <w:rPr>
          <w:rFonts w:cs="Arial"/>
          <w:b/>
          <w:bCs/>
        </w:rPr>
        <w:t>recipients</w:t>
      </w:r>
      <w:r w:rsidR="00B628F4">
        <w:rPr>
          <w:rFonts w:cs="Arial"/>
          <w:b/>
          <w:bCs/>
        </w:rPr>
        <w:t xml:space="preserve"> </w:t>
      </w:r>
      <w:r w:rsidR="0062155A">
        <w:rPr>
          <w:rFonts w:cs="Arial"/>
          <w:b/>
          <w:bCs/>
        </w:rPr>
        <w:t>affected</w:t>
      </w:r>
      <w:r w:rsidR="00B628F4">
        <w:rPr>
          <w:rFonts w:cs="Arial"/>
          <w:b/>
          <w:bCs/>
        </w:rPr>
        <w:t xml:space="preserve"> by Option 2</w:t>
      </w:r>
      <w:r w:rsidR="00D25936">
        <w:rPr>
          <w:rFonts w:cs="Arial"/>
          <w:b/>
          <w:bCs/>
        </w:rPr>
        <w:t xml:space="preserve"> on 20 September 2025</w:t>
      </w:r>
    </w:p>
    <w:tbl>
      <w:tblPr>
        <w:tblStyle w:val="Style1"/>
        <w:tblW w:w="9633" w:type="dxa"/>
        <w:jc w:val="center"/>
        <w:tblBorders>
          <w:top w:val="single" w:sz="4" w:space="0" w:color="auto"/>
          <w:left w:val="single" w:sz="4" w:space="0" w:color="auto"/>
          <w:bottom w:val="single" w:sz="4" w:space="0" w:color="auto"/>
          <w:right w:val="none" w:sz="0" w:space="0" w:color="auto"/>
          <w:insideH w:val="single" w:sz="4" w:space="0" w:color="FFFFFF" w:themeColor="background1"/>
          <w:insideV w:val="single" w:sz="4" w:space="0" w:color="auto"/>
        </w:tblBorders>
        <w:tblLook w:val="04A0" w:firstRow="1" w:lastRow="0" w:firstColumn="1" w:lastColumn="0" w:noHBand="0" w:noVBand="1"/>
      </w:tblPr>
      <w:tblGrid>
        <w:gridCol w:w="3315"/>
        <w:gridCol w:w="3094"/>
        <w:gridCol w:w="3224"/>
      </w:tblGrid>
      <w:tr w:rsidR="00A45B30" w:rsidRPr="00D45198" w14:paraId="5C5DF2D2" w14:textId="77777777" w:rsidTr="00BF2A7E">
        <w:trPr>
          <w:cnfStyle w:val="100000000000" w:firstRow="1" w:lastRow="0" w:firstColumn="0" w:lastColumn="0" w:oddVBand="0" w:evenVBand="0" w:oddHBand="0" w:evenHBand="0" w:firstRowFirstColumn="0" w:firstRowLastColumn="0" w:lastRowFirstColumn="0" w:lastRowLastColumn="0"/>
          <w:trHeight w:val="726"/>
          <w:jc w:val="center"/>
        </w:trPr>
        <w:tc>
          <w:tcPr>
            <w:cnfStyle w:val="001000000000" w:firstRow="0" w:lastRow="0" w:firstColumn="1" w:lastColumn="0" w:oddVBand="0" w:evenVBand="0" w:oddHBand="0" w:evenHBand="0" w:firstRowFirstColumn="0" w:firstRowLastColumn="0" w:lastRowFirstColumn="0" w:lastRowLastColumn="0"/>
            <w:tcW w:w="3315" w:type="dxa"/>
            <w:hideMark/>
          </w:tcPr>
          <w:p w14:paraId="24E3AF32" w14:textId="77777777" w:rsidR="00BA2418" w:rsidRPr="00D45198" w:rsidRDefault="00BA2418" w:rsidP="00BA2418">
            <w:pPr>
              <w:rPr>
                <w:rFonts w:cs="Arial"/>
                <w:szCs w:val="22"/>
              </w:rPr>
            </w:pPr>
          </w:p>
        </w:tc>
        <w:tc>
          <w:tcPr>
            <w:tcW w:w="3094" w:type="dxa"/>
            <w:tcBorders>
              <w:bottom w:val="single" w:sz="4" w:space="0" w:color="FFFFFF" w:themeColor="background1"/>
            </w:tcBorders>
            <w:vAlign w:val="center"/>
            <w:hideMark/>
          </w:tcPr>
          <w:p w14:paraId="4DC4CA8F" w14:textId="3A0312A7" w:rsidR="00BA2418" w:rsidRPr="00D45198" w:rsidRDefault="00BA2418" w:rsidP="00D45198">
            <w:pPr>
              <w:jc w:val="center"/>
              <w:cnfStyle w:val="100000000000" w:firstRow="1" w:lastRow="0" w:firstColumn="0" w:lastColumn="0" w:oddVBand="0" w:evenVBand="0" w:oddHBand="0" w:evenHBand="0" w:firstRowFirstColumn="0" w:firstRowLastColumn="0" w:lastRowFirstColumn="0" w:lastRowLastColumn="0"/>
              <w:rPr>
                <w:rFonts w:cs="Arial"/>
                <w:szCs w:val="22"/>
              </w:rPr>
            </w:pPr>
            <w:r w:rsidRPr="00D45198">
              <w:rPr>
                <w:rFonts w:cs="Arial"/>
                <w:szCs w:val="22"/>
              </w:rPr>
              <w:t>Amount (per fortnight)</w:t>
            </w:r>
          </w:p>
        </w:tc>
        <w:tc>
          <w:tcPr>
            <w:tcW w:w="3224" w:type="dxa"/>
            <w:tcBorders>
              <w:bottom w:val="single" w:sz="4" w:space="0" w:color="FFFFFF" w:themeColor="background1"/>
            </w:tcBorders>
            <w:vAlign w:val="center"/>
            <w:hideMark/>
          </w:tcPr>
          <w:p w14:paraId="1C96B301" w14:textId="6C2F51FA" w:rsidR="00BA2418" w:rsidRPr="00D45198" w:rsidRDefault="00BA2418" w:rsidP="00D45198">
            <w:pPr>
              <w:jc w:val="center"/>
              <w:cnfStyle w:val="100000000000" w:firstRow="1" w:lastRow="0" w:firstColumn="0" w:lastColumn="0" w:oddVBand="0" w:evenVBand="0" w:oddHBand="0" w:evenHBand="0" w:firstRowFirstColumn="0" w:firstRowLastColumn="0" w:lastRowFirstColumn="0" w:lastRowLastColumn="0"/>
              <w:rPr>
                <w:rFonts w:cs="Arial"/>
                <w:szCs w:val="22"/>
              </w:rPr>
            </w:pPr>
            <w:r w:rsidRPr="00D45198">
              <w:rPr>
                <w:rFonts w:cs="Arial"/>
                <w:szCs w:val="22"/>
              </w:rPr>
              <w:t>Number of recipients</w:t>
            </w:r>
          </w:p>
        </w:tc>
      </w:tr>
      <w:tr w:rsidR="00BF2A7E" w:rsidRPr="001F296B" w14:paraId="451D2C94" w14:textId="77777777" w:rsidTr="00BF2A7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15" w:type="dxa"/>
            <w:vMerge w:val="restart"/>
            <w:hideMark/>
          </w:tcPr>
          <w:p w14:paraId="1B394ABE" w14:textId="77777777" w:rsidR="00BF2A7E" w:rsidRPr="00D45198" w:rsidRDefault="00BF2A7E" w:rsidP="00BA2418">
            <w:pPr>
              <w:rPr>
                <w:rFonts w:cs="Arial"/>
                <w:szCs w:val="22"/>
              </w:rPr>
            </w:pPr>
            <w:r w:rsidRPr="00D45198">
              <w:rPr>
                <w:rFonts w:cs="Arial"/>
                <w:szCs w:val="22"/>
              </w:rPr>
              <w:t>Decrease in payment</w:t>
            </w:r>
          </w:p>
        </w:tc>
        <w:tc>
          <w:tcPr>
            <w:tcW w:w="3094" w:type="dxa"/>
            <w:tcBorders>
              <w:top w:val="single" w:sz="4" w:space="0" w:color="FFFFFF" w:themeColor="background1"/>
              <w:bottom w:val="single" w:sz="4" w:space="0" w:color="auto"/>
            </w:tcBorders>
            <w:noWrap/>
            <w:vAlign w:val="center"/>
            <w:hideMark/>
          </w:tcPr>
          <w:p w14:paraId="7FF51670" w14:textId="77777777" w:rsidR="00BF2A7E" w:rsidRPr="00D45198" w:rsidRDefault="00BF2A7E" w:rsidP="00D45198">
            <w:pPr>
              <w:jc w:val="center"/>
              <w:cnfStyle w:val="000000100000" w:firstRow="0" w:lastRow="0" w:firstColumn="0" w:lastColumn="0" w:oddVBand="0" w:evenVBand="0" w:oddHBand="1" w:evenHBand="0" w:firstRowFirstColumn="0" w:firstRowLastColumn="0" w:lastRowFirstColumn="0" w:lastRowLastColumn="0"/>
              <w:rPr>
                <w:rFonts w:cs="Arial"/>
                <w:szCs w:val="22"/>
              </w:rPr>
            </w:pPr>
            <w:r w:rsidRPr="00D45198">
              <w:rPr>
                <w:rFonts w:cs="Arial"/>
                <w:szCs w:val="22"/>
              </w:rPr>
              <w:t>$30+</w:t>
            </w:r>
          </w:p>
        </w:tc>
        <w:tc>
          <w:tcPr>
            <w:tcW w:w="3224" w:type="dxa"/>
            <w:tcBorders>
              <w:top w:val="single" w:sz="4" w:space="0" w:color="FFFFFF" w:themeColor="background1"/>
              <w:bottom w:val="single" w:sz="4" w:space="0" w:color="auto"/>
            </w:tcBorders>
            <w:noWrap/>
            <w:vAlign w:val="center"/>
            <w:hideMark/>
          </w:tcPr>
          <w:p w14:paraId="786AC876" w14:textId="77777777" w:rsidR="00BF2A7E" w:rsidRPr="00D45198" w:rsidRDefault="00BF2A7E" w:rsidP="00D45198">
            <w:pPr>
              <w:jc w:val="center"/>
              <w:cnfStyle w:val="000000100000" w:firstRow="0" w:lastRow="0" w:firstColumn="0" w:lastColumn="0" w:oddVBand="0" w:evenVBand="0" w:oddHBand="1" w:evenHBand="0" w:firstRowFirstColumn="0" w:firstRowLastColumn="0" w:lastRowFirstColumn="0" w:lastRowLastColumn="0"/>
              <w:rPr>
                <w:rFonts w:cs="Arial"/>
                <w:szCs w:val="22"/>
              </w:rPr>
            </w:pPr>
            <w:r w:rsidRPr="00D45198">
              <w:rPr>
                <w:rFonts w:cs="Arial"/>
                <w:szCs w:val="22"/>
              </w:rPr>
              <w:t>4,200</w:t>
            </w:r>
          </w:p>
        </w:tc>
      </w:tr>
      <w:tr w:rsidR="00BF2A7E" w:rsidRPr="00BA2418" w14:paraId="2D6084B6" w14:textId="77777777" w:rsidTr="00BF2A7E">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1A63B9AC" w14:textId="77777777" w:rsidR="00BF2A7E" w:rsidRPr="00D45198" w:rsidRDefault="00BF2A7E" w:rsidP="00BA2418">
            <w:pPr>
              <w:rPr>
                <w:rFonts w:cs="Arial"/>
                <w:bCs/>
                <w:sz w:val="20"/>
                <w:szCs w:val="20"/>
              </w:rPr>
            </w:pPr>
          </w:p>
        </w:tc>
        <w:tc>
          <w:tcPr>
            <w:tcW w:w="3094" w:type="dxa"/>
            <w:tcBorders>
              <w:top w:val="single" w:sz="4" w:space="0" w:color="auto"/>
              <w:bottom w:val="single" w:sz="4" w:space="0" w:color="auto"/>
            </w:tcBorders>
            <w:noWrap/>
            <w:vAlign w:val="center"/>
            <w:hideMark/>
          </w:tcPr>
          <w:p w14:paraId="7ED6B22E" w14:textId="0D6B2684" w:rsidR="00BF2A7E" w:rsidRPr="00D45198" w:rsidRDefault="00BF2A7E" w:rsidP="00D45198">
            <w:pPr>
              <w:jc w:val="center"/>
              <w:cnfStyle w:val="000000000000" w:firstRow="0" w:lastRow="0" w:firstColumn="0" w:lastColumn="0" w:oddVBand="0" w:evenVBand="0" w:oddHBand="0" w:evenHBand="0" w:firstRowFirstColumn="0" w:firstRowLastColumn="0" w:lastRowFirstColumn="0" w:lastRowLastColumn="0"/>
              <w:rPr>
                <w:rFonts w:cs="Arial"/>
                <w:szCs w:val="22"/>
              </w:rPr>
            </w:pPr>
            <w:r w:rsidRPr="00D45198">
              <w:rPr>
                <w:rFonts w:cs="Arial"/>
                <w:szCs w:val="22"/>
              </w:rPr>
              <w:t>$20 – $29</w:t>
            </w:r>
          </w:p>
        </w:tc>
        <w:tc>
          <w:tcPr>
            <w:tcW w:w="3224" w:type="dxa"/>
            <w:tcBorders>
              <w:top w:val="single" w:sz="4" w:space="0" w:color="auto"/>
              <w:bottom w:val="single" w:sz="4" w:space="0" w:color="auto"/>
            </w:tcBorders>
            <w:noWrap/>
            <w:vAlign w:val="center"/>
            <w:hideMark/>
          </w:tcPr>
          <w:p w14:paraId="0D7E7F7B" w14:textId="77777777" w:rsidR="00BF2A7E" w:rsidRPr="00D45198" w:rsidRDefault="00BF2A7E" w:rsidP="00D45198">
            <w:pPr>
              <w:jc w:val="center"/>
              <w:cnfStyle w:val="000000000000" w:firstRow="0" w:lastRow="0" w:firstColumn="0" w:lastColumn="0" w:oddVBand="0" w:evenVBand="0" w:oddHBand="0" w:evenHBand="0" w:firstRowFirstColumn="0" w:firstRowLastColumn="0" w:lastRowFirstColumn="0" w:lastRowLastColumn="0"/>
              <w:rPr>
                <w:rFonts w:cs="Arial"/>
                <w:szCs w:val="22"/>
              </w:rPr>
            </w:pPr>
            <w:r w:rsidRPr="00D45198">
              <w:rPr>
                <w:rFonts w:cs="Arial"/>
                <w:szCs w:val="22"/>
              </w:rPr>
              <w:t>7,300</w:t>
            </w:r>
          </w:p>
        </w:tc>
      </w:tr>
      <w:tr w:rsidR="00BF2A7E" w:rsidRPr="001F296B" w14:paraId="467D1F0E" w14:textId="77777777" w:rsidTr="00BF2A7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3A52EFE" w14:textId="77777777" w:rsidR="00BF2A7E" w:rsidRPr="00D45198" w:rsidRDefault="00BF2A7E" w:rsidP="00BA2418">
            <w:pPr>
              <w:rPr>
                <w:rFonts w:cs="Arial"/>
                <w:szCs w:val="22"/>
              </w:rPr>
            </w:pPr>
          </w:p>
        </w:tc>
        <w:tc>
          <w:tcPr>
            <w:tcW w:w="3094" w:type="dxa"/>
            <w:tcBorders>
              <w:top w:val="single" w:sz="4" w:space="0" w:color="auto"/>
              <w:bottom w:val="single" w:sz="4" w:space="0" w:color="auto"/>
            </w:tcBorders>
            <w:noWrap/>
            <w:vAlign w:val="center"/>
            <w:hideMark/>
          </w:tcPr>
          <w:p w14:paraId="0308B64C" w14:textId="13F0B9B9" w:rsidR="00BF2A7E" w:rsidRPr="00D45198" w:rsidRDefault="00BF2A7E" w:rsidP="00D45198">
            <w:pPr>
              <w:jc w:val="center"/>
              <w:cnfStyle w:val="000000100000" w:firstRow="0" w:lastRow="0" w:firstColumn="0" w:lastColumn="0" w:oddVBand="0" w:evenVBand="0" w:oddHBand="1" w:evenHBand="0" w:firstRowFirstColumn="0" w:firstRowLastColumn="0" w:lastRowFirstColumn="0" w:lastRowLastColumn="0"/>
              <w:rPr>
                <w:rFonts w:cs="Arial"/>
                <w:szCs w:val="22"/>
              </w:rPr>
            </w:pPr>
            <w:r w:rsidRPr="00D45198">
              <w:rPr>
                <w:rFonts w:cs="Arial"/>
                <w:szCs w:val="22"/>
              </w:rPr>
              <w:t>$10 – $19</w:t>
            </w:r>
          </w:p>
        </w:tc>
        <w:tc>
          <w:tcPr>
            <w:tcW w:w="3224" w:type="dxa"/>
            <w:tcBorders>
              <w:top w:val="single" w:sz="4" w:space="0" w:color="auto"/>
              <w:bottom w:val="single" w:sz="4" w:space="0" w:color="auto"/>
            </w:tcBorders>
            <w:noWrap/>
            <w:vAlign w:val="center"/>
            <w:hideMark/>
          </w:tcPr>
          <w:p w14:paraId="004623EE" w14:textId="77777777" w:rsidR="00BF2A7E" w:rsidRPr="00D45198" w:rsidRDefault="00BF2A7E" w:rsidP="00D45198">
            <w:pPr>
              <w:jc w:val="center"/>
              <w:cnfStyle w:val="000000100000" w:firstRow="0" w:lastRow="0" w:firstColumn="0" w:lastColumn="0" w:oddVBand="0" w:evenVBand="0" w:oddHBand="1" w:evenHBand="0" w:firstRowFirstColumn="0" w:firstRowLastColumn="0" w:lastRowFirstColumn="0" w:lastRowLastColumn="0"/>
              <w:rPr>
                <w:rFonts w:cs="Arial"/>
                <w:szCs w:val="22"/>
              </w:rPr>
            </w:pPr>
            <w:r w:rsidRPr="00D45198">
              <w:rPr>
                <w:rFonts w:cs="Arial"/>
                <w:szCs w:val="22"/>
              </w:rPr>
              <w:t>21,100</w:t>
            </w:r>
          </w:p>
        </w:tc>
      </w:tr>
      <w:tr w:rsidR="00BF2A7E" w:rsidRPr="00BA2418" w14:paraId="1E34EDCB" w14:textId="77777777" w:rsidTr="00BF2A7E">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4692D72F" w14:textId="77777777" w:rsidR="00BF2A7E" w:rsidRPr="00D45198" w:rsidRDefault="00BF2A7E" w:rsidP="00BA2418">
            <w:pPr>
              <w:rPr>
                <w:rFonts w:cs="Arial"/>
                <w:bCs/>
                <w:sz w:val="20"/>
                <w:szCs w:val="20"/>
              </w:rPr>
            </w:pPr>
          </w:p>
        </w:tc>
        <w:tc>
          <w:tcPr>
            <w:tcW w:w="3094" w:type="dxa"/>
            <w:tcBorders>
              <w:top w:val="single" w:sz="4" w:space="0" w:color="auto"/>
              <w:bottom w:val="single" w:sz="4" w:space="0" w:color="auto"/>
            </w:tcBorders>
            <w:noWrap/>
            <w:vAlign w:val="center"/>
            <w:hideMark/>
          </w:tcPr>
          <w:p w14:paraId="0A55F846" w14:textId="0857309D" w:rsidR="00BF2A7E" w:rsidRPr="00D45198" w:rsidRDefault="00BF2A7E" w:rsidP="00D45198">
            <w:pPr>
              <w:jc w:val="center"/>
              <w:cnfStyle w:val="000000000000" w:firstRow="0" w:lastRow="0" w:firstColumn="0" w:lastColumn="0" w:oddVBand="0" w:evenVBand="0" w:oddHBand="0" w:evenHBand="0" w:firstRowFirstColumn="0" w:firstRowLastColumn="0" w:lastRowFirstColumn="0" w:lastRowLastColumn="0"/>
              <w:rPr>
                <w:rFonts w:cs="Arial"/>
                <w:szCs w:val="22"/>
              </w:rPr>
            </w:pPr>
            <w:r w:rsidRPr="00D45198">
              <w:rPr>
                <w:rFonts w:cs="Arial"/>
                <w:szCs w:val="22"/>
              </w:rPr>
              <w:t>$0 – $9</w:t>
            </w:r>
          </w:p>
        </w:tc>
        <w:tc>
          <w:tcPr>
            <w:tcW w:w="3224" w:type="dxa"/>
            <w:tcBorders>
              <w:top w:val="single" w:sz="4" w:space="0" w:color="auto"/>
              <w:bottom w:val="single" w:sz="4" w:space="0" w:color="auto"/>
            </w:tcBorders>
            <w:noWrap/>
            <w:vAlign w:val="center"/>
            <w:hideMark/>
          </w:tcPr>
          <w:p w14:paraId="1F2252E0" w14:textId="77777777" w:rsidR="00BF2A7E" w:rsidRPr="00D45198" w:rsidRDefault="00BF2A7E" w:rsidP="00D45198">
            <w:pPr>
              <w:jc w:val="center"/>
              <w:cnfStyle w:val="000000000000" w:firstRow="0" w:lastRow="0" w:firstColumn="0" w:lastColumn="0" w:oddVBand="0" w:evenVBand="0" w:oddHBand="0" w:evenHBand="0" w:firstRowFirstColumn="0" w:firstRowLastColumn="0" w:lastRowFirstColumn="0" w:lastRowLastColumn="0"/>
              <w:rPr>
                <w:rFonts w:cs="Arial"/>
                <w:szCs w:val="22"/>
              </w:rPr>
            </w:pPr>
            <w:r w:rsidRPr="00D45198">
              <w:rPr>
                <w:rFonts w:cs="Arial"/>
                <w:szCs w:val="22"/>
              </w:rPr>
              <w:t>66,200</w:t>
            </w:r>
          </w:p>
        </w:tc>
      </w:tr>
      <w:tr w:rsidR="00BF2A7E" w:rsidRPr="00BA2418" w14:paraId="675E000D" w14:textId="77777777" w:rsidTr="00BF2A7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46ABBC1" w14:textId="77777777" w:rsidR="00BF2A7E" w:rsidRPr="00D45198" w:rsidRDefault="00BF2A7E" w:rsidP="00BA2418">
            <w:pPr>
              <w:rPr>
                <w:rFonts w:cs="Arial"/>
                <w:bCs/>
                <w:sz w:val="20"/>
                <w:szCs w:val="20"/>
              </w:rPr>
            </w:pPr>
          </w:p>
        </w:tc>
        <w:tc>
          <w:tcPr>
            <w:tcW w:w="3094" w:type="dxa"/>
            <w:tcBorders>
              <w:top w:val="single" w:sz="4" w:space="0" w:color="auto"/>
              <w:bottom w:val="single" w:sz="4" w:space="0" w:color="auto"/>
            </w:tcBorders>
            <w:noWrap/>
            <w:vAlign w:val="center"/>
          </w:tcPr>
          <w:p w14:paraId="6DB1B64C" w14:textId="77777777" w:rsidR="00BF2A7E" w:rsidRPr="00B635A8" w:rsidRDefault="00BF2A7E" w:rsidP="00D45198">
            <w:pPr>
              <w:jc w:val="center"/>
              <w:cnfStyle w:val="000000100000" w:firstRow="0" w:lastRow="0" w:firstColumn="0" w:lastColumn="0" w:oddVBand="0" w:evenVBand="0" w:oddHBand="1" w:evenHBand="0" w:firstRowFirstColumn="0" w:firstRowLastColumn="0" w:lastRowFirstColumn="0" w:lastRowLastColumn="0"/>
              <w:rPr>
                <w:rFonts w:cs="Arial"/>
                <w:b/>
                <w:szCs w:val="22"/>
              </w:rPr>
            </w:pPr>
            <w:r w:rsidRPr="009E5C9E">
              <w:rPr>
                <w:rFonts w:cs="Arial"/>
                <w:b/>
                <w:bCs/>
                <w:szCs w:val="22"/>
              </w:rPr>
              <w:t xml:space="preserve">Total </w:t>
            </w:r>
          </w:p>
        </w:tc>
        <w:tc>
          <w:tcPr>
            <w:tcW w:w="3224" w:type="dxa"/>
            <w:tcBorders>
              <w:top w:val="single" w:sz="4" w:space="0" w:color="auto"/>
              <w:bottom w:val="single" w:sz="4" w:space="0" w:color="auto"/>
            </w:tcBorders>
            <w:noWrap/>
            <w:vAlign w:val="center"/>
          </w:tcPr>
          <w:p w14:paraId="55AB83FC" w14:textId="77777777" w:rsidR="00BF2A7E" w:rsidRDefault="00BF2A7E" w:rsidP="00D45198">
            <w:pPr>
              <w:jc w:val="center"/>
              <w:cnfStyle w:val="000000100000" w:firstRow="0" w:lastRow="0" w:firstColumn="0" w:lastColumn="0" w:oddVBand="0" w:evenVBand="0" w:oddHBand="1" w:evenHBand="0" w:firstRowFirstColumn="0" w:firstRowLastColumn="0" w:lastRowFirstColumn="0" w:lastRowLastColumn="0"/>
              <w:rPr>
                <w:rFonts w:cs="Arial"/>
                <w:b/>
                <w:szCs w:val="22"/>
              </w:rPr>
            </w:pPr>
            <w:r>
              <w:rPr>
                <w:rFonts w:cs="Arial"/>
                <w:b/>
                <w:bCs/>
                <w:szCs w:val="22"/>
              </w:rPr>
              <w:t>98,800</w:t>
            </w:r>
          </w:p>
        </w:tc>
      </w:tr>
      <w:tr w:rsidR="00BF2A7E" w:rsidRPr="001F296B" w14:paraId="17D67CD5" w14:textId="77777777" w:rsidTr="00BF2A7E">
        <w:trPr>
          <w:trHeight w:val="300"/>
          <w:jc w:val="center"/>
        </w:trPr>
        <w:tc>
          <w:tcPr>
            <w:cnfStyle w:val="001000000000" w:firstRow="0" w:lastRow="0" w:firstColumn="1" w:lastColumn="0" w:oddVBand="0" w:evenVBand="0" w:oddHBand="0" w:evenHBand="0" w:firstRowFirstColumn="0" w:firstRowLastColumn="0" w:lastRowFirstColumn="0" w:lastRowLastColumn="0"/>
            <w:tcW w:w="3315" w:type="dxa"/>
            <w:vMerge w:val="restart"/>
            <w:hideMark/>
          </w:tcPr>
          <w:p w14:paraId="4F40167D" w14:textId="77777777" w:rsidR="00BF2A7E" w:rsidRPr="00D45198" w:rsidRDefault="00BF2A7E" w:rsidP="00BA2418">
            <w:pPr>
              <w:rPr>
                <w:rFonts w:cs="Arial"/>
                <w:szCs w:val="22"/>
              </w:rPr>
            </w:pPr>
            <w:r w:rsidRPr="00D45198">
              <w:rPr>
                <w:rFonts w:cs="Arial"/>
                <w:szCs w:val="22"/>
              </w:rPr>
              <w:t>Increase in payment</w:t>
            </w:r>
          </w:p>
        </w:tc>
        <w:tc>
          <w:tcPr>
            <w:tcW w:w="3094" w:type="dxa"/>
            <w:tcBorders>
              <w:top w:val="single" w:sz="4" w:space="0" w:color="auto"/>
              <w:bottom w:val="single" w:sz="4" w:space="0" w:color="auto"/>
            </w:tcBorders>
            <w:noWrap/>
            <w:vAlign w:val="center"/>
            <w:hideMark/>
          </w:tcPr>
          <w:p w14:paraId="68AB9319" w14:textId="7FDF536A" w:rsidR="00BF2A7E" w:rsidRPr="00D45198" w:rsidRDefault="00BF2A7E" w:rsidP="00D45198">
            <w:pPr>
              <w:jc w:val="center"/>
              <w:cnfStyle w:val="000000000000" w:firstRow="0" w:lastRow="0" w:firstColumn="0" w:lastColumn="0" w:oddVBand="0" w:evenVBand="0" w:oddHBand="0" w:evenHBand="0" w:firstRowFirstColumn="0" w:firstRowLastColumn="0" w:lastRowFirstColumn="0" w:lastRowLastColumn="0"/>
              <w:rPr>
                <w:rFonts w:cs="Arial"/>
                <w:szCs w:val="22"/>
              </w:rPr>
            </w:pPr>
            <w:r w:rsidRPr="00D45198">
              <w:rPr>
                <w:rFonts w:cs="Arial"/>
                <w:szCs w:val="22"/>
              </w:rPr>
              <w:t>$0 – $9</w:t>
            </w:r>
          </w:p>
        </w:tc>
        <w:tc>
          <w:tcPr>
            <w:tcW w:w="3224" w:type="dxa"/>
            <w:tcBorders>
              <w:top w:val="single" w:sz="4" w:space="0" w:color="auto"/>
              <w:bottom w:val="single" w:sz="4" w:space="0" w:color="auto"/>
            </w:tcBorders>
            <w:noWrap/>
            <w:vAlign w:val="center"/>
            <w:hideMark/>
          </w:tcPr>
          <w:p w14:paraId="19372730" w14:textId="77777777" w:rsidR="00BF2A7E" w:rsidRPr="00D45198" w:rsidRDefault="00BF2A7E" w:rsidP="00D45198">
            <w:pPr>
              <w:jc w:val="center"/>
              <w:cnfStyle w:val="000000000000" w:firstRow="0" w:lastRow="0" w:firstColumn="0" w:lastColumn="0" w:oddVBand="0" w:evenVBand="0" w:oddHBand="0" w:evenHBand="0" w:firstRowFirstColumn="0" w:firstRowLastColumn="0" w:lastRowFirstColumn="0" w:lastRowLastColumn="0"/>
              <w:rPr>
                <w:rFonts w:cs="Arial"/>
                <w:szCs w:val="22"/>
              </w:rPr>
            </w:pPr>
            <w:r w:rsidRPr="00D45198">
              <w:rPr>
                <w:rFonts w:cs="Arial"/>
                <w:szCs w:val="22"/>
              </w:rPr>
              <w:t>146,300</w:t>
            </w:r>
          </w:p>
        </w:tc>
      </w:tr>
      <w:tr w:rsidR="00BF2A7E" w:rsidRPr="00BA2418" w14:paraId="2E19B1D5" w14:textId="77777777" w:rsidTr="00BF2A7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022977E2" w14:textId="77777777" w:rsidR="00BF2A7E" w:rsidRPr="00D45198" w:rsidRDefault="00BF2A7E" w:rsidP="00BA2418">
            <w:pPr>
              <w:rPr>
                <w:rFonts w:cs="Arial"/>
                <w:bCs/>
                <w:sz w:val="20"/>
                <w:szCs w:val="20"/>
              </w:rPr>
            </w:pPr>
          </w:p>
        </w:tc>
        <w:tc>
          <w:tcPr>
            <w:tcW w:w="3094" w:type="dxa"/>
            <w:tcBorders>
              <w:top w:val="single" w:sz="4" w:space="0" w:color="auto"/>
              <w:bottom w:val="single" w:sz="4" w:space="0" w:color="auto"/>
            </w:tcBorders>
            <w:noWrap/>
            <w:vAlign w:val="center"/>
            <w:hideMark/>
          </w:tcPr>
          <w:p w14:paraId="0BE8C58A" w14:textId="35C072AC" w:rsidR="00BF2A7E" w:rsidRPr="00D45198" w:rsidRDefault="00BF2A7E" w:rsidP="00D45198">
            <w:pPr>
              <w:jc w:val="center"/>
              <w:cnfStyle w:val="000000100000" w:firstRow="0" w:lastRow="0" w:firstColumn="0" w:lastColumn="0" w:oddVBand="0" w:evenVBand="0" w:oddHBand="1" w:evenHBand="0" w:firstRowFirstColumn="0" w:firstRowLastColumn="0" w:lastRowFirstColumn="0" w:lastRowLastColumn="0"/>
              <w:rPr>
                <w:rFonts w:cs="Arial"/>
                <w:szCs w:val="22"/>
              </w:rPr>
            </w:pPr>
            <w:r w:rsidRPr="00D45198">
              <w:rPr>
                <w:rFonts w:cs="Arial"/>
                <w:szCs w:val="22"/>
              </w:rPr>
              <w:t>$10 – $19</w:t>
            </w:r>
          </w:p>
        </w:tc>
        <w:tc>
          <w:tcPr>
            <w:tcW w:w="3224" w:type="dxa"/>
            <w:tcBorders>
              <w:top w:val="single" w:sz="4" w:space="0" w:color="auto"/>
              <w:bottom w:val="single" w:sz="4" w:space="0" w:color="auto"/>
            </w:tcBorders>
            <w:noWrap/>
            <w:vAlign w:val="center"/>
            <w:hideMark/>
          </w:tcPr>
          <w:p w14:paraId="7BEEE798" w14:textId="77777777" w:rsidR="00BF2A7E" w:rsidRPr="00D45198" w:rsidRDefault="00BF2A7E" w:rsidP="00D45198">
            <w:pPr>
              <w:jc w:val="center"/>
              <w:cnfStyle w:val="000000100000" w:firstRow="0" w:lastRow="0" w:firstColumn="0" w:lastColumn="0" w:oddVBand="0" w:evenVBand="0" w:oddHBand="1" w:evenHBand="0" w:firstRowFirstColumn="0" w:firstRowLastColumn="0" w:lastRowFirstColumn="0" w:lastRowLastColumn="0"/>
              <w:rPr>
                <w:rFonts w:cs="Arial"/>
                <w:szCs w:val="22"/>
              </w:rPr>
            </w:pPr>
            <w:r w:rsidRPr="00D45198">
              <w:rPr>
                <w:rFonts w:cs="Arial"/>
                <w:szCs w:val="22"/>
              </w:rPr>
              <w:t>364,400</w:t>
            </w:r>
          </w:p>
        </w:tc>
      </w:tr>
      <w:tr w:rsidR="00BF2A7E" w:rsidRPr="001F296B" w14:paraId="0B5F2D26" w14:textId="77777777" w:rsidTr="00BF2A7E">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4CF583DD" w14:textId="77777777" w:rsidR="00BF2A7E" w:rsidRPr="00D45198" w:rsidRDefault="00BF2A7E" w:rsidP="00BA2418">
            <w:pPr>
              <w:rPr>
                <w:rFonts w:cs="Arial"/>
                <w:bCs/>
                <w:sz w:val="20"/>
                <w:szCs w:val="20"/>
              </w:rPr>
            </w:pPr>
          </w:p>
        </w:tc>
        <w:tc>
          <w:tcPr>
            <w:tcW w:w="3094" w:type="dxa"/>
            <w:tcBorders>
              <w:top w:val="single" w:sz="4" w:space="0" w:color="auto"/>
              <w:bottom w:val="single" w:sz="4" w:space="0" w:color="auto"/>
            </w:tcBorders>
            <w:noWrap/>
            <w:vAlign w:val="center"/>
            <w:hideMark/>
          </w:tcPr>
          <w:p w14:paraId="01D0A5D5" w14:textId="0548FA07" w:rsidR="00BF2A7E" w:rsidRPr="00D45198" w:rsidRDefault="00BF2A7E" w:rsidP="00D45198">
            <w:pPr>
              <w:jc w:val="center"/>
              <w:cnfStyle w:val="000000000000" w:firstRow="0" w:lastRow="0" w:firstColumn="0" w:lastColumn="0" w:oddVBand="0" w:evenVBand="0" w:oddHBand="0" w:evenHBand="0" w:firstRowFirstColumn="0" w:firstRowLastColumn="0" w:lastRowFirstColumn="0" w:lastRowLastColumn="0"/>
              <w:rPr>
                <w:rFonts w:cs="Arial"/>
                <w:szCs w:val="22"/>
              </w:rPr>
            </w:pPr>
            <w:r w:rsidRPr="00D45198">
              <w:rPr>
                <w:rFonts w:cs="Arial"/>
                <w:szCs w:val="22"/>
              </w:rPr>
              <w:t>$20 – $29</w:t>
            </w:r>
          </w:p>
        </w:tc>
        <w:tc>
          <w:tcPr>
            <w:tcW w:w="3224" w:type="dxa"/>
            <w:tcBorders>
              <w:top w:val="single" w:sz="4" w:space="0" w:color="auto"/>
              <w:bottom w:val="single" w:sz="4" w:space="0" w:color="auto"/>
            </w:tcBorders>
            <w:noWrap/>
            <w:vAlign w:val="center"/>
            <w:hideMark/>
          </w:tcPr>
          <w:p w14:paraId="3C76891D" w14:textId="77777777" w:rsidR="00BF2A7E" w:rsidRPr="00D45198" w:rsidRDefault="00BF2A7E" w:rsidP="00D45198">
            <w:pPr>
              <w:jc w:val="center"/>
              <w:cnfStyle w:val="000000000000" w:firstRow="0" w:lastRow="0" w:firstColumn="0" w:lastColumn="0" w:oddVBand="0" w:evenVBand="0" w:oddHBand="0" w:evenHBand="0" w:firstRowFirstColumn="0" w:firstRowLastColumn="0" w:lastRowFirstColumn="0" w:lastRowLastColumn="0"/>
              <w:rPr>
                <w:rFonts w:cs="Arial"/>
                <w:szCs w:val="22"/>
              </w:rPr>
            </w:pPr>
            <w:r w:rsidRPr="00D45198">
              <w:rPr>
                <w:rFonts w:cs="Arial"/>
                <w:szCs w:val="22"/>
              </w:rPr>
              <w:t>280,500</w:t>
            </w:r>
          </w:p>
        </w:tc>
      </w:tr>
      <w:tr w:rsidR="00BF2A7E" w:rsidRPr="00BA2418" w14:paraId="51A30DF7" w14:textId="77777777" w:rsidTr="00BF2A7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2DC40BAB" w14:textId="77777777" w:rsidR="00BF2A7E" w:rsidRPr="00D45198" w:rsidRDefault="00BF2A7E" w:rsidP="00BA2418">
            <w:pPr>
              <w:rPr>
                <w:rFonts w:cs="Arial"/>
                <w:bCs/>
                <w:sz w:val="20"/>
                <w:szCs w:val="20"/>
              </w:rPr>
            </w:pPr>
          </w:p>
        </w:tc>
        <w:tc>
          <w:tcPr>
            <w:tcW w:w="3094" w:type="dxa"/>
            <w:tcBorders>
              <w:top w:val="single" w:sz="4" w:space="0" w:color="auto"/>
              <w:bottom w:val="single" w:sz="4" w:space="0" w:color="auto"/>
            </w:tcBorders>
            <w:noWrap/>
            <w:vAlign w:val="center"/>
            <w:hideMark/>
          </w:tcPr>
          <w:p w14:paraId="550068ED" w14:textId="77777777" w:rsidR="00BF2A7E" w:rsidRPr="00D45198" w:rsidRDefault="00BF2A7E" w:rsidP="00D45198">
            <w:pPr>
              <w:jc w:val="center"/>
              <w:cnfStyle w:val="000000100000" w:firstRow="0" w:lastRow="0" w:firstColumn="0" w:lastColumn="0" w:oddVBand="0" w:evenVBand="0" w:oddHBand="1" w:evenHBand="0" w:firstRowFirstColumn="0" w:firstRowLastColumn="0" w:lastRowFirstColumn="0" w:lastRowLastColumn="0"/>
              <w:rPr>
                <w:rFonts w:cs="Arial"/>
                <w:szCs w:val="22"/>
              </w:rPr>
            </w:pPr>
            <w:r w:rsidRPr="00D45198">
              <w:rPr>
                <w:rFonts w:cs="Arial"/>
                <w:szCs w:val="22"/>
              </w:rPr>
              <w:t>$30+</w:t>
            </w:r>
          </w:p>
        </w:tc>
        <w:tc>
          <w:tcPr>
            <w:tcW w:w="3224" w:type="dxa"/>
            <w:tcBorders>
              <w:top w:val="single" w:sz="4" w:space="0" w:color="auto"/>
              <w:bottom w:val="single" w:sz="4" w:space="0" w:color="auto"/>
            </w:tcBorders>
            <w:noWrap/>
            <w:vAlign w:val="center"/>
            <w:hideMark/>
          </w:tcPr>
          <w:p w14:paraId="0BC622B8" w14:textId="77777777" w:rsidR="00BF2A7E" w:rsidRPr="00D45198" w:rsidRDefault="00BF2A7E" w:rsidP="00D45198">
            <w:pPr>
              <w:jc w:val="center"/>
              <w:cnfStyle w:val="000000100000" w:firstRow="0" w:lastRow="0" w:firstColumn="0" w:lastColumn="0" w:oddVBand="0" w:evenVBand="0" w:oddHBand="1" w:evenHBand="0" w:firstRowFirstColumn="0" w:firstRowLastColumn="0" w:lastRowFirstColumn="0" w:lastRowLastColumn="0"/>
              <w:rPr>
                <w:rFonts w:cs="Arial"/>
                <w:szCs w:val="22"/>
              </w:rPr>
            </w:pPr>
            <w:r w:rsidRPr="00D45198">
              <w:rPr>
                <w:rFonts w:cs="Arial"/>
                <w:szCs w:val="22"/>
              </w:rPr>
              <w:t>17,000</w:t>
            </w:r>
          </w:p>
        </w:tc>
      </w:tr>
      <w:tr w:rsidR="00BF2A7E" w:rsidRPr="00BA2418" w14:paraId="575A2C4E" w14:textId="77777777" w:rsidTr="00BF2A7E">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2A0987BE" w14:textId="77777777" w:rsidR="00BF2A7E" w:rsidRPr="00D45198" w:rsidRDefault="00BF2A7E" w:rsidP="00BA2418">
            <w:pPr>
              <w:rPr>
                <w:rFonts w:cs="Arial"/>
                <w:bCs/>
                <w:sz w:val="20"/>
                <w:szCs w:val="20"/>
              </w:rPr>
            </w:pPr>
          </w:p>
        </w:tc>
        <w:tc>
          <w:tcPr>
            <w:tcW w:w="3094" w:type="dxa"/>
            <w:tcBorders>
              <w:top w:val="single" w:sz="4" w:space="0" w:color="auto"/>
              <w:bottom w:val="single" w:sz="4" w:space="0" w:color="auto"/>
            </w:tcBorders>
            <w:shd w:val="clear" w:color="auto" w:fill="FFFFFF" w:themeFill="background2"/>
            <w:noWrap/>
            <w:vAlign w:val="center"/>
          </w:tcPr>
          <w:p w14:paraId="4AA94D14" w14:textId="77777777" w:rsidR="00BF2A7E" w:rsidRPr="00F655CE" w:rsidRDefault="00BF2A7E" w:rsidP="00D45198">
            <w:pPr>
              <w:jc w:val="center"/>
              <w:cnfStyle w:val="000000000000" w:firstRow="0" w:lastRow="0" w:firstColumn="0" w:lastColumn="0" w:oddVBand="0" w:evenVBand="0" w:oddHBand="0" w:evenHBand="0" w:firstRowFirstColumn="0" w:firstRowLastColumn="0" w:lastRowFirstColumn="0" w:lastRowLastColumn="0"/>
              <w:rPr>
                <w:rFonts w:cs="Arial"/>
                <w:b/>
                <w:bCs/>
                <w:szCs w:val="22"/>
              </w:rPr>
            </w:pPr>
            <w:r w:rsidRPr="009E5C9E">
              <w:rPr>
                <w:rFonts w:cs="Arial"/>
                <w:b/>
                <w:bCs/>
                <w:szCs w:val="22"/>
              </w:rPr>
              <w:t>Total</w:t>
            </w:r>
          </w:p>
        </w:tc>
        <w:tc>
          <w:tcPr>
            <w:tcW w:w="3224" w:type="dxa"/>
            <w:tcBorders>
              <w:top w:val="single" w:sz="4" w:space="0" w:color="auto"/>
              <w:bottom w:val="single" w:sz="4" w:space="0" w:color="auto"/>
            </w:tcBorders>
            <w:shd w:val="clear" w:color="auto" w:fill="FFFFFF" w:themeFill="background2"/>
            <w:noWrap/>
            <w:vAlign w:val="center"/>
          </w:tcPr>
          <w:p w14:paraId="5BFED5ED" w14:textId="77777777" w:rsidR="00BF2A7E" w:rsidRPr="00F655CE" w:rsidRDefault="00BF2A7E" w:rsidP="00D45198">
            <w:pPr>
              <w:jc w:val="center"/>
              <w:cnfStyle w:val="000000000000" w:firstRow="0" w:lastRow="0" w:firstColumn="0" w:lastColumn="0" w:oddVBand="0" w:evenVBand="0" w:oddHBand="0" w:evenHBand="0" w:firstRowFirstColumn="0" w:firstRowLastColumn="0" w:lastRowFirstColumn="0" w:lastRowLastColumn="0"/>
              <w:rPr>
                <w:rFonts w:cs="Arial"/>
                <w:b/>
                <w:bCs/>
                <w:szCs w:val="22"/>
              </w:rPr>
            </w:pPr>
            <w:r w:rsidRPr="009E5C9E">
              <w:rPr>
                <w:rFonts w:cs="Arial"/>
                <w:b/>
                <w:bCs/>
                <w:szCs w:val="22"/>
              </w:rPr>
              <w:t>808,200</w:t>
            </w:r>
          </w:p>
        </w:tc>
      </w:tr>
    </w:tbl>
    <w:p w14:paraId="5AA8ED1F" w14:textId="2758E059" w:rsidR="004E34C3" w:rsidRPr="004556B4" w:rsidRDefault="00BA2418" w:rsidP="002C4B77">
      <w:pPr>
        <w:rPr>
          <w:rFonts w:cs="Arial"/>
          <w:i/>
          <w:sz w:val="18"/>
          <w:szCs w:val="18"/>
        </w:rPr>
      </w:pPr>
      <w:r w:rsidRPr="004556B4">
        <w:rPr>
          <w:rFonts w:cs="Arial"/>
          <w:i/>
          <w:sz w:val="18"/>
          <w:szCs w:val="18"/>
        </w:rPr>
        <w:t>Department of Social Services modelling. Estimates take into account the impact of indexation in the fortnight following 20 September 2025.</w:t>
      </w:r>
      <w:r w:rsidR="008C70A1" w:rsidRPr="004556B4">
        <w:rPr>
          <w:rFonts w:cs="Arial"/>
          <w:i/>
          <w:sz w:val="18"/>
          <w:szCs w:val="18"/>
        </w:rPr>
        <w:t xml:space="preserve"> Impacts rounded to the nearest dollar.</w:t>
      </w:r>
    </w:p>
    <w:p w14:paraId="370A43A4" w14:textId="60D470A5" w:rsidR="006A3791" w:rsidRDefault="00014261" w:rsidP="000225CD">
      <w:pPr>
        <w:spacing w:after="200" w:line="288" w:lineRule="auto"/>
        <w:rPr>
          <w:rFonts w:cs="Arial"/>
        </w:rPr>
      </w:pPr>
      <w:r>
        <w:rPr>
          <w:rFonts w:cs="Arial"/>
        </w:rPr>
        <w:t xml:space="preserve">To illustrate how this </w:t>
      </w:r>
      <w:r w:rsidR="00C40404">
        <w:rPr>
          <w:rFonts w:cs="Arial"/>
        </w:rPr>
        <w:t xml:space="preserve">option </w:t>
      </w:r>
      <w:r>
        <w:rPr>
          <w:rFonts w:cs="Arial"/>
        </w:rPr>
        <w:t xml:space="preserve">would impact </w:t>
      </w:r>
      <w:r w:rsidR="0062570C">
        <w:rPr>
          <w:rFonts w:cs="Arial"/>
        </w:rPr>
        <w:t>recipients</w:t>
      </w:r>
      <w:r w:rsidR="00BB10C3">
        <w:rPr>
          <w:rFonts w:cs="Arial"/>
        </w:rPr>
        <w:t xml:space="preserve"> with different levels</w:t>
      </w:r>
      <w:r w:rsidR="009B6694">
        <w:rPr>
          <w:rFonts w:cs="Arial"/>
        </w:rPr>
        <w:t xml:space="preserve"> of financial assets</w:t>
      </w:r>
      <w:r w:rsidR="0062570C">
        <w:rPr>
          <w:rFonts w:cs="Arial"/>
        </w:rPr>
        <w:t xml:space="preserve">, </w:t>
      </w:r>
      <w:r w:rsidR="007E2774">
        <w:rPr>
          <w:rFonts w:cs="Arial"/>
        </w:rPr>
        <w:t>T</w:t>
      </w:r>
      <w:r w:rsidR="00413431" w:rsidRPr="009371D1">
        <w:rPr>
          <w:rFonts w:cs="Arial"/>
        </w:rPr>
        <w:t>able</w:t>
      </w:r>
      <w:r w:rsidR="00B54C0B">
        <w:rPr>
          <w:rFonts w:cs="Arial"/>
        </w:rPr>
        <w:t>s</w:t>
      </w:r>
      <w:r w:rsidR="009B6694">
        <w:rPr>
          <w:rFonts w:cs="Arial"/>
        </w:rPr>
        <w:t> </w:t>
      </w:r>
      <w:r w:rsidR="006767D5">
        <w:rPr>
          <w:rFonts w:cs="Arial"/>
        </w:rPr>
        <w:t>6</w:t>
      </w:r>
      <w:r w:rsidR="00B54C0B">
        <w:rPr>
          <w:rFonts w:cs="Arial"/>
        </w:rPr>
        <w:t xml:space="preserve">a and </w:t>
      </w:r>
      <w:r w:rsidR="006767D5">
        <w:rPr>
          <w:rFonts w:cs="Arial"/>
        </w:rPr>
        <w:t>6</w:t>
      </w:r>
      <w:r w:rsidR="00B54C0B">
        <w:rPr>
          <w:rFonts w:cs="Arial"/>
        </w:rPr>
        <w:t>b</w:t>
      </w:r>
      <w:r w:rsidR="00413431" w:rsidRPr="009371D1">
        <w:rPr>
          <w:rFonts w:cs="Arial"/>
        </w:rPr>
        <w:t xml:space="preserve"> show </w:t>
      </w:r>
      <w:r w:rsidR="00687568" w:rsidRPr="009371D1">
        <w:rPr>
          <w:rFonts w:cs="Arial"/>
        </w:rPr>
        <w:t xml:space="preserve">the </w:t>
      </w:r>
      <w:r w:rsidR="00D56BE4">
        <w:rPr>
          <w:rFonts w:cs="Arial"/>
        </w:rPr>
        <w:t>modelled</w:t>
      </w:r>
      <w:r w:rsidR="00413431" w:rsidRPr="009371D1">
        <w:rPr>
          <w:rFonts w:cs="Arial"/>
        </w:rPr>
        <w:t xml:space="preserve"> net </w:t>
      </w:r>
      <w:r w:rsidR="00C3430A">
        <w:rPr>
          <w:rFonts w:cs="Arial"/>
        </w:rPr>
        <w:t>impact as at 20 September 2025</w:t>
      </w:r>
      <w:r w:rsidR="00C3430A" w:rsidRPr="009371D1">
        <w:rPr>
          <w:rFonts w:cs="Arial"/>
        </w:rPr>
        <w:t xml:space="preserve"> </w:t>
      </w:r>
      <w:r w:rsidR="00797290" w:rsidRPr="009371D1">
        <w:rPr>
          <w:rFonts w:cs="Arial"/>
        </w:rPr>
        <w:t>on</w:t>
      </w:r>
      <w:r w:rsidR="006A3791">
        <w:rPr>
          <w:rFonts w:cs="Arial"/>
        </w:rPr>
        <w:t>:</w:t>
      </w:r>
    </w:p>
    <w:p w14:paraId="06CB2FB0" w14:textId="7477C119" w:rsidR="00C11B62" w:rsidRPr="00D45198" w:rsidRDefault="00C11B62" w:rsidP="00D45198">
      <w:pPr>
        <w:pStyle w:val="ListParagraph"/>
        <w:numPr>
          <w:ilvl w:val="0"/>
          <w:numId w:val="40"/>
        </w:numPr>
        <w:contextualSpacing w:val="0"/>
        <w:rPr>
          <w:rFonts w:cs="Arial"/>
          <w:b/>
          <w:bCs/>
        </w:rPr>
      </w:pPr>
      <w:r>
        <w:rPr>
          <w:rFonts w:cs="Arial"/>
        </w:rPr>
        <w:t>A</w:t>
      </w:r>
      <w:r w:rsidR="00797290" w:rsidRPr="009371D1">
        <w:rPr>
          <w:rFonts w:cs="Arial"/>
        </w:rPr>
        <w:t xml:space="preserve"> single </w:t>
      </w:r>
      <w:r w:rsidR="00833F55">
        <w:rPr>
          <w:rFonts w:cs="Arial"/>
        </w:rPr>
        <w:t xml:space="preserve">age </w:t>
      </w:r>
      <w:r w:rsidR="00797290" w:rsidRPr="009371D1">
        <w:rPr>
          <w:rFonts w:cs="Arial"/>
        </w:rPr>
        <w:t xml:space="preserve">pensioner </w:t>
      </w:r>
      <w:r w:rsidR="00014261">
        <w:rPr>
          <w:rFonts w:cs="Arial"/>
        </w:rPr>
        <w:t xml:space="preserve">who owns their home and </w:t>
      </w:r>
      <w:r>
        <w:rPr>
          <w:rFonts w:cs="Arial"/>
        </w:rPr>
        <w:t>has no other income or assets.</w:t>
      </w:r>
    </w:p>
    <w:p w14:paraId="41A5AD9C" w14:textId="2EE20437" w:rsidR="00AE5870" w:rsidRDefault="00C11B62" w:rsidP="00AE5870">
      <w:pPr>
        <w:pStyle w:val="ListParagraph"/>
        <w:numPr>
          <w:ilvl w:val="0"/>
          <w:numId w:val="40"/>
        </w:numPr>
        <w:spacing w:before="120" w:after="200" w:line="288" w:lineRule="auto"/>
        <w:ind w:left="714" w:hanging="357"/>
        <w:contextualSpacing w:val="0"/>
        <w:rPr>
          <w:rFonts w:cs="Arial"/>
        </w:rPr>
      </w:pPr>
      <w:r w:rsidRPr="00A25D82">
        <w:rPr>
          <w:rFonts w:cs="Arial"/>
        </w:rPr>
        <w:t>A</w:t>
      </w:r>
      <w:r w:rsidR="00B54C0B" w:rsidRPr="00A25D82">
        <w:rPr>
          <w:rFonts w:cs="Arial"/>
        </w:rPr>
        <w:t xml:space="preserve"> Jobseeker </w:t>
      </w:r>
      <w:r w:rsidR="00C73803" w:rsidRPr="00A25D82">
        <w:rPr>
          <w:rFonts w:cs="Arial"/>
        </w:rPr>
        <w:t>P</w:t>
      </w:r>
      <w:r w:rsidR="009C0DED" w:rsidRPr="00A25D82">
        <w:rPr>
          <w:rFonts w:cs="Arial"/>
        </w:rPr>
        <w:t>ayment recipient</w:t>
      </w:r>
      <w:r w:rsidR="00594B76" w:rsidRPr="00A25D82">
        <w:rPr>
          <w:rFonts w:cs="Arial"/>
        </w:rPr>
        <w:t xml:space="preserve"> </w:t>
      </w:r>
      <w:r w:rsidRPr="00A25D82">
        <w:rPr>
          <w:rFonts w:cs="Arial"/>
        </w:rPr>
        <w:t>with no children</w:t>
      </w:r>
      <w:r w:rsidR="00594B76" w:rsidRPr="00A25D82">
        <w:rPr>
          <w:rFonts w:cs="Arial"/>
        </w:rPr>
        <w:t xml:space="preserve"> who i</w:t>
      </w:r>
      <w:r w:rsidR="006A3791" w:rsidRPr="00A25D82">
        <w:rPr>
          <w:rFonts w:cs="Arial"/>
        </w:rPr>
        <w:t>s renting</w:t>
      </w:r>
      <w:r w:rsidR="00B922ED" w:rsidRPr="00A25D82">
        <w:rPr>
          <w:rFonts w:cs="Arial"/>
        </w:rPr>
        <w:t xml:space="preserve">, </w:t>
      </w:r>
      <w:r w:rsidR="006A3791" w:rsidRPr="00A25D82">
        <w:rPr>
          <w:rFonts w:cs="Arial"/>
        </w:rPr>
        <w:t xml:space="preserve">is receiving a maximum rate of Commonwealth </w:t>
      </w:r>
      <w:r w:rsidR="00D71A41" w:rsidRPr="00A25D82">
        <w:rPr>
          <w:rFonts w:cs="Arial"/>
        </w:rPr>
        <w:t>R</w:t>
      </w:r>
      <w:r w:rsidR="006A3791" w:rsidRPr="00A25D82">
        <w:rPr>
          <w:rFonts w:cs="Arial"/>
        </w:rPr>
        <w:t xml:space="preserve">ent </w:t>
      </w:r>
      <w:r w:rsidR="00D71A41" w:rsidRPr="00A25D82">
        <w:rPr>
          <w:rFonts w:cs="Arial"/>
        </w:rPr>
        <w:t>A</w:t>
      </w:r>
      <w:r w:rsidR="006A3791" w:rsidRPr="00A25D82">
        <w:rPr>
          <w:rFonts w:cs="Arial"/>
        </w:rPr>
        <w:t>ssistance</w:t>
      </w:r>
      <w:r w:rsidR="00D71A41" w:rsidRPr="00A25D82">
        <w:rPr>
          <w:rFonts w:cs="Arial"/>
        </w:rPr>
        <w:t xml:space="preserve"> (CRA)</w:t>
      </w:r>
      <w:r w:rsidR="00B922ED" w:rsidRPr="00A25D82">
        <w:rPr>
          <w:rFonts w:cs="Arial"/>
        </w:rPr>
        <w:t xml:space="preserve"> and has </w:t>
      </w:r>
      <w:r w:rsidRPr="00A25D82">
        <w:rPr>
          <w:rFonts w:cs="Arial"/>
        </w:rPr>
        <w:t>no other income or assets.</w:t>
      </w:r>
    </w:p>
    <w:p w14:paraId="17764281" w14:textId="4733E0AC" w:rsidR="00966255" w:rsidRPr="00AE5870" w:rsidRDefault="00AE5870" w:rsidP="00AE5870">
      <w:pPr>
        <w:spacing w:after="200" w:line="288" w:lineRule="auto"/>
        <w:rPr>
          <w:rFonts w:cs="Arial"/>
        </w:rPr>
      </w:pPr>
      <w:r>
        <w:rPr>
          <w:rFonts w:cs="Arial"/>
        </w:rPr>
        <w:br w:type="page"/>
      </w:r>
    </w:p>
    <w:p w14:paraId="1A589AB1" w14:textId="2006D853" w:rsidR="009371D1" w:rsidRPr="008C26C3" w:rsidRDefault="009371D1" w:rsidP="009371D1">
      <w:pPr>
        <w:spacing w:after="0"/>
        <w:rPr>
          <w:rFonts w:cs="Arial"/>
          <w:b/>
          <w:bCs/>
        </w:rPr>
      </w:pPr>
      <w:r w:rsidRPr="008C26C3">
        <w:rPr>
          <w:rFonts w:cs="Arial"/>
          <w:b/>
          <w:bCs/>
        </w:rPr>
        <w:lastRenderedPageBreak/>
        <w:t xml:space="preserve">Table </w:t>
      </w:r>
      <w:r w:rsidR="006767D5">
        <w:rPr>
          <w:rFonts w:cs="Arial"/>
          <w:b/>
          <w:bCs/>
        </w:rPr>
        <w:t>6</w:t>
      </w:r>
      <w:r w:rsidR="009C0DED">
        <w:rPr>
          <w:rFonts w:cs="Arial"/>
          <w:b/>
          <w:bCs/>
        </w:rPr>
        <w:t>a</w:t>
      </w:r>
      <w:r w:rsidRPr="008C26C3">
        <w:rPr>
          <w:rFonts w:cs="Arial"/>
          <w:b/>
          <w:bCs/>
        </w:rPr>
        <w:t xml:space="preserve">: </w:t>
      </w:r>
      <w:r>
        <w:rPr>
          <w:rFonts w:cs="Arial"/>
          <w:b/>
          <w:bCs/>
        </w:rPr>
        <w:t xml:space="preserve">Modelled net </w:t>
      </w:r>
      <w:r w:rsidR="00AF6C5D">
        <w:rPr>
          <w:rFonts w:cs="Arial"/>
          <w:b/>
          <w:bCs/>
        </w:rPr>
        <w:t xml:space="preserve">impact </w:t>
      </w:r>
      <w:r w:rsidR="000651CB">
        <w:rPr>
          <w:rFonts w:cs="Arial"/>
          <w:b/>
          <w:bCs/>
        </w:rPr>
        <w:t xml:space="preserve">for </w:t>
      </w:r>
      <w:r w:rsidR="00833F55">
        <w:rPr>
          <w:rFonts w:cs="Arial"/>
          <w:b/>
          <w:bCs/>
        </w:rPr>
        <w:t xml:space="preserve">a single age pensioner with no other </w:t>
      </w:r>
      <w:r w:rsidR="00AF6C5D">
        <w:rPr>
          <w:rFonts w:cs="Arial"/>
          <w:b/>
          <w:bCs/>
        </w:rPr>
        <w:t xml:space="preserve">income </w:t>
      </w:r>
      <w:r w:rsidR="00833F55">
        <w:rPr>
          <w:rFonts w:cs="Arial"/>
          <w:b/>
          <w:bCs/>
        </w:rPr>
        <w:t>or assets</w:t>
      </w:r>
      <w:r w:rsidR="00FF778C">
        <w:rPr>
          <w:rFonts w:cs="Arial"/>
          <w:b/>
          <w:bCs/>
        </w:rPr>
        <w:t>,</w:t>
      </w:r>
      <w:r w:rsidR="000651CB">
        <w:rPr>
          <w:rFonts w:cs="Arial"/>
          <w:b/>
          <w:bCs/>
        </w:rPr>
        <w:t xml:space="preserve"> 20</w:t>
      </w:r>
      <w:r w:rsidR="00FD1266">
        <w:rPr>
          <w:rFonts w:cs="Arial"/>
          <w:b/>
          <w:bCs/>
        </w:rPr>
        <w:t> </w:t>
      </w:r>
      <w:r w:rsidR="000651CB">
        <w:rPr>
          <w:rFonts w:cs="Arial"/>
          <w:b/>
          <w:bCs/>
        </w:rPr>
        <w:t>September 2025</w:t>
      </w:r>
      <w:r w:rsidR="00833F55">
        <w:rPr>
          <w:rFonts w:cs="Arial"/>
          <w:b/>
          <w:bCs/>
        </w:rPr>
        <w:t>.</w:t>
      </w:r>
    </w:p>
    <w:tbl>
      <w:tblPr>
        <w:tblStyle w:val="Custom1"/>
        <w:tblW w:w="0" w:type="auto"/>
        <w:tblBorders>
          <w:insideH w:val="single" w:sz="4" w:space="0" w:color="auto"/>
          <w:insideV w:val="single" w:sz="4" w:space="0" w:color="auto"/>
        </w:tblBorders>
        <w:tblLook w:val="04A0" w:firstRow="1" w:lastRow="0" w:firstColumn="1" w:lastColumn="0" w:noHBand="0" w:noVBand="1"/>
      </w:tblPr>
      <w:tblGrid>
        <w:gridCol w:w="3298"/>
        <w:gridCol w:w="2939"/>
        <w:gridCol w:w="2789"/>
      </w:tblGrid>
      <w:tr w:rsidR="00A31495" w14:paraId="249A2BFB" w14:textId="77777777" w:rsidTr="0006127E">
        <w:trPr>
          <w:cnfStyle w:val="100000000000" w:firstRow="1" w:lastRow="0" w:firstColumn="0" w:lastColumn="0" w:oddVBand="0" w:evenVBand="0" w:oddHBand="0" w:evenHBand="0" w:firstRowFirstColumn="0" w:firstRowLastColumn="0" w:lastRowFirstColumn="0" w:lastRowLastColumn="0"/>
          <w:cantSplit/>
          <w:trHeight w:val="751"/>
        </w:trPr>
        <w:tc>
          <w:tcPr>
            <w:tcW w:w="3298" w:type="dxa"/>
          </w:tcPr>
          <w:p w14:paraId="2810D251" w14:textId="755B66A3" w:rsidR="00B71C94" w:rsidRDefault="00B71C94" w:rsidP="007B5376">
            <w:pPr>
              <w:spacing w:before="40" w:after="40"/>
            </w:pPr>
            <w:r>
              <w:t>Financial assets amount</w:t>
            </w:r>
            <w:r w:rsidR="009C0DED">
              <w:t xml:space="preserve"> (and no other income or assets)</w:t>
            </w:r>
          </w:p>
        </w:tc>
        <w:tc>
          <w:tcPr>
            <w:tcW w:w="2939" w:type="dxa"/>
          </w:tcPr>
          <w:p w14:paraId="28613FEC" w14:textId="79D496B4" w:rsidR="00B71C94" w:rsidRDefault="00B71C94" w:rsidP="007B5376">
            <w:pPr>
              <w:spacing w:before="40" w:after="40"/>
            </w:pPr>
            <w:r>
              <w:t xml:space="preserve">Change in payment </w:t>
            </w:r>
            <w:r w:rsidR="00B64779">
              <w:t xml:space="preserve">from deeming change only (rates of </w:t>
            </w:r>
            <w:r>
              <w:t>0.75% and 2.75%</w:t>
            </w:r>
            <w:r w:rsidR="00B64779">
              <w:t>)</w:t>
            </w:r>
            <w:r>
              <w:t xml:space="preserve"> (per fortnight)</w:t>
            </w:r>
          </w:p>
        </w:tc>
        <w:tc>
          <w:tcPr>
            <w:tcW w:w="2789" w:type="dxa"/>
          </w:tcPr>
          <w:p w14:paraId="35DE1A0D" w14:textId="02967766" w:rsidR="00B71C94" w:rsidRDefault="00B71C94" w:rsidP="007B5376">
            <w:pPr>
              <w:spacing w:before="40" w:after="40"/>
            </w:pPr>
            <w:r>
              <w:t xml:space="preserve">Net impact on pension rate </w:t>
            </w:r>
            <w:r w:rsidR="005B6764">
              <w:t xml:space="preserve">after indexation </w:t>
            </w:r>
            <w:r w:rsidR="00695C66">
              <w:t xml:space="preserve">and </w:t>
            </w:r>
            <w:r>
              <w:t xml:space="preserve">deeming rates </w:t>
            </w:r>
            <w:r w:rsidR="00695C66">
              <w:t>change</w:t>
            </w:r>
            <w:r>
              <w:t xml:space="preserve"> (per fortnight)</w:t>
            </w:r>
          </w:p>
        </w:tc>
      </w:tr>
      <w:tr w:rsidR="00A31495" w14:paraId="3F9CAEC0" w14:textId="77777777" w:rsidTr="0006127E">
        <w:trPr>
          <w:cnfStyle w:val="000000100000" w:firstRow="0" w:lastRow="0" w:firstColumn="0" w:lastColumn="0" w:oddVBand="0" w:evenVBand="0" w:oddHBand="1" w:evenHBand="0" w:firstRowFirstColumn="0" w:firstRowLastColumn="0" w:lastRowFirstColumn="0" w:lastRowLastColumn="0"/>
          <w:cantSplit/>
          <w:trHeight w:val="458"/>
        </w:trPr>
        <w:tc>
          <w:tcPr>
            <w:tcW w:w="3298" w:type="dxa"/>
          </w:tcPr>
          <w:p w14:paraId="49960C0F" w14:textId="15541B4C" w:rsidR="00B71C94" w:rsidRDefault="00BE6FE7" w:rsidP="007B5376">
            <w:pPr>
              <w:spacing w:before="40" w:after="40"/>
            </w:pPr>
            <w:r>
              <w:t>$200,000 or less</w:t>
            </w:r>
          </w:p>
        </w:tc>
        <w:tc>
          <w:tcPr>
            <w:tcW w:w="2939" w:type="dxa"/>
          </w:tcPr>
          <w:p w14:paraId="1C59670E" w14:textId="77777777" w:rsidR="00B71C94" w:rsidRDefault="00B71C94" w:rsidP="007B5376">
            <w:pPr>
              <w:spacing w:before="40" w:after="40"/>
            </w:pPr>
            <w:r>
              <w:t>$0 (no change in payment rate)</w:t>
            </w:r>
          </w:p>
        </w:tc>
        <w:tc>
          <w:tcPr>
            <w:tcW w:w="2789" w:type="dxa"/>
          </w:tcPr>
          <w:p w14:paraId="2CD34221" w14:textId="77777777" w:rsidR="00B71C94" w:rsidRDefault="00B71C94" w:rsidP="007B5376">
            <w:pPr>
              <w:spacing w:before="40" w:after="40"/>
            </w:pPr>
            <w:r>
              <w:t>Increase of $29.70</w:t>
            </w:r>
          </w:p>
        </w:tc>
      </w:tr>
      <w:tr w:rsidR="00B71C94" w14:paraId="2DE9DEFF" w14:textId="77777777" w:rsidTr="0006127E">
        <w:trPr>
          <w:cantSplit/>
          <w:trHeight w:val="261"/>
        </w:trPr>
        <w:tc>
          <w:tcPr>
            <w:tcW w:w="3298" w:type="dxa"/>
          </w:tcPr>
          <w:p w14:paraId="78E8CF84" w14:textId="77777777" w:rsidR="00B71C94" w:rsidRDefault="00B71C94" w:rsidP="007B5376">
            <w:pPr>
              <w:spacing w:before="40" w:after="40"/>
            </w:pPr>
            <w:r>
              <w:t>$300,000</w:t>
            </w:r>
          </w:p>
        </w:tc>
        <w:tc>
          <w:tcPr>
            <w:tcW w:w="2939" w:type="dxa"/>
          </w:tcPr>
          <w:p w14:paraId="166DFE01" w14:textId="77777777" w:rsidR="00B71C94" w:rsidRDefault="00B71C94" w:rsidP="007B5376">
            <w:pPr>
              <w:spacing w:before="40" w:after="40"/>
            </w:pPr>
            <w:r>
              <w:t>Decrease of $25 per fortnight</w:t>
            </w:r>
          </w:p>
        </w:tc>
        <w:tc>
          <w:tcPr>
            <w:tcW w:w="2789" w:type="dxa"/>
          </w:tcPr>
          <w:p w14:paraId="14B63A5E" w14:textId="77777777" w:rsidR="00B71C94" w:rsidRDefault="00B71C94" w:rsidP="007B5376">
            <w:pPr>
              <w:spacing w:before="40" w:after="40"/>
            </w:pPr>
            <w:r>
              <w:t>Increase of $4.70</w:t>
            </w:r>
          </w:p>
        </w:tc>
      </w:tr>
      <w:tr w:rsidR="001A6E8B" w14:paraId="089D9EDB" w14:textId="77777777" w:rsidTr="002B380F">
        <w:trPr>
          <w:cnfStyle w:val="000000100000" w:firstRow="0" w:lastRow="0" w:firstColumn="0" w:lastColumn="0" w:oddVBand="0" w:evenVBand="0" w:oddHBand="1" w:evenHBand="0" w:firstRowFirstColumn="0" w:firstRowLastColumn="0" w:lastRowFirstColumn="0" w:lastRowLastColumn="0"/>
          <w:cantSplit/>
          <w:trHeight w:val="622"/>
        </w:trPr>
        <w:tc>
          <w:tcPr>
            <w:tcW w:w="3298" w:type="dxa"/>
          </w:tcPr>
          <w:p w14:paraId="001CB4FB" w14:textId="77777777" w:rsidR="00B71C94" w:rsidRDefault="00B71C94" w:rsidP="007B5376">
            <w:pPr>
              <w:spacing w:before="40" w:after="40"/>
            </w:pPr>
            <w:r>
              <w:t>$400,000 and above</w:t>
            </w:r>
          </w:p>
        </w:tc>
        <w:tc>
          <w:tcPr>
            <w:tcW w:w="5728" w:type="dxa"/>
            <w:gridSpan w:val="2"/>
          </w:tcPr>
          <w:p w14:paraId="6857BA94" w14:textId="56A7E795" w:rsidR="00B71C94" w:rsidRPr="00F76063" w:rsidRDefault="00B71C94" w:rsidP="007B5376">
            <w:pPr>
              <w:spacing w:before="40" w:after="40"/>
            </w:pPr>
            <w:r>
              <w:t xml:space="preserve">Not impacted by </w:t>
            </w:r>
            <w:r w:rsidR="00F364B5">
              <w:t>the proposal</w:t>
            </w:r>
            <w:r>
              <w:t xml:space="preserve"> as the pensioner would be </w:t>
            </w:r>
            <w:r w:rsidR="009359F2">
              <w:t>on an</w:t>
            </w:r>
            <w:r>
              <w:t xml:space="preserve"> assets</w:t>
            </w:r>
            <w:r w:rsidR="009359F2">
              <w:t>-</w:t>
            </w:r>
            <w:r>
              <w:t>tested</w:t>
            </w:r>
            <w:r w:rsidR="009359F2">
              <w:t xml:space="preserve"> rate of payment</w:t>
            </w:r>
            <w:r>
              <w:t>.</w:t>
            </w:r>
          </w:p>
        </w:tc>
      </w:tr>
    </w:tbl>
    <w:p w14:paraId="4E49A623" w14:textId="2EE249AA" w:rsidR="009371D1" w:rsidRPr="004556B4" w:rsidRDefault="00123D1E" w:rsidP="002C4B77">
      <w:pPr>
        <w:rPr>
          <w:rFonts w:cs="Arial"/>
          <w:i/>
          <w:sz w:val="18"/>
          <w:szCs w:val="18"/>
        </w:rPr>
      </w:pPr>
      <w:r w:rsidRPr="004556B4">
        <w:rPr>
          <w:rFonts w:cs="Arial"/>
          <w:i/>
          <w:sz w:val="18"/>
          <w:szCs w:val="18"/>
        </w:rPr>
        <w:t>Department of Social Services modelling. Estimates take into account the indicative impact of indexation (based on June</w:t>
      </w:r>
      <w:r w:rsidR="00ED4441">
        <w:rPr>
          <w:rFonts w:cs="Arial"/>
          <w:i/>
          <w:iCs/>
          <w:sz w:val="18"/>
          <w:szCs w:val="18"/>
        </w:rPr>
        <w:t> </w:t>
      </w:r>
      <w:r w:rsidRPr="004556B4">
        <w:rPr>
          <w:rFonts w:cs="Arial"/>
          <w:i/>
          <w:sz w:val="18"/>
          <w:szCs w:val="18"/>
        </w:rPr>
        <w:t xml:space="preserve">2025 CPI and </w:t>
      </w:r>
      <w:r w:rsidR="00786D65" w:rsidRPr="00786D65">
        <w:rPr>
          <w:rFonts w:cs="Arial"/>
          <w:i/>
          <w:iCs/>
          <w:sz w:val="18"/>
          <w:szCs w:val="18"/>
        </w:rPr>
        <w:t xml:space="preserve">Pensioner and Beneficiary Living Cost Index </w:t>
      </w:r>
      <w:r w:rsidR="00786D65">
        <w:rPr>
          <w:rFonts w:cs="Arial"/>
          <w:i/>
          <w:iCs/>
          <w:sz w:val="18"/>
          <w:szCs w:val="18"/>
        </w:rPr>
        <w:t>(</w:t>
      </w:r>
      <w:r w:rsidRPr="004556B4">
        <w:rPr>
          <w:rFonts w:cs="Arial"/>
          <w:i/>
          <w:sz w:val="18"/>
          <w:szCs w:val="18"/>
        </w:rPr>
        <w:t>PBLCI</w:t>
      </w:r>
      <w:r w:rsidR="00786D65">
        <w:rPr>
          <w:rFonts w:cs="Arial"/>
          <w:i/>
          <w:iCs/>
          <w:sz w:val="18"/>
          <w:szCs w:val="18"/>
        </w:rPr>
        <w:t>)</w:t>
      </w:r>
      <w:r w:rsidRPr="004556B4">
        <w:rPr>
          <w:rFonts w:cs="Arial"/>
          <w:i/>
          <w:iCs/>
          <w:sz w:val="18"/>
          <w:szCs w:val="18"/>
        </w:rPr>
        <w:t>)</w:t>
      </w:r>
      <w:r w:rsidRPr="004556B4">
        <w:rPr>
          <w:rFonts w:cs="Arial"/>
          <w:i/>
          <w:sz w:val="18"/>
          <w:szCs w:val="18"/>
        </w:rPr>
        <w:t xml:space="preserve"> in the fortnight following 20 September 2025.</w:t>
      </w:r>
    </w:p>
    <w:p w14:paraId="3636FA74" w14:textId="6CDFEEA0" w:rsidR="009C0DED" w:rsidRPr="008C26C3" w:rsidRDefault="009C0DED" w:rsidP="009C0DED">
      <w:pPr>
        <w:spacing w:after="0"/>
        <w:rPr>
          <w:rFonts w:cs="Arial"/>
          <w:b/>
          <w:bCs/>
        </w:rPr>
      </w:pPr>
      <w:r w:rsidRPr="008C26C3">
        <w:rPr>
          <w:rFonts w:cs="Arial"/>
          <w:b/>
          <w:bCs/>
        </w:rPr>
        <w:t xml:space="preserve">Table </w:t>
      </w:r>
      <w:r w:rsidR="006767D5">
        <w:rPr>
          <w:rFonts w:cs="Arial"/>
          <w:b/>
          <w:bCs/>
        </w:rPr>
        <w:t>6</w:t>
      </w:r>
      <w:r>
        <w:rPr>
          <w:rFonts w:cs="Arial"/>
          <w:b/>
          <w:bCs/>
        </w:rPr>
        <w:t>b</w:t>
      </w:r>
      <w:r w:rsidRPr="008C26C3">
        <w:rPr>
          <w:rFonts w:cs="Arial"/>
          <w:b/>
          <w:bCs/>
        </w:rPr>
        <w:t xml:space="preserve">: </w:t>
      </w:r>
      <w:r>
        <w:rPr>
          <w:rFonts w:cs="Arial"/>
          <w:b/>
          <w:bCs/>
        </w:rPr>
        <w:t xml:space="preserve">Modelled net impact </w:t>
      </w:r>
      <w:r w:rsidR="00286A8A">
        <w:rPr>
          <w:rFonts w:cs="Arial"/>
          <w:b/>
          <w:bCs/>
        </w:rPr>
        <w:t xml:space="preserve">for </w:t>
      </w:r>
      <w:r>
        <w:rPr>
          <w:rFonts w:cs="Arial"/>
          <w:b/>
          <w:bCs/>
        </w:rPr>
        <w:t xml:space="preserve">a single Jobseeker Payment recipient </w:t>
      </w:r>
      <w:r w:rsidR="009F5DC8">
        <w:rPr>
          <w:rFonts w:cs="Arial"/>
          <w:b/>
          <w:bCs/>
        </w:rPr>
        <w:t>who is renting</w:t>
      </w:r>
      <w:r w:rsidDel="009F5DC8">
        <w:rPr>
          <w:rFonts w:cs="Arial"/>
          <w:b/>
          <w:bCs/>
        </w:rPr>
        <w:t xml:space="preserve"> </w:t>
      </w:r>
      <w:r w:rsidR="00D71A41">
        <w:rPr>
          <w:rFonts w:cs="Arial"/>
          <w:b/>
          <w:bCs/>
        </w:rPr>
        <w:t>and receiving maximum rate of CRA</w:t>
      </w:r>
      <w:r w:rsidR="00286A8A">
        <w:rPr>
          <w:rFonts w:cs="Arial"/>
          <w:b/>
          <w:bCs/>
        </w:rPr>
        <w:t>,</w:t>
      </w:r>
      <w:r w:rsidR="00FF778C">
        <w:rPr>
          <w:rFonts w:cs="Arial"/>
          <w:b/>
          <w:bCs/>
        </w:rPr>
        <w:t xml:space="preserve"> 20 September 2025</w:t>
      </w:r>
    </w:p>
    <w:tbl>
      <w:tblPr>
        <w:tblStyle w:val="Custom1"/>
        <w:tblW w:w="0" w:type="auto"/>
        <w:tblBorders>
          <w:insideH w:val="single" w:sz="4" w:space="0" w:color="auto"/>
          <w:insideV w:val="single" w:sz="4" w:space="0" w:color="auto"/>
        </w:tblBorders>
        <w:tblLook w:val="04A0" w:firstRow="1" w:lastRow="0" w:firstColumn="1" w:lastColumn="0" w:noHBand="0" w:noVBand="1"/>
      </w:tblPr>
      <w:tblGrid>
        <w:gridCol w:w="3298"/>
        <w:gridCol w:w="2939"/>
        <w:gridCol w:w="2789"/>
      </w:tblGrid>
      <w:tr w:rsidR="00A31495" w14:paraId="0DADAE7B" w14:textId="77777777">
        <w:trPr>
          <w:cnfStyle w:val="100000000000" w:firstRow="1" w:lastRow="0" w:firstColumn="0" w:lastColumn="0" w:oddVBand="0" w:evenVBand="0" w:oddHBand="0" w:evenHBand="0" w:firstRowFirstColumn="0" w:firstRowLastColumn="0" w:lastRowFirstColumn="0" w:lastRowLastColumn="0"/>
          <w:cantSplit/>
          <w:trHeight w:val="751"/>
        </w:trPr>
        <w:tc>
          <w:tcPr>
            <w:tcW w:w="3298" w:type="dxa"/>
          </w:tcPr>
          <w:p w14:paraId="7632F241" w14:textId="77777777" w:rsidR="009C0DED" w:rsidRDefault="009C0DED" w:rsidP="007B5376">
            <w:pPr>
              <w:spacing w:before="40" w:after="40"/>
            </w:pPr>
            <w:r>
              <w:t>Financial assets amount (and no other income or assets)</w:t>
            </w:r>
          </w:p>
        </w:tc>
        <w:tc>
          <w:tcPr>
            <w:tcW w:w="2939" w:type="dxa"/>
          </w:tcPr>
          <w:p w14:paraId="1B8497B5" w14:textId="1E1AFD88" w:rsidR="009C0DED" w:rsidRDefault="00FF778C" w:rsidP="007B5376">
            <w:pPr>
              <w:spacing w:before="40" w:after="40"/>
            </w:pPr>
            <w:r>
              <w:t>Change in payment from deeming change only (rates of 0.75% and 2.75%) (per </w:t>
            </w:r>
            <w:r w:rsidR="009C0DED">
              <w:t>fortnight)</w:t>
            </w:r>
          </w:p>
        </w:tc>
        <w:tc>
          <w:tcPr>
            <w:tcW w:w="2789" w:type="dxa"/>
          </w:tcPr>
          <w:p w14:paraId="48BCCA67" w14:textId="5DAAF56E" w:rsidR="009C0DED" w:rsidRDefault="001D481C" w:rsidP="007B5376">
            <w:pPr>
              <w:spacing w:before="40" w:after="40"/>
            </w:pPr>
            <w:r>
              <w:t xml:space="preserve">Net impact on </w:t>
            </w:r>
            <w:r w:rsidR="00E22A72">
              <w:t xml:space="preserve">Jobseeker Payment </w:t>
            </w:r>
            <w:r>
              <w:t>after indexation and deeming rates change (per fortnight)</w:t>
            </w:r>
          </w:p>
        </w:tc>
      </w:tr>
      <w:tr w:rsidR="00A31495" w14:paraId="0148DA74" w14:textId="77777777" w:rsidTr="00A25D82">
        <w:trPr>
          <w:cnfStyle w:val="000000100000" w:firstRow="0" w:lastRow="0" w:firstColumn="0" w:lastColumn="0" w:oddVBand="0" w:evenVBand="0" w:oddHBand="1" w:evenHBand="0" w:firstRowFirstColumn="0" w:firstRowLastColumn="0" w:lastRowFirstColumn="0" w:lastRowLastColumn="0"/>
          <w:cantSplit/>
          <w:trHeight w:val="591"/>
        </w:trPr>
        <w:tc>
          <w:tcPr>
            <w:tcW w:w="3298" w:type="dxa"/>
          </w:tcPr>
          <w:p w14:paraId="5B0B6F16" w14:textId="36F2E16C" w:rsidR="009C0DED" w:rsidRDefault="00BE6FE7" w:rsidP="007B5376">
            <w:pPr>
              <w:spacing w:before="40" w:after="40"/>
            </w:pPr>
            <w:r>
              <w:t>$100,000 or less</w:t>
            </w:r>
          </w:p>
        </w:tc>
        <w:tc>
          <w:tcPr>
            <w:tcW w:w="2939" w:type="dxa"/>
          </w:tcPr>
          <w:p w14:paraId="60B186FE" w14:textId="1EBEC686" w:rsidR="009C0DED" w:rsidRDefault="0034204A" w:rsidP="007B5376">
            <w:pPr>
              <w:spacing w:before="40" w:after="40"/>
            </w:pPr>
            <w:r>
              <w:t>$0 (no change in payment rate)</w:t>
            </w:r>
          </w:p>
        </w:tc>
        <w:tc>
          <w:tcPr>
            <w:tcW w:w="2789" w:type="dxa"/>
          </w:tcPr>
          <w:p w14:paraId="15949C9C" w14:textId="17D2D7CD" w:rsidR="009C0DED" w:rsidRDefault="00B00E10" w:rsidP="007B5376">
            <w:pPr>
              <w:spacing w:before="40" w:after="40"/>
            </w:pPr>
            <w:r>
              <w:t>Increase of $15.90</w:t>
            </w:r>
          </w:p>
        </w:tc>
      </w:tr>
      <w:tr w:rsidR="00BE6FE7" w14:paraId="2462C69D" w14:textId="77777777" w:rsidTr="00A25D82">
        <w:trPr>
          <w:cantSplit/>
          <w:trHeight w:val="17"/>
        </w:trPr>
        <w:tc>
          <w:tcPr>
            <w:tcW w:w="3298" w:type="dxa"/>
          </w:tcPr>
          <w:p w14:paraId="576A0509" w14:textId="07F37969" w:rsidR="00BE6FE7" w:rsidRDefault="00BE6FE7" w:rsidP="007B5376">
            <w:pPr>
              <w:spacing w:before="40" w:after="40"/>
            </w:pPr>
            <w:r>
              <w:t>$200,000</w:t>
            </w:r>
          </w:p>
        </w:tc>
        <w:tc>
          <w:tcPr>
            <w:tcW w:w="2939" w:type="dxa"/>
          </w:tcPr>
          <w:p w14:paraId="19500C81" w14:textId="5D1A9687" w:rsidR="00BE6FE7" w:rsidDel="00D71A41" w:rsidRDefault="0034204A" w:rsidP="007B5376">
            <w:pPr>
              <w:spacing w:before="40" w:after="40"/>
            </w:pPr>
            <w:r>
              <w:t>Decrease of $6.10</w:t>
            </w:r>
          </w:p>
        </w:tc>
        <w:tc>
          <w:tcPr>
            <w:tcW w:w="2789" w:type="dxa"/>
          </w:tcPr>
          <w:p w14:paraId="2EFC695C" w14:textId="60E2E92F" w:rsidR="00BE6FE7" w:rsidDel="00D71A41" w:rsidRDefault="0034204A" w:rsidP="007B5376">
            <w:pPr>
              <w:spacing w:before="40" w:after="40"/>
            </w:pPr>
            <w:r>
              <w:t>Increase of $</w:t>
            </w:r>
            <w:r w:rsidR="00AA0AED">
              <w:t>9.80</w:t>
            </w:r>
          </w:p>
        </w:tc>
      </w:tr>
      <w:tr w:rsidR="00A31495" w14:paraId="32078E74" w14:textId="77777777" w:rsidTr="00A25D82">
        <w:trPr>
          <w:cnfStyle w:val="000000100000" w:firstRow="0" w:lastRow="0" w:firstColumn="0" w:lastColumn="0" w:oddVBand="0" w:evenVBand="0" w:oddHBand="1" w:evenHBand="0" w:firstRowFirstColumn="0" w:firstRowLastColumn="0" w:lastRowFirstColumn="0" w:lastRowLastColumn="0"/>
          <w:cantSplit/>
          <w:trHeight w:val="189"/>
        </w:trPr>
        <w:tc>
          <w:tcPr>
            <w:tcW w:w="3298" w:type="dxa"/>
          </w:tcPr>
          <w:p w14:paraId="62F13615" w14:textId="77777777" w:rsidR="009C0DED" w:rsidRDefault="009C0DED" w:rsidP="007B5376">
            <w:pPr>
              <w:spacing w:before="40" w:after="40"/>
            </w:pPr>
            <w:r>
              <w:t>$300,000</w:t>
            </w:r>
          </w:p>
        </w:tc>
        <w:tc>
          <w:tcPr>
            <w:tcW w:w="2939" w:type="dxa"/>
          </w:tcPr>
          <w:p w14:paraId="5AB4A855" w14:textId="0EAD9424" w:rsidR="009C0DED" w:rsidRDefault="00936E61" w:rsidP="007B5376">
            <w:pPr>
              <w:spacing w:before="40" w:after="40"/>
            </w:pPr>
            <w:r>
              <w:t>D</w:t>
            </w:r>
            <w:r w:rsidR="00FF6359">
              <w:t xml:space="preserve">ecrease of </w:t>
            </w:r>
            <w:r w:rsidR="00DC7B16">
              <w:t>$30</w:t>
            </w:r>
          </w:p>
        </w:tc>
        <w:tc>
          <w:tcPr>
            <w:tcW w:w="2789" w:type="dxa"/>
          </w:tcPr>
          <w:p w14:paraId="5FAAAEFA" w14:textId="3418D330" w:rsidR="009C0DED" w:rsidRDefault="007445E0" w:rsidP="007B5376">
            <w:pPr>
              <w:spacing w:before="40" w:after="40"/>
            </w:pPr>
            <w:r>
              <w:t>Decrease of $14.10</w:t>
            </w:r>
          </w:p>
        </w:tc>
      </w:tr>
      <w:tr w:rsidR="00BD6108" w14:paraId="71D279FC" w14:textId="77777777" w:rsidTr="00A25D82">
        <w:trPr>
          <w:cantSplit/>
          <w:trHeight w:val="17"/>
        </w:trPr>
        <w:tc>
          <w:tcPr>
            <w:tcW w:w="3298" w:type="dxa"/>
          </w:tcPr>
          <w:p w14:paraId="66F0C59D" w14:textId="376AB56D" w:rsidR="009C0DED" w:rsidRDefault="009C0DED" w:rsidP="007B5376">
            <w:pPr>
              <w:spacing w:before="40" w:after="40"/>
            </w:pPr>
            <w:r>
              <w:t>$400,000</w:t>
            </w:r>
          </w:p>
        </w:tc>
        <w:tc>
          <w:tcPr>
            <w:tcW w:w="2939" w:type="dxa"/>
          </w:tcPr>
          <w:p w14:paraId="5929386C" w14:textId="13BEDA09" w:rsidR="008804E0" w:rsidDel="003A7209" w:rsidRDefault="00804618" w:rsidP="007B5376">
            <w:pPr>
              <w:spacing w:before="40" w:after="40"/>
            </w:pPr>
            <w:r>
              <w:t>Decrease of $46.20</w:t>
            </w:r>
          </w:p>
        </w:tc>
        <w:tc>
          <w:tcPr>
            <w:tcW w:w="2789" w:type="dxa"/>
          </w:tcPr>
          <w:p w14:paraId="3DDA1132" w14:textId="2E3C98FD" w:rsidR="009C0DED" w:rsidRPr="00F76063" w:rsidRDefault="00427F6D" w:rsidP="007B5376">
            <w:pPr>
              <w:spacing w:before="40" w:after="40"/>
            </w:pPr>
            <w:r>
              <w:t>Decrease of $30.30</w:t>
            </w:r>
          </w:p>
        </w:tc>
      </w:tr>
    </w:tbl>
    <w:p w14:paraId="4E3E62F7" w14:textId="66B4855C" w:rsidR="009C0DED" w:rsidRPr="004556B4" w:rsidRDefault="009C0DED" w:rsidP="002C4B77">
      <w:pPr>
        <w:rPr>
          <w:sz w:val="18"/>
          <w:szCs w:val="18"/>
        </w:rPr>
      </w:pPr>
      <w:r w:rsidRPr="004556B4">
        <w:rPr>
          <w:rFonts w:cs="Arial"/>
          <w:i/>
          <w:sz w:val="18"/>
          <w:szCs w:val="18"/>
        </w:rPr>
        <w:t>Department of Social Services modelling. Estimates take into account the indicative impact of indexation (based on June</w:t>
      </w:r>
      <w:r w:rsidR="00786D65">
        <w:rPr>
          <w:rFonts w:cs="Arial"/>
          <w:i/>
          <w:iCs/>
          <w:sz w:val="18"/>
          <w:szCs w:val="18"/>
        </w:rPr>
        <w:t> </w:t>
      </w:r>
      <w:r w:rsidRPr="004556B4">
        <w:rPr>
          <w:rFonts w:cs="Arial"/>
          <w:i/>
          <w:sz w:val="18"/>
          <w:szCs w:val="18"/>
        </w:rPr>
        <w:t>2025 CPI and PBLCI) in the fortnight following 20 September 2025.</w:t>
      </w:r>
    </w:p>
    <w:p w14:paraId="0DB0C1E2" w14:textId="77777777" w:rsidR="007B5376" w:rsidRDefault="007B5376">
      <w:pPr>
        <w:spacing w:after="200" w:line="288" w:lineRule="auto"/>
        <w:rPr>
          <w:b/>
          <w:bCs/>
        </w:rPr>
      </w:pPr>
      <w:r>
        <w:rPr>
          <w:b/>
          <w:bCs/>
        </w:rPr>
        <w:br w:type="page"/>
      </w:r>
    </w:p>
    <w:p w14:paraId="0CF08485" w14:textId="26AE744F" w:rsidR="00480E3E" w:rsidRPr="003814F9" w:rsidRDefault="00480E3E" w:rsidP="009E5C9E">
      <w:pPr>
        <w:spacing w:after="200" w:line="288" w:lineRule="auto"/>
      </w:pPr>
      <w:r w:rsidRPr="003814F9">
        <w:rPr>
          <w:b/>
          <w:bCs/>
        </w:rPr>
        <w:lastRenderedPageBreak/>
        <w:t xml:space="preserve">Regulatory impacts </w:t>
      </w:r>
    </w:p>
    <w:p w14:paraId="5B86F447" w14:textId="4B42E8FB" w:rsidR="002C4B77" w:rsidRPr="003814F9" w:rsidRDefault="002C4B77" w:rsidP="002C4B77">
      <w:r w:rsidRPr="003814F9">
        <w:t>Th</w:t>
      </w:r>
      <w:r w:rsidR="006C063B" w:rsidRPr="003814F9">
        <w:t xml:space="preserve">is option would have </w:t>
      </w:r>
      <w:r w:rsidRPr="003814F9">
        <w:t>no regulatory impacts on people, communit</w:t>
      </w:r>
      <w:r w:rsidR="00754C31" w:rsidRPr="003814F9">
        <w:t>y organisations</w:t>
      </w:r>
      <w:r w:rsidRPr="003814F9">
        <w:t xml:space="preserve"> or businesses. </w:t>
      </w:r>
      <w:r w:rsidR="000C3D68" w:rsidRPr="003814F9">
        <w:t>There would be no changes to</w:t>
      </w:r>
      <w:r w:rsidRPr="003814F9">
        <w:t xml:space="preserve"> reporting </w:t>
      </w:r>
      <w:r w:rsidR="000C3D68" w:rsidRPr="003814F9">
        <w:t xml:space="preserve">or compliance </w:t>
      </w:r>
      <w:r w:rsidRPr="003814F9">
        <w:t xml:space="preserve">requirements </w:t>
      </w:r>
      <w:r w:rsidR="000C3D68" w:rsidRPr="003814F9">
        <w:t>for</w:t>
      </w:r>
      <w:r w:rsidRPr="003814F9">
        <w:t xml:space="preserve"> income support recipients</w:t>
      </w:r>
      <w:r w:rsidR="00230FC6" w:rsidRPr="003814F9">
        <w:t xml:space="preserve">, and </w:t>
      </w:r>
      <w:r w:rsidR="00B046C6" w:rsidRPr="003814F9">
        <w:t>any changes</w:t>
      </w:r>
      <w:r w:rsidR="000C3D68" w:rsidRPr="003814F9">
        <w:t xml:space="preserve"> to payment rates would </w:t>
      </w:r>
      <w:r w:rsidR="00082AE9" w:rsidRPr="003814F9">
        <w:t>be applied</w:t>
      </w:r>
      <w:r w:rsidR="000C3D68" w:rsidRPr="003814F9">
        <w:t xml:space="preserve"> automatically.</w:t>
      </w:r>
      <w:r w:rsidR="00082AE9" w:rsidRPr="003814F9">
        <w:t xml:space="preserve"> </w:t>
      </w:r>
    </w:p>
    <w:p w14:paraId="20758CFD" w14:textId="61DBDD30" w:rsidR="008A2821" w:rsidRPr="003814F9" w:rsidRDefault="008A2821" w:rsidP="002C4B77">
      <w:r w:rsidRPr="003814F9">
        <w:t xml:space="preserve">Many </w:t>
      </w:r>
      <w:r w:rsidR="00E1594B" w:rsidRPr="003814F9">
        <w:t xml:space="preserve">affected </w:t>
      </w:r>
      <w:r w:rsidR="00B046C6" w:rsidRPr="003814F9">
        <w:t xml:space="preserve">recipients </w:t>
      </w:r>
      <w:r w:rsidR="00206E78" w:rsidRPr="003814F9">
        <w:t>would</w:t>
      </w:r>
      <w:r w:rsidR="00B046C6" w:rsidRPr="003814F9">
        <w:t xml:space="preserve"> already be achieving rates of return in excess of the </w:t>
      </w:r>
      <w:r w:rsidR="00236A40" w:rsidRPr="003814F9">
        <w:t xml:space="preserve">level of the </w:t>
      </w:r>
      <w:r w:rsidR="00E1594B" w:rsidRPr="003814F9">
        <w:t xml:space="preserve">deeming rates under this option. </w:t>
      </w:r>
    </w:p>
    <w:p w14:paraId="08B1705D" w14:textId="2CD3DF39" w:rsidR="007D5BF2" w:rsidRPr="003814F9" w:rsidRDefault="00985E92" w:rsidP="002C4B77">
      <w:r w:rsidRPr="003814F9">
        <w:t>The lower</w:t>
      </w:r>
      <w:r w:rsidR="00F57CA0" w:rsidRPr="003814F9">
        <w:t xml:space="preserve"> deeming rate </w:t>
      </w:r>
      <w:r w:rsidRPr="003814F9">
        <w:t xml:space="preserve">would be set </w:t>
      </w:r>
      <w:r w:rsidR="00FB0E06" w:rsidRPr="003814F9">
        <w:t>0.75 per cent</w:t>
      </w:r>
      <w:r w:rsidRPr="003814F9">
        <w:t xml:space="preserve">. </w:t>
      </w:r>
      <w:r w:rsidR="005C721D" w:rsidRPr="003814F9">
        <w:t xml:space="preserve">Higher returns </w:t>
      </w:r>
      <w:r w:rsidR="00D95669" w:rsidRPr="003814F9">
        <w:t>are</w:t>
      </w:r>
      <w:r w:rsidR="00222C22" w:rsidRPr="003814F9">
        <w:t xml:space="preserve"> readily achievable in </w:t>
      </w:r>
      <w:r w:rsidR="00BB4D51" w:rsidRPr="003814F9">
        <w:t>standard bank account</w:t>
      </w:r>
      <w:r w:rsidR="008A2821" w:rsidRPr="003814F9">
        <w:t xml:space="preserve"> products provided by the Big Four banks</w:t>
      </w:r>
      <w:r w:rsidR="000D2DD1" w:rsidRPr="003814F9">
        <w:t xml:space="preserve">. These products </w:t>
      </w:r>
      <w:r w:rsidR="007D5BF2" w:rsidRPr="003814F9">
        <w:t>align with the intended operation of the lower deeming rate by</w:t>
      </w:r>
      <w:r w:rsidR="005616D7" w:rsidRPr="003814F9">
        <w:t xml:space="preserve"> high levels of accessibility and security</w:t>
      </w:r>
      <w:r w:rsidR="007D5BF2" w:rsidRPr="003814F9">
        <w:t xml:space="preserve">: </w:t>
      </w:r>
    </w:p>
    <w:p w14:paraId="0D57E929" w14:textId="3FECE97F" w:rsidR="00D54B7E" w:rsidRPr="00D54B7E" w:rsidRDefault="00D54B7E" w:rsidP="00D54B7E">
      <w:pPr>
        <w:pStyle w:val="ListParagraph"/>
        <w:numPr>
          <w:ilvl w:val="0"/>
          <w:numId w:val="47"/>
        </w:numPr>
        <w:rPr>
          <w:szCs w:val="22"/>
        </w:rPr>
      </w:pPr>
      <w:r w:rsidRPr="00D54B7E">
        <w:rPr>
          <w:szCs w:val="22"/>
        </w:rPr>
        <w:t xml:space="preserve">The average return currently offered on savings accounts targeted at older Australians by the Big Four banks is 1.23 per cent per annum </w:t>
      </w:r>
      <w:r w:rsidR="00397CB0">
        <w:rPr>
          <w:szCs w:val="22"/>
        </w:rPr>
        <w:t>(</w:t>
      </w:r>
      <w:r w:rsidR="0007503B">
        <w:rPr>
          <w:szCs w:val="22"/>
        </w:rPr>
        <w:t xml:space="preserve">% </w:t>
      </w:r>
      <w:r w:rsidR="00397CB0">
        <w:rPr>
          <w:szCs w:val="22"/>
        </w:rPr>
        <w:t xml:space="preserve">p.a.) </w:t>
      </w:r>
      <w:r w:rsidRPr="00D54B7E">
        <w:rPr>
          <w:szCs w:val="22"/>
        </w:rPr>
        <w:t>for someone with an account balance of around $64,200 (the deeming threshold for a single person)</w:t>
      </w:r>
      <w:r w:rsidR="00542E73">
        <w:rPr>
          <w:rStyle w:val="FootnoteReference"/>
          <w:szCs w:val="22"/>
        </w:rPr>
        <w:footnoteReference w:id="6"/>
      </w:r>
      <w:r w:rsidRPr="00D54B7E">
        <w:rPr>
          <w:szCs w:val="22"/>
        </w:rPr>
        <w:t xml:space="preserve">. </w:t>
      </w:r>
    </w:p>
    <w:p w14:paraId="2ADAA2F9" w14:textId="103EAAF3" w:rsidR="007973D2" w:rsidRPr="00D54B7E" w:rsidRDefault="00BA0E63" w:rsidP="00D54B7E">
      <w:pPr>
        <w:pStyle w:val="ListParagraph"/>
        <w:numPr>
          <w:ilvl w:val="0"/>
          <w:numId w:val="47"/>
        </w:numPr>
        <w:rPr>
          <w:szCs w:val="22"/>
        </w:rPr>
      </w:pPr>
      <w:r>
        <w:rPr>
          <w:szCs w:val="22"/>
        </w:rPr>
        <w:t xml:space="preserve">The average return currently offered on online savings accounts by the Big Four Banks is </w:t>
      </w:r>
      <w:r w:rsidR="009D255A">
        <w:rPr>
          <w:szCs w:val="22"/>
        </w:rPr>
        <w:t>1.33</w:t>
      </w:r>
      <w:r w:rsidR="0007503B">
        <w:rPr>
          <w:szCs w:val="22"/>
        </w:rPr>
        <w:t>%</w:t>
      </w:r>
      <w:r w:rsidR="00397CB0">
        <w:rPr>
          <w:szCs w:val="22"/>
        </w:rPr>
        <w:t>p.a</w:t>
      </w:r>
      <w:r w:rsidR="00357DA0">
        <w:rPr>
          <w:rStyle w:val="FootnoteReference"/>
          <w:szCs w:val="22"/>
        </w:rPr>
        <w:footnoteReference w:id="7"/>
      </w:r>
      <w:r w:rsidR="00261897">
        <w:rPr>
          <w:szCs w:val="22"/>
        </w:rPr>
        <w:t>.</w:t>
      </w:r>
      <w:r w:rsidR="009D255A">
        <w:rPr>
          <w:szCs w:val="22"/>
        </w:rPr>
        <w:t xml:space="preserve"> </w:t>
      </w:r>
    </w:p>
    <w:p w14:paraId="240EB95F" w14:textId="44C326FC" w:rsidR="00886E2C" w:rsidRPr="00D54B7E" w:rsidRDefault="001855DB" w:rsidP="009E5C9E">
      <w:pPr>
        <w:pStyle w:val="ListParagraph"/>
        <w:numPr>
          <w:ilvl w:val="1"/>
          <w:numId w:val="47"/>
        </w:numPr>
        <w:rPr>
          <w:szCs w:val="22"/>
        </w:rPr>
      </w:pPr>
      <w:r>
        <w:rPr>
          <w:szCs w:val="22"/>
        </w:rPr>
        <w:t>According to the RBA, t</w:t>
      </w:r>
      <w:r w:rsidR="00886E2C">
        <w:rPr>
          <w:szCs w:val="22"/>
        </w:rPr>
        <w:t xml:space="preserve">he </w:t>
      </w:r>
      <w:r w:rsidR="00886E2C" w:rsidRPr="00886E2C">
        <w:rPr>
          <w:szCs w:val="22"/>
        </w:rPr>
        <w:t xml:space="preserve">average interest rate paid to </w:t>
      </w:r>
      <w:r>
        <w:rPr>
          <w:szCs w:val="22"/>
        </w:rPr>
        <w:t xml:space="preserve">all </w:t>
      </w:r>
      <w:r w:rsidR="00886E2C" w:rsidRPr="00886E2C">
        <w:rPr>
          <w:szCs w:val="22"/>
        </w:rPr>
        <w:t xml:space="preserve">households on deposits </w:t>
      </w:r>
      <w:r w:rsidR="00DE1A3B">
        <w:rPr>
          <w:szCs w:val="22"/>
        </w:rPr>
        <w:t>across all Authorised Deposit-Taking Institutions</w:t>
      </w:r>
      <w:r w:rsidR="00886E2C" w:rsidRPr="00886E2C">
        <w:rPr>
          <w:szCs w:val="22"/>
        </w:rPr>
        <w:t xml:space="preserve"> </w:t>
      </w:r>
      <w:r w:rsidR="0007503B">
        <w:rPr>
          <w:szCs w:val="22"/>
        </w:rPr>
        <w:t>(ADIs)</w:t>
      </w:r>
      <w:r w:rsidR="00886E2C" w:rsidRPr="00886E2C">
        <w:rPr>
          <w:szCs w:val="22"/>
        </w:rPr>
        <w:t xml:space="preserve"> </w:t>
      </w:r>
      <w:r w:rsidR="00DE1A3B">
        <w:rPr>
          <w:szCs w:val="22"/>
        </w:rPr>
        <w:t>was</w:t>
      </w:r>
      <w:r w:rsidR="00886E2C" w:rsidRPr="00886E2C">
        <w:rPr>
          <w:szCs w:val="22"/>
        </w:rPr>
        <w:t xml:space="preserve"> 2.5%</w:t>
      </w:r>
      <w:r w:rsidR="00886E2C">
        <w:rPr>
          <w:szCs w:val="22"/>
        </w:rPr>
        <w:t xml:space="preserve"> </w:t>
      </w:r>
      <w:r>
        <w:rPr>
          <w:szCs w:val="22"/>
        </w:rPr>
        <w:t>p.a.</w:t>
      </w:r>
      <w:r w:rsidR="00886E2C">
        <w:rPr>
          <w:szCs w:val="22"/>
        </w:rPr>
        <w:t xml:space="preserve"> </w:t>
      </w:r>
      <w:r>
        <w:rPr>
          <w:szCs w:val="22"/>
        </w:rPr>
        <w:t>in</w:t>
      </w:r>
      <w:r w:rsidR="00886E2C">
        <w:rPr>
          <w:szCs w:val="22"/>
        </w:rPr>
        <w:t xml:space="preserve"> </w:t>
      </w:r>
      <w:r w:rsidR="00886E2C" w:rsidRPr="00886E2C">
        <w:rPr>
          <w:szCs w:val="22"/>
        </w:rPr>
        <w:t>June 2025</w:t>
      </w:r>
      <w:r w:rsidR="00B85DC5">
        <w:rPr>
          <w:rStyle w:val="FootnoteReference"/>
          <w:szCs w:val="22"/>
        </w:rPr>
        <w:footnoteReference w:id="8"/>
      </w:r>
      <w:r w:rsidR="00886E2C">
        <w:rPr>
          <w:szCs w:val="22"/>
        </w:rPr>
        <w:t xml:space="preserve">. </w:t>
      </w:r>
    </w:p>
    <w:p w14:paraId="23C1E998" w14:textId="7E40A712" w:rsidR="007E34F7" w:rsidRPr="007E34F7" w:rsidRDefault="007E34F7" w:rsidP="009E5C9E">
      <w:pPr>
        <w:rPr>
          <w:szCs w:val="22"/>
        </w:rPr>
      </w:pPr>
      <w:r>
        <w:rPr>
          <w:szCs w:val="22"/>
        </w:rPr>
        <w:t xml:space="preserve">The upper deeming rate would be set at 2.75 per cent. </w:t>
      </w:r>
      <w:r w:rsidR="00905290">
        <w:rPr>
          <w:szCs w:val="22"/>
        </w:rPr>
        <w:t xml:space="preserve">The upper rate is intended to reflect </w:t>
      </w:r>
      <w:r w:rsidR="007D2DD7">
        <w:rPr>
          <w:szCs w:val="22"/>
        </w:rPr>
        <w:t xml:space="preserve">the higher returns generally available on products that involve some reduced accessibility and/or increased risk. </w:t>
      </w:r>
      <w:r w:rsidR="00043C15">
        <w:rPr>
          <w:szCs w:val="22"/>
        </w:rPr>
        <w:t>These include longer-date term deposits, shares, managed investments, and superannuation</w:t>
      </w:r>
      <w:r w:rsidR="00684B48">
        <w:rPr>
          <w:szCs w:val="22"/>
        </w:rPr>
        <w:t xml:space="preserve">. </w:t>
      </w:r>
    </w:p>
    <w:p w14:paraId="43E52941" w14:textId="0DBB5B0E" w:rsidR="000A1FC9" w:rsidRDefault="00397CB0" w:rsidP="00D54B7E">
      <w:pPr>
        <w:pStyle w:val="ListParagraph"/>
        <w:numPr>
          <w:ilvl w:val="0"/>
          <w:numId w:val="47"/>
        </w:numPr>
        <w:rPr>
          <w:szCs w:val="22"/>
        </w:rPr>
      </w:pPr>
      <w:r>
        <w:rPr>
          <w:szCs w:val="22"/>
        </w:rPr>
        <w:t>The average return currently offered on t</w:t>
      </w:r>
      <w:r w:rsidR="00684B48">
        <w:rPr>
          <w:szCs w:val="22"/>
        </w:rPr>
        <w:t>welve</w:t>
      </w:r>
      <w:r w:rsidR="00D54B7E" w:rsidRPr="00D54B7E">
        <w:rPr>
          <w:szCs w:val="22"/>
        </w:rPr>
        <w:noBreakHyphen/>
        <w:t xml:space="preserve">month term deposits from the Big Four Banks </w:t>
      </w:r>
      <w:r>
        <w:rPr>
          <w:szCs w:val="22"/>
        </w:rPr>
        <w:t>is</w:t>
      </w:r>
      <w:r w:rsidR="00D54B7E" w:rsidRPr="00D54B7E">
        <w:rPr>
          <w:szCs w:val="22"/>
        </w:rPr>
        <w:t xml:space="preserve"> 3.60</w:t>
      </w:r>
      <w:r w:rsidR="0007503B">
        <w:rPr>
          <w:szCs w:val="22"/>
        </w:rPr>
        <w:t>%</w:t>
      </w:r>
      <w:r w:rsidR="00AE795F">
        <w:rPr>
          <w:szCs w:val="22"/>
        </w:rPr>
        <w:t xml:space="preserve"> p.a</w:t>
      </w:r>
      <w:r w:rsidR="0007503B">
        <w:rPr>
          <w:szCs w:val="22"/>
          <w:vertAlign w:val="superscript"/>
        </w:rPr>
        <w:t>7</w:t>
      </w:r>
      <w:r w:rsidR="000A1FC9">
        <w:rPr>
          <w:szCs w:val="22"/>
        </w:rPr>
        <w:t>.</w:t>
      </w:r>
    </w:p>
    <w:p w14:paraId="023FF909" w14:textId="67A0E2D4" w:rsidR="00AE795F" w:rsidRPr="00B26A97" w:rsidRDefault="0007503B" w:rsidP="00D54B7E">
      <w:pPr>
        <w:pStyle w:val="ListParagraph"/>
        <w:numPr>
          <w:ilvl w:val="0"/>
          <w:numId w:val="47"/>
        </w:numPr>
        <w:rPr>
          <w:szCs w:val="22"/>
        </w:rPr>
      </w:pPr>
      <w:r>
        <w:rPr>
          <w:szCs w:val="22"/>
        </w:rPr>
        <w:t>According to the RBA, t</w:t>
      </w:r>
      <w:r w:rsidR="00AE795F">
        <w:rPr>
          <w:szCs w:val="22"/>
        </w:rPr>
        <w:t>he</w:t>
      </w:r>
      <w:r w:rsidR="00AE795F" w:rsidRPr="00AE795F">
        <w:rPr>
          <w:szCs w:val="22"/>
        </w:rPr>
        <w:t xml:space="preserve"> average interest rate paid to </w:t>
      </w:r>
      <w:r>
        <w:rPr>
          <w:szCs w:val="22"/>
        </w:rPr>
        <w:t>all</w:t>
      </w:r>
      <w:r w:rsidR="00AE795F" w:rsidRPr="00AE795F">
        <w:rPr>
          <w:szCs w:val="22"/>
        </w:rPr>
        <w:t xml:space="preserve"> households on all new term </w:t>
      </w:r>
      <w:r w:rsidR="00AE795F" w:rsidRPr="00B26A97">
        <w:rPr>
          <w:szCs w:val="22"/>
        </w:rPr>
        <w:t xml:space="preserve">deposits </w:t>
      </w:r>
      <w:r w:rsidRPr="00B26A97">
        <w:rPr>
          <w:szCs w:val="22"/>
        </w:rPr>
        <w:t>across all ADIs</w:t>
      </w:r>
      <w:r w:rsidR="00AE795F" w:rsidRPr="00B26A97">
        <w:rPr>
          <w:szCs w:val="22"/>
        </w:rPr>
        <w:t xml:space="preserve"> in June 2025 was 3.7% p.a</w:t>
      </w:r>
      <w:r w:rsidRPr="00B26A97">
        <w:rPr>
          <w:szCs w:val="22"/>
          <w:vertAlign w:val="superscript"/>
        </w:rPr>
        <w:t>8</w:t>
      </w:r>
      <w:r w:rsidR="00AE795F" w:rsidRPr="00B26A97">
        <w:rPr>
          <w:szCs w:val="22"/>
        </w:rPr>
        <w:t>.</w:t>
      </w:r>
    </w:p>
    <w:p w14:paraId="00988937" w14:textId="59343165" w:rsidR="00D54B7E" w:rsidRPr="00B26A97" w:rsidRDefault="000A1FC9" w:rsidP="00D54B7E">
      <w:pPr>
        <w:pStyle w:val="ListParagraph"/>
        <w:numPr>
          <w:ilvl w:val="0"/>
          <w:numId w:val="47"/>
        </w:numPr>
        <w:rPr>
          <w:szCs w:val="22"/>
        </w:rPr>
      </w:pPr>
      <w:r w:rsidRPr="00B26A97">
        <w:rPr>
          <w:szCs w:val="22"/>
        </w:rPr>
        <w:t>T</w:t>
      </w:r>
      <w:r w:rsidR="00D54B7E" w:rsidRPr="00B26A97">
        <w:rPr>
          <w:szCs w:val="22"/>
        </w:rPr>
        <w:t>he ASX All Ordinaries dividend yield</w:t>
      </w:r>
      <w:r w:rsidRPr="00B26A97">
        <w:rPr>
          <w:szCs w:val="22"/>
        </w:rPr>
        <w:t xml:space="preserve"> was at </w:t>
      </w:r>
      <w:r w:rsidR="00D54B7E" w:rsidRPr="00B26A97">
        <w:rPr>
          <w:szCs w:val="22"/>
        </w:rPr>
        <w:t>3.29 per cent as at June 2025</w:t>
      </w:r>
      <w:r w:rsidR="00970A54" w:rsidRPr="00B26A97">
        <w:rPr>
          <w:rStyle w:val="FootnoteReference"/>
          <w:szCs w:val="22"/>
        </w:rPr>
        <w:footnoteReference w:id="9"/>
      </w:r>
      <w:r w:rsidR="00D54B7E" w:rsidRPr="00B26A97">
        <w:rPr>
          <w:szCs w:val="22"/>
        </w:rPr>
        <w:t>.</w:t>
      </w:r>
    </w:p>
    <w:p w14:paraId="112C93D6" w14:textId="77777777" w:rsidR="00D10F22" w:rsidRPr="00B26A97" w:rsidRDefault="00D10F22" w:rsidP="000225CD">
      <w:pPr>
        <w:pStyle w:val="ListParagraph"/>
        <w:rPr>
          <w:szCs w:val="22"/>
        </w:rPr>
      </w:pPr>
    </w:p>
    <w:p w14:paraId="436518AA" w14:textId="1129AC24" w:rsidR="00667A46" w:rsidRPr="00411639" w:rsidRDefault="00667A46" w:rsidP="00D45198">
      <w:pPr>
        <w:keepNext/>
        <w:spacing w:after="0"/>
        <w:rPr>
          <w:b/>
          <w:i/>
        </w:rPr>
      </w:pPr>
      <w:r w:rsidRPr="00411639">
        <w:rPr>
          <w:b/>
          <w:i/>
        </w:rPr>
        <w:t>Regulatory costs table 2</w:t>
      </w:r>
    </w:p>
    <w:tbl>
      <w:tblPr>
        <w:tblStyle w:val="Custom1"/>
        <w:tblW w:w="0" w:type="auto"/>
        <w:tblLook w:val="0660" w:firstRow="1" w:lastRow="1" w:firstColumn="0" w:lastColumn="0" w:noHBand="1" w:noVBand="1"/>
      </w:tblPr>
      <w:tblGrid>
        <w:gridCol w:w="2555"/>
        <w:gridCol w:w="1691"/>
        <w:gridCol w:w="1691"/>
        <w:gridCol w:w="1691"/>
        <w:gridCol w:w="1692"/>
      </w:tblGrid>
      <w:tr w:rsidR="00A45B30" w:rsidRPr="004F1588" w14:paraId="337B12F5" w14:textId="77777777">
        <w:trPr>
          <w:cnfStyle w:val="100000000000" w:firstRow="1" w:lastRow="0" w:firstColumn="0" w:lastColumn="0" w:oddVBand="0" w:evenVBand="0" w:oddHBand="0" w:evenHBand="0" w:firstRowFirstColumn="0" w:firstRowLastColumn="0" w:lastRowFirstColumn="0" w:lastRowLastColumn="0"/>
          <w:trHeight w:val="350"/>
          <w:tblHeader/>
        </w:trPr>
        <w:tc>
          <w:tcPr>
            <w:tcW w:w="9320" w:type="dxa"/>
            <w:gridSpan w:val="5"/>
          </w:tcPr>
          <w:p w14:paraId="63562C92" w14:textId="4770395A" w:rsidR="002C4B77" w:rsidRPr="00411639" w:rsidRDefault="002C4B77">
            <w:pPr>
              <w:pStyle w:val="TBLHeading"/>
            </w:pPr>
            <w:r w:rsidRPr="00411639">
              <w:t xml:space="preserve">Average annual regulatory costs of </w:t>
            </w:r>
            <w:r w:rsidR="00040EDA" w:rsidRPr="00411639">
              <w:t>Government action</w:t>
            </w:r>
          </w:p>
        </w:tc>
      </w:tr>
      <w:tr w:rsidR="002C4B77" w:rsidRPr="004F1588" w14:paraId="2CF363D7" w14:textId="77777777">
        <w:trPr>
          <w:trHeight w:val="350"/>
        </w:trPr>
        <w:tc>
          <w:tcPr>
            <w:tcW w:w="2555" w:type="dxa"/>
          </w:tcPr>
          <w:p w14:paraId="114FF31C" w14:textId="77777777" w:rsidR="002C4B77" w:rsidRPr="00411639" w:rsidRDefault="002C4B77">
            <w:pPr>
              <w:pStyle w:val="TBLText"/>
              <w:rPr>
                <w:sz w:val="22"/>
              </w:rPr>
            </w:pPr>
            <w:r w:rsidRPr="00411639">
              <w:rPr>
                <w:sz w:val="22"/>
              </w:rPr>
              <w:t>Change in costs ($</w:t>
            </w:r>
            <w:r w:rsidRPr="00411639">
              <w:t> </w:t>
            </w:r>
            <w:r w:rsidRPr="00411639">
              <w:rPr>
                <w:sz w:val="22"/>
              </w:rPr>
              <w:t>million)</w:t>
            </w:r>
          </w:p>
        </w:tc>
        <w:tc>
          <w:tcPr>
            <w:tcW w:w="1691" w:type="dxa"/>
          </w:tcPr>
          <w:p w14:paraId="432E3171" w14:textId="77777777" w:rsidR="002C4B77" w:rsidRPr="00411639" w:rsidRDefault="002C4B77">
            <w:pPr>
              <w:pStyle w:val="TBLText"/>
              <w:rPr>
                <w:sz w:val="22"/>
              </w:rPr>
            </w:pPr>
            <w:r w:rsidRPr="00411639">
              <w:rPr>
                <w:sz w:val="22"/>
              </w:rPr>
              <w:t>Individuals</w:t>
            </w:r>
          </w:p>
        </w:tc>
        <w:tc>
          <w:tcPr>
            <w:tcW w:w="1691" w:type="dxa"/>
          </w:tcPr>
          <w:p w14:paraId="5E2BA5B3" w14:textId="77777777" w:rsidR="002C4B77" w:rsidRPr="00411639" w:rsidRDefault="002C4B77">
            <w:pPr>
              <w:pStyle w:val="TBLText"/>
              <w:rPr>
                <w:sz w:val="22"/>
              </w:rPr>
            </w:pPr>
            <w:r w:rsidRPr="00411639">
              <w:rPr>
                <w:sz w:val="22"/>
              </w:rPr>
              <w:t xml:space="preserve">Business </w:t>
            </w:r>
          </w:p>
        </w:tc>
        <w:tc>
          <w:tcPr>
            <w:tcW w:w="1691" w:type="dxa"/>
          </w:tcPr>
          <w:p w14:paraId="4B80A236" w14:textId="77777777" w:rsidR="002C4B77" w:rsidRPr="00411639" w:rsidRDefault="002C4B77">
            <w:pPr>
              <w:pStyle w:val="TBLText"/>
              <w:rPr>
                <w:sz w:val="22"/>
              </w:rPr>
            </w:pPr>
            <w:r w:rsidRPr="00411639">
              <w:rPr>
                <w:sz w:val="22"/>
              </w:rPr>
              <w:t>Community organisations</w:t>
            </w:r>
          </w:p>
        </w:tc>
        <w:tc>
          <w:tcPr>
            <w:tcW w:w="1692" w:type="dxa"/>
          </w:tcPr>
          <w:p w14:paraId="20DBD7D2" w14:textId="77777777" w:rsidR="002C4B77" w:rsidRPr="00411639" w:rsidRDefault="002C4B77">
            <w:pPr>
              <w:pStyle w:val="TBLText"/>
              <w:rPr>
                <w:sz w:val="22"/>
              </w:rPr>
            </w:pPr>
            <w:r w:rsidRPr="00411639">
              <w:rPr>
                <w:sz w:val="22"/>
              </w:rPr>
              <w:t>Total change in cost</w:t>
            </w:r>
          </w:p>
        </w:tc>
      </w:tr>
      <w:tr w:rsidR="002C4B77" w:rsidRPr="00995541" w14:paraId="385B6D51" w14:textId="77777777">
        <w:trPr>
          <w:trHeight w:val="350"/>
        </w:trPr>
        <w:tc>
          <w:tcPr>
            <w:tcW w:w="2555" w:type="dxa"/>
          </w:tcPr>
          <w:p w14:paraId="1049ECB3" w14:textId="77777777" w:rsidR="002C4B77" w:rsidRPr="00411639" w:rsidRDefault="002C4B77">
            <w:pPr>
              <w:pStyle w:val="TBLText"/>
              <w:rPr>
                <w:sz w:val="22"/>
              </w:rPr>
            </w:pPr>
            <w:r w:rsidRPr="00411639">
              <w:rPr>
                <w:sz w:val="22"/>
              </w:rPr>
              <w:t>Total, by sector</w:t>
            </w:r>
          </w:p>
        </w:tc>
        <w:tc>
          <w:tcPr>
            <w:tcW w:w="1691" w:type="dxa"/>
          </w:tcPr>
          <w:p w14:paraId="7F0A4E57" w14:textId="77777777" w:rsidR="002C4B77" w:rsidRPr="00411639" w:rsidRDefault="002C4B77">
            <w:pPr>
              <w:pStyle w:val="TBLText"/>
              <w:rPr>
                <w:sz w:val="22"/>
              </w:rPr>
            </w:pPr>
            <w:r w:rsidRPr="00411639">
              <w:rPr>
                <w:sz w:val="22"/>
              </w:rPr>
              <w:t>$0</w:t>
            </w:r>
          </w:p>
        </w:tc>
        <w:tc>
          <w:tcPr>
            <w:tcW w:w="1691" w:type="dxa"/>
          </w:tcPr>
          <w:p w14:paraId="496C4C1A" w14:textId="77777777" w:rsidR="002C4B77" w:rsidRPr="00411639" w:rsidRDefault="002C4B77">
            <w:pPr>
              <w:pStyle w:val="TBLText"/>
              <w:rPr>
                <w:sz w:val="22"/>
              </w:rPr>
            </w:pPr>
            <w:r w:rsidRPr="00411639">
              <w:rPr>
                <w:sz w:val="22"/>
              </w:rPr>
              <w:t>$0</w:t>
            </w:r>
          </w:p>
        </w:tc>
        <w:tc>
          <w:tcPr>
            <w:tcW w:w="1691" w:type="dxa"/>
          </w:tcPr>
          <w:p w14:paraId="5AB05BE2" w14:textId="77777777" w:rsidR="002C4B77" w:rsidRPr="00411639" w:rsidRDefault="002C4B77">
            <w:pPr>
              <w:pStyle w:val="TBLText"/>
              <w:rPr>
                <w:sz w:val="22"/>
              </w:rPr>
            </w:pPr>
            <w:r w:rsidRPr="00411639">
              <w:rPr>
                <w:sz w:val="22"/>
              </w:rPr>
              <w:t>$0</w:t>
            </w:r>
          </w:p>
        </w:tc>
        <w:tc>
          <w:tcPr>
            <w:tcW w:w="1692" w:type="dxa"/>
          </w:tcPr>
          <w:p w14:paraId="3AC1D028" w14:textId="77777777" w:rsidR="002C4B77" w:rsidRPr="00995541" w:rsidRDefault="002C4B77">
            <w:pPr>
              <w:pStyle w:val="TBLText"/>
              <w:rPr>
                <w:sz w:val="22"/>
              </w:rPr>
            </w:pPr>
            <w:r w:rsidRPr="00411639">
              <w:rPr>
                <w:sz w:val="22"/>
              </w:rPr>
              <w:t>$0</w:t>
            </w:r>
          </w:p>
        </w:tc>
      </w:tr>
    </w:tbl>
    <w:bookmarkEnd w:id="3"/>
    <w:p w14:paraId="0A3DC986" w14:textId="1A23EDF2" w:rsidR="005A4739" w:rsidRDefault="005A4739" w:rsidP="00D45198">
      <w:pPr>
        <w:pStyle w:val="Heading1"/>
        <w:numPr>
          <w:ilvl w:val="0"/>
          <w:numId w:val="13"/>
        </w:numPr>
      </w:pPr>
      <w:r>
        <w:lastRenderedPageBreak/>
        <w:t>Who did you consult and how did you incorporate their feedback?</w:t>
      </w:r>
    </w:p>
    <w:p w14:paraId="34C09E27" w14:textId="412498C2" w:rsidR="000D390A" w:rsidRDefault="00996087" w:rsidP="00820355">
      <w:pPr>
        <w:spacing w:after="200" w:line="288" w:lineRule="auto"/>
      </w:pPr>
      <w:r>
        <w:t xml:space="preserve">The deeming rates </w:t>
      </w:r>
      <w:r w:rsidR="000D390A">
        <w:t xml:space="preserve">and end of the freeze on 30 June 2025 </w:t>
      </w:r>
      <w:r>
        <w:t xml:space="preserve">have </w:t>
      </w:r>
      <w:r w:rsidR="000D390A">
        <w:t>been the subject of</w:t>
      </w:r>
      <w:r>
        <w:t xml:space="preserve"> significant public discussion. </w:t>
      </w:r>
    </w:p>
    <w:p w14:paraId="1195A637" w14:textId="23C674FF" w:rsidR="00996087" w:rsidRDefault="000D390A" w:rsidP="00820355">
      <w:pPr>
        <w:spacing w:after="200" w:line="288" w:lineRule="auto"/>
      </w:pPr>
      <w:r>
        <w:t xml:space="preserve">The views of stakeholders, including National Seniors Australia, Council </w:t>
      </w:r>
      <w:proofErr w:type="gramStart"/>
      <w:r>
        <w:t>On The</w:t>
      </w:r>
      <w:proofErr w:type="gramEnd"/>
      <w:r>
        <w:t xml:space="preserve"> Ageing, and the </w:t>
      </w:r>
      <w:r w:rsidRPr="00A65CAA">
        <w:t>Combined Pensioners and Superannuants Association</w:t>
      </w:r>
      <w:r>
        <w:t>, were taken into account in the development of these options.</w:t>
      </w:r>
      <w:r w:rsidR="00C07E00">
        <w:t xml:space="preserve"> In addition, t</w:t>
      </w:r>
      <w:r w:rsidR="00996087">
        <w:t xml:space="preserve">he Department of Social Services </w:t>
      </w:r>
      <w:r w:rsidR="00C07E00">
        <w:t>continues to</w:t>
      </w:r>
      <w:r w:rsidR="00996087">
        <w:t xml:space="preserve"> monitor and analyse content published by the media and stakeholders on th</w:t>
      </w:r>
      <w:r w:rsidR="001B1F0B">
        <w:t>ese</w:t>
      </w:r>
      <w:r w:rsidR="00996087">
        <w:t xml:space="preserve"> issue</w:t>
      </w:r>
      <w:r w:rsidR="001B1F0B">
        <w:t>s</w:t>
      </w:r>
      <w:r w:rsidR="00996087">
        <w:t xml:space="preserve">. </w:t>
      </w:r>
    </w:p>
    <w:p w14:paraId="021A4010" w14:textId="21BAEB7C" w:rsidR="00B4752D" w:rsidRDefault="00467EEA" w:rsidP="00820355">
      <w:pPr>
        <w:spacing w:after="200" w:line="288" w:lineRule="auto"/>
      </w:pPr>
      <w:r>
        <w:t>In broad terms</w:t>
      </w:r>
      <w:r w:rsidR="00B4752D">
        <w:t>, stakeholders have called for the deeming rate freeze to be extended further</w:t>
      </w:r>
      <w:r w:rsidR="00026D68">
        <w:t xml:space="preserve">, </w:t>
      </w:r>
      <w:r w:rsidR="00890A1D">
        <w:t>for the metho</w:t>
      </w:r>
      <w:r w:rsidR="00345030">
        <w:t>dology for setting the rates to be clarified, and fo</w:t>
      </w:r>
      <w:r w:rsidR="002068D0">
        <w:t>r a</w:t>
      </w:r>
      <w:r w:rsidR="005E545F">
        <w:t xml:space="preserve"> transition out of the freeze to occur in a gradual way that gives affected recipients time to adjust. </w:t>
      </w:r>
    </w:p>
    <w:p w14:paraId="46C8CE80" w14:textId="0CAE03B3" w:rsidR="00A9082E" w:rsidRDefault="00C05800" w:rsidP="00A9082E">
      <w:pPr>
        <w:spacing w:after="200" w:line="288" w:lineRule="auto"/>
      </w:pPr>
      <w:r>
        <w:t>R</w:t>
      </w:r>
      <w:r w:rsidR="00A9082E">
        <w:t xml:space="preserve">ecent examples of media on deeming </w:t>
      </w:r>
      <w:r w:rsidR="00A745BE">
        <w:t>include</w:t>
      </w:r>
      <w:r w:rsidR="00A9082E">
        <w:t xml:space="preserve"> (non-exhaustive):</w:t>
      </w:r>
    </w:p>
    <w:p w14:paraId="20A6D354" w14:textId="77777777" w:rsidR="00A9082E" w:rsidRPr="00EB2069" w:rsidRDefault="00A9082E" w:rsidP="00A9082E">
      <w:pPr>
        <w:pStyle w:val="ListParagraph"/>
        <w:numPr>
          <w:ilvl w:val="0"/>
          <w:numId w:val="38"/>
        </w:numPr>
        <w:spacing w:after="200" w:line="288" w:lineRule="auto"/>
        <w:rPr>
          <w:i/>
        </w:rPr>
      </w:pPr>
      <w:r>
        <w:t xml:space="preserve">Australian Financial Review, 19 March 2025: </w:t>
      </w:r>
      <w:r w:rsidRPr="00F733FA">
        <w:rPr>
          <w:i/>
          <w:iCs/>
        </w:rPr>
        <w:t>Deeming rates on hold in budget to woo pensioners ahead of poll</w:t>
      </w:r>
    </w:p>
    <w:p w14:paraId="3B05F44A" w14:textId="77777777" w:rsidR="00A9082E" w:rsidRDefault="00A9082E" w:rsidP="00A9082E">
      <w:pPr>
        <w:pStyle w:val="ListParagraph"/>
        <w:numPr>
          <w:ilvl w:val="0"/>
          <w:numId w:val="38"/>
        </w:numPr>
        <w:spacing w:after="200" w:line="288" w:lineRule="auto"/>
      </w:pPr>
      <w:r>
        <w:rPr>
          <w:noProof/>
        </w:rPr>
        <w:t xml:space="preserve">Stockhead, 24 March 2025: </w:t>
      </w:r>
      <w:r w:rsidRPr="00EB2069">
        <w:rPr>
          <w:i/>
          <w:iCs/>
          <w:noProof/>
        </w:rPr>
        <w:t>Deeming rate joins negative gearing on the list of political untouchables</w:t>
      </w:r>
    </w:p>
    <w:p w14:paraId="6E798C41" w14:textId="77777777" w:rsidR="00A9082E" w:rsidRPr="00974033" w:rsidRDefault="00A9082E" w:rsidP="00A9082E">
      <w:pPr>
        <w:pStyle w:val="ListParagraph"/>
        <w:numPr>
          <w:ilvl w:val="0"/>
          <w:numId w:val="38"/>
        </w:numPr>
        <w:spacing w:after="200" w:line="288" w:lineRule="auto"/>
        <w:rPr>
          <w:i/>
          <w:iCs/>
          <w:noProof/>
        </w:rPr>
      </w:pPr>
      <w:r>
        <w:rPr>
          <w:noProof/>
        </w:rPr>
        <w:t xml:space="preserve">Sydney Morning Herald, 29 March 2025: </w:t>
      </w:r>
      <w:r w:rsidRPr="00974033">
        <w:rPr>
          <w:i/>
          <w:iCs/>
          <w:noProof/>
        </w:rPr>
        <w:t>As we head to an election, does either party care about retirees?</w:t>
      </w:r>
    </w:p>
    <w:p w14:paraId="48067D7E" w14:textId="77777777" w:rsidR="00A9082E" w:rsidRPr="00DB4B11" w:rsidRDefault="00A9082E" w:rsidP="00A9082E">
      <w:pPr>
        <w:pStyle w:val="ListParagraph"/>
        <w:numPr>
          <w:ilvl w:val="0"/>
          <w:numId w:val="38"/>
        </w:numPr>
        <w:spacing w:after="200" w:line="288" w:lineRule="auto"/>
        <w:rPr>
          <w:noProof/>
        </w:rPr>
      </w:pPr>
      <w:r>
        <w:rPr>
          <w:noProof/>
        </w:rPr>
        <w:t xml:space="preserve">The Guardian, 20 April 2025: </w:t>
      </w:r>
      <w:r w:rsidRPr="0009026F">
        <w:rPr>
          <w:i/>
          <w:iCs/>
          <w:noProof/>
        </w:rPr>
        <w:t>Norma isn’t sure if she can afford to retire as market turmoil hits Australians’ super savings</w:t>
      </w:r>
    </w:p>
    <w:p w14:paraId="3C09298F" w14:textId="77777777" w:rsidR="00A9082E" w:rsidRPr="0009026F" w:rsidRDefault="00A9082E" w:rsidP="00A9082E">
      <w:pPr>
        <w:pStyle w:val="ListParagraph"/>
        <w:numPr>
          <w:ilvl w:val="0"/>
          <w:numId w:val="38"/>
        </w:numPr>
        <w:spacing w:after="200" w:line="288" w:lineRule="auto"/>
        <w:rPr>
          <w:noProof/>
        </w:rPr>
      </w:pPr>
      <w:r>
        <w:rPr>
          <w:noProof/>
        </w:rPr>
        <w:t xml:space="preserve">Australian Financial Review, 26 April 2025: </w:t>
      </w:r>
      <w:r w:rsidRPr="00DB4B11">
        <w:rPr>
          <w:i/>
          <w:iCs/>
          <w:noProof/>
        </w:rPr>
        <w:t>Labor and Coalition urged to fess up on deeming rate plans</w:t>
      </w:r>
    </w:p>
    <w:p w14:paraId="468C242C" w14:textId="77777777" w:rsidR="00A9082E" w:rsidRPr="00EB2069" w:rsidRDefault="00A9082E" w:rsidP="00A9082E">
      <w:pPr>
        <w:pStyle w:val="ListParagraph"/>
        <w:numPr>
          <w:ilvl w:val="0"/>
          <w:numId w:val="38"/>
        </w:numPr>
        <w:spacing w:after="200" w:line="288" w:lineRule="auto"/>
      </w:pPr>
      <w:r>
        <w:rPr>
          <w:noProof/>
        </w:rPr>
        <w:t xml:space="preserve">The Senior, 28 May 2025: </w:t>
      </w:r>
      <w:r w:rsidRPr="000D4933">
        <w:rPr>
          <w:i/>
          <w:iCs/>
          <w:noProof/>
        </w:rPr>
        <w:t>Pensioners left hanging as government signals deeming freeze to end</w:t>
      </w:r>
    </w:p>
    <w:p w14:paraId="3FF7D219" w14:textId="341AEB88" w:rsidR="00A9082E" w:rsidRPr="009E5C9E" w:rsidRDefault="00A9082E" w:rsidP="00D45198">
      <w:pPr>
        <w:pStyle w:val="ListParagraph"/>
        <w:numPr>
          <w:ilvl w:val="0"/>
          <w:numId w:val="38"/>
        </w:numPr>
        <w:spacing w:after="200" w:line="288" w:lineRule="auto"/>
        <w:rPr>
          <w:noProof/>
        </w:rPr>
      </w:pPr>
      <w:r>
        <w:rPr>
          <w:noProof/>
        </w:rPr>
        <w:t xml:space="preserve">The Nightly, 17 June 2025: </w:t>
      </w:r>
      <w:r w:rsidRPr="009D0181">
        <w:rPr>
          <w:i/>
          <w:iCs/>
          <w:noProof/>
        </w:rPr>
        <w:t>No news on Centrelink’s deeming rates freeze is good news for part-pensioners ... for now</w:t>
      </w:r>
    </w:p>
    <w:p w14:paraId="3418713C" w14:textId="77777777" w:rsidR="004E11DB" w:rsidRDefault="004E11DB" w:rsidP="00A21C97">
      <w:pPr>
        <w:pStyle w:val="ListParagraph"/>
        <w:spacing w:after="200" w:line="240" w:lineRule="auto"/>
        <w:ind w:left="0"/>
        <w:rPr>
          <w:b/>
          <w:bCs/>
        </w:rPr>
      </w:pPr>
    </w:p>
    <w:p w14:paraId="5B95C63B" w14:textId="22C49192" w:rsidR="004E11DB" w:rsidRDefault="00A21C97" w:rsidP="00A21C97">
      <w:pPr>
        <w:pStyle w:val="ListParagraph"/>
        <w:spacing w:after="200" w:line="240" w:lineRule="auto"/>
        <w:ind w:left="0"/>
        <w:rPr>
          <w:b/>
          <w:bCs/>
        </w:rPr>
      </w:pPr>
      <w:r w:rsidRPr="009E5C9E">
        <w:rPr>
          <w:rFonts w:asciiTheme="majorHAnsi" w:eastAsiaTheme="majorEastAsia" w:hAnsiTheme="majorHAnsi" w:cstheme="majorBidi"/>
          <w:color w:val="1C2B39" w:themeColor="accent1"/>
          <w:sz w:val="36"/>
          <w:szCs w:val="28"/>
          <w:lang w:val="en-US"/>
        </w:rPr>
        <w:t>Summary of stakeholder views</w:t>
      </w:r>
    </w:p>
    <w:p w14:paraId="1A9E8A9A" w14:textId="77777777" w:rsidR="004E11DB" w:rsidRDefault="004E11DB" w:rsidP="004E11DB">
      <w:pPr>
        <w:spacing w:after="200" w:line="288" w:lineRule="auto"/>
        <w:rPr>
          <w:b/>
        </w:rPr>
      </w:pPr>
      <w:r w:rsidRPr="004079CA">
        <w:rPr>
          <w:b/>
        </w:rPr>
        <w:t>Council on the Ageing (</w:t>
      </w:r>
      <w:r w:rsidRPr="004079CA">
        <w:rPr>
          <w:b/>
          <w:bCs/>
        </w:rPr>
        <w:t>COTA</w:t>
      </w:r>
      <w:r w:rsidRPr="004079CA">
        <w:rPr>
          <w:b/>
        </w:rPr>
        <w:t>)</w:t>
      </w:r>
    </w:p>
    <w:p w14:paraId="4F37EF1D" w14:textId="6A115226" w:rsidR="004E11DB" w:rsidRPr="00F3645F" w:rsidRDefault="004E11DB" w:rsidP="004E11DB">
      <w:pPr>
        <w:spacing w:after="200" w:line="288" w:lineRule="auto"/>
      </w:pPr>
      <w:r w:rsidRPr="00C0299A">
        <w:t xml:space="preserve">COTA Australia is </w:t>
      </w:r>
      <w:r>
        <w:t>a</w:t>
      </w:r>
      <w:r w:rsidRPr="00C0299A">
        <w:t xml:space="preserve"> peak body representing, and advocating for, older people to government, the general community and media.</w:t>
      </w:r>
      <w:r>
        <w:t xml:space="preserve"> After the announcement of the 2025-26 Budget, the organisation said the government needed to “</w:t>
      </w:r>
      <w:r w:rsidRPr="00F3645F">
        <w:t>publicly confirm its intentions on freezing pensioner deeming at 0.25% and 2.25% beyond 30 June 2025.</w:t>
      </w:r>
      <w:r>
        <w:t>”</w:t>
      </w:r>
    </w:p>
    <w:p w14:paraId="2FDD1C14" w14:textId="77777777" w:rsidR="004E11DB" w:rsidRDefault="004E11DB" w:rsidP="004E11DB">
      <w:pPr>
        <w:pStyle w:val="ListParagraph"/>
        <w:numPr>
          <w:ilvl w:val="0"/>
          <w:numId w:val="36"/>
        </w:numPr>
        <w:spacing w:after="200" w:line="288" w:lineRule="auto"/>
      </w:pPr>
      <w:r>
        <w:t>COTA Australia Chief Executive, Patricia Sparrow said: “</w:t>
      </w:r>
      <w:r w:rsidRPr="00F3645F">
        <w:t xml:space="preserve">Deeming rates are used by government to estimate the amount of income pensioners earn from financial assets and can reduce the pension amount someone receives. Continuing to freeze deeming rates at current levels would go some way </w:t>
      </w:r>
      <w:r w:rsidRPr="00F3645F">
        <w:lastRenderedPageBreak/>
        <w:t>to meeting the increased cost of living pressures faced by people on lower and fixed incomes like those on the age pension.</w:t>
      </w:r>
      <w:r>
        <w:t>”</w:t>
      </w:r>
    </w:p>
    <w:p w14:paraId="508AFE5C" w14:textId="5BCC2AD4" w:rsidR="004E11DB" w:rsidRPr="00C0299A" w:rsidRDefault="004E11DB" w:rsidP="004E11DB">
      <w:pPr>
        <w:spacing w:after="200" w:line="288" w:lineRule="auto"/>
      </w:pPr>
      <w:r>
        <w:t xml:space="preserve">Together with National Seniors Australia, in April 2025 COTA urged the </w:t>
      </w:r>
      <w:r w:rsidR="00217570">
        <w:t>G</w:t>
      </w:r>
      <w:r>
        <w:t>overnment to “</w:t>
      </w:r>
      <w:r w:rsidRPr="007C459C">
        <w:t>come clean on their plans for deeming rates</w:t>
      </w:r>
      <w:r>
        <w:t xml:space="preserve">”. </w:t>
      </w:r>
    </w:p>
    <w:p w14:paraId="7F4CFA1E" w14:textId="77777777" w:rsidR="004E11DB" w:rsidRDefault="004E11DB" w:rsidP="004E11DB">
      <w:pPr>
        <w:numPr>
          <w:ilvl w:val="0"/>
          <w:numId w:val="45"/>
        </w:numPr>
      </w:pPr>
      <w:r>
        <w:t>COTA Australia Chief Executive, Patricia Sparrow and National Seniors Australia Chief Executive Officer Chris Grice said deeming rates should continue to be frozen while pensioners and other Australians are battling with the current cost of living crisis</w:t>
      </w:r>
    </w:p>
    <w:p w14:paraId="472443EA" w14:textId="77777777" w:rsidR="004E11DB" w:rsidRDefault="004E11DB" w:rsidP="004E11DB">
      <w:pPr>
        <w:numPr>
          <w:ilvl w:val="0"/>
          <w:numId w:val="45"/>
        </w:numPr>
      </w:pPr>
      <w:r>
        <w:t xml:space="preserve">“This would have a huge impact on older Australians ability to make ends meet,” Patricia Sparrow said. </w:t>
      </w:r>
    </w:p>
    <w:p w14:paraId="554E3AF4" w14:textId="77777777" w:rsidR="004E11DB" w:rsidRDefault="004E11DB" w:rsidP="004E11DB">
      <w:pPr>
        <w:numPr>
          <w:ilvl w:val="0"/>
          <w:numId w:val="45"/>
        </w:numPr>
      </w:pPr>
      <w:r>
        <w:t>“Older Australians, and others whose crucial payments are determined by deeming rates, deserve to know what our political parties have in store for them.”</w:t>
      </w:r>
    </w:p>
    <w:p w14:paraId="35387F67" w14:textId="77777777" w:rsidR="004E11DB" w:rsidRDefault="004E11DB" w:rsidP="004E11DB">
      <w:pPr>
        <w:numPr>
          <w:ilvl w:val="0"/>
          <w:numId w:val="45"/>
        </w:numPr>
      </w:pPr>
      <w:r>
        <w:t>“The current cost of living pressures are already hitting many Australians, particularly those on fixed incomes, hard. To expect people to deal with a drop of more than $3000 on top of what they’re currently trying to cope with is unreasonable at best.”</w:t>
      </w:r>
    </w:p>
    <w:p w14:paraId="537C6750" w14:textId="77777777" w:rsidR="004E11DB" w:rsidRDefault="004E11DB" w:rsidP="004E11DB">
      <w:pPr>
        <w:numPr>
          <w:ilvl w:val="0"/>
          <w:numId w:val="45"/>
        </w:numPr>
      </w:pPr>
      <w:r w:rsidRPr="003D69F3">
        <w:t>“Any changes need to be measured, incremental, and transparent in its calculation, so we don’t end up in a situation where older Australians who are already struggling under cost-of-living pressures are hit even harder.</w:t>
      </w:r>
      <w:r>
        <w:t>”</w:t>
      </w:r>
    </w:p>
    <w:p w14:paraId="66943A2F" w14:textId="77777777" w:rsidR="004E11DB" w:rsidRPr="00DA7BF8" w:rsidRDefault="004E11DB" w:rsidP="004E11DB">
      <w:pPr>
        <w:spacing w:after="200" w:line="288" w:lineRule="auto"/>
        <w:rPr>
          <w:b/>
        </w:rPr>
      </w:pPr>
      <w:r w:rsidRPr="00DA7BF8">
        <w:rPr>
          <w:b/>
          <w:bCs/>
        </w:rPr>
        <w:t>National Seniors Australia (NSA)</w:t>
      </w:r>
    </w:p>
    <w:p w14:paraId="5F88F9E9" w14:textId="3BC1AB88" w:rsidR="004E11DB" w:rsidRPr="00037033" w:rsidRDefault="004E11DB" w:rsidP="004E11DB">
      <w:pPr>
        <w:spacing w:after="200" w:line="288" w:lineRule="auto"/>
      </w:pPr>
      <w:r>
        <w:t xml:space="preserve">NSA is an advocacy group that works to </w:t>
      </w:r>
      <w:r w:rsidRPr="009A6790">
        <w:t>achieve better outcomes for all older Australians.</w:t>
      </w:r>
      <w:r>
        <w:t xml:space="preserve"> The organisation </w:t>
      </w:r>
      <w:r w:rsidR="00974B72">
        <w:t>has stated</w:t>
      </w:r>
      <w:r>
        <w:t>, “g</w:t>
      </w:r>
      <w:r w:rsidRPr="00C71F26">
        <w:t>iven how integral the deeming rates are to the social security system, NSA is calling for a fair and transparent approach to how they are set. A consistent and transparent method for determining deeming rates will ensure Australians know the pension is fair and adequate and that arbitrary changes are not being made at the expense of pensioners’ living standards.</w:t>
      </w:r>
      <w:r>
        <w:t xml:space="preserve">” </w:t>
      </w:r>
    </w:p>
    <w:p w14:paraId="24E83B82" w14:textId="5EE00413" w:rsidR="004E11DB" w:rsidRDefault="00974B72" w:rsidP="004E11DB">
      <w:pPr>
        <w:spacing w:after="200" w:line="288" w:lineRule="auto"/>
      </w:pPr>
      <w:r>
        <w:t>The</w:t>
      </w:r>
      <w:r w:rsidR="004E11DB">
        <w:t xml:space="preserve"> NSA </w:t>
      </w:r>
      <w:r>
        <w:t>has called</w:t>
      </w:r>
      <w:r w:rsidR="004E11DB">
        <w:t xml:space="preserve"> for:</w:t>
      </w:r>
    </w:p>
    <w:p w14:paraId="7C3FB839" w14:textId="699D8AF3" w:rsidR="004E11DB" w:rsidRDefault="004E11DB" w:rsidP="004E11DB">
      <w:pPr>
        <w:numPr>
          <w:ilvl w:val="0"/>
          <w:numId w:val="45"/>
        </w:numPr>
      </w:pPr>
      <w:r>
        <w:t xml:space="preserve">An independent approach to setting </w:t>
      </w:r>
      <w:r w:rsidR="00974B72">
        <w:t xml:space="preserve">the </w:t>
      </w:r>
      <w:r>
        <w:t>deeming rates.</w:t>
      </w:r>
    </w:p>
    <w:p w14:paraId="338B6648" w14:textId="77777777" w:rsidR="004E11DB" w:rsidRDefault="004E11DB" w:rsidP="004E11DB">
      <w:pPr>
        <w:numPr>
          <w:ilvl w:val="0"/>
          <w:numId w:val="45"/>
        </w:numPr>
      </w:pPr>
      <w:r>
        <w:t>Deeming rates being linked to changes in the RBA cash rate to reflect the returns available.</w:t>
      </w:r>
    </w:p>
    <w:p w14:paraId="05DFB080" w14:textId="67BDB127" w:rsidR="004E11DB" w:rsidRDefault="004E11DB" w:rsidP="004E11DB">
      <w:r>
        <w:t>In its 202</w:t>
      </w:r>
      <w:r w:rsidR="005F41CA">
        <w:t>5</w:t>
      </w:r>
      <w:r>
        <w:t>-26 pre-Budget submission, the NSA recommended the government “c</w:t>
      </w:r>
      <w:r w:rsidRPr="006A6FD9">
        <w:t>ontinue to freeze deeming rates while interest rates remain high and use this time to create a fair and transparent method for calculating deeming rates in the future.</w:t>
      </w:r>
      <w:r>
        <w:t>”</w:t>
      </w:r>
    </w:p>
    <w:p w14:paraId="7182D7E4" w14:textId="77777777" w:rsidR="004E11DB" w:rsidRDefault="004E11DB" w:rsidP="004E11DB">
      <w:r>
        <w:t>NSA also called for a return to “t</w:t>
      </w:r>
      <w:r w:rsidRPr="00E042E1">
        <w:t>he previous method (pre-2012), where the upper rate mirrored the RBA cash rate and the lower rate was a proportion of this, would be a fair approach. With the RBA cash rate high, any change to the deeming rate should be phased in incrementally when indexation of the Age Pension occurs in March and September.</w:t>
      </w:r>
      <w:r>
        <w:t>”</w:t>
      </w:r>
    </w:p>
    <w:p w14:paraId="43A14B47" w14:textId="77777777" w:rsidR="004E11DB" w:rsidRDefault="004E11DB" w:rsidP="004E11DB">
      <w:r>
        <w:lastRenderedPageBreak/>
        <w:t>The organisation said that “o</w:t>
      </w:r>
      <w:r w:rsidRPr="00BE7C8D">
        <w:t>lder people welcomed the commitment to freeze deeming rates until July 2025, but with the cash rate higher than the upper deeming rate, there is a risk that when the freeze ends, a return to the post-2012 methodology will mean:</w:t>
      </w:r>
    </w:p>
    <w:p w14:paraId="1DD1A99A" w14:textId="77777777" w:rsidR="004E11DB" w:rsidRDefault="004E11DB" w:rsidP="004E11DB">
      <w:pPr>
        <w:numPr>
          <w:ilvl w:val="0"/>
          <w:numId w:val="45"/>
        </w:numPr>
      </w:pPr>
      <w:r w:rsidRPr="00BE7C8D">
        <w:t>Hundreds of thousands of pensioners will have their pensions cut</w:t>
      </w:r>
    </w:p>
    <w:p w14:paraId="0F644560" w14:textId="77777777" w:rsidR="004E11DB" w:rsidRDefault="004E11DB" w:rsidP="004E11DB">
      <w:pPr>
        <w:numPr>
          <w:ilvl w:val="0"/>
          <w:numId w:val="45"/>
        </w:numPr>
      </w:pPr>
      <w:r w:rsidRPr="00BE7C8D">
        <w:t>Some Commonwealth Seniors Health Card holders will lose this benefit</w:t>
      </w:r>
    </w:p>
    <w:p w14:paraId="14C631D8" w14:textId="77777777" w:rsidR="004E11DB" w:rsidRDefault="004E11DB" w:rsidP="004E11DB">
      <w:pPr>
        <w:numPr>
          <w:ilvl w:val="0"/>
          <w:numId w:val="45"/>
        </w:numPr>
      </w:pPr>
      <w:r w:rsidRPr="00BE7C8D">
        <w:t>Aged care costs will increase for seniors subject to means testing</w:t>
      </w:r>
      <w:r>
        <w:t>.”</w:t>
      </w:r>
    </w:p>
    <w:p w14:paraId="1272E744" w14:textId="262D9E80" w:rsidR="004E11DB" w:rsidRPr="007D39F7" w:rsidRDefault="004E11DB" w:rsidP="004E11DB">
      <w:pPr>
        <w:rPr>
          <w:b/>
          <w:bCs/>
          <w:szCs w:val="22"/>
        </w:rPr>
      </w:pPr>
      <w:r>
        <w:t xml:space="preserve">In June 2025, NSA wrote to the Minister for Social Services with its preferred option for </w:t>
      </w:r>
      <w:r w:rsidR="009C328B">
        <w:t xml:space="preserve">setting the </w:t>
      </w:r>
      <w:r>
        <w:t xml:space="preserve">deeming </w:t>
      </w:r>
      <w:r w:rsidR="009C328B">
        <w:t>rates</w:t>
      </w:r>
      <w:r>
        <w:t xml:space="preserve"> after the end of the freeze. The organisation</w:t>
      </w:r>
      <w:r w:rsidRPr="00844D57">
        <w:t xml:space="preserve"> said, “</w:t>
      </w:r>
      <w:r w:rsidRPr="00844D57">
        <w:rPr>
          <w:szCs w:val="22"/>
        </w:rPr>
        <w:t xml:space="preserve">our analysis supports delaying any change to deeming rates until interest rates moderate to a level that minimises </w:t>
      </w:r>
      <w:r w:rsidR="00272318">
        <w:rPr>
          <w:szCs w:val="22"/>
        </w:rPr>
        <w:t xml:space="preserve">the </w:t>
      </w:r>
      <w:r w:rsidRPr="00844D57">
        <w:rPr>
          <w:szCs w:val="22"/>
        </w:rPr>
        <w:t>impact on Age Pensioners (and other payment recipients), after which a simpler and transparent method for setting deeming rates should be set out in regulations.”</w:t>
      </w:r>
    </w:p>
    <w:p w14:paraId="4BFF141E" w14:textId="77777777" w:rsidR="004E11DB" w:rsidRDefault="004E11DB" w:rsidP="004E11DB">
      <w:pPr>
        <w:spacing w:after="200" w:line="288" w:lineRule="auto"/>
        <w:rPr>
          <w:b/>
          <w:bCs/>
        </w:rPr>
      </w:pPr>
      <w:r w:rsidRPr="00AA3000">
        <w:rPr>
          <w:b/>
          <w:bCs/>
        </w:rPr>
        <w:t>Combined Pensioners &amp; Superannuants Association</w:t>
      </w:r>
      <w:r>
        <w:rPr>
          <w:b/>
          <w:bCs/>
        </w:rPr>
        <w:t xml:space="preserve"> (CPSA)</w:t>
      </w:r>
    </w:p>
    <w:p w14:paraId="13B39925" w14:textId="77777777" w:rsidR="004E11DB" w:rsidRDefault="004E11DB" w:rsidP="004E11DB">
      <w:r>
        <w:t xml:space="preserve">CPSA is an advocacy group which promotes </w:t>
      </w:r>
      <w:r w:rsidRPr="00AA3000">
        <w:t xml:space="preserve">the rights of pensioners, superannuants and low-income retirees and </w:t>
      </w:r>
      <w:r>
        <w:t xml:space="preserve">seeks to </w:t>
      </w:r>
      <w:r w:rsidRPr="00AA3000">
        <w:t>improv</w:t>
      </w:r>
      <w:r>
        <w:t>e</w:t>
      </w:r>
      <w:r w:rsidRPr="00AA3000">
        <w:t xml:space="preserve"> their quality of life.</w:t>
      </w:r>
      <w:r>
        <w:t xml:space="preserve"> CPSA has long held the view that there is a lack of transparency in how and why the deeming rates are set.</w:t>
      </w:r>
    </w:p>
    <w:p w14:paraId="6C06D68A" w14:textId="3B32F464" w:rsidR="004E11DB" w:rsidRPr="00DE78C8" w:rsidRDefault="004E11DB" w:rsidP="004E11DB">
      <w:r>
        <w:t xml:space="preserve">In an article published in 2019, CPSA </w:t>
      </w:r>
      <w:r w:rsidR="00E85FFE">
        <w:t>stated</w:t>
      </w:r>
      <w:r w:rsidR="00587B28">
        <w:t>,</w:t>
      </w:r>
      <w:r>
        <w:t xml:space="preserve"> “</w:t>
      </w:r>
      <w:r w:rsidR="00553656">
        <w:t>T</w:t>
      </w:r>
      <w:r w:rsidRPr="00DE78C8">
        <w:t>he secrecy with which the Minister operates with regard to the deeming rates is inappropriate. There needs to be transparency about what triggers a review of the deeming rates and what factors other than term deposit rates are taken into account.</w:t>
      </w:r>
      <w:r>
        <w:t xml:space="preserve"> </w:t>
      </w:r>
      <w:r w:rsidRPr="00DE78C8">
        <w:t>Of Australia’s more than 3.5 million pensioners, some 785,000 (more than a quarter) are being paid under the income test and most, if not all of those pensioners, are affected by the deeming rates.</w:t>
      </w:r>
      <w:r>
        <w:t xml:space="preserve"> </w:t>
      </w:r>
      <w:r w:rsidRPr="00DE78C8">
        <w:t>They have a right to know exactly how their social security payment is calculated, and CPSA is using Freedom of Information to find out. </w:t>
      </w:r>
      <w:r w:rsidRPr="00DE78C8">
        <w:rPr>
          <w:szCs w:val="22"/>
        </w:rPr>
        <w:t>THE VOICE</w:t>
      </w:r>
      <w:r w:rsidRPr="00DE78C8">
        <w:t> will keep readers posted.</w:t>
      </w:r>
      <w:r>
        <w:t xml:space="preserve">” </w:t>
      </w:r>
    </w:p>
    <w:p w14:paraId="5D614B84" w14:textId="7CD71794" w:rsidR="004E11DB" w:rsidRDefault="004E11DB" w:rsidP="004E11DB">
      <w:r>
        <w:t xml:space="preserve">This Freedom of Information request was finalised </w:t>
      </w:r>
      <w:r w:rsidR="003D345E">
        <w:t>in</w:t>
      </w:r>
      <w:r>
        <w:t xml:space="preserve"> January 2024</w:t>
      </w:r>
      <w:r w:rsidR="00911F88">
        <w:t>.</w:t>
      </w:r>
    </w:p>
    <w:p w14:paraId="789AE9A1" w14:textId="77777777" w:rsidR="004E11DB" w:rsidRPr="00AA3000" w:rsidRDefault="004E11DB" w:rsidP="004E11DB">
      <w:r>
        <w:t>In June 2025, the organisation said, “w</w:t>
      </w:r>
      <w:r w:rsidRPr="00483633">
        <w:t xml:space="preserve">hile extending the freeze would continue to help the approximately 900,000 Australians who benefit from the system, </w:t>
      </w:r>
      <w:r w:rsidRPr="007712A2">
        <w:t>a better option might be to raise the base rate of all income support payments to ensure that everyone, not just those people with financial assets, are given some relief</w:t>
      </w:r>
      <w:r w:rsidRPr="00483633">
        <w:t>.</w:t>
      </w:r>
      <w:r>
        <w:t>”</w:t>
      </w:r>
    </w:p>
    <w:p w14:paraId="7269A7EA" w14:textId="77777777" w:rsidR="00D74815" w:rsidRDefault="00D74815">
      <w:pPr>
        <w:spacing w:after="200" w:line="288" w:lineRule="auto"/>
        <w:rPr>
          <w:rFonts w:asciiTheme="majorHAnsi" w:eastAsiaTheme="majorEastAsia" w:hAnsiTheme="majorHAnsi" w:cstheme="majorBidi"/>
          <w:color w:val="1C2B39" w:themeColor="accent1"/>
          <w:sz w:val="36"/>
          <w:szCs w:val="28"/>
          <w:lang w:val="en-US"/>
        </w:rPr>
      </w:pPr>
      <w:r>
        <w:rPr>
          <w:rFonts w:asciiTheme="majorHAnsi" w:eastAsiaTheme="majorEastAsia" w:hAnsiTheme="majorHAnsi" w:cstheme="majorBidi"/>
          <w:color w:val="1C2B39" w:themeColor="accent1"/>
          <w:sz w:val="36"/>
          <w:szCs w:val="28"/>
          <w:lang w:val="en-US"/>
        </w:rPr>
        <w:br w:type="page"/>
      </w:r>
    </w:p>
    <w:p w14:paraId="0224947C" w14:textId="1FDB7146" w:rsidR="00ED79D1" w:rsidRPr="009E5C9E" w:rsidRDefault="00ED79D1" w:rsidP="009E5C9E">
      <w:pPr>
        <w:pStyle w:val="ListParagraph"/>
        <w:spacing w:after="200" w:line="240" w:lineRule="auto"/>
        <w:ind w:left="0"/>
        <w:rPr>
          <w:rFonts w:asciiTheme="majorHAnsi" w:eastAsiaTheme="majorEastAsia" w:hAnsiTheme="majorHAnsi" w:cstheme="majorBidi"/>
          <w:color w:val="1C2B39" w:themeColor="accent1"/>
          <w:sz w:val="36"/>
          <w:szCs w:val="28"/>
          <w:lang w:val="en-US"/>
        </w:rPr>
      </w:pPr>
      <w:r w:rsidRPr="009E5C9E">
        <w:rPr>
          <w:rFonts w:asciiTheme="majorHAnsi" w:eastAsiaTheme="majorEastAsia" w:hAnsiTheme="majorHAnsi" w:cstheme="majorBidi"/>
          <w:color w:val="1C2B39" w:themeColor="accent1"/>
          <w:sz w:val="36"/>
          <w:szCs w:val="28"/>
          <w:lang w:val="en-US"/>
        </w:rPr>
        <w:lastRenderedPageBreak/>
        <w:t xml:space="preserve">Response to stakeholders </w:t>
      </w:r>
      <w:r>
        <w:rPr>
          <w:rFonts w:asciiTheme="majorHAnsi" w:eastAsiaTheme="majorEastAsia" w:hAnsiTheme="majorHAnsi" w:cstheme="majorBidi"/>
          <w:color w:val="1C2B39" w:themeColor="accent1"/>
          <w:sz w:val="36"/>
          <w:szCs w:val="28"/>
          <w:lang w:val="en-US"/>
        </w:rPr>
        <w:t>and proposal development</w:t>
      </w:r>
    </w:p>
    <w:tbl>
      <w:tblPr>
        <w:tblStyle w:val="TableGrid"/>
        <w:tblW w:w="0" w:type="auto"/>
        <w:tblBorders>
          <w:top w:val="none" w:sz="0" w:space="0" w:color="auto"/>
          <w:left w:val="none" w:sz="0" w:space="0" w:color="auto"/>
          <w:bottom w:val="none" w:sz="0" w:space="0" w:color="auto"/>
          <w:right w:val="none" w:sz="0" w:space="0" w:color="auto"/>
        </w:tblBorders>
        <w:tblCellMar>
          <w:top w:w="85" w:type="dxa"/>
          <w:bottom w:w="85" w:type="dxa"/>
        </w:tblCellMar>
        <w:tblLook w:val="04A0" w:firstRow="1" w:lastRow="0" w:firstColumn="1" w:lastColumn="0" w:noHBand="0" w:noVBand="1"/>
      </w:tblPr>
      <w:tblGrid>
        <w:gridCol w:w="3544"/>
        <w:gridCol w:w="6084"/>
      </w:tblGrid>
      <w:tr w:rsidR="00DA2F90" w14:paraId="1E32363E" w14:textId="77777777" w:rsidTr="00C103F4">
        <w:trPr>
          <w:tblHeader/>
        </w:trPr>
        <w:tc>
          <w:tcPr>
            <w:tcW w:w="3544" w:type="dxa"/>
            <w:shd w:val="clear" w:color="auto" w:fill="1C2B39" w:themeFill="text1"/>
            <w:vAlign w:val="center"/>
          </w:tcPr>
          <w:p w14:paraId="506104E1" w14:textId="62B08C6A" w:rsidR="00ED79D1" w:rsidRPr="00522174" w:rsidRDefault="00845639" w:rsidP="00A52EC5">
            <w:pPr>
              <w:spacing w:after="0" w:line="288" w:lineRule="auto"/>
              <w:jc w:val="center"/>
              <w:rPr>
                <w:b/>
                <w:bCs/>
              </w:rPr>
            </w:pPr>
            <w:r>
              <w:rPr>
                <w:b/>
                <w:bCs/>
              </w:rPr>
              <w:t>Position</w:t>
            </w:r>
          </w:p>
        </w:tc>
        <w:tc>
          <w:tcPr>
            <w:tcW w:w="6084" w:type="dxa"/>
            <w:shd w:val="clear" w:color="auto" w:fill="1C2B39" w:themeFill="text1"/>
            <w:vAlign w:val="center"/>
          </w:tcPr>
          <w:p w14:paraId="35050F8C" w14:textId="77777777" w:rsidR="00ED79D1" w:rsidRPr="00522174" w:rsidRDefault="00ED79D1" w:rsidP="00A52EC5">
            <w:pPr>
              <w:spacing w:after="0" w:line="288" w:lineRule="auto"/>
              <w:jc w:val="center"/>
              <w:rPr>
                <w:b/>
                <w:bCs/>
              </w:rPr>
            </w:pPr>
            <w:r w:rsidRPr="00522174">
              <w:rPr>
                <w:b/>
                <w:bCs/>
              </w:rPr>
              <w:t>Response</w:t>
            </w:r>
          </w:p>
        </w:tc>
      </w:tr>
      <w:tr w:rsidR="00402331" w14:paraId="571994BD" w14:textId="77777777" w:rsidTr="00494129">
        <w:tc>
          <w:tcPr>
            <w:tcW w:w="3544" w:type="dxa"/>
          </w:tcPr>
          <w:p w14:paraId="0757ADD6" w14:textId="77777777" w:rsidR="00ED79D1" w:rsidRPr="00E9198E" w:rsidRDefault="00ED79D1">
            <w:pPr>
              <w:spacing w:after="200" w:line="288" w:lineRule="auto"/>
              <w:rPr>
                <w:b/>
              </w:rPr>
            </w:pPr>
            <w:r w:rsidRPr="00E9198E">
              <w:rPr>
                <w:b/>
              </w:rPr>
              <w:t xml:space="preserve">Cost of living pressures necessitate a continued freeze of the deeming rates </w:t>
            </w:r>
          </w:p>
        </w:tc>
        <w:tc>
          <w:tcPr>
            <w:tcW w:w="6084" w:type="dxa"/>
          </w:tcPr>
          <w:p w14:paraId="49B49EE4" w14:textId="77777777" w:rsidR="00ED79D1" w:rsidRDefault="00ED79D1">
            <w:r>
              <w:t>Discussed in Question 2 of this impact analysis.</w:t>
            </w:r>
          </w:p>
          <w:p w14:paraId="31407ADA" w14:textId="01411670" w:rsidR="00ED79D1" w:rsidRPr="00F75935" w:rsidRDefault="00ED79D1">
            <w:r w:rsidRPr="00F75935">
              <w:t xml:space="preserve">While cost of living pressures </w:t>
            </w:r>
            <w:r w:rsidR="00C572EA">
              <w:t>remain</w:t>
            </w:r>
            <w:r w:rsidRPr="00F75935">
              <w:t xml:space="preserve"> a public concern, annual inflation is now back within the Reserve Bank of Australia target range of between 2 and 3 per cent, at 2.1 per cent as at the June 2025 quarter.  </w:t>
            </w:r>
          </w:p>
          <w:p w14:paraId="11B5D7DD" w14:textId="77777777" w:rsidR="00ED79D1" w:rsidRPr="00F75935" w:rsidRDefault="00ED79D1">
            <w:r w:rsidRPr="00F75935">
              <w:t>Most of the recipients who benefited from the deeming freeze are on a part-rate of payment because they have financial assets and investment income to assist with their living costs.</w:t>
            </w:r>
          </w:p>
          <w:p w14:paraId="0826E486" w14:textId="77777777" w:rsidR="00ED79D1" w:rsidRPr="00D36371" w:rsidRDefault="00ED79D1">
            <w:r w:rsidRPr="00F75935">
              <w:t>The high inflation of recent years resulted in higher indexation of income support payment rates and thresholds to reflect the growth in living costs. Indexation benefits all payment recipients, including those who have also benefited from the deeming freeze.</w:t>
            </w:r>
          </w:p>
        </w:tc>
      </w:tr>
      <w:tr w:rsidR="00402331" w14:paraId="06E2DB99" w14:textId="77777777" w:rsidTr="00494129">
        <w:tc>
          <w:tcPr>
            <w:tcW w:w="3544" w:type="dxa"/>
          </w:tcPr>
          <w:p w14:paraId="0B6BE903" w14:textId="77777777" w:rsidR="00ED79D1" w:rsidRPr="00E9198E" w:rsidRDefault="00ED79D1">
            <w:pPr>
              <w:spacing w:after="200" w:line="288" w:lineRule="auto"/>
              <w:rPr>
                <w:b/>
              </w:rPr>
            </w:pPr>
            <w:r w:rsidRPr="00E9198E">
              <w:rPr>
                <w:b/>
              </w:rPr>
              <w:t xml:space="preserve">Any changes to the deeming rates should be fair, transparent, incremental and measured </w:t>
            </w:r>
          </w:p>
        </w:tc>
        <w:tc>
          <w:tcPr>
            <w:tcW w:w="6084" w:type="dxa"/>
          </w:tcPr>
          <w:p w14:paraId="45D6BD1B" w14:textId="77777777" w:rsidR="00ED79D1" w:rsidRDefault="00ED79D1">
            <w:r>
              <w:t>Discussed in Question 2, 3 and 4 of this impact analysis.</w:t>
            </w:r>
          </w:p>
          <w:p w14:paraId="5A21844E" w14:textId="48C2EC58" w:rsidR="00ED79D1" w:rsidRDefault="00ED79D1">
            <w:r w:rsidRPr="00085BF4">
              <w:t xml:space="preserve">Deeming </w:t>
            </w:r>
            <w:r>
              <w:t>has always</w:t>
            </w:r>
            <w:r w:rsidRPr="00085BF4">
              <w:t xml:space="preserve"> </w:t>
            </w:r>
            <w:r w:rsidR="00836142">
              <w:t xml:space="preserve">been </w:t>
            </w:r>
            <w:r w:rsidRPr="00085BF4">
              <w:t xml:space="preserve">intended to provide a fair and simple way to assess the income social security recipients can reasonably be expected to earn from their financial assets. </w:t>
            </w:r>
            <w:r>
              <w:t>Th</w:t>
            </w:r>
            <w:r w:rsidR="00FE6A13">
              <w:t>is proposal</w:t>
            </w:r>
            <w:r w:rsidR="00836142">
              <w:t xml:space="preserve"> is consistent with that intent</w:t>
            </w:r>
            <w:r>
              <w:t xml:space="preserve">. </w:t>
            </w:r>
          </w:p>
          <w:p w14:paraId="52DD99D3" w14:textId="62C7BF44" w:rsidR="00ED79D1" w:rsidRDefault="007C72AD">
            <w:r>
              <w:t>Option 2</w:t>
            </w:r>
            <w:r w:rsidR="00ED79D1" w:rsidRPr="00F351FB">
              <w:t xml:space="preserve"> </w:t>
            </w:r>
            <w:r w:rsidR="00ED79D1">
              <w:t>proposes an incremental change and</w:t>
            </w:r>
            <w:r w:rsidR="00ED79D1" w:rsidRPr="00F351FB">
              <w:t xml:space="preserve"> provides recipients </w:t>
            </w:r>
            <w:r w:rsidR="00ED79D1">
              <w:t>with some</w:t>
            </w:r>
            <w:r w:rsidR="00ED79D1" w:rsidRPr="00F351FB">
              <w:t xml:space="preserve"> time to adjust to reductions in their income support payment rates.</w:t>
            </w:r>
            <w:r w:rsidR="00ED79D1">
              <w:t xml:space="preserve"> </w:t>
            </w:r>
            <w:r w:rsidR="00ED79D1" w:rsidRPr="008A49CC">
              <w:t>Deeming rates would gradually return to levels where outcomes are fair across those with income from investments and those with income from other sources.</w:t>
            </w:r>
          </w:p>
          <w:p w14:paraId="5B2A754C" w14:textId="38DBB95D" w:rsidR="00ED79D1" w:rsidRPr="002C29CE" w:rsidRDefault="00ED79D1" w:rsidP="007C72AD">
            <w:r>
              <w:t xml:space="preserve">As discussed in Question 1, the average return currently </w:t>
            </w:r>
            <w:r w:rsidR="007C72AD">
              <w:t>offered on relevant assets classes exceed the proposed deeming rates under Option 2.</w:t>
            </w:r>
          </w:p>
        </w:tc>
      </w:tr>
      <w:tr w:rsidR="00402331" w14:paraId="16A10CEE" w14:textId="77777777" w:rsidTr="00494129">
        <w:tc>
          <w:tcPr>
            <w:tcW w:w="3544" w:type="dxa"/>
          </w:tcPr>
          <w:p w14:paraId="480F4124" w14:textId="77777777" w:rsidR="00ED79D1" w:rsidRPr="00E9198E" w:rsidRDefault="00ED79D1">
            <w:pPr>
              <w:spacing w:after="200" w:line="288" w:lineRule="auto"/>
              <w:rPr>
                <w:b/>
              </w:rPr>
            </w:pPr>
            <w:r w:rsidRPr="00E9198E">
              <w:rPr>
                <w:b/>
              </w:rPr>
              <w:t>Set one of the deeming rates to the cash rate (and/or the methodology should return to pre-2012)</w:t>
            </w:r>
          </w:p>
        </w:tc>
        <w:tc>
          <w:tcPr>
            <w:tcW w:w="6084" w:type="dxa"/>
          </w:tcPr>
          <w:p w14:paraId="7D23AAB8" w14:textId="3C18EE83" w:rsidR="00ED79D1" w:rsidRPr="00B80E3A" w:rsidRDefault="00ED79D1">
            <w:pPr>
              <w:rPr>
                <w:bCs/>
              </w:rPr>
            </w:pPr>
            <w:r w:rsidRPr="00B80E3A">
              <w:rPr>
                <w:bCs/>
              </w:rPr>
              <w:t>The deeming rates have never been formally linked to the RBA cash rate</w:t>
            </w:r>
            <w:r>
              <w:rPr>
                <w:bCs/>
              </w:rPr>
              <w:t>.</w:t>
            </w:r>
          </w:p>
          <w:p w14:paraId="3EAAB163" w14:textId="77777777" w:rsidR="004214EE" w:rsidRDefault="00ED79D1">
            <w:r w:rsidRPr="005F7C52">
              <w:t xml:space="preserve">One explanation for the widespread perception of a direct link between the cash rate and the deeming rates is that, for at least 20 years up until 2022, the cash rate was closely matched by the returns offered by major banks on general </w:t>
            </w:r>
            <w:r w:rsidRPr="005F7C52">
              <w:lastRenderedPageBreak/>
              <w:t>savings accounts</w:t>
            </w:r>
            <w:r w:rsidR="00043E62">
              <w:rPr>
                <w:rStyle w:val="FootnoteReference"/>
              </w:rPr>
              <w:footnoteReference w:id="10"/>
            </w:r>
            <w:r>
              <w:t xml:space="preserve">. From </w:t>
            </w:r>
            <w:r w:rsidRPr="005F7C52">
              <w:t xml:space="preserve">2013 to the start of the pandemic in 2020, the cash rate, the rate of return from online accounts, and the lower deeming rate fell in close association to near zero levels. </w:t>
            </w:r>
          </w:p>
          <w:p w14:paraId="1D76C20F" w14:textId="77777777" w:rsidR="00E67F23" w:rsidRPr="005F7C52" w:rsidRDefault="00E67F23" w:rsidP="00E67F23">
            <w:r w:rsidRPr="005F7C52">
              <w:t xml:space="preserve">This may have created an impression that the cash rate was directly determining the lower deeming rate. However, what directly influenced the lower deeming rate was the return from savings accounts. Between 2018 and early 2020, while the cash rate continued to fall, the lower deeming rate was not reduced until returns on savings accounts also fell, at some delay.  </w:t>
            </w:r>
          </w:p>
          <w:p w14:paraId="5C59521F" w14:textId="50407114" w:rsidR="00ED79D1" w:rsidRPr="005F7C52" w:rsidRDefault="006710FD">
            <w:r w:rsidRPr="00687562">
              <w:t>This pattern of close association no longer applies. A</w:t>
            </w:r>
            <w:r w:rsidR="00ED79D1" w:rsidRPr="00687562">
              <w:t xml:space="preserve">t the end of July 2025, online savings accounts were offering an interest rate of 1.40 per cent per </w:t>
            </w:r>
            <w:r w:rsidR="00ED79D1" w:rsidRPr="005F7C52">
              <w:t>annum</w:t>
            </w:r>
            <w:r w:rsidR="00D9057B">
              <w:rPr>
                <w:vertAlign w:val="superscript"/>
              </w:rPr>
              <w:t>11</w:t>
            </w:r>
            <w:r w:rsidR="0032556D">
              <w:rPr>
                <w:vertAlign w:val="superscript"/>
              </w:rPr>
              <w:t xml:space="preserve"> </w:t>
            </w:r>
            <w:r w:rsidR="0032556D" w:rsidRPr="00687562">
              <w:t>while the cash rate was set at 3.</w:t>
            </w:r>
            <w:r w:rsidR="00C93737" w:rsidRPr="00687562">
              <w:t>85 per cent.</w:t>
            </w:r>
            <w:r w:rsidR="00C93737">
              <w:t xml:space="preserve"> </w:t>
            </w:r>
          </w:p>
          <w:p w14:paraId="2EFC0D90" w14:textId="7C982A1C" w:rsidR="00ED79D1" w:rsidRPr="00807691" w:rsidRDefault="00ED79D1">
            <w:r w:rsidRPr="005F7C52">
              <w:t>The current cash rate of 3.</w:t>
            </w:r>
            <w:r>
              <w:t>60</w:t>
            </w:r>
            <w:r w:rsidRPr="005F7C52">
              <w:t> per cent is not generally achievable in standard savings accounts (i.e. those that do not have special conditions).</w:t>
            </w:r>
            <w:r>
              <w:t xml:space="preserve"> </w:t>
            </w:r>
          </w:p>
        </w:tc>
      </w:tr>
      <w:tr w:rsidR="00402331" w14:paraId="011F8365" w14:textId="77777777" w:rsidTr="00494129">
        <w:tc>
          <w:tcPr>
            <w:tcW w:w="3544" w:type="dxa"/>
          </w:tcPr>
          <w:p w14:paraId="3B79C21B" w14:textId="77777777" w:rsidR="00ED79D1" w:rsidRDefault="00ED79D1">
            <w:pPr>
              <w:spacing w:after="200" w:line="288" w:lineRule="auto"/>
              <w:rPr>
                <w:b/>
                <w:bCs/>
              </w:rPr>
            </w:pPr>
            <w:r w:rsidRPr="00E9198E">
              <w:rPr>
                <w:b/>
                <w:szCs w:val="22"/>
              </w:rPr>
              <w:lastRenderedPageBreak/>
              <w:t>Deeming rates should be revised every March and September</w:t>
            </w:r>
          </w:p>
        </w:tc>
        <w:tc>
          <w:tcPr>
            <w:tcW w:w="6084" w:type="dxa"/>
          </w:tcPr>
          <w:p w14:paraId="49184FC3" w14:textId="77777777" w:rsidR="00ED79D1" w:rsidRDefault="00ED79D1">
            <w:pPr>
              <w:spacing w:after="200" w:line="288" w:lineRule="auto"/>
            </w:pPr>
            <w:r>
              <w:t>Discussed in Question 3 of this impact analysis.</w:t>
            </w:r>
          </w:p>
          <w:p w14:paraId="44B8D065" w14:textId="50D08156" w:rsidR="00ED79D1" w:rsidRPr="00E157DE" w:rsidRDefault="00AF3390">
            <w:pPr>
              <w:pStyle w:val="Heading2"/>
              <w:outlineLvl w:val="1"/>
              <w:rPr>
                <w:rFonts w:asciiTheme="minorHAnsi" w:eastAsiaTheme="minorEastAsia" w:hAnsiTheme="minorHAnsi" w:cstheme="minorBidi"/>
                <w:color w:val="auto"/>
                <w:sz w:val="22"/>
                <w:szCs w:val="21"/>
              </w:rPr>
            </w:pPr>
            <w:r>
              <w:rPr>
                <w:rFonts w:asciiTheme="minorHAnsi" w:eastAsiaTheme="minorEastAsia" w:hAnsiTheme="minorHAnsi" w:cstheme="minorBidi"/>
                <w:color w:val="auto"/>
                <w:sz w:val="22"/>
                <w:szCs w:val="21"/>
              </w:rPr>
              <w:t>Under Option 2, adjustments</w:t>
            </w:r>
            <w:r w:rsidR="00ED79D1" w:rsidRPr="00F351FB">
              <w:rPr>
                <w:rFonts w:asciiTheme="minorHAnsi" w:eastAsiaTheme="minorEastAsia" w:hAnsiTheme="minorHAnsi" w:cstheme="minorBidi"/>
                <w:color w:val="auto"/>
                <w:sz w:val="22"/>
                <w:szCs w:val="21"/>
              </w:rPr>
              <w:t xml:space="preserve"> to the rates to ensure they continue to match reasonably available investment returns would be considered in the lead up to each 20 September and 20</w:t>
            </w:r>
            <w:r w:rsidR="00203420">
              <w:rPr>
                <w:rFonts w:asciiTheme="minorHAnsi" w:eastAsiaTheme="minorEastAsia" w:hAnsiTheme="minorHAnsi" w:cstheme="minorBidi"/>
                <w:color w:val="auto"/>
                <w:sz w:val="22"/>
                <w:szCs w:val="21"/>
              </w:rPr>
              <w:t> </w:t>
            </w:r>
            <w:r w:rsidR="00ED79D1" w:rsidRPr="00F351FB">
              <w:rPr>
                <w:rFonts w:asciiTheme="minorHAnsi" w:eastAsiaTheme="minorEastAsia" w:hAnsiTheme="minorHAnsi" w:cstheme="minorBidi"/>
                <w:color w:val="auto"/>
                <w:sz w:val="22"/>
                <w:szCs w:val="21"/>
              </w:rPr>
              <w:t>March indexation day</w:t>
            </w:r>
            <w:r w:rsidR="00ED79D1">
              <w:rPr>
                <w:rFonts w:asciiTheme="minorHAnsi" w:eastAsiaTheme="minorEastAsia" w:hAnsiTheme="minorHAnsi" w:cstheme="minorBidi"/>
                <w:color w:val="auto"/>
                <w:sz w:val="22"/>
                <w:szCs w:val="21"/>
              </w:rPr>
              <w:t xml:space="preserve"> for pensions and allowances</w:t>
            </w:r>
            <w:r w:rsidR="00ED79D1" w:rsidRPr="00F351FB">
              <w:rPr>
                <w:rFonts w:asciiTheme="minorHAnsi" w:eastAsiaTheme="minorEastAsia" w:hAnsiTheme="minorHAnsi" w:cstheme="minorBidi"/>
                <w:color w:val="auto"/>
                <w:sz w:val="22"/>
                <w:szCs w:val="21"/>
              </w:rPr>
              <w:t>.</w:t>
            </w:r>
          </w:p>
        </w:tc>
      </w:tr>
      <w:tr w:rsidR="001A6E8B" w14:paraId="2DE41ABB" w14:textId="77777777" w:rsidTr="00494129">
        <w:tc>
          <w:tcPr>
            <w:tcW w:w="3544" w:type="dxa"/>
            <w:tcBorders>
              <w:top w:val="single" w:sz="4" w:space="0" w:color="auto"/>
              <w:bottom w:val="single" w:sz="12" w:space="0" w:color="auto"/>
            </w:tcBorders>
          </w:tcPr>
          <w:p w14:paraId="08339A40" w14:textId="77777777" w:rsidR="00ED79D1" w:rsidRPr="00E9198E" w:rsidRDefault="00ED79D1">
            <w:pPr>
              <w:spacing w:after="200" w:line="288" w:lineRule="auto"/>
              <w:rPr>
                <w:b/>
              </w:rPr>
            </w:pPr>
            <w:r w:rsidRPr="00E9198E">
              <w:rPr>
                <w:b/>
                <w:szCs w:val="22"/>
              </w:rPr>
              <w:t>Changes should include a trigger to allow adjustment out of cycle</w:t>
            </w:r>
          </w:p>
        </w:tc>
        <w:tc>
          <w:tcPr>
            <w:tcW w:w="6084" w:type="dxa"/>
            <w:tcBorders>
              <w:top w:val="single" w:sz="4" w:space="0" w:color="auto"/>
              <w:bottom w:val="single" w:sz="12" w:space="0" w:color="auto"/>
            </w:tcBorders>
          </w:tcPr>
          <w:p w14:paraId="3EB12BA4" w14:textId="6E7511DB" w:rsidR="00ED79D1" w:rsidRPr="001E31F2" w:rsidRDefault="00ED79D1">
            <w:r>
              <w:t xml:space="preserve">Under </w:t>
            </w:r>
            <w:r w:rsidR="005B194C">
              <w:t>Option 2</w:t>
            </w:r>
            <w:r>
              <w:t xml:space="preserve">, there </w:t>
            </w:r>
            <w:r w:rsidR="005B194C">
              <w:t>would be</w:t>
            </w:r>
            <w:r>
              <w:t xml:space="preserve"> no change to legislative settings. </w:t>
            </w:r>
            <w:r w:rsidR="005B194C">
              <w:t>The</w:t>
            </w:r>
            <w:r>
              <w:t xml:space="preserve"> Minister for Social Services </w:t>
            </w:r>
            <w:r w:rsidR="005B194C">
              <w:t>would retain full discretion to adjust the</w:t>
            </w:r>
            <w:r>
              <w:t xml:space="preserve"> deeming rates at any point in time</w:t>
            </w:r>
            <w:r w:rsidR="005B194C">
              <w:t xml:space="preserve">. Generally, adjustments would occur on 20 March or 20 September to coincide with indexation. </w:t>
            </w:r>
          </w:p>
        </w:tc>
      </w:tr>
    </w:tbl>
    <w:p w14:paraId="560924D8" w14:textId="7ADA7B0F" w:rsidR="00ED27AF" w:rsidRDefault="00ED27AF">
      <w:pPr>
        <w:spacing w:after="200" w:line="288" w:lineRule="auto"/>
        <w:rPr>
          <w:rFonts w:asciiTheme="majorHAnsi" w:eastAsiaTheme="majorEastAsia" w:hAnsiTheme="majorHAnsi" w:cstheme="majorBidi"/>
          <w:color w:val="1C2B39" w:themeColor="accent1"/>
          <w:sz w:val="48"/>
          <w:szCs w:val="40"/>
        </w:rPr>
      </w:pPr>
    </w:p>
    <w:p w14:paraId="2AAFFA7E" w14:textId="77777777" w:rsidR="00ED27AF" w:rsidRDefault="00ED27AF">
      <w:pPr>
        <w:spacing w:after="200" w:line="288" w:lineRule="auto"/>
        <w:rPr>
          <w:rFonts w:asciiTheme="majorHAnsi" w:eastAsiaTheme="majorEastAsia" w:hAnsiTheme="majorHAnsi" w:cstheme="majorBidi"/>
          <w:color w:val="1C2B39" w:themeColor="accent1"/>
          <w:sz w:val="48"/>
          <w:szCs w:val="40"/>
        </w:rPr>
      </w:pPr>
      <w:r>
        <w:rPr>
          <w:rFonts w:asciiTheme="majorHAnsi" w:eastAsiaTheme="majorEastAsia" w:hAnsiTheme="majorHAnsi" w:cstheme="majorBidi"/>
          <w:color w:val="1C2B39" w:themeColor="accent1"/>
          <w:sz w:val="48"/>
          <w:szCs w:val="40"/>
        </w:rPr>
        <w:br w:type="page"/>
      </w:r>
    </w:p>
    <w:p w14:paraId="050AF122" w14:textId="7EC1A90F" w:rsidR="007E6917" w:rsidRDefault="007E6917" w:rsidP="00D45198">
      <w:pPr>
        <w:pStyle w:val="Heading1"/>
        <w:numPr>
          <w:ilvl w:val="0"/>
          <w:numId w:val="13"/>
        </w:numPr>
      </w:pPr>
      <w:r w:rsidRPr="00A2787F">
        <w:lastRenderedPageBreak/>
        <w:t>What is the</w:t>
      </w:r>
      <w:r>
        <w:t xml:space="preserve"> best option from those you have considered and how will it be implemented?</w:t>
      </w:r>
    </w:p>
    <w:p w14:paraId="5ADAFCF1" w14:textId="493E2440" w:rsidR="00162913" w:rsidRDefault="00124567" w:rsidP="00124567">
      <w:r>
        <w:t xml:space="preserve">As discussed in this report, the deeming rates are disproportionately low compared to returns achievable by age pensioners and other income support recipients in the market. </w:t>
      </w:r>
    </w:p>
    <w:p w14:paraId="17EABFCE" w14:textId="116D9EA8" w:rsidR="00A10448" w:rsidRDefault="00A10448" w:rsidP="00124567">
      <w:r>
        <w:t xml:space="preserve">Option 1 </w:t>
      </w:r>
      <w:r w:rsidR="00067B56">
        <w:t xml:space="preserve">would continue </w:t>
      </w:r>
      <w:r w:rsidR="00D43BBC">
        <w:t>the concessional treatment of investment income compared to income from other sources</w:t>
      </w:r>
      <w:r w:rsidR="00CE4D07">
        <w:t xml:space="preserve">. </w:t>
      </w:r>
      <w:r w:rsidR="005A34DF">
        <w:t xml:space="preserve">This would be inconsistent with the principles of fairness and equity, and </w:t>
      </w:r>
      <w:r w:rsidR="00DF0C22">
        <w:t xml:space="preserve">weaken the targeted nature of the income support system. </w:t>
      </w:r>
      <w:r w:rsidR="00454DFE">
        <w:t>With the end of the deeming rate freeze and inflation</w:t>
      </w:r>
      <w:r w:rsidR="00DF27BA">
        <w:t xml:space="preserve"> back within the RBA target range</w:t>
      </w:r>
      <w:r w:rsidR="00454DFE">
        <w:t>, the</w:t>
      </w:r>
      <w:r w:rsidR="00DF0C22">
        <w:t>re</w:t>
      </w:r>
      <w:r w:rsidR="00454DFE">
        <w:t xml:space="preserve"> is no policy justification for this approach. </w:t>
      </w:r>
    </w:p>
    <w:p w14:paraId="5FD14F21" w14:textId="629C14D7" w:rsidR="005E5B40" w:rsidRDefault="00124567" w:rsidP="00124567">
      <w:r>
        <w:t xml:space="preserve">The preferred </w:t>
      </w:r>
      <w:r w:rsidR="004E0CDF">
        <w:t>option</w:t>
      </w:r>
      <w:r w:rsidR="00162913">
        <w:t xml:space="preserve"> is </w:t>
      </w:r>
      <w:r w:rsidR="008065AC">
        <w:t>the incremental approach</w:t>
      </w:r>
      <w:r w:rsidR="004E0CDF">
        <w:t xml:space="preserve"> of</w:t>
      </w:r>
      <w:r w:rsidR="008065AC">
        <w:t xml:space="preserve"> </w:t>
      </w:r>
      <w:r w:rsidR="00162913">
        <w:t xml:space="preserve">Option 2. The deeming rates would be returned </w:t>
      </w:r>
      <w:r w:rsidR="003442C2">
        <w:t>to th</w:t>
      </w:r>
      <w:r w:rsidR="00C71882">
        <w:t>eir intended operation</w:t>
      </w:r>
      <w:r w:rsidR="00030641">
        <w:t xml:space="preserve"> in increments of 50 basis points</w:t>
      </w:r>
      <w:r w:rsidR="0035323D">
        <w:t>,</w:t>
      </w:r>
      <w:r w:rsidR="00E24E34">
        <w:t xml:space="preserve"> starting </w:t>
      </w:r>
      <w:r w:rsidR="0035323D">
        <w:t>on 20</w:t>
      </w:r>
      <w:r w:rsidR="009F2226">
        <w:t> </w:t>
      </w:r>
      <w:r w:rsidR="0035323D">
        <w:t>September</w:t>
      </w:r>
      <w:r w:rsidR="009F2226">
        <w:t> </w:t>
      </w:r>
      <w:r w:rsidR="0035323D">
        <w:t>2025</w:t>
      </w:r>
      <w:r>
        <w:t xml:space="preserve">. </w:t>
      </w:r>
      <w:r w:rsidR="009B1BDC">
        <w:t>T</w:t>
      </w:r>
      <w:r w:rsidR="003C344F">
        <w:t>he</w:t>
      </w:r>
      <w:r w:rsidR="00FC75DF">
        <w:t xml:space="preserve"> resulting levels of 0.75 per cent for</w:t>
      </w:r>
      <w:r w:rsidR="00165466">
        <w:t xml:space="preserve"> the </w:t>
      </w:r>
      <w:r w:rsidR="005E5B40">
        <w:t>lower deeming</w:t>
      </w:r>
      <w:r w:rsidR="00165466">
        <w:t xml:space="preserve"> rate</w:t>
      </w:r>
      <w:r>
        <w:t xml:space="preserve"> and</w:t>
      </w:r>
      <w:r w:rsidR="005E5B40">
        <w:t xml:space="preserve"> </w:t>
      </w:r>
      <w:r w:rsidR="00FC75DF">
        <w:t>2.75</w:t>
      </w:r>
      <w:r w:rsidR="004A1CCA">
        <w:t> </w:t>
      </w:r>
      <w:r w:rsidR="00FC75DF">
        <w:t>per</w:t>
      </w:r>
      <w:r w:rsidR="004A1CCA">
        <w:t> </w:t>
      </w:r>
      <w:r w:rsidR="00FC75DF">
        <w:t>cent for the</w:t>
      </w:r>
      <w:r w:rsidR="005E5B40">
        <w:t xml:space="preserve"> upper deeming rate </w:t>
      </w:r>
      <w:r w:rsidR="00FC75DF">
        <w:t xml:space="preserve">would remain below </w:t>
      </w:r>
      <w:r w:rsidR="00D678D8">
        <w:t>reasonably available investment returns</w:t>
      </w:r>
      <w:r w:rsidR="00EA750B">
        <w:t xml:space="preserve"> currently available</w:t>
      </w:r>
      <w:r w:rsidR="00926B65">
        <w:t xml:space="preserve">, </w:t>
      </w:r>
      <w:r w:rsidR="00EA750B">
        <w:t xml:space="preserve">but </w:t>
      </w:r>
      <w:r w:rsidR="00926B65">
        <w:t>this would be temporary.</w:t>
      </w:r>
    </w:p>
    <w:p w14:paraId="4817DCD4" w14:textId="1E85CE01" w:rsidR="008E4CFB" w:rsidRDefault="008E4CFB" w:rsidP="008E4CFB">
      <w:r>
        <w:t xml:space="preserve">This option balances the need to address the inequity of disproportionately low deeming rates with the need to allow affected recipients some time to adjust </w:t>
      </w:r>
      <w:r w:rsidR="00A26E39">
        <w:t xml:space="preserve">before the deeming rates are fully </w:t>
      </w:r>
      <w:r w:rsidR="00A81EC2">
        <w:t xml:space="preserve">restored to their normal operation. </w:t>
      </w:r>
      <w:r w:rsidR="00B96953">
        <w:t xml:space="preserve">It would also </w:t>
      </w:r>
      <w:r w:rsidR="00263545">
        <w:t>restore predictability to the management of the rates</w:t>
      </w:r>
      <w:r w:rsidR="00B96953">
        <w:t xml:space="preserve"> by ensuring they are reviewed twice a year</w:t>
      </w:r>
      <w:r w:rsidR="00F462AB">
        <w:t xml:space="preserve">, and ensure </w:t>
      </w:r>
      <w:r w:rsidR="00D0737D">
        <w:t>adjustments coincide with payment indexation to reduce the number of changes recipients e</w:t>
      </w:r>
      <w:r w:rsidR="00235049">
        <w:t>xperience to their payment rate during the year</w:t>
      </w:r>
      <w:r w:rsidR="00263545">
        <w:t xml:space="preserve">. </w:t>
      </w:r>
    </w:p>
    <w:p w14:paraId="0BB77684" w14:textId="670A25E8" w:rsidR="00615872" w:rsidRDefault="00235049" w:rsidP="00235049">
      <w:pPr>
        <w:rPr>
          <w:lang w:val="en-US"/>
        </w:rPr>
      </w:pPr>
      <w:r>
        <w:rPr>
          <w:lang w:val="en-US"/>
        </w:rPr>
        <w:t xml:space="preserve">As </w:t>
      </w:r>
      <w:r w:rsidR="00615872">
        <w:rPr>
          <w:lang w:val="en-US"/>
        </w:rPr>
        <w:t>required by law, changes to the deeming rates</w:t>
      </w:r>
      <w:r>
        <w:rPr>
          <w:lang w:val="en-US"/>
        </w:rPr>
        <w:t xml:space="preserve"> would be enacted by ministerial determination under section 1082 of the </w:t>
      </w:r>
      <w:r w:rsidR="00615872" w:rsidRPr="00D45198">
        <w:t>Act</w:t>
      </w:r>
      <w:r>
        <w:rPr>
          <w:lang w:val="en-US"/>
        </w:rPr>
        <w:t xml:space="preserve">. </w:t>
      </w:r>
    </w:p>
    <w:p w14:paraId="1F15390E" w14:textId="562BA24D" w:rsidR="00235049" w:rsidRPr="007854D1" w:rsidRDefault="00E72FDF" w:rsidP="00235049">
      <w:pPr>
        <w:rPr>
          <w:lang w:val="en-US"/>
        </w:rPr>
      </w:pPr>
      <w:r>
        <w:rPr>
          <w:lang w:val="en-US"/>
        </w:rPr>
        <w:t xml:space="preserve">As the agency responsible for administering income support payments, </w:t>
      </w:r>
      <w:r w:rsidR="00235049">
        <w:rPr>
          <w:lang w:val="en-US"/>
        </w:rPr>
        <w:t xml:space="preserve">Services Australia </w:t>
      </w:r>
      <w:r>
        <w:rPr>
          <w:lang w:val="en-US"/>
        </w:rPr>
        <w:t>would</w:t>
      </w:r>
      <w:r w:rsidR="00235049">
        <w:rPr>
          <w:lang w:val="en-US"/>
        </w:rPr>
        <w:t xml:space="preserve"> </w:t>
      </w:r>
      <w:r w:rsidR="00615872">
        <w:rPr>
          <w:lang w:val="en-US"/>
        </w:rPr>
        <w:t>appl</w:t>
      </w:r>
      <w:r>
        <w:rPr>
          <w:lang w:val="en-US"/>
        </w:rPr>
        <w:t>y</w:t>
      </w:r>
      <w:r w:rsidR="00235049">
        <w:rPr>
          <w:lang w:val="en-US"/>
        </w:rPr>
        <w:t xml:space="preserve"> </w:t>
      </w:r>
      <w:r w:rsidR="00615872">
        <w:rPr>
          <w:lang w:val="en-US"/>
        </w:rPr>
        <w:t xml:space="preserve">the </w:t>
      </w:r>
      <w:r w:rsidR="0077125A">
        <w:rPr>
          <w:lang w:val="en-US"/>
        </w:rPr>
        <w:t>increases</w:t>
      </w:r>
      <w:r w:rsidR="00615872">
        <w:rPr>
          <w:lang w:val="en-US"/>
        </w:rPr>
        <w:t xml:space="preserve"> to the deeming rates</w:t>
      </w:r>
      <w:r w:rsidR="00235049">
        <w:rPr>
          <w:lang w:val="en-US"/>
        </w:rPr>
        <w:t xml:space="preserve"> along</w:t>
      </w:r>
      <w:r>
        <w:rPr>
          <w:lang w:val="en-US"/>
        </w:rPr>
        <w:t>side changes to</w:t>
      </w:r>
      <w:r w:rsidR="00235049">
        <w:rPr>
          <w:lang w:val="en-US"/>
        </w:rPr>
        <w:t xml:space="preserve"> indexation on 20 September 2025. </w:t>
      </w:r>
      <w:r w:rsidR="00295EB4">
        <w:rPr>
          <w:lang w:val="en-US"/>
        </w:rPr>
        <w:t xml:space="preserve">Payment rates will be adjusted automatically and require no action by affected </w:t>
      </w:r>
      <w:r w:rsidR="00CB6D76">
        <w:rPr>
          <w:lang w:val="en-US"/>
        </w:rPr>
        <w:t xml:space="preserve">recipients. </w:t>
      </w:r>
    </w:p>
    <w:p w14:paraId="78413CE8" w14:textId="52B87B56" w:rsidR="00403465" w:rsidRDefault="00063B8F" w:rsidP="00D74815">
      <w:r>
        <w:t xml:space="preserve">The structured analysis on the following pages evaluates </w:t>
      </w:r>
      <w:r w:rsidR="00302595">
        <w:t xml:space="preserve">the </w:t>
      </w:r>
      <w:r>
        <w:t xml:space="preserve">alternative options for deeming. The </w:t>
      </w:r>
      <w:r w:rsidR="003A2154">
        <w:t>evaluation</w:t>
      </w:r>
      <w:r>
        <w:t xml:space="preserve"> </w:t>
      </w:r>
      <w:r w:rsidR="003A2154">
        <w:t xml:space="preserve">is </w:t>
      </w:r>
      <w:r>
        <w:t>based upon the criteria outlined in Section 2 to measure success.</w:t>
      </w:r>
    </w:p>
    <w:p w14:paraId="5EB699AF" w14:textId="07F3CBE0" w:rsidR="00063B8F" w:rsidRDefault="00063B8F" w:rsidP="008E4CFB">
      <w:r>
        <w:t>Those criteria are:</w:t>
      </w:r>
    </w:p>
    <w:p w14:paraId="145AFF04" w14:textId="6472BA4E" w:rsidR="00063B8F" w:rsidRDefault="00063B8F" w:rsidP="00063B8F">
      <w:pPr>
        <w:pStyle w:val="ListParagraph"/>
        <w:numPr>
          <w:ilvl w:val="0"/>
          <w:numId w:val="38"/>
        </w:numPr>
      </w:pPr>
      <w:r>
        <w:t>Fairness and equity</w:t>
      </w:r>
    </w:p>
    <w:p w14:paraId="4CED007F" w14:textId="483054BD" w:rsidR="00E3269F" w:rsidRDefault="00E3269F" w:rsidP="00063B8F">
      <w:pPr>
        <w:pStyle w:val="ListParagraph"/>
        <w:numPr>
          <w:ilvl w:val="0"/>
          <w:numId w:val="38"/>
        </w:numPr>
      </w:pPr>
      <w:r>
        <w:t xml:space="preserve">Community </w:t>
      </w:r>
      <w:r w:rsidRPr="009E5C9E">
        <w:t xml:space="preserve">confidence </w:t>
      </w:r>
      <w:r>
        <w:t>in</w:t>
      </w:r>
      <w:r w:rsidRPr="009E5C9E">
        <w:t xml:space="preserve"> the social security system</w:t>
      </w:r>
    </w:p>
    <w:p w14:paraId="1A4EF387" w14:textId="385A2F6A" w:rsidR="00063B8F" w:rsidRDefault="00063B8F" w:rsidP="00E3269F">
      <w:pPr>
        <w:pStyle w:val="ListParagraph"/>
        <w:numPr>
          <w:ilvl w:val="0"/>
          <w:numId w:val="38"/>
        </w:numPr>
      </w:pPr>
      <w:r>
        <w:t>Predictability</w:t>
      </w:r>
    </w:p>
    <w:p w14:paraId="0504F76E" w14:textId="0B53003A" w:rsidR="00063B8F" w:rsidRDefault="00063B8F" w:rsidP="00063B8F">
      <w:pPr>
        <w:pStyle w:val="ListParagraph"/>
        <w:numPr>
          <w:ilvl w:val="0"/>
          <w:numId w:val="38"/>
        </w:numPr>
      </w:pPr>
      <w:r>
        <w:t>Reasonable transition</w:t>
      </w:r>
    </w:p>
    <w:p w14:paraId="78DD3FD5" w14:textId="6702C6FF" w:rsidR="00063B8F" w:rsidRDefault="00063B8F" w:rsidP="00063B8F">
      <w:r>
        <w:t>The overall score for each stakeholder for each option reflects an average.</w:t>
      </w:r>
    </w:p>
    <w:p w14:paraId="6CE21086" w14:textId="77777777" w:rsidR="00063B8F" w:rsidRDefault="00063B8F" w:rsidP="00063B8F">
      <w:pPr>
        <w:spacing w:line="240" w:lineRule="auto"/>
      </w:pPr>
      <w:r>
        <w:t xml:space="preserve">The following stakeholder groups were identified: </w:t>
      </w:r>
    </w:p>
    <w:p w14:paraId="37A0D838" w14:textId="53F0365C" w:rsidR="00063B8F" w:rsidRDefault="00063B8F" w:rsidP="009E5C9E">
      <w:pPr>
        <w:pStyle w:val="BulletedList-Level1"/>
        <w:numPr>
          <w:ilvl w:val="0"/>
          <w:numId w:val="46"/>
        </w:numPr>
        <w:ind w:left="709" w:hanging="425"/>
      </w:pPr>
      <w:r w:rsidRPr="00B81F4D">
        <w:t xml:space="preserve">People affected by </w:t>
      </w:r>
      <w:r>
        <w:t xml:space="preserve">deeming </w:t>
      </w:r>
      <w:r w:rsidR="003A2154">
        <w:t xml:space="preserve">rates </w:t>
      </w:r>
      <w:r>
        <w:t>changes</w:t>
      </w:r>
      <w:r w:rsidRPr="00B81F4D">
        <w:t xml:space="preserve">. </w:t>
      </w:r>
    </w:p>
    <w:p w14:paraId="29722EDC" w14:textId="44405147" w:rsidR="003A2154" w:rsidRPr="00B81F4D" w:rsidRDefault="003A2154" w:rsidP="009E5C9E">
      <w:pPr>
        <w:pStyle w:val="BulletedList-Level1"/>
        <w:numPr>
          <w:ilvl w:val="0"/>
          <w:numId w:val="46"/>
        </w:numPr>
        <w:ind w:left="709" w:hanging="425"/>
      </w:pPr>
      <w:r>
        <w:t>Social security recipients not impacted by deeming rates changes</w:t>
      </w:r>
    </w:p>
    <w:p w14:paraId="1F10EB07" w14:textId="01E89F5D" w:rsidR="00063B8F" w:rsidRDefault="003A2154" w:rsidP="009E5C9E">
      <w:pPr>
        <w:pStyle w:val="BulletedList-Level1"/>
        <w:numPr>
          <w:ilvl w:val="0"/>
          <w:numId w:val="46"/>
        </w:numPr>
        <w:ind w:left="709" w:hanging="425"/>
      </w:pPr>
      <w:r>
        <w:t>T</w:t>
      </w:r>
      <w:r w:rsidR="00063B8F">
        <w:t>he broader public.</w:t>
      </w:r>
    </w:p>
    <w:p w14:paraId="28F0778A" w14:textId="77777777" w:rsidR="002346B3" w:rsidRDefault="00063B8F" w:rsidP="002346B3">
      <w:r>
        <w:lastRenderedPageBreak/>
        <w:t>There are no impacts on community organisations or employers.</w:t>
      </w:r>
    </w:p>
    <w:p w14:paraId="7027F5E0" w14:textId="56A6C867" w:rsidR="00395C1E" w:rsidRPr="00A715F1" w:rsidRDefault="00395C1E" w:rsidP="00A715F1">
      <w:pPr>
        <w:pStyle w:val="ListParagraph"/>
        <w:spacing w:after="200" w:line="240" w:lineRule="auto"/>
        <w:ind w:left="0"/>
        <w:rPr>
          <w:rFonts w:asciiTheme="majorHAnsi" w:eastAsiaTheme="majorEastAsia" w:hAnsiTheme="majorHAnsi" w:cstheme="majorBidi"/>
          <w:color w:val="1C2B39" w:themeColor="accent1"/>
          <w:sz w:val="36"/>
          <w:szCs w:val="28"/>
          <w:lang w:val="en-US"/>
        </w:rPr>
      </w:pPr>
      <w:r w:rsidRPr="00A715F1">
        <w:rPr>
          <w:rFonts w:asciiTheme="majorHAnsi" w:eastAsiaTheme="majorEastAsia" w:hAnsiTheme="majorHAnsi" w:cstheme="majorBidi"/>
          <w:color w:val="1C2B39" w:themeColor="accent1"/>
          <w:sz w:val="36"/>
          <w:szCs w:val="28"/>
          <w:lang w:val="en-US"/>
        </w:rPr>
        <w:t xml:space="preserve">Summary of </w:t>
      </w:r>
      <w:r w:rsidR="003A2154" w:rsidRPr="00A715F1">
        <w:rPr>
          <w:rFonts w:asciiTheme="majorHAnsi" w:eastAsiaTheme="majorEastAsia" w:hAnsiTheme="majorHAnsi" w:cstheme="majorBidi"/>
          <w:color w:val="1C2B39" w:themeColor="accent1"/>
          <w:sz w:val="36"/>
          <w:szCs w:val="28"/>
          <w:lang w:val="en-US"/>
        </w:rPr>
        <w:t>deeming rates options</w:t>
      </w:r>
    </w:p>
    <w:tbl>
      <w:tblPr>
        <w:tblStyle w:val="TableGrid"/>
        <w:tblpPr w:leftFromText="180" w:rightFromText="180" w:vertAnchor="text" w:horzAnchor="margin" w:tblpY="-25"/>
        <w:tblW w:w="10627" w:type="dxa"/>
        <w:tblLook w:val="04A0" w:firstRow="1" w:lastRow="0" w:firstColumn="1" w:lastColumn="0" w:noHBand="0" w:noVBand="1"/>
      </w:tblPr>
      <w:tblGrid>
        <w:gridCol w:w="1518"/>
        <w:gridCol w:w="1518"/>
        <w:gridCol w:w="1518"/>
        <w:gridCol w:w="1518"/>
        <w:gridCol w:w="1518"/>
        <w:gridCol w:w="1518"/>
        <w:gridCol w:w="1519"/>
      </w:tblGrid>
      <w:tr w:rsidR="00BA1580" w:rsidRPr="003447DF" w14:paraId="742A51E0" w14:textId="77777777" w:rsidTr="009E5C9E">
        <w:trPr>
          <w:trHeight w:val="513"/>
        </w:trPr>
        <w:tc>
          <w:tcPr>
            <w:tcW w:w="1518" w:type="dxa"/>
            <w:tcBorders>
              <w:bottom w:val="single" w:sz="4" w:space="0" w:color="auto"/>
            </w:tcBorders>
            <w:shd w:val="clear" w:color="auto" w:fill="C00000"/>
          </w:tcPr>
          <w:p w14:paraId="48107FC5" w14:textId="77777777" w:rsidR="00395C1E" w:rsidRPr="003447DF" w:rsidRDefault="00395C1E">
            <w:pPr>
              <w:jc w:val="center"/>
            </w:pPr>
          </w:p>
        </w:tc>
        <w:tc>
          <w:tcPr>
            <w:tcW w:w="1518" w:type="dxa"/>
            <w:tcBorders>
              <w:bottom w:val="single" w:sz="4" w:space="0" w:color="auto"/>
            </w:tcBorders>
            <w:shd w:val="clear" w:color="auto" w:fill="FF0000"/>
          </w:tcPr>
          <w:p w14:paraId="3C0289E6" w14:textId="77777777" w:rsidR="00395C1E" w:rsidRPr="003447DF" w:rsidRDefault="00395C1E">
            <w:pPr>
              <w:jc w:val="center"/>
            </w:pPr>
          </w:p>
        </w:tc>
        <w:tc>
          <w:tcPr>
            <w:tcW w:w="1518" w:type="dxa"/>
            <w:tcBorders>
              <w:bottom w:val="single" w:sz="4" w:space="0" w:color="auto"/>
            </w:tcBorders>
            <w:shd w:val="clear" w:color="auto" w:fill="FFC000"/>
          </w:tcPr>
          <w:p w14:paraId="48711485" w14:textId="77777777" w:rsidR="00395C1E" w:rsidRPr="003447DF" w:rsidRDefault="00395C1E">
            <w:pPr>
              <w:jc w:val="center"/>
            </w:pPr>
          </w:p>
        </w:tc>
        <w:tc>
          <w:tcPr>
            <w:tcW w:w="1518" w:type="dxa"/>
            <w:tcBorders>
              <w:bottom w:val="single" w:sz="4" w:space="0" w:color="auto"/>
            </w:tcBorders>
            <w:shd w:val="clear" w:color="auto" w:fill="FFFF00"/>
          </w:tcPr>
          <w:p w14:paraId="352D1599" w14:textId="77777777" w:rsidR="00395C1E" w:rsidRPr="003447DF" w:rsidRDefault="00395C1E">
            <w:pPr>
              <w:jc w:val="center"/>
            </w:pPr>
          </w:p>
        </w:tc>
        <w:tc>
          <w:tcPr>
            <w:tcW w:w="1518" w:type="dxa"/>
            <w:tcBorders>
              <w:bottom w:val="single" w:sz="4" w:space="0" w:color="auto"/>
            </w:tcBorders>
            <w:shd w:val="clear" w:color="auto" w:fill="92D050"/>
          </w:tcPr>
          <w:p w14:paraId="1DA25BE9" w14:textId="77777777" w:rsidR="00395C1E" w:rsidRPr="003447DF" w:rsidRDefault="00395C1E">
            <w:pPr>
              <w:jc w:val="center"/>
            </w:pPr>
          </w:p>
        </w:tc>
        <w:tc>
          <w:tcPr>
            <w:tcW w:w="1518" w:type="dxa"/>
            <w:tcBorders>
              <w:bottom w:val="single" w:sz="4" w:space="0" w:color="auto"/>
            </w:tcBorders>
            <w:shd w:val="clear" w:color="auto" w:fill="00B050"/>
          </w:tcPr>
          <w:p w14:paraId="78ACBE80" w14:textId="77777777" w:rsidR="00395C1E" w:rsidRPr="003447DF" w:rsidRDefault="00395C1E">
            <w:pPr>
              <w:jc w:val="center"/>
            </w:pPr>
          </w:p>
        </w:tc>
        <w:tc>
          <w:tcPr>
            <w:tcW w:w="1519" w:type="dxa"/>
            <w:tcBorders>
              <w:bottom w:val="single" w:sz="4" w:space="0" w:color="auto"/>
            </w:tcBorders>
            <w:shd w:val="clear" w:color="auto" w:fill="007065"/>
          </w:tcPr>
          <w:p w14:paraId="161531EF" w14:textId="77777777" w:rsidR="00395C1E" w:rsidRPr="003447DF" w:rsidRDefault="00395C1E">
            <w:pPr>
              <w:jc w:val="center"/>
            </w:pPr>
          </w:p>
        </w:tc>
      </w:tr>
      <w:tr w:rsidR="00BA1580" w:rsidRPr="003447DF" w14:paraId="40B4DA9C" w14:textId="77777777" w:rsidTr="009E5C9E">
        <w:trPr>
          <w:trHeight w:val="513"/>
        </w:trPr>
        <w:tc>
          <w:tcPr>
            <w:tcW w:w="1518" w:type="dxa"/>
            <w:tcBorders>
              <w:top w:val="single" w:sz="4" w:space="0" w:color="auto"/>
              <w:left w:val="nil"/>
              <w:bottom w:val="nil"/>
              <w:right w:val="nil"/>
            </w:tcBorders>
          </w:tcPr>
          <w:p w14:paraId="3A8843FD" w14:textId="77777777" w:rsidR="00395C1E" w:rsidRPr="009E5C9E" w:rsidRDefault="00395C1E">
            <w:pPr>
              <w:jc w:val="center"/>
              <w:rPr>
                <w:sz w:val="20"/>
                <w:szCs w:val="20"/>
              </w:rPr>
            </w:pPr>
            <w:r w:rsidRPr="009E5C9E">
              <w:rPr>
                <w:sz w:val="20"/>
                <w:szCs w:val="20"/>
              </w:rPr>
              <w:t>-3</w:t>
            </w:r>
          </w:p>
        </w:tc>
        <w:tc>
          <w:tcPr>
            <w:tcW w:w="1518" w:type="dxa"/>
            <w:tcBorders>
              <w:top w:val="single" w:sz="4" w:space="0" w:color="auto"/>
              <w:left w:val="nil"/>
              <w:bottom w:val="nil"/>
              <w:right w:val="nil"/>
            </w:tcBorders>
          </w:tcPr>
          <w:p w14:paraId="18A51F66" w14:textId="77777777" w:rsidR="00395C1E" w:rsidRPr="009E5C9E" w:rsidRDefault="00395C1E">
            <w:pPr>
              <w:jc w:val="center"/>
              <w:rPr>
                <w:sz w:val="20"/>
                <w:szCs w:val="20"/>
              </w:rPr>
            </w:pPr>
            <w:r w:rsidRPr="009E5C9E">
              <w:rPr>
                <w:sz w:val="20"/>
                <w:szCs w:val="20"/>
              </w:rPr>
              <w:t>-2</w:t>
            </w:r>
          </w:p>
        </w:tc>
        <w:tc>
          <w:tcPr>
            <w:tcW w:w="1518" w:type="dxa"/>
            <w:tcBorders>
              <w:top w:val="single" w:sz="4" w:space="0" w:color="auto"/>
              <w:left w:val="nil"/>
              <w:bottom w:val="nil"/>
              <w:right w:val="nil"/>
            </w:tcBorders>
          </w:tcPr>
          <w:p w14:paraId="11B24168" w14:textId="77777777" w:rsidR="00395C1E" w:rsidRPr="009E5C9E" w:rsidRDefault="00395C1E">
            <w:pPr>
              <w:jc w:val="center"/>
              <w:rPr>
                <w:sz w:val="20"/>
                <w:szCs w:val="20"/>
              </w:rPr>
            </w:pPr>
            <w:r w:rsidRPr="009E5C9E">
              <w:rPr>
                <w:sz w:val="20"/>
                <w:szCs w:val="20"/>
              </w:rPr>
              <w:t>-1</w:t>
            </w:r>
          </w:p>
        </w:tc>
        <w:tc>
          <w:tcPr>
            <w:tcW w:w="1518" w:type="dxa"/>
            <w:tcBorders>
              <w:top w:val="single" w:sz="4" w:space="0" w:color="auto"/>
              <w:left w:val="nil"/>
              <w:bottom w:val="nil"/>
              <w:right w:val="nil"/>
            </w:tcBorders>
          </w:tcPr>
          <w:p w14:paraId="7E83F2D7" w14:textId="77777777" w:rsidR="00395C1E" w:rsidRPr="009E5C9E" w:rsidRDefault="00395C1E">
            <w:pPr>
              <w:jc w:val="center"/>
              <w:rPr>
                <w:sz w:val="20"/>
                <w:szCs w:val="20"/>
              </w:rPr>
            </w:pPr>
            <w:r w:rsidRPr="009E5C9E">
              <w:rPr>
                <w:sz w:val="20"/>
                <w:szCs w:val="20"/>
              </w:rPr>
              <w:t>0</w:t>
            </w:r>
          </w:p>
        </w:tc>
        <w:tc>
          <w:tcPr>
            <w:tcW w:w="1518" w:type="dxa"/>
            <w:tcBorders>
              <w:top w:val="single" w:sz="4" w:space="0" w:color="auto"/>
              <w:left w:val="nil"/>
              <w:bottom w:val="nil"/>
              <w:right w:val="nil"/>
            </w:tcBorders>
          </w:tcPr>
          <w:p w14:paraId="27082DEC" w14:textId="77777777" w:rsidR="00395C1E" w:rsidRPr="009E5C9E" w:rsidRDefault="00395C1E">
            <w:pPr>
              <w:jc w:val="center"/>
              <w:rPr>
                <w:sz w:val="20"/>
                <w:szCs w:val="20"/>
              </w:rPr>
            </w:pPr>
            <w:r w:rsidRPr="009E5C9E">
              <w:rPr>
                <w:sz w:val="20"/>
                <w:szCs w:val="20"/>
              </w:rPr>
              <w:t>+1</w:t>
            </w:r>
          </w:p>
        </w:tc>
        <w:tc>
          <w:tcPr>
            <w:tcW w:w="1518" w:type="dxa"/>
            <w:tcBorders>
              <w:top w:val="single" w:sz="4" w:space="0" w:color="auto"/>
              <w:left w:val="nil"/>
              <w:bottom w:val="nil"/>
              <w:right w:val="nil"/>
            </w:tcBorders>
          </w:tcPr>
          <w:p w14:paraId="7FD68E79" w14:textId="77777777" w:rsidR="00395C1E" w:rsidRPr="009E5C9E" w:rsidRDefault="00395C1E">
            <w:pPr>
              <w:jc w:val="center"/>
              <w:rPr>
                <w:sz w:val="20"/>
                <w:szCs w:val="20"/>
              </w:rPr>
            </w:pPr>
            <w:r w:rsidRPr="009E5C9E">
              <w:rPr>
                <w:sz w:val="20"/>
                <w:szCs w:val="20"/>
              </w:rPr>
              <w:t>+2</w:t>
            </w:r>
          </w:p>
        </w:tc>
        <w:tc>
          <w:tcPr>
            <w:tcW w:w="1519" w:type="dxa"/>
            <w:tcBorders>
              <w:top w:val="single" w:sz="4" w:space="0" w:color="auto"/>
              <w:left w:val="nil"/>
              <w:bottom w:val="nil"/>
              <w:right w:val="nil"/>
            </w:tcBorders>
          </w:tcPr>
          <w:p w14:paraId="6524ACB2" w14:textId="77777777" w:rsidR="00395C1E" w:rsidRPr="009E5C9E" w:rsidRDefault="00395C1E">
            <w:pPr>
              <w:jc w:val="center"/>
              <w:rPr>
                <w:sz w:val="20"/>
                <w:szCs w:val="20"/>
              </w:rPr>
            </w:pPr>
            <w:r w:rsidRPr="009E5C9E">
              <w:rPr>
                <w:sz w:val="20"/>
                <w:szCs w:val="20"/>
              </w:rPr>
              <w:t>+3</w:t>
            </w:r>
          </w:p>
        </w:tc>
      </w:tr>
      <w:tr w:rsidR="00BA1580" w:rsidRPr="003447DF" w14:paraId="31601D87" w14:textId="77777777" w:rsidTr="00E10142">
        <w:trPr>
          <w:trHeight w:val="849"/>
        </w:trPr>
        <w:tc>
          <w:tcPr>
            <w:tcW w:w="1518" w:type="dxa"/>
            <w:tcBorders>
              <w:top w:val="nil"/>
              <w:left w:val="nil"/>
              <w:bottom w:val="nil"/>
              <w:right w:val="nil"/>
            </w:tcBorders>
          </w:tcPr>
          <w:p w14:paraId="2726E089" w14:textId="6CF83FAD" w:rsidR="00395C1E" w:rsidRPr="009E5C9E" w:rsidRDefault="00395C1E">
            <w:pPr>
              <w:jc w:val="center"/>
              <w:rPr>
                <w:sz w:val="20"/>
                <w:szCs w:val="20"/>
              </w:rPr>
            </w:pPr>
            <w:r w:rsidRPr="009E5C9E">
              <w:rPr>
                <w:sz w:val="20"/>
                <w:szCs w:val="20"/>
              </w:rPr>
              <w:t>Large</w:t>
            </w:r>
            <w:r w:rsidR="004023AD" w:rsidRPr="009E5C9E">
              <w:rPr>
                <w:sz w:val="20"/>
                <w:szCs w:val="20"/>
              </w:rPr>
              <w:t>ly</w:t>
            </w:r>
            <w:r w:rsidRPr="009E5C9E">
              <w:rPr>
                <w:sz w:val="20"/>
                <w:szCs w:val="20"/>
              </w:rPr>
              <w:t xml:space="preserve"> adverse</w:t>
            </w:r>
          </w:p>
        </w:tc>
        <w:tc>
          <w:tcPr>
            <w:tcW w:w="1518" w:type="dxa"/>
            <w:tcBorders>
              <w:top w:val="nil"/>
              <w:left w:val="nil"/>
              <w:bottom w:val="nil"/>
              <w:right w:val="nil"/>
            </w:tcBorders>
          </w:tcPr>
          <w:p w14:paraId="1980C129" w14:textId="61DE91DA" w:rsidR="00395C1E" w:rsidRPr="009E5C9E" w:rsidRDefault="00395C1E">
            <w:pPr>
              <w:jc w:val="center"/>
              <w:rPr>
                <w:sz w:val="20"/>
                <w:szCs w:val="20"/>
              </w:rPr>
            </w:pPr>
            <w:r w:rsidRPr="009E5C9E">
              <w:rPr>
                <w:sz w:val="20"/>
                <w:szCs w:val="20"/>
              </w:rPr>
              <w:t>Moderate</w:t>
            </w:r>
            <w:r w:rsidR="004023AD" w:rsidRPr="009E5C9E">
              <w:rPr>
                <w:sz w:val="20"/>
                <w:szCs w:val="20"/>
              </w:rPr>
              <w:t>ly</w:t>
            </w:r>
            <w:r w:rsidRPr="009E5C9E">
              <w:rPr>
                <w:sz w:val="20"/>
                <w:szCs w:val="20"/>
              </w:rPr>
              <w:t xml:space="preserve"> adverse</w:t>
            </w:r>
          </w:p>
        </w:tc>
        <w:tc>
          <w:tcPr>
            <w:tcW w:w="1518" w:type="dxa"/>
            <w:tcBorders>
              <w:top w:val="nil"/>
              <w:left w:val="nil"/>
              <w:bottom w:val="nil"/>
              <w:right w:val="nil"/>
            </w:tcBorders>
          </w:tcPr>
          <w:p w14:paraId="7B7F101E" w14:textId="7C452D58" w:rsidR="00395C1E" w:rsidRPr="009E5C9E" w:rsidRDefault="00395C1E">
            <w:pPr>
              <w:jc w:val="center"/>
              <w:rPr>
                <w:sz w:val="20"/>
                <w:szCs w:val="20"/>
              </w:rPr>
            </w:pPr>
            <w:r w:rsidRPr="009E5C9E">
              <w:rPr>
                <w:sz w:val="20"/>
                <w:szCs w:val="20"/>
              </w:rPr>
              <w:t>Slight</w:t>
            </w:r>
            <w:r w:rsidR="004023AD" w:rsidRPr="009E5C9E">
              <w:rPr>
                <w:sz w:val="20"/>
                <w:szCs w:val="20"/>
              </w:rPr>
              <w:t>ly</w:t>
            </w:r>
            <w:r w:rsidRPr="009E5C9E">
              <w:rPr>
                <w:sz w:val="20"/>
                <w:szCs w:val="20"/>
              </w:rPr>
              <w:t xml:space="preserve"> adverse</w:t>
            </w:r>
          </w:p>
        </w:tc>
        <w:tc>
          <w:tcPr>
            <w:tcW w:w="1518" w:type="dxa"/>
            <w:tcBorders>
              <w:top w:val="nil"/>
              <w:left w:val="nil"/>
              <w:bottom w:val="nil"/>
              <w:right w:val="nil"/>
            </w:tcBorders>
          </w:tcPr>
          <w:p w14:paraId="549A4103" w14:textId="77777777" w:rsidR="00395C1E" w:rsidRPr="009E5C9E" w:rsidRDefault="00395C1E">
            <w:pPr>
              <w:jc w:val="center"/>
              <w:rPr>
                <w:sz w:val="20"/>
                <w:szCs w:val="20"/>
              </w:rPr>
            </w:pPr>
            <w:r w:rsidRPr="009E5C9E">
              <w:rPr>
                <w:sz w:val="20"/>
                <w:szCs w:val="20"/>
              </w:rPr>
              <w:t>Neutral</w:t>
            </w:r>
          </w:p>
        </w:tc>
        <w:tc>
          <w:tcPr>
            <w:tcW w:w="1518" w:type="dxa"/>
            <w:tcBorders>
              <w:top w:val="nil"/>
              <w:left w:val="nil"/>
              <w:bottom w:val="nil"/>
              <w:right w:val="nil"/>
            </w:tcBorders>
          </w:tcPr>
          <w:p w14:paraId="3CBD0282" w14:textId="10675C76" w:rsidR="00395C1E" w:rsidRPr="009E5C9E" w:rsidRDefault="00395C1E">
            <w:pPr>
              <w:jc w:val="center"/>
              <w:rPr>
                <w:sz w:val="20"/>
                <w:szCs w:val="20"/>
              </w:rPr>
            </w:pPr>
            <w:r w:rsidRPr="009E5C9E">
              <w:rPr>
                <w:sz w:val="20"/>
                <w:szCs w:val="20"/>
              </w:rPr>
              <w:t>Slight</w:t>
            </w:r>
            <w:r w:rsidR="004023AD" w:rsidRPr="009E5C9E">
              <w:rPr>
                <w:sz w:val="20"/>
                <w:szCs w:val="20"/>
              </w:rPr>
              <w:t>ly</w:t>
            </w:r>
            <w:r w:rsidRPr="009E5C9E">
              <w:rPr>
                <w:sz w:val="20"/>
                <w:szCs w:val="20"/>
              </w:rPr>
              <w:t xml:space="preserve"> beneficial</w:t>
            </w:r>
          </w:p>
        </w:tc>
        <w:tc>
          <w:tcPr>
            <w:tcW w:w="1518" w:type="dxa"/>
            <w:tcBorders>
              <w:top w:val="nil"/>
              <w:left w:val="nil"/>
              <w:bottom w:val="nil"/>
              <w:right w:val="nil"/>
            </w:tcBorders>
          </w:tcPr>
          <w:p w14:paraId="3A15F6B7" w14:textId="3B0D05FA" w:rsidR="00395C1E" w:rsidRPr="009E5C9E" w:rsidRDefault="00395C1E">
            <w:pPr>
              <w:jc w:val="center"/>
              <w:rPr>
                <w:sz w:val="20"/>
                <w:szCs w:val="20"/>
              </w:rPr>
            </w:pPr>
            <w:r w:rsidRPr="009E5C9E">
              <w:rPr>
                <w:sz w:val="20"/>
                <w:szCs w:val="20"/>
              </w:rPr>
              <w:t>Moderate</w:t>
            </w:r>
            <w:r w:rsidR="004023AD" w:rsidRPr="009E5C9E">
              <w:rPr>
                <w:sz w:val="20"/>
                <w:szCs w:val="20"/>
              </w:rPr>
              <w:t>ly</w:t>
            </w:r>
            <w:r w:rsidRPr="009E5C9E">
              <w:rPr>
                <w:sz w:val="20"/>
                <w:szCs w:val="20"/>
              </w:rPr>
              <w:t xml:space="preserve"> beneficial</w:t>
            </w:r>
          </w:p>
        </w:tc>
        <w:tc>
          <w:tcPr>
            <w:tcW w:w="1519" w:type="dxa"/>
            <w:tcBorders>
              <w:top w:val="nil"/>
              <w:left w:val="nil"/>
              <w:bottom w:val="nil"/>
              <w:right w:val="nil"/>
            </w:tcBorders>
          </w:tcPr>
          <w:p w14:paraId="77A69AE0" w14:textId="4466105E" w:rsidR="00395C1E" w:rsidRPr="009E5C9E" w:rsidRDefault="00395C1E">
            <w:pPr>
              <w:jc w:val="center"/>
              <w:rPr>
                <w:sz w:val="20"/>
                <w:szCs w:val="20"/>
              </w:rPr>
            </w:pPr>
            <w:r w:rsidRPr="009E5C9E">
              <w:rPr>
                <w:sz w:val="20"/>
                <w:szCs w:val="20"/>
              </w:rPr>
              <w:t>Large</w:t>
            </w:r>
            <w:r w:rsidR="004023AD" w:rsidRPr="009E5C9E">
              <w:rPr>
                <w:sz w:val="20"/>
                <w:szCs w:val="20"/>
              </w:rPr>
              <w:t>ly</w:t>
            </w:r>
            <w:r w:rsidRPr="009E5C9E">
              <w:rPr>
                <w:sz w:val="20"/>
                <w:szCs w:val="20"/>
              </w:rPr>
              <w:t xml:space="preserve"> beneficial</w:t>
            </w:r>
          </w:p>
        </w:tc>
      </w:tr>
    </w:tbl>
    <w:tbl>
      <w:tblPr>
        <w:tblStyle w:val="TableGrid"/>
        <w:tblW w:w="5206" w:type="pct"/>
        <w:tblLayout w:type="fixed"/>
        <w:tblLook w:val="04A0" w:firstRow="1" w:lastRow="0" w:firstColumn="1" w:lastColumn="0" w:noHBand="0" w:noVBand="1"/>
      </w:tblPr>
      <w:tblGrid>
        <w:gridCol w:w="1140"/>
        <w:gridCol w:w="423"/>
        <w:gridCol w:w="423"/>
        <w:gridCol w:w="4464"/>
        <w:gridCol w:w="4460"/>
      </w:tblGrid>
      <w:tr w:rsidR="00BA1580" w:rsidRPr="00BA1580" w14:paraId="156E3AD0" w14:textId="77777777" w:rsidTr="00AE5870">
        <w:trPr>
          <w:trHeight w:val="691"/>
          <w:tblHeader/>
        </w:trPr>
        <w:tc>
          <w:tcPr>
            <w:tcW w:w="522" w:type="pct"/>
            <w:vMerge w:val="restart"/>
            <w:shd w:val="clear" w:color="auto" w:fill="F2F2F2" w:themeFill="background1" w:themeFillShade="F2"/>
          </w:tcPr>
          <w:p w14:paraId="5CE1C46F" w14:textId="77777777" w:rsidR="00BA1580" w:rsidRPr="009E5C9E" w:rsidRDefault="00BA1580">
            <w:pPr>
              <w:rPr>
                <w:b/>
                <w:bCs/>
                <w:sz w:val="16"/>
                <w:szCs w:val="16"/>
              </w:rPr>
            </w:pPr>
            <w:r w:rsidRPr="009E5C9E">
              <w:rPr>
                <w:b/>
                <w:bCs/>
                <w:sz w:val="16"/>
                <w:szCs w:val="16"/>
              </w:rPr>
              <w:t xml:space="preserve">Stakeholder </w:t>
            </w:r>
          </w:p>
        </w:tc>
        <w:tc>
          <w:tcPr>
            <w:tcW w:w="388" w:type="pct"/>
            <w:gridSpan w:val="2"/>
            <w:shd w:val="clear" w:color="auto" w:fill="F2F2F2" w:themeFill="background2" w:themeFillShade="F2"/>
          </w:tcPr>
          <w:p w14:paraId="418289F4" w14:textId="709FA6E6" w:rsidR="00BA1580" w:rsidRPr="00BA1580" w:rsidRDefault="00BA1580">
            <w:pPr>
              <w:rPr>
                <w:b/>
                <w:bCs/>
                <w:sz w:val="16"/>
                <w:szCs w:val="16"/>
              </w:rPr>
            </w:pPr>
            <w:r w:rsidRPr="00BA1580">
              <w:rPr>
                <w:b/>
                <w:bCs/>
                <w:sz w:val="16"/>
                <w:szCs w:val="16"/>
              </w:rPr>
              <w:t>Option no.</w:t>
            </w:r>
          </w:p>
        </w:tc>
        <w:tc>
          <w:tcPr>
            <w:tcW w:w="4091" w:type="pct"/>
            <w:gridSpan w:val="2"/>
            <w:shd w:val="clear" w:color="auto" w:fill="F2F2F2" w:themeFill="background2" w:themeFillShade="F2"/>
          </w:tcPr>
          <w:p w14:paraId="722E78FB" w14:textId="73638E58" w:rsidR="00BA1580" w:rsidRPr="00BA1580" w:rsidRDefault="00BA1580">
            <w:pPr>
              <w:rPr>
                <w:b/>
                <w:bCs/>
                <w:sz w:val="16"/>
                <w:szCs w:val="16"/>
              </w:rPr>
            </w:pPr>
            <w:r w:rsidRPr="00BA1580">
              <w:rPr>
                <w:b/>
                <w:bCs/>
                <w:sz w:val="16"/>
                <w:szCs w:val="16"/>
              </w:rPr>
              <w:t xml:space="preserve">Explanation </w:t>
            </w:r>
          </w:p>
        </w:tc>
      </w:tr>
      <w:tr w:rsidR="00BA1580" w:rsidRPr="00BA1580" w14:paraId="5B698EB9" w14:textId="77777777" w:rsidTr="00AE5870">
        <w:trPr>
          <w:trHeight w:val="70"/>
          <w:tblHeader/>
        </w:trPr>
        <w:tc>
          <w:tcPr>
            <w:tcW w:w="522" w:type="pct"/>
            <w:vMerge/>
            <w:shd w:val="clear" w:color="auto" w:fill="F2F2F2" w:themeFill="background1" w:themeFillShade="F2"/>
          </w:tcPr>
          <w:p w14:paraId="63229334" w14:textId="77777777" w:rsidR="00B86AC9" w:rsidRPr="00BA1580" w:rsidRDefault="00B86AC9">
            <w:pPr>
              <w:rPr>
                <w:b/>
                <w:bCs/>
                <w:sz w:val="16"/>
                <w:szCs w:val="16"/>
              </w:rPr>
            </w:pPr>
          </w:p>
        </w:tc>
        <w:tc>
          <w:tcPr>
            <w:tcW w:w="194" w:type="pct"/>
            <w:tcBorders>
              <w:bottom w:val="single" w:sz="4" w:space="0" w:color="auto"/>
            </w:tcBorders>
            <w:shd w:val="clear" w:color="auto" w:fill="F2F2F2" w:themeFill="background2" w:themeFillShade="F2"/>
          </w:tcPr>
          <w:p w14:paraId="407618EB" w14:textId="77777777" w:rsidR="00B86AC9" w:rsidRPr="00BA1580" w:rsidRDefault="00B86AC9">
            <w:pPr>
              <w:rPr>
                <w:b/>
                <w:bCs/>
                <w:sz w:val="16"/>
                <w:szCs w:val="16"/>
              </w:rPr>
            </w:pPr>
            <w:r w:rsidRPr="00BA1580">
              <w:rPr>
                <w:b/>
                <w:bCs/>
                <w:sz w:val="16"/>
                <w:szCs w:val="16"/>
              </w:rPr>
              <w:t>1</w:t>
            </w:r>
          </w:p>
        </w:tc>
        <w:tc>
          <w:tcPr>
            <w:tcW w:w="194" w:type="pct"/>
            <w:tcBorders>
              <w:bottom w:val="single" w:sz="4" w:space="0" w:color="auto"/>
            </w:tcBorders>
            <w:shd w:val="clear" w:color="auto" w:fill="F2F2F2" w:themeFill="background2" w:themeFillShade="F2"/>
          </w:tcPr>
          <w:p w14:paraId="0DA6BFD9" w14:textId="77777777" w:rsidR="00B86AC9" w:rsidRPr="00BA1580" w:rsidRDefault="00B86AC9">
            <w:pPr>
              <w:rPr>
                <w:b/>
                <w:bCs/>
                <w:sz w:val="16"/>
                <w:szCs w:val="16"/>
              </w:rPr>
            </w:pPr>
            <w:r w:rsidRPr="00BA1580">
              <w:rPr>
                <w:b/>
                <w:bCs/>
                <w:sz w:val="16"/>
                <w:szCs w:val="16"/>
              </w:rPr>
              <w:t>2</w:t>
            </w:r>
          </w:p>
        </w:tc>
        <w:tc>
          <w:tcPr>
            <w:tcW w:w="2046" w:type="pct"/>
            <w:shd w:val="clear" w:color="auto" w:fill="F2F2F2" w:themeFill="background2" w:themeFillShade="F2"/>
          </w:tcPr>
          <w:p w14:paraId="1B4D38B2" w14:textId="6C36093C" w:rsidR="00B86AC9" w:rsidRPr="00BA1580" w:rsidRDefault="00B86AC9">
            <w:pPr>
              <w:rPr>
                <w:b/>
                <w:bCs/>
                <w:sz w:val="16"/>
                <w:szCs w:val="16"/>
              </w:rPr>
            </w:pPr>
            <w:r w:rsidRPr="00BA1580">
              <w:rPr>
                <w:b/>
                <w:bCs/>
                <w:sz w:val="16"/>
                <w:szCs w:val="16"/>
              </w:rPr>
              <w:t>Option 1: Maintain the status quo</w:t>
            </w:r>
          </w:p>
        </w:tc>
        <w:tc>
          <w:tcPr>
            <w:tcW w:w="2045" w:type="pct"/>
            <w:shd w:val="clear" w:color="auto" w:fill="F2F2F2" w:themeFill="background2" w:themeFillShade="F2"/>
          </w:tcPr>
          <w:p w14:paraId="7C84BB49" w14:textId="10B25BB6" w:rsidR="00B86AC9" w:rsidRPr="00BA1580" w:rsidRDefault="00B86AC9">
            <w:pPr>
              <w:rPr>
                <w:b/>
                <w:bCs/>
                <w:sz w:val="16"/>
                <w:szCs w:val="16"/>
              </w:rPr>
            </w:pPr>
            <w:r w:rsidRPr="00BA1580">
              <w:rPr>
                <w:b/>
                <w:bCs/>
                <w:sz w:val="16"/>
                <w:szCs w:val="16"/>
              </w:rPr>
              <w:t>Option 2: Incrementally increase deeming rates</w:t>
            </w:r>
          </w:p>
        </w:tc>
      </w:tr>
      <w:tr w:rsidR="00BA1580" w:rsidRPr="00BA1580" w14:paraId="49EB906B" w14:textId="77777777" w:rsidTr="00AE5870">
        <w:trPr>
          <w:trHeight w:val="1434"/>
        </w:trPr>
        <w:tc>
          <w:tcPr>
            <w:tcW w:w="522" w:type="pct"/>
          </w:tcPr>
          <w:p w14:paraId="3684AA1F" w14:textId="16FC18CB" w:rsidR="00B86AC9" w:rsidRPr="00BA1580" w:rsidRDefault="00B86AC9">
            <w:pPr>
              <w:rPr>
                <w:b/>
                <w:bCs/>
                <w:sz w:val="16"/>
                <w:szCs w:val="16"/>
              </w:rPr>
            </w:pPr>
            <w:r w:rsidRPr="00BA1580">
              <w:rPr>
                <w:b/>
                <w:bCs/>
                <w:sz w:val="16"/>
                <w:szCs w:val="16"/>
              </w:rPr>
              <w:t>People affected by deeming rates changes</w:t>
            </w:r>
          </w:p>
          <w:p w14:paraId="1A7F2D06" w14:textId="77777777" w:rsidR="00B86AC9" w:rsidRPr="00BA1580" w:rsidRDefault="00B86AC9">
            <w:pPr>
              <w:rPr>
                <w:b/>
                <w:bCs/>
                <w:sz w:val="16"/>
                <w:szCs w:val="16"/>
              </w:rPr>
            </w:pPr>
          </w:p>
        </w:tc>
        <w:tc>
          <w:tcPr>
            <w:tcW w:w="194" w:type="pct"/>
            <w:tcBorders>
              <w:bottom w:val="single" w:sz="4" w:space="0" w:color="auto"/>
            </w:tcBorders>
            <w:shd w:val="clear" w:color="auto" w:fill="FFFF00"/>
            <w:vAlign w:val="center"/>
          </w:tcPr>
          <w:p w14:paraId="1BEEF6C7" w14:textId="5BD06C30" w:rsidR="00B86AC9" w:rsidRPr="00BA1580" w:rsidRDefault="00B86AC9">
            <w:pPr>
              <w:jc w:val="center"/>
              <w:rPr>
                <w:b/>
                <w:bCs/>
                <w:sz w:val="16"/>
                <w:szCs w:val="16"/>
              </w:rPr>
            </w:pPr>
            <w:r w:rsidRPr="00BA1580">
              <w:rPr>
                <w:b/>
                <w:bCs/>
                <w:sz w:val="16"/>
                <w:szCs w:val="16"/>
              </w:rPr>
              <w:t>0</w:t>
            </w:r>
          </w:p>
        </w:tc>
        <w:tc>
          <w:tcPr>
            <w:tcW w:w="194" w:type="pct"/>
            <w:tcBorders>
              <w:bottom w:val="single" w:sz="4" w:space="0" w:color="auto"/>
            </w:tcBorders>
            <w:shd w:val="clear" w:color="auto" w:fill="92D050"/>
            <w:vAlign w:val="center"/>
          </w:tcPr>
          <w:p w14:paraId="397E0197" w14:textId="6D44F41E" w:rsidR="00B86AC9" w:rsidRPr="00BA1580" w:rsidRDefault="00396121">
            <w:pPr>
              <w:jc w:val="center"/>
              <w:rPr>
                <w:b/>
                <w:bCs/>
                <w:sz w:val="16"/>
                <w:szCs w:val="16"/>
              </w:rPr>
            </w:pPr>
            <w:r>
              <w:rPr>
                <w:b/>
                <w:bCs/>
                <w:sz w:val="16"/>
                <w:szCs w:val="16"/>
              </w:rPr>
              <w:t>1</w:t>
            </w:r>
          </w:p>
        </w:tc>
        <w:tc>
          <w:tcPr>
            <w:tcW w:w="2046" w:type="pct"/>
          </w:tcPr>
          <w:p w14:paraId="6E0E8325" w14:textId="47D028BF" w:rsidR="00B86AC9" w:rsidRPr="00BA1580" w:rsidRDefault="00B86AC9">
            <w:pPr>
              <w:rPr>
                <w:b/>
                <w:bCs/>
                <w:sz w:val="16"/>
                <w:szCs w:val="16"/>
              </w:rPr>
            </w:pPr>
            <w:r w:rsidRPr="00BA1580">
              <w:rPr>
                <w:b/>
                <w:bCs/>
                <w:sz w:val="16"/>
                <w:szCs w:val="16"/>
              </w:rPr>
              <w:t>Fairness and equity (0)</w:t>
            </w:r>
          </w:p>
          <w:p w14:paraId="2808D2F9" w14:textId="56BA97C1" w:rsidR="00B86AC9" w:rsidRPr="00956BDD" w:rsidRDefault="00B86AC9">
            <w:pPr>
              <w:rPr>
                <w:sz w:val="16"/>
                <w:szCs w:val="16"/>
              </w:rPr>
            </w:pPr>
            <w:r w:rsidRPr="00BA1580">
              <w:rPr>
                <w:sz w:val="16"/>
                <w:szCs w:val="16"/>
              </w:rPr>
              <w:t xml:space="preserve">This option maintains the current deeming rates and </w:t>
            </w:r>
            <w:r w:rsidRPr="00956BDD">
              <w:rPr>
                <w:sz w:val="16"/>
                <w:szCs w:val="16"/>
              </w:rPr>
              <w:t>individuals will see no impact on their payment rates.</w:t>
            </w:r>
          </w:p>
          <w:p w14:paraId="379DA258" w14:textId="31B6C9DF" w:rsidR="00B86AC9" w:rsidRPr="00956BDD" w:rsidRDefault="00B86AC9" w:rsidP="00EE7FD5">
            <w:pPr>
              <w:rPr>
                <w:b/>
                <w:bCs/>
                <w:sz w:val="16"/>
                <w:szCs w:val="16"/>
              </w:rPr>
            </w:pPr>
            <w:r w:rsidRPr="009E5C9E">
              <w:rPr>
                <w:b/>
                <w:bCs/>
                <w:sz w:val="16"/>
                <w:szCs w:val="16"/>
              </w:rPr>
              <w:t>Community confidence in the social security system (</w:t>
            </w:r>
            <w:r w:rsidR="004937F1" w:rsidRPr="009E5C9E">
              <w:rPr>
                <w:b/>
                <w:bCs/>
                <w:sz w:val="16"/>
                <w:szCs w:val="16"/>
              </w:rPr>
              <w:t>1)</w:t>
            </w:r>
          </w:p>
          <w:p w14:paraId="59EEA352" w14:textId="7C8385AA" w:rsidR="00AD1D2B" w:rsidRDefault="00CA06AE" w:rsidP="004502C7">
            <w:pPr>
              <w:rPr>
                <w:sz w:val="16"/>
                <w:szCs w:val="16"/>
              </w:rPr>
            </w:pPr>
            <w:r w:rsidRPr="00956BDD">
              <w:rPr>
                <w:sz w:val="16"/>
                <w:szCs w:val="16"/>
              </w:rPr>
              <w:t>T</w:t>
            </w:r>
            <w:r w:rsidR="005C3B11" w:rsidRPr="00956BDD">
              <w:rPr>
                <w:sz w:val="16"/>
                <w:szCs w:val="16"/>
              </w:rPr>
              <w:t>he concessional</w:t>
            </w:r>
            <w:r w:rsidR="005C3B11">
              <w:rPr>
                <w:sz w:val="16"/>
                <w:szCs w:val="16"/>
              </w:rPr>
              <w:t xml:space="preserve"> treatment of </w:t>
            </w:r>
            <w:r w:rsidR="00C74835">
              <w:rPr>
                <w:sz w:val="16"/>
                <w:szCs w:val="16"/>
              </w:rPr>
              <w:t xml:space="preserve">deemed income </w:t>
            </w:r>
            <w:r>
              <w:rPr>
                <w:sz w:val="16"/>
                <w:szCs w:val="16"/>
              </w:rPr>
              <w:t xml:space="preserve">from keeping the deeming rates at their disproportionally low levels </w:t>
            </w:r>
            <w:r w:rsidR="00496070">
              <w:rPr>
                <w:sz w:val="16"/>
                <w:szCs w:val="16"/>
              </w:rPr>
              <w:t>would</w:t>
            </w:r>
            <w:r w:rsidR="00DA023F">
              <w:rPr>
                <w:sz w:val="16"/>
                <w:szCs w:val="16"/>
              </w:rPr>
              <w:t xml:space="preserve"> benefi</w:t>
            </w:r>
            <w:r w:rsidR="005F0D1B">
              <w:rPr>
                <w:sz w:val="16"/>
                <w:szCs w:val="16"/>
              </w:rPr>
              <w:t>t</w:t>
            </w:r>
            <w:r w:rsidR="00DA023F">
              <w:rPr>
                <w:sz w:val="16"/>
                <w:szCs w:val="16"/>
              </w:rPr>
              <w:t xml:space="preserve"> those who have deemed income</w:t>
            </w:r>
            <w:r w:rsidR="009814FF">
              <w:rPr>
                <w:sz w:val="16"/>
                <w:szCs w:val="16"/>
              </w:rPr>
              <w:t xml:space="preserve">. </w:t>
            </w:r>
            <w:r w:rsidR="000D1587">
              <w:rPr>
                <w:sz w:val="16"/>
                <w:szCs w:val="16"/>
              </w:rPr>
              <w:t xml:space="preserve">They may argue </w:t>
            </w:r>
            <w:r w:rsidR="00A5340C">
              <w:rPr>
                <w:sz w:val="16"/>
                <w:szCs w:val="16"/>
              </w:rPr>
              <w:t xml:space="preserve">cost of living pressures </w:t>
            </w:r>
            <w:r w:rsidR="00496070">
              <w:rPr>
                <w:sz w:val="16"/>
                <w:szCs w:val="16"/>
              </w:rPr>
              <w:t xml:space="preserve">justify a continued concession on </w:t>
            </w:r>
            <w:r w:rsidR="003735A0">
              <w:rPr>
                <w:sz w:val="16"/>
                <w:szCs w:val="16"/>
              </w:rPr>
              <w:t xml:space="preserve">investment income. </w:t>
            </w:r>
          </w:p>
          <w:p w14:paraId="75926648" w14:textId="3DBF1379" w:rsidR="00B86AC9" w:rsidRPr="00BA1580" w:rsidRDefault="00B86AC9">
            <w:pPr>
              <w:rPr>
                <w:b/>
                <w:bCs/>
                <w:sz w:val="16"/>
                <w:szCs w:val="16"/>
              </w:rPr>
            </w:pPr>
            <w:r w:rsidRPr="00BA1580">
              <w:rPr>
                <w:b/>
                <w:bCs/>
                <w:sz w:val="16"/>
                <w:szCs w:val="16"/>
              </w:rPr>
              <w:t>Predictability (-1)</w:t>
            </w:r>
          </w:p>
          <w:p w14:paraId="0C6AD178" w14:textId="6A6D0B08" w:rsidR="00B86AC9" w:rsidRPr="00BA1580" w:rsidRDefault="00B86AC9">
            <w:pPr>
              <w:rPr>
                <w:sz w:val="16"/>
                <w:szCs w:val="16"/>
              </w:rPr>
            </w:pPr>
            <w:r w:rsidRPr="00BA1580">
              <w:rPr>
                <w:sz w:val="16"/>
                <w:szCs w:val="16"/>
              </w:rPr>
              <w:t xml:space="preserve">This option does not provide any certainty to individuals </w:t>
            </w:r>
            <w:r w:rsidR="001F6F9F">
              <w:rPr>
                <w:sz w:val="16"/>
                <w:szCs w:val="16"/>
              </w:rPr>
              <w:t xml:space="preserve">about when adjustments would be made to the deeming rates, </w:t>
            </w:r>
            <w:r w:rsidRPr="00BA1580">
              <w:rPr>
                <w:sz w:val="16"/>
                <w:szCs w:val="16"/>
              </w:rPr>
              <w:t xml:space="preserve">or provide a framework that can give individuals confidence in the system. </w:t>
            </w:r>
          </w:p>
          <w:p w14:paraId="78F29F10" w14:textId="01D04B94" w:rsidR="00B86AC9" w:rsidRPr="00BA1580" w:rsidRDefault="00B86AC9">
            <w:pPr>
              <w:rPr>
                <w:b/>
                <w:bCs/>
                <w:sz w:val="16"/>
                <w:szCs w:val="16"/>
              </w:rPr>
            </w:pPr>
            <w:r w:rsidRPr="00BA1580">
              <w:rPr>
                <w:b/>
                <w:bCs/>
                <w:sz w:val="16"/>
                <w:szCs w:val="16"/>
              </w:rPr>
              <w:t>Reasonable transition (0)</w:t>
            </w:r>
          </w:p>
          <w:p w14:paraId="2205FF2E" w14:textId="596988C5" w:rsidR="00B86AC9" w:rsidRPr="00BA1580" w:rsidRDefault="00B86AC9">
            <w:pPr>
              <w:rPr>
                <w:sz w:val="16"/>
                <w:szCs w:val="16"/>
              </w:rPr>
            </w:pPr>
            <w:r w:rsidRPr="00BA1580">
              <w:rPr>
                <w:sz w:val="16"/>
                <w:szCs w:val="16"/>
              </w:rPr>
              <w:t xml:space="preserve">There is no transition for this option. </w:t>
            </w:r>
          </w:p>
          <w:p w14:paraId="349E115C" w14:textId="697145AA" w:rsidR="00B86AC9" w:rsidRPr="009E5C9E" w:rsidRDefault="00B86AC9">
            <w:pPr>
              <w:rPr>
                <w:b/>
                <w:bCs/>
                <w:sz w:val="16"/>
                <w:szCs w:val="16"/>
              </w:rPr>
            </w:pPr>
            <w:r w:rsidRPr="009E5C9E">
              <w:rPr>
                <w:b/>
                <w:bCs/>
                <w:sz w:val="16"/>
                <w:szCs w:val="16"/>
              </w:rPr>
              <w:t>Overall (</w:t>
            </w:r>
            <w:r w:rsidRPr="00BA1580">
              <w:rPr>
                <w:b/>
                <w:bCs/>
                <w:sz w:val="16"/>
                <w:szCs w:val="16"/>
              </w:rPr>
              <w:t>0</w:t>
            </w:r>
            <w:r w:rsidRPr="009E5C9E">
              <w:rPr>
                <w:b/>
                <w:bCs/>
                <w:sz w:val="16"/>
                <w:szCs w:val="16"/>
              </w:rPr>
              <w:t>)</w:t>
            </w:r>
          </w:p>
          <w:p w14:paraId="423D890A" w14:textId="77777777" w:rsidR="00B86AC9" w:rsidRPr="00BA1580" w:rsidRDefault="00B86AC9">
            <w:pPr>
              <w:rPr>
                <w:sz w:val="16"/>
                <w:szCs w:val="16"/>
              </w:rPr>
            </w:pPr>
          </w:p>
          <w:p w14:paraId="0ECD2B0B" w14:textId="5521C338" w:rsidR="00B86AC9" w:rsidRPr="00BA1580" w:rsidRDefault="00B86AC9">
            <w:pPr>
              <w:rPr>
                <w:sz w:val="16"/>
                <w:szCs w:val="16"/>
              </w:rPr>
            </w:pPr>
          </w:p>
        </w:tc>
        <w:tc>
          <w:tcPr>
            <w:tcW w:w="2045" w:type="pct"/>
          </w:tcPr>
          <w:p w14:paraId="6FF8ECC8" w14:textId="3A5D65FC" w:rsidR="00B86AC9" w:rsidRPr="00BA1580" w:rsidRDefault="00B86AC9">
            <w:pPr>
              <w:rPr>
                <w:b/>
                <w:bCs/>
                <w:sz w:val="16"/>
                <w:szCs w:val="16"/>
              </w:rPr>
            </w:pPr>
            <w:r w:rsidRPr="00BA1580">
              <w:rPr>
                <w:b/>
                <w:bCs/>
                <w:sz w:val="16"/>
                <w:szCs w:val="16"/>
              </w:rPr>
              <w:t>Fairness and equity (-1)</w:t>
            </w:r>
          </w:p>
          <w:p w14:paraId="1C1F7216" w14:textId="05984FE2" w:rsidR="00B86AC9" w:rsidRPr="00956BDD" w:rsidRDefault="00B86AC9" w:rsidP="00424DC1">
            <w:pPr>
              <w:rPr>
                <w:sz w:val="16"/>
                <w:szCs w:val="16"/>
              </w:rPr>
            </w:pPr>
            <w:r w:rsidRPr="00BA1580">
              <w:rPr>
                <w:sz w:val="16"/>
                <w:szCs w:val="16"/>
              </w:rPr>
              <w:t xml:space="preserve">Increasing the deeming rates means this cohort would have a decrease in their payment rates. However, of the cohort of </w:t>
            </w:r>
            <w:r w:rsidR="004023AD">
              <w:rPr>
                <w:sz w:val="16"/>
                <w:szCs w:val="16"/>
              </w:rPr>
              <w:t xml:space="preserve">around </w:t>
            </w:r>
            <w:r w:rsidRPr="00BA1580">
              <w:rPr>
                <w:sz w:val="16"/>
                <w:szCs w:val="16"/>
              </w:rPr>
              <w:t>77</w:t>
            </w:r>
            <w:r w:rsidR="004023AD">
              <w:rPr>
                <w:sz w:val="16"/>
                <w:szCs w:val="16"/>
              </w:rPr>
              <w:t>1</w:t>
            </w:r>
            <w:r w:rsidRPr="00BA1580">
              <w:rPr>
                <w:sz w:val="16"/>
                <w:szCs w:val="16"/>
              </w:rPr>
              <w:t>,</w:t>
            </w:r>
            <w:r w:rsidR="004023AD">
              <w:rPr>
                <w:sz w:val="16"/>
                <w:szCs w:val="16"/>
              </w:rPr>
              <w:t>0</w:t>
            </w:r>
            <w:r w:rsidRPr="00BA1580">
              <w:rPr>
                <w:sz w:val="16"/>
                <w:szCs w:val="16"/>
              </w:rPr>
              <w:t xml:space="preserve">00 individuals currently receiving a rate of payment being reduced by deemed income, </w:t>
            </w:r>
            <w:r w:rsidRPr="009E5C9E">
              <w:rPr>
                <w:sz w:val="16"/>
                <w:szCs w:val="16"/>
              </w:rPr>
              <w:t xml:space="preserve">only </w:t>
            </w:r>
            <w:r w:rsidR="00BC512F" w:rsidRPr="009E5C9E">
              <w:rPr>
                <w:sz w:val="16"/>
                <w:szCs w:val="16"/>
              </w:rPr>
              <w:t>98,800</w:t>
            </w:r>
            <w:r w:rsidR="00BC512F" w:rsidRPr="00BA1580">
              <w:rPr>
                <w:sz w:val="16"/>
                <w:szCs w:val="16"/>
              </w:rPr>
              <w:t xml:space="preserve"> </w:t>
            </w:r>
            <w:r w:rsidRPr="00BA1580">
              <w:rPr>
                <w:sz w:val="16"/>
                <w:szCs w:val="16"/>
              </w:rPr>
              <w:t xml:space="preserve">will </w:t>
            </w:r>
            <w:r w:rsidR="00BC512F" w:rsidRPr="00BA1580">
              <w:rPr>
                <w:sz w:val="16"/>
                <w:szCs w:val="16"/>
              </w:rPr>
              <w:t xml:space="preserve">experience a reduction in their payment </w:t>
            </w:r>
            <w:r w:rsidRPr="00BA1580">
              <w:rPr>
                <w:sz w:val="16"/>
                <w:szCs w:val="16"/>
              </w:rPr>
              <w:t>when coupled with indexation</w:t>
            </w:r>
            <w:r w:rsidR="00BA0A41">
              <w:rPr>
                <w:sz w:val="16"/>
                <w:szCs w:val="16"/>
              </w:rPr>
              <w:t xml:space="preserve"> on 20 September 2025</w:t>
            </w:r>
            <w:r w:rsidRPr="00BA1580">
              <w:rPr>
                <w:sz w:val="16"/>
                <w:szCs w:val="16"/>
              </w:rPr>
              <w:t xml:space="preserve">. Given the large number of </w:t>
            </w:r>
            <w:r w:rsidR="00BC512F" w:rsidRPr="00BA1580">
              <w:rPr>
                <w:sz w:val="16"/>
                <w:szCs w:val="16"/>
              </w:rPr>
              <w:t xml:space="preserve">individuals in </w:t>
            </w:r>
            <w:r w:rsidRPr="00BA1580">
              <w:rPr>
                <w:sz w:val="16"/>
                <w:szCs w:val="16"/>
              </w:rPr>
              <w:t>this group who</w:t>
            </w:r>
            <w:r w:rsidR="00BC512F" w:rsidRPr="00BA1580">
              <w:rPr>
                <w:sz w:val="16"/>
                <w:szCs w:val="16"/>
              </w:rPr>
              <w:t xml:space="preserve">se payment rate </w:t>
            </w:r>
            <w:r w:rsidR="00BC512F" w:rsidRPr="00956BDD">
              <w:rPr>
                <w:sz w:val="16"/>
                <w:szCs w:val="16"/>
              </w:rPr>
              <w:t xml:space="preserve">would not decrease after indexation and deeming rate changes, </w:t>
            </w:r>
            <w:r w:rsidRPr="00956BDD">
              <w:rPr>
                <w:sz w:val="16"/>
                <w:szCs w:val="16"/>
              </w:rPr>
              <w:t xml:space="preserve">this </w:t>
            </w:r>
            <w:r w:rsidR="00BC512F" w:rsidRPr="00956BDD">
              <w:rPr>
                <w:sz w:val="16"/>
                <w:szCs w:val="16"/>
              </w:rPr>
              <w:t xml:space="preserve">moderates </w:t>
            </w:r>
            <w:r w:rsidRPr="00956BDD">
              <w:rPr>
                <w:sz w:val="16"/>
                <w:szCs w:val="16"/>
              </w:rPr>
              <w:t xml:space="preserve">the negative impact of those who would see a decrease in their payment rate. </w:t>
            </w:r>
          </w:p>
          <w:p w14:paraId="1A7218FD" w14:textId="3F3D5151" w:rsidR="00CE02E6" w:rsidRPr="00956BDD" w:rsidRDefault="00CE02E6" w:rsidP="00EE7FD5">
            <w:pPr>
              <w:rPr>
                <w:b/>
                <w:bCs/>
                <w:sz w:val="16"/>
                <w:szCs w:val="16"/>
              </w:rPr>
            </w:pPr>
            <w:r w:rsidRPr="009E5C9E">
              <w:rPr>
                <w:b/>
                <w:bCs/>
                <w:sz w:val="16"/>
                <w:szCs w:val="16"/>
              </w:rPr>
              <w:t>Community confidence in the social security system (</w:t>
            </w:r>
            <w:r w:rsidR="00BF7EC4" w:rsidRPr="009E5C9E">
              <w:rPr>
                <w:b/>
                <w:bCs/>
                <w:sz w:val="16"/>
                <w:szCs w:val="16"/>
              </w:rPr>
              <w:t>1</w:t>
            </w:r>
            <w:r w:rsidRPr="009E5C9E">
              <w:rPr>
                <w:b/>
                <w:bCs/>
                <w:sz w:val="16"/>
                <w:szCs w:val="16"/>
              </w:rPr>
              <w:t>)</w:t>
            </w:r>
          </w:p>
          <w:p w14:paraId="04D157BB" w14:textId="553A276E" w:rsidR="00CE02E6" w:rsidRPr="00956BDD" w:rsidRDefault="0026652A" w:rsidP="00424DC1">
            <w:pPr>
              <w:rPr>
                <w:sz w:val="16"/>
                <w:szCs w:val="16"/>
              </w:rPr>
            </w:pPr>
            <w:r w:rsidRPr="00956BDD">
              <w:rPr>
                <w:sz w:val="16"/>
                <w:szCs w:val="16"/>
              </w:rPr>
              <w:t xml:space="preserve">This option supports the original intent of </w:t>
            </w:r>
            <w:r w:rsidR="005205C6" w:rsidRPr="00956BDD">
              <w:rPr>
                <w:sz w:val="16"/>
                <w:szCs w:val="16"/>
              </w:rPr>
              <w:t xml:space="preserve">the </w:t>
            </w:r>
            <w:r w:rsidRPr="00956BDD">
              <w:rPr>
                <w:sz w:val="16"/>
                <w:szCs w:val="16"/>
              </w:rPr>
              <w:t>deeming rules and the targeted nature of the social security system.</w:t>
            </w:r>
            <w:r w:rsidR="002B06AA" w:rsidRPr="00956BDD">
              <w:rPr>
                <w:sz w:val="16"/>
                <w:szCs w:val="16"/>
              </w:rPr>
              <w:t xml:space="preserve"> </w:t>
            </w:r>
          </w:p>
          <w:p w14:paraId="7D687E12" w14:textId="169C74F7" w:rsidR="00B86AC9" w:rsidRPr="00BA1580" w:rsidRDefault="00B86AC9">
            <w:pPr>
              <w:rPr>
                <w:b/>
                <w:bCs/>
                <w:sz w:val="16"/>
                <w:szCs w:val="16"/>
              </w:rPr>
            </w:pPr>
            <w:r w:rsidRPr="00956BDD">
              <w:rPr>
                <w:b/>
                <w:bCs/>
                <w:sz w:val="16"/>
                <w:szCs w:val="16"/>
              </w:rPr>
              <w:t>Predictability (</w:t>
            </w:r>
            <w:r w:rsidR="00AB1050" w:rsidRPr="00956BDD">
              <w:rPr>
                <w:b/>
                <w:bCs/>
                <w:sz w:val="16"/>
                <w:szCs w:val="16"/>
              </w:rPr>
              <w:t>1</w:t>
            </w:r>
            <w:r w:rsidRPr="00956BDD">
              <w:rPr>
                <w:b/>
                <w:bCs/>
                <w:sz w:val="16"/>
                <w:szCs w:val="16"/>
              </w:rPr>
              <w:t>)</w:t>
            </w:r>
          </w:p>
          <w:p w14:paraId="2CB96EB4" w14:textId="0B3FDC43" w:rsidR="00B86AC9" w:rsidRPr="00BA1580" w:rsidRDefault="00B86AC9">
            <w:pPr>
              <w:rPr>
                <w:sz w:val="16"/>
                <w:szCs w:val="16"/>
              </w:rPr>
            </w:pPr>
            <w:r w:rsidRPr="00BA1580">
              <w:rPr>
                <w:sz w:val="16"/>
                <w:szCs w:val="16"/>
              </w:rPr>
              <w:t>This option would give individuals certainty around when deeming rates will change and the framework to change them.</w:t>
            </w:r>
          </w:p>
          <w:p w14:paraId="60D8B419" w14:textId="2BF1A71F" w:rsidR="00B86AC9" w:rsidRPr="00BA1580" w:rsidRDefault="00B86AC9">
            <w:pPr>
              <w:rPr>
                <w:b/>
                <w:bCs/>
                <w:sz w:val="16"/>
                <w:szCs w:val="16"/>
              </w:rPr>
            </w:pPr>
            <w:r w:rsidRPr="00BA1580">
              <w:rPr>
                <w:b/>
                <w:bCs/>
                <w:sz w:val="16"/>
                <w:szCs w:val="16"/>
              </w:rPr>
              <w:t>Reasonable transition (2)</w:t>
            </w:r>
          </w:p>
          <w:p w14:paraId="1EFAA60B" w14:textId="70A50D40" w:rsidR="00B86AC9" w:rsidRPr="00BA1580" w:rsidRDefault="00B86AC9">
            <w:pPr>
              <w:rPr>
                <w:sz w:val="16"/>
                <w:szCs w:val="16"/>
              </w:rPr>
            </w:pPr>
            <w:r w:rsidRPr="00BA1580">
              <w:rPr>
                <w:sz w:val="16"/>
                <w:szCs w:val="16"/>
              </w:rPr>
              <w:t xml:space="preserve">Incrementally increasing the deeming rates gives individuals time to adjust to the changes. </w:t>
            </w:r>
          </w:p>
          <w:p w14:paraId="3403C713" w14:textId="07F79FEB" w:rsidR="00B86AC9" w:rsidRPr="009E5C9E" w:rsidRDefault="00B86AC9" w:rsidP="009E5C9E">
            <w:pPr>
              <w:spacing w:line="360" w:lineRule="auto"/>
              <w:rPr>
                <w:b/>
                <w:bCs/>
                <w:sz w:val="16"/>
                <w:szCs w:val="16"/>
              </w:rPr>
            </w:pPr>
            <w:r w:rsidRPr="009E5C9E">
              <w:rPr>
                <w:b/>
                <w:bCs/>
                <w:sz w:val="16"/>
                <w:szCs w:val="16"/>
              </w:rPr>
              <w:t>Overall (</w:t>
            </w:r>
            <w:r w:rsidR="00396121">
              <w:rPr>
                <w:b/>
                <w:bCs/>
                <w:sz w:val="16"/>
                <w:szCs w:val="16"/>
              </w:rPr>
              <w:t>1</w:t>
            </w:r>
            <w:r w:rsidRPr="009E5C9E">
              <w:rPr>
                <w:b/>
                <w:bCs/>
                <w:sz w:val="16"/>
                <w:szCs w:val="16"/>
              </w:rPr>
              <w:t>)</w:t>
            </w:r>
          </w:p>
          <w:p w14:paraId="0FF8FB7F" w14:textId="77777777" w:rsidR="00B86AC9" w:rsidRPr="00BA1580" w:rsidRDefault="00B86AC9" w:rsidP="008C5524">
            <w:pPr>
              <w:rPr>
                <w:sz w:val="16"/>
                <w:szCs w:val="16"/>
              </w:rPr>
            </w:pPr>
          </w:p>
          <w:p w14:paraId="74821293" w14:textId="77777777" w:rsidR="00B86AC9" w:rsidRPr="00BA1580" w:rsidRDefault="00B86AC9">
            <w:pPr>
              <w:rPr>
                <w:sz w:val="16"/>
                <w:szCs w:val="16"/>
              </w:rPr>
            </w:pPr>
          </w:p>
        </w:tc>
      </w:tr>
      <w:tr w:rsidR="00BA1580" w:rsidRPr="00BA1580" w14:paraId="2E94C8D0" w14:textId="77777777" w:rsidTr="00AE5870">
        <w:trPr>
          <w:trHeight w:val="1434"/>
        </w:trPr>
        <w:tc>
          <w:tcPr>
            <w:tcW w:w="522" w:type="pct"/>
          </w:tcPr>
          <w:p w14:paraId="2FFB73C0" w14:textId="77777777" w:rsidR="00B86AC9" w:rsidRPr="009E5C9E" w:rsidRDefault="00B86AC9" w:rsidP="009E5C9E">
            <w:pPr>
              <w:spacing w:line="240" w:lineRule="auto"/>
              <w:rPr>
                <w:b/>
                <w:bCs/>
                <w:sz w:val="16"/>
                <w:szCs w:val="16"/>
              </w:rPr>
            </w:pPr>
            <w:r w:rsidRPr="009E5C9E">
              <w:rPr>
                <w:b/>
                <w:bCs/>
                <w:sz w:val="16"/>
                <w:szCs w:val="16"/>
              </w:rPr>
              <w:t>Social security recipients not impacted by deeming rates changes</w:t>
            </w:r>
          </w:p>
          <w:p w14:paraId="332FE380" w14:textId="1B97F76B" w:rsidR="00B86AC9" w:rsidRPr="00BA1580" w:rsidRDefault="00B86AC9">
            <w:pPr>
              <w:rPr>
                <w:b/>
                <w:bCs/>
                <w:sz w:val="16"/>
                <w:szCs w:val="16"/>
              </w:rPr>
            </w:pPr>
          </w:p>
        </w:tc>
        <w:tc>
          <w:tcPr>
            <w:tcW w:w="194" w:type="pct"/>
            <w:tcBorders>
              <w:bottom w:val="single" w:sz="4" w:space="0" w:color="auto"/>
            </w:tcBorders>
            <w:shd w:val="clear" w:color="auto" w:fill="FFC000"/>
            <w:vAlign w:val="center"/>
          </w:tcPr>
          <w:p w14:paraId="4F376A22" w14:textId="4A5CB84C" w:rsidR="00B86AC9" w:rsidRPr="00BA1580" w:rsidRDefault="00B86AC9">
            <w:pPr>
              <w:jc w:val="center"/>
              <w:rPr>
                <w:b/>
                <w:bCs/>
                <w:sz w:val="16"/>
                <w:szCs w:val="16"/>
              </w:rPr>
            </w:pPr>
            <w:r w:rsidRPr="00BA1580">
              <w:rPr>
                <w:b/>
                <w:bCs/>
                <w:sz w:val="16"/>
                <w:szCs w:val="16"/>
              </w:rPr>
              <w:t>-</w:t>
            </w:r>
            <w:r w:rsidR="00956BDD">
              <w:rPr>
                <w:b/>
                <w:bCs/>
                <w:sz w:val="16"/>
                <w:szCs w:val="16"/>
              </w:rPr>
              <w:t>1</w:t>
            </w:r>
          </w:p>
        </w:tc>
        <w:tc>
          <w:tcPr>
            <w:tcW w:w="194" w:type="pct"/>
            <w:tcBorders>
              <w:bottom w:val="single" w:sz="4" w:space="0" w:color="auto"/>
            </w:tcBorders>
            <w:shd w:val="clear" w:color="auto" w:fill="92D050"/>
            <w:vAlign w:val="center"/>
          </w:tcPr>
          <w:p w14:paraId="1BEF82E1" w14:textId="77777777" w:rsidR="00B86AC9" w:rsidRPr="00BA1580" w:rsidRDefault="00B86AC9">
            <w:pPr>
              <w:jc w:val="center"/>
              <w:rPr>
                <w:b/>
                <w:bCs/>
                <w:sz w:val="16"/>
                <w:szCs w:val="16"/>
              </w:rPr>
            </w:pPr>
            <w:r w:rsidRPr="00BA1580">
              <w:rPr>
                <w:b/>
                <w:bCs/>
                <w:sz w:val="16"/>
                <w:szCs w:val="16"/>
              </w:rPr>
              <w:t>1</w:t>
            </w:r>
          </w:p>
        </w:tc>
        <w:tc>
          <w:tcPr>
            <w:tcW w:w="2046" w:type="pct"/>
          </w:tcPr>
          <w:p w14:paraId="4E7CB420" w14:textId="329C6758" w:rsidR="00B86AC9" w:rsidRPr="00BA1580" w:rsidRDefault="00B86AC9">
            <w:pPr>
              <w:rPr>
                <w:b/>
                <w:bCs/>
                <w:sz w:val="16"/>
                <w:szCs w:val="16"/>
              </w:rPr>
            </w:pPr>
            <w:r w:rsidRPr="00BA1580">
              <w:rPr>
                <w:b/>
                <w:bCs/>
                <w:sz w:val="16"/>
                <w:szCs w:val="16"/>
              </w:rPr>
              <w:t>Fairness and equity (-</w:t>
            </w:r>
            <w:r w:rsidR="00E22DE9" w:rsidRPr="00BA1580">
              <w:rPr>
                <w:b/>
                <w:bCs/>
                <w:sz w:val="16"/>
                <w:szCs w:val="16"/>
              </w:rPr>
              <w:t>2</w:t>
            </w:r>
            <w:r w:rsidRPr="00BA1580">
              <w:rPr>
                <w:b/>
                <w:bCs/>
                <w:sz w:val="16"/>
                <w:szCs w:val="16"/>
              </w:rPr>
              <w:t>)</w:t>
            </w:r>
          </w:p>
          <w:p w14:paraId="211706EB" w14:textId="43B58A5E" w:rsidR="00B86AC9" w:rsidRDefault="00BC512F">
            <w:pPr>
              <w:rPr>
                <w:sz w:val="16"/>
                <w:szCs w:val="16"/>
              </w:rPr>
            </w:pPr>
            <w:r w:rsidRPr="00BA1580">
              <w:rPr>
                <w:sz w:val="16"/>
                <w:szCs w:val="16"/>
              </w:rPr>
              <w:t>Social security recipients on a rate of payment not impacted by deeming would see the continuation of the current deeming rates as providing an unfair concession to income support recipients</w:t>
            </w:r>
            <w:r w:rsidR="00714B89" w:rsidRPr="00BA1580">
              <w:rPr>
                <w:sz w:val="16"/>
                <w:szCs w:val="16"/>
              </w:rPr>
              <w:t xml:space="preserve"> with deemed income</w:t>
            </w:r>
            <w:r w:rsidRPr="00BA1580">
              <w:rPr>
                <w:sz w:val="16"/>
                <w:szCs w:val="16"/>
              </w:rPr>
              <w:t xml:space="preserve">.  </w:t>
            </w:r>
          </w:p>
          <w:p w14:paraId="3DFD393E" w14:textId="02C3B4A3" w:rsidR="001F2995" w:rsidRDefault="001F2995" w:rsidP="00EE7FD5">
            <w:pPr>
              <w:rPr>
                <w:b/>
                <w:bCs/>
                <w:sz w:val="16"/>
                <w:szCs w:val="16"/>
              </w:rPr>
            </w:pPr>
            <w:r w:rsidRPr="009E5C9E">
              <w:rPr>
                <w:b/>
                <w:bCs/>
                <w:sz w:val="16"/>
                <w:szCs w:val="16"/>
              </w:rPr>
              <w:t>Community confidence in the social security system (-</w:t>
            </w:r>
            <w:r w:rsidR="00D633AC">
              <w:rPr>
                <w:b/>
                <w:bCs/>
                <w:sz w:val="16"/>
                <w:szCs w:val="16"/>
              </w:rPr>
              <w:t>1</w:t>
            </w:r>
            <w:r>
              <w:rPr>
                <w:b/>
                <w:bCs/>
                <w:sz w:val="16"/>
                <w:szCs w:val="16"/>
              </w:rPr>
              <w:t>)</w:t>
            </w:r>
          </w:p>
          <w:p w14:paraId="3E6D5DF0" w14:textId="49E27D43" w:rsidR="001F2995" w:rsidRPr="00BA1580" w:rsidRDefault="003874AA">
            <w:pPr>
              <w:rPr>
                <w:sz w:val="16"/>
                <w:szCs w:val="16"/>
              </w:rPr>
            </w:pPr>
            <w:r>
              <w:rPr>
                <w:sz w:val="16"/>
                <w:szCs w:val="16"/>
              </w:rPr>
              <w:t xml:space="preserve">This stakeholder group may </w:t>
            </w:r>
            <w:r w:rsidR="005D09F3">
              <w:rPr>
                <w:sz w:val="16"/>
                <w:szCs w:val="16"/>
              </w:rPr>
              <w:t xml:space="preserve">lose confidence in the social security system </w:t>
            </w:r>
            <w:r w:rsidR="00763E53">
              <w:rPr>
                <w:sz w:val="16"/>
                <w:szCs w:val="16"/>
              </w:rPr>
              <w:t>if</w:t>
            </w:r>
            <w:r w:rsidR="005D09F3">
              <w:rPr>
                <w:sz w:val="16"/>
                <w:szCs w:val="16"/>
              </w:rPr>
              <w:t xml:space="preserve"> it </w:t>
            </w:r>
            <w:r w:rsidR="00763E53">
              <w:rPr>
                <w:sz w:val="16"/>
                <w:szCs w:val="16"/>
              </w:rPr>
              <w:t>provides</w:t>
            </w:r>
            <w:r w:rsidR="00CA3556">
              <w:rPr>
                <w:sz w:val="16"/>
                <w:szCs w:val="16"/>
              </w:rPr>
              <w:t xml:space="preserve"> a disproportionate ongoing </w:t>
            </w:r>
            <w:r w:rsidR="00CA3556">
              <w:rPr>
                <w:sz w:val="16"/>
                <w:szCs w:val="16"/>
              </w:rPr>
              <w:lastRenderedPageBreak/>
              <w:t>concession on</w:t>
            </w:r>
            <w:r w:rsidR="005D09F3">
              <w:rPr>
                <w:sz w:val="16"/>
                <w:szCs w:val="16"/>
              </w:rPr>
              <w:t xml:space="preserve"> investment income compared to </w:t>
            </w:r>
            <w:r w:rsidR="00550DB6">
              <w:rPr>
                <w:sz w:val="16"/>
                <w:szCs w:val="16"/>
              </w:rPr>
              <w:t xml:space="preserve">the </w:t>
            </w:r>
            <w:r w:rsidR="005D09F3">
              <w:rPr>
                <w:sz w:val="16"/>
                <w:szCs w:val="16"/>
              </w:rPr>
              <w:t>other types of income.</w:t>
            </w:r>
          </w:p>
          <w:p w14:paraId="0B71304E" w14:textId="0A4E6874" w:rsidR="00B86AC9" w:rsidRPr="00BA1580" w:rsidRDefault="00B86AC9">
            <w:pPr>
              <w:rPr>
                <w:b/>
                <w:bCs/>
                <w:sz w:val="16"/>
                <w:szCs w:val="16"/>
              </w:rPr>
            </w:pPr>
            <w:r w:rsidRPr="00BA1580">
              <w:rPr>
                <w:b/>
                <w:bCs/>
                <w:sz w:val="16"/>
                <w:szCs w:val="16"/>
              </w:rPr>
              <w:t>Predictability (-1)</w:t>
            </w:r>
          </w:p>
          <w:p w14:paraId="1056C607" w14:textId="3C2E1866" w:rsidR="00B86AC9" w:rsidRPr="00BA1580" w:rsidRDefault="00BC512F">
            <w:pPr>
              <w:rPr>
                <w:sz w:val="16"/>
                <w:szCs w:val="16"/>
              </w:rPr>
            </w:pPr>
            <w:r w:rsidRPr="00BA1580">
              <w:rPr>
                <w:sz w:val="16"/>
                <w:szCs w:val="16"/>
              </w:rPr>
              <w:t xml:space="preserve">This option does not provide any certainty to individuals or provide a framework that can give individuals confidence in the system. </w:t>
            </w:r>
          </w:p>
          <w:p w14:paraId="6BF7BC07" w14:textId="77777777" w:rsidR="00B86AC9" w:rsidRPr="00BA1580" w:rsidRDefault="00B86AC9">
            <w:pPr>
              <w:rPr>
                <w:b/>
                <w:bCs/>
                <w:sz w:val="16"/>
                <w:szCs w:val="16"/>
              </w:rPr>
            </w:pPr>
            <w:r w:rsidRPr="00BA1580">
              <w:rPr>
                <w:b/>
                <w:bCs/>
                <w:sz w:val="16"/>
                <w:szCs w:val="16"/>
              </w:rPr>
              <w:t>Reasonable transition (0)</w:t>
            </w:r>
          </w:p>
          <w:p w14:paraId="19F54F4F" w14:textId="6E8C8809" w:rsidR="00B86AC9" w:rsidRPr="00BA1580" w:rsidRDefault="00BC512F">
            <w:pPr>
              <w:rPr>
                <w:sz w:val="16"/>
                <w:szCs w:val="16"/>
              </w:rPr>
            </w:pPr>
            <w:r w:rsidRPr="00BA1580">
              <w:rPr>
                <w:sz w:val="16"/>
                <w:szCs w:val="16"/>
              </w:rPr>
              <w:t xml:space="preserve">There is no transition for this option. </w:t>
            </w:r>
          </w:p>
          <w:p w14:paraId="72F0396D" w14:textId="5390786F" w:rsidR="00B86AC9" w:rsidRPr="00BA1580" w:rsidRDefault="00B86AC9">
            <w:pPr>
              <w:rPr>
                <w:b/>
                <w:bCs/>
                <w:sz w:val="16"/>
                <w:szCs w:val="16"/>
              </w:rPr>
            </w:pPr>
            <w:r w:rsidRPr="00BA1580">
              <w:rPr>
                <w:b/>
                <w:bCs/>
                <w:sz w:val="16"/>
                <w:szCs w:val="16"/>
              </w:rPr>
              <w:t>Overall (-</w:t>
            </w:r>
            <w:r w:rsidR="00956BDD">
              <w:rPr>
                <w:b/>
                <w:bCs/>
                <w:sz w:val="16"/>
                <w:szCs w:val="16"/>
              </w:rPr>
              <w:t>1</w:t>
            </w:r>
            <w:r w:rsidRPr="00BA1580">
              <w:rPr>
                <w:b/>
                <w:bCs/>
                <w:sz w:val="16"/>
                <w:szCs w:val="16"/>
              </w:rPr>
              <w:t>)</w:t>
            </w:r>
          </w:p>
          <w:p w14:paraId="04D7FF7D" w14:textId="77777777" w:rsidR="00B86AC9" w:rsidRPr="00BA1580" w:rsidRDefault="00B86AC9">
            <w:pPr>
              <w:rPr>
                <w:sz w:val="16"/>
                <w:szCs w:val="16"/>
              </w:rPr>
            </w:pPr>
          </w:p>
          <w:p w14:paraId="6D711FAC" w14:textId="77777777" w:rsidR="00B86AC9" w:rsidRPr="00BA1580" w:rsidRDefault="00B86AC9">
            <w:pPr>
              <w:rPr>
                <w:b/>
                <w:bCs/>
                <w:sz w:val="16"/>
                <w:szCs w:val="16"/>
              </w:rPr>
            </w:pPr>
          </w:p>
        </w:tc>
        <w:tc>
          <w:tcPr>
            <w:tcW w:w="2045" w:type="pct"/>
          </w:tcPr>
          <w:p w14:paraId="27D8EB58" w14:textId="511D1575" w:rsidR="00B86AC9" w:rsidRPr="00BA1580" w:rsidRDefault="00B86AC9">
            <w:pPr>
              <w:rPr>
                <w:b/>
                <w:bCs/>
                <w:sz w:val="16"/>
                <w:szCs w:val="16"/>
              </w:rPr>
            </w:pPr>
            <w:r w:rsidRPr="00BA1580">
              <w:rPr>
                <w:b/>
                <w:bCs/>
                <w:sz w:val="16"/>
                <w:szCs w:val="16"/>
              </w:rPr>
              <w:lastRenderedPageBreak/>
              <w:t>Fairness and equity (</w:t>
            </w:r>
            <w:r w:rsidR="00C337EB" w:rsidRPr="00BA1580">
              <w:rPr>
                <w:b/>
                <w:bCs/>
                <w:sz w:val="16"/>
                <w:szCs w:val="16"/>
              </w:rPr>
              <w:t>2</w:t>
            </w:r>
            <w:r w:rsidRPr="00BA1580">
              <w:rPr>
                <w:b/>
                <w:bCs/>
                <w:sz w:val="16"/>
                <w:szCs w:val="16"/>
              </w:rPr>
              <w:t>)</w:t>
            </w:r>
          </w:p>
          <w:p w14:paraId="72B709D0" w14:textId="0DF3924A" w:rsidR="00B86AC9" w:rsidRPr="00BA1580" w:rsidRDefault="00BC512F">
            <w:pPr>
              <w:rPr>
                <w:sz w:val="16"/>
                <w:szCs w:val="16"/>
              </w:rPr>
            </w:pPr>
            <w:r w:rsidRPr="00BA1580">
              <w:rPr>
                <w:sz w:val="16"/>
                <w:szCs w:val="16"/>
              </w:rPr>
              <w:t>This option</w:t>
            </w:r>
            <w:r w:rsidR="00B93D54" w:rsidRPr="00BA1580">
              <w:rPr>
                <w:sz w:val="16"/>
                <w:szCs w:val="16"/>
              </w:rPr>
              <w:t xml:space="preserve"> seeks to transition </w:t>
            </w:r>
            <w:r w:rsidR="00C337EB" w:rsidRPr="00BA1580">
              <w:rPr>
                <w:sz w:val="16"/>
                <w:szCs w:val="16"/>
              </w:rPr>
              <w:t xml:space="preserve">the deeming rates to </w:t>
            </w:r>
            <w:r w:rsidR="00B93D54" w:rsidRPr="00BA1580">
              <w:rPr>
                <w:sz w:val="16"/>
                <w:szCs w:val="16"/>
              </w:rPr>
              <w:t xml:space="preserve">levels where outcomes are comparable between those with income from financial investments and those with income from other sources. </w:t>
            </w:r>
          </w:p>
          <w:p w14:paraId="4EF557AF" w14:textId="40BA5D16" w:rsidR="00E43238" w:rsidRDefault="00E43238" w:rsidP="00EE7FD5">
            <w:pPr>
              <w:rPr>
                <w:b/>
                <w:bCs/>
                <w:sz w:val="16"/>
                <w:szCs w:val="16"/>
              </w:rPr>
            </w:pPr>
            <w:r w:rsidRPr="00FE23BE">
              <w:rPr>
                <w:b/>
                <w:bCs/>
                <w:sz w:val="16"/>
                <w:szCs w:val="16"/>
              </w:rPr>
              <w:t>Community confidence in the social security system (</w:t>
            </w:r>
            <w:r w:rsidR="004E4EA5">
              <w:rPr>
                <w:b/>
                <w:bCs/>
                <w:sz w:val="16"/>
                <w:szCs w:val="16"/>
              </w:rPr>
              <w:t>1</w:t>
            </w:r>
            <w:r>
              <w:rPr>
                <w:b/>
                <w:bCs/>
                <w:sz w:val="16"/>
                <w:szCs w:val="16"/>
              </w:rPr>
              <w:t>)</w:t>
            </w:r>
          </w:p>
          <w:p w14:paraId="1F51381B" w14:textId="6B7B4209" w:rsidR="00E43238" w:rsidRPr="009E5C9E" w:rsidRDefault="00B2212F" w:rsidP="00BC512F">
            <w:pPr>
              <w:rPr>
                <w:sz w:val="16"/>
                <w:szCs w:val="16"/>
              </w:rPr>
            </w:pPr>
            <w:r>
              <w:rPr>
                <w:sz w:val="16"/>
                <w:szCs w:val="16"/>
              </w:rPr>
              <w:lastRenderedPageBreak/>
              <w:t xml:space="preserve">The deeming rates would be set at a level that </w:t>
            </w:r>
            <w:r w:rsidR="00DC0A1D">
              <w:rPr>
                <w:sz w:val="16"/>
                <w:szCs w:val="16"/>
              </w:rPr>
              <w:t xml:space="preserve">aligns with the intent and objectives of </w:t>
            </w:r>
            <w:r w:rsidR="00041989">
              <w:rPr>
                <w:sz w:val="16"/>
                <w:szCs w:val="16"/>
              </w:rPr>
              <w:t xml:space="preserve">deeming rules and the social security means test. </w:t>
            </w:r>
          </w:p>
          <w:p w14:paraId="08163BF5" w14:textId="686927A4" w:rsidR="00BC512F" w:rsidRPr="00BA1580" w:rsidRDefault="00BC512F" w:rsidP="00BC512F">
            <w:pPr>
              <w:rPr>
                <w:b/>
                <w:bCs/>
                <w:sz w:val="16"/>
                <w:szCs w:val="16"/>
              </w:rPr>
            </w:pPr>
            <w:r w:rsidRPr="00BA1580">
              <w:rPr>
                <w:b/>
                <w:bCs/>
                <w:sz w:val="16"/>
                <w:szCs w:val="16"/>
              </w:rPr>
              <w:t>Predictability (</w:t>
            </w:r>
            <w:r w:rsidR="00714B89" w:rsidRPr="00BA1580">
              <w:rPr>
                <w:b/>
                <w:bCs/>
                <w:sz w:val="16"/>
                <w:szCs w:val="16"/>
              </w:rPr>
              <w:t>1</w:t>
            </w:r>
            <w:r w:rsidRPr="00BA1580">
              <w:rPr>
                <w:b/>
                <w:bCs/>
                <w:sz w:val="16"/>
                <w:szCs w:val="16"/>
              </w:rPr>
              <w:t>)</w:t>
            </w:r>
          </w:p>
          <w:p w14:paraId="5806CDCA" w14:textId="2522BF4F" w:rsidR="00BC512F" w:rsidRPr="00BA1580" w:rsidRDefault="00BC512F" w:rsidP="00BC512F">
            <w:pPr>
              <w:rPr>
                <w:sz w:val="16"/>
                <w:szCs w:val="16"/>
              </w:rPr>
            </w:pPr>
            <w:r w:rsidRPr="00BA1580">
              <w:rPr>
                <w:sz w:val="16"/>
                <w:szCs w:val="16"/>
              </w:rPr>
              <w:t>This option would give individuals certainty around when deeming rates will change and the framework to change them.</w:t>
            </w:r>
            <w:r w:rsidR="00714B89" w:rsidRPr="00BA1580">
              <w:rPr>
                <w:sz w:val="16"/>
                <w:szCs w:val="16"/>
              </w:rPr>
              <w:t xml:space="preserve"> While this group may not currently be impacted by deeming rates, it is possible that they may be impacted in the future, and this option provides them with some predictability about how the deeming rates may change.</w:t>
            </w:r>
          </w:p>
          <w:p w14:paraId="1811A988" w14:textId="4111EF6C" w:rsidR="00BC512F" w:rsidRPr="00BA1580" w:rsidRDefault="00BC512F" w:rsidP="00BC512F">
            <w:pPr>
              <w:rPr>
                <w:b/>
                <w:bCs/>
                <w:sz w:val="16"/>
                <w:szCs w:val="16"/>
              </w:rPr>
            </w:pPr>
            <w:r w:rsidRPr="00BA1580">
              <w:rPr>
                <w:b/>
                <w:bCs/>
                <w:sz w:val="16"/>
                <w:szCs w:val="16"/>
              </w:rPr>
              <w:t>Reasonable transition (</w:t>
            </w:r>
            <w:r w:rsidR="00714B89" w:rsidRPr="00BA1580">
              <w:rPr>
                <w:b/>
                <w:bCs/>
                <w:sz w:val="16"/>
                <w:szCs w:val="16"/>
              </w:rPr>
              <w:t>1</w:t>
            </w:r>
            <w:r w:rsidRPr="00BA1580">
              <w:rPr>
                <w:b/>
                <w:bCs/>
                <w:sz w:val="16"/>
                <w:szCs w:val="16"/>
              </w:rPr>
              <w:t>)</w:t>
            </w:r>
          </w:p>
          <w:p w14:paraId="6D810292" w14:textId="633958D3" w:rsidR="00B86AC9" w:rsidRPr="00BA1580" w:rsidRDefault="00BC512F">
            <w:pPr>
              <w:rPr>
                <w:sz w:val="16"/>
                <w:szCs w:val="16"/>
              </w:rPr>
            </w:pPr>
            <w:r w:rsidRPr="00BA1580">
              <w:rPr>
                <w:sz w:val="16"/>
                <w:szCs w:val="16"/>
              </w:rPr>
              <w:t xml:space="preserve">Incrementally increasing the deeming rates gives individuals the time to adjust to the changes. </w:t>
            </w:r>
            <w:r w:rsidR="00714B89" w:rsidRPr="00BA1580">
              <w:rPr>
                <w:sz w:val="16"/>
                <w:szCs w:val="16"/>
              </w:rPr>
              <w:t>If changes in deeming rates are going to newly impact some individuals in this group, the change will be incremental.</w:t>
            </w:r>
          </w:p>
          <w:p w14:paraId="094C81B2" w14:textId="681AE523" w:rsidR="00B86AC9" w:rsidRPr="00BA1580" w:rsidRDefault="00B86AC9">
            <w:pPr>
              <w:rPr>
                <w:b/>
                <w:bCs/>
                <w:sz w:val="16"/>
                <w:szCs w:val="16"/>
              </w:rPr>
            </w:pPr>
            <w:r w:rsidRPr="00BA1580">
              <w:rPr>
                <w:b/>
                <w:bCs/>
                <w:sz w:val="16"/>
                <w:szCs w:val="16"/>
              </w:rPr>
              <w:t>Overall (</w:t>
            </w:r>
            <w:r w:rsidR="000C5392">
              <w:rPr>
                <w:b/>
                <w:bCs/>
                <w:sz w:val="16"/>
                <w:szCs w:val="16"/>
              </w:rPr>
              <w:t>1</w:t>
            </w:r>
            <w:r w:rsidRPr="00BA1580">
              <w:rPr>
                <w:b/>
                <w:bCs/>
                <w:sz w:val="16"/>
                <w:szCs w:val="16"/>
              </w:rPr>
              <w:t>)</w:t>
            </w:r>
          </w:p>
          <w:p w14:paraId="57183772" w14:textId="77777777" w:rsidR="00B86AC9" w:rsidRPr="00BA1580" w:rsidRDefault="00B86AC9">
            <w:pPr>
              <w:rPr>
                <w:sz w:val="16"/>
                <w:szCs w:val="16"/>
              </w:rPr>
            </w:pPr>
          </w:p>
          <w:p w14:paraId="5713E994" w14:textId="77777777" w:rsidR="00B86AC9" w:rsidRPr="00BA1580" w:rsidRDefault="00B86AC9">
            <w:pPr>
              <w:rPr>
                <w:sz w:val="16"/>
                <w:szCs w:val="16"/>
              </w:rPr>
            </w:pPr>
          </w:p>
          <w:p w14:paraId="31F4B273" w14:textId="77777777" w:rsidR="00B86AC9" w:rsidRPr="00BA1580" w:rsidRDefault="00B86AC9">
            <w:pPr>
              <w:rPr>
                <w:b/>
                <w:bCs/>
                <w:sz w:val="16"/>
                <w:szCs w:val="16"/>
              </w:rPr>
            </w:pPr>
          </w:p>
        </w:tc>
      </w:tr>
      <w:tr w:rsidR="00BA1580" w:rsidRPr="00BA1580" w14:paraId="6698FEB7" w14:textId="77777777" w:rsidTr="00AE5870">
        <w:trPr>
          <w:trHeight w:val="1434"/>
        </w:trPr>
        <w:tc>
          <w:tcPr>
            <w:tcW w:w="522" w:type="pct"/>
          </w:tcPr>
          <w:p w14:paraId="1384DFDE" w14:textId="6AD566EC" w:rsidR="00B86AC9" w:rsidRPr="00BA1580" w:rsidRDefault="00B86AC9" w:rsidP="00063B8F">
            <w:pPr>
              <w:rPr>
                <w:b/>
                <w:bCs/>
                <w:sz w:val="16"/>
                <w:szCs w:val="16"/>
              </w:rPr>
            </w:pPr>
            <w:r w:rsidRPr="00BA1580">
              <w:rPr>
                <w:b/>
                <w:bCs/>
                <w:sz w:val="16"/>
                <w:szCs w:val="16"/>
              </w:rPr>
              <w:lastRenderedPageBreak/>
              <w:t>Broader public</w:t>
            </w:r>
          </w:p>
        </w:tc>
        <w:tc>
          <w:tcPr>
            <w:tcW w:w="194" w:type="pct"/>
            <w:tcBorders>
              <w:bottom w:val="single" w:sz="4" w:space="0" w:color="auto"/>
            </w:tcBorders>
            <w:shd w:val="clear" w:color="auto" w:fill="FFC000"/>
            <w:vAlign w:val="center"/>
          </w:tcPr>
          <w:p w14:paraId="6B8CF2E2" w14:textId="6E1E891E" w:rsidR="00B86AC9" w:rsidRPr="00BA1580" w:rsidRDefault="00B86AC9" w:rsidP="00063B8F">
            <w:pPr>
              <w:jc w:val="center"/>
              <w:rPr>
                <w:b/>
                <w:bCs/>
                <w:sz w:val="16"/>
                <w:szCs w:val="16"/>
              </w:rPr>
            </w:pPr>
            <w:r w:rsidRPr="00BA1580">
              <w:rPr>
                <w:b/>
                <w:bCs/>
                <w:sz w:val="16"/>
                <w:szCs w:val="16"/>
              </w:rPr>
              <w:t>-1</w:t>
            </w:r>
          </w:p>
        </w:tc>
        <w:tc>
          <w:tcPr>
            <w:tcW w:w="194" w:type="pct"/>
            <w:tcBorders>
              <w:bottom w:val="single" w:sz="4" w:space="0" w:color="auto"/>
            </w:tcBorders>
            <w:shd w:val="clear" w:color="auto" w:fill="92D050"/>
            <w:vAlign w:val="center"/>
          </w:tcPr>
          <w:p w14:paraId="194EB187" w14:textId="0C2036C8" w:rsidR="00B86AC9" w:rsidRPr="00BA1580" w:rsidRDefault="00B86AC9" w:rsidP="00063B8F">
            <w:pPr>
              <w:jc w:val="center"/>
              <w:rPr>
                <w:b/>
                <w:bCs/>
                <w:sz w:val="16"/>
                <w:szCs w:val="16"/>
              </w:rPr>
            </w:pPr>
            <w:r w:rsidRPr="00BA1580">
              <w:rPr>
                <w:b/>
                <w:bCs/>
                <w:sz w:val="16"/>
                <w:szCs w:val="16"/>
              </w:rPr>
              <w:t>1</w:t>
            </w:r>
          </w:p>
        </w:tc>
        <w:tc>
          <w:tcPr>
            <w:tcW w:w="2046" w:type="pct"/>
          </w:tcPr>
          <w:p w14:paraId="7B480E14" w14:textId="01F1BEAB" w:rsidR="00B86AC9" w:rsidRPr="00BA1580" w:rsidRDefault="00B86AC9" w:rsidP="00063B8F">
            <w:pPr>
              <w:rPr>
                <w:b/>
                <w:bCs/>
                <w:sz w:val="16"/>
                <w:szCs w:val="16"/>
              </w:rPr>
            </w:pPr>
            <w:r w:rsidRPr="00BA1580">
              <w:rPr>
                <w:b/>
                <w:bCs/>
                <w:sz w:val="16"/>
                <w:szCs w:val="16"/>
              </w:rPr>
              <w:t>Fairness and equity (-</w:t>
            </w:r>
            <w:r w:rsidR="00D633AC">
              <w:rPr>
                <w:b/>
                <w:bCs/>
                <w:sz w:val="16"/>
                <w:szCs w:val="16"/>
              </w:rPr>
              <w:t>1</w:t>
            </w:r>
            <w:r w:rsidRPr="00BA1580">
              <w:rPr>
                <w:b/>
                <w:bCs/>
                <w:sz w:val="16"/>
                <w:szCs w:val="16"/>
              </w:rPr>
              <w:t>)</w:t>
            </w:r>
          </w:p>
          <w:p w14:paraId="7AC4B112" w14:textId="2A7D56C8" w:rsidR="00BC512F" w:rsidRDefault="00BC512F" w:rsidP="00BC512F">
            <w:pPr>
              <w:rPr>
                <w:sz w:val="16"/>
                <w:szCs w:val="16"/>
              </w:rPr>
            </w:pPr>
            <w:r w:rsidRPr="00BA1580">
              <w:rPr>
                <w:sz w:val="16"/>
                <w:szCs w:val="16"/>
              </w:rPr>
              <w:t xml:space="preserve">By keeping deeming rates at their current levels, this option </w:t>
            </w:r>
            <w:r w:rsidR="00714B89" w:rsidRPr="00BA1580">
              <w:rPr>
                <w:sz w:val="16"/>
                <w:szCs w:val="16"/>
              </w:rPr>
              <w:t>t</w:t>
            </w:r>
            <w:r w:rsidR="00D633AC">
              <w:rPr>
                <w:sz w:val="16"/>
                <w:szCs w:val="16"/>
              </w:rPr>
              <w:t>r</w:t>
            </w:r>
            <w:r w:rsidR="00714B89" w:rsidRPr="00BA1580">
              <w:rPr>
                <w:sz w:val="16"/>
                <w:szCs w:val="16"/>
              </w:rPr>
              <w:t xml:space="preserve">eats income </w:t>
            </w:r>
            <w:r w:rsidRPr="00BA1580">
              <w:rPr>
                <w:sz w:val="16"/>
                <w:szCs w:val="16"/>
              </w:rPr>
              <w:t xml:space="preserve">from financial assets </w:t>
            </w:r>
            <w:r w:rsidR="00714B89" w:rsidRPr="00BA1580">
              <w:rPr>
                <w:sz w:val="16"/>
                <w:szCs w:val="16"/>
              </w:rPr>
              <w:t xml:space="preserve">concessionally compared to other forms of income. The broader public would see this as unfair and inequitable.  </w:t>
            </w:r>
          </w:p>
          <w:p w14:paraId="7883BC96" w14:textId="06A17F88" w:rsidR="00C61898" w:rsidRDefault="00C61898" w:rsidP="00C61898">
            <w:pPr>
              <w:rPr>
                <w:b/>
                <w:bCs/>
                <w:sz w:val="16"/>
                <w:szCs w:val="16"/>
              </w:rPr>
            </w:pPr>
            <w:r w:rsidRPr="00FE23BE">
              <w:rPr>
                <w:b/>
                <w:bCs/>
                <w:sz w:val="16"/>
                <w:szCs w:val="16"/>
              </w:rPr>
              <w:t>Community confidence in the social security system (-</w:t>
            </w:r>
            <w:r w:rsidR="009D37A3">
              <w:rPr>
                <w:b/>
                <w:bCs/>
                <w:sz w:val="16"/>
                <w:szCs w:val="16"/>
              </w:rPr>
              <w:t>1</w:t>
            </w:r>
            <w:r>
              <w:rPr>
                <w:b/>
                <w:bCs/>
                <w:sz w:val="16"/>
                <w:szCs w:val="16"/>
              </w:rPr>
              <w:t>)</w:t>
            </w:r>
          </w:p>
          <w:p w14:paraId="70E6ACBB" w14:textId="03225323" w:rsidR="00C61898" w:rsidRPr="00BA1580" w:rsidRDefault="00C61898" w:rsidP="00C61898">
            <w:pPr>
              <w:rPr>
                <w:sz w:val="16"/>
                <w:szCs w:val="16"/>
              </w:rPr>
            </w:pPr>
            <w:r>
              <w:rPr>
                <w:sz w:val="16"/>
                <w:szCs w:val="16"/>
              </w:rPr>
              <w:t xml:space="preserve">This stakeholder group may lose confidence </w:t>
            </w:r>
            <w:r w:rsidR="009D37A3">
              <w:rPr>
                <w:sz w:val="16"/>
                <w:szCs w:val="16"/>
              </w:rPr>
              <w:t>that the social security system is appropriately targeted to need</w:t>
            </w:r>
            <w:r w:rsidR="00A63A8A">
              <w:rPr>
                <w:sz w:val="16"/>
                <w:szCs w:val="16"/>
              </w:rPr>
              <w:t>.</w:t>
            </w:r>
            <w:r w:rsidR="00990124">
              <w:rPr>
                <w:sz w:val="16"/>
                <w:szCs w:val="16"/>
              </w:rPr>
              <w:t xml:space="preserve"> This option would be supported by advocacy groups who have called for the freeze to be extended until 2026.</w:t>
            </w:r>
          </w:p>
          <w:p w14:paraId="4972F67A" w14:textId="44CD9A15" w:rsidR="00714B89" w:rsidRPr="00BA1580" w:rsidRDefault="00714B89" w:rsidP="00714B89">
            <w:pPr>
              <w:rPr>
                <w:b/>
                <w:bCs/>
                <w:sz w:val="16"/>
                <w:szCs w:val="16"/>
              </w:rPr>
            </w:pPr>
            <w:r w:rsidRPr="00BA1580">
              <w:rPr>
                <w:b/>
                <w:bCs/>
                <w:sz w:val="16"/>
                <w:szCs w:val="16"/>
              </w:rPr>
              <w:t>Predictability (</w:t>
            </w:r>
            <w:r w:rsidR="00E22DE9" w:rsidRPr="00BA1580">
              <w:rPr>
                <w:b/>
                <w:bCs/>
                <w:sz w:val="16"/>
                <w:szCs w:val="16"/>
              </w:rPr>
              <w:t>-1</w:t>
            </w:r>
            <w:r w:rsidRPr="00BA1580">
              <w:rPr>
                <w:b/>
                <w:bCs/>
                <w:sz w:val="16"/>
                <w:szCs w:val="16"/>
              </w:rPr>
              <w:t>)</w:t>
            </w:r>
          </w:p>
          <w:p w14:paraId="5A6682C8" w14:textId="31B785AA" w:rsidR="00714B89" w:rsidRPr="00BA1580" w:rsidRDefault="00E22DE9" w:rsidP="00714B89">
            <w:pPr>
              <w:rPr>
                <w:sz w:val="16"/>
                <w:szCs w:val="16"/>
              </w:rPr>
            </w:pPr>
            <w:r w:rsidRPr="00BA1580">
              <w:rPr>
                <w:sz w:val="16"/>
                <w:szCs w:val="16"/>
              </w:rPr>
              <w:t>This option does not impact individuals not receiving an income support payment, but they may do so in the future and t</w:t>
            </w:r>
            <w:r w:rsidR="00714B89" w:rsidRPr="00BA1580">
              <w:rPr>
                <w:sz w:val="16"/>
                <w:szCs w:val="16"/>
              </w:rPr>
              <w:t xml:space="preserve">his option does not provide any certainty about when the deeming rates might change or provide a framework that can give the broader public confidence in the system. </w:t>
            </w:r>
          </w:p>
          <w:p w14:paraId="5F62D9C7" w14:textId="3B1C6547" w:rsidR="00B86AC9" w:rsidRPr="00BA1580" w:rsidRDefault="00B86AC9" w:rsidP="00063B8F">
            <w:pPr>
              <w:rPr>
                <w:b/>
                <w:bCs/>
                <w:sz w:val="16"/>
                <w:szCs w:val="16"/>
              </w:rPr>
            </w:pPr>
            <w:r w:rsidRPr="00BA1580">
              <w:rPr>
                <w:b/>
                <w:bCs/>
                <w:sz w:val="16"/>
                <w:szCs w:val="16"/>
              </w:rPr>
              <w:t>Reasonable transition (0)</w:t>
            </w:r>
          </w:p>
          <w:p w14:paraId="6E49A339" w14:textId="7ECE27B0" w:rsidR="00B86AC9" w:rsidRPr="00BA1580" w:rsidRDefault="00714B89" w:rsidP="00063B8F">
            <w:pPr>
              <w:rPr>
                <w:sz w:val="16"/>
                <w:szCs w:val="16"/>
              </w:rPr>
            </w:pPr>
            <w:r w:rsidRPr="00BA1580">
              <w:rPr>
                <w:sz w:val="16"/>
                <w:szCs w:val="16"/>
              </w:rPr>
              <w:t xml:space="preserve">There is no transition for this option. </w:t>
            </w:r>
          </w:p>
          <w:p w14:paraId="7AFD5165" w14:textId="6C3A034B" w:rsidR="00B86AC9" w:rsidRPr="00BA1580" w:rsidRDefault="00B86AC9" w:rsidP="00063B8F">
            <w:pPr>
              <w:rPr>
                <w:b/>
                <w:bCs/>
                <w:sz w:val="16"/>
                <w:szCs w:val="16"/>
              </w:rPr>
            </w:pPr>
            <w:r w:rsidRPr="00BA1580">
              <w:rPr>
                <w:b/>
                <w:bCs/>
                <w:sz w:val="16"/>
                <w:szCs w:val="16"/>
              </w:rPr>
              <w:t>Overall (-1)</w:t>
            </w:r>
          </w:p>
        </w:tc>
        <w:tc>
          <w:tcPr>
            <w:tcW w:w="2045" w:type="pct"/>
          </w:tcPr>
          <w:p w14:paraId="4E2ABD65" w14:textId="06924966" w:rsidR="00B86AC9" w:rsidRPr="00BA1580" w:rsidRDefault="00B86AC9" w:rsidP="00063B8F">
            <w:pPr>
              <w:rPr>
                <w:b/>
                <w:bCs/>
                <w:sz w:val="16"/>
                <w:szCs w:val="16"/>
              </w:rPr>
            </w:pPr>
            <w:r w:rsidRPr="00BA1580">
              <w:rPr>
                <w:b/>
                <w:bCs/>
                <w:sz w:val="16"/>
                <w:szCs w:val="16"/>
              </w:rPr>
              <w:t>Fairness and equity (</w:t>
            </w:r>
            <w:r w:rsidR="00D633AC">
              <w:rPr>
                <w:b/>
                <w:bCs/>
                <w:sz w:val="16"/>
                <w:szCs w:val="16"/>
              </w:rPr>
              <w:t>1</w:t>
            </w:r>
            <w:r w:rsidRPr="00BA1580">
              <w:rPr>
                <w:b/>
                <w:bCs/>
                <w:sz w:val="16"/>
                <w:szCs w:val="16"/>
              </w:rPr>
              <w:t>)</w:t>
            </w:r>
          </w:p>
          <w:p w14:paraId="0A66B41E" w14:textId="0F4F198A" w:rsidR="00B86AC9" w:rsidRPr="00BA1580" w:rsidRDefault="00C337EB" w:rsidP="00063B8F">
            <w:pPr>
              <w:rPr>
                <w:sz w:val="16"/>
                <w:szCs w:val="16"/>
              </w:rPr>
            </w:pPr>
            <w:r w:rsidRPr="00BA1580">
              <w:rPr>
                <w:sz w:val="16"/>
                <w:szCs w:val="16"/>
              </w:rPr>
              <w:t xml:space="preserve">This option would improve fairness within the social security system by ensuring that those with similar means would receive a similar level of support.  </w:t>
            </w:r>
          </w:p>
          <w:p w14:paraId="00421272" w14:textId="4FA30856" w:rsidR="003C076E" w:rsidRDefault="003C076E" w:rsidP="003C076E">
            <w:pPr>
              <w:rPr>
                <w:b/>
                <w:bCs/>
                <w:sz w:val="16"/>
                <w:szCs w:val="16"/>
              </w:rPr>
            </w:pPr>
            <w:r w:rsidRPr="00FE23BE">
              <w:rPr>
                <w:b/>
                <w:bCs/>
                <w:sz w:val="16"/>
                <w:szCs w:val="16"/>
              </w:rPr>
              <w:t>Community confidence in the social security system (</w:t>
            </w:r>
            <w:r w:rsidR="00D633AC">
              <w:rPr>
                <w:b/>
                <w:bCs/>
                <w:sz w:val="16"/>
                <w:szCs w:val="16"/>
              </w:rPr>
              <w:t>1</w:t>
            </w:r>
            <w:r w:rsidR="002F0D37">
              <w:rPr>
                <w:b/>
                <w:bCs/>
                <w:sz w:val="16"/>
                <w:szCs w:val="16"/>
              </w:rPr>
              <w:t>)</w:t>
            </w:r>
          </w:p>
          <w:p w14:paraId="50EFE4ED" w14:textId="5C80BE98" w:rsidR="003C076E" w:rsidRPr="009E5C9E" w:rsidRDefault="003C076E" w:rsidP="00063B8F">
            <w:pPr>
              <w:rPr>
                <w:sz w:val="16"/>
                <w:szCs w:val="16"/>
              </w:rPr>
            </w:pPr>
            <w:r>
              <w:rPr>
                <w:sz w:val="16"/>
                <w:szCs w:val="16"/>
              </w:rPr>
              <w:t xml:space="preserve">This stakeholder group </w:t>
            </w:r>
            <w:r w:rsidR="005421BD">
              <w:rPr>
                <w:sz w:val="16"/>
                <w:szCs w:val="16"/>
              </w:rPr>
              <w:t xml:space="preserve">may see this option as effective targeting </w:t>
            </w:r>
            <w:r w:rsidR="002F0D37">
              <w:rPr>
                <w:sz w:val="16"/>
                <w:szCs w:val="16"/>
              </w:rPr>
              <w:t>of the social security system following t</w:t>
            </w:r>
            <w:r w:rsidR="006D2F41">
              <w:rPr>
                <w:sz w:val="16"/>
                <w:szCs w:val="16"/>
              </w:rPr>
              <w:t>he three</w:t>
            </w:r>
            <w:r w:rsidR="006D2F41">
              <w:rPr>
                <w:sz w:val="16"/>
                <w:szCs w:val="16"/>
              </w:rPr>
              <w:noBreakHyphen/>
              <w:t>year freeze of the deeming rates.</w:t>
            </w:r>
            <w:r w:rsidR="00C03466">
              <w:rPr>
                <w:sz w:val="16"/>
                <w:szCs w:val="16"/>
              </w:rPr>
              <w:t xml:space="preserve"> This option responds to the suggestions and concerns </w:t>
            </w:r>
            <w:proofErr w:type="gramStart"/>
            <w:r w:rsidR="00C03466">
              <w:rPr>
                <w:sz w:val="16"/>
                <w:szCs w:val="16"/>
              </w:rPr>
              <w:t>seniors</w:t>
            </w:r>
            <w:proofErr w:type="gramEnd"/>
            <w:r w:rsidR="00C03466">
              <w:rPr>
                <w:sz w:val="16"/>
                <w:szCs w:val="16"/>
              </w:rPr>
              <w:t xml:space="preserve"> advocacy groups.</w:t>
            </w:r>
          </w:p>
          <w:p w14:paraId="2118A237" w14:textId="7B12AD71" w:rsidR="00B86AC9" w:rsidRPr="00BA1580" w:rsidRDefault="00B86AC9" w:rsidP="00063B8F">
            <w:pPr>
              <w:rPr>
                <w:b/>
                <w:bCs/>
                <w:sz w:val="16"/>
                <w:szCs w:val="16"/>
              </w:rPr>
            </w:pPr>
            <w:r w:rsidRPr="00BA1580">
              <w:rPr>
                <w:b/>
                <w:bCs/>
                <w:sz w:val="16"/>
                <w:szCs w:val="16"/>
              </w:rPr>
              <w:t>Predictability (1)</w:t>
            </w:r>
          </w:p>
          <w:p w14:paraId="4913DE1D" w14:textId="45E6FEE1" w:rsidR="00B86AC9" w:rsidRPr="00BA1580" w:rsidRDefault="00C337EB" w:rsidP="00063B8F">
            <w:pPr>
              <w:rPr>
                <w:sz w:val="16"/>
                <w:szCs w:val="16"/>
              </w:rPr>
            </w:pPr>
            <w:r w:rsidRPr="00BA1580">
              <w:rPr>
                <w:sz w:val="16"/>
                <w:szCs w:val="16"/>
              </w:rPr>
              <w:t xml:space="preserve">This option does not impact individuals not receiving an income support payment, but they may do so in the future and this option provides certainty about when and how the rates might change.  This will promote broader public confidence in the system. </w:t>
            </w:r>
          </w:p>
          <w:p w14:paraId="1A3CD8FA" w14:textId="77777777" w:rsidR="00B86AC9" w:rsidRPr="00BA1580" w:rsidRDefault="00B86AC9" w:rsidP="00063B8F">
            <w:pPr>
              <w:rPr>
                <w:b/>
                <w:bCs/>
                <w:sz w:val="16"/>
                <w:szCs w:val="16"/>
              </w:rPr>
            </w:pPr>
            <w:r w:rsidRPr="00BA1580">
              <w:rPr>
                <w:b/>
                <w:bCs/>
                <w:sz w:val="16"/>
                <w:szCs w:val="16"/>
              </w:rPr>
              <w:t>Reasonable transition (1)</w:t>
            </w:r>
          </w:p>
          <w:p w14:paraId="4A99DD8B" w14:textId="237103B1" w:rsidR="00BA1580" w:rsidRPr="00BA1580" w:rsidRDefault="00C337EB" w:rsidP="00063B8F">
            <w:pPr>
              <w:rPr>
                <w:sz w:val="16"/>
                <w:szCs w:val="16"/>
              </w:rPr>
            </w:pPr>
            <w:r w:rsidRPr="00BA1580">
              <w:rPr>
                <w:sz w:val="16"/>
                <w:szCs w:val="16"/>
              </w:rPr>
              <w:t xml:space="preserve">Incrementally increasing the deeming rates gives individuals the time to adjust to the changes. </w:t>
            </w:r>
          </w:p>
          <w:p w14:paraId="63288939" w14:textId="13CDFAED" w:rsidR="00B86AC9" w:rsidRPr="00BA1580" w:rsidRDefault="00B86AC9" w:rsidP="00063B8F">
            <w:pPr>
              <w:rPr>
                <w:b/>
                <w:bCs/>
                <w:sz w:val="16"/>
                <w:szCs w:val="16"/>
              </w:rPr>
            </w:pPr>
            <w:r w:rsidRPr="00BA1580">
              <w:rPr>
                <w:b/>
                <w:bCs/>
                <w:sz w:val="16"/>
                <w:szCs w:val="16"/>
              </w:rPr>
              <w:t>Overall (1)</w:t>
            </w:r>
          </w:p>
        </w:tc>
      </w:tr>
      <w:tr w:rsidR="00BA1580" w:rsidRPr="00BA1580" w14:paraId="592AAB06" w14:textId="77777777" w:rsidTr="00AE5870">
        <w:trPr>
          <w:trHeight w:val="409"/>
        </w:trPr>
        <w:tc>
          <w:tcPr>
            <w:tcW w:w="522" w:type="pct"/>
          </w:tcPr>
          <w:p w14:paraId="3E08FE04" w14:textId="3021B53C" w:rsidR="005006E4" w:rsidRPr="00BA1580" w:rsidRDefault="005006E4" w:rsidP="005006E4">
            <w:pPr>
              <w:rPr>
                <w:b/>
                <w:bCs/>
                <w:sz w:val="16"/>
                <w:szCs w:val="16"/>
              </w:rPr>
            </w:pPr>
            <w:r w:rsidRPr="00BA1580">
              <w:rPr>
                <w:b/>
                <w:bCs/>
                <w:sz w:val="16"/>
                <w:szCs w:val="16"/>
              </w:rPr>
              <w:t>Total</w:t>
            </w:r>
          </w:p>
        </w:tc>
        <w:tc>
          <w:tcPr>
            <w:tcW w:w="194" w:type="pct"/>
            <w:shd w:val="clear" w:color="auto" w:fill="FFC000"/>
            <w:vAlign w:val="center"/>
          </w:tcPr>
          <w:p w14:paraId="7A05A668" w14:textId="2BC4200F" w:rsidR="005006E4" w:rsidRPr="00BA1580" w:rsidRDefault="005006E4" w:rsidP="005006E4">
            <w:pPr>
              <w:jc w:val="center"/>
              <w:rPr>
                <w:b/>
                <w:bCs/>
                <w:sz w:val="16"/>
                <w:szCs w:val="16"/>
              </w:rPr>
            </w:pPr>
            <w:r w:rsidRPr="00BA1580">
              <w:rPr>
                <w:b/>
                <w:bCs/>
                <w:sz w:val="16"/>
                <w:szCs w:val="16"/>
              </w:rPr>
              <w:t>-1</w:t>
            </w:r>
          </w:p>
        </w:tc>
        <w:tc>
          <w:tcPr>
            <w:tcW w:w="194" w:type="pct"/>
            <w:shd w:val="clear" w:color="auto" w:fill="92D050"/>
            <w:vAlign w:val="center"/>
          </w:tcPr>
          <w:p w14:paraId="45CDE482" w14:textId="30FEF612" w:rsidR="005006E4" w:rsidRPr="00BA1580" w:rsidRDefault="005006E4" w:rsidP="005006E4">
            <w:pPr>
              <w:jc w:val="center"/>
              <w:rPr>
                <w:b/>
                <w:bCs/>
                <w:sz w:val="16"/>
                <w:szCs w:val="16"/>
              </w:rPr>
            </w:pPr>
            <w:r w:rsidRPr="00BA1580">
              <w:rPr>
                <w:b/>
                <w:bCs/>
                <w:sz w:val="16"/>
                <w:szCs w:val="16"/>
              </w:rPr>
              <w:t>1</w:t>
            </w:r>
          </w:p>
        </w:tc>
        <w:tc>
          <w:tcPr>
            <w:tcW w:w="2046" w:type="pct"/>
          </w:tcPr>
          <w:p w14:paraId="06C42B78" w14:textId="6AC42393" w:rsidR="005006E4" w:rsidRPr="00BA1580" w:rsidRDefault="005006E4" w:rsidP="005006E4">
            <w:pPr>
              <w:rPr>
                <w:b/>
                <w:bCs/>
                <w:sz w:val="16"/>
                <w:szCs w:val="16"/>
              </w:rPr>
            </w:pPr>
          </w:p>
        </w:tc>
        <w:tc>
          <w:tcPr>
            <w:tcW w:w="2045" w:type="pct"/>
          </w:tcPr>
          <w:p w14:paraId="2EC43EB6" w14:textId="77777777" w:rsidR="005006E4" w:rsidRPr="00BA1580" w:rsidRDefault="005006E4" w:rsidP="005006E4">
            <w:pPr>
              <w:rPr>
                <w:b/>
                <w:bCs/>
                <w:sz w:val="16"/>
                <w:szCs w:val="16"/>
              </w:rPr>
            </w:pPr>
          </w:p>
        </w:tc>
      </w:tr>
    </w:tbl>
    <w:p w14:paraId="2B2CDAC0" w14:textId="77777777" w:rsidR="00395C1E" w:rsidRDefault="00395C1E" w:rsidP="008E4CFB">
      <w:pPr>
        <w:sectPr w:rsidR="00395C1E" w:rsidSect="009E5C9E">
          <w:headerReference w:type="even" r:id="rId7"/>
          <w:headerReference w:type="default" r:id="rId8"/>
          <w:footerReference w:type="even" r:id="rId9"/>
          <w:footerReference w:type="default" r:id="rId10"/>
          <w:headerReference w:type="first" r:id="rId11"/>
          <w:footerReference w:type="first" r:id="rId12"/>
          <w:pgSz w:w="11906" w:h="16838" w:code="9"/>
          <w:pgMar w:top="709" w:right="709" w:bottom="709" w:left="709" w:header="992" w:footer="709" w:gutter="0"/>
          <w:pgNumType w:start="1"/>
          <w:cols w:space="708"/>
          <w:titlePg/>
          <w:docGrid w:linePitch="360"/>
        </w:sectPr>
      </w:pPr>
    </w:p>
    <w:p w14:paraId="0CC962CC" w14:textId="77777777" w:rsidR="008D6BE5" w:rsidRDefault="008D6BE5" w:rsidP="009E5C9E">
      <w:pPr>
        <w:pStyle w:val="Heading1"/>
        <w:numPr>
          <w:ilvl w:val="0"/>
          <w:numId w:val="13"/>
        </w:numPr>
      </w:pPr>
      <w:r>
        <w:lastRenderedPageBreak/>
        <w:t>How will you evaluate your chosen option against the success metrics?</w:t>
      </w:r>
    </w:p>
    <w:p w14:paraId="38289FB1" w14:textId="1D4E0449" w:rsidR="00834975" w:rsidRDefault="009E2758" w:rsidP="009E2758">
      <w:pPr>
        <w:spacing w:after="200" w:line="288" w:lineRule="auto"/>
      </w:pPr>
      <w:r>
        <w:t xml:space="preserve">Once the deeming rates are </w:t>
      </w:r>
      <w:r w:rsidR="00834975">
        <w:t>adjust</w:t>
      </w:r>
      <w:r w:rsidR="00187051">
        <w:t>ed</w:t>
      </w:r>
      <w:r w:rsidR="00834975">
        <w:t xml:space="preserve"> via ministerial determination</w:t>
      </w:r>
      <w:r>
        <w:t xml:space="preserve">, they will remain at </w:t>
      </w:r>
      <w:r w:rsidR="00834975">
        <w:t>the resulting levels</w:t>
      </w:r>
      <w:r>
        <w:t xml:space="preserve"> until another ministerial determination is made. </w:t>
      </w:r>
    </w:p>
    <w:p w14:paraId="25F81A3A" w14:textId="151D74A7" w:rsidR="007C48E5" w:rsidRDefault="009E2758" w:rsidP="009E2758">
      <w:pPr>
        <w:spacing w:after="200" w:line="288" w:lineRule="auto"/>
      </w:pPr>
      <w:r>
        <w:t xml:space="preserve">To ensure the deeming rates </w:t>
      </w:r>
      <w:r w:rsidR="00834975">
        <w:t xml:space="preserve">continue to </w:t>
      </w:r>
      <w:r w:rsidR="008371CB">
        <w:t>reflect the relevant investment returns</w:t>
      </w:r>
      <w:r>
        <w:t xml:space="preserve">, </w:t>
      </w:r>
      <w:r w:rsidR="008371CB">
        <w:t>they</w:t>
      </w:r>
      <w:r>
        <w:t xml:space="preserve"> would be reviewed </w:t>
      </w:r>
      <w:r w:rsidR="007C48E5">
        <w:t>twice a year in the lead up to each 20 March and 20 September indexation day</w:t>
      </w:r>
      <w:r w:rsidR="00900D5B">
        <w:t xml:space="preserve">. </w:t>
      </w:r>
      <w:r w:rsidR="00EC6978">
        <w:t xml:space="preserve">Advice would be provided to the Minister for Social Services, taking into account: </w:t>
      </w:r>
    </w:p>
    <w:p w14:paraId="0365F002" w14:textId="1739DF15" w:rsidR="00EC6978" w:rsidRPr="00A628B4" w:rsidRDefault="00EC6978" w:rsidP="00EC6978">
      <w:pPr>
        <w:pStyle w:val="ListParagraph"/>
        <w:numPr>
          <w:ilvl w:val="0"/>
          <w:numId w:val="36"/>
        </w:numPr>
        <w:spacing w:after="200" w:line="288" w:lineRule="auto"/>
        <w:ind w:hanging="357"/>
        <w:contextualSpacing w:val="0"/>
      </w:pPr>
      <w:r>
        <w:t>The</w:t>
      </w:r>
      <w:r w:rsidRPr="00A628B4">
        <w:t xml:space="preserve"> investment returns reasonably </w:t>
      </w:r>
      <w:r>
        <w:t>available to</w:t>
      </w:r>
      <w:r w:rsidRPr="00A628B4">
        <w:t xml:space="preserve"> pensioners and other income support recipients</w:t>
      </w:r>
      <w:r>
        <w:t xml:space="preserve"> at the time; </w:t>
      </w:r>
    </w:p>
    <w:p w14:paraId="5BF63E47" w14:textId="10E6615A" w:rsidR="00EC6978" w:rsidRPr="00A628B4" w:rsidRDefault="00EC6978" w:rsidP="00EC6978">
      <w:pPr>
        <w:pStyle w:val="ListParagraph"/>
        <w:numPr>
          <w:ilvl w:val="0"/>
          <w:numId w:val="36"/>
        </w:numPr>
        <w:spacing w:after="200" w:line="288" w:lineRule="auto"/>
        <w:ind w:hanging="357"/>
        <w:contextualSpacing w:val="0"/>
      </w:pPr>
      <w:r w:rsidRPr="00A628B4">
        <w:t>Services Australia administrative data</w:t>
      </w:r>
      <w:r w:rsidR="00CD4E57">
        <w:t xml:space="preserve">, </w:t>
      </w:r>
      <w:r w:rsidR="00BB3AC7">
        <w:t xml:space="preserve">such </w:t>
      </w:r>
      <w:r>
        <w:t>as</w:t>
      </w:r>
      <w:r w:rsidRPr="00A628B4">
        <w:t>:</w:t>
      </w:r>
    </w:p>
    <w:p w14:paraId="10C017A4" w14:textId="67794981" w:rsidR="00EC6978" w:rsidRPr="00A628B4" w:rsidRDefault="00CD4E57" w:rsidP="00EC6978">
      <w:pPr>
        <w:pStyle w:val="ListParagraph"/>
        <w:numPr>
          <w:ilvl w:val="1"/>
          <w:numId w:val="36"/>
        </w:numPr>
        <w:spacing w:after="200" w:line="288" w:lineRule="auto"/>
        <w:ind w:hanging="357"/>
        <w:contextualSpacing w:val="0"/>
      </w:pPr>
      <w:r>
        <w:t>The</w:t>
      </w:r>
      <w:r w:rsidR="00EC6978" w:rsidRPr="00A628B4">
        <w:t xml:space="preserve"> </w:t>
      </w:r>
      <w:r w:rsidR="00BB3AC7">
        <w:t xml:space="preserve">number of </w:t>
      </w:r>
      <w:r w:rsidR="00EC6978" w:rsidRPr="00A628B4">
        <w:t>recipients affected by deemed income</w:t>
      </w:r>
      <w:r w:rsidR="00BB3AC7">
        <w:t xml:space="preserve">, their payment types and other </w:t>
      </w:r>
      <w:r w:rsidR="00EC6978">
        <w:t>circumstance</w:t>
      </w:r>
      <w:r w:rsidR="007F6BD7">
        <w:t>s</w:t>
      </w:r>
      <w:r w:rsidR="00BB3AC7">
        <w:t xml:space="preserve">; and </w:t>
      </w:r>
    </w:p>
    <w:p w14:paraId="3457ACFF" w14:textId="45FCAC5D" w:rsidR="00EC6978" w:rsidRPr="00A628B4" w:rsidRDefault="00BB3AC7" w:rsidP="00EC6978">
      <w:pPr>
        <w:pStyle w:val="ListParagraph"/>
        <w:numPr>
          <w:ilvl w:val="1"/>
          <w:numId w:val="36"/>
        </w:numPr>
        <w:spacing w:after="200" w:line="288" w:lineRule="auto"/>
        <w:ind w:hanging="357"/>
        <w:contextualSpacing w:val="0"/>
      </w:pPr>
      <w:r>
        <w:t>The broad types of financial assets held by these recipients</w:t>
      </w:r>
      <w:r w:rsidR="00AF01FC">
        <w:t>;</w:t>
      </w:r>
    </w:p>
    <w:p w14:paraId="229471E1" w14:textId="20C8F27B" w:rsidR="00EC6978" w:rsidRPr="000B2765" w:rsidRDefault="00AF01FC" w:rsidP="00EC6978">
      <w:pPr>
        <w:pStyle w:val="ListParagraph"/>
        <w:numPr>
          <w:ilvl w:val="0"/>
          <w:numId w:val="36"/>
        </w:numPr>
        <w:spacing w:after="200" w:line="288" w:lineRule="auto"/>
        <w:ind w:hanging="357"/>
        <w:contextualSpacing w:val="0"/>
      </w:pPr>
      <w:r>
        <w:t>Broader financial and economic data</w:t>
      </w:r>
      <w:r w:rsidR="00EC6978">
        <w:t>,</w:t>
      </w:r>
      <w:r w:rsidR="00EC6978" w:rsidRPr="00890C83">
        <w:t xml:space="preserve"> </w:t>
      </w:r>
      <w:r>
        <w:t>which may include</w:t>
      </w:r>
      <w:r w:rsidR="00EC6978" w:rsidRPr="00890C83">
        <w:t xml:space="preserve"> inflation</w:t>
      </w:r>
      <w:r w:rsidR="00EC6978">
        <w:t xml:space="preserve"> indicators (CPI, </w:t>
      </w:r>
      <w:r w:rsidR="00786D65">
        <w:t>PBLCI</w:t>
      </w:r>
      <w:r w:rsidR="00EC6978">
        <w:t xml:space="preserve"> etc)</w:t>
      </w:r>
      <w:r w:rsidR="00EC6978" w:rsidRPr="00890C83">
        <w:t xml:space="preserve"> </w:t>
      </w:r>
      <w:r w:rsidR="00EC6978">
        <w:t>and</w:t>
      </w:r>
      <w:r w:rsidR="00EC6978" w:rsidRPr="00890C83">
        <w:t xml:space="preserve"> the RBA cash rate</w:t>
      </w:r>
      <w:r w:rsidR="00EC6978">
        <w:t>.</w:t>
      </w:r>
    </w:p>
    <w:p w14:paraId="7739DB82" w14:textId="4596C6AE" w:rsidR="00BC47DF" w:rsidRDefault="00386FF1" w:rsidP="00BC47DF">
      <w:pPr>
        <w:spacing w:after="200" w:line="288" w:lineRule="auto"/>
      </w:pPr>
      <w:r>
        <w:t xml:space="preserve">Under a related proposal, </w:t>
      </w:r>
      <w:r w:rsidR="00AF01FC">
        <w:t xml:space="preserve">the </w:t>
      </w:r>
      <w:r>
        <w:t>twice-yearly</w:t>
      </w:r>
      <w:r w:rsidR="009E2758">
        <w:t xml:space="preserve"> review</w:t>
      </w:r>
      <w:r w:rsidR="00AF01FC">
        <w:t xml:space="preserve"> of the deeming rates </w:t>
      </w:r>
      <w:r w:rsidR="009E2758">
        <w:t xml:space="preserve">would be undertaken by the </w:t>
      </w:r>
      <w:r w:rsidR="009E2758" w:rsidRPr="00D45198">
        <w:t>Australian Government Actuary</w:t>
      </w:r>
      <w:r>
        <w:t xml:space="preserve"> (AGA). The AGA would</w:t>
      </w:r>
      <w:r w:rsidR="00AF01FC">
        <w:t xml:space="preserve"> </w:t>
      </w:r>
      <w:r w:rsidR="00BC47DF" w:rsidRPr="00BC47DF">
        <w:t xml:space="preserve">advise Government on the most appropriate </w:t>
      </w:r>
      <w:r w:rsidR="00AF01FC">
        <w:t xml:space="preserve">levels for the deeming </w:t>
      </w:r>
      <w:r w:rsidR="00BC47DF" w:rsidRPr="00BC47DF">
        <w:t>rate</w:t>
      </w:r>
      <w:r w:rsidR="00BC47DF">
        <w:t>s</w:t>
      </w:r>
      <w:r w:rsidR="00BC47DF" w:rsidRPr="00BC47DF">
        <w:t xml:space="preserve">, guided by the returns that pensioners and other payment recipients can reasonably access on their investments. The </w:t>
      </w:r>
      <w:r w:rsidR="005A1280">
        <w:t>Minister for Social Services would</w:t>
      </w:r>
      <w:r w:rsidR="00BC47DF" w:rsidRPr="00BC47DF">
        <w:t xml:space="preserve"> retain </w:t>
      </w:r>
      <w:r w:rsidR="006C7F04">
        <w:t xml:space="preserve">responsibility for setting the rates under the Act.  </w:t>
      </w:r>
    </w:p>
    <w:p w14:paraId="4399F093" w14:textId="77777777" w:rsidR="00124567" w:rsidRDefault="00124567" w:rsidP="00E455C1"/>
    <w:p w14:paraId="461F87BF" w14:textId="77777777" w:rsidR="007550AB" w:rsidRPr="007550AB" w:rsidRDefault="007550AB" w:rsidP="007550AB"/>
    <w:sectPr w:rsidR="007550AB" w:rsidRPr="007550AB" w:rsidSect="00D83264">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D6073" w14:textId="77777777" w:rsidR="002131D6" w:rsidRDefault="002131D6" w:rsidP="00F957C6">
      <w:pPr>
        <w:spacing w:after="0" w:line="240" w:lineRule="auto"/>
      </w:pPr>
      <w:r>
        <w:separator/>
      </w:r>
    </w:p>
  </w:endnote>
  <w:endnote w:type="continuationSeparator" w:id="0">
    <w:p w14:paraId="263FC18E" w14:textId="77777777" w:rsidR="002131D6" w:rsidRDefault="002131D6"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rdo">
    <w:altName w:val="Times New Roman"/>
    <w:charset w:val="00"/>
    <w:family w:val="roman"/>
    <w:pitch w:val="variable"/>
    <w:sig w:usb0="E40008FF" w:usb1="5201E0FB" w:usb2="04608000" w:usb3="00000000" w:csb0="000000BB"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7C156" w14:textId="77777777" w:rsidR="00CA1A91" w:rsidRDefault="00CA1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557B7" w14:textId="77777777" w:rsidR="00D10635" w:rsidRPr="00F86700" w:rsidRDefault="00D10635" w:rsidP="00F86700">
    <w:pPr>
      <w:pStyle w:val="CLASSIFICATION"/>
    </w:pPr>
  </w:p>
  <w:p w14:paraId="3FE30A75" w14:textId="31D2D0BD" w:rsidR="00037513" w:rsidRPr="00852F35" w:rsidRDefault="00037513" w:rsidP="00D10635">
    <w:pPr>
      <w:pStyle w:val="Header"/>
      <w:rPr>
        <w:rFonts w:ascii="Segoe UI" w:hAnsi="Segoe UI" w:cs="Segoe UI"/>
        <w:color w:val="6E6E6E"/>
        <w:sz w:val="18"/>
      </w:rPr>
    </w:pPr>
    <w:r w:rsidRPr="00852F35">
      <w:rPr>
        <w:color w:val="6E6E6E"/>
        <w:sz w:val="18"/>
        <w:szCs w:val="18"/>
      </w:rPr>
      <w:t>PM&amp;C |</w:t>
    </w:r>
    <w:r w:rsidR="00376FE6" w:rsidRPr="00852F35">
      <w:rPr>
        <w:color w:val="6E6E6E"/>
        <w:sz w:val="18"/>
        <w:szCs w:val="18"/>
      </w:rPr>
      <w:t xml:space="preserve"> </w:t>
    </w:r>
    <w:r w:rsidR="00E455C1">
      <w:rPr>
        <w:color w:val="6E6E6E"/>
        <w:sz w:val="18"/>
        <w:szCs w:val="18"/>
      </w:rPr>
      <w:t xml:space="preserve">The Department of Social Services | Resetting the Social Security Deeming Rates </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762762">
      <w:rPr>
        <w:rFonts w:ascii="Segoe UI" w:hAnsi="Segoe UI" w:cs="Segoe UI"/>
        <w:noProof/>
        <w:color w:val="6E6E6E"/>
        <w:sz w:val="18"/>
      </w:rPr>
      <w:t>2</w:t>
    </w:r>
    <w:r w:rsidRPr="00852F35">
      <w:rPr>
        <w:rFonts w:ascii="Segoe UI" w:hAnsi="Segoe UI" w:cs="Segoe UI"/>
        <w:noProof/>
        <w:color w:val="6E6E6E"/>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42E96" w14:textId="77777777" w:rsidR="00CA1A91" w:rsidRDefault="00CA1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CFB57" w14:textId="77777777" w:rsidR="002131D6" w:rsidRDefault="002131D6" w:rsidP="00F957C6">
      <w:pPr>
        <w:spacing w:after="0" w:line="240" w:lineRule="auto"/>
      </w:pPr>
      <w:r>
        <w:separator/>
      </w:r>
    </w:p>
  </w:footnote>
  <w:footnote w:type="continuationSeparator" w:id="0">
    <w:p w14:paraId="50939E9C" w14:textId="77777777" w:rsidR="002131D6" w:rsidRDefault="002131D6" w:rsidP="00F957C6">
      <w:pPr>
        <w:spacing w:after="0" w:line="240" w:lineRule="auto"/>
      </w:pPr>
      <w:r>
        <w:continuationSeparator/>
      </w:r>
    </w:p>
  </w:footnote>
  <w:footnote w:id="1">
    <w:p w14:paraId="2B0A8706" w14:textId="77777777" w:rsidR="00224313" w:rsidRDefault="00224313" w:rsidP="00224313">
      <w:pPr>
        <w:pStyle w:val="FootnoteText"/>
      </w:pPr>
      <w:r>
        <w:rPr>
          <w:rStyle w:val="FootnoteReference"/>
        </w:rPr>
        <w:footnoteRef/>
      </w:r>
      <w:r>
        <w:t xml:space="preserve"> </w:t>
      </w:r>
      <w:r w:rsidRPr="009E5C9E">
        <w:rPr>
          <w:sz w:val="16"/>
          <w:szCs w:val="16"/>
        </w:rPr>
        <w:t xml:space="preserve">For couples, the level of financial assets is the amount that is allocated to them under the means test of their payment.  For example, for a couple where both members are receiving a pension, the value of their financial assets would be combined and half of that amount would be attributed to each individual. </w:t>
      </w:r>
    </w:p>
  </w:footnote>
  <w:footnote w:id="2">
    <w:p w14:paraId="2EEF4104" w14:textId="4E73E699" w:rsidR="00B40DC0" w:rsidRDefault="00B40DC0">
      <w:pPr>
        <w:pStyle w:val="FootnoteText"/>
      </w:pPr>
      <w:r>
        <w:rPr>
          <w:rStyle w:val="FootnoteReference"/>
        </w:rPr>
        <w:footnoteRef/>
      </w:r>
      <w:r>
        <w:t xml:space="preserve"> </w:t>
      </w:r>
      <w:hyperlink r:id="rId1" w:history="1">
        <w:r w:rsidRPr="009E5C9E">
          <w:rPr>
            <w:rStyle w:val="Hyperlink"/>
            <w:sz w:val="16"/>
            <w:szCs w:val="16"/>
          </w:rPr>
          <w:t>Deeming freeze to help keep pensioners keep more in their pockets</w:t>
        </w:r>
      </w:hyperlink>
      <w:r w:rsidRPr="009E5C9E">
        <w:rPr>
          <w:sz w:val="16"/>
          <w:szCs w:val="16"/>
        </w:rPr>
        <w:t>, The Hon Amanada Rishworth MP, 1 July 2022</w:t>
      </w:r>
    </w:p>
  </w:footnote>
  <w:footnote w:id="3">
    <w:p w14:paraId="7B2CB976" w14:textId="68BD0696" w:rsidR="006B1F26" w:rsidRDefault="006B1F26">
      <w:pPr>
        <w:pStyle w:val="FootnoteText"/>
      </w:pPr>
      <w:r>
        <w:rPr>
          <w:rStyle w:val="FootnoteReference"/>
        </w:rPr>
        <w:footnoteRef/>
      </w:r>
      <w:r>
        <w:t xml:space="preserve"> </w:t>
      </w:r>
      <w:r w:rsidR="00850718" w:rsidRPr="00FE23BE">
        <w:rPr>
          <w:sz w:val="16"/>
          <w:szCs w:val="16"/>
        </w:rPr>
        <w:t>Based</w:t>
      </w:r>
      <w:r w:rsidRPr="00FE23BE">
        <w:rPr>
          <w:sz w:val="16"/>
          <w:szCs w:val="16"/>
        </w:rPr>
        <w:t xml:space="preserve"> on </w:t>
      </w:r>
      <w:r w:rsidR="000A2A06" w:rsidRPr="00FE23BE">
        <w:rPr>
          <w:sz w:val="16"/>
          <w:szCs w:val="16"/>
        </w:rPr>
        <w:t xml:space="preserve">the following </w:t>
      </w:r>
      <w:r w:rsidR="00850718" w:rsidRPr="00FE23BE">
        <w:rPr>
          <w:sz w:val="16"/>
          <w:szCs w:val="16"/>
        </w:rPr>
        <w:t>products accessed in July 2025</w:t>
      </w:r>
      <w:r w:rsidR="000A2A06" w:rsidRPr="00FE23BE">
        <w:rPr>
          <w:sz w:val="16"/>
          <w:szCs w:val="16"/>
        </w:rPr>
        <w:t xml:space="preserve">: </w:t>
      </w:r>
      <w:r w:rsidR="00441444" w:rsidRPr="00FE23BE">
        <w:rPr>
          <w:sz w:val="16"/>
          <w:szCs w:val="16"/>
        </w:rPr>
        <w:t>Commonwealth Bank Pensioner Security Account</w:t>
      </w:r>
      <w:r w:rsidR="00FB6A89" w:rsidRPr="00FE23BE">
        <w:rPr>
          <w:sz w:val="16"/>
          <w:szCs w:val="16"/>
        </w:rPr>
        <w:t>;</w:t>
      </w:r>
      <w:r w:rsidR="00441444" w:rsidRPr="00FE23BE">
        <w:rPr>
          <w:sz w:val="16"/>
          <w:szCs w:val="16"/>
        </w:rPr>
        <w:t xml:space="preserve"> NAB Retirement Account</w:t>
      </w:r>
      <w:r w:rsidR="00FB6A89" w:rsidRPr="00FE23BE">
        <w:rPr>
          <w:sz w:val="16"/>
          <w:szCs w:val="16"/>
        </w:rPr>
        <w:t>;</w:t>
      </w:r>
      <w:r w:rsidR="00441444" w:rsidRPr="00FE23BE">
        <w:rPr>
          <w:sz w:val="16"/>
          <w:szCs w:val="16"/>
        </w:rPr>
        <w:t xml:space="preserve"> Westpac 55+ and Retired</w:t>
      </w:r>
      <w:r w:rsidR="00FB6A89" w:rsidRPr="00FE23BE">
        <w:rPr>
          <w:sz w:val="16"/>
          <w:szCs w:val="16"/>
        </w:rPr>
        <w:t>; ANZ Pensioner Bank Account.</w:t>
      </w:r>
    </w:p>
  </w:footnote>
  <w:footnote w:id="4">
    <w:p w14:paraId="51AD73BF" w14:textId="68619BA5" w:rsidR="00D5028D" w:rsidRDefault="00D5028D">
      <w:pPr>
        <w:pStyle w:val="FootnoteText"/>
      </w:pPr>
      <w:r>
        <w:rPr>
          <w:rStyle w:val="FootnoteReference"/>
        </w:rPr>
        <w:footnoteRef/>
      </w:r>
      <w:r>
        <w:t xml:space="preserve"> </w:t>
      </w:r>
      <w:r w:rsidR="00474B2B" w:rsidRPr="009E5C9E">
        <w:rPr>
          <w:sz w:val="16"/>
          <w:szCs w:val="16"/>
        </w:rPr>
        <w:t>Rates accessed in July 2025.</w:t>
      </w:r>
    </w:p>
  </w:footnote>
  <w:footnote w:id="5">
    <w:p w14:paraId="147F75BC" w14:textId="57EAE006" w:rsidR="00474B2B" w:rsidRDefault="00474B2B">
      <w:pPr>
        <w:pStyle w:val="FootnoteText"/>
      </w:pPr>
      <w:r>
        <w:rPr>
          <w:rStyle w:val="FootnoteReference"/>
        </w:rPr>
        <w:footnoteRef/>
      </w:r>
      <w:r>
        <w:t xml:space="preserve"> </w:t>
      </w:r>
      <w:r w:rsidR="002C6174" w:rsidRPr="009E5C9E">
        <w:rPr>
          <w:sz w:val="16"/>
          <w:szCs w:val="16"/>
        </w:rPr>
        <w:t xml:space="preserve">Market-cap weighted Dividend Yield for the Australian stock market, </w:t>
      </w:r>
      <w:r w:rsidR="001F1E8B" w:rsidRPr="009E5C9E">
        <w:rPr>
          <w:sz w:val="16"/>
          <w:szCs w:val="16"/>
        </w:rPr>
        <w:t xml:space="preserve">available from: </w:t>
      </w:r>
      <w:hyperlink r:id="rId2" w:history="1">
        <w:r w:rsidR="001F1E8B" w:rsidRPr="009E5C9E">
          <w:rPr>
            <w:rStyle w:val="Hyperlink"/>
            <w:sz w:val="16"/>
            <w:szCs w:val="16"/>
          </w:rPr>
          <w:t>https://www.marketindex.com.au/statistics</w:t>
        </w:r>
      </w:hyperlink>
      <w:r w:rsidR="001F1E8B" w:rsidRPr="009E5C9E">
        <w:rPr>
          <w:sz w:val="16"/>
          <w:szCs w:val="16"/>
        </w:rPr>
        <w:t>.</w:t>
      </w:r>
    </w:p>
  </w:footnote>
  <w:footnote w:id="6">
    <w:p w14:paraId="65E3DC3C" w14:textId="484D0FAA" w:rsidR="00542E73" w:rsidRDefault="00542E73">
      <w:pPr>
        <w:pStyle w:val="FootnoteText"/>
      </w:pPr>
      <w:r>
        <w:rPr>
          <w:rStyle w:val="FootnoteReference"/>
        </w:rPr>
        <w:footnoteRef/>
      </w:r>
      <w:r>
        <w:t xml:space="preserve"> </w:t>
      </w:r>
      <w:r w:rsidR="005A285D" w:rsidRPr="009E5C9E">
        <w:rPr>
          <w:sz w:val="16"/>
          <w:szCs w:val="16"/>
        </w:rPr>
        <w:t xml:space="preserve">Based on the following </w:t>
      </w:r>
      <w:r w:rsidR="001F75D9" w:rsidRPr="009E5C9E">
        <w:rPr>
          <w:sz w:val="16"/>
          <w:szCs w:val="16"/>
        </w:rPr>
        <w:t xml:space="preserve">products accessed in July 2025: </w:t>
      </w:r>
      <w:r w:rsidR="003F537E" w:rsidRPr="009E5C9E">
        <w:rPr>
          <w:sz w:val="16"/>
          <w:szCs w:val="16"/>
        </w:rPr>
        <w:t>Commonwealth Bank Pensioner Security Account; NAB Retirement Account; Westpac 55+</w:t>
      </w:r>
      <w:r w:rsidR="002C7EAF" w:rsidRPr="009E5C9E">
        <w:rPr>
          <w:sz w:val="16"/>
          <w:szCs w:val="16"/>
        </w:rPr>
        <w:t xml:space="preserve"> and Retired; </w:t>
      </w:r>
      <w:r w:rsidR="00BB07D4" w:rsidRPr="009E5C9E">
        <w:rPr>
          <w:sz w:val="16"/>
          <w:szCs w:val="16"/>
        </w:rPr>
        <w:t xml:space="preserve">ANZ Pensioner Bank Account. </w:t>
      </w:r>
    </w:p>
  </w:footnote>
  <w:footnote w:id="7">
    <w:p w14:paraId="2D74EE72" w14:textId="61338FC5" w:rsidR="00357DA0" w:rsidRDefault="00357DA0">
      <w:pPr>
        <w:pStyle w:val="FootnoteText"/>
      </w:pPr>
      <w:r>
        <w:rPr>
          <w:rStyle w:val="FootnoteReference"/>
        </w:rPr>
        <w:footnoteRef/>
      </w:r>
      <w:r>
        <w:t xml:space="preserve"> </w:t>
      </w:r>
      <w:r w:rsidRPr="009E5C9E">
        <w:rPr>
          <w:sz w:val="16"/>
          <w:szCs w:val="16"/>
        </w:rPr>
        <w:t>Rates access</w:t>
      </w:r>
      <w:r w:rsidR="001855DB" w:rsidRPr="009E5C9E">
        <w:rPr>
          <w:sz w:val="16"/>
          <w:szCs w:val="16"/>
        </w:rPr>
        <w:t>ed in July 2025</w:t>
      </w:r>
      <w:r w:rsidR="001855DB">
        <w:rPr>
          <w:sz w:val="16"/>
          <w:szCs w:val="16"/>
        </w:rPr>
        <w:t>.</w:t>
      </w:r>
    </w:p>
  </w:footnote>
  <w:footnote w:id="8">
    <w:p w14:paraId="29060A05" w14:textId="38AB4A77" w:rsidR="00B85DC5" w:rsidRDefault="00B85DC5">
      <w:pPr>
        <w:pStyle w:val="FootnoteText"/>
      </w:pPr>
      <w:r>
        <w:rPr>
          <w:rStyle w:val="FootnoteReference"/>
        </w:rPr>
        <w:footnoteRef/>
      </w:r>
      <w:r>
        <w:t xml:space="preserve"> </w:t>
      </w:r>
      <w:r w:rsidRPr="009E5C9E">
        <w:rPr>
          <w:sz w:val="16"/>
          <w:szCs w:val="16"/>
        </w:rPr>
        <w:t>RBA, Paid Deposit Rates – F4.1, ‘</w:t>
      </w:r>
      <w:r w:rsidR="0036655F" w:rsidRPr="009E5C9E">
        <w:rPr>
          <w:sz w:val="16"/>
          <w:szCs w:val="16"/>
        </w:rPr>
        <w:t>Deposit</w:t>
      </w:r>
      <w:r w:rsidRPr="009E5C9E">
        <w:rPr>
          <w:sz w:val="16"/>
          <w:szCs w:val="16"/>
        </w:rPr>
        <w:t xml:space="preserve"> rates; </w:t>
      </w:r>
      <w:r w:rsidR="0036655F" w:rsidRPr="009E5C9E">
        <w:rPr>
          <w:sz w:val="16"/>
          <w:szCs w:val="16"/>
        </w:rPr>
        <w:t>Outstanding; At-call; Households</w:t>
      </w:r>
      <w:r w:rsidRPr="009E5C9E">
        <w:rPr>
          <w:sz w:val="16"/>
          <w:szCs w:val="16"/>
        </w:rPr>
        <w:t xml:space="preserve">’ statistics available from: </w:t>
      </w:r>
      <w:hyperlink r:id="rId3" w:history="1">
        <w:r w:rsidRPr="009E5C9E">
          <w:rPr>
            <w:sz w:val="16"/>
            <w:szCs w:val="16"/>
          </w:rPr>
          <w:t>https://www.rba.gov.au/statistics/tables/</w:t>
        </w:r>
      </w:hyperlink>
    </w:p>
  </w:footnote>
  <w:footnote w:id="9">
    <w:p w14:paraId="4257CE53" w14:textId="2E5465EC" w:rsidR="00970A54" w:rsidRDefault="00970A54">
      <w:pPr>
        <w:pStyle w:val="FootnoteText"/>
      </w:pPr>
      <w:r>
        <w:rPr>
          <w:rStyle w:val="FootnoteReference"/>
        </w:rPr>
        <w:footnoteRef/>
      </w:r>
      <w:r>
        <w:t xml:space="preserve"> </w:t>
      </w:r>
      <w:r w:rsidRPr="009E5C9E">
        <w:rPr>
          <w:sz w:val="16"/>
          <w:szCs w:val="16"/>
        </w:rPr>
        <w:t xml:space="preserve">Market-cap weighted Dividend Yield for the Australian stock market, available from: </w:t>
      </w:r>
      <w:hyperlink r:id="rId4" w:history="1">
        <w:r w:rsidRPr="009E5C9E">
          <w:rPr>
            <w:rStyle w:val="Hyperlink"/>
            <w:sz w:val="16"/>
            <w:szCs w:val="16"/>
          </w:rPr>
          <w:t>https://www.marketindex.com.au/statistics</w:t>
        </w:r>
      </w:hyperlink>
      <w:r w:rsidRPr="009E5C9E">
        <w:rPr>
          <w:sz w:val="16"/>
          <w:szCs w:val="16"/>
        </w:rPr>
        <w:t>.</w:t>
      </w:r>
    </w:p>
  </w:footnote>
  <w:footnote w:id="10">
    <w:p w14:paraId="53F100C3" w14:textId="7691B4E9" w:rsidR="00043E62" w:rsidRDefault="00043E62">
      <w:pPr>
        <w:pStyle w:val="FootnoteText"/>
      </w:pPr>
      <w:r>
        <w:rPr>
          <w:rStyle w:val="FootnoteReference"/>
        </w:rPr>
        <w:footnoteRef/>
      </w:r>
      <w:r>
        <w:t xml:space="preserve"> </w:t>
      </w:r>
      <w:r w:rsidR="004D3C87" w:rsidRPr="00AC1D81">
        <w:rPr>
          <w:sz w:val="16"/>
          <w:szCs w:val="16"/>
        </w:rPr>
        <w:t>RBA, Advertised Deposit Rates – F4</w:t>
      </w:r>
      <w:r w:rsidR="00706813" w:rsidRPr="00AC1D81">
        <w:rPr>
          <w:sz w:val="16"/>
          <w:szCs w:val="16"/>
        </w:rPr>
        <w:t>,</w:t>
      </w:r>
      <w:r w:rsidR="004D3C87" w:rsidRPr="00AC1D81">
        <w:rPr>
          <w:sz w:val="16"/>
          <w:szCs w:val="16"/>
        </w:rPr>
        <w:t xml:space="preserve"> ‘</w:t>
      </w:r>
      <w:r w:rsidR="00680A42" w:rsidRPr="00AC1D81">
        <w:rPr>
          <w:sz w:val="16"/>
          <w:szCs w:val="16"/>
        </w:rPr>
        <w:t>Retail deposit and investment rates; Savings accounts; Online savings accounts’ statistics</w:t>
      </w:r>
      <w:r w:rsidR="00A741E5" w:rsidRPr="00AC1D81">
        <w:rPr>
          <w:sz w:val="16"/>
          <w:szCs w:val="16"/>
        </w:rPr>
        <w:t xml:space="preserve"> available from: </w:t>
      </w:r>
      <w:hyperlink r:id="rId5" w:history="1">
        <w:r w:rsidR="00D40B75" w:rsidRPr="00AC1D81">
          <w:rPr>
            <w:rStyle w:val="Hyperlink"/>
            <w:sz w:val="16"/>
            <w:szCs w:val="16"/>
          </w:rPr>
          <w:t>https://www.rba.gov.au/statistics/tables/</w:t>
        </w:r>
      </w:hyperlink>
      <w:r w:rsidR="00D40B7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01A0C" w14:textId="77777777" w:rsidR="00CA1A91" w:rsidRDefault="00CA1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F27D5" w14:textId="77777777" w:rsidR="00037513" w:rsidRPr="00D10635" w:rsidRDefault="00037513" w:rsidP="00464D8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8418E" w14:textId="45F80895" w:rsidR="00534803" w:rsidRPr="00A45279" w:rsidRDefault="00A45279" w:rsidP="00A45279">
    <w:pPr>
      <w:pStyle w:val="Header"/>
      <w:jc w:val="right"/>
      <w:rPr>
        <w:rStyle w:val="CLASSIFICATIONChar"/>
        <w:sz w:val="40"/>
        <w:szCs w:val="40"/>
      </w:rPr>
    </w:pPr>
    <w:r w:rsidRPr="00A45279">
      <w:rPr>
        <w:rStyle w:val="CLASSIFICATIONChar"/>
        <w:noProof/>
        <w:sz w:val="40"/>
        <w:szCs w:val="40"/>
        <w:lang w:eastAsia="en-AU"/>
      </w:rPr>
      <w:drawing>
        <wp:anchor distT="0" distB="0" distL="114300" distR="114300" simplePos="0" relativeHeight="251658240" behindDoc="1" locked="0" layoutInCell="1" allowOverlap="1" wp14:anchorId="751A2CB8" wp14:editId="771FF8CA">
          <wp:simplePos x="0" y="0"/>
          <wp:positionH relativeFrom="column">
            <wp:posOffset>10160</wp:posOffset>
          </wp:positionH>
          <wp:positionV relativeFrom="paragraph">
            <wp:posOffset>-154305</wp:posOffset>
          </wp:positionV>
          <wp:extent cx="1409311" cy="844550"/>
          <wp:effectExtent l="0" t="0" r="635" b="0"/>
          <wp:wrapNone/>
          <wp:docPr id="6" name="Picture 6" descr="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nisterial Support Division\CIESB\Graphic Design\01. PM&amp;C\01. Australian Government\02. Brand elements\01.Logo\AusGov-PNG\AusGov-png-highres\AusGov-Stacked-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311"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3710" w:rsidRPr="009D3710">
      <w:rPr>
        <w:rStyle w:val="CLASSIFICATIONChar"/>
        <w:sz w:val="36"/>
        <w:szCs w:val="40"/>
      </w:rPr>
      <w:t xml:space="preserve"> </w:t>
    </w:r>
    <w:r w:rsidR="00E455C1">
      <w:rPr>
        <w:rStyle w:val="CLASSIFICATIONChar"/>
        <w:sz w:val="36"/>
        <w:szCs w:val="40"/>
      </w:rPr>
      <w:t>The Department of social services</w:t>
    </w:r>
  </w:p>
  <w:p w14:paraId="1B27BE0E" w14:textId="77777777" w:rsidR="00E9516C" w:rsidRDefault="00E9516C" w:rsidP="00E9516C">
    <w:pPr>
      <w:pStyle w:val="Header"/>
      <w:jc w:val="center"/>
      <w:rPr>
        <w:rStyle w:val="CLASSIFICATIONChar"/>
      </w:rPr>
    </w:pPr>
  </w:p>
  <w:p w14:paraId="0C927802" w14:textId="43A728D7" w:rsidR="00037513" w:rsidRDefault="00037513" w:rsidP="00A45279">
    <w:pPr>
      <w:pStyle w:val="CLASSIFICATION"/>
      <w:jc w:val="left"/>
      <w:rPr>
        <w:rStyle w:val="CLASSIFICATIONChar"/>
        <w:caps/>
      </w:rPr>
    </w:pPr>
  </w:p>
  <w:p w14:paraId="7ED68676" w14:textId="77777777" w:rsidR="00A45279" w:rsidRPr="00E9516C" w:rsidRDefault="00A45279" w:rsidP="00A45279">
    <w:pPr>
      <w:pStyle w:val="CLASSIFICATION"/>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D7031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C76B4C"/>
    <w:multiLevelType w:val="multilevel"/>
    <w:tmpl w:val="0D50F7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74620"/>
    <w:multiLevelType w:val="hybridMultilevel"/>
    <w:tmpl w:val="DC44980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AF6F03"/>
    <w:multiLevelType w:val="hybridMultilevel"/>
    <w:tmpl w:val="DC4CE0A4"/>
    <w:lvl w:ilvl="0" w:tplc="6C069990">
      <w:start w:val="1"/>
      <w:numFmt w:val="bullet"/>
      <w:pStyle w:val="BulletedList-Level3"/>
      <w:lvlText w:val="o"/>
      <w:lvlJc w:val="left"/>
      <w:pPr>
        <w:ind w:left="1134" w:hanging="283"/>
      </w:pPr>
      <w:rPr>
        <w:rFonts w:ascii="Courier New" w:hAnsi="Courier New" w:hint="default"/>
      </w:rPr>
    </w:lvl>
    <w:lvl w:ilvl="1" w:tplc="74CC2E1A">
      <w:numFmt w:val="bullet"/>
      <w:lvlText w:val="•"/>
      <w:lvlJc w:val="left"/>
      <w:pPr>
        <w:ind w:left="2651" w:hanging="720"/>
      </w:pPr>
      <w:rPr>
        <w:rFonts w:ascii="Segoe UI Symbol" w:eastAsiaTheme="minorEastAsia" w:hAnsi="Segoe UI Symbol" w:cstheme="minorBidi"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7" w15:restartNumberingAfterBreak="0">
    <w:nsid w:val="16F02002"/>
    <w:multiLevelType w:val="hybridMultilevel"/>
    <w:tmpl w:val="8F9A8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465C0C"/>
    <w:multiLevelType w:val="multilevel"/>
    <w:tmpl w:val="833AD0E4"/>
    <w:lvl w:ilvl="0">
      <w:start w:val="1"/>
      <w:numFmt w:val="bullet"/>
      <w:lvlText w:val=""/>
      <w:lvlJc w:val="left"/>
      <w:pPr>
        <w:ind w:left="369" w:hanging="369"/>
      </w:pPr>
      <w:rPr>
        <w:rFonts w:ascii="Symbol" w:hAnsi="Symbol" w:hint="default"/>
      </w:rPr>
    </w:lvl>
    <w:lvl w:ilvl="1">
      <w:start w:val="1"/>
      <w:numFmt w:val="bullet"/>
      <w:lvlText w:val="o"/>
      <w:lvlJc w:val="left"/>
      <w:pPr>
        <w:ind w:left="729" w:hanging="360"/>
      </w:pPr>
      <w:rPr>
        <w:rFonts w:ascii="Courier New" w:hAnsi="Courier New" w:cs="Courier New"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F33BBA"/>
    <w:multiLevelType w:val="hybridMultilevel"/>
    <w:tmpl w:val="0812E2DE"/>
    <w:lvl w:ilvl="0" w:tplc="E1AE5D66">
      <w:start w:val="1"/>
      <w:numFmt w:val="decimal"/>
      <w:pStyle w:val="Figure"/>
      <w:suff w:val="space"/>
      <w:lvlText w:val="Figure %1."/>
      <w:lvlJc w:val="left"/>
      <w:pPr>
        <w:ind w:left="2836" w:hanging="567"/>
      </w:pPr>
      <w:rPr>
        <w:rFonts w:hint="default"/>
      </w:rPr>
    </w:lvl>
    <w:lvl w:ilvl="1" w:tplc="0C090019" w:tentative="1">
      <w:start w:val="1"/>
      <w:numFmt w:val="lowerLetter"/>
      <w:lvlText w:val="%2."/>
      <w:lvlJc w:val="left"/>
      <w:pPr>
        <w:ind w:left="3709" w:hanging="360"/>
      </w:pPr>
    </w:lvl>
    <w:lvl w:ilvl="2" w:tplc="0C09001B" w:tentative="1">
      <w:start w:val="1"/>
      <w:numFmt w:val="lowerRoman"/>
      <w:lvlText w:val="%3."/>
      <w:lvlJc w:val="right"/>
      <w:pPr>
        <w:ind w:left="4429" w:hanging="180"/>
      </w:pPr>
    </w:lvl>
    <w:lvl w:ilvl="3" w:tplc="0C09000F" w:tentative="1">
      <w:start w:val="1"/>
      <w:numFmt w:val="decimal"/>
      <w:lvlText w:val="%4."/>
      <w:lvlJc w:val="left"/>
      <w:pPr>
        <w:ind w:left="5149" w:hanging="360"/>
      </w:pPr>
    </w:lvl>
    <w:lvl w:ilvl="4" w:tplc="0C090019" w:tentative="1">
      <w:start w:val="1"/>
      <w:numFmt w:val="lowerLetter"/>
      <w:lvlText w:val="%5."/>
      <w:lvlJc w:val="left"/>
      <w:pPr>
        <w:ind w:left="5869" w:hanging="360"/>
      </w:pPr>
    </w:lvl>
    <w:lvl w:ilvl="5" w:tplc="0C09001B" w:tentative="1">
      <w:start w:val="1"/>
      <w:numFmt w:val="lowerRoman"/>
      <w:lvlText w:val="%6."/>
      <w:lvlJc w:val="right"/>
      <w:pPr>
        <w:ind w:left="6589" w:hanging="180"/>
      </w:pPr>
    </w:lvl>
    <w:lvl w:ilvl="6" w:tplc="0C09000F" w:tentative="1">
      <w:start w:val="1"/>
      <w:numFmt w:val="decimal"/>
      <w:lvlText w:val="%7."/>
      <w:lvlJc w:val="left"/>
      <w:pPr>
        <w:ind w:left="7309" w:hanging="360"/>
      </w:pPr>
    </w:lvl>
    <w:lvl w:ilvl="7" w:tplc="0C090019" w:tentative="1">
      <w:start w:val="1"/>
      <w:numFmt w:val="lowerLetter"/>
      <w:lvlText w:val="%8."/>
      <w:lvlJc w:val="left"/>
      <w:pPr>
        <w:ind w:left="8029" w:hanging="360"/>
      </w:pPr>
    </w:lvl>
    <w:lvl w:ilvl="8" w:tplc="0C09001B" w:tentative="1">
      <w:start w:val="1"/>
      <w:numFmt w:val="lowerRoman"/>
      <w:lvlText w:val="%9."/>
      <w:lvlJc w:val="right"/>
      <w:pPr>
        <w:ind w:left="8749" w:hanging="180"/>
      </w:pPr>
    </w:lvl>
  </w:abstractNum>
  <w:abstractNum w:abstractNumId="10" w15:restartNumberingAfterBreak="0">
    <w:nsid w:val="1DA20A3A"/>
    <w:multiLevelType w:val="hybridMultilevel"/>
    <w:tmpl w:val="3C8074AC"/>
    <w:lvl w:ilvl="0" w:tplc="16D68B22">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27505A90"/>
    <w:multiLevelType w:val="multilevel"/>
    <w:tmpl w:val="3A3EEEF8"/>
    <w:lvl w:ilvl="0">
      <w:start w:val="1"/>
      <w:numFmt w:val="decimal"/>
      <w:suff w:val="space"/>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4" w15:restartNumberingAfterBreak="0">
    <w:nsid w:val="28C004D2"/>
    <w:multiLevelType w:val="multilevel"/>
    <w:tmpl w:val="31D4F8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0B206E"/>
    <w:multiLevelType w:val="hybridMultilevel"/>
    <w:tmpl w:val="14FC6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584BED"/>
    <w:multiLevelType w:val="hybridMultilevel"/>
    <w:tmpl w:val="D6BEC17C"/>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7" w15:restartNumberingAfterBreak="0">
    <w:nsid w:val="31B1020E"/>
    <w:multiLevelType w:val="multilevel"/>
    <w:tmpl w:val="1A0A3EF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4658E8"/>
    <w:multiLevelType w:val="hybridMultilevel"/>
    <w:tmpl w:val="21C61F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34C3A82"/>
    <w:multiLevelType w:val="hybridMultilevel"/>
    <w:tmpl w:val="97D0A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1C2B39" w:themeColor="text1"/>
      </w:rPr>
    </w:lvl>
    <w:lvl w:ilvl="2">
      <w:start w:val="1"/>
      <w:numFmt w:val="bullet"/>
      <w:lvlText w:val="⁚"/>
      <w:lvlJc w:val="left"/>
      <w:pPr>
        <w:ind w:left="1191" w:hanging="397"/>
      </w:pPr>
      <w:rPr>
        <w:rFonts w:ascii="Times New Roman" w:hAnsi="Times New Roman" w:cs="Times New Roman" w:hint="default"/>
        <w:color w:val="1C2B39"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1" w15:restartNumberingAfterBreak="0">
    <w:nsid w:val="47036EE1"/>
    <w:multiLevelType w:val="hybridMultilevel"/>
    <w:tmpl w:val="0D3C2C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7637660"/>
    <w:multiLevelType w:val="multilevel"/>
    <w:tmpl w:val="8002504C"/>
    <w:lvl w:ilvl="0">
      <w:start w:val="1"/>
      <w:numFmt w:val="bullet"/>
      <w:lvlText w:val=""/>
      <w:lvlJc w:val="left"/>
      <w:pPr>
        <w:tabs>
          <w:tab w:val="num" w:pos="720"/>
        </w:tabs>
        <w:ind w:left="720" w:hanging="360"/>
      </w:pPr>
      <w:rPr>
        <w:rFonts w:ascii="Symbol" w:hAnsi="Symbol" w:hint="default"/>
        <w:b w:val="0"/>
        <w:bCs w:val="0"/>
        <w:sz w:val="20"/>
      </w:rPr>
    </w:lvl>
    <w:lvl w:ilvl="1">
      <w:start w:val="1"/>
      <w:numFmt w:val="lowerLetter"/>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4" w15:restartNumberingAfterBreak="0">
    <w:nsid w:val="4A5D0F50"/>
    <w:multiLevelType w:val="hybridMultilevel"/>
    <w:tmpl w:val="278A1FA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DED54E4"/>
    <w:multiLevelType w:val="hybridMultilevel"/>
    <w:tmpl w:val="DB5297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F8E399C"/>
    <w:multiLevelType w:val="multilevel"/>
    <w:tmpl w:val="F3968A9C"/>
    <w:lvl w:ilvl="0">
      <w:start w:val="1"/>
      <w:numFmt w:val="lowerLetter"/>
      <w:lvlText w:val="%1)"/>
      <w:lvlJc w:val="left"/>
      <w:pPr>
        <w:tabs>
          <w:tab w:val="num" w:pos="720"/>
        </w:tabs>
        <w:ind w:left="720" w:hanging="360"/>
      </w:pPr>
      <w:rPr>
        <w:rFonts w:hint="default"/>
        <w:b w:val="0"/>
        <w:bCs w:val="0"/>
        <w:sz w:val="20"/>
      </w:rPr>
    </w:lvl>
    <w:lvl w:ilvl="1">
      <w:start w:val="1"/>
      <w:numFmt w:val="lowerLetter"/>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7E16C4"/>
    <w:multiLevelType w:val="hybridMultilevel"/>
    <w:tmpl w:val="10DE50CE"/>
    <w:lvl w:ilvl="0" w:tplc="F00CC014">
      <w:numFmt w:val="bullet"/>
      <w:lvlText w:val="-"/>
      <w:lvlJc w:val="left"/>
      <w:pPr>
        <w:ind w:left="1080" w:hanging="360"/>
      </w:pPr>
      <w:rPr>
        <w:rFonts w:ascii="Segoe UI Symbol" w:eastAsiaTheme="minorEastAsia" w:hAnsi="Segoe UI 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DBB291E"/>
    <w:multiLevelType w:val="hybridMultilevel"/>
    <w:tmpl w:val="74F08112"/>
    <w:lvl w:ilvl="0" w:tplc="261C4F94">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FC67CD0"/>
    <w:multiLevelType w:val="hybridMultilevel"/>
    <w:tmpl w:val="238C36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70222"/>
    <w:multiLevelType w:val="multilevel"/>
    <w:tmpl w:val="8C98416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593E6D"/>
    <w:multiLevelType w:val="hybridMultilevel"/>
    <w:tmpl w:val="141241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C8C0D0E"/>
    <w:multiLevelType w:val="multilevel"/>
    <w:tmpl w:val="FFE0C8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423F5A"/>
    <w:multiLevelType w:val="multilevel"/>
    <w:tmpl w:val="6390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36" w15:restartNumberingAfterBreak="0">
    <w:nsid w:val="73D500E5"/>
    <w:multiLevelType w:val="multilevel"/>
    <w:tmpl w:val="F3968A9C"/>
    <w:lvl w:ilvl="0">
      <w:start w:val="1"/>
      <w:numFmt w:val="lowerLetter"/>
      <w:lvlText w:val="%1)"/>
      <w:lvlJc w:val="left"/>
      <w:pPr>
        <w:tabs>
          <w:tab w:val="num" w:pos="720"/>
        </w:tabs>
        <w:ind w:left="720" w:hanging="360"/>
      </w:pPr>
      <w:rPr>
        <w:rFonts w:hint="default"/>
        <w:b w:val="0"/>
        <w:bCs w:val="0"/>
        <w:sz w:val="20"/>
      </w:rPr>
    </w:lvl>
    <w:lvl w:ilvl="1">
      <w:start w:val="1"/>
      <w:numFmt w:val="lowerLetter"/>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6218E8"/>
    <w:multiLevelType w:val="multilevel"/>
    <w:tmpl w:val="F146D25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D75DCB"/>
    <w:multiLevelType w:val="multilevel"/>
    <w:tmpl w:val="3A3EEEF8"/>
    <w:lvl w:ilvl="0">
      <w:start w:val="1"/>
      <w:numFmt w:val="decimal"/>
      <w:suff w:val="space"/>
      <w:lvlText w:val="%1."/>
      <w:lvlJc w:val="left"/>
      <w:pPr>
        <w:ind w:left="720" w:hanging="360"/>
      </w:pPr>
      <w:rPr>
        <w:rFonts w:hint="default"/>
      </w:rPr>
    </w:lvl>
    <w:lvl w:ilvl="1">
      <w:start w:val="1"/>
      <w:numFmt w:val="decimal"/>
      <w:isLgl/>
      <w:lvlText w:val="%1.%2"/>
      <w:lvlJc w:val="left"/>
      <w:pPr>
        <w:ind w:left="1533"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7107EC5"/>
    <w:multiLevelType w:val="hybridMultilevel"/>
    <w:tmpl w:val="FBE880AE"/>
    <w:lvl w:ilvl="0" w:tplc="0C090011">
      <w:start w:val="1"/>
      <w:numFmt w:val="decimal"/>
      <w:lvlText w:val="%1)"/>
      <w:lvlJc w:val="left"/>
      <w:pPr>
        <w:ind w:left="425" w:hanging="283"/>
      </w:pPr>
      <w:rPr>
        <w:rFonts w:hint="default"/>
      </w:rPr>
    </w:lvl>
    <w:lvl w:ilvl="1" w:tplc="FFFFFFFF">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start w:val="1"/>
      <w:numFmt w:val="bullet"/>
      <w:lvlText w:val=""/>
      <w:lvlJc w:val="left"/>
      <w:pPr>
        <w:ind w:left="992" w:hanging="283"/>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40"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BF06FFC"/>
    <w:multiLevelType w:val="hybridMultilevel"/>
    <w:tmpl w:val="F432D6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33"/>
  </w:num>
  <w:num w:numId="4">
    <w:abstractNumId w:val="13"/>
  </w:num>
  <w:num w:numId="5">
    <w:abstractNumId w:val="40"/>
  </w:num>
  <w:num w:numId="6">
    <w:abstractNumId w:val="9"/>
  </w:num>
  <w:num w:numId="7">
    <w:abstractNumId w:val="23"/>
  </w:num>
  <w:num w:numId="8">
    <w:abstractNumId w:val="6"/>
  </w:num>
  <w:num w:numId="9">
    <w:abstractNumId w:val="11"/>
  </w:num>
  <w:num w:numId="10">
    <w:abstractNumId w:val="5"/>
  </w:num>
  <w:num w:numId="11">
    <w:abstractNumId w:val="15"/>
  </w:num>
  <w:num w:numId="12">
    <w:abstractNumId w:val="35"/>
  </w:num>
  <w:num w:numId="13">
    <w:abstractNumId w:val="38"/>
  </w:num>
  <w:num w:numId="14">
    <w:abstractNumId w:val="20"/>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5">
    <w:abstractNumId w:val="23"/>
    <w:lvlOverride w:ilvl="0">
      <w:startOverride w:val="1"/>
    </w:lvlOverride>
  </w:num>
  <w:num w:numId="16">
    <w:abstractNumId w:val="23"/>
    <w:lvlOverride w:ilvl="0">
      <w:startOverride w:val="1"/>
    </w:lvlOverride>
  </w:num>
  <w:num w:numId="17">
    <w:abstractNumId w:val="23"/>
    <w:lvlOverride w:ilvl="0">
      <w:startOverride w:val="1"/>
    </w:lvlOverride>
  </w:num>
  <w:num w:numId="18">
    <w:abstractNumId w:val="23"/>
    <w:lvlOverride w:ilvl="0">
      <w:startOverride w:val="1"/>
    </w:lvlOverride>
  </w:num>
  <w:num w:numId="19">
    <w:abstractNumId w:val="23"/>
    <w:lvlOverride w:ilvl="0">
      <w:startOverride w:val="1"/>
    </w:lvlOverride>
  </w:num>
  <w:num w:numId="20">
    <w:abstractNumId w:val="0"/>
  </w:num>
  <w:num w:numId="21">
    <w:abstractNumId w:val="10"/>
  </w:num>
  <w:num w:numId="22">
    <w:abstractNumId w:val="25"/>
  </w:num>
  <w:num w:numId="23">
    <w:abstractNumId w:val="1"/>
  </w:num>
  <w:num w:numId="24">
    <w:abstractNumId w:val="32"/>
  </w:num>
  <w:num w:numId="25">
    <w:abstractNumId w:val="17"/>
  </w:num>
  <w:num w:numId="26">
    <w:abstractNumId w:val="18"/>
  </w:num>
  <w:num w:numId="27">
    <w:abstractNumId w:val="2"/>
  </w:num>
  <w:num w:numId="28">
    <w:abstractNumId w:val="28"/>
  </w:num>
  <w:num w:numId="29">
    <w:abstractNumId w:val="31"/>
  </w:num>
  <w:num w:numId="30">
    <w:abstractNumId w:val="34"/>
  </w:num>
  <w:num w:numId="31">
    <w:abstractNumId w:val="37"/>
  </w:num>
  <w:num w:numId="32">
    <w:abstractNumId w:val="27"/>
  </w:num>
  <w:num w:numId="33">
    <w:abstractNumId w:val="16"/>
  </w:num>
  <w:num w:numId="34">
    <w:abstractNumId w:val="24"/>
  </w:num>
  <w:num w:numId="35">
    <w:abstractNumId w:val="12"/>
  </w:num>
  <w:num w:numId="36">
    <w:abstractNumId w:val="41"/>
  </w:num>
  <w:num w:numId="37">
    <w:abstractNumId w:val="8"/>
  </w:num>
  <w:num w:numId="38">
    <w:abstractNumId w:val="7"/>
  </w:num>
  <w:num w:numId="39">
    <w:abstractNumId w:val="30"/>
  </w:num>
  <w:num w:numId="40">
    <w:abstractNumId w:val="36"/>
  </w:num>
  <w:num w:numId="41">
    <w:abstractNumId w:val="29"/>
  </w:num>
  <w:num w:numId="42">
    <w:abstractNumId w:val="21"/>
  </w:num>
  <w:num w:numId="43">
    <w:abstractNumId w:val="26"/>
  </w:num>
  <w:num w:numId="44">
    <w:abstractNumId w:val="22"/>
  </w:num>
  <w:num w:numId="45">
    <w:abstractNumId w:val="14"/>
  </w:num>
  <w:num w:numId="46">
    <w:abstractNumId w:val="39"/>
  </w:num>
  <w:num w:numId="4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32"/>
    <w:rsid w:val="000007DC"/>
    <w:rsid w:val="00000864"/>
    <w:rsid w:val="00000B6E"/>
    <w:rsid w:val="00000F69"/>
    <w:rsid w:val="00001688"/>
    <w:rsid w:val="00002307"/>
    <w:rsid w:val="000026FB"/>
    <w:rsid w:val="00002CFB"/>
    <w:rsid w:val="000039D1"/>
    <w:rsid w:val="000044BD"/>
    <w:rsid w:val="000054F0"/>
    <w:rsid w:val="0000569A"/>
    <w:rsid w:val="000060CD"/>
    <w:rsid w:val="0000611A"/>
    <w:rsid w:val="000064A6"/>
    <w:rsid w:val="00006583"/>
    <w:rsid w:val="00006FFE"/>
    <w:rsid w:val="00007885"/>
    <w:rsid w:val="0001066B"/>
    <w:rsid w:val="00010D6A"/>
    <w:rsid w:val="00010DDB"/>
    <w:rsid w:val="000110C1"/>
    <w:rsid w:val="00011F6E"/>
    <w:rsid w:val="000125DC"/>
    <w:rsid w:val="00012752"/>
    <w:rsid w:val="000128AC"/>
    <w:rsid w:val="000134D0"/>
    <w:rsid w:val="0001400D"/>
    <w:rsid w:val="00014261"/>
    <w:rsid w:val="000147F6"/>
    <w:rsid w:val="00015344"/>
    <w:rsid w:val="0001552B"/>
    <w:rsid w:val="00016A8B"/>
    <w:rsid w:val="00016B4A"/>
    <w:rsid w:val="000178D9"/>
    <w:rsid w:val="000179C5"/>
    <w:rsid w:val="00020520"/>
    <w:rsid w:val="0002054C"/>
    <w:rsid w:val="00020A09"/>
    <w:rsid w:val="00020DD0"/>
    <w:rsid w:val="00021319"/>
    <w:rsid w:val="00021638"/>
    <w:rsid w:val="00021672"/>
    <w:rsid w:val="000216AF"/>
    <w:rsid w:val="000218C7"/>
    <w:rsid w:val="000218F6"/>
    <w:rsid w:val="0002250F"/>
    <w:rsid w:val="000225CD"/>
    <w:rsid w:val="00022C47"/>
    <w:rsid w:val="00022FB7"/>
    <w:rsid w:val="00023466"/>
    <w:rsid w:val="00023F2E"/>
    <w:rsid w:val="00023F95"/>
    <w:rsid w:val="000241FD"/>
    <w:rsid w:val="00024EAB"/>
    <w:rsid w:val="00026D68"/>
    <w:rsid w:val="00026E1C"/>
    <w:rsid w:val="00027038"/>
    <w:rsid w:val="00027615"/>
    <w:rsid w:val="00027D69"/>
    <w:rsid w:val="00030641"/>
    <w:rsid w:val="000309A4"/>
    <w:rsid w:val="00030ED4"/>
    <w:rsid w:val="0003154E"/>
    <w:rsid w:val="00031F8E"/>
    <w:rsid w:val="000331F7"/>
    <w:rsid w:val="00033D39"/>
    <w:rsid w:val="000343A1"/>
    <w:rsid w:val="000357DD"/>
    <w:rsid w:val="00035C1F"/>
    <w:rsid w:val="00036119"/>
    <w:rsid w:val="000361DA"/>
    <w:rsid w:val="0003648D"/>
    <w:rsid w:val="00037513"/>
    <w:rsid w:val="0003774C"/>
    <w:rsid w:val="00037EA9"/>
    <w:rsid w:val="000403D9"/>
    <w:rsid w:val="000406C5"/>
    <w:rsid w:val="00040882"/>
    <w:rsid w:val="00040DCC"/>
    <w:rsid w:val="00040EDA"/>
    <w:rsid w:val="00040F55"/>
    <w:rsid w:val="0004135C"/>
    <w:rsid w:val="000413E8"/>
    <w:rsid w:val="00041989"/>
    <w:rsid w:val="00041F62"/>
    <w:rsid w:val="000433EA"/>
    <w:rsid w:val="00043C15"/>
    <w:rsid w:val="00043E62"/>
    <w:rsid w:val="00043ED4"/>
    <w:rsid w:val="0004450A"/>
    <w:rsid w:val="0004458A"/>
    <w:rsid w:val="000445B0"/>
    <w:rsid w:val="00044F94"/>
    <w:rsid w:val="00045534"/>
    <w:rsid w:val="00045913"/>
    <w:rsid w:val="00045F89"/>
    <w:rsid w:val="0004623B"/>
    <w:rsid w:val="000462E9"/>
    <w:rsid w:val="000467F3"/>
    <w:rsid w:val="000467F6"/>
    <w:rsid w:val="00046994"/>
    <w:rsid w:val="00046AA9"/>
    <w:rsid w:val="00050615"/>
    <w:rsid w:val="0005072F"/>
    <w:rsid w:val="00050E86"/>
    <w:rsid w:val="00051E42"/>
    <w:rsid w:val="00051FCD"/>
    <w:rsid w:val="0005248D"/>
    <w:rsid w:val="0005354D"/>
    <w:rsid w:val="000538B7"/>
    <w:rsid w:val="00053EAC"/>
    <w:rsid w:val="00053F41"/>
    <w:rsid w:val="000542FF"/>
    <w:rsid w:val="00054734"/>
    <w:rsid w:val="00054A7D"/>
    <w:rsid w:val="00054C12"/>
    <w:rsid w:val="00055CC0"/>
    <w:rsid w:val="00056019"/>
    <w:rsid w:val="000564DA"/>
    <w:rsid w:val="000567DF"/>
    <w:rsid w:val="00056D8F"/>
    <w:rsid w:val="0005771E"/>
    <w:rsid w:val="00057938"/>
    <w:rsid w:val="000602DC"/>
    <w:rsid w:val="00060422"/>
    <w:rsid w:val="000607B6"/>
    <w:rsid w:val="00060D78"/>
    <w:rsid w:val="00060FC1"/>
    <w:rsid w:val="0006127E"/>
    <w:rsid w:val="00061346"/>
    <w:rsid w:val="0006148D"/>
    <w:rsid w:val="000623DB"/>
    <w:rsid w:val="000624C3"/>
    <w:rsid w:val="000625C1"/>
    <w:rsid w:val="0006278A"/>
    <w:rsid w:val="0006294D"/>
    <w:rsid w:val="00062D4C"/>
    <w:rsid w:val="00063A9B"/>
    <w:rsid w:val="00063B70"/>
    <w:rsid w:val="00063B8F"/>
    <w:rsid w:val="00064C63"/>
    <w:rsid w:val="000650FF"/>
    <w:rsid w:val="00065189"/>
    <w:rsid w:val="000651CB"/>
    <w:rsid w:val="000652B0"/>
    <w:rsid w:val="0006535D"/>
    <w:rsid w:val="00065E20"/>
    <w:rsid w:val="0006621E"/>
    <w:rsid w:val="0006627F"/>
    <w:rsid w:val="00066747"/>
    <w:rsid w:val="00066872"/>
    <w:rsid w:val="0006730E"/>
    <w:rsid w:val="00067942"/>
    <w:rsid w:val="00067A69"/>
    <w:rsid w:val="00067B35"/>
    <w:rsid w:val="00067B56"/>
    <w:rsid w:val="000701F3"/>
    <w:rsid w:val="00070460"/>
    <w:rsid w:val="00070A1A"/>
    <w:rsid w:val="00070B42"/>
    <w:rsid w:val="00070F93"/>
    <w:rsid w:val="000713C1"/>
    <w:rsid w:val="000714DF"/>
    <w:rsid w:val="00071A5B"/>
    <w:rsid w:val="00072074"/>
    <w:rsid w:val="00072DF4"/>
    <w:rsid w:val="00074939"/>
    <w:rsid w:val="00074B79"/>
    <w:rsid w:val="00074C1F"/>
    <w:rsid w:val="00074E49"/>
    <w:rsid w:val="0007503B"/>
    <w:rsid w:val="00076575"/>
    <w:rsid w:val="00076E05"/>
    <w:rsid w:val="00077A4A"/>
    <w:rsid w:val="00077BBB"/>
    <w:rsid w:val="00080F2D"/>
    <w:rsid w:val="00081A9C"/>
    <w:rsid w:val="00081AE2"/>
    <w:rsid w:val="00082608"/>
    <w:rsid w:val="00082AE9"/>
    <w:rsid w:val="00083AB9"/>
    <w:rsid w:val="00083AE8"/>
    <w:rsid w:val="00083C04"/>
    <w:rsid w:val="00084216"/>
    <w:rsid w:val="00084957"/>
    <w:rsid w:val="00084FB0"/>
    <w:rsid w:val="0008540C"/>
    <w:rsid w:val="00086350"/>
    <w:rsid w:val="00086B89"/>
    <w:rsid w:val="00086CAA"/>
    <w:rsid w:val="0008710E"/>
    <w:rsid w:val="00087BF7"/>
    <w:rsid w:val="00087C9D"/>
    <w:rsid w:val="00087F27"/>
    <w:rsid w:val="00090440"/>
    <w:rsid w:val="00090524"/>
    <w:rsid w:val="0009195C"/>
    <w:rsid w:val="00091B14"/>
    <w:rsid w:val="000925B8"/>
    <w:rsid w:val="000925BF"/>
    <w:rsid w:val="000926A8"/>
    <w:rsid w:val="00092B98"/>
    <w:rsid w:val="000950E0"/>
    <w:rsid w:val="00095215"/>
    <w:rsid w:val="000960C0"/>
    <w:rsid w:val="00096178"/>
    <w:rsid w:val="000967F6"/>
    <w:rsid w:val="00097223"/>
    <w:rsid w:val="00097698"/>
    <w:rsid w:val="00097FC2"/>
    <w:rsid w:val="000A01D5"/>
    <w:rsid w:val="000A039A"/>
    <w:rsid w:val="000A051D"/>
    <w:rsid w:val="000A060A"/>
    <w:rsid w:val="000A1B88"/>
    <w:rsid w:val="000A1CB4"/>
    <w:rsid w:val="000A1FC9"/>
    <w:rsid w:val="000A2574"/>
    <w:rsid w:val="000A2A06"/>
    <w:rsid w:val="000A2C2C"/>
    <w:rsid w:val="000A2DA8"/>
    <w:rsid w:val="000A34CA"/>
    <w:rsid w:val="000A3E08"/>
    <w:rsid w:val="000A3E0E"/>
    <w:rsid w:val="000A3EAD"/>
    <w:rsid w:val="000A3FD1"/>
    <w:rsid w:val="000A439A"/>
    <w:rsid w:val="000A5022"/>
    <w:rsid w:val="000A511F"/>
    <w:rsid w:val="000A542F"/>
    <w:rsid w:val="000A552C"/>
    <w:rsid w:val="000A57BE"/>
    <w:rsid w:val="000A57FE"/>
    <w:rsid w:val="000A5DD3"/>
    <w:rsid w:val="000A606D"/>
    <w:rsid w:val="000A63CB"/>
    <w:rsid w:val="000A75AC"/>
    <w:rsid w:val="000B018A"/>
    <w:rsid w:val="000B2260"/>
    <w:rsid w:val="000B28FA"/>
    <w:rsid w:val="000B3417"/>
    <w:rsid w:val="000B3614"/>
    <w:rsid w:val="000B3AEF"/>
    <w:rsid w:val="000B4959"/>
    <w:rsid w:val="000B4AC1"/>
    <w:rsid w:val="000B4CDD"/>
    <w:rsid w:val="000B5041"/>
    <w:rsid w:val="000B5663"/>
    <w:rsid w:val="000B6135"/>
    <w:rsid w:val="000B6A28"/>
    <w:rsid w:val="000B71BC"/>
    <w:rsid w:val="000B73ED"/>
    <w:rsid w:val="000B73FC"/>
    <w:rsid w:val="000B7989"/>
    <w:rsid w:val="000B7C79"/>
    <w:rsid w:val="000C0593"/>
    <w:rsid w:val="000C08DC"/>
    <w:rsid w:val="000C0E25"/>
    <w:rsid w:val="000C17B2"/>
    <w:rsid w:val="000C1EB1"/>
    <w:rsid w:val="000C2B6B"/>
    <w:rsid w:val="000C30E1"/>
    <w:rsid w:val="000C3803"/>
    <w:rsid w:val="000C3D68"/>
    <w:rsid w:val="000C4F6D"/>
    <w:rsid w:val="000C5392"/>
    <w:rsid w:val="000C53DD"/>
    <w:rsid w:val="000C558B"/>
    <w:rsid w:val="000C5AFA"/>
    <w:rsid w:val="000C61AF"/>
    <w:rsid w:val="000C6631"/>
    <w:rsid w:val="000C6F84"/>
    <w:rsid w:val="000D04A7"/>
    <w:rsid w:val="000D0708"/>
    <w:rsid w:val="000D107E"/>
    <w:rsid w:val="000D1587"/>
    <w:rsid w:val="000D18FF"/>
    <w:rsid w:val="000D224B"/>
    <w:rsid w:val="000D244B"/>
    <w:rsid w:val="000D274F"/>
    <w:rsid w:val="000D2A0D"/>
    <w:rsid w:val="000D2DD1"/>
    <w:rsid w:val="000D360F"/>
    <w:rsid w:val="000D3850"/>
    <w:rsid w:val="000D390A"/>
    <w:rsid w:val="000D449E"/>
    <w:rsid w:val="000D4677"/>
    <w:rsid w:val="000D46F2"/>
    <w:rsid w:val="000D4A19"/>
    <w:rsid w:val="000D4C19"/>
    <w:rsid w:val="000D5ADE"/>
    <w:rsid w:val="000D6157"/>
    <w:rsid w:val="000D62BA"/>
    <w:rsid w:val="000D72B6"/>
    <w:rsid w:val="000D749D"/>
    <w:rsid w:val="000E1098"/>
    <w:rsid w:val="000E13D3"/>
    <w:rsid w:val="000E1512"/>
    <w:rsid w:val="000E2034"/>
    <w:rsid w:val="000E2646"/>
    <w:rsid w:val="000E298F"/>
    <w:rsid w:val="000E2D14"/>
    <w:rsid w:val="000E308F"/>
    <w:rsid w:val="000E317E"/>
    <w:rsid w:val="000E3744"/>
    <w:rsid w:val="000E49BD"/>
    <w:rsid w:val="000E589F"/>
    <w:rsid w:val="000E5B64"/>
    <w:rsid w:val="000E5DE0"/>
    <w:rsid w:val="000E5E90"/>
    <w:rsid w:val="000E6C35"/>
    <w:rsid w:val="000E7F47"/>
    <w:rsid w:val="000E7F5A"/>
    <w:rsid w:val="000F0682"/>
    <w:rsid w:val="000F0F57"/>
    <w:rsid w:val="000F149F"/>
    <w:rsid w:val="000F18D8"/>
    <w:rsid w:val="000F1B0F"/>
    <w:rsid w:val="000F2061"/>
    <w:rsid w:val="000F21A7"/>
    <w:rsid w:val="000F25F1"/>
    <w:rsid w:val="000F27FC"/>
    <w:rsid w:val="000F2DD6"/>
    <w:rsid w:val="000F3097"/>
    <w:rsid w:val="000F3F7B"/>
    <w:rsid w:val="000F438A"/>
    <w:rsid w:val="000F4683"/>
    <w:rsid w:val="000F4D08"/>
    <w:rsid w:val="000F50ED"/>
    <w:rsid w:val="000F5104"/>
    <w:rsid w:val="000F514B"/>
    <w:rsid w:val="000F5F7A"/>
    <w:rsid w:val="000F689E"/>
    <w:rsid w:val="000F71F4"/>
    <w:rsid w:val="000F7319"/>
    <w:rsid w:val="000F75B3"/>
    <w:rsid w:val="001004AB"/>
    <w:rsid w:val="001006C9"/>
    <w:rsid w:val="0010073A"/>
    <w:rsid w:val="00100C75"/>
    <w:rsid w:val="00101256"/>
    <w:rsid w:val="00102232"/>
    <w:rsid w:val="001022C5"/>
    <w:rsid w:val="0010234A"/>
    <w:rsid w:val="00102CAE"/>
    <w:rsid w:val="001036FE"/>
    <w:rsid w:val="0010395E"/>
    <w:rsid w:val="00104769"/>
    <w:rsid w:val="0010479D"/>
    <w:rsid w:val="00105265"/>
    <w:rsid w:val="001068FA"/>
    <w:rsid w:val="00107B62"/>
    <w:rsid w:val="00110F38"/>
    <w:rsid w:val="001119A9"/>
    <w:rsid w:val="00111D54"/>
    <w:rsid w:val="00111DD1"/>
    <w:rsid w:val="0011250B"/>
    <w:rsid w:val="0011270B"/>
    <w:rsid w:val="00112B99"/>
    <w:rsid w:val="00113AB7"/>
    <w:rsid w:val="00113ECD"/>
    <w:rsid w:val="00115264"/>
    <w:rsid w:val="00115457"/>
    <w:rsid w:val="00115469"/>
    <w:rsid w:val="001155AE"/>
    <w:rsid w:val="0011657B"/>
    <w:rsid w:val="00116A33"/>
    <w:rsid w:val="00116BFC"/>
    <w:rsid w:val="00117713"/>
    <w:rsid w:val="00117A77"/>
    <w:rsid w:val="00117AD4"/>
    <w:rsid w:val="00117E7A"/>
    <w:rsid w:val="00117F83"/>
    <w:rsid w:val="00120007"/>
    <w:rsid w:val="00120B0F"/>
    <w:rsid w:val="001213D4"/>
    <w:rsid w:val="00121DF5"/>
    <w:rsid w:val="00122D2A"/>
    <w:rsid w:val="001230EC"/>
    <w:rsid w:val="0012329A"/>
    <w:rsid w:val="001232B7"/>
    <w:rsid w:val="00123723"/>
    <w:rsid w:val="001237DD"/>
    <w:rsid w:val="001238C6"/>
    <w:rsid w:val="00123ADD"/>
    <w:rsid w:val="00123D1E"/>
    <w:rsid w:val="00124567"/>
    <w:rsid w:val="001248EE"/>
    <w:rsid w:val="00124923"/>
    <w:rsid w:val="00125D38"/>
    <w:rsid w:val="001278DE"/>
    <w:rsid w:val="00127B60"/>
    <w:rsid w:val="001306D9"/>
    <w:rsid w:val="0013082E"/>
    <w:rsid w:val="0013110B"/>
    <w:rsid w:val="00131138"/>
    <w:rsid w:val="001312F7"/>
    <w:rsid w:val="00131879"/>
    <w:rsid w:val="001319FA"/>
    <w:rsid w:val="00132898"/>
    <w:rsid w:val="001337A6"/>
    <w:rsid w:val="0013384C"/>
    <w:rsid w:val="00133950"/>
    <w:rsid w:val="00134011"/>
    <w:rsid w:val="00134411"/>
    <w:rsid w:val="00134815"/>
    <w:rsid w:val="00135DF9"/>
    <w:rsid w:val="00135EEC"/>
    <w:rsid w:val="00136AAC"/>
    <w:rsid w:val="00136D58"/>
    <w:rsid w:val="00136EDE"/>
    <w:rsid w:val="001372F0"/>
    <w:rsid w:val="001379F9"/>
    <w:rsid w:val="00137E20"/>
    <w:rsid w:val="00140D68"/>
    <w:rsid w:val="0014151F"/>
    <w:rsid w:val="0014171D"/>
    <w:rsid w:val="00142DAB"/>
    <w:rsid w:val="00142DE2"/>
    <w:rsid w:val="00142E23"/>
    <w:rsid w:val="00142E8F"/>
    <w:rsid w:val="001430CE"/>
    <w:rsid w:val="00143883"/>
    <w:rsid w:val="0014446D"/>
    <w:rsid w:val="001449E1"/>
    <w:rsid w:val="00145562"/>
    <w:rsid w:val="0014594B"/>
    <w:rsid w:val="00145C3E"/>
    <w:rsid w:val="00146443"/>
    <w:rsid w:val="001464B6"/>
    <w:rsid w:val="001465D5"/>
    <w:rsid w:val="00147F82"/>
    <w:rsid w:val="00151939"/>
    <w:rsid w:val="00151B4D"/>
    <w:rsid w:val="00152590"/>
    <w:rsid w:val="001526CB"/>
    <w:rsid w:val="00152D91"/>
    <w:rsid w:val="00153C4A"/>
    <w:rsid w:val="00154B60"/>
    <w:rsid w:val="00155ACA"/>
    <w:rsid w:val="001562BD"/>
    <w:rsid w:val="001563B3"/>
    <w:rsid w:val="0015680D"/>
    <w:rsid w:val="00156C9E"/>
    <w:rsid w:val="00157DD5"/>
    <w:rsid w:val="001607CF"/>
    <w:rsid w:val="00160CE0"/>
    <w:rsid w:val="001611BF"/>
    <w:rsid w:val="001612AC"/>
    <w:rsid w:val="00161391"/>
    <w:rsid w:val="0016139C"/>
    <w:rsid w:val="001624E7"/>
    <w:rsid w:val="001625E3"/>
    <w:rsid w:val="00162913"/>
    <w:rsid w:val="001629BB"/>
    <w:rsid w:val="001630A8"/>
    <w:rsid w:val="00164866"/>
    <w:rsid w:val="001650F7"/>
    <w:rsid w:val="00165466"/>
    <w:rsid w:val="00165BF6"/>
    <w:rsid w:val="0016637D"/>
    <w:rsid w:val="00166902"/>
    <w:rsid w:val="00166E35"/>
    <w:rsid w:val="00167E24"/>
    <w:rsid w:val="001705ED"/>
    <w:rsid w:val="0017070C"/>
    <w:rsid w:val="00170774"/>
    <w:rsid w:val="001709C5"/>
    <w:rsid w:val="00170BA8"/>
    <w:rsid w:val="00170BE3"/>
    <w:rsid w:val="001718D7"/>
    <w:rsid w:val="00171A7A"/>
    <w:rsid w:val="00171B8C"/>
    <w:rsid w:val="0017246F"/>
    <w:rsid w:val="00172477"/>
    <w:rsid w:val="00172D15"/>
    <w:rsid w:val="00172E15"/>
    <w:rsid w:val="00172ED7"/>
    <w:rsid w:val="001736D3"/>
    <w:rsid w:val="00173BCF"/>
    <w:rsid w:val="0017436A"/>
    <w:rsid w:val="00174907"/>
    <w:rsid w:val="00174EAC"/>
    <w:rsid w:val="001757A4"/>
    <w:rsid w:val="001757B0"/>
    <w:rsid w:val="00175BE6"/>
    <w:rsid w:val="001760C1"/>
    <w:rsid w:val="00176729"/>
    <w:rsid w:val="001776F9"/>
    <w:rsid w:val="00180329"/>
    <w:rsid w:val="00180759"/>
    <w:rsid w:val="0018096D"/>
    <w:rsid w:val="00180AAE"/>
    <w:rsid w:val="00180C0A"/>
    <w:rsid w:val="00181BD6"/>
    <w:rsid w:val="00181C6A"/>
    <w:rsid w:val="00181D58"/>
    <w:rsid w:val="001824BF"/>
    <w:rsid w:val="0018492F"/>
    <w:rsid w:val="00185051"/>
    <w:rsid w:val="001855DB"/>
    <w:rsid w:val="00185713"/>
    <w:rsid w:val="00185730"/>
    <w:rsid w:val="00187051"/>
    <w:rsid w:val="0018792E"/>
    <w:rsid w:val="00187ACE"/>
    <w:rsid w:val="00190860"/>
    <w:rsid w:val="001909AA"/>
    <w:rsid w:val="00190AA8"/>
    <w:rsid w:val="001911A6"/>
    <w:rsid w:val="00191354"/>
    <w:rsid w:val="00191A5A"/>
    <w:rsid w:val="00191D85"/>
    <w:rsid w:val="00191FEB"/>
    <w:rsid w:val="00192390"/>
    <w:rsid w:val="001931C9"/>
    <w:rsid w:val="00193256"/>
    <w:rsid w:val="0019333B"/>
    <w:rsid w:val="00193795"/>
    <w:rsid w:val="00193947"/>
    <w:rsid w:val="00194142"/>
    <w:rsid w:val="0019431F"/>
    <w:rsid w:val="0019469C"/>
    <w:rsid w:val="00194B73"/>
    <w:rsid w:val="00194E3A"/>
    <w:rsid w:val="001954B4"/>
    <w:rsid w:val="001967C1"/>
    <w:rsid w:val="00196C3E"/>
    <w:rsid w:val="001972BF"/>
    <w:rsid w:val="0019788E"/>
    <w:rsid w:val="00197C04"/>
    <w:rsid w:val="001A0082"/>
    <w:rsid w:val="001A0C6B"/>
    <w:rsid w:val="001A14AD"/>
    <w:rsid w:val="001A1FC4"/>
    <w:rsid w:val="001A20E5"/>
    <w:rsid w:val="001A2AB8"/>
    <w:rsid w:val="001A2C43"/>
    <w:rsid w:val="001A3532"/>
    <w:rsid w:val="001A3CEA"/>
    <w:rsid w:val="001A5658"/>
    <w:rsid w:val="001A5863"/>
    <w:rsid w:val="001A5A82"/>
    <w:rsid w:val="001A607E"/>
    <w:rsid w:val="001A611A"/>
    <w:rsid w:val="001A64A7"/>
    <w:rsid w:val="001A6D69"/>
    <w:rsid w:val="001A6DE5"/>
    <w:rsid w:val="001A6E8B"/>
    <w:rsid w:val="001A757D"/>
    <w:rsid w:val="001B03A5"/>
    <w:rsid w:val="001B1944"/>
    <w:rsid w:val="001B1F0B"/>
    <w:rsid w:val="001B1FF3"/>
    <w:rsid w:val="001B2623"/>
    <w:rsid w:val="001B2D56"/>
    <w:rsid w:val="001B317D"/>
    <w:rsid w:val="001B46C6"/>
    <w:rsid w:val="001B4BA3"/>
    <w:rsid w:val="001B52BD"/>
    <w:rsid w:val="001B57D6"/>
    <w:rsid w:val="001B5BA9"/>
    <w:rsid w:val="001B65E2"/>
    <w:rsid w:val="001B7562"/>
    <w:rsid w:val="001C07D0"/>
    <w:rsid w:val="001C1BE0"/>
    <w:rsid w:val="001C38D4"/>
    <w:rsid w:val="001C42F3"/>
    <w:rsid w:val="001C559E"/>
    <w:rsid w:val="001C5D78"/>
    <w:rsid w:val="001C770A"/>
    <w:rsid w:val="001C7765"/>
    <w:rsid w:val="001C7935"/>
    <w:rsid w:val="001D03A6"/>
    <w:rsid w:val="001D04A7"/>
    <w:rsid w:val="001D0565"/>
    <w:rsid w:val="001D0701"/>
    <w:rsid w:val="001D09A5"/>
    <w:rsid w:val="001D19A5"/>
    <w:rsid w:val="001D22DE"/>
    <w:rsid w:val="001D28CF"/>
    <w:rsid w:val="001D2FB3"/>
    <w:rsid w:val="001D37B8"/>
    <w:rsid w:val="001D40AF"/>
    <w:rsid w:val="001D4791"/>
    <w:rsid w:val="001D481C"/>
    <w:rsid w:val="001D6404"/>
    <w:rsid w:val="001D6A2E"/>
    <w:rsid w:val="001D6B37"/>
    <w:rsid w:val="001D6D19"/>
    <w:rsid w:val="001D7C2B"/>
    <w:rsid w:val="001E00C0"/>
    <w:rsid w:val="001E0197"/>
    <w:rsid w:val="001E0358"/>
    <w:rsid w:val="001E070D"/>
    <w:rsid w:val="001E0E6D"/>
    <w:rsid w:val="001E0F0A"/>
    <w:rsid w:val="001E1101"/>
    <w:rsid w:val="001E1DB7"/>
    <w:rsid w:val="001E317D"/>
    <w:rsid w:val="001E3265"/>
    <w:rsid w:val="001E38F8"/>
    <w:rsid w:val="001E3BED"/>
    <w:rsid w:val="001E468A"/>
    <w:rsid w:val="001E4ED1"/>
    <w:rsid w:val="001E4F85"/>
    <w:rsid w:val="001E5218"/>
    <w:rsid w:val="001E5AB2"/>
    <w:rsid w:val="001E5EC4"/>
    <w:rsid w:val="001E604A"/>
    <w:rsid w:val="001E65F6"/>
    <w:rsid w:val="001E675F"/>
    <w:rsid w:val="001E6F72"/>
    <w:rsid w:val="001E707A"/>
    <w:rsid w:val="001E72CD"/>
    <w:rsid w:val="001E781E"/>
    <w:rsid w:val="001F0548"/>
    <w:rsid w:val="001F056A"/>
    <w:rsid w:val="001F0E91"/>
    <w:rsid w:val="001F1E8B"/>
    <w:rsid w:val="001F296B"/>
    <w:rsid w:val="001F2995"/>
    <w:rsid w:val="001F33A4"/>
    <w:rsid w:val="001F468C"/>
    <w:rsid w:val="001F49D3"/>
    <w:rsid w:val="001F50CB"/>
    <w:rsid w:val="001F54C8"/>
    <w:rsid w:val="001F5CC5"/>
    <w:rsid w:val="001F65F0"/>
    <w:rsid w:val="001F6F9F"/>
    <w:rsid w:val="001F75D9"/>
    <w:rsid w:val="002008D8"/>
    <w:rsid w:val="00200A7D"/>
    <w:rsid w:val="00200CAA"/>
    <w:rsid w:val="00201433"/>
    <w:rsid w:val="00201ADA"/>
    <w:rsid w:val="002022CD"/>
    <w:rsid w:val="00202ED8"/>
    <w:rsid w:val="00203420"/>
    <w:rsid w:val="00204019"/>
    <w:rsid w:val="002041BD"/>
    <w:rsid w:val="00204BCA"/>
    <w:rsid w:val="002062A3"/>
    <w:rsid w:val="002068D0"/>
    <w:rsid w:val="00206905"/>
    <w:rsid w:val="002069A2"/>
    <w:rsid w:val="00206E78"/>
    <w:rsid w:val="0020787B"/>
    <w:rsid w:val="00207D5C"/>
    <w:rsid w:val="00210C1A"/>
    <w:rsid w:val="0021100F"/>
    <w:rsid w:val="00211352"/>
    <w:rsid w:val="00212225"/>
    <w:rsid w:val="00212443"/>
    <w:rsid w:val="00212555"/>
    <w:rsid w:val="00212AD6"/>
    <w:rsid w:val="00212EB5"/>
    <w:rsid w:val="002131D6"/>
    <w:rsid w:val="00213470"/>
    <w:rsid w:val="002134E7"/>
    <w:rsid w:val="00213B79"/>
    <w:rsid w:val="00213F8B"/>
    <w:rsid w:val="00215B48"/>
    <w:rsid w:val="00215F9F"/>
    <w:rsid w:val="00216422"/>
    <w:rsid w:val="00216D22"/>
    <w:rsid w:val="00217570"/>
    <w:rsid w:val="00220082"/>
    <w:rsid w:val="0022071B"/>
    <w:rsid w:val="00220ADC"/>
    <w:rsid w:val="00220DDA"/>
    <w:rsid w:val="00221671"/>
    <w:rsid w:val="00221CEF"/>
    <w:rsid w:val="00222BC6"/>
    <w:rsid w:val="00222C22"/>
    <w:rsid w:val="00223149"/>
    <w:rsid w:val="00224313"/>
    <w:rsid w:val="00224DB8"/>
    <w:rsid w:val="002263CF"/>
    <w:rsid w:val="002265B1"/>
    <w:rsid w:val="00226828"/>
    <w:rsid w:val="0022682F"/>
    <w:rsid w:val="0022780D"/>
    <w:rsid w:val="00227DB5"/>
    <w:rsid w:val="00230355"/>
    <w:rsid w:val="00230CE9"/>
    <w:rsid w:val="00230FC6"/>
    <w:rsid w:val="002310AD"/>
    <w:rsid w:val="00231658"/>
    <w:rsid w:val="00231C6B"/>
    <w:rsid w:val="002322B5"/>
    <w:rsid w:val="00233B8C"/>
    <w:rsid w:val="002346B3"/>
    <w:rsid w:val="00235049"/>
    <w:rsid w:val="00235190"/>
    <w:rsid w:val="00235FA1"/>
    <w:rsid w:val="0023606F"/>
    <w:rsid w:val="00236744"/>
    <w:rsid w:val="002367A3"/>
    <w:rsid w:val="00236A40"/>
    <w:rsid w:val="00236CB0"/>
    <w:rsid w:val="00237C2E"/>
    <w:rsid w:val="002402DE"/>
    <w:rsid w:val="002408F7"/>
    <w:rsid w:val="00240DFE"/>
    <w:rsid w:val="00242B92"/>
    <w:rsid w:val="00243643"/>
    <w:rsid w:val="00243E24"/>
    <w:rsid w:val="002444EC"/>
    <w:rsid w:val="00244FF1"/>
    <w:rsid w:val="00245C43"/>
    <w:rsid w:val="00247A3A"/>
    <w:rsid w:val="002503DA"/>
    <w:rsid w:val="00251D22"/>
    <w:rsid w:val="002530B9"/>
    <w:rsid w:val="00253423"/>
    <w:rsid w:val="00253910"/>
    <w:rsid w:val="0025398A"/>
    <w:rsid w:val="0025481E"/>
    <w:rsid w:val="002548CF"/>
    <w:rsid w:val="00254D13"/>
    <w:rsid w:val="0025536E"/>
    <w:rsid w:val="0025537E"/>
    <w:rsid w:val="00255867"/>
    <w:rsid w:val="00255B73"/>
    <w:rsid w:val="00256485"/>
    <w:rsid w:val="00256642"/>
    <w:rsid w:val="00257305"/>
    <w:rsid w:val="00257DC8"/>
    <w:rsid w:val="00257F62"/>
    <w:rsid w:val="00260C00"/>
    <w:rsid w:val="00260C26"/>
    <w:rsid w:val="00260C93"/>
    <w:rsid w:val="00261897"/>
    <w:rsid w:val="002618BB"/>
    <w:rsid w:val="002618F5"/>
    <w:rsid w:val="00261D68"/>
    <w:rsid w:val="00261EEF"/>
    <w:rsid w:val="00262002"/>
    <w:rsid w:val="00262050"/>
    <w:rsid w:val="00262256"/>
    <w:rsid w:val="00263129"/>
    <w:rsid w:val="002633B6"/>
    <w:rsid w:val="00263545"/>
    <w:rsid w:val="002637D7"/>
    <w:rsid w:val="00263E92"/>
    <w:rsid w:val="00264803"/>
    <w:rsid w:val="00264DBD"/>
    <w:rsid w:val="0026583F"/>
    <w:rsid w:val="00265C58"/>
    <w:rsid w:val="00265C71"/>
    <w:rsid w:val="00266156"/>
    <w:rsid w:val="00266365"/>
    <w:rsid w:val="0026652A"/>
    <w:rsid w:val="00266A16"/>
    <w:rsid w:val="00266A8B"/>
    <w:rsid w:val="00266CCC"/>
    <w:rsid w:val="00267008"/>
    <w:rsid w:val="00267599"/>
    <w:rsid w:val="0027008A"/>
    <w:rsid w:val="00270189"/>
    <w:rsid w:val="00271817"/>
    <w:rsid w:val="00271C59"/>
    <w:rsid w:val="002720C4"/>
    <w:rsid w:val="00272318"/>
    <w:rsid w:val="002735CF"/>
    <w:rsid w:val="0027396B"/>
    <w:rsid w:val="00273AEC"/>
    <w:rsid w:val="00273B5F"/>
    <w:rsid w:val="00274335"/>
    <w:rsid w:val="00274D42"/>
    <w:rsid w:val="0027554A"/>
    <w:rsid w:val="002757BB"/>
    <w:rsid w:val="002761AC"/>
    <w:rsid w:val="002771EC"/>
    <w:rsid w:val="00277663"/>
    <w:rsid w:val="00277D9B"/>
    <w:rsid w:val="00277E93"/>
    <w:rsid w:val="002803E1"/>
    <w:rsid w:val="002804DF"/>
    <w:rsid w:val="00280661"/>
    <w:rsid w:val="002809C1"/>
    <w:rsid w:val="00280D09"/>
    <w:rsid w:val="00280F3D"/>
    <w:rsid w:val="00281104"/>
    <w:rsid w:val="002814FF"/>
    <w:rsid w:val="002816C0"/>
    <w:rsid w:val="002818F9"/>
    <w:rsid w:val="0028192C"/>
    <w:rsid w:val="00281BB8"/>
    <w:rsid w:val="00281DA5"/>
    <w:rsid w:val="00283128"/>
    <w:rsid w:val="00283397"/>
    <w:rsid w:val="0028401C"/>
    <w:rsid w:val="002844F0"/>
    <w:rsid w:val="00284BB1"/>
    <w:rsid w:val="00285689"/>
    <w:rsid w:val="00285CAF"/>
    <w:rsid w:val="00285E5C"/>
    <w:rsid w:val="00286A8A"/>
    <w:rsid w:val="00286C85"/>
    <w:rsid w:val="0028769A"/>
    <w:rsid w:val="00287C9B"/>
    <w:rsid w:val="00287E1F"/>
    <w:rsid w:val="0029024C"/>
    <w:rsid w:val="00290644"/>
    <w:rsid w:val="00291CCE"/>
    <w:rsid w:val="002924F5"/>
    <w:rsid w:val="002929DE"/>
    <w:rsid w:val="00292BFC"/>
    <w:rsid w:val="00293079"/>
    <w:rsid w:val="00293A90"/>
    <w:rsid w:val="00294173"/>
    <w:rsid w:val="0029505C"/>
    <w:rsid w:val="0029516E"/>
    <w:rsid w:val="002952FB"/>
    <w:rsid w:val="00295EB4"/>
    <w:rsid w:val="00295F23"/>
    <w:rsid w:val="0029749E"/>
    <w:rsid w:val="002974FB"/>
    <w:rsid w:val="002975DB"/>
    <w:rsid w:val="002977C2"/>
    <w:rsid w:val="00297EFE"/>
    <w:rsid w:val="002A0EA9"/>
    <w:rsid w:val="002A19B0"/>
    <w:rsid w:val="002A1BE7"/>
    <w:rsid w:val="002A1C94"/>
    <w:rsid w:val="002A29EC"/>
    <w:rsid w:val="002A2F6C"/>
    <w:rsid w:val="002A4643"/>
    <w:rsid w:val="002A4AA5"/>
    <w:rsid w:val="002A4B65"/>
    <w:rsid w:val="002A5279"/>
    <w:rsid w:val="002A66D9"/>
    <w:rsid w:val="002B06AA"/>
    <w:rsid w:val="002B0B6E"/>
    <w:rsid w:val="002B2206"/>
    <w:rsid w:val="002B2B9C"/>
    <w:rsid w:val="002B2CA7"/>
    <w:rsid w:val="002B2DDD"/>
    <w:rsid w:val="002B380F"/>
    <w:rsid w:val="002B3DE9"/>
    <w:rsid w:val="002B4B40"/>
    <w:rsid w:val="002B4FB7"/>
    <w:rsid w:val="002B507A"/>
    <w:rsid w:val="002B661A"/>
    <w:rsid w:val="002C05DA"/>
    <w:rsid w:val="002C0895"/>
    <w:rsid w:val="002C0B8F"/>
    <w:rsid w:val="002C1770"/>
    <w:rsid w:val="002C1A21"/>
    <w:rsid w:val="002C28BE"/>
    <w:rsid w:val="002C2D3B"/>
    <w:rsid w:val="002C2DB8"/>
    <w:rsid w:val="002C3709"/>
    <w:rsid w:val="002C3C7C"/>
    <w:rsid w:val="002C3F2F"/>
    <w:rsid w:val="002C499E"/>
    <w:rsid w:val="002C4B77"/>
    <w:rsid w:val="002C4BBD"/>
    <w:rsid w:val="002C4C76"/>
    <w:rsid w:val="002C4EE4"/>
    <w:rsid w:val="002C53CB"/>
    <w:rsid w:val="002C5C15"/>
    <w:rsid w:val="002C5DC2"/>
    <w:rsid w:val="002C6174"/>
    <w:rsid w:val="002C6425"/>
    <w:rsid w:val="002C6704"/>
    <w:rsid w:val="002C6C74"/>
    <w:rsid w:val="002C6CEF"/>
    <w:rsid w:val="002C6E71"/>
    <w:rsid w:val="002C768C"/>
    <w:rsid w:val="002C7A05"/>
    <w:rsid w:val="002C7B21"/>
    <w:rsid w:val="002C7EAF"/>
    <w:rsid w:val="002D02E4"/>
    <w:rsid w:val="002D02F4"/>
    <w:rsid w:val="002D05A2"/>
    <w:rsid w:val="002D0C1D"/>
    <w:rsid w:val="002D22BD"/>
    <w:rsid w:val="002D312E"/>
    <w:rsid w:val="002D3FD5"/>
    <w:rsid w:val="002D40FF"/>
    <w:rsid w:val="002D430F"/>
    <w:rsid w:val="002D46DE"/>
    <w:rsid w:val="002D5503"/>
    <w:rsid w:val="002D5705"/>
    <w:rsid w:val="002D5CA2"/>
    <w:rsid w:val="002D5DD8"/>
    <w:rsid w:val="002D6645"/>
    <w:rsid w:val="002D6779"/>
    <w:rsid w:val="002D69A3"/>
    <w:rsid w:val="002D6B3D"/>
    <w:rsid w:val="002D7A92"/>
    <w:rsid w:val="002D7DB8"/>
    <w:rsid w:val="002E0465"/>
    <w:rsid w:val="002E058B"/>
    <w:rsid w:val="002E101D"/>
    <w:rsid w:val="002E198D"/>
    <w:rsid w:val="002E1CFE"/>
    <w:rsid w:val="002E1E43"/>
    <w:rsid w:val="002E1F3C"/>
    <w:rsid w:val="002E34EF"/>
    <w:rsid w:val="002E3F46"/>
    <w:rsid w:val="002E3F7F"/>
    <w:rsid w:val="002E41BB"/>
    <w:rsid w:val="002E4BF5"/>
    <w:rsid w:val="002E4C34"/>
    <w:rsid w:val="002E4E41"/>
    <w:rsid w:val="002E4EDC"/>
    <w:rsid w:val="002E54FF"/>
    <w:rsid w:val="002E5916"/>
    <w:rsid w:val="002E5A15"/>
    <w:rsid w:val="002E5B8D"/>
    <w:rsid w:val="002E60E2"/>
    <w:rsid w:val="002E6291"/>
    <w:rsid w:val="002E66E6"/>
    <w:rsid w:val="002E67CA"/>
    <w:rsid w:val="002E6804"/>
    <w:rsid w:val="002E767A"/>
    <w:rsid w:val="002E7A23"/>
    <w:rsid w:val="002F05E4"/>
    <w:rsid w:val="002F0677"/>
    <w:rsid w:val="002F0D37"/>
    <w:rsid w:val="002F0DA4"/>
    <w:rsid w:val="002F0E25"/>
    <w:rsid w:val="002F11E0"/>
    <w:rsid w:val="002F1372"/>
    <w:rsid w:val="002F1445"/>
    <w:rsid w:val="002F16AA"/>
    <w:rsid w:val="002F1DF0"/>
    <w:rsid w:val="002F1EAC"/>
    <w:rsid w:val="002F2344"/>
    <w:rsid w:val="002F2567"/>
    <w:rsid w:val="002F274F"/>
    <w:rsid w:val="002F2949"/>
    <w:rsid w:val="002F3F6E"/>
    <w:rsid w:val="002F3F86"/>
    <w:rsid w:val="002F431B"/>
    <w:rsid w:val="002F488E"/>
    <w:rsid w:val="002F49DD"/>
    <w:rsid w:val="002F5BE2"/>
    <w:rsid w:val="002F5D30"/>
    <w:rsid w:val="002F5EBD"/>
    <w:rsid w:val="002F6331"/>
    <w:rsid w:val="002F7AEB"/>
    <w:rsid w:val="002F7BB4"/>
    <w:rsid w:val="0030084F"/>
    <w:rsid w:val="00302595"/>
    <w:rsid w:val="003031E1"/>
    <w:rsid w:val="0030327D"/>
    <w:rsid w:val="00303B6B"/>
    <w:rsid w:val="00303C55"/>
    <w:rsid w:val="00303D5B"/>
    <w:rsid w:val="0030458E"/>
    <w:rsid w:val="0030460F"/>
    <w:rsid w:val="0030516C"/>
    <w:rsid w:val="003051A9"/>
    <w:rsid w:val="003062A2"/>
    <w:rsid w:val="00306D6F"/>
    <w:rsid w:val="003073C2"/>
    <w:rsid w:val="003078FF"/>
    <w:rsid w:val="00307EE2"/>
    <w:rsid w:val="00310A6A"/>
    <w:rsid w:val="00310F8B"/>
    <w:rsid w:val="00311650"/>
    <w:rsid w:val="0031188F"/>
    <w:rsid w:val="00311949"/>
    <w:rsid w:val="00311C2D"/>
    <w:rsid w:val="00311FC8"/>
    <w:rsid w:val="0031339F"/>
    <w:rsid w:val="003133EA"/>
    <w:rsid w:val="0031427E"/>
    <w:rsid w:val="00314A8D"/>
    <w:rsid w:val="003151EE"/>
    <w:rsid w:val="003152F1"/>
    <w:rsid w:val="00316A77"/>
    <w:rsid w:val="00316BF5"/>
    <w:rsid w:val="00317030"/>
    <w:rsid w:val="0031727F"/>
    <w:rsid w:val="00317657"/>
    <w:rsid w:val="00317DD9"/>
    <w:rsid w:val="00317EC1"/>
    <w:rsid w:val="003208A0"/>
    <w:rsid w:val="003209E6"/>
    <w:rsid w:val="003210F7"/>
    <w:rsid w:val="00321B6A"/>
    <w:rsid w:val="003224EA"/>
    <w:rsid w:val="003226CA"/>
    <w:rsid w:val="00322902"/>
    <w:rsid w:val="00322D00"/>
    <w:rsid w:val="00323B65"/>
    <w:rsid w:val="0032556D"/>
    <w:rsid w:val="003259C0"/>
    <w:rsid w:val="00326551"/>
    <w:rsid w:val="00326860"/>
    <w:rsid w:val="003268AD"/>
    <w:rsid w:val="00327A24"/>
    <w:rsid w:val="00327A66"/>
    <w:rsid w:val="00327D6D"/>
    <w:rsid w:val="00327DCC"/>
    <w:rsid w:val="003303D8"/>
    <w:rsid w:val="00330F50"/>
    <w:rsid w:val="003313CC"/>
    <w:rsid w:val="003318D0"/>
    <w:rsid w:val="00331ADC"/>
    <w:rsid w:val="003322DD"/>
    <w:rsid w:val="00332E6C"/>
    <w:rsid w:val="003335C4"/>
    <w:rsid w:val="003339FB"/>
    <w:rsid w:val="00333C8F"/>
    <w:rsid w:val="00334383"/>
    <w:rsid w:val="00334396"/>
    <w:rsid w:val="003346DB"/>
    <w:rsid w:val="00334B69"/>
    <w:rsid w:val="0033519A"/>
    <w:rsid w:val="003354A8"/>
    <w:rsid w:val="003354AB"/>
    <w:rsid w:val="00336074"/>
    <w:rsid w:val="00336673"/>
    <w:rsid w:val="003369F5"/>
    <w:rsid w:val="00336EDE"/>
    <w:rsid w:val="00337CFC"/>
    <w:rsid w:val="003408EF"/>
    <w:rsid w:val="00341455"/>
    <w:rsid w:val="00341591"/>
    <w:rsid w:val="0034204A"/>
    <w:rsid w:val="00342C64"/>
    <w:rsid w:val="00343D3B"/>
    <w:rsid w:val="003442C2"/>
    <w:rsid w:val="00344501"/>
    <w:rsid w:val="003449E9"/>
    <w:rsid w:val="00344C06"/>
    <w:rsid w:val="00345030"/>
    <w:rsid w:val="00345532"/>
    <w:rsid w:val="0034683E"/>
    <w:rsid w:val="00346A5F"/>
    <w:rsid w:val="003476BA"/>
    <w:rsid w:val="00350724"/>
    <w:rsid w:val="003515D7"/>
    <w:rsid w:val="003524B7"/>
    <w:rsid w:val="00352CD7"/>
    <w:rsid w:val="0035305A"/>
    <w:rsid w:val="0035323D"/>
    <w:rsid w:val="003538A0"/>
    <w:rsid w:val="00353D78"/>
    <w:rsid w:val="00353E03"/>
    <w:rsid w:val="00353E5E"/>
    <w:rsid w:val="003540B7"/>
    <w:rsid w:val="0035410F"/>
    <w:rsid w:val="00354E2D"/>
    <w:rsid w:val="0035512E"/>
    <w:rsid w:val="0035572F"/>
    <w:rsid w:val="003557AE"/>
    <w:rsid w:val="00355948"/>
    <w:rsid w:val="00356720"/>
    <w:rsid w:val="0035727B"/>
    <w:rsid w:val="0035751A"/>
    <w:rsid w:val="003578AD"/>
    <w:rsid w:val="00357AC5"/>
    <w:rsid w:val="00357DA0"/>
    <w:rsid w:val="003601FC"/>
    <w:rsid w:val="0036074A"/>
    <w:rsid w:val="00361020"/>
    <w:rsid w:val="00361216"/>
    <w:rsid w:val="003613DB"/>
    <w:rsid w:val="00361ACB"/>
    <w:rsid w:val="00361B22"/>
    <w:rsid w:val="00362A94"/>
    <w:rsid w:val="0036388F"/>
    <w:rsid w:val="00364391"/>
    <w:rsid w:val="00365163"/>
    <w:rsid w:val="00365D78"/>
    <w:rsid w:val="00365E65"/>
    <w:rsid w:val="0036655F"/>
    <w:rsid w:val="00366A81"/>
    <w:rsid w:val="00366CB4"/>
    <w:rsid w:val="00366F50"/>
    <w:rsid w:val="003670D4"/>
    <w:rsid w:val="00367910"/>
    <w:rsid w:val="00367CCA"/>
    <w:rsid w:val="003709B5"/>
    <w:rsid w:val="003709B6"/>
    <w:rsid w:val="00370B8B"/>
    <w:rsid w:val="00370BCE"/>
    <w:rsid w:val="00370C96"/>
    <w:rsid w:val="00370D0A"/>
    <w:rsid w:val="0037105C"/>
    <w:rsid w:val="00371234"/>
    <w:rsid w:val="00371623"/>
    <w:rsid w:val="00371833"/>
    <w:rsid w:val="003719B2"/>
    <w:rsid w:val="00371C3C"/>
    <w:rsid w:val="003721CF"/>
    <w:rsid w:val="003727CE"/>
    <w:rsid w:val="00372FEA"/>
    <w:rsid w:val="00373365"/>
    <w:rsid w:val="003735A0"/>
    <w:rsid w:val="00373AE8"/>
    <w:rsid w:val="00373E75"/>
    <w:rsid w:val="00374019"/>
    <w:rsid w:val="00374239"/>
    <w:rsid w:val="003742CD"/>
    <w:rsid w:val="003743C2"/>
    <w:rsid w:val="00374554"/>
    <w:rsid w:val="00374714"/>
    <w:rsid w:val="00374B10"/>
    <w:rsid w:val="00374D2A"/>
    <w:rsid w:val="00374D76"/>
    <w:rsid w:val="0037515C"/>
    <w:rsid w:val="00375737"/>
    <w:rsid w:val="00375B1C"/>
    <w:rsid w:val="003766C4"/>
    <w:rsid w:val="00376FE6"/>
    <w:rsid w:val="00377238"/>
    <w:rsid w:val="00380016"/>
    <w:rsid w:val="00380311"/>
    <w:rsid w:val="00380AC1"/>
    <w:rsid w:val="00380DF6"/>
    <w:rsid w:val="00380F0C"/>
    <w:rsid w:val="003814F9"/>
    <w:rsid w:val="00381963"/>
    <w:rsid w:val="00381C20"/>
    <w:rsid w:val="00381DCC"/>
    <w:rsid w:val="0038251F"/>
    <w:rsid w:val="00382925"/>
    <w:rsid w:val="00382EF4"/>
    <w:rsid w:val="003839DE"/>
    <w:rsid w:val="00383D4B"/>
    <w:rsid w:val="00384012"/>
    <w:rsid w:val="0038489D"/>
    <w:rsid w:val="003855BD"/>
    <w:rsid w:val="00385BD5"/>
    <w:rsid w:val="00385BD6"/>
    <w:rsid w:val="00385DA1"/>
    <w:rsid w:val="003868C9"/>
    <w:rsid w:val="0038696E"/>
    <w:rsid w:val="003869AF"/>
    <w:rsid w:val="00386FF1"/>
    <w:rsid w:val="00387085"/>
    <w:rsid w:val="00387431"/>
    <w:rsid w:val="003874AA"/>
    <w:rsid w:val="00387630"/>
    <w:rsid w:val="00387BFB"/>
    <w:rsid w:val="00391451"/>
    <w:rsid w:val="003924A8"/>
    <w:rsid w:val="00392809"/>
    <w:rsid w:val="00392F3E"/>
    <w:rsid w:val="00393087"/>
    <w:rsid w:val="0039339D"/>
    <w:rsid w:val="00393488"/>
    <w:rsid w:val="0039370A"/>
    <w:rsid w:val="00393D03"/>
    <w:rsid w:val="00394081"/>
    <w:rsid w:val="0039436E"/>
    <w:rsid w:val="003948A1"/>
    <w:rsid w:val="00394930"/>
    <w:rsid w:val="00394A95"/>
    <w:rsid w:val="00394DBD"/>
    <w:rsid w:val="00394E9D"/>
    <w:rsid w:val="003957DB"/>
    <w:rsid w:val="00395C1B"/>
    <w:rsid w:val="00395C1E"/>
    <w:rsid w:val="00395D4E"/>
    <w:rsid w:val="00396121"/>
    <w:rsid w:val="003968CB"/>
    <w:rsid w:val="003970B6"/>
    <w:rsid w:val="003971F4"/>
    <w:rsid w:val="00397417"/>
    <w:rsid w:val="003979D7"/>
    <w:rsid w:val="00397CB0"/>
    <w:rsid w:val="00397D5A"/>
    <w:rsid w:val="003A1E5C"/>
    <w:rsid w:val="003A2154"/>
    <w:rsid w:val="003A28C2"/>
    <w:rsid w:val="003A2957"/>
    <w:rsid w:val="003A2D00"/>
    <w:rsid w:val="003A30B7"/>
    <w:rsid w:val="003A3557"/>
    <w:rsid w:val="003A38BE"/>
    <w:rsid w:val="003A4317"/>
    <w:rsid w:val="003A432D"/>
    <w:rsid w:val="003A4541"/>
    <w:rsid w:val="003A4968"/>
    <w:rsid w:val="003A5687"/>
    <w:rsid w:val="003A5FC9"/>
    <w:rsid w:val="003A6688"/>
    <w:rsid w:val="003A686E"/>
    <w:rsid w:val="003A6B51"/>
    <w:rsid w:val="003A6B8A"/>
    <w:rsid w:val="003A7209"/>
    <w:rsid w:val="003B05A9"/>
    <w:rsid w:val="003B159A"/>
    <w:rsid w:val="003B2CA1"/>
    <w:rsid w:val="003B3524"/>
    <w:rsid w:val="003B5FBE"/>
    <w:rsid w:val="003B6710"/>
    <w:rsid w:val="003B6ED9"/>
    <w:rsid w:val="003B7C06"/>
    <w:rsid w:val="003B7D10"/>
    <w:rsid w:val="003B7D81"/>
    <w:rsid w:val="003C007B"/>
    <w:rsid w:val="003C073D"/>
    <w:rsid w:val="003C076E"/>
    <w:rsid w:val="003C086C"/>
    <w:rsid w:val="003C0CEB"/>
    <w:rsid w:val="003C0DAC"/>
    <w:rsid w:val="003C0E06"/>
    <w:rsid w:val="003C11CE"/>
    <w:rsid w:val="003C181D"/>
    <w:rsid w:val="003C2236"/>
    <w:rsid w:val="003C344F"/>
    <w:rsid w:val="003C3F41"/>
    <w:rsid w:val="003C4676"/>
    <w:rsid w:val="003C47EE"/>
    <w:rsid w:val="003C4977"/>
    <w:rsid w:val="003C6936"/>
    <w:rsid w:val="003C7B2E"/>
    <w:rsid w:val="003D0182"/>
    <w:rsid w:val="003D052F"/>
    <w:rsid w:val="003D115C"/>
    <w:rsid w:val="003D1519"/>
    <w:rsid w:val="003D1C0E"/>
    <w:rsid w:val="003D21F9"/>
    <w:rsid w:val="003D2906"/>
    <w:rsid w:val="003D2CF6"/>
    <w:rsid w:val="003D345E"/>
    <w:rsid w:val="003D3836"/>
    <w:rsid w:val="003D4177"/>
    <w:rsid w:val="003D463F"/>
    <w:rsid w:val="003D676D"/>
    <w:rsid w:val="003D6E45"/>
    <w:rsid w:val="003D6EA3"/>
    <w:rsid w:val="003D7DA6"/>
    <w:rsid w:val="003E0081"/>
    <w:rsid w:val="003E06FA"/>
    <w:rsid w:val="003E0936"/>
    <w:rsid w:val="003E189D"/>
    <w:rsid w:val="003E19E6"/>
    <w:rsid w:val="003E201E"/>
    <w:rsid w:val="003E2A3C"/>
    <w:rsid w:val="003E2A4E"/>
    <w:rsid w:val="003E2C16"/>
    <w:rsid w:val="003E4E6D"/>
    <w:rsid w:val="003E516A"/>
    <w:rsid w:val="003E57CE"/>
    <w:rsid w:val="003E610F"/>
    <w:rsid w:val="003E6120"/>
    <w:rsid w:val="003E6A1F"/>
    <w:rsid w:val="003E7143"/>
    <w:rsid w:val="003E75A3"/>
    <w:rsid w:val="003E7C6C"/>
    <w:rsid w:val="003E7FBD"/>
    <w:rsid w:val="003F028B"/>
    <w:rsid w:val="003F0888"/>
    <w:rsid w:val="003F0E3D"/>
    <w:rsid w:val="003F1FBD"/>
    <w:rsid w:val="003F23E9"/>
    <w:rsid w:val="003F2769"/>
    <w:rsid w:val="003F32F1"/>
    <w:rsid w:val="003F3599"/>
    <w:rsid w:val="003F537E"/>
    <w:rsid w:val="003F5418"/>
    <w:rsid w:val="003F55D2"/>
    <w:rsid w:val="003F6373"/>
    <w:rsid w:val="003F6977"/>
    <w:rsid w:val="003F73F4"/>
    <w:rsid w:val="003F7749"/>
    <w:rsid w:val="003F7ADF"/>
    <w:rsid w:val="003F7EC0"/>
    <w:rsid w:val="00400073"/>
    <w:rsid w:val="00401518"/>
    <w:rsid w:val="004015AC"/>
    <w:rsid w:val="00402072"/>
    <w:rsid w:val="004022B8"/>
    <w:rsid w:val="00402331"/>
    <w:rsid w:val="004023AD"/>
    <w:rsid w:val="004029AA"/>
    <w:rsid w:val="00402D83"/>
    <w:rsid w:val="00403465"/>
    <w:rsid w:val="00403F70"/>
    <w:rsid w:val="0040421A"/>
    <w:rsid w:val="004044F2"/>
    <w:rsid w:val="00404D3D"/>
    <w:rsid w:val="00404F34"/>
    <w:rsid w:val="00405232"/>
    <w:rsid w:val="00405ED2"/>
    <w:rsid w:val="00407054"/>
    <w:rsid w:val="004072BE"/>
    <w:rsid w:val="004113AA"/>
    <w:rsid w:val="00411639"/>
    <w:rsid w:val="00412118"/>
    <w:rsid w:val="0041262D"/>
    <w:rsid w:val="00413431"/>
    <w:rsid w:val="00413A84"/>
    <w:rsid w:val="004142C3"/>
    <w:rsid w:val="00414369"/>
    <w:rsid w:val="004147B9"/>
    <w:rsid w:val="004151FC"/>
    <w:rsid w:val="004158EC"/>
    <w:rsid w:val="004166F3"/>
    <w:rsid w:val="00416783"/>
    <w:rsid w:val="00416F69"/>
    <w:rsid w:val="0041744C"/>
    <w:rsid w:val="004179A3"/>
    <w:rsid w:val="00417C0D"/>
    <w:rsid w:val="00417C4A"/>
    <w:rsid w:val="0042077D"/>
    <w:rsid w:val="004211A5"/>
    <w:rsid w:val="004214EE"/>
    <w:rsid w:val="00421B92"/>
    <w:rsid w:val="00421DB5"/>
    <w:rsid w:val="00421E4F"/>
    <w:rsid w:val="00422E1B"/>
    <w:rsid w:val="00423CB4"/>
    <w:rsid w:val="0042498B"/>
    <w:rsid w:val="00424CE3"/>
    <w:rsid w:val="00424DC1"/>
    <w:rsid w:val="00426482"/>
    <w:rsid w:val="004268E1"/>
    <w:rsid w:val="0042763C"/>
    <w:rsid w:val="004276F4"/>
    <w:rsid w:val="00427A90"/>
    <w:rsid w:val="00427BD8"/>
    <w:rsid w:val="00427F6D"/>
    <w:rsid w:val="004301F3"/>
    <w:rsid w:val="00430854"/>
    <w:rsid w:val="004309D8"/>
    <w:rsid w:val="00430E8D"/>
    <w:rsid w:val="00431079"/>
    <w:rsid w:val="004312D3"/>
    <w:rsid w:val="00431773"/>
    <w:rsid w:val="00431953"/>
    <w:rsid w:val="00432067"/>
    <w:rsid w:val="0043239B"/>
    <w:rsid w:val="00432486"/>
    <w:rsid w:val="00432C2C"/>
    <w:rsid w:val="00433F6C"/>
    <w:rsid w:val="0043400D"/>
    <w:rsid w:val="00434301"/>
    <w:rsid w:val="00434846"/>
    <w:rsid w:val="004353EF"/>
    <w:rsid w:val="00435A16"/>
    <w:rsid w:val="00436B45"/>
    <w:rsid w:val="00436FC3"/>
    <w:rsid w:val="00440559"/>
    <w:rsid w:val="004406CB"/>
    <w:rsid w:val="0044081C"/>
    <w:rsid w:val="00440827"/>
    <w:rsid w:val="004409EA"/>
    <w:rsid w:val="00440C05"/>
    <w:rsid w:val="00441444"/>
    <w:rsid w:val="00442DF9"/>
    <w:rsid w:val="00443F22"/>
    <w:rsid w:val="00443F5E"/>
    <w:rsid w:val="00443F97"/>
    <w:rsid w:val="00444E36"/>
    <w:rsid w:val="00444FA9"/>
    <w:rsid w:val="00444FFA"/>
    <w:rsid w:val="00445355"/>
    <w:rsid w:val="004455D0"/>
    <w:rsid w:val="004456A5"/>
    <w:rsid w:val="00445A81"/>
    <w:rsid w:val="004462A3"/>
    <w:rsid w:val="004464D5"/>
    <w:rsid w:val="00446B02"/>
    <w:rsid w:val="00446F28"/>
    <w:rsid w:val="00447013"/>
    <w:rsid w:val="00447B2C"/>
    <w:rsid w:val="004502C7"/>
    <w:rsid w:val="004504AB"/>
    <w:rsid w:val="0045090E"/>
    <w:rsid w:val="00450ACB"/>
    <w:rsid w:val="00450E2B"/>
    <w:rsid w:val="004515FB"/>
    <w:rsid w:val="00452C62"/>
    <w:rsid w:val="00452E34"/>
    <w:rsid w:val="00452E8F"/>
    <w:rsid w:val="00453DD4"/>
    <w:rsid w:val="0045466B"/>
    <w:rsid w:val="00454DFE"/>
    <w:rsid w:val="00454EE2"/>
    <w:rsid w:val="0045532B"/>
    <w:rsid w:val="00455366"/>
    <w:rsid w:val="004556B4"/>
    <w:rsid w:val="00455747"/>
    <w:rsid w:val="00455D6C"/>
    <w:rsid w:val="00456257"/>
    <w:rsid w:val="00456926"/>
    <w:rsid w:val="004569F1"/>
    <w:rsid w:val="00456BD0"/>
    <w:rsid w:val="0045701C"/>
    <w:rsid w:val="00457104"/>
    <w:rsid w:val="0045765C"/>
    <w:rsid w:val="00457A0E"/>
    <w:rsid w:val="00457AA7"/>
    <w:rsid w:val="00460221"/>
    <w:rsid w:val="004607FD"/>
    <w:rsid w:val="004610DD"/>
    <w:rsid w:val="00461162"/>
    <w:rsid w:val="00461591"/>
    <w:rsid w:val="00462111"/>
    <w:rsid w:val="00462CC8"/>
    <w:rsid w:val="00463140"/>
    <w:rsid w:val="00463226"/>
    <w:rsid w:val="004634F0"/>
    <w:rsid w:val="004639D0"/>
    <w:rsid w:val="0046437A"/>
    <w:rsid w:val="00464997"/>
    <w:rsid w:val="00464B1C"/>
    <w:rsid w:val="00464D89"/>
    <w:rsid w:val="004656DD"/>
    <w:rsid w:val="00465E78"/>
    <w:rsid w:val="00466631"/>
    <w:rsid w:val="0046667F"/>
    <w:rsid w:val="00467066"/>
    <w:rsid w:val="0046714A"/>
    <w:rsid w:val="00467654"/>
    <w:rsid w:val="0046790C"/>
    <w:rsid w:val="00467939"/>
    <w:rsid w:val="00467A29"/>
    <w:rsid w:val="00467EBD"/>
    <w:rsid w:val="00467EEA"/>
    <w:rsid w:val="0047087F"/>
    <w:rsid w:val="00470B42"/>
    <w:rsid w:val="00471167"/>
    <w:rsid w:val="00471683"/>
    <w:rsid w:val="0047190E"/>
    <w:rsid w:val="004719B7"/>
    <w:rsid w:val="00471BB3"/>
    <w:rsid w:val="00471DD7"/>
    <w:rsid w:val="004721EA"/>
    <w:rsid w:val="0047267B"/>
    <w:rsid w:val="004729AD"/>
    <w:rsid w:val="00472E28"/>
    <w:rsid w:val="004732C7"/>
    <w:rsid w:val="0047348D"/>
    <w:rsid w:val="00474743"/>
    <w:rsid w:val="00474A6D"/>
    <w:rsid w:val="00474B2B"/>
    <w:rsid w:val="00476C43"/>
    <w:rsid w:val="0047736D"/>
    <w:rsid w:val="00477831"/>
    <w:rsid w:val="00477A73"/>
    <w:rsid w:val="00477B5A"/>
    <w:rsid w:val="00477C66"/>
    <w:rsid w:val="0048010C"/>
    <w:rsid w:val="0048024F"/>
    <w:rsid w:val="00480696"/>
    <w:rsid w:val="00480E38"/>
    <w:rsid w:val="00480E3E"/>
    <w:rsid w:val="00481594"/>
    <w:rsid w:val="00481FB3"/>
    <w:rsid w:val="00482230"/>
    <w:rsid w:val="00482309"/>
    <w:rsid w:val="004826BD"/>
    <w:rsid w:val="00482BCE"/>
    <w:rsid w:val="00482FC4"/>
    <w:rsid w:val="004837E1"/>
    <w:rsid w:val="00484697"/>
    <w:rsid w:val="0048506A"/>
    <w:rsid w:val="00485F4A"/>
    <w:rsid w:val="0048629C"/>
    <w:rsid w:val="004872D5"/>
    <w:rsid w:val="00487A73"/>
    <w:rsid w:val="00487AEE"/>
    <w:rsid w:val="00487B64"/>
    <w:rsid w:val="00487D51"/>
    <w:rsid w:val="00487FCD"/>
    <w:rsid w:val="0049023C"/>
    <w:rsid w:val="004902D0"/>
    <w:rsid w:val="0049065C"/>
    <w:rsid w:val="00490B90"/>
    <w:rsid w:val="004911B7"/>
    <w:rsid w:val="0049169C"/>
    <w:rsid w:val="00491A5B"/>
    <w:rsid w:val="00492440"/>
    <w:rsid w:val="00492806"/>
    <w:rsid w:val="00492C25"/>
    <w:rsid w:val="004930F6"/>
    <w:rsid w:val="004937F1"/>
    <w:rsid w:val="0049391B"/>
    <w:rsid w:val="00493C7B"/>
    <w:rsid w:val="00493FB5"/>
    <w:rsid w:val="00494129"/>
    <w:rsid w:val="004945C5"/>
    <w:rsid w:val="00494904"/>
    <w:rsid w:val="00494A55"/>
    <w:rsid w:val="00494D8A"/>
    <w:rsid w:val="00494E6C"/>
    <w:rsid w:val="004954D7"/>
    <w:rsid w:val="0049557D"/>
    <w:rsid w:val="00495A6D"/>
    <w:rsid w:val="00495C86"/>
    <w:rsid w:val="00495DB9"/>
    <w:rsid w:val="00496070"/>
    <w:rsid w:val="004964A3"/>
    <w:rsid w:val="00496913"/>
    <w:rsid w:val="00496DB1"/>
    <w:rsid w:val="00496E1E"/>
    <w:rsid w:val="004971ED"/>
    <w:rsid w:val="00497E14"/>
    <w:rsid w:val="004A0486"/>
    <w:rsid w:val="004A10FD"/>
    <w:rsid w:val="004A11BF"/>
    <w:rsid w:val="004A13BD"/>
    <w:rsid w:val="004A1CCA"/>
    <w:rsid w:val="004A1E58"/>
    <w:rsid w:val="004A2011"/>
    <w:rsid w:val="004A245E"/>
    <w:rsid w:val="004A25ED"/>
    <w:rsid w:val="004A2BCB"/>
    <w:rsid w:val="004A40F7"/>
    <w:rsid w:val="004A42D0"/>
    <w:rsid w:val="004A44C4"/>
    <w:rsid w:val="004A4A26"/>
    <w:rsid w:val="004A590D"/>
    <w:rsid w:val="004A61A2"/>
    <w:rsid w:val="004A6C3B"/>
    <w:rsid w:val="004A71C4"/>
    <w:rsid w:val="004B0729"/>
    <w:rsid w:val="004B1BB6"/>
    <w:rsid w:val="004B1C28"/>
    <w:rsid w:val="004B204A"/>
    <w:rsid w:val="004B2393"/>
    <w:rsid w:val="004B253D"/>
    <w:rsid w:val="004B2A06"/>
    <w:rsid w:val="004B2A3F"/>
    <w:rsid w:val="004B2AF6"/>
    <w:rsid w:val="004B2B0C"/>
    <w:rsid w:val="004B2C90"/>
    <w:rsid w:val="004B3006"/>
    <w:rsid w:val="004B3202"/>
    <w:rsid w:val="004B35A6"/>
    <w:rsid w:val="004B4E90"/>
    <w:rsid w:val="004B4F0F"/>
    <w:rsid w:val="004B5239"/>
    <w:rsid w:val="004B5474"/>
    <w:rsid w:val="004B6BE3"/>
    <w:rsid w:val="004B6C12"/>
    <w:rsid w:val="004B792B"/>
    <w:rsid w:val="004C0E56"/>
    <w:rsid w:val="004C17DE"/>
    <w:rsid w:val="004C1C77"/>
    <w:rsid w:val="004C1D33"/>
    <w:rsid w:val="004C2B34"/>
    <w:rsid w:val="004C30D6"/>
    <w:rsid w:val="004C3103"/>
    <w:rsid w:val="004C318E"/>
    <w:rsid w:val="004C369F"/>
    <w:rsid w:val="004C3F06"/>
    <w:rsid w:val="004C509B"/>
    <w:rsid w:val="004C543E"/>
    <w:rsid w:val="004C5E82"/>
    <w:rsid w:val="004C6138"/>
    <w:rsid w:val="004C619E"/>
    <w:rsid w:val="004C6730"/>
    <w:rsid w:val="004C6BBA"/>
    <w:rsid w:val="004C7342"/>
    <w:rsid w:val="004C7E19"/>
    <w:rsid w:val="004D04B9"/>
    <w:rsid w:val="004D0BF3"/>
    <w:rsid w:val="004D36D6"/>
    <w:rsid w:val="004D384A"/>
    <w:rsid w:val="004D3C87"/>
    <w:rsid w:val="004D43C5"/>
    <w:rsid w:val="004D465E"/>
    <w:rsid w:val="004D5412"/>
    <w:rsid w:val="004D549B"/>
    <w:rsid w:val="004D5719"/>
    <w:rsid w:val="004D61AE"/>
    <w:rsid w:val="004D6361"/>
    <w:rsid w:val="004D65A1"/>
    <w:rsid w:val="004D6D61"/>
    <w:rsid w:val="004D7C62"/>
    <w:rsid w:val="004E01DB"/>
    <w:rsid w:val="004E094E"/>
    <w:rsid w:val="004E0CDF"/>
    <w:rsid w:val="004E11DB"/>
    <w:rsid w:val="004E1449"/>
    <w:rsid w:val="004E156F"/>
    <w:rsid w:val="004E1FC7"/>
    <w:rsid w:val="004E27F3"/>
    <w:rsid w:val="004E3250"/>
    <w:rsid w:val="004E34C3"/>
    <w:rsid w:val="004E3D1D"/>
    <w:rsid w:val="004E3E2E"/>
    <w:rsid w:val="004E3F59"/>
    <w:rsid w:val="004E4C40"/>
    <w:rsid w:val="004E4EA5"/>
    <w:rsid w:val="004E5759"/>
    <w:rsid w:val="004E5C12"/>
    <w:rsid w:val="004E6998"/>
    <w:rsid w:val="004E709F"/>
    <w:rsid w:val="004E78C8"/>
    <w:rsid w:val="004E7C20"/>
    <w:rsid w:val="004F039C"/>
    <w:rsid w:val="004F0E51"/>
    <w:rsid w:val="004F0ED9"/>
    <w:rsid w:val="004F114A"/>
    <w:rsid w:val="004F12DD"/>
    <w:rsid w:val="004F1588"/>
    <w:rsid w:val="004F1D52"/>
    <w:rsid w:val="004F2256"/>
    <w:rsid w:val="004F236A"/>
    <w:rsid w:val="004F2748"/>
    <w:rsid w:val="004F2B64"/>
    <w:rsid w:val="004F2B73"/>
    <w:rsid w:val="004F2CFA"/>
    <w:rsid w:val="004F374F"/>
    <w:rsid w:val="004F39D0"/>
    <w:rsid w:val="004F4C4F"/>
    <w:rsid w:val="004F53F5"/>
    <w:rsid w:val="004F5441"/>
    <w:rsid w:val="004F585E"/>
    <w:rsid w:val="004F5C31"/>
    <w:rsid w:val="004F6C87"/>
    <w:rsid w:val="004F74D8"/>
    <w:rsid w:val="004F7942"/>
    <w:rsid w:val="004F7A97"/>
    <w:rsid w:val="004F7E66"/>
    <w:rsid w:val="005006E4"/>
    <w:rsid w:val="00500D42"/>
    <w:rsid w:val="00500FEC"/>
    <w:rsid w:val="005011E0"/>
    <w:rsid w:val="00502414"/>
    <w:rsid w:val="0050320A"/>
    <w:rsid w:val="00503583"/>
    <w:rsid w:val="00503946"/>
    <w:rsid w:val="00503C7B"/>
    <w:rsid w:val="00503D1C"/>
    <w:rsid w:val="00504B4B"/>
    <w:rsid w:val="00504B5D"/>
    <w:rsid w:val="00504DDB"/>
    <w:rsid w:val="00504DF5"/>
    <w:rsid w:val="005051F8"/>
    <w:rsid w:val="00505F63"/>
    <w:rsid w:val="00505F91"/>
    <w:rsid w:val="00506337"/>
    <w:rsid w:val="00506BDD"/>
    <w:rsid w:val="00506DE7"/>
    <w:rsid w:val="0050707B"/>
    <w:rsid w:val="005073B3"/>
    <w:rsid w:val="0050740F"/>
    <w:rsid w:val="00510681"/>
    <w:rsid w:val="005118ED"/>
    <w:rsid w:val="00511AE5"/>
    <w:rsid w:val="005128B1"/>
    <w:rsid w:val="00512F2F"/>
    <w:rsid w:val="00513470"/>
    <w:rsid w:val="005138A8"/>
    <w:rsid w:val="00513932"/>
    <w:rsid w:val="00513C8B"/>
    <w:rsid w:val="00513CB6"/>
    <w:rsid w:val="0051428C"/>
    <w:rsid w:val="0051460F"/>
    <w:rsid w:val="00514F73"/>
    <w:rsid w:val="00514FC6"/>
    <w:rsid w:val="0051531D"/>
    <w:rsid w:val="0051582C"/>
    <w:rsid w:val="00515A0B"/>
    <w:rsid w:val="00515ECB"/>
    <w:rsid w:val="00516109"/>
    <w:rsid w:val="005173C6"/>
    <w:rsid w:val="0051741D"/>
    <w:rsid w:val="005176A0"/>
    <w:rsid w:val="00517A9E"/>
    <w:rsid w:val="005205C6"/>
    <w:rsid w:val="00520947"/>
    <w:rsid w:val="00520EF3"/>
    <w:rsid w:val="005215E6"/>
    <w:rsid w:val="00522624"/>
    <w:rsid w:val="005226B9"/>
    <w:rsid w:val="0052379D"/>
    <w:rsid w:val="005238E9"/>
    <w:rsid w:val="005242ED"/>
    <w:rsid w:val="00524364"/>
    <w:rsid w:val="005243CB"/>
    <w:rsid w:val="0052490F"/>
    <w:rsid w:val="005253ED"/>
    <w:rsid w:val="00525A49"/>
    <w:rsid w:val="00525BED"/>
    <w:rsid w:val="00525E28"/>
    <w:rsid w:val="00525E47"/>
    <w:rsid w:val="00525EDE"/>
    <w:rsid w:val="00526535"/>
    <w:rsid w:val="0052665D"/>
    <w:rsid w:val="00526871"/>
    <w:rsid w:val="005301FD"/>
    <w:rsid w:val="00530542"/>
    <w:rsid w:val="005316C7"/>
    <w:rsid w:val="00531780"/>
    <w:rsid w:val="0053226E"/>
    <w:rsid w:val="0053233B"/>
    <w:rsid w:val="005325F4"/>
    <w:rsid w:val="00532670"/>
    <w:rsid w:val="00532B85"/>
    <w:rsid w:val="00533291"/>
    <w:rsid w:val="005337B2"/>
    <w:rsid w:val="00533F6B"/>
    <w:rsid w:val="0053444A"/>
    <w:rsid w:val="00534803"/>
    <w:rsid w:val="00534CB1"/>
    <w:rsid w:val="005356AD"/>
    <w:rsid w:val="00535CBF"/>
    <w:rsid w:val="005377AA"/>
    <w:rsid w:val="00537CFE"/>
    <w:rsid w:val="00540776"/>
    <w:rsid w:val="0054106F"/>
    <w:rsid w:val="005416C1"/>
    <w:rsid w:val="00542152"/>
    <w:rsid w:val="005421BD"/>
    <w:rsid w:val="005424C6"/>
    <w:rsid w:val="00542671"/>
    <w:rsid w:val="00542DA4"/>
    <w:rsid w:val="00542E73"/>
    <w:rsid w:val="0054384C"/>
    <w:rsid w:val="00544703"/>
    <w:rsid w:val="00544DC4"/>
    <w:rsid w:val="0054533C"/>
    <w:rsid w:val="005456A8"/>
    <w:rsid w:val="005456C8"/>
    <w:rsid w:val="0054584F"/>
    <w:rsid w:val="00545865"/>
    <w:rsid w:val="00545C7C"/>
    <w:rsid w:val="00545CC5"/>
    <w:rsid w:val="00545E30"/>
    <w:rsid w:val="00546377"/>
    <w:rsid w:val="00546615"/>
    <w:rsid w:val="00546ACB"/>
    <w:rsid w:val="00547FA9"/>
    <w:rsid w:val="0055012B"/>
    <w:rsid w:val="00550572"/>
    <w:rsid w:val="0055063D"/>
    <w:rsid w:val="00550DB6"/>
    <w:rsid w:val="005510ED"/>
    <w:rsid w:val="005517CE"/>
    <w:rsid w:val="00551B6A"/>
    <w:rsid w:val="00551CB7"/>
    <w:rsid w:val="00551EA2"/>
    <w:rsid w:val="00552A82"/>
    <w:rsid w:val="00552B9C"/>
    <w:rsid w:val="00553656"/>
    <w:rsid w:val="00553C9C"/>
    <w:rsid w:val="0055420F"/>
    <w:rsid w:val="00554F20"/>
    <w:rsid w:val="005567EB"/>
    <w:rsid w:val="00557057"/>
    <w:rsid w:val="005575FF"/>
    <w:rsid w:val="005578CE"/>
    <w:rsid w:val="00557D80"/>
    <w:rsid w:val="005603D7"/>
    <w:rsid w:val="005616D7"/>
    <w:rsid w:val="00561A6F"/>
    <w:rsid w:val="00561C4D"/>
    <w:rsid w:val="00561D55"/>
    <w:rsid w:val="00561D75"/>
    <w:rsid w:val="00561FB9"/>
    <w:rsid w:val="00562030"/>
    <w:rsid w:val="00562209"/>
    <w:rsid w:val="00562E19"/>
    <w:rsid w:val="00563D2E"/>
    <w:rsid w:val="0056409A"/>
    <w:rsid w:val="00564924"/>
    <w:rsid w:val="00564B50"/>
    <w:rsid w:val="00564E1C"/>
    <w:rsid w:val="00565115"/>
    <w:rsid w:val="00565B01"/>
    <w:rsid w:val="00565BF8"/>
    <w:rsid w:val="00565E7D"/>
    <w:rsid w:val="00566156"/>
    <w:rsid w:val="00566460"/>
    <w:rsid w:val="0056743D"/>
    <w:rsid w:val="00567C52"/>
    <w:rsid w:val="00567FC7"/>
    <w:rsid w:val="00570B0B"/>
    <w:rsid w:val="00570C09"/>
    <w:rsid w:val="005714A0"/>
    <w:rsid w:val="00571BAA"/>
    <w:rsid w:val="00571C88"/>
    <w:rsid w:val="00572109"/>
    <w:rsid w:val="005723A0"/>
    <w:rsid w:val="005724BE"/>
    <w:rsid w:val="005750AB"/>
    <w:rsid w:val="00575E01"/>
    <w:rsid w:val="0057618B"/>
    <w:rsid w:val="005761E9"/>
    <w:rsid w:val="00576452"/>
    <w:rsid w:val="00576B6E"/>
    <w:rsid w:val="00576ED8"/>
    <w:rsid w:val="00577940"/>
    <w:rsid w:val="00580211"/>
    <w:rsid w:val="00581018"/>
    <w:rsid w:val="00581538"/>
    <w:rsid w:val="0058160D"/>
    <w:rsid w:val="00582A24"/>
    <w:rsid w:val="00583307"/>
    <w:rsid w:val="00583544"/>
    <w:rsid w:val="00583CA8"/>
    <w:rsid w:val="0058434C"/>
    <w:rsid w:val="0058468C"/>
    <w:rsid w:val="00584F11"/>
    <w:rsid w:val="005851C8"/>
    <w:rsid w:val="00585B6C"/>
    <w:rsid w:val="005871E1"/>
    <w:rsid w:val="00587B28"/>
    <w:rsid w:val="00587B2F"/>
    <w:rsid w:val="00587F9E"/>
    <w:rsid w:val="0059009F"/>
    <w:rsid w:val="005900C4"/>
    <w:rsid w:val="0059029F"/>
    <w:rsid w:val="005902A3"/>
    <w:rsid w:val="00590CA0"/>
    <w:rsid w:val="00591288"/>
    <w:rsid w:val="00591634"/>
    <w:rsid w:val="005917FD"/>
    <w:rsid w:val="00591AF8"/>
    <w:rsid w:val="00592D97"/>
    <w:rsid w:val="00592E57"/>
    <w:rsid w:val="00593D0A"/>
    <w:rsid w:val="00594B76"/>
    <w:rsid w:val="005955AB"/>
    <w:rsid w:val="005958D9"/>
    <w:rsid w:val="00595956"/>
    <w:rsid w:val="00596BDA"/>
    <w:rsid w:val="005A05B3"/>
    <w:rsid w:val="005A0CD5"/>
    <w:rsid w:val="005A1280"/>
    <w:rsid w:val="005A198A"/>
    <w:rsid w:val="005A2012"/>
    <w:rsid w:val="005A285D"/>
    <w:rsid w:val="005A2B4A"/>
    <w:rsid w:val="005A2EA6"/>
    <w:rsid w:val="005A34DF"/>
    <w:rsid w:val="005A4739"/>
    <w:rsid w:val="005A4968"/>
    <w:rsid w:val="005A4AA1"/>
    <w:rsid w:val="005A4BBE"/>
    <w:rsid w:val="005A500B"/>
    <w:rsid w:val="005A5FE9"/>
    <w:rsid w:val="005A6A19"/>
    <w:rsid w:val="005A6C0F"/>
    <w:rsid w:val="005A70BF"/>
    <w:rsid w:val="005A73F7"/>
    <w:rsid w:val="005A77A5"/>
    <w:rsid w:val="005A79BB"/>
    <w:rsid w:val="005A7B04"/>
    <w:rsid w:val="005A7C72"/>
    <w:rsid w:val="005A7CFC"/>
    <w:rsid w:val="005B086B"/>
    <w:rsid w:val="005B0A50"/>
    <w:rsid w:val="005B1654"/>
    <w:rsid w:val="005B16BB"/>
    <w:rsid w:val="005B16D8"/>
    <w:rsid w:val="005B194C"/>
    <w:rsid w:val="005B1D25"/>
    <w:rsid w:val="005B20DD"/>
    <w:rsid w:val="005B2300"/>
    <w:rsid w:val="005B2559"/>
    <w:rsid w:val="005B2640"/>
    <w:rsid w:val="005B285C"/>
    <w:rsid w:val="005B3358"/>
    <w:rsid w:val="005B33D7"/>
    <w:rsid w:val="005B3467"/>
    <w:rsid w:val="005B3C5A"/>
    <w:rsid w:val="005B41F3"/>
    <w:rsid w:val="005B44ED"/>
    <w:rsid w:val="005B50AB"/>
    <w:rsid w:val="005B5585"/>
    <w:rsid w:val="005B5CC6"/>
    <w:rsid w:val="005B5DF5"/>
    <w:rsid w:val="005B642D"/>
    <w:rsid w:val="005B6764"/>
    <w:rsid w:val="005B683F"/>
    <w:rsid w:val="005B6D19"/>
    <w:rsid w:val="005B6D74"/>
    <w:rsid w:val="005B78F8"/>
    <w:rsid w:val="005B7B51"/>
    <w:rsid w:val="005C0160"/>
    <w:rsid w:val="005C0F15"/>
    <w:rsid w:val="005C125C"/>
    <w:rsid w:val="005C1562"/>
    <w:rsid w:val="005C1B96"/>
    <w:rsid w:val="005C2523"/>
    <w:rsid w:val="005C2851"/>
    <w:rsid w:val="005C2D3F"/>
    <w:rsid w:val="005C3519"/>
    <w:rsid w:val="005C3B11"/>
    <w:rsid w:val="005C3C13"/>
    <w:rsid w:val="005C5651"/>
    <w:rsid w:val="005C59EC"/>
    <w:rsid w:val="005C5C34"/>
    <w:rsid w:val="005C6887"/>
    <w:rsid w:val="005C6892"/>
    <w:rsid w:val="005C6A74"/>
    <w:rsid w:val="005C6ED1"/>
    <w:rsid w:val="005C721D"/>
    <w:rsid w:val="005C77B2"/>
    <w:rsid w:val="005C7F61"/>
    <w:rsid w:val="005C7F8F"/>
    <w:rsid w:val="005D058C"/>
    <w:rsid w:val="005D06D5"/>
    <w:rsid w:val="005D0863"/>
    <w:rsid w:val="005D09D6"/>
    <w:rsid w:val="005D09F3"/>
    <w:rsid w:val="005D0B58"/>
    <w:rsid w:val="005D0BC1"/>
    <w:rsid w:val="005D1E24"/>
    <w:rsid w:val="005D1FB1"/>
    <w:rsid w:val="005D2095"/>
    <w:rsid w:val="005D25C6"/>
    <w:rsid w:val="005D2BC4"/>
    <w:rsid w:val="005D2C91"/>
    <w:rsid w:val="005D2F20"/>
    <w:rsid w:val="005D332F"/>
    <w:rsid w:val="005D3C8C"/>
    <w:rsid w:val="005D435A"/>
    <w:rsid w:val="005D44D3"/>
    <w:rsid w:val="005D4706"/>
    <w:rsid w:val="005D4764"/>
    <w:rsid w:val="005D4D4E"/>
    <w:rsid w:val="005D52C7"/>
    <w:rsid w:val="005D5986"/>
    <w:rsid w:val="005D5D6E"/>
    <w:rsid w:val="005D5FF1"/>
    <w:rsid w:val="005D611F"/>
    <w:rsid w:val="005D67C6"/>
    <w:rsid w:val="005D68AA"/>
    <w:rsid w:val="005D6BA0"/>
    <w:rsid w:val="005D7609"/>
    <w:rsid w:val="005D7704"/>
    <w:rsid w:val="005D777B"/>
    <w:rsid w:val="005D7CFA"/>
    <w:rsid w:val="005E0C2F"/>
    <w:rsid w:val="005E11EA"/>
    <w:rsid w:val="005E1A4A"/>
    <w:rsid w:val="005E2E1B"/>
    <w:rsid w:val="005E30FF"/>
    <w:rsid w:val="005E3264"/>
    <w:rsid w:val="005E3559"/>
    <w:rsid w:val="005E4702"/>
    <w:rsid w:val="005E4F27"/>
    <w:rsid w:val="005E50D5"/>
    <w:rsid w:val="005E5110"/>
    <w:rsid w:val="005E545F"/>
    <w:rsid w:val="005E59A7"/>
    <w:rsid w:val="005E5B40"/>
    <w:rsid w:val="005E5C78"/>
    <w:rsid w:val="005E6263"/>
    <w:rsid w:val="005E7BBD"/>
    <w:rsid w:val="005F05F4"/>
    <w:rsid w:val="005F06A7"/>
    <w:rsid w:val="005F081A"/>
    <w:rsid w:val="005F0D1B"/>
    <w:rsid w:val="005F1762"/>
    <w:rsid w:val="005F211E"/>
    <w:rsid w:val="005F25C1"/>
    <w:rsid w:val="005F2F02"/>
    <w:rsid w:val="005F3012"/>
    <w:rsid w:val="005F40CF"/>
    <w:rsid w:val="005F41CA"/>
    <w:rsid w:val="005F492B"/>
    <w:rsid w:val="005F6042"/>
    <w:rsid w:val="005F643A"/>
    <w:rsid w:val="005F67DD"/>
    <w:rsid w:val="005F78DF"/>
    <w:rsid w:val="0060011C"/>
    <w:rsid w:val="00601E42"/>
    <w:rsid w:val="00602174"/>
    <w:rsid w:val="0060292E"/>
    <w:rsid w:val="00602FAD"/>
    <w:rsid w:val="00602FE1"/>
    <w:rsid w:val="006038F3"/>
    <w:rsid w:val="00603A03"/>
    <w:rsid w:val="00604785"/>
    <w:rsid w:val="00604AEE"/>
    <w:rsid w:val="006054EF"/>
    <w:rsid w:val="006054F4"/>
    <w:rsid w:val="0060565C"/>
    <w:rsid w:val="006062E0"/>
    <w:rsid w:val="006063A4"/>
    <w:rsid w:val="0060777F"/>
    <w:rsid w:val="00607D84"/>
    <w:rsid w:val="00610FF9"/>
    <w:rsid w:val="006117EE"/>
    <w:rsid w:val="00611A2D"/>
    <w:rsid w:val="00611FE2"/>
    <w:rsid w:val="00612141"/>
    <w:rsid w:val="00612F71"/>
    <w:rsid w:val="006147EB"/>
    <w:rsid w:val="00614C95"/>
    <w:rsid w:val="0061545C"/>
    <w:rsid w:val="00615872"/>
    <w:rsid w:val="00615E1B"/>
    <w:rsid w:val="00615F9C"/>
    <w:rsid w:val="00615FCD"/>
    <w:rsid w:val="0061602E"/>
    <w:rsid w:val="006164C5"/>
    <w:rsid w:val="00617EAB"/>
    <w:rsid w:val="006200EB"/>
    <w:rsid w:val="0062041A"/>
    <w:rsid w:val="006206A4"/>
    <w:rsid w:val="00620A72"/>
    <w:rsid w:val="00621273"/>
    <w:rsid w:val="0062155A"/>
    <w:rsid w:val="00621EA3"/>
    <w:rsid w:val="006223CF"/>
    <w:rsid w:val="006225BC"/>
    <w:rsid w:val="006230BA"/>
    <w:rsid w:val="0062317B"/>
    <w:rsid w:val="006231C8"/>
    <w:rsid w:val="00623B4B"/>
    <w:rsid w:val="00623C24"/>
    <w:rsid w:val="0062466C"/>
    <w:rsid w:val="00624856"/>
    <w:rsid w:val="00624B29"/>
    <w:rsid w:val="00624C15"/>
    <w:rsid w:val="00625124"/>
    <w:rsid w:val="0062570C"/>
    <w:rsid w:val="00626223"/>
    <w:rsid w:val="00626676"/>
    <w:rsid w:val="006266C9"/>
    <w:rsid w:val="00626C37"/>
    <w:rsid w:val="00630D7D"/>
    <w:rsid w:val="00631174"/>
    <w:rsid w:val="0063158C"/>
    <w:rsid w:val="00632170"/>
    <w:rsid w:val="006323ED"/>
    <w:rsid w:val="00633293"/>
    <w:rsid w:val="006339B8"/>
    <w:rsid w:val="00633AB3"/>
    <w:rsid w:val="00633B79"/>
    <w:rsid w:val="00634AB5"/>
    <w:rsid w:val="00634DA2"/>
    <w:rsid w:val="00634E5A"/>
    <w:rsid w:val="00634F85"/>
    <w:rsid w:val="00635465"/>
    <w:rsid w:val="006355B7"/>
    <w:rsid w:val="00635674"/>
    <w:rsid w:val="006359AD"/>
    <w:rsid w:val="00635EE5"/>
    <w:rsid w:val="00635FFB"/>
    <w:rsid w:val="0063614F"/>
    <w:rsid w:val="006375AE"/>
    <w:rsid w:val="00637B0F"/>
    <w:rsid w:val="00637D29"/>
    <w:rsid w:val="00640234"/>
    <w:rsid w:val="00640EFB"/>
    <w:rsid w:val="006410CC"/>
    <w:rsid w:val="006410E4"/>
    <w:rsid w:val="0064196E"/>
    <w:rsid w:val="00641A5A"/>
    <w:rsid w:val="00641AD4"/>
    <w:rsid w:val="00641EDB"/>
    <w:rsid w:val="00642576"/>
    <w:rsid w:val="0064275D"/>
    <w:rsid w:val="0064291C"/>
    <w:rsid w:val="0064343A"/>
    <w:rsid w:val="00643967"/>
    <w:rsid w:val="00643B0B"/>
    <w:rsid w:val="00643ED9"/>
    <w:rsid w:val="0064407E"/>
    <w:rsid w:val="006449CA"/>
    <w:rsid w:val="00644ED8"/>
    <w:rsid w:val="00645298"/>
    <w:rsid w:val="00645467"/>
    <w:rsid w:val="006458FB"/>
    <w:rsid w:val="00645A34"/>
    <w:rsid w:val="00645CB8"/>
    <w:rsid w:val="006463EF"/>
    <w:rsid w:val="006466B4"/>
    <w:rsid w:val="00646AAA"/>
    <w:rsid w:val="00646D5E"/>
    <w:rsid w:val="00646DB5"/>
    <w:rsid w:val="00646DE1"/>
    <w:rsid w:val="00646E37"/>
    <w:rsid w:val="00646E78"/>
    <w:rsid w:val="00646ECF"/>
    <w:rsid w:val="006472FF"/>
    <w:rsid w:val="00647509"/>
    <w:rsid w:val="00647733"/>
    <w:rsid w:val="00647872"/>
    <w:rsid w:val="00647962"/>
    <w:rsid w:val="00647B6C"/>
    <w:rsid w:val="00647E38"/>
    <w:rsid w:val="0065124A"/>
    <w:rsid w:val="00651578"/>
    <w:rsid w:val="00652AA3"/>
    <w:rsid w:val="00652DA3"/>
    <w:rsid w:val="006542D2"/>
    <w:rsid w:val="00654BAC"/>
    <w:rsid w:val="00655051"/>
    <w:rsid w:val="006550E0"/>
    <w:rsid w:val="00655278"/>
    <w:rsid w:val="0065576D"/>
    <w:rsid w:val="00655861"/>
    <w:rsid w:val="006559AA"/>
    <w:rsid w:val="0065690A"/>
    <w:rsid w:val="00656A81"/>
    <w:rsid w:val="00657634"/>
    <w:rsid w:val="00657665"/>
    <w:rsid w:val="006577FB"/>
    <w:rsid w:val="0066013A"/>
    <w:rsid w:val="00661557"/>
    <w:rsid w:val="0066175E"/>
    <w:rsid w:val="00661D6E"/>
    <w:rsid w:val="00662049"/>
    <w:rsid w:val="00662244"/>
    <w:rsid w:val="006624A5"/>
    <w:rsid w:val="0066306D"/>
    <w:rsid w:val="006630D7"/>
    <w:rsid w:val="006638BD"/>
    <w:rsid w:val="00664239"/>
    <w:rsid w:val="00664255"/>
    <w:rsid w:val="00664854"/>
    <w:rsid w:val="00664EF7"/>
    <w:rsid w:val="0066523A"/>
    <w:rsid w:val="00665DD4"/>
    <w:rsid w:val="00665FB6"/>
    <w:rsid w:val="00666632"/>
    <w:rsid w:val="00667A46"/>
    <w:rsid w:val="00670636"/>
    <w:rsid w:val="006706C1"/>
    <w:rsid w:val="006706E5"/>
    <w:rsid w:val="00670D41"/>
    <w:rsid w:val="006710FD"/>
    <w:rsid w:val="006719AF"/>
    <w:rsid w:val="006719D6"/>
    <w:rsid w:val="00671C30"/>
    <w:rsid w:val="00671D77"/>
    <w:rsid w:val="0067239E"/>
    <w:rsid w:val="00672BCF"/>
    <w:rsid w:val="00672DB0"/>
    <w:rsid w:val="006731CE"/>
    <w:rsid w:val="006737B5"/>
    <w:rsid w:val="00673C1D"/>
    <w:rsid w:val="006744DC"/>
    <w:rsid w:val="00674935"/>
    <w:rsid w:val="00674AE8"/>
    <w:rsid w:val="0067549F"/>
    <w:rsid w:val="006754C7"/>
    <w:rsid w:val="00675BF5"/>
    <w:rsid w:val="0067655D"/>
    <w:rsid w:val="006767D5"/>
    <w:rsid w:val="00676C1F"/>
    <w:rsid w:val="0067780D"/>
    <w:rsid w:val="006805A3"/>
    <w:rsid w:val="006805D7"/>
    <w:rsid w:val="00680A42"/>
    <w:rsid w:val="006813C3"/>
    <w:rsid w:val="0068152D"/>
    <w:rsid w:val="00681DF7"/>
    <w:rsid w:val="0068295B"/>
    <w:rsid w:val="0068338F"/>
    <w:rsid w:val="006840B5"/>
    <w:rsid w:val="0068488B"/>
    <w:rsid w:val="0068496E"/>
    <w:rsid w:val="00684A3D"/>
    <w:rsid w:val="00684B48"/>
    <w:rsid w:val="00685C7B"/>
    <w:rsid w:val="00685D03"/>
    <w:rsid w:val="00685E2C"/>
    <w:rsid w:val="0068603C"/>
    <w:rsid w:val="00686F6B"/>
    <w:rsid w:val="00687562"/>
    <w:rsid w:val="00687568"/>
    <w:rsid w:val="0068762E"/>
    <w:rsid w:val="0068791E"/>
    <w:rsid w:val="00687F4E"/>
    <w:rsid w:val="00690134"/>
    <w:rsid w:val="00691ADD"/>
    <w:rsid w:val="00691F6B"/>
    <w:rsid w:val="00691F98"/>
    <w:rsid w:val="00692789"/>
    <w:rsid w:val="00693A74"/>
    <w:rsid w:val="00693FB4"/>
    <w:rsid w:val="0069412D"/>
    <w:rsid w:val="006947A2"/>
    <w:rsid w:val="00695103"/>
    <w:rsid w:val="006953CF"/>
    <w:rsid w:val="00695A2F"/>
    <w:rsid w:val="00695C66"/>
    <w:rsid w:val="00695D17"/>
    <w:rsid w:val="00696D05"/>
    <w:rsid w:val="00696DDF"/>
    <w:rsid w:val="006979DE"/>
    <w:rsid w:val="00697AFE"/>
    <w:rsid w:val="00697C75"/>
    <w:rsid w:val="00697DD2"/>
    <w:rsid w:val="006A0024"/>
    <w:rsid w:val="006A008F"/>
    <w:rsid w:val="006A0F10"/>
    <w:rsid w:val="006A1465"/>
    <w:rsid w:val="006A17F8"/>
    <w:rsid w:val="006A1A10"/>
    <w:rsid w:val="006A1BE7"/>
    <w:rsid w:val="006A1D23"/>
    <w:rsid w:val="006A22AB"/>
    <w:rsid w:val="006A2D8A"/>
    <w:rsid w:val="006A3791"/>
    <w:rsid w:val="006A3D0E"/>
    <w:rsid w:val="006A416D"/>
    <w:rsid w:val="006A4440"/>
    <w:rsid w:val="006A4A01"/>
    <w:rsid w:val="006A4A71"/>
    <w:rsid w:val="006A4BBC"/>
    <w:rsid w:val="006A4CDF"/>
    <w:rsid w:val="006A544E"/>
    <w:rsid w:val="006A59D6"/>
    <w:rsid w:val="006A5AA6"/>
    <w:rsid w:val="006A615A"/>
    <w:rsid w:val="006A62D3"/>
    <w:rsid w:val="006A7869"/>
    <w:rsid w:val="006A7A17"/>
    <w:rsid w:val="006A7A27"/>
    <w:rsid w:val="006B10BC"/>
    <w:rsid w:val="006B11D7"/>
    <w:rsid w:val="006B1280"/>
    <w:rsid w:val="006B191E"/>
    <w:rsid w:val="006B1C41"/>
    <w:rsid w:val="006B1F26"/>
    <w:rsid w:val="006B1FA2"/>
    <w:rsid w:val="006B235E"/>
    <w:rsid w:val="006B2B84"/>
    <w:rsid w:val="006B2FA4"/>
    <w:rsid w:val="006B39E3"/>
    <w:rsid w:val="006B3A99"/>
    <w:rsid w:val="006B3C59"/>
    <w:rsid w:val="006B3C80"/>
    <w:rsid w:val="006B431D"/>
    <w:rsid w:val="006B4BBE"/>
    <w:rsid w:val="006B524F"/>
    <w:rsid w:val="006B6417"/>
    <w:rsid w:val="006B645C"/>
    <w:rsid w:val="006B6863"/>
    <w:rsid w:val="006B6FAA"/>
    <w:rsid w:val="006B7225"/>
    <w:rsid w:val="006B798C"/>
    <w:rsid w:val="006B7A4B"/>
    <w:rsid w:val="006B7A6B"/>
    <w:rsid w:val="006B7DE4"/>
    <w:rsid w:val="006C00A6"/>
    <w:rsid w:val="006C0353"/>
    <w:rsid w:val="006C03B6"/>
    <w:rsid w:val="006C063B"/>
    <w:rsid w:val="006C0856"/>
    <w:rsid w:val="006C09F3"/>
    <w:rsid w:val="006C2958"/>
    <w:rsid w:val="006C2AEA"/>
    <w:rsid w:val="006C352E"/>
    <w:rsid w:val="006C38D1"/>
    <w:rsid w:val="006C3933"/>
    <w:rsid w:val="006C4688"/>
    <w:rsid w:val="006C4701"/>
    <w:rsid w:val="006C4DAE"/>
    <w:rsid w:val="006C55B2"/>
    <w:rsid w:val="006C58CF"/>
    <w:rsid w:val="006C5C0C"/>
    <w:rsid w:val="006C5E7F"/>
    <w:rsid w:val="006C5F8B"/>
    <w:rsid w:val="006C62F7"/>
    <w:rsid w:val="006C6BDB"/>
    <w:rsid w:val="006C6CBC"/>
    <w:rsid w:val="006C70D6"/>
    <w:rsid w:val="006C7F04"/>
    <w:rsid w:val="006D04EF"/>
    <w:rsid w:val="006D0A1A"/>
    <w:rsid w:val="006D0C96"/>
    <w:rsid w:val="006D14D6"/>
    <w:rsid w:val="006D1702"/>
    <w:rsid w:val="006D21A1"/>
    <w:rsid w:val="006D21BC"/>
    <w:rsid w:val="006D2F41"/>
    <w:rsid w:val="006D300C"/>
    <w:rsid w:val="006D3750"/>
    <w:rsid w:val="006D37DB"/>
    <w:rsid w:val="006D38A9"/>
    <w:rsid w:val="006D3BCD"/>
    <w:rsid w:val="006D3E9F"/>
    <w:rsid w:val="006D4113"/>
    <w:rsid w:val="006D4D54"/>
    <w:rsid w:val="006D4D6F"/>
    <w:rsid w:val="006D53F2"/>
    <w:rsid w:val="006D5594"/>
    <w:rsid w:val="006D663A"/>
    <w:rsid w:val="006D6D48"/>
    <w:rsid w:val="006D6DCC"/>
    <w:rsid w:val="006D7333"/>
    <w:rsid w:val="006E04E2"/>
    <w:rsid w:val="006E1478"/>
    <w:rsid w:val="006E14A0"/>
    <w:rsid w:val="006E15B4"/>
    <w:rsid w:val="006E16C3"/>
    <w:rsid w:val="006E170D"/>
    <w:rsid w:val="006E1AD4"/>
    <w:rsid w:val="006E1B1A"/>
    <w:rsid w:val="006E2203"/>
    <w:rsid w:val="006E2EFC"/>
    <w:rsid w:val="006E2F4B"/>
    <w:rsid w:val="006E31F2"/>
    <w:rsid w:val="006E447B"/>
    <w:rsid w:val="006E661B"/>
    <w:rsid w:val="006E675E"/>
    <w:rsid w:val="006E6784"/>
    <w:rsid w:val="006E68AE"/>
    <w:rsid w:val="006E698B"/>
    <w:rsid w:val="006E7018"/>
    <w:rsid w:val="006E726D"/>
    <w:rsid w:val="006F0158"/>
    <w:rsid w:val="006F048F"/>
    <w:rsid w:val="006F06C5"/>
    <w:rsid w:val="006F0810"/>
    <w:rsid w:val="006F0A7F"/>
    <w:rsid w:val="006F0EBD"/>
    <w:rsid w:val="006F1A2D"/>
    <w:rsid w:val="006F1B4C"/>
    <w:rsid w:val="006F1F4C"/>
    <w:rsid w:val="006F2BBA"/>
    <w:rsid w:val="006F351A"/>
    <w:rsid w:val="006F3EA5"/>
    <w:rsid w:val="006F4B30"/>
    <w:rsid w:val="006F4F64"/>
    <w:rsid w:val="006F51ED"/>
    <w:rsid w:val="006F5478"/>
    <w:rsid w:val="006F5B07"/>
    <w:rsid w:val="006F6C89"/>
    <w:rsid w:val="006F6ECA"/>
    <w:rsid w:val="006F71CC"/>
    <w:rsid w:val="006F76FF"/>
    <w:rsid w:val="0070008D"/>
    <w:rsid w:val="007004E7"/>
    <w:rsid w:val="00700B08"/>
    <w:rsid w:val="00700BE5"/>
    <w:rsid w:val="00700FAF"/>
    <w:rsid w:val="00701927"/>
    <w:rsid w:val="00702074"/>
    <w:rsid w:val="007026EE"/>
    <w:rsid w:val="00702A30"/>
    <w:rsid w:val="00703332"/>
    <w:rsid w:val="00703D6A"/>
    <w:rsid w:val="007046C8"/>
    <w:rsid w:val="00704A2B"/>
    <w:rsid w:val="00704DAC"/>
    <w:rsid w:val="00704E98"/>
    <w:rsid w:val="00705C43"/>
    <w:rsid w:val="00706568"/>
    <w:rsid w:val="00706813"/>
    <w:rsid w:val="007072DC"/>
    <w:rsid w:val="00707321"/>
    <w:rsid w:val="007076A8"/>
    <w:rsid w:val="00707C7D"/>
    <w:rsid w:val="00710246"/>
    <w:rsid w:val="00710254"/>
    <w:rsid w:val="007105E0"/>
    <w:rsid w:val="00710679"/>
    <w:rsid w:val="00710D32"/>
    <w:rsid w:val="00710E71"/>
    <w:rsid w:val="00710E76"/>
    <w:rsid w:val="007116DF"/>
    <w:rsid w:val="00711BAF"/>
    <w:rsid w:val="00712150"/>
    <w:rsid w:val="007121C4"/>
    <w:rsid w:val="00712656"/>
    <w:rsid w:val="00712A75"/>
    <w:rsid w:val="00713A5A"/>
    <w:rsid w:val="00714044"/>
    <w:rsid w:val="00714244"/>
    <w:rsid w:val="00714B89"/>
    <w:rsid w:val="00714DD1"/>
    <w:rsid w:val="007152AB"/>
    <w:rsid w:val="0071548B"/>
    <w:rsid w:val="00715B4D"/>
    <w:rsid w:val="00715FBA"/>
    <w:rsid w:val="00716009"/>
    <w:rsid w:val="0071624F"/>
    <w:rsid w:val="007167DB"/>
    <w:rsid w:val="0071727D"/>
    <w:rsid w:val="00717476"/>
    <w:rsid w:val="007176BB"/>
    <w:rsid w:val="007177FF"/>
    <w:rsid w:val="00717AE5"/>
    <w:rsid w:val="00717CEF"/>
    <w:rsid w:val="007203E4"/>
    <w:rsid w:val="007204A9"/>
    <w:rsid w:val="0072137B"/>
    <w:rsid w:val="007227F3"/>
    <w:rsid w:val="00722C31"/>
    <w:rsid w:val="007230CA"/>
    <w:rsid w:val="00723751"/>
    <w:rsid w:val="007237D8"/>
    <w:rsid w:val="00723DE7"/>
    <w:rsid w:val="00723FC9"/>
    <w:rsid w:val="007244AF"/>
    <w:rsid w:val="00724507"/>
    <w:rsid w:val="00724800"/>
    <w:rsid w:val="007250CF"/>
    <w:rsid w:val="007257A5"/>
    <w:rsid w:val="00725882"/>
    <w:rsid w:val="00726398"/>
    <w:rsid w:val="007264A3"/>
    <w:rsid w:val="00726A2E"/>
    <w:rsid w:val="0072736D"/>
    <w:rsid w:val="007273D2"/>
    <w:rsid w:val="0072778F"/>
    <w:rsid w:val="00727AE5"/>
    <w:rsid w:val="007302FC"/>
    <w:rsid w:val="00730F54"/>
    <w:rsid w:val="00731361"/>
    <w:rsid w:val="007314F9"/>
    <w:rsid w:val="0073169A"/>
    <w:rsid w:val="00732477"/>
    <w:rsid w:val="00732B13"/>
    <w:rsid w:val="00732EB9"/>
    <w:rsid w:val="0073319B"/>
    <w:rsid w:val="00733251"/>
    <w:rsid w:val="00733D8B"/>
    <w:rsid w:val="00733E97"/>
    <w:rsid w:val="007340F0"/>
    <w:rsid w:val="007340FC"/>
    <w:rsid w:val="00734EB0"/>
    <w:rsid w:val="00734FD7"/>
    <w:rsid w:val="00735F23"/>
    <w:rsid w:val="007361E7"/>
    <w:rsid w:val="00736CDF"/>
    <w:rsid w:val="007405C3"/>
    <w:rsid w:val="00741026"/>
    <w:rsid w:val="00742BC6"/>
    <w:rsid w:val="00743009"/>
    <w:rsid w:val="007438F2"/>
    <w:rsid w:val="007445E0"/>
    <w:rsid w:val="007447A2"/>
    <w:rsid w:val="00745133"/>
    <w:rsid w:val="0074529E"/>
    <w:rsid w:val="007453D6"/>
    <w:rsid w:val="00746192"/>
    <w:rsid w:val="007465BB"/>
    <w:rsid w:val="007476D4"/>
    <w:rsid w:val="00750790"/>
    <w:rsid w:val="00750FEA"/>
    <w:rsid w:val="0075109C"/>
    <w:rsid w:val="00752084"/>
    <w:rsid w:val="00752581"/>
    <w:rsid w:val="00752C78"/>
    <w:rsid w:val="00753230"/>
    <w:rsid w:val="00753499"/>
    <w:rsid w:val="0075440F"/>
    <w:rsid w:val="007549FB"/>
    <w:rsid w:val="00754ABA"/>
    <w:rsid w:val="00754BC8"/>
    <w:rsid w:val="00754C31"/>
    <w:rsid w:val="007550AB"/>
    <w:rsid w:val="007556C2"/>
    <w:rsid w:val="0075685D"/>
    <w:rsid w:val="00756929"/>
    <w:rsid w:val="00757988"/>
    <w:rsid w:val="00757AB8"/>
    <w:rsid w:val="00757ED9"/>
    <w:rsid w:val="00760171"/>
    <w:rsid w:val="00760221"/>
    <w:rsid w:val="007606ED"/>
    <w:rsid w:val="00760811"/>
    <w:rsid w:val="0076144F"/>
    <w:rsid w:val="00761C64"/>
    <w:rsid w:val="00761CF9"/>
    <w:rsid w:val="007624C5"/>
    <w:rsid w:val="007626D6"/>
    <w:rsid w:val="00762762"/>
    <w:rsid w:val="00762D97"/>
    <w:rsid w:val="007639E4"/>
    <w:rsid w:val="00763E53"/>
    <w:rsid w:val="00764DD0"/>
    <w:rsid w:val="00765A48"/>
    <w:rsid w:val="00766148"/>
    <w:rsid w:val="007666C1"/>
    <w:rsid w:val="00766BAA"/>
    <w:rsid w:val="00767DBB"/>
    <w:rsid w:val="00770125"/>
    <w:rsid w:val="00770D2A"/>
    <w:rsid w:val="00771144"/>
    <w:rsid w:val="00771220"/>
    <w:rsid w:val="0077125A"/>
    <w:rsid w:val="007718B3"/>
    <w:rsid w:val="00771CB6"/>
    <w:rsid w:val="00772140"/>
    <w:rsid w:val="007729C7"/>
    <w:rsid w:val="00772A3B"/>
    <w:rsid w:val="00772D71"/>
    <w:rsid w:val="00773089"/>
    <w:rsid w:val="007737BA"/>
    <w:rsid w:val="00773DFD"/>
    <w:rsid w:val="0077417D"/>
    <w:rsid w:val="00774646"/>
    <w:rsid w:val="00775806"/>
    <w:rsid w:val="00775A84"/>
    <w:rsid w:val="00776C5B"/>
    <w:rsid w:val="0077714C"/>
    <w:rsid w:val="007772FE"/>
    <w:rsid w:val="00780488"/>
    <w:rsid w:val="007806A3"/>
    <w:rsid w:val="007806B0"/>
    <w:rsid w:val="00781695"/>
    <w:rsid w:val="007819E8"/>
    <w:rsid w:val="00782B08"/>
    <w:rsid w:val="00783180"/>
    <w:rsid w:val="00783DA7"/>
    <w:rsid w:val="00783DB6"/>
    <w:rsid w:val="00784CCF"/>
    <w:rsid w:val="00785113"/>
    <w:rsid w:val="00785392"/>
    <w:rsid w:val="00785B2A"/>
    <w:rsid w:val="00785C15"/>
    <w:rsid w:val="0078619A"/>
    <w:rsid w:val="00786876"/>
    <w:rsid w:val="0078691E"/>
    <w:rsid w:val="00786D65"/>
    <w:rsid w:val="00787842"/>
    <w:rsid w:val="00787EE9"/>
    <w:rsid w:val="0079014F"/>
    <w:rsid w:val="007903CD"/>
    <w:rsid w:val="00790FE0"/>
    <w:rsid w:val="00791DF2"/>
    <w:rsid w:val="00792039"/>
    <w:rsid w:val="00792C3C"/>
    <w:rsid w:val="007937F2"/>
    <w:rsid w:val="00793CD2"/>
    <w:rsid w:val="00794851"/>
    <w:rsid w:val="0079489D"/>
    <w:rsid w:val="00794AAD"/>
    <w:rsid w:val="007958A7"/>
    <w:rsid w:val="00795DCD"/>
    <w:rsid w:val="00795DE3"/>
    <w:rsid w:val="00795FD5"/>
    <w:rsid w:val="00796593"/>
    <w:rsid w:val="00796F19"/>
    <w:rsid w:val="00797290"/>
    <w:rsid w:val="007973D2"/>
    <w:rsid w:val="00797F1C"/>
    <w:rsid w:val="007A02A7"/>
    <w:rsid w:val="007A0832"/>
    <w:rsid w:val="007A0E90"/>
    <w:rsid w:val="007A1134"/>
    <w:rsid w:val="007A18BF"/>
    <w:rsid w:val="007A2132"/>
    <w:rsid w:val="007A24FA"/>
    <w:rsid w:val="007A35F0"/>
    <w:rsid w:val="007A362C"/>
    <w:rsid w:val="007A36D1"/>
    <w:rsid w:val="007A36D2"/>
    <w:rsid w:val="007A4E92"/>
    <w:rsid w:val="007A51D9"/>
    <w:rsid w:val="007A5687"/>
    <w:rsid w:val="007A56C4"/>
    <w:rsid w:val="007A5976"/>
    <w:rsid w:val="007A5B13"/>
    <w:rsid w:val="007A630E"/>
    <w:rsid w:val="007A6D34"/>
    <w:rsid w:val="007A74FD"/>
    <w:rsid w:val="007A768D"/>
    <w:rsid w:val="007A76F6"/>
    <w:rsid w:val="007A7859"/>
    <w:rsid w:val="007B0602"/>
    <w:rsid w:val="007B0BCE"/>
    <w:rsid w:val="007B0F75"/>
    <w:rsid w:val="007B100D"/>
    <w:rsid w:val="007B138A"/>
    <w:rsid w:val="007B1DD7"/>
    <w:rsid w:val="007B20FA"/>
    <w:rsid w:val="007B2125"/>
    <w:rsid w:val="007B23AD"/>
    <w:rsid w:val="007B261E"/>
    <w:rsid w:val="007B2A72"/>
    <w:rsid w:val="007B3040"/>
    <w:rsid w:val="007B37BC"/>
    <w:rsid w:val="007B3E41"/>
    <w:rsid w:val="007B3ECC"/>
    <w:rsid w:val="007B49B5"/>
    <w:rsid w:val="007B5376"/>
    <w:rsid w:val="007B633C"/>
    <w:rsid w:val="007B6654"/>
    <w:rsid w:val="007B69BE"/>
    <w:rsid w:val="007B6AD6"/>
    <w:rsid w:val="007B71E4"/>
    <w:rsid w:val="007B75BD"/>
    <w:rsid w:val="007B767C"/>
    <w:rsid w:val="007B7B21"/>
    <w:rsid w:val="007C03E2"/>
    <w:rsid w:val="007C0935"/>
    <w:rsid w:val="007C0E44"/>
    <w:rsid w:val="007C115D"/>
    <w:rsid w:val="007C1175"/>
    <w:rsid w:val="007C2224"/>
    <w:rsid w:val="007C2DAE"/>
    <w:rsid w:val="007C323F"/>
    <w:rsid w:val="007C3706"/>
    <w:rsid w:val="007C3A0F"/>
    <w:rsid w:val="007C4186"/>
    <w:rsid w:val="007C48E5"/>
    <w:rsid w:val="007C53F8"/>
    <w:rsid w:val="007C54F8"/>
    <w:rsid w:val="007C54FC"/>
    <w:rsid w:val="007C5601"/>
    <w:rsid w:val="007C578F"/>
    <w:rsid w:val="007C72AD"/>
    <w:rsid w:val="007C7421"/>
    <w:rsid w:val="007C7437"/>
    <w:rsid w:val="007C77AD"/>
    <w:rsid w:val="007C7916"/>
    <w:rsid w:val="007D0DBD"/>
    <w:rsid w:val="007D13E0"/>
    <w:rsid w:val="007D156C"/>
    <w:rsid w:val="007D1B92"/>
    <w:rsid w:val="007D2743"/>
    <w:rsid w:val="007D2DD7"/>
    <w:rsid w:val="007D2F0D"/>
    <w:rsid w:val="007D354D"/>
    <w:rsid w:val="007D3B6A"/>
    <w:rsid w:val="007D3CE0"/>
    <w:rsid w:val="007D44D8"/>
    <w:rsid w:val="007D480D"/>
    <w:rsid w:val="007D4F16"/>
    <w:rsid w:val="007D51DC"/>
    <w:rsid w:val="007D52C0"/>
    <w:rsid w:val="007D596E"/>
    <w:rsid w:val="007D5B5F"/>
    <w:rsid w:val="007D5BF2"/>
    <w:rsid w:val="007D6408"/>
    <w:rsid w:val="007D71EA"/>
    <w:rsid w:val="007D7437"/>
    <w:rsid w:val="007D7502"/>
    <w:rsid w:val="007D7ADD"/>
    <w:rsid w:val="007D7DEB"/>
    <w:rsid w:val="007D7FF3"/>
    <w:rsid w:val="007E0541"/>
    <w:rsid w:val="007E0D87"/>
    <w:rsid w:val="007E18EB"/>
    <w:rsid w:val="007E1B7C"/>
    <w:rsid w:val="007E1E4C"/>
    <w:rsid w:val="007E2774"/>
    <w:rsid w:val="007E34F7"/>
    <w:rsid w:val="007E3D87"/>
    <w:rsid w:val="007E4842"/>
    <w:rsid w:val="007E4C4F"/>
    <w:rsid w:val="007E5083"/>
    <w:rsid w:val="007E52EE"/>
    <w:rsid w:val="007E56A3"/>
    <w:rsid w:val="007E5DEF"/>
    <w:rsid w:val="007E63CF"/>
    <w:rsid w:val="007E6657"/>
    <w:rsid w:val="007E6770"/>
    <w:rsid w:val="007E6917"/>
    <w:rsid w:val="007E6BE2"/>
    <w:rsid w:val="007E7FE5"/>
    <w:rsid w:val="007F0B79"/>
    <w:rsid w:val="007F0EA3"/>
    <w:rsid w:val="007F0F40"/>
    <w:rsid w:val="007F10E3"/>
    <w:rsid w:val="007F1CA4"/>
    <w:rsid w:val="007F2286"/>
    <w:rsid w:val="007F2AD6"/>
    <w:rsid w:val="007F3409"/>
    <w:rsid w:val="007F3721"/>
    <w:rsid w:val="007F47E7"/>
    <w:rsid w:val="007F4871"/>
    <w:rsid w:val="007F4E93"/>
    <w:rsid w:val="007F5C5F"/>
    <w:rsid w:val="007F5CE1"/>
    <w:rsid w:val="007F6BD7"/>
    <w:rsid w:val="007F7596"/>
    <w:rsid w:val="007F7E5E"/>
    <w:rsid w:val="00800309"/>
    <w:rsid w:val="0080061B"/>
    <w:rsid w:val="008007FF"/>
    <w:rsid w:val="00801141"/>
    <w:rsid w:val="00802021"/>
    <w:rsid w:val="008020D6"/>
    <w:rsid w:val="008021EA"/>
    <w:rsid w:val="0080264D"/>
    <w:rsid w:val="0080274C"/>
    <w:rsid w:val="00803112"/>
    <w:rsid w:val="00803BC0"/>
    <w:rsid w:val="00803CC9"/>
    <w:rsid w:val="00804118"/>
    <w:rsid w:val="00804618"/>
    <w:rsid w:val="008046AA"/>
    <w:rsid w:val="008046D4"/>
    <w:rsid w:val="00804D8A"/>
    <w:rsid w:val="00804D92"/>
    <w:rsid w:val="00804E43"/>
    <w:rsid w:val="00805C55"/>
    <w:rsid w:val="0080610E"/>
    <w:rsid w:val="008065AC"/>
    <w:rsid w:val="008067E5"/>
    <w:rsid w:val="008068E7"/>
    <w:rsid w:val="00806BC2"/>
    <w:rsid w:val="00806C27"/>
    <w:rsid w:val="0080721C"/>
    <w:rsid w:val="00807E98"/>
    <w:rsid w:val="008108CA"/>
    <w:rsid w:val="00810C55"/>
    <w:rsid w:val="00811C6E"/>
    <w:rsid w:val="00813163"/>
    <w:rsid w:val="00813399"/>
    <w:rsid w:val="008136B4"/>
    <w:rsid w:val="008136E3"/>
    <w:rsid w:val="0081383F"/>
    <w:rsid w:val="00813971"/>
    <w:rsid w:val="00814E9D"/>
    <w:rsid w:val="008154CE"/>
    <w:rsid w:val="008154D0"/>
    <w:rsid w:val="00815583"/>
    <w:rsid w:val="0081574B"/>
    <w:rsid w:val="0081632F"/>
    <w:rsid w:val="00816D47"/>
    <w:rsid w:val="00817014"/>
    <w:rsid w:val="00817A1B"/>
    <w:rsid w:val="008201B9"/>
    <w:rsid w:val="008201C7"/>
    <w:rsid w:val="00820355"/>
    <w:rsid w:val="008204A5"/>
    <w:rsid w:val="008205E1"/>
    <w:rsid w:val="00820837"/>
    <w:rsid w:val="00820A50"/>
    <w:rsid w:val="00820C7A"/>
    <w:rsid w:val="00821D0B"/>
    <w:rsid w:val="008223BD"/>
    <w:rsid w:val="00823439"/>
    <w:rsid w:val="00823CCC"/>
    <w:rsid w:val="0082441D"/>
    <w:rsid w:val="0082476C"/>
    <w:rsid w:val="00825067"/>
    <w:rsid w:val="0082545F"/>
    <w:rsid w:val="0082566A"/>
    <w:rsid w:val="00826111"/>
    <w:rsid w:val="00826B80"/>
    <w:rsid w:val="00826C51"/>
    <w:rsid w:val="00826DDD"/>
    <w:rsid w:val="00827AF7"/>
    <w:rsid w:val="008310F7"/>
    <w:rsid w:val="0083117C"/>
    <w:rsid w:val="008312E7"/>
    <w:rsid w:val="008315A7"/>
    <w:rsid w:val="00832133"/>
    <w:rsid w:val="008323A2"/>
    <w:rsid w:val="008325EF"/>
    <w:rsid w:val="0083274A"/>
    <w:rsid w:val="00832BE2"/>
    <w:rsid w:val="00832ED8"/>
    <w:rsid w:val="0083308D"/>
    <w:rsid w:val="0083323C"/>
    <w:rsid w:val="0083357B"/>
    <w:rsid w:val="0083375B"/>
    <w:rsid w:val="00833792"/>
    <w:rsid w:val="00833E79"/>
    <w:rsid w:val="00833F55"/>
    <w:rsid w:val="0083402D"/>
    <w:rsid w:val="008340DA"/>
    <w:rsid w:val="00834581"/>
    <w:rsid w:val="00834975"/>
    <w:rsid w:val="00834AB5"/>
    <w:rsid w:val="00834F03"/>
    <w:rsid w:val="00834F2D"/>
    <w:rsid w:val="00835035"/>
    <w:rsid w:val="00835414"/>
    <w:rsid w:val="00836142"/>
    <w:rsid w:val="008371CB"/>
    <w:rsid w:val="008375DE"/>
    <w:rsid w:val="00837E61"/>
    <w:rsid w:val="00840F98"/>
    <w:rsid w:val="008410FB"/>
    <w:rsid w:val="0084303D"/>
    <w:rsid w:val="00843854"/>
    <w:rsid w:val="00843996"/>
    <w:rsid w:val="00843FD9"/>
    <w:rsid w:val="00844563"/>
    <w:rsid w:val="008446BC"/>
    <w:rsid w:val="0084522B"/>
    <w:rsid w:val="00845639"/>
    <w:rsid w:val="00846562"/>
    <w:rsid w:val="00846CA6"/>
    <w:rsid w:val="00846EB8"/>
    <w:rsid w:val="00847008"/>
    <w:rsid w:val="008500E0"/>
    <w:rsid w:val="00850314"/>
    <w:rsid w:val="00850422"/>
    <w:rsid w:val="008504DD"/>
    <w:rsid w:val="00850718"/>
    <w:rsid w:val="008513DE"/>
    <w:rsid w:val="00852906"/>
    <w:rsid w:val="00852F35"/>
    <w:rsid w:val="008537E2"/>
    <w:rsid w:val="008546C4"/>
    <w:rsid w:val="00855CE0"/>
    <w:rsid w:val="00855DDF"/>
    <w:rsid w:val="008560BB"/>
    <w:rsid w:val="00857119"/>
    <w:rsid w:val="008571A1"/>
    <w:rsid w:val="00857363"/>
    <w:rsid w:val="00857A48"/>
    <w:rsid w:val="00857EE7"/>
    <w:rsid w:val="0086053A"/>
    <w:rsid w:val="0086063E"/>
    <w:rsid w:val="00861135"/>
    <w:rsid w:val="008611D9"/>
    <w:rsid w:val="008619F5"/>
    <w:rsid w:val="00861EBD"/>
    <w:rsid w:val="00862169"/>
    <w:rsid w:val="008625AE"/>
    <w:rsid w:val="00862FF5"/>
    <w:rsid w:val="00864067"/>
    <w:rsid w:val="00864308"/>
    <w:rsid w:val="00864351"/>
    <w:rsid w:val="00864BFF"/>
    <w:rsid w:val="00865C14"/>
    <w:rsid w:val="008663B5"/>
    <w:rsid w:val="00866639"/>
    <w:rsid w:val="0086685A"/>
    <w:rsid w:val="00870308"/>
    <w:rsid w:val="0087039E"/>
    <w:rsid w:val="008703B9"/>
    <w:rsid w:val="008703DC"/>
    <w:rsid w:val="00870901"/>
    <w:rsid w:val="008709C0"/>
    <w:rsid w:val="008711A5"/>
    <w:rsid w:val="00871352"/>
    <w:rsid w:val="008717AC"/>
    <w:rsid w:val="00871DF9"/>
    <w:rsid w:val="0087298C"/>
    <w:rsid w:val="00872B52"/>
    <w:rsid w:val="00872C5D"/>
    <w:rsid w:val="00873767"/>
    <w:rsid w:val="00873993"/>
    <w:rsid w:val="00873FF5"/>
    <w:rsid w:val="008743C5"/>
    <w:rsid w:val="0087481B"/>
    <w:rsid w:val="00874828"/>
    <w:rsid w:val="008748C2"/>
    <w:rsid w:val="00874F77"/>
    <w:rsid w:val="0087504B"/>
    <w:rsid w:val="00875136"/>
    <w:rsid w:val="00875227"/>
    <w:rsid w:val="008768D2"/>
    <w:rsid w:val="0087793E"/>
    <w:rsid w:val="00880485"/>
    <w:rsid w:val="008804E0"/>
    <w:rsid w:val="0088096D"/>
    <w:rsid w:val="008809B3"/>
    <w:rsid w:val="00881131"/>
    <w:rsid w:val="008827CD"/>
    <w:rsid w:val="00882B03"/>
    <w:rsid w:val="00882C2A"/>
    <w:rsid w:val="00883248"/>
    <w:rsid w:val="00884B2D"/>
    <w:rsid w:val="00884E82"/>
    <w:rsid w:val="00884EF2"/>
    <w:rsid w:val="008853AE"/>
    <w:rsid w:val="00885699"/>
    <w:rsid w:val="0088632B"/>
    <w:rsid w:val="00886CDF"/>
    <w:rsid w:val="00886E2C"/>
    <w:rsid w:val="0089051D"/>
    <w:rsid w:val="008907C8"/>
    <w:rsid w:val="00890938"/>
    <w:rsid w:val="00890A1D"/>
    <w:rsid w:val="00891042"/>
    <w:rsid w:val="0089144B"/>
    <w:rsid w:val="008916C0"/>
    <w:rsid w:val="00891C0F"/>
    <w:rsid w:val="00892083"/>
    <w:rsid w:val="008921B6"/>
    <w:rsid w:val="0089222A"/>
    <w:rsid w:val="008926DE"/>
    <w:rsid w:val="00893917"/>
    <w:rsid w:val="00893A64"/>
    <w:rsid w:val="00893CEF"/>
    <w:rsid w:val="0089436E"/>
    <w:rsid w:val="008951EF"/>
    <w:rsid w:val="00895B41"/>
    <w:rsid w:val="00895CA6"/>
    <w:rsid w:val="00896AF4"/>
    <w:rsid w:val="008972E2"/>
    <w:rsid w:val="0089731C"/>
    <w:rsid w:val="00897C83"/>
    <w:rsid w:val="008A0614"/>
    <w:rsid w:val="008A097B"/>
    <w:rsid w:val="008A0B29"/>
    <w:rsid w:val="008A0D34"/>
    <w:rsid w:val="008A0E9F"/>
    <w:rsid w:val="008A0FB4"/>
    <w:rsid w:val="008A1416"/>
    <w:rsid w:val="008A146C"/>
    <w:rsid w:val="008A1557"/>
    <w:rsid w:val="008A1A2A"/>
    <w:rsid w:val="008A2821"/>
    <w:rsid w:val="008A29EF"/>
    <w:rsid w:val="008A3A77"/>
    <w:rsid w:val="008A4523"/>
    <w:rsid w:val="008A491D"/>
    <w:rsid w:val="008A4ECC"/>
    <w:rsid w:val="008A5871"/>
    <w:rsid w:val="008A6299"/>
    <w:rsid w:val="008A6692"/>
    <w:rsid w:val="008A6F6B"/>
    <w:rsid w:val="008A7086"/>
    <w:rsid w:val="008A70EB"/>
    <w:rsid w:val="008A7160"/>
    <w:rsid w:val="008A72F2"/>
    <w:rsid w:val="008B0315"/>
    <w:rsid w:val="008B0369"/>
    <w:rsid w:val="008B03B5"/>
    <w:rsid w:val="008B0DBC"/>
    <w:rsid w:val="008B0E4C"/>
    <w:rsid w:val="008B1003"/>
    <w:rsid w:val="008B1379"/>
    <w:rsid w:val="008B16CA"/>
    <w:rsid w:val="008B1979"/>
    <w:rsid w:val="008B233E"/>
    <w:rsid w:val="008B2C88"/>
    <w:rsid w:val="008B2F0D"/>
    <w:rsid w:val="008B2FD5"/>
    <w:rsid w:val="008B3199"/>
    <w:rsid w:val="008B349C"/>
    <w:rsid w:val="008B359D"/>
    <w:rsid w:val="008B3709"/>
    <w:rsid w:val="008B3A24"/>
    <w:rsid w:val="008B41C9"/>
    <w:rsid w:val="008B44F5"/>
    <w:rsid w:val="008B4B82"/>
    <w:rsid w:val="008B4E77"/>
    <w:rsid w:val="008B5168"/>
    <w:rsid w:val="008B5BDA"/>
    <w:rsid w:val="008B5C98"/>
    <w:rsid w:val="008B6598"/>
    <w:rsid w:val="008B699D"/>
    <w:rsid w:val="008B6DE2"/>
    <w:rsid w:val="008B7391"/>
    <w:rsid w:val="008B759E"/>
    <w:rsid w:val="008B7639"/>
    <w:rsid w:val="008B7680"/>
    <w:rsid w:val="008B7772"/>
    <w:rsid w:val="008B7E9D"/>
    <w:rsid w:val="008C0C17"/>
    <w:rsid w:val="008C0F8F"/>
    <w:rsid w:val="008C1861"/>
    <w:rsid w:val="008C1F78"/>
    <w:rsid w:val="008C25B6"/>
    <w:rsid w:val="008C26C3"/>
    <w:rsid w:val="008C2ABF"/>
    <w:rsid w:val="008C2D1D"/>
    <w:rsid w:val="008C2ED1"/>
    <w:rsid w:val="008C30B9"/>
    <w:rsid w:val="008C3E6D"/>
    <w:rsid w:val="008C47A1"/>
    <w:rsid w:val="008C4E14"/>
    <w:rsid w:val="008C52E4"/>
    <w:rsid w:val="008C5524"/>
    <w:rsid w:val="008C562C"/>
    <w:rsid w:val="008C6627"/>
    <w:rsid w:val="008C6B11"/>
    <w:rsid w:val="008C70A1"/>
    <w:rsid w:val="008C738F"/>
    <w:rsid w:val="008C73BA"/>
    <w:rsid w:val="008C73F2"/>
    <w:rsid w:val="008C7C5D"/>
    <w:rsid w:val="008D06F1"/>
    <w:rsid w:val="008D0DD5"/>
    <w:rsid w:val="008D1202"/>
    <w:rsid w:val="008D2046"/>
    <w:rsid w:val="008D20E9"/>
    <w:rsid w:val="008D2349"/>
    <w:rsid w:val="008D3145"/>
    <w:rsid w:val="008D3491"/>
    <w:rsid w:val="008D3941"/>
    <w:rsid w:val="008D4F1F"/>
    <w:rsid w:val="008D561B"/>
    <w:rsid w:val="008D5624"/>
    <w:rsid w:val="008D5FBB"/>
    <w:rsid w:val="008D66AC"/>
    <w:rsid w:val="008D6996"/>
    <w:rsid w:val="008D6B9E"/>
    <w:rsid w:val="008D6BE5"/>
    <w:rsid w:val="008D7CDE"/>
    <w:rsid w:val="008D7CE6"/>
    <w:rsid w:val="008E0009"/>
    <w:rsid w:val="008E01CB"/>
    <w:rsid w:val="008E0EBA"/>
    <w:rsid w:val="008E1024"/>
    <w:rsid w:val="008E14A4"/>
    <w:rsid w:val="008E1598"/>
    <w:rsid w:val="008E18CC"/>
    <w:rsid w:val="008E1974"/>
    <w:rsid w:val="008E1A94"/>
    <w:rsid w:val="008E1E22"/>
    <w:rsid w:val="008E2152"/>
    <w:rsid w:val="008E26B4"/>
    <w:rsid w:val="008E2D54"/>
    <w:rsid w:val="008E32A4"/>
    <w:rsid w:val="008E3595"/>
    <w:rsid w:val="008E360D"/>
    <w:rsid w:val="008E361F"/>
    <w:rsid w:val="008E39E1"/>
    <w:rsid w:val="008E3FC6"/>
    <w:rsid w:val="008E47B8"/>
    <w:rsid w:val="008E4924"/>
    <w:rsid w:val="008E4BAD"/>
    <w:rsid w:val="008E4CFB"/>
    <w:rsid w:val="008E4E21"/>
    <w:rsid w:val="008E506A"/>
    <w:rsid w:val="008E57BB"/>
    <w:rsid w:val="008E6321"/>
    <w:rsid w:val="008E6822"/>
    <w:rsid w:val="008E6B96"/>
    <w:rsid w:val="008E7287"/>
    <w:rsid w:val="008E7452"/>
    <w:rsid w:val="008E77DA"/>
    <w:rsid w:val="008E7C87"/>
    <w:rsid w:val="008F0C2D"/>
    <w:rsid w:val="008F1B48"/>
    <w:rsid w:val="008F1F22"/>
    <w:rsid w:val="008F2033"/>
    <w:rsid w:val="008F2071"/>
    <w:rsid w:val="008F21CA"/>
    <w:rsid w:val="008F27F1"/>
    <w:rsid w:val="008F3275"/>
    <w:rsid w:val="008F34D4"/>
    <w:rsid w:val="008F399E"/>
    <w:rsid w:val="008F3BB9"/>
    <w:rsid w:val="008F3BBB"/>
    <w:rsid w:val="008F43C8"/>
    <w:rsid w:val="008F4CCB"/>
    <w:rsid w:val="008F4FB3"/>
    <w:rsid w:val="008F5068"/>
    <w:rsid w:val="008F50F7"/>
    <w:rsid w:val="008F579C"/>
    <w:rsid w:val="008F5D58"/>
    <w:rsid w:val="008F5DF9"/>
    <w:rsid w:val="008F6AF9"/>
    <w:rsid w:val="008F6C5A"/>
    <w:rsid w:val="008F741A"/>
    <w:rsid w:val="008F755F"/>
    <w:rsid w:val="008F773D"/>
    <w:rsid w:val="008F79F3"/>
    <w:rsid w:val="008F7A6B"/>
    <w:rsid w:val="00900043"/>
    <w:rsid w:val="00900283"/>
    <w:rsid w:val="00900B61"/>
    <w:rsid w:val="00900D5B"/>
    <w:rsid w:val="00900E1B"/>
    <w:rsid w:val="00901262"/>
    <w:rsid w:val="00901609"/>
    <w:rsid w:val="009020E6"/>
    <w:rsid w:val="00903471"/>
    <w:rsid w:val="009035C4"/>
    <w:rsid w:val="00903704"/>
    <w:rsid w:val="0090506C"/>
    <w:rsid w:val="009051E6"/>
    <w:rsid w:val="00905290"/>
    <w:rsid w:val="00906BF7"/>
    <w:rsid w:val="00906F10"/>
    <w:rsid w:val="009072C4"/>
    <w:rsid w:val="00910385"/>
    <w:rsid w:val="00910804"/>
    <w:rsid w:val="00910A4F"/>
    <w:rsid w:val="00911700"/>
    <w:rsid w:val="00911C1A"/>
    <w:rsid w:val="00911F88"/>
    <w:rsid w:val="00912132"/>
    <w:rsid w:val="00912947"/>
    <w:rsid w:val="00912C03"/>
    <w:rsid w:val="00912D1D"/>
    <w:rsid w:val="00912FE3"/>
    <w:rsid w:val="00913ED0"/>
    <w:rsid w:val="00913FC5"/>
    <w:rsid w:val="00914541"/>
    <w:rsid w:val="00914828"/>
    <w:rsid w:val="00914EFD"/>
    <w:rsid w:val="009153B3"/>
    <w:rsid w:val="0091569F"/>
    <w:rsid w:val="00915989"/>
    <w:rsid w:val="00916AC4"/>
    <w:rsid w:val="0091745C"/>
    <w:rsid w:val="009177F6"/>
    <w:rsid w:val="0092060E"/>
    <w:rsid w:val="00920C19"/>
    <w:rsid w:val="00922B0C"/>
    <w:rsid w:val="00923650"/>
    <w:rsid w:val="00923C46"/>
    <w:rsid w:val="009243FE"/>
    <w:rsid w:val="00924585"/>
    <w:rsid w:val="009246AB"/>
    <w:rsid w:val="009248A8"/>
    <w:rsid w:val="009258FE"/>
    <w:rsid w:val="00925ACD"/>
    <w:rsid w:val="009261FC"/>
    <w:rsid w:val="009265B5"/>
    <w:rsid w:val="00926692"/>
    <w:rsid w:val="00926B65"/>
    <w:rsid w:val="00926DA8"/>
    <w:rsid w:val="00926EBC"/>
    <w:rsid w:val="00926FF4"/>
    <w:rsid w:val="009272DB"/>
    <w:rsid w:val="00927333"/>
    <w:rsid w:val="00927650"/>
    <w:rsid w:val="00927751"/>
    <w:rsid w:val="00927E76"/>
    <w:rsid w:val="009304E8"/>
    <w:rsid w:val="00930873"/>
    <w:rsid w:val="0093109B"/>
    <w:rsid w:val="00931484"/>
    <w:rsid w:val="00931FA5"/>
    <w:rsid w:val="009321CB"/>
    <w:rsid w:val="009325A3"/>
    <w:rsid w:val="00933A5B"/>
    <w:rsid w:val="00933FC8"/>
    <w:rsid w:val="0093480F"/>
    <w:rsid w:val="009359F2"/>
    <w:rsid w:val="00936043"/>
    <w:rsid w:val="0093693F"/>
    <w:rsid w:val="00936AC6"/>
    <w:rsid w:val="00936C34"/>
    <w:rsid w:val="00936CDF"/>
    <w:rsid w:val="00936E61"/>
    <w:rsid w:val="009371D1"/>
    <w:rsid w:val="0093761C"/>
    <w:rsid w:val="00937782"/>
    <w:rsid w:val="009378FB"/>
    <w:rsid w:val="00937CD6"/>
    <w:rsid w:val="00937E79"/>
    <w:rsid w:val="00940897"/>
    <w:rsid w:val="00940C2D"/>
    <w:rsid w:val="00941240"/>
    <w:rsid w:val="00941D01"/>
    <w:rsid w:val="009425C0"/>
    <w:rsid w:val="00942B20"/>
    <w:rsid w:val="00942CB6"/>
    <w:rsid w:val="00942CE9"/>
    <w:rsid w:val="00943DE9"/>
    <w:rsid w:val="00946AB5"/>
    <w:rsid w:val="00946E5C"/>
    <w:rsid w:val="00946F20"/>
    <w:rsid w:val="00947383"/>
    <w:rsid w:val="00947E29"/>
    <w:rsid w:val="009504F0"/>
    <w:rsid w:val="009514E7"/>
    <w:rsid w:val="0095382E"/>
    <w:rsid w:val="00953BF4"/>
    <w:rsid w:val="0095425A"/>
    <w:rsid w:val="0095488C"/>
    <w:rsid w:val="00954D5F"/>
    <w:rsid w:val="00954FF2"/>
    <w:rsid w:val="00955559"/>
    <w:rsid w:val="009555BF"/>
    <w:rsid w:val="009559CC"/>
    <w:rsid w:val="00956983"/>
    <w:rsid w:val="00956AE4"/>
    <w:rsid w:val="00956BDD"/>
    <w:rsid w:val="00956EA6"/>
    <w:rsid w:val="00956F82"/>
    <w:rsid w:val="00957952"/>
    <w:rsid w:val="00957AB0"/>
    <w:rsid w:val="00960458"/>
    <w:rsid w:val="009606F3"/>
    <w:rsid w:val="009608C5"/>
    <w:rsid w:val="009608DF"/>
    <w:rsid w:val="00960AFA"/>
    <w:rsid w:val="00960D70"/>
    <w:rsid w:val="009615D2"/>
    <w:rsid w:val="00962110"/>
    <w:rsid w:val="00962A72"/>
    <w:rsid w:val="00962EE8"/>
    <w:rsid w:val="009630CD"/>
    <w:rsid w:val="00963427"/>
    <w:rsid w:val="0096366E"/>
    <w:rsid w:val="00963E1A"/>
    <w:rsid w:val="0096485B"/>
    <w:rsid w:val="0096490D"/>
    <w:rsid w:val="009650F5"/>
    <w:rsid w:val="009659B4"/>
    <w:rsid w:val="00965BC9"/>
    <w:rsid w:val="00965D92"/>
    <w:rsid w:val="0096612F"/>
    <w:rsid w:val="009661EF"/>
    <w:rsid w:val="00966255"/>
    <w:rsid w:val="00966AF3"/>
    <w:rsid w:val="00967351"/>
    <w:rsid w:val="009674F3"/>
    <w:rsid w:val="00967BBA"/>
    <w:rsid w:val="00967BE6"/>
    <w:rsid w:val="00967DAC"/>
    <w:rsid w:val="00967FCC"/>
    <w:rsid w:val="0097005E"/>
    <w:rsid w:val="00970062"/>
    <w:rsid w:val="00970A54"/>
    <w:rsid w:val="00970A9F"/>
    <w:rsid w:val="00970E91"/>
    <w:rsid w:val="009716DD"/>
    <w:rsid w:val="0097191F"/>
    <w:rsid w:val="00971A16"/>
    <w:rsid w:val="009727D9"/>
    <w:rsid w:val="00972878"/>
    <w:rsid w:val="00972FB7"/>
    <w:rsid w:val="0097347F"/>
    <w:rsid w:val="009734C5"/>
    <w:rsid w:val="009749E2"/>
    <w:rsid w:val="00974AFD"/>
    <w:rsid w:val="00974B72"/>
    <w:rsid w:val="00974EAC"/>
    <w:rsid w:val="00974EE7"/>
    <w:rsid w:val="0097514F"/>
    <w:rsid w:val="0097518A"/>
    <w:rsid w:val="009758A0"/>
    <w:rsid w:val="00975C5F"/>
    <w:rsid w:val="00976EE9"/>
    <w:rsid w:val="0097761A"/>
    <w:rsid w:val="00977D01"/>
    <w:rsid w:val="00977F77"/>
    <w:rsid w:val="0098000E"/>
    <w:rsid w:val="009814FF"/>
    <w:rsid w:val="0098198A"/>
    <w:rsid w:val="009836B3"/>
    <w:rsid w:val="00984330"/>
    <w:rsid w:val="00984376"/>
    <w:rsid w:val="00984434"/>
    <w:rsid w:val="00984798"/>
    <w:rsid w:val="00984E44"/>
    <w:rsid w:val="009851A1"/>
    <w:rsid w:val="009857E5"/>
    <w:rsid w:val="00985BA5"/>
    <w:rsid w:val="00985E92"/>
    <w:rsid w:val="009861D5"/>
    <w:rsid w:val="0098779B"/>
    <w:rsid w:val="00987940"/>
    <w:rsid w:val="00987AFD"/>
    <w:rsid w:val="00987FD0"/>
    <w:rsid w:val="00990124"/>
    <w:rsid w:val="009905EF"/>
    <w:rsid w:val="00990645"/>
    <w:rsid w:val="00990744"/>
    <w:rsid w:val="009907A9"/>
    <w:rsid w:val="009907E1"/>
    <w:rsid w:val="00991237"/>
    <w:rsid w:val="009923D4"/>
    <w:rsid w:val="00995436"/>
    <w:rsid w:val="00995541"/>
    <w:rsid w:val="00995B54"/>
    <w:rsid w:val="00996087"/>
    <w:rsid w:val="00996762"/>
    <w:rsid w:val="009967A0"/>
    <w:rsid w:val="009968DF"/>
    <w:rsid w:val="009971E4"/>
    <w:rsid w:val="00997261"/>
    <w:rsid w:val="009A01F0"/>
    <w:rsid w:val="009A14C5"/>
    <w:rsid w:val="009A19D0"/>
    <w:rsid w:val="009A2451"/>
    <w:rsid w:val="009A273C"/>
    <w:rsid w:val="009A295F"/>
    <w:rsid w:val="009A2E1E"/>
    <w:rsid w:val="009A33D5"/>
    <w:rsid w:val="009A33EB"/>
    <w:rsid w:val="009A396A"/>
    <w:rsid w:val="009A3D1E"/>
    <w:rsid w:val="009A6D9C"/>
    <w:rsid w:val="009A78E0"/>
    <w:rsid w:val="009B0911"/>
    <w:rsid w:val="009B14EC"/>
    <w:rsid w:val="009B1970"/>
    <w:rsid w:val="009B1BDC"/>
    <w:rsid w:val="009B1D27"/>
    <w:rsid w:val="009B3BB2"/>
    <w:rsid w:val="009B3D0A"/>
    <w:rsid w:val="009B4404"/>
    <w:rsid w:val="009B4BD9"/>
    <w:rsid w:val="009B540C"/>
    <w:rsid w:val="009B544D"/>
    <w:rsid w:val="009B5B67"/>
    <w:rsid w:val="009B5DEB"/>
    <w:rsid w:val="009B5E1B"/>
    <w:rsid w:val="009B6694"/>
    <w:rsid w:val="009B6CB8"/>
    <w:rsid w:val="009B71A0"/>
    <w:rsid w:val="009B777E"/>
    <w:rsid w:val="009C06B0"/>
    <w:rsid w:val="009C0DED"/>
    <w:rsid w:val="009C0F3C"/>
    <w:rsid w:val="009C105D"/>
    <w:rsid w:val="009C1336"/>
    <w:rsid w:val="009C27E1"/>
    <w:rsid w:val="009C2ADB"/>
    <w:rsid w:val="009C3273"/>
    <w:rsid w:val="009C328B"/>
    <w:rsid w:val="009C37EC"/>
    <w:rsid w:val="009C4560"/>
    <w:rsid w:val="009C4815"/>
    <w:rsid w:val="009C4F30"/>
    <w:rsid w:val="009C51E1"/>
    <w:rsid w:val="009C526C"/>
    <w:rsid w:val="009C5437"/>
    <w:rsid w:val="009C57E2"/>
    <w:rsid w:val="009C60F6"/>
    <w:rsid w:val="009C64DA"/>
    <w:rsid w:val="009C67F8"/>
    <w:rsid w:val="009C70D5"/>
    <w:rsid w:val="009C71AA"/>
    <w:rsid w:val="009C7AE8"/>
    <w:rsid w:val="009C7BD9"/>
    <w:rsid w:val="009D0181"/>
    <w:rsid w:val="009D030C"/>
    <w:rsid w:val="009D07A4"/>
    <w:rsid w:val="009D1066"/>
    <w:rsid w:val="009D1199"/>
    <w:rsid w:val="009D13D3"/>
    <w:rsid w:val="009D14AA"/>
    <w:rsid w:val="009D1771"/>
    <w:rsid w:val="009D1BBB"/>
    <w:rsid w:val="009D1F02"/>
    <w:rsid w:val="009D255A"/>
    <w:rsid w:val="009D2CDB"/>
    <w:rsid w:val="009D2DBC"/>
    <w:rsid w:val="009D3429"/>
    <w:rsid w:val="009D3710"/>
    <w:rsid w:val="009D37A3"/>
    <w:rsid w:val="009D37EE"/>
    <w:rsid w:val="009D43E6"/>
    <w:rsid w:val="009D4507"/>
    <w:rsid w:val="009D4AB1"/>
    <w:rsid w:val="009D4D08"/>
    <w:rsid w:val="009D53D1"/>
    <w:rsid w:val="009D58AA"/>
    <w:rsid w:val="009D7924"/>
    <w:rsid w:val="009E13AA"/>
    <w:rsid w:val="009E1A75"/>
    <w:rsid w:val="009E207E"/>
    <w:rsid w:val="009E2197"/>
    <w:rsid w:val="009E21CA"/>
    <w:rsid w:val="009E2447"/>
    <w:rsid w:val="009E2758"/>
    <w:rsid w:val="009E29AB"/>
    <w:rsid w:val="009E3036"/>
    <w:rsid w:val="009E3054"/>
    <w:rsid w:val="009E307D"/>
    <w:rsid w:val="009E352F"/>
    <w:rsid w:val="009E4212"/>
    <w:rsid w:val="009E4A4E"/>
    <w:rsid w:val="009E4E16"/>
    <w:rsid w:val="009E50E1"/>
    <w:rsid w:val="009E584F"/>
    <w:rsid w:val="009E5C9E"/>
    <w:rsid w:val="009E5F9C"/>
    <w:rsid w:val="009E5FEA"/>
    <w:rsid w:val="009E6EAA"/>
    <w:rsid w:val="009E6EE9"/>
    <w:rsid w:val="009F0074"/>
    <w:rsid w:val="009F0889"/>
    <w:rsid w:val="009F120D"/>
    <w:rsid w:val="009F12A2"/>
    <w:rsid w:val="009F149C"/>
    <w:rsid w:val="009F1606"/>
    <w:rsid w:val="009F1C49"/>
    <w:rsid w:val="009F2226"/>
    <w:rsid w:val="009F3136"/>
    <w:rsid w:val="009F4756"/>
    <w:rsid w:val="009F49BC"/>
    <w:rsid w:val="009F4C6A"/>
    <w:rsid w:val="009F53B7"/>
    <w:rsid w:val="009F5B50"/>
    <w:rsid w:val="009F5DC8"/>
    <w:rsid w:val="009F629F"/>
    <w:rsid w:val="009F63BB"/>
    <w:rsid w:val="009F643E"/>
    <w:rsid w:val="009F66D4"/>
    <w:rsid w:val="009F6A0F"/>
    <w:rsid w:val="009F7E92"/>
    <w:rsid w:val="00A00012"/>
    <w:rsid w:val="00A001D3"/>
    <w:rsid w:val="00A00696"/>
    <w:rsid w:val="00A008E6"/>
    <w:rsid w:val="00A00A73"/>
    <w:rsid w:val="00A00A96"/>
    <w:rsid w:val="00A01175"/>
    <w:rsid w:val="00A01A19"/>
    <w:rsid w:val="00A020C0"/>
    <w:rsid w:val="00A02501"/>
    <w:rsid w:val="00A028BA"/>
    <w:rsid w:val="00A02CD6"/>
    <w:rsid w:val="00A04630"/>
    <w:rsid w:val="00A04BAE"/>
    <w:rsid w:val="00A04EEB"/>
    <w:rsid w:val="00A0516B"/>
    <w:rsid w:val="00A0518F"/>
    <w:rsid w:val="00A05716"/>
    <w:rsid w:val="00A05C62"/>
    <w:rsid w:val="00A06FBE"/>
    <w:rsid w:val="00A07003"/>
    <w:rsid w:val="00A076B8"/>
    <w:rsid w:val="00A10448"/>
    <w:rsid w:val="00A10586"/>
    <w:rsid w:val="00A10896"/>
    <w:rsid w:val="00A10BEE"/>
    <w:rsid w:val="00A111A7"/>
    <w:rsid w:val="00A124A9"/>
    <w:rsid w:val="00A12C83"/>
    <w:rsid w:val="00A13472"/>
    <w:rsid w:val="00A136A1"/>
    <w:rsid w:val="00A136C2"/>
    <w:rsid w:val="00A137B2"/>
    <w:rsid w:val="00A13E74"/>
    <w:rsid w:val="00A156AC"/>
    <w:rsid w:val="00A15863"/>
    <w:rsid w:val="00A159E2"/>
    <w:rsid w:val="00A161D9"/>
    <w:rsid w:val="00A171B6"/>
    <w:rsid w:val="00A173DC"/>
    <w:rsid w:val="00A17CD1"/>
    <w:rsid w:val="00A17F53"/>
    <w:rsid w:val="00A20B7C"/>
    <w:rsid w:val="00A20DFF"/>
    <w:rsid w:val="00A211E6"/>
    <w:rsid w:val="00A2125A"/>
    <w:rsid w:val="00A21C97"/>
    <w:rsid w:val="00A234C3"/>
    <w:rsid w:val="00A24444"/>
    <w:rsid w:val="00A248FA"/>
    <w:rsid w:val="00A24983"/>
    <w:rsid w:val="00A24AED"/>
    <w:rsid w:val="00A25ADE"/>
    <w:rsid w:val="00A25C95"/>
    <w:rsid w:val="00A25CFF"/>
    <w:rsid w:val="00A25D82"/>
    <w:rsid w:val="00A264FE"/>
    <w:rsid w:val="00A26E39"/>
    <w:rsid w:val="00A26E69"/>
    <w:rsid w:val="00A26F69"/>
    <w:rsid w:val="00A27473"/>
    <w:rsid w:val="00A2787F"/>
    <w:rsid w:val="00A27D50"/>
    <w:rsid w:val="00A30379"/>
    <w:rsid w:val="00A303A1"/>
    <w:rsid w:val="00A31252"/>
    <w:rsid w:val="00A31495"/>
    <w:rsid w:val="00A327F2"/>
    <w:rsid w:val="00A3325D"/>
    <w:rsid w:val="00A332DA"/>
    <w:rsid w:val="00A336F8"/>
    <w:rsid w:val="00A33824"/>
    <w:rsid w:val="00A342C9"/>
    <w:rsid w:val="00A3436C"/>
    <w:rsid w:val="00A34486"/>
    <w:rsid w:val="00A34FF1"/>
    <w:rsid w:val="00A3541A"/>
    <w:rsid w:val="00A35947"/>
    <w:rsid w:val="00A35E77"/>
    <w:rsid w:val="00A35E7C"/>
    <w:rsid w:val="00A36438"/>
    <w:rsid w:val="00A36530"/>
    <w:rsid w:val="00A36729"/>
    <w:rsid w:val="00A3679F"/>
    <w:rsid w:val="00A36FED"/>
    <w:rsid w:val="00A37041"/>
    <w:rsid w:val="00A378F8"/>
    <w:rsid w:val="00A37B82"/>
    <w:rsid w:val="00A40CFA"/>
    <w:rsid w:val="00A41103"/>
    <w:rsid w:val="00A4145E"/>
    <w:rsid w:val="00A424C1"/>
    <w:rsid w:val="00A42538"/>
    <w:rsid w:val="00A42CCA"/>
    <w:rsid w:val="00A43480"/>
    <w:rsid w:val="00A44DEC"/>
    <w:rsid w:val="00A45112"/>
    <w:rsid w:val="00A45279"/>
    <w:rsid w:val="00A45B30"/>
    <w:rsid w:val="00A46890"/>
    <w:rsid w:val="00A5125F"/>
    <w:rsid w:val="00A51677"/>
    <w:rsid w:val="00A519EC"/>
    <w:rsid w:val="00A52EC5"/>
    <w:rsid w:val="00A533D5"/>
    <w:rsid w:val="00A5340C"/>
    <w:rsid w:val="00A540CF"/>
    <w:rsid w:val="00A541D2"/>
    <w:rsid w:val="00A54734"/>
    <w:rsid w:val="00A547DC"/>
    <w:rsid w:val="00A55414"/>
    <w:rsid w:val="00A5602D"/>
    <w:rsid w:val="00A5669C"/>
    <w:rsid w:val="00A5726B"/>
    <w:rsid w:val="00A57988"/>
    <w:rsid w:val="00A601F4"/>
    <w:rsid w:val="00A60817"/>
    <w:rsid w:val="00A6087F"/>
    <w:rsid w:val="00A60917"/>
    <w:rsid w:val="00A611FC"/>
    <w:rsid w:val="00A61246"/>
    <w:rsid w:val="00A61745"/>
    <w:rsid w:val="00A617BE"/>
    <w:rsid w:val="00A61EBD"/>
    <w:rsid w:val="00A6292A"/>
    <w:rsid w:val="00A62D40"/>
    <w:rsid w:val="00A62EF3"/>
    <w:rsid w:val="00A6318E"/>
    <w:rsid w:val="00A635B7"/>
    <w:rsid w:val="00A63A8A"/>
    <w:rsid w:val="00A63ABD"/>
    <w:rsid w:val="00A63CF5"/>
    <w:rsid w:val="00A63E3E"/>
    <w:rsid w:val="00A63F4A"/>
    <w:rsid w:val="00A6400F"/>
    <w:rsid w:val="00A64BC4"/>
    <w:rsid w:val="00A64D0A"/>
    <w:rsid w:val="00A64EA9"/>
    <w:rsid w:val="00A65110"/>
    <w:rsid w:val="00A65938"/>
    <w:rsid w:val="00A65CAA"/>
    <w:rsid w:val="00A669A5"/>
    <w:rsid w:val="00A66B09"/>
    <w:rsid w:val="00A66E79"/>
    <w:rsid w:val="00A67AB3"/>
    <w:rsid w:val="00A70146"/>
    <w:rsid w:val="00A70995"/>
    <w:rsid w:val="00A70C10"/>
    <w:rsid w:val="00A7155C"/>
    <w:rsid w:val="00A715F1"/>
    <w:rsid w:val="00A7194C"/>
    <w:rsid w:val="00A71A24"/>
    <w:rsid w:val="00A71FB7"/>
    <w:rsid w:val="00A720C3"/>
    <w:rsid w:val="00A736A7"/>
    <w:rsid w:val="00A741E5"/>
    <w:rsid w:val="00A7432B"/>
    <w:rsid w:val="00A745BE"/>
    <w:rsid w:val="00A7486C"/>
    <w:rsid w:val="00A74DDF"/>
    <w:rsid w:val="00A756DF"/>
    <w:rsid w:val="00A76E45"/>
    <w:rsid w:val="00A77CB7"/>
    <w:rsid w:val="00A77F7A"/>
    <w:rsid w:val="00A77FCB"/>
    <w:rsid w:val="00A80EF1"/>
    <w:rsid w:val="00A8159F"/>
    <w:rsid w:val="00A81C4F"/>
    <w:rsid w:val="00A81E68"/>
    <w:rsid w:val="00A81EC2"/>
    <w:rsid w:val="00A82B8E"/>
    <w:rsid w:val="00A82ED9"/>
    <w:rsid w:val="00A8362B"/>
    <w:rsid w:val="00A83BBD"/>
    <w:rsid w:val="00A83ED3"/>
    <w:rsid w:val="00A83F7D"/>
    <w:rsid w:val="00A84274"/>
    <w:rsid w:val="00A84E83"/>
    <w:rsid w:val="00A8539B"/>
    <w:rsid w:val="00A85590"/>
    <w:rsid w:val="00A857F7"/>
    <w:rsid w:val="00A85941"/>
    <w:rsid w:val="00A85B9A"/>
    <w:rsid w:val="00A8795C"/>
    <w:rsid w:val="00A906A2"/>
    <w:rsid w:val="00A9082E"/>
    <w:rsid w:val="00A918A7"/>
    <w:rsid w:val="00A919D6"/>
    <w:rsid w:val="00A9350B"/>
    <w:rsid w:val="00A93BA1"/>
    <w:rsid w:val="00A9494A"/>
    <w:rsid w:val="00A94DE3"/>
    <w:rsid w:val="00A94E56"/>
    <w:rsid w:val="00A957E7"/>
    <w:rsid w:val="00A95923"/>
    <w:rsid w:val="00A96564"/>
    <w:rsid w:val="00A96AAE"/>
    <w:rsid w:val="00A973EB"/>
    <w:rsid w:val="00A9777A"/>
    <w:rsid w:val="00A97C69"/>
    <w:rsid w:val="00AA05DE"/>
    <w:rsid w:val="00AA0AED"/>
    <w:rsid w:val="00AA0FB2"/>
    <w:rsid w:val="00AA1054"/>
    <w:rsid w:val="00AA11E1"/>
    <w:rsid w:val="00AA12EC"/>
    <w:rsid w:val="00AA15BB"/>
    <w:rsid w:val="00AA25FF"/>
    <w:rsid w:val="00AA2BBE"/>
    <w:rsid w:val="00AA35FB"/>
    <w:rsid w:val="00AA3D9B"/>
    <w:rsid w:val="00AA5442"/>
    <w:rsid w:val="00AA5525"/>
    <w:rsid w:val="00AA5B21"/>
    <w:rsid w:val="00AA6672"/>
    <w:rsid w:val="00AA66B3"/>
    <w:rsid w:val="00AA6D23"/>
    <w:rsid w:val="00AA705F"/>
    <w:rsid w:val="00AA7274"/>
    <w:rsid w:val="00AA7DCB"/>
    <w:rsid w:val="00AB0931"/>
    <w:rsid w:val="00AB0DE6"/>
    <w:rsid w:val="00AB1050"/>
    <w:rsid w:val="00AB11A3"/>
    <w:rsid w:val="00AB1348"/>
    <w:rsid w:val="00AB19E5"/>
    <w:rsid w:val="00AB230B"/>
    <w:rsid w:val="00AB2B95"/>
    <w:rsid w:val="00AB3E28"/>
    <w:rsid w:val="00AB4046"/>
    <w:rsid w:val="00AB43B2"/>
    <w:rsid w:val="00AB4886"/>
    <w:rsid w:val="00AB4906"/>
    <w:rsid w:val="00AB4A4A"/>
    <w:rsid w:val="00AB4D42"/>
    <w:rsid w:val="00AB5534"/>
    <w:rsid w:val="00AB5767"/>
    <w:rsid w:val="00AB577B"/>
    <w:rsid w:val="00AB5AE6"/>
    <w:rsid w:val="00AB5F00"/>
    <w:rsid w:val="00AB6166"/>
    <w:rsid w:val="00AB62A0"/>
    <w:rsid w:val="00AB6307"/>
    <w:rsid w:val="00AB7E02"/>
    <w:rsid w:val="00AC002C"/>
    <w:rsid w:val="00AC0180"/>
    <w:rsid w:val="00AC07D1"/>
    <w:rsid w:val="00AC0E1B"/>
    <w:rsid w:val="00AC10BA"/>
    <w:rsid w:val="00AC1D81"/>
    <w:rsid w:val="00AC2CDC"/>
    <w:rsid w:val="00AC3064"/>
    <w:rsid w:val="00AC334D"/>
    <w:rsid w:val="00AC342E"/>
    <w:rsid w:val="00AC3849"/>
    <w:rsid w:val="00AC3F74"/>
    <w:rsid w:val="00AC4BD1"/>
    <w:rsid w:val="00AC4D61"/>
    <w:rsid w:val="00AC4ECE"/>
    <w:rsid w:val="00AC5276"/>
    <w:rsid w:val="00AC5345"/>
    <w:rsid w:val="00AC5B30"/>
    <w:rsid w:val="00AC60D7"/>
    <w:rsid w:val="00AC6212"/>
    <w:rsid w:val="00AC6481"/>
    <w:rsid w:val="00AC6970"/>
    <w:rsid w:val="00AC79EB"/>
    <w:rsid w:val="00AC7A43"/>
    <w:rsid w:val="00AD09A4"/>
    <w:rsid w:val="00AD0C16"/>
    <w:rsid w:val="00AD0E71"/>
    <w:rsid w:val="00AD0F93"/>
    <w:rsid w:val="00AD126C"/>
    <w:rsid w:val="00AD1303"/>
    <w:rsid w:val="00AD15F5"/>
    <w:rsid w:val="00AD17D9"/>
    <w:rsid w:val="00AD1957"/>
    <w:rsid w:val="00AD1D2B"/>
    <w:rsid w:val="00AD1F55"/>
    <w:rsid w:val="00AD2173"/>
    <w:rsid w:val="00AD2CCF"/>
    <w:rsid w:val="00AD345C"/>
    <w:rsid w:val="00AD44F7"/>
    <w:rsid w:val="00AD47EA"/>
    <w:rsid w:val="00AD517B"/>
    <w:rsid w:val="00AD5A75"/>
    <w:rsid w:val="00AD5B86"/>
    <w:rsid w:val="00AD672B"/>
    <w:rsid w:val="00AD691E"/>
    <w:rsid w:val="00AD6A7F"/>
    <w:rsid w:val="00AD6E46"/>
    <w:rsid w:val="00AD7805"/>
    <w:rsid w:val="00AD7B2A"/>
    <w:rsid w:val="00AD7D67"/>
    <w:rsid w:val="00AE040B"/>
    <w:rsid w:val="00AE0E0B"/>
    <w:rsid w:val="00AE0E6A"/>
    <w:rsid w:val="00AE1BAF"/>
    <w:rsid w:val="00AE1D1D"/>
    <w:rsid w:val="00AE2213"/>
    <w:rsid w:val="00AE28AC"/>
    <w:rsid w:val="00AE29E3"/>
    <w:rsid w:val="00AE2E8D"/>
    <w:rsid w:val="00AE2EE0"/>
    <w:rsid w:val="00AE2F2D"/>
    <w:rsid w:val="00AE3032"/>
    <w:rsid w:val="00AE3088"/>
    <w:rsid w:val="00AE3623"/>
    <w:rsid w:val="00AE44A6"/>
    <w:rsid w:val="00AE45CF"/>
    <w:rsid w:val="00AE4EEF"/>
    <w:rsid w:val="00AE5364"/>
    <w:rsid w:val="00AE5870"/>
    <w:rsid w:val="00AE5D4A"/>
    <w:rsid w:val="00AE7211"/>
    <w:rsid w:val="00AE7683"/>
    <w:rsid w:val="00AE795F"/>
    <w:rsid w:val="00AE79ED"/>
    <w:rsid w:val="00AE7F02"/>
    <w:rsid w:val="00AF01FC"/>
    <w:rsid w:val="00AF038B"/>
    <w:rsid w:val="00AF0406"/>
    <w:rsid w:val="00AF041F"/>
    <w:rsid w:val="00AF0451"/>
    <w:rsid w:val="00AF0DFD"/>
    <w:rsid w:val="00AF149B"/>
    <w:rsid w:val="00AF2835"/>
    <w:rsid w:val="00AF2975"/>
    <w:rsid w:val="00AF3390"/>
    <w:rsid w:val="00AF38CA"/>
    <w:rsid w:val="00AF4737"/>
    <w:rsid w:val="00AF4A01"/>
    <w:rsid w:val="00AF5084"/>
    <w:rsid w:val="00AF5805"/>
    <w:rsid w:val="00AF6248"/>
    <w:rsid w:val="00AF6547"/>
    <w:rsid w:val="00AF65D0"/>
    <w:rsid w:val="00AF6C5D"/>
    <w:rsid w:val="00AF71A4"/>
    <w:rsid w:val="00AF7345"/>
    <w:rsid w:val="00AF74DD"/>
    <w:rsid w:val="00AF7DC0"/>
    <w:rsid w:val="00B004FF"/>
    <w:rsid w:val="00B009EB"/>
    <w:rsid w:val="00B00AB6"/>
    <w:rsid w:val="00B00E10"/>
    <w:rsid w:val="00B00E83"/>
    <w:rsid w:val="00B01293"/>
    <w:rsid w:val="00B01906"/>
    <w:rsid w:val="00B02843"/>
    <w:rsid w:val="00B02941"/>
    <w:rsid w:val="00B02B01"/>
    <w:rsid w:val="00B03986"/>
    <w:rsid w:val="00B03D90"/>
    <w:rsid w:val="00B03F0C"/>
    <w:rsid w:val="00B046C6"/>
    <w:rsid w:val="00B04CF7"/>
    <w:rsid w:val="00B04E35"/>
    <w:rsid w:val="00B05249"/>
    <w:rsid w:val="00B05CDA"/>
    <w:rsid w:val="00B05F23"/>
    <w:rsid w:val="00B06C4E"/>
    <w:rsid w:val="00B06DE9"/>
    <w:rsid w:val="00B10669"/>
    <w:rsid w:val="00B10E2E"/>
    <w:rsid w:val="00B114A5"/>
    <w:rsid w:val="00B114DE"/>
    <w:rsid w:val="00B11D99"/>
    <w:rsid w:val="00B11F31"/>
    <w:rsid w:val="00B124E3"/>
    <w:rsid w:val="00B127D0"/>
    <w:rsid w:val="00B13122"/>
    <w:rsid w:val="00B132E2"/>
    <w:rsid w:val="00B13547"/>
    <w:rsid w:val="00B135B5"/>
    <w:rsid w:val="00B14162"/>
    <w:rsid w:val="00B141EE"/>
    <w:rsid w:val="00B15746"/>
    <w:rsid w:val="00B159BC"/>
    <w:rsid w:val="00B15A5B"/>
    <w:rsid w:val="00B15D0F"/>
    <w:rsid w:val="00B15F5B"/>
    <w:rsid w:val="00B1670C"/>
    <w:rsid w:val="00B17E1C"/>
    <w:rsid w:val="00B204F4"/>
    <w:rsid w:val="00B2132B"/>
    <w:rsid w:val="00B2212F"/>
    <w:rsid w:val="00B22199"/>
    <w:rsid w:val="00B22784"/>
    <w:rsid w:val="00B2295D"/>
    <w:rsid w:val="00B23740"/>
    <w:rsid w:val="00B2383C"/>
    <w:rsid w:val="00B24424"/>
    <w:rsid w:val="00B25E40"/>
    <w:rsid w:val="00B264DF"/>
    <w:rsid w:val="00B26A97"/>
    <w:rsid w:val="00B26D5E"/>
    <w:rsid w:val="00B273F8"/>
    <w:rsid w:val="00B2745F"/>
    <w:rsid w:val="00B27E3F"/>
    <w:rsid w:val="00B27EE5"/>
    <w:rsid w:val="00B30998"/>
    <w:rsid w:val="00B32511"/>
    <w:rsid w:val="00B32C0F"/>
    <w:rsid w:val="00B336D4"/>
    <w:rsid w:val="00B33907"/>
    <w:rsid w:val="00B33A29"/>
    <w:rsid w:val="00B34057"/>
    <w:rsid w:val="00B3531D"/>
    <w:rsid w:val="00B35359"/>
    <w:rsid w:val="00B35E95"/>
    <w:rsid w:val="00B36396"/>
    <w:rsid w:val="00B36A25"/>
    <w:rsid w:val="00B36AC6"/>
    <w:rsid w:val="00B36EA3"/>
    <w:rsid w:val="00B372C8"/>
    <w:rsid w:val="00B4015D"/>
    <w:rsid w:val="00B40795"/>
    <w:rsid w:val="00B407DA"/>
    <w:rsid w:val="00B40C43"/>
    <w:rsid w:val="00B40DC0"/>
    <w:rsid w:val="00B40F92"/>
    <w:rsid w:val="00B4135C"/>
    <w:rsid w:val="00B4207D"/>
    <w:rsid w:val="00B42D7F"/>
    <w:rsid w:val="00B432BB"/>
    <w:rsid w:val="00B4349C"/>
    <w:rsid w:val="00B43637"/>
    <w:rsid w:val="00B44259"/>
    <w:rsid w:val="00B44CB3"/>
    <w:rsid w:val="00B47130"/>
    <w:rsid w:val="00B4752D"/>
    <w:rsid w:val="00B5017A"/>
    <w:rsid w:val="00B50781"/>
    <w:rsid w:val="00B507C5"/>
    <w:rsid w:val="00B50C65"/>
    <w:rsid w:val="00B50D37"/>
    <w:rsid w:val="00B50E60"/>
    <w:rsid w:val="00B51A59"/>
    <w:rsid w:val="00B51B58"/>
    <w:rsid w:val="00B51EBD"/>
    <w:rsid w:val="00B52478"/>
    <w:rsid w:val="00B5327B"/>
    <w:rsid w:val="00B533A9"/>
    <w:rsid w:val="00B533F4"/>
    <w:rsid w:val="00B535FB"/>
    <w:rsid w:val="00B5377D"/>
    <w:rsid w:val="00B54C0B"/>
    <w:rsid w:val="00B54D56"/>
    <w:rsid w:val="00B55598"/>
    <w:rsid w:val="00B5584A"/>
    <w:rsid w:val="00B55EBE"/>
    <w:rsid w:val="00B56120"/>
    <w:rsid w:val="00B564DE"/>
    <w:rsid w:val="00B56736"/>
    <w:rsid w:val="00B56F94"/>
    <w:rsid w:val="00B572C8"/>
    <w:rsid w:val="00B616F6"/>
    <w:rsid w:val="00B628F4"/>
    <w:rsid w:val="00B635A8"/>
    <w:rsid w:val="00B63A65"/>
    <w:rsid w:val="00B63BE4"/>
    <w:rsid w:val="00B63D74"/>
    <w:rsid w:val="00B63FC0"/>
    <w:rsid w:val="00B642A1"/>
    <w:rsid w:val="00B64779"/>
    <w:rsid w:val="00B6482A"/>
    <w:rsid w:val="00B6546F"/>
    <w:rsid w:val="00B657AD"/>
    <w:rsid w:val="00B6596F"/>
    <w:rsid w:val="00B659A5"/>
    <w:rsid w:val="00B65A56"/>
    <w:rsid w:val="00B6643A"/>
    <w:rsid w:val="00B6654F"/>
    <w:rsid w:val="00B66782"/>
    <w:rsid w:val="00B66A0F"/>
    <w:rsid w:val="00B67DB3"/>
    <w:rsid w:val="00B700D7"/>
    <w:rsid w:val="00B70B70"/>
    <w:rsid w:val="00B70E90"/>
    <w:rsid w:val="00B710C9"/>
    <w:rsid w:val="00B715CF"/>
    <w:rsid w:val="00B7164B"/>
    <w:rsid w:val="00B717F6"/>
    <w:rsid w:val="00B71C94"/>
    <w:rsid w:val="00B7255E"/>
    <w:rsid w:val="00B72B26"/>
    <w:rsid w:val="00B72B6D"/>
    <w:rsid w:val="00B73C97"/>
    <w:rsid w:val="00B75497"/>
    <w:rsid w:val="00B7572C"/>
    <w:rsid w:val="00B758E1"/>
    <w:rsid w:val="00B7593A"/>
    <w:rsid w:val="00B75CC8"/>
    <w:rsid w:val="00B75EC4"/>
    <w:rsid w:val="00B764D3"/>
    <w:rsid w:val="00B76822"/>
    <w:rsid w:val="00B76ADE"/>
    <w:rsid w:val="00B76FFE"/>
    <w:rsid w:val="00B77F89"/>
    <w:rsid w:val="00B77FB1"/>
    <w:rsid w:val="00B807ED"/>
    <w:rsid w:val="00B8081F"/>
    <w:rsid w:val="00B808F7"/>
    <w:rsid w:val="00B81454"/>
    <w:rsid w:val="00B81742"/>
    <w:rsid w:val="00B818C1"/>
    <w:rsid w:val="00B835DB"/>
    <w:rsid w:val="00B83A88"/>
    <w:rsid w:val="00B83DA3"/>
    <w:rsid w:val="00B840F4"/>
    <w:rsid w:val="00B8433E"/>
    <w:rsid w:val="00B84747"/>
    <w:rsid w:val="00B8503B"/>
    <w:rsid w:val="00B85855"/>
    <w:rsid w:val="00B85DC5"/>
    <w:rsid w:val="00B8638C"/>
    <w:rsid w:val="00B86AC9"/>
    <w:rsid w:val="00B87923"/>
    <w:rsid w:val="00B879AA"/>
    <w:rsid w:val="00B87E8F"/>
    <w:rsid w:val="00B87E93"/>
    <w:rsid w:val="00B9043A"/>
    <w:rsid w:val="00B9066F"/>
    <w:rsid w:val="00B90E41"/>
    <w:rsid w:val="00B910B1"/>
    <w:rsid w:val="00B9123A"/>
    <w:rsid w:val="00B913BB"/>
    <w:rsid w:val="00B916A6"/>
    <w:rsid w:val="00B91CC7"/>
    <w:rsid w:val="00B91E90"/>
    <w:rsid w:val="00B922ED"/>
    <w:rsid w:val="00B92C59"/>
    <w:rsid w:val="00B932DE"/>
    <w:rsid w:val="00B93B17"/>
    <w:rsid w:val="00B93D54"/>
    <w:rsid w:val="00B943CC"/>
    <w:rsid w:val="00B946F2"/>
    <w:rsid w:val="00B94C30"/>
    <w:rsid w:val="00B955CB"/>
    <w:rsid w:val="00B956F0"/>
    <w:rsid w:val="00B95708"/>
    <w:rsid w:val="00B95B3A"/>
    <w:rsid w:val="00B95DB7"/>
    <w:rsid w:val="00B96953"/>
    <w:rsid w:val="00B96D40"/>
    <w:rsid w:val="00BA049F"/>
    <w:rsid w:val="00BA080C"/>
    <w:rsid w:val="00BA0A41"/>
    <w:rsid w:val="00BA0E63"/>
    <w:rsid w:val="00BA12CC"/>
    <w:rsid w:val="00BA1580"/>
    <w:rsid w:val="00BA1673"/>
    <w:rsid w:val="00BA2304"/>
    <w:rsid w:val="00BA2399"/>
    <w:rsid w:val="00BA2418"/>
    <w:rsid w:val="00BA29B7"/>
    <w:rsid w:val="00BA2F13"/>
    <w:rsid w:val="00BA35FD"/>
    <w:rsid w:val="00BA3C43"/>
    <w:rsid w:val="00BA4C84"/>
    <w:rsid w:val="00BA590C"/>
    <w:rsid w:val="00BA6048"/>
    <w:rsid w:val="00BA60A6"/>
    <w:rsid w:val="00BA6F14"/>
    <w:rsid w:val="00BA75CD"/>
    <w:rsid w:val="00BA795D"/>
    <w:rsid w:val="00BB0049"/>
    <w:rsid w:val="00BB0163"/>
    <w:rsid w:val="00BB0330"/>
    <w:rsid w:val="00BB04C8"/>
    <w:rsid w:val="00BB07D4"/>
    <w:rsid w:val="00BB0843"/>
    <w:rsid w:val="00BB10C3"/>
    <w:rsid w:val="00BB1526"/>
    <w:rsid w:val="00BB19A4"/>
    <w:rsid w:val="00BB1AB6"/>
    <w:rsid w:val="00BB1BFE"/>
    <w:rsid w:val="00BB1C4A"/>
    <w:rsid w:val="00BB22E5"/>
    <w:rsid w:val="00BB2423"/>
    <w:rsid w:val="00BB24D9"/>
    <w:rsid w:val="00BB2F3C"/>
    <w:rsid w:val="00BB2F9B"/>
    <w:rsid w:val="00BB3249"/>
    <w:rsid w:val="00BB34B6"/>
    <w:rsid w:val="00BB34DD"/>
    <w:rsid w:val="00BB3AC7"/>
    <w:rsid w:val="00BB4666"/>
    <w:rsid w:val="00BB466F"/>
    <w:rsid w:val="00BB46B4"/>
    <w:rsid w:val="00BB4B8C"/>
    <w:rsid w:val="00BB4D51"/>
    <w:rsid w:val="00BB5006"/>
    <w:rsid w:val="00BB5604"/>
    <w:rsid w:val="00BB5DE6"/>
    <w:rsid w:val="00BB5F84"/>
    <w:rsid w:val="00BB6DAE"/>
    <w:rsid w:val="00BC0E9F"/>
    <w:rsid w:val="00BC0F15"/>
    <w:rsid w:val="00BC18BC"/>
    <w:rsid w:val="00BC1A30"/>
    <w:rsid w:val="00BC1C2A"/>
    <w:rsid w:val="00BC1DB7"/>
    <w:rsid w:val="00BC1F70"/>
    <w:rsid w:val="00BC2146"/>
    <w:rsid w:val="00BC26A3"/>
    <w:rsid w:val="00BC34D9"/>
    <w:rsid w:val="00BC34DB"/>
    <w:rsid w:val="00BC3529"/>
    <w:rsid w:val="00BC37F7"/>
    <w:rsid w:val="00BC38A5"/>
    <w:rsid w:val="00BC3E0D"/>
    <w:rsid w:val="00BC4693"/>
    <w:rsid w:val="00BC47DF"/>
    <w:rsid w:val="00BC4ED9"/>
    <w:rsid w:val="00BC512F"/>
    <w:rsid w:val="00BC54C2"/>
    <w:rsid w:val="00BC5E5F"/>
    <w:rsid w:val="00BC5FFD"/>
    <w:rsid w:val="00BC6384"/>
    <w:rsid w:val="00BC6536"/>
    <w:rsid w:val="00BC6686"/>
    <w:rsid w:val="00BC66C7"/>
    <w:rsid w:val="00BC6C75"/>
    <w:rsid w:val="00BC6F92"/>
    <w:rsid w:val="00BC7A72"/>
    <w:rsid w:val="00BC7A74"/>
    <w:rsid w:val="00BD0057"/>
    <w:rsid w:val="00BD056E"/>
    <w:rsid w:val="00BD095D"/>
    <w:rsid w:val="00BD0AE4"/>
    <w:rsid w:val="00BD171D"/>
    <w:rsid w:val="00BD227D"/>
    <w:rsid w:val="00BD4680"/>
    <w:rsid w:val="00BD50A7"/>
    <w:rsid w:val="00BD57F5"/>
    <w:rsid w:val="00BD5AD3"/>
    <w:rsid w:val="00BD5B9A"/>
    <w:rsid w:val="00BD5BB8"/>
    <w:rsid w:val="00BD5C5C"/>
    <w:rsid w:val="00BD6108"/>
    <w:rsid w:val="00BD6EDA"/>
    <w:rsid w:val="00BD7108"/>
    <w:rsid w:val="00BD7AF5"/>
    <w:rsid w:val="00BE0F6A"/>
    <w:rsid w:val="00BE108D"/>
    <w:rsid w:val="00BE1D57"/>
    <w:rsid w:val="00BE3061"/>
    <w:rsid w:val="00BE4040"/>
    <w:rsid w:val="00BE43CE"/>
    <w:rsid w:val="00BE4497"/>
    <w:rsid w:val="00BE48A4"/>
    <w:rsid w:val="00BE56F0"/>
    <w:rsid w:val="00BE5D52"/>
    <w:rsid w:val="00BE62A5"/>
    <w:rsid w:val="00BE66DE"/>
    <w:rsid w:val="00BE6FE7"/>
    <w:rsid w:val="00BE7C9B"/>
    <w:rsid w:val="00BF0005"/>
    <w:rsid w:val="00BF04DC"/>
    <w:rsid w:val="00BF0717"/>
    <w:rsid w:val="00BF09C8"/>
    <w:rsid w:val="00BF0F85"/>
    <w:rsid w:val="00BF101B"/>
    <w:rsid w:val="00BF107E"/>
    <w:rsid w:val="00BF1641"/>
    <w:rsid w:val="00BF1CA8"/>
    <w:rsid w:val="00BF2297"/>
    <w:rsid w:val="00BF2A7E"/>
    <w:rsid w:val="00BF2CBA"/>
    <w:rsid w:val="00BF2CF2"/>
    <w:rsid w:val="00BF32F4"/>
    <w:rsid w:val="00BF3BDE"/>
    <w:rsid w:val="00BF4619"/>
    <w:rsid w:val="00BF4AFB"/>
    <w:rsid w:val="00BF4C13"/>
    <w:rsid w:val="00BF5560"/>
    <w:rsid w:val="00BF6226"/>
    <w:rsid w:val="00BF6413"/>
    <w:rsid w:val="00BF650E"/>
    <w:rsid w:val="00BF715C"/>
    <w:rsid w:val="00BF7779"/>
    <w:rsid w:val="00BF7C2C"/>
    <w:rsid w:val="00BF7EC4"/>
    <w:rsid w:val="00C0097D"/>
    <w:rsid w:val="00C00AE7"/>
    <w:rsid w:val="00C00FF2"/>
    <w:rsid w:val="00C0196B"/>
    <w:rsid w:val="00C01A75"/>
    <w:rsid w:val="00C01F16"/>
    <w:rsid w:val="00C01FDA"/>
    <w:rsid w:val="00C020C4"/>
    <w:rsid w:val="00C02330"/>
    <w:rsid w:val="00C025A2"/>
    <w:rsid w:val="00C02D4D"/>
    <w:rsid w:val="00C02DC6"/>
    <w:rsid w:val="00C03466"/>
    <w:rsid w:val="00C036AA"/>
    <w:rsid w:val="00C038F7"/>
    <w:rsid w:val="00C03AF5"/>
    <w:rsid w:val="00C03D64"/>
    <w:rsid w:val="00C04594"/>
    <w:rsid w:val="00C045B3"/>
    <w:rsid w:val="00C04E0E"/>
    <w:rsid w:val="00C05800"/>
    <w:rsid w:val="00C067F7"/>
    <w:rsid w:val="00C06B38"/>
    <w:rsid w:val="00C072F8"/>
    <w:rsid w:val="00C07E00"/>
    <w:rsid w:val="00C07F25"/>
    <w:rsid w:val="00C103F4"/>
    <w:rsid w:val="00C10412"/>
    <w:rsid w:val="00C10414"/>
    <w:rsid w:val="00C10CE4"/>
    <w:rsid w:val="00C110AB"/>
    <w:rsid w:val="00C11B62"/>
    <w:rsid w:val="00C1241F"/>
    <w:rsid w:val="00C1288F"/>
    <w:rsid w:val="00C12D35"/>
    <w:rsid w:val="00C13362"/>
    <w:rsid w:val="00C13EE0"/>
    <w:rsid w:val="00C13F21"/>
    <w:rsid w:val="00C1403E"/>
    <w:rsid w:val="00C14672"/>
    <w:rsid w:val="00C15C16"/>
    <w:rsid w:val="00C15FE1"/>
    <w:rsid w:val="00C165CC"/>
    <w:rsid w:val="00C16911"/>
    <w:rsid w:val="00C16B8C"/>
    <w:rsid w:val="00C16BE0"/>
    <w:rsid w:val="00C1727A"/>
    <w:rsid w:val="00C1758E"/>
    <w:rsid w:val="00C1770D"/>
    <w:rsid w:val="00C17BC7"/>
    <w:rsid w:val="00C20734"/>
    <w:rsid w:val="00C20BF6"/>
    <w:rsid w:val="00C20F1F"/>
    <w:rsid w:val="00C21AE9"/>
    <w:rsid w:val="00C220B4"/>
    <w:rsid w:val="00C2245A"/>
    <w:rsid w:val="00C231A6"/>
    <w:rsid w:val="00C23378"/>
    <w:rsid w:val="00C23D55"/>
    <w:rsid w:val="00C23D78"/>
    <w:rsid w:val="00C23F9A"/>
    <w:rsid w:val="00C243DF"/>
    <w:rsid w:val="00C2542C"/>
    <w:rsid w:val="00C254F7"/>
    <w:rsid w:val="00C2571F"/>
    <w:rsid w:val="00C260D5"/>
    <w:rsid w:val="00C2687F"/>
    <w:rsid w:val="00C269C0"/>
    <w:rsid w:val="00C26A27"/>
    <w:rsid w:val="00C26E2A"/>
    <w:rsid w:val="00C27A7F"/>
    <w:rsid w:val="00C301F5"/>
    <w:rsid w:val="00C30854"/>
    <w:rsid w:val="00C30E7F"/>
    <w:rsid w:val="00C31AC2"/>
    <w:rsid w:val="00C31B41"/>
    <w:rsid w:val="00C32005"/>
    <w:rsid w:val="00C32271"/>
    <w:rsid w:val="00C32918"/>
    <w:rsid w:val="00C337EB"/>
    <w:rsid w:val="00C33C80"/>
    <w:rsid w:val="00C34291"/>
    <w:rsid w:val="00C342C0"/>
    <w:rsid w:val="00C3430A"/>
    <w:rsid w:val="00C34357"/>
    <w:rsid w:val="00C34B53"/>
    <w:rsid w:val="00C35685"/>
    <w:rsid w:val="00C36ADF"/>
    <w:rsid w:val="00C3793E"/>
    <w:rsid w:val="00C3796A"/>
    <w:rsid w:val="00C40161"/>
    <w:rsid w:val="00C403D3"/>
    <w:rsid w:val="00C40404"/>
    <w:rsid w:val="00C406F9"/>
    <w:rsid w:val="00C40B40"/>
    <w:rsid w:val="00C41444"/>
    <w:rsid w:val="00C4155D"/>
    <w:rsid w:val="00C417EA"/>
    <w:rsid w:val="00C41832"/>
    <w:rsid w:val="00C41AC0"/>
    <w:rsid w:val="00C41D88"/>
    <w:rsid w:val="00C41E8C"/>
    <w:rsid w:val="00C4223B"/>
    <w:rsid w:val="00C433DB"/>
    <w:rsid w:val="00C43510"/>
    <w:rsid w:val="00C437AD"/>
    <w:rsid w:val="00C43847"/>
    <w:rsid w:val="00C4394C"/>
    <w:rsid w:val="00C43ADD"/>
    <w:rsid w:val="00C43B43"/>
    <w:rsid w:val="00C43E27"/>
    <w:rsid w:val="00C43F8A"/>
    <w:rsid w:val="00C44750"/>
    <w:rsid w:val="00C447EE"/>
    <w:rsid w:val="00C44906"/>
    <w:rsid w:val="00C45905"/>
    <w:rsid w:val="00C45F4F"/>
    <w:rsid w:val="00C46872"/>
    <w:rsid w:val="00C47252"/>
    <w:rsid w:val="00C47620"/>
    <w:rsid w:val="00C47ABC"/>
    <w:rsid w:val="00C502E6"/>
    <w:rsid w:val="00C5047E"/>
    <w:rsid w:val="00C50567"/>
    <w:rsid w:val="00C5063C"/>
    <w:rsid w:val="00C5070B"/>
    <w:rsid w:val="00C5084B"/>
    <w:rsid w:val="00C50D5E"/>
    <w:rsid w:val="00C514F2"/>
    <w:rsid w:val="00C51801"/>
    <w:rsid w:val="00C520DC"/>
    <w:rsid w:val="00C5239C"/>
    <w:rsid w:val="00C52634"/>
    <w:rsid w:val="00C52700"/>
    <w:rsid w:val="00C52A92"/>
    <w:rsid w:val="00C52F64"/>
    <w:rsid w:val="00C537D4"/>
    <w:rsid w:val="00C543F4"/>
    <w:rsid w:val="00C54889"/>
    <w:rsid w:val="00C54B71"/>
    <w:rsid w:val="00C54E7F"/>
    <w:rsid w:val="00C54F38"/>
    <w:rsid w:val="00C5589B"/>
    <w:rsid w:val="00C55ECF"/>
    <w:rsid w:val="00C562DD"/>
    <w:rsid w:val="00C5643F"/>
    <w:rsid w:val="00C56965"/>
    <w:rsid w:val="00C56D5D"/>
    <w:rsid w:val="00C56D81"/>
    <w:rsid w:val="00C57041"/>
    <w:rsid w:val="00C57110"/>
    <w:rsid w:val="00C572EA"/>
    <w:rsid w:val="00C60023"/>
    <w:rsid w:val="00C60BD2"/>
    <w:rsid w:val="00C614D7"/>
    <w:rsid w:val="00C61763"/>
    <w:rsid w:val="00C61898"/>
    <w:rsid w:val="00C61908"/>
    <w:rsid w:val="00C61D53"/>
    <w:rsid w:val="00C62A21"/>
    <w:rsid w:val="00C635A4"/>
    <w:rsid w:val="00C6379C"/>
    <w:rsid w:val="00C638A8"/>
    <w:rsid w:val="00C639E7"/>
    <w:rsid w:val="00C63E23"/>
    <w:rsid w:val="00C63E75"/>
    <w:rsid w:val="00C64AF8"/>
    <w:rsid w:val="00C65191"/>
    <w:rsid w:val="00C653A9"/>
    <w:rsid w:val="00C65DF9"/>
    <w:rsid w:val="00C6664D"/>
    <w:rsid w:val="00C67F30"/>
    <w:rsid w:val="00C70724"/>
    <w:rsid w:val="00C70947"/>
    <w:rsid w:val="00C70ADD"/>
    <w:rsid w:val="00C71882"/>
    <w:rsid w:val="00C71F22"/>
    <w:rsid w:val="00C720BC"/>
    <w:rsid w:val="00C7265E"/>
    <w:rsid w:val="00C731D3"/>
    <w:rsid w:val="00C73803"/>
    <w:rsid w:val="00C74376"/>
    <w:rsid w:val="00C74835"/>
    <w:rsid w:val="00C74935"/>
    <w:rsid w:val="00C74C07"/>
    <w:rsid w:val="00C74CEB"/>
    <w:rsid w:val="00C751FE"/>
    <w:rsid w:val="00C753D1"/>
    <w:rsid w:val="00C75403"/>
    <w:rsid w:val="00C7586D"/>
    <w:rsid w:val="00C75950"/>
    <w:rsid w:val="00C7599D"/>
    <w:rsid w:val="00C75A14"/>
    <w:rsid w:val="00C76058"/>
    <w:rsid w:val="00C760AC"/>
    <w:rsid w:val="00C76212"/>
    <w:rsid w:val="00C76312"/>
    <w:rsid w:val="00C76B32"/>
    <w:rsid w:val="00C772D6"/>
    <w:rsid w:val="00C775BF"/>
    <w:rsid w:val="00C8164A"/>
    <w:rsid w:val="00C81C95"/>
    <w:rsid w:val="00C844DE"/>
    <w:rsid w:val="00C846E8"/>
    <w:rsid w:val="00C84702"/>
    <w:rsid w:val="00C84773"/>
    <w:rsid w:val="00C849D1"/>
    <w:rsid w:val="00C85743"/>
    <w:rsid w:val="00C8578F"/>
    <w:rsid w:val="00C85F57"/>
    <w:rsid w:val="00C863BF"/>
    <w:rsid w:val="00C8679F"/>
    <w:rsid w:val="00C867A7"/>
    <w:rsid w:val="00C87705"/>
    <w:rsid w:val="00C87B8C"/>
    <w:rsid w:val="00C87F28"/>
    <w:rsid w:val="00C91E1F"/>
    <w:rsid w:val="00C92438"/>
    <w:rsid w:val="00C92B67"/>
    <w:rsid w:val="00C934D4"/>
    <w:rsid w:val="00C934FD"/>
    <w:rsid w:val="00C93737"/>
    <w:rsid w:val="00C944E7"/>
    <w:rsid w:val="00C94846"/>
    <w:rsid w:val="00C9568B"/>
    <w:rsid w:val="00C95AEF"/>
    <w:rsid w:val="00C95B27"/>
    <w:rsid w:val="00C9639A"/>
    <w:rsid w:val="00C97886"/>
    <w:rsid w:val="00C97C6C"/>
    <w:rsid w:val="00CA06AE"/>
    <w:rsid w:val="00CA06C8"/>
    <w:rsid w:val="00CA0729"/>
    <w:rsid w:val="00CA1A56"/>
    <w:rsid w:val="00CA1A91"/>
    <w:rsid w:val="00CA1F34"/>
    <w:rsid w:val="00CA211C"/>
    <w:rsid w:val="00CA28A3"/>
    <w:rsid w:val="00CA2F54"/>
    <w:rsid w:val="00CA300E"/>
    <w:rsid w:val="00CA3556"/>
    <w:rsid w:val="00CA39E8"/>
    <w:rsid w:val="00CA3D37"/>
    <w:rsid w:val="00CA4788"/>
    <w:rsid w:val="00CA51CC"/>
    <w:rsid w:val="00CA593D"/>
    <w:rsid w:val="00CA59D5"/>
    <w:rsid w:val="00CA5E35"/>
    <w:rsid w:val="00CA688C"/>
    <w:rsid w:val="00CA6EA5"/>
    <w:rsid w:val="00CA7125"/>
    <w:rsid w:val="00CA7370"/>
    <w:rsid w:val="00CB01DD"/>
    <w:rsid w:val="00CB0F8F"/>
    <w:rsid w:val="00CB20C3"/>
    <w:rsid w:val="00CB21F2"/>
    <w:rsid w:val="00CB2570"/>
    <w:rsid w:val="00CB2936"/>
    <w:rsid w:val="00CB2BD7"/>
    <w:rsid w:val="00CB3087"/>
    <w:rsid w:val="00CB30D3"/>
    <w:rsid w:val="00CB3DF1"/>
    <w:rsid w:val="00CB4184"/>
    <w:rsid w:val="00CB474D"/>
    <w:rsid w:val="00CB4845"/>
    <w:rsid w:val="00CB4EF2"/>
    <w:rsid w:val="00CB5280"/>
    <w:rsid w:val="00CB5D6B"/>
    <w:rsid w:val="00CB645D"/>
    <w:rsid w:val="00CB668F"/>
    <w:rsid w:val="00CB6D49"/>
    <w:rsid w:val="00CB6D76"/>
    <w:rsid w:val="00CB79A6"/>
    <w:rsid w:val="00CB7B34"/>
    <w:rsid w:val="00CB7DA5"/>
    <w:rsid w:val="00CB7DC1"/>
    <w:rsid w:val="00CC03A5"/>
    <w:rsid w:val="00CC03C7"/>
    <w:rsid w:val="00CC0671"/>
    <w:rsid w:val="00CC0837"/>
    <w:rsid w:val="00CC09DC"/>
    <w:rsid w:val="00CC119F"/>
    <w:rsid w:val="00CC14CD"/>
    <w:rsid w:val="00CC2134"/>
    <w:rsid w:val="00CC2529"/>
    <w:rsid w:val="00CC2673"/>
    <w:rsid w:val="00CC2CDE"/>
    <w:rsid w:val="00CC2CE4"/>
    <w:rsid w:val="00CC370A"/>
    <w:rsid w:val="00CC4B64"/>
    <w:rsid w:val="00CC4D9B"/>
    <w:rsid w:val="00CC4F29"/>
    <w:rsid w:val="00CC5476"/>
    <w:rsid w:val="00CC5741"/>
    <w:rsid w:val="00CC5EE0"/>
    <w:rsid w:val="00CC6110"/>
    <w:rsid w:val="00CC618D"/>
    <w:rsid w:val="00CC61ED"/>
    <w:rsid w:val="00CC622E"/>
    <w:rsid w:val="00CC64B0"/>
    <w:rsid w:val="00CC78BF"/>
    <w:rsid w:val="00CD005E"/>
    <w:rsid w:val="00CD0260"/>
    <w:rsid w:val="00CD0F3B"/>
    <w:rsid w:val="00CD1309"/>
    <w:rsid w:val="00CD18ED"/>
    <w:rsid w:val="00CD1B4A"/>
    <w:rsid w:val="00CD21A9"/>
    <w:rsid w:val="00CD23B4"/>
    <w:rsid w:val="00CD248B"/>
    <w:rsid w:val="00CD2896"/>
    <w:rsid w:val="00CD343F"/>
    <w:rsid w:val="00CD404C"/>
    <w:rsid w:val="00CD4E57"/>
    <w:rsid w:val="00CD5134"/>
    <w:rsid w:val="00CD5228"/>
    <w:rsid w:val="00CD5232"/>
    <w:rsid w:val="00CD533A"/>
    <w:rsid w:val="00CD55C8"/>
    <w:rsid w:val="00CD5686"/>
    <w:rsid w:val="00CD5EBB"/>
    <w:rsid w:val="00CD5FD6"/>
    <w:rsid w:val="00CD60AB"/>
    <w:rsid w:val="00CD6452"/>
    <w:rsid w:val="00CD64B1"/>
    <w:rsid w:val="00CD6D0D"/>
    <w:rsid w:val="00CD6D76"/>
    <w:rsid w:val="00CD6DB6"/>
    <w:rsid w:val="00CD71A2"/>
    <w:rsid w:val="00CD76EC"/>
    <w:rsid w:val="00CE00F2"/>
    <w:rsid w:val="00CE0236"/>
    <w:rsid w:val="00CE02E6"/>
    <w:rsid w:val="00CE034E"/>
    <w:rsid w:val="00CE1706"/>
    <w:rsid w:val="00CE18C2"/>
    <w:rsid w:val="00CE1CCF"/>
    <w:rsid w:val="00CE2833"/>
    <w:rsid w:val="00CE2A0D"/>
    <w:rsid w:val="00CE2E5C"/>
    <w:rsid w:val="00CE3066"/>
    <w:rsid w:val="00CE3071"/>
    <w:rsid w:val="00CE3814"/>
    <w:rsid w:val="00CE3D55"/>
    <w:rsid w:val="00CE41F5"/>
    <w:rsid w:val="00CE4253"/>
    <w:rsid w:val="00CE4A08"/>
    <w:rsid w:val="00CE4B43"/>
    <w:rsid w:val="00CE4D07"/>
    <w:rsid w:val="00CE527A"/>
    <w:rsid w:val="00CE5487"/>
    <w:rsid w:val="00CE5FEF"/>
    <w:rsid w:val="00CE6132"/>
    <w:rsid w:val="00CE6ED2"/>
    <w:rsid w:val="00CF07B0"/>
    <w:rsid w:val="00CF15D3"/>
    <w:rsid w:val="00CF24F4"/>
    <w:rsid w:val="00CF298F"/>
    <w:rsid w:val="00CF2ED2"/>
    <w:rsid w:val="00CF3104"/>
    <w:rsid w:val="00CF36F4"/>
    <w:rsid w:val="00CF3EC8"/>
    <w:rsid w:val="00CF4108"/>
    <w:rsid w:val="00CF419C"/>
    <w:rsid w:val="00CF4BA6"/>
    <w:rsid w:val="00CF4FFB"/>
    <w:rsid w:val="00CF555D"/>
    <w:rsid w:val="00CF5652"/>
    <w:rsid w:val="00CF5683"/>
    <w:rsid w:val="00CF579E"/>
    <w:rsid w:val="00CF5A89"/>
    <w:rsid w:val="00CF6DE6"/>
    <w:rsid w:val="00CF70BB"/>
    <w:rsid w:val="00CF77B8"/>
    <w:rsid w:val="00CF77DB"/>
    <w:rsid w:val="00D00357"/>
    <w:rsid w:val="00D015FD"/>
    <w:rsid w:val="00D01697"/>
    <w:rsid w:val="00D019A2"/>
    <w:rsid w:val="00D0247F"/>
    <w:rsid w:val="00D032EF"/>
    <w:rsid w:val="00D03799"/>
    <w:rsid w:val="00D03CF8"/>
    <w:rsid w:val="00D04ABB"/>
    <w:rsid w:val="00D04E61"/>
    <w:rsid w:val="00D05BD6"/>
    <w:rsid w:val="00D06E21"/>
    <w:rsid w:val="00D06E7F"/>
    <w:rsid w:val="00D0737D"/>
    <w:rsid w:val="00D076E2"/>
    <w:rsid w:val="00D0783D"/>
    <w:rsid w:val="00D078E0"/>
    <w:rsid w:val="00D07FBB"/>
    <w:rsid w:val="00D10569"/>
    <w:rsid w:val="00D10635"/>
    <w:rsid w:val="00D10D62"/>
    <w:rsid w:val="00D10F22"/>
    <w:rsid w:val="00D111B9"/>
    <w:rsid w:val="00D11F64"/>
    <w:rsid w:val="00D13060"/>
    <w:rsid w:val="00D132CC"/>
    <w:rsid w:val="00D133F9"/>
    <w:rsid w:val="00D14067"/>
    <w:rsid w:val="00D149F2"/>
    <w:rsid w:val="00D15A7C"/>
    <w:rsid w:val="00D162D0"/>
    <w:rsid w:val="00D1778D"/>
    <w:rsid w:val="00D17D76"/>
    <w:rsid w:val="00D2003C"/>
    <w:rsid w:val="00D2104E"/>
    <w:rsid w:val="00D216F6"/>
    <w:rsid w:val="00D21BF9"/>
    <w:rsid w:val="00D22081"/>
    <w:rsid w:val="00D22B76"/>
    <w:rsid w:val="00D2361A"/>
    <w:rsid w:val="00D23CEB"/>
    <w:rsid w:val="00D240DE"/>
    <w:rsid w:val="00D2422C"/>
    <w:rsid w:val="00D24DA0"/>
    <w:rsid w:val="00D25130"/>
    <w:rsid w:val="00D25936"/>
    <w:rsid w:val="00D2593E"/>
    <w:rsid w:val="00D26821"/>
    <w:rsid w:val="00D2685A"/>
    <w:rsid w:val="00D269D1"/>
    <w:rsid w:val="00D273F5"/>
    <w:rsid w:val="00D27718"/>
    <w:rsid w:val="00D306FD"/>
    <w:rsid w:val="00D30921"/>
    <w:rsid w:val="00D30B8C"/>
    <w:rsid w:val="00D31354"/>
    <w:rsid w:val="00D31BF6"/>
    <w:rsid w:val="00D32DA2"/>
    <w:rsid w:val="00D33380"/>
    <w:rsid w:val="00D334DF"/>
    <w:rsid w:val="00D33994"/>
    <w:rsid w:val="00D341BB"/>
    <w:rsid w:val="00D34868"/>
    <w:rsid w:val="00D34B30"/>
    <w:rsid w:val="00D35454"/>
    <w:rsid w:val="00D355BA"/>
    <w:rsid w:val="00D3589B"/>
    <w:rsid w:val="00D35C8E"/>
    <w:rsid w:val="00D35E2C"/>
    <w:rsid w:val="00D36D2D"/>
    <w:rsid w:val="00D36F84"/>
    <w:rsid w:val="00D37968"/>
    <w:rsid w:val="00D40759"/>
    <w:rsid w:val="00D40B75"/>
    <w:rsid w:val="00D41409"/>
    <w:rsid w:val="00D415FF"/>
    <w:rsid w:val="00D41662"/>
    <w:rsid w:val="00D419A2"/>
    <w:rsid w:val="00D41E96"/>
    <w:rsid w:val="00D4208D"/>
    <w:rsid w:val="00D428C4"/>
    <w:rsid w:val="00D42D70"/>
    <w:rsid w:val="00D42D73"/>
    <w:rsid w:val="00D43BBC"/>
    <w:rsid w:val="00D44ACC"/>
    <w:rsid w:val="00D45198"/>
    <w:rsid w:val="00D454D1"/>
    <w:rsid w:val="00D457DE"/>
    <w:rsid w:val="00D4589B"/>
    <w:rsid w:val="00D46DC7"/>
    <w:rsid w:val="00D4777B"/>
    <w:rsid w:val="00D47CE9"/>
    <w:rsid w:val="00D500C1"/>
    <w:rsid w:val="00D5028D"/>
    <w:rsid w:val="00D512C9"/>
    <w:rsid w:val="00D5144C"/>
    <w:rsid w:val="00D52443"/>
    <w:rsid w:val="00D525B8"/>
    <w:rsid w:val="00D52845"/>
    <w:rsid w:val="00D53008"/>
    <w:rsid w:val="00D53717"/>
    <w:rsid w:val="00D54B7E"/>
    <w:rsid w:val="00D55354"/>
    <w:rsid w:val="00D55466"/>
    <w:rsid w:val="00D55877"/>
    <w:rsid w:val="00D56953"/>
    <w:rsid w:val="00D56BE4"/>
    <w:rsid w:val="00D56CD3"/>
    <w:rsid w:val="00D571B1"/>
    <w:rsid w:val="00D573DC"/>
    <w:rsid w:val="00D57761"/>
    <w:rsid w:val="00D579C7"/>
    <w:rsid w:val="00D57C3D"/>
    <w:rsid w:val="00D600DE"/>
    <w:rsid w:val="00D60F58"/>
    <w:rsid w:val="00D61545"/>
    <w:rsid w:val="00D61F83"/>
    <w:rsid w:val="00D62371"/>
    <w:rsid w:val="00D62B38"/>
    <w:rsid w:val="00D633AC"/>
    <w:rsid w:val="00D6359C"/>
    <w:rsid w:val="00D63AB2"/>
    <w:rsid w:val="00D64C63"/>
    <w:rsid w:val="00D6587F"/>
    <w:rsid w:val="00D65D6B"/>
    <w:rsid w:val="00D65E08"/>
    <w:rsid w:val="00D65EA7"/>
    <w:rsid w:val="00D65EBD"/>
    <w:rsid w:val="00D6605C"/>
    <w:rsid w:val="00D662C6"/>
    <w:rsid w:val="00D66CE6"/>
    <w:rsid w:val="00D678D8"/>
    <w:rsid w:val="00D67914"/>
    <w:rsid w:val="00D67E1B"/>
    <w:rsid w:val="00D67FE3"/>
    <w:rsid w:val="00D7002F"/>
    <w:rsid w:val="00D70E9F"/>
    <w:rsid w:val="00D71592"/>
    <w:rsid w:val="00D716BE"/>
    <w:rsid w:val="00D71815"/>
    <w:rsid w:val="00D71973"/>
    <w:rsid w:val="00D71A41"/>
    <w:rsid w:val="00D71F08"/>
    <w:rsid w:val="00D725F6"/>
    <w:rsid w:val="00D7293E"/>
    <w:rsid w:val="00D73506"/>
    <w:rsid w:val="00D73E6C"/>
    <w:rsid w:val="00D74116"/>
    <w:rsid w:val="00D7434B"/>
    <w:rsid w:val="00D74558"/>
    <w:rsid w:val="00D7457D"/>
    <w:rsid w:val="00D74815"/>
    <w:rsid w:val="00D74ACB"/>
    <w:rsid w:val="00D74BA2"/>
    <w:rsid w:val="00D74D49"/>
    <w:rsid w:val="00D757C8"/>
    <w:rsid w:val="00D77461"/>
    <w:rsid w:val="00D779AA"/>
    <w:rsid w:val="00D80412"/>
    <w:rsid w:val="00D80538"/>
    <w:rsid w:val="00D808CB"/>
    <w:rsid w:val="00D80A88"/>
    <w:rsid w:val="00D80C99"/>
    <w:rsid w:val="00D81A10"/>
    <w:rsid w:val="00D822D1"/>
    <w:rsid w:val="00D82AFE"/>
    <w:rsid w:val="00D831D8"/>
    <w:rsid w:val="00D83264"/>
    <w:rsid w:val="00D832F3"/>
    <w:rsid w:val="00D836C6"/>
    <w:rsid w:val="00D84354"/>
    <w:rsid w:val="00D844C7"/>
    <w:rsid w:val="00D848F5"/>
    <w:rsid w:val="00D85416"/>
    <w:rsid w:val="00D855C1"/>
    <w:rsid w:val="00D85828"/>
    <w:rsid w:val="00D85CBA"/>
    <w:rsid w:val="00D8601B"/>
    <w:rsid w:val="00D862B0"/>
    <w:rsid w:val="00D863CA"/>
    <w:rsid w:val="00D866BD"/>
    <w:rsid w:val="00D8715F"/>
    <w:rsid w:val="00D903FC"/>
    <w:rsid w:val="00D9057B"/>
    <w:rsid w:val="00D90D5D"/>
    <w:rsid w:val="00D91A36"/>
    <w:rsid w:val="00D91F75"/>
    <w:rsid w:val="00D925AF"/>
    <w:rsid w:val="00D93441"/>
    <w:rsid w:val="00D938B1"/>
    <w:rsid w:val="00D93CCA"/>
    <w:rsid w:val="00D941F4"/>
    <w:rsid w:val="00D94476"/>
    <w:rsid w:val="00D94F3B"/>
    <w:rsid w:val="00D950F5"/>
    <w:rsid w:val="00D95669"/>
    <w:rsid w:val="00D95988"/>
    <w:rsid w:val="00D96427"/>
    <w:rsid w:val="00D96CEC"/>
    <w:rsid w:val="00D96D91"/>
    <w:rsid w:val="00D96DB8"/>
    <w:rsid w:val="00D970E8"/>
    <w:rsid w:val="00D97F8B"/>
    <w:rsid w:val="00DA023F"/>
    <w:rsid w:val="00DA0CC5"/>
    <w:rsid w:val="00DA12DB"/>
    <w:rsid w:val="00DA18A2"/>
    <w:rsid w:val="00DA1ABB"/>
    <w:rsid w:val="00DA213E"/>
    <w:rsid w:val="00DA23A3"/>
    <w:rsid w:val="00DA24A0"/>
    <w:rsid w:val="00DA2F09"/>
    <w:rsid w:val="00DA2F90"/>
    <w:rsid w:val="00DA3029"/>
    <w:rsid w:val="00DA3725"/>
    <w:rsid w:val="00DA37C8"/>
    <w:rsid w:val="00DA3A0F"/>
    <w:rsid w:val="00DA40FE"/>
    <w:rsid w:val="00DA5075"/>
    <w:rsid w:val="00DA519A"/>
    <w:rsid w:val="00DA5309"/>
    <w:rsid w:val="00DA54F3"/>
    <w:rsid w:val="00DA5BE1"/>
    <w:rsid w:val="00DA5DA1"/>
    <w:rsid w:val="00DA5E95"/>
    <w:rsid w:val="00DA62C7"/>
    <w:rsid w:val="00DA7192"/>
    <w:rsid w:val="00DA7F8D"/>
    <w:rsid w:val="00DB2CA4"/>
    <w:rsid w:val="00DB316F"/>
    <w:rsid w:val="00DB35EB"/>
    <w:rsid w:val="00DB36BB"/>
    <w:rsid w:val="00DB4153"/>
    <w:rsid w:val="00DB4BA2"/>
    <w:rsid w:val="00DB4BF6"/>
    <w:rsid w:val="00DB4DBB"/>
    <w:rsid w:val="00DB6325"/>
    <w:rsid w:val="00DB6FFE"/>
    <w:rsid w:val="00DB7092"/>
    <w:rsid w:val="00DB7123"/>
    <w:rsid w:val="00DB75B9"/>
    <w:rsid w:val="00DB787A"/>
    <w:rsid w:val="00DC08CB"/>
    <w:rsid w:val="00DC0A1D"/>
    <w:rsid w:val="00DC133A"/>
    <w:rsid w:val="00DC15B8"/>
    <w:rsid w:val="00DC21EA"/>
    <w:rsid w:val="00DC2820"/>
    <w:rsid w:val="00DC3687"/>
    <w:rsid w:val="00DC36E9"/>
    <w:rsid w:val="00DC39C1"/>
    <w:rsid w:val="00DC3D26"/>
    <w:rsid w:val="00DC3F76"/>
    <w:rsid w:val="00DC4988"/>
    <w:rsid w:val="00DC4E29"/>
    <w:rsid w:val="00DC58D8"/>
    <w:rsid w:val="00DC5B32"/>
    <w:rsid w:val="00DC65A5"/>
    <w:rsid w:val="00DC69E5"/>
    <w:rsid w:val="00DC7B16"/>
    <w:rsid w:val="00DC7BFD"/>
    <w:rsid w:val="00DC7CF5"/>
    <w:rsid w:val="00DD0922"/>
    <w:rsid w:val="00DD0AFC"/>
    <w:rsid w:val="00DD148C"/>
    <w:rsid w:val="00DD14D5"/>
    <w:rsid w:val="00DD15C6"/>
    <w:rsid w:val="00DD199F"/>
    <w:rsid w:val="00DD2108"/>
    <w:rsid w:val="00DD258E"/>
    <w:rsid w:val="00DD2844"/>
    <w:rsid w:val="00DD292A"/>
    <w:rsid w:val="00DD2FBF"/>
    <w:rsid w:val="00DD3367"/>
    <w:rsid w:val="00DD33FF"/>
    <w:rsid w:val="00DD3622"/>
    <w:rsid w:val="00DD4504"/>
    <w:rsid w:val="00DD4975"/>
    <w:rsid w:val="00DD530E"/>
    <w:rsid w:val="00DD593F"/>
    <w:rsid w:val="00DD5D6E"/>
    <w:rsid w:val="00DD5E35"/>
    <w:rsid w:val="00DD611E"/>
    <w:rsid w:val="00DD6215"/>
    <w:rsid w:val="00DD690D"/>
    <w:rsid w:val="00DD6C12"/>
    <w:rsid w:val="00DD70B5"/>
    <w:rsid w:val="00DD74EF"/>
    <w:rsid w:val="00DD7CAF"/>
    <w:rsid w:val="00DE09FD"/>
    <w:rsid w:val="00DE0C73"/>
    <w:rsid w:val="00DE0DAE"/>
    <w:rsid w:val="00DE0DEA"/>
    <w:rsid w:val="00DE16E9"/>
    <w:rsid w:val="00DE1A3B"/>
    <w:rsid w:val="00DE1CF8"/>
    <w:rsid w:val="00DE1D9A"/>
    <w:rsid w:val="00DE2859"/>
    <w:rsid w:val="00DE2B0C"/>
    <w:rsid w:val="00DE33D9"/>
    <w:rsid w:val="00DE3BA2"/>
    <w:rsid w:val="00DE4052"/>
    <w:rsid w:val="00DE4536"/>
    <w:rsid w:val="00DE45B3"/>
    <w:rsid w:val="00DE4644"/>
    <w:rsid w:val="00DE4C5B"/>
    <w:rsid w:val="00DE5414"/>
    <w:rsid w:val="00DE5882"/>
    <w:rsid w:val="00DE605E"/>
    <w:rsid w:val="00DE68BD"/>
    <w:rsid w:val="00DE6D12"/>
    <w:rsid w:val="00DE76A4"/>
    <w:rsid w:val="00DE7BEB"/>
    <w:rsid w:val="00DE7D16"/>
    <w:rsid w:val="00DF0C22"/>
    <w:rsid w:val="00DF0E3C"/>
    <w:rsid w:val="00DF1094"/>
    <w:rsid w:val="00DF172E"/>
    <w:rsid w:val="00DF220E"/>
    <w:rsid w:val="00DF27BA"/>
    <w:rsid w:val="00DF2F8D"/>
    <w:rsid w:val="00DF34B9"/>
    <w:rsid w:val="00DF37D1"/>
    <w:rsid w:val="00DF3A25"/>
    <w:rsid w:val="00DF3E4D"/>
    <w:rsid w:val="00DF3FBF"/>
    <w:rsid w:val="00DF41FE"/>
    <w:rsid w:val="00DF5554"/>
    <w:rsid w:val="00DF56D5"/>
    <w:rsid w:val="00DF6487"/>
    <w:rsid w:val="00DF69A7"/>
    <w:rsid w:val="00DF7728"/>
    <w:rsid w:val="00DF7D36"/>
    <w:rsid w:val="00E00070"/>
    <w:rsid w:val="00E00443"/>
    <w:rsid w:val="00E0097E"/>
    <w:rsid w:val="00E00CAE"/>
    <w:rsid w:val="00E01284"/>
    <w:rsid w:val="00E023DA"/>
    <w:rsid w:val="00E02A5F"/>
    <w:rsid w:val="00E035BF"/>
    <w:rsid w:val="00E03842"/>
    <w:rsid w:val="00E03C47"/>
    <w:rsid w:val="00E04A93"/>
    <w:rsid w:val="00E056C4"/>
    <w:rsid w:val="00E057EC"/>
    <w:rsid w:val="00E05B0B"/>
    <w:rsid w:val="00E05EC5"/>
    <w:rsid w:val="00E05F51"/>
    <w:rsid w:val="00E05FA4"/>
    <w:rsid w:val="00E078BC"/>
    <w:rsid w:val="00E10142"/>
    <w:rsid w:val="00E10146"/>
    <w:rsid w:val="00E1038D"/>
    <w:rsid w:val="00E106BC"/>
    <w:rsid w:val="00E108B2"/>
    <w:rsid w:val="00E11BAA"/>
    <w:rsid w:val="00E12230"/>
    <w:rsid w:val="00E12921"/>
    <w:rsid w:val="00E12E47"/>
    <w:rsid w:val="00E13344"/>
    <w:rsid w:val="00E13AD8"/>
    <w:rsid w:val="00E13EE5"/>
    <w:rsid w:val="00E14268"/>
    <w:rsid w:val="00E14951"/>
    <w:rsid w:val="00E1521E"/>
    <w:rsid w:val="00E152D6"/>
    <w:rsid w:val="00E15772"/>
    <w:rsid w:val="00E158BE"/>
    <w:rsid w:val="00E1594B"/>
    <w:rsid w:val="00E16045"/>
    <w:rsid w:val="00E16EA6"/>
    <w:rsid w:val="00E173B8"/>
    <w:rsid w:val="00E17C2B"/>
    <w:rsid w:val="00E20309"/>
    <w:rsid w:val="00E209F5"/>
    <w:rsid w:val="00E211CB"/>
    <w:rsid w:val="00E224F4"/>
    <w:rsid w:val="00E22A72"/>
    <w:rsid w:val="00E22AF9"/>
    <w:rsid w:val="00E22DE9"/>
    <w:rsid w:val="00E23CF0"/>
    <w:rsid w:val="00E240F0"/>
    <w:rsid w:val="00E24E34"/>
    <w:rsid w:val="00E2504F"/>
    <w:rsid w:val="00E25179"/>
    <w:rsid w:val="00E2553F"/>
    <w:rsid w:val="00E2565F"/>
    <w:rsid w:val="00E25769"/>
    <w:rsid w:val="00E25AF7"/>
    <w:rsid w:val="00E2698C"/>
    <w:rsid w:val="00E26DE7"/>
    <w:rsid w:val="00E2753F"/>
    <w:rsid w:val="00E317F1"/>
    <w:rsid w:val="00E320E6"/>
    <w:rsid w:val="00E32364"/>
    <w:rsid w:val="00E325F8"/>
    <w:rsid w:val="00E3269F"/>
    <w:rsid w:val="00E33160"/>
    <w:rsid w:val="00E3376A"/>
    <w:rsid w:val="00E3382E"/>
    <w:rsid w:val="00E33F7D"/>
    <w:rsid w:val="00E34D18"/>
    <w:rsid w:val="00E355A7"/>
    <w:rsid w:val="00E3640A"/>
    <w:rsid w:val="00E366AE"/>
    <w:rsid w:val="00E368D4"/>
    <w:rsid w:val="00E36E5A"/>
    <w:rsid w:val="00E372F3"/>
    <w:rsid w:val="00E3747E"/>
    <w:rsid w:val="00E404E7"/>
    <w:rsid w:val="00E40A63"/>
    <w:rsid w:val="00E41B18"/>
    <w:rsid w:val="00E41D9C"/>
    <w:rsid w:val="00E425D2"/>
    <w:rsid w:val="00E4260C"/>
    <w:rsid w:val="00E42901"/>
    <w:rsid w:val="00E42CB3"/>
    <w:rsid w:val="00E42E7F"/>
    <w:rsid w:val="00E43238"/>
    <w:rsid w:val="00E43736"/>
    <w:rsid w:val="00E446FA"/>
    <w:rsid w:val="00E447AE"/>
    <w:rsid w:val="00E455C1"/>
    <w:rsid w:val="00E46E69"/>
    <w:rsid w:val="00E470D4"/>
    <w:rsid w:val="00E50C13"/>
    <w:rsid w:val="00E50DD1"/>
    <w:rsid w:val="00E50F8D"/>
    <w:rsid w:val="00E51178"/>
    <w:rsid w:val="00E5134E"/>
    <w:rsid w:val="00E51A3E"/>
    <w:rsid w:val="00E52130"/>
    <w:rsid w:val="00E52EEF"/>
    <w:rsid w:val="00E5331D"/>
    <w:rsid w:val="00E5345C"/>
    <w:rsid w:val="00E53B90"/>
    <w:rsid w:val="00E54553"/>
    <w:rsid w:val="00E5591C"/>
    <w:rsid w:val="00E55AEC"/>
    <w:rsid w:val="00E56B26"/>
    <w:rsid w:val="00E56BBD"/>
    <w:rsid w:val="00E56C70"/>
    <w:rsid w:val="00E56EEF"/>
    <w:rsid w:val="00E5723E"/>
    <w:rsid w:val="00E5745E"/>
    <w:rsid w:val="00E57C21"/>
    <w:rsid w:val="00E6064B"/>
    <w:rsid w:val="00E60CBD"/>
    <w:rsid w:val="00E60E56"/>
    <w:rsid w:val="00E61553"/>
    <w:rsid w:val="00E6185A"/>
    <w:rsid w:val="00E619AE"/>
    <w:rsid w:val="00E62D00"/>
    <w:rsid w:val="00E63667"/>
    <w:rsid w:val="00E63A10"/>
    <w:rsid w:val="00E63CF8"/>
    <w:rsid w:val="00E63DBB"/>
    <w:rsid w:val="00E64703"/>
    <w:rsid w:val="00E657CC"/>
    <w:rsid w:val="00E65B72"/>
    <w:rsid w:val="00E662CD"/>
    <w:rsid w:val="00E669E8"/>
    <w:rsid w:val="00E671DE"/>
    <w:rsid w:val="00E678BE"/>
    <w:rsid w:val="00E6792B"/>
    <w:rsid w:val="00E67C02"/>
    <w:rsid w:val="00E67E31"/>
    <w:rsid w:val="00E67F23"/>
    <w:rsid w:val="00E67FFD"/>
    <w:rsid w:val="00E708B3"/>
    <w:rsid w:val="00E708FB"/>
    <w:rsid w:val="00E70AB2"/>
    <w:rsid w:val="00E70D82"/>
    <w:rsid w:val="00E70DBA"/>
    <w:rsid w:val="00E70FE7"/>
    <w:rsid w:val="00E72FDF"/>
    <w:rsid w:val="00E73172"/>
    <w:rsid w:val="00E73972"/>
    <w:rsid w:val="00E73C38"/>
    <w:rsid w:val="00E743B0"/>
    <w:rsid w:val="00E74621"/>
    <w:rsid w:val="00E747D0"/>
    <w:rsid w:val="00E74809"/>
    <w:rsid w:val="00E7485D"/>
    <w:rsid w:val="00E74AE5"/>
    <w:rsid w:val="00E74AF8"/>
    <w:rsid w:val="00E74B17"/>
    <w:rsid w:val="00E74BB3"/>
    <w:rsid w:val="00E74F5E"/>
    <w:rsid w:val="00E7525A"/>
    <w:rsid w:val="00E75A89"/>
    <w:rsid w:val="00E75F19"/>
    <w:rsid w:val="00E7617B"/>
    <w:rsid w:val="00E76880"/>
    <w:rsid w:val="00E7699B"/>
    <w:rsid w:val="00E76AFE"/>
    <w:rsid w:val="00E77384"/>
    <w:rsid w:val="00E77661"/>
    <w:rsid w:val="00E77910"/>
    <w:rsid w:val="00E77B4E"/>
    <w:rsid w:val="00E77DCB"/>
    <w:rsid w:val="00E801F3"/>
    <w:rsid w:val="00E803D4"/>
    <w:rsid w:val="00E8140A"/>
    <w:rsid w:val="00E820B0"/>
    <w:rsid w:val="00E822C5"/>
    <w:rsid w:val="00E828E6"/>
    <w:rsid w:val="00E83688"/>
    <w:rsid w:val="00E83ADA"/>
    <w:rsid w:val="00E83B28"/>
    <w:rsid w:val="00E83C2E"/>
    <w:rsid w:val="00E84199"/>
    <w:rsid w:val="00E84F06"/>
    <w:rsid w:val="00E85FFE"/>
    <w:rsid w:val="00E86255"/>
    <w:rsid w:val="00E86383"/>
    <w:rsid w:val="00E86810"/>
    <w:rsid w:val="00E869DC"/>
    <w:rsid w:val="00E86C01"/>
    <w:rsid w:val="00E86DD0"/>
    <w:rsid w:val="00E86EDD"/>
    <w:rsid w:val="00E90BA8"/>
    <w:rsid w:val="00E91D60"/>
    <w:rsid w:val="00E9217D"/>
    <w:rsid w:val="00E92181"/>
    <w:rsid w:val="00E92551"/>
    <w:rsid w:val="00E92970"/>
    <w:rsid w:val="00E92DF3"/>
    <w:rsid w:val="00E93187"/>
    <w:rsid w:val="00E9358D"/>
    <w:rsid w:val="00E935FE"/>
    <w:rsid w:val="00E939FF"/>
    <w:rsid w:val="00E93C56"/>
    <w:rsid w:val="00E94900"/>
    <w:rsid w:val="00E9490B"/>
    <w:rsid w:val="00E94DD3"/>
    <w:rsid w:val="00E9516C"/>
    <w:rsid w:val="00E95304"/>
    <w:rsid w:val="00E960AF"/>
    <w:rsid w:val="00E968F9"/>
    <w:rsid w:val="00EA04BB"/>
    <w:rsid w:val="00EA0A34"/>
    <w:rsid w:val="00EA0B00"/>
    <w:rsid w:val="00EA0BAF"/>
    <w:rsid w:val="00EA0ED0"/>
    <w:rsid w:val="00EA149F"/>
    <w:rsid w:val="00EA1551"/>
    <w:rsid w:val="00EA190E"/>
    <w:rsid w:val="00EA27FB"/>
    <w:rsid w:val="00EA2EF3"/>
    <w:rsid w:val="00EA2EFF"/>
    <w:rsid w:val="00EA3257"/>
    <w:rsid w:val="00EA3549"/>
    <w:rsid w:val="00EA36AB"/>
    <w:rsid w:val="00EA463B"/>
    <w:rsid w:val="00EA4846"/>
    <w:rsid w:val="00EA49D2"/>
    <w:rsid w:val="00EA558C"/>
    <w:rsid w:val="00EA63CB"/>
    <w:rsid w:val="00EA6634"/>
    <w:rsid w:val="00EA6754"/>
    <w:rsid w:val="00EA679D"/>
    <w:rsid w:val="00EA750B"/>
    <w:rsid w:val="00EA763A"/>
    <w:rsid w:val="00EB129F"/>
    <w:rsid w:val="00EB1413"/>
    <w:rsid w:val="00EB176A"/>
    <w:rsid w:val="00EB2093"/>
    <w:rsid w:val="00EB2ABE"/>
    <w:rsid w:val="00EB3292"/>
    <w:rsid w:val="00EB32D5"/>
    <w:rsid w:val="00EB34D2"/>
    <w:rsid w:val="00EB4008"/>
    <w:rsid w:val="00EB4163"/>
    <w:rsid w:val="00EB4D14"/>
    <w:rsid w:val="00EB5169"/>
    <w:rsid w:val="00EB5487"/>
    <w:rsid w:val="00EB5C8A"/>
    <w:rsid w:val="00EB5C9D"/>
    <w:rsid w:val="00EB5CCB"/>
    <w:rsid w:val="00EB698F"/>
    <w:rsid w:val="00EB71E5"/>
    <w:rsid w:val="00EC034D"/>
    <w:rsid w:val="00EC08A1"/>
    <w:rsid w:val="00EC0908"/>
    <w:rsid w:val="00EC143C"/>
    <w:rsid w:val="00EC150A"/>
    <w:rsid w:val="00EC1633"/>
    <w:rsid w:val="00EC1770"/>
    <w:rsid w:val="00EC186C"/>
    <w:rsid w:val="00EC1B15"/>
    <w:rsid w:val="00EC2292"/>
    <w:rsid w:val="00EC2E70"/>
    <w:rsid w:val="00EC342D"/>
    <w:rsid w:val="00EC4233"/>
    <w:rsid w:val="00EC47DA"/>
    <w:rsid w:val="00EC4BDF"/>
    <w:rsid w:val="00EC4CB0"/>
    <w:rsid w:val="00EC4E21"/>
    <w:rsid w:val="00EC5323"/>
    <w:rsid w:val="00EC5A1B"/>
    <w:rsid w:val="00EC5FDF"/>
    <w:rsid w:val="00EC65CE"/>
    <w:rsid w:val="00EC6663"/>
    <w:rsid w:val="00EC6978"/>
    <w:rsid w:val="00EC6AB7"/>
    <w:rsid w:val="00ED0697"/>
    <w:rsid w:val="00ED14B7"/>
    <w:rsid w:val="00ED1B6B"/>
    <w:rsid w:val="00ED209E"/>
    <w:rsid w:val="00ED27AF"/>
    <w:rsid w:val="00ED29CA"/>
    <w:rsid w:val="00ED30D4"/>
    <w:rsid w:val="00ED3F9B"/>
    <w:rsid w:val="00ED41D4"/>
    <w:rsid w:val="00ED4441"/>
    <w:rsid w:val="00ED46AF"/>
    <w:rsid w:val="00ED4BC7"/>
    <w:rsid w:val="00ED562A"/>
    <w:rsid w:val="00ED5D4F"/>
    <w:rsid w:val="00ED5F52"/>
    <w:rsid w:val="00ED6F0C"/>
    <w:rsid w:val="00ED70AC"/>
    <w:rsid w:val="00ED79D1"/>
    <w:rsid w:val="00EE02D6"/>
    <w:rsid w:val="00EE09E9"/>
    <w:rsid w:val="00EE0A6C"/>
    <w:rsid w:val="00EE0E45"/>
    <w:rsid w:val="00EE0F7E"/>
    <w:rsid w:val="00EE1A3F"/>
    <w:rsid w:val="00EE2A34"/>
    <w:rsid w:val="00EE327D"/>
    <w:rsid w:val="00EE3285"/>
    <w:rsid w:val="00EE3396"/>
    <w:rsid w:val="00EE3C6C"/>
    <w:rsid w:val="00EE409D"/>
    <w:rsid w:val="00EE4AAF"/>
    <w:rsid w:val="00EE4D3D"/>
    <w:rsid w:val="00EE4F6C"/>
    <w:rsid w:val="00EE551A"/>
    <w:rsid w:val="00EE5863"/>
    <w:rsid w:val="00EE5A4D"/>
    <w:rsid w:val="00EE5D0C"/>
    <w:rsid w:val="00EE5E8A"/>
    <w:rsid w:val="00EE6065"/>
    <w:rsid w:val="00EE6196"/>
    <w:rsid w:val="00EE6FCB"/>
    <w:rsid w:val="00EE73EE"/>
    <w:rsid w:val="00EE7795"/>
    <w:rsid w:val="00EE7FD5"/>
    <w:rsid w:val="00EF0042"/>
    <w:rsid w:val="00EF0623"/>
    <w:rsid w:val="00EF0A26"/>
    <w:rsid w:val="00EF0BEC"/>
    <w:rsid w:val="00EF0C0D"/>
    <w:rsid w:val="00EF192D"/>
    <w:rsid w:val="00EF1DD9"/>
    <w:rsid w:val="00EF1E1E"/>
    <w:rsid w:val="00EF1EC4"/>
    <w:rsid w:val="00EF21C1"/>
    <w:rsid w:val="00EF2604"/>
    <w:rsid w:val="00EF26DF"/>
    <w:rsid w:val="00EF2CAC"/>
    <w:rsid w:val="00EF3655"/>
    <w:rsid w:val="00EF3ABB"/>
    <w:rsid w:val="00EF4AAC"/>
    <w:rsid w:val="00EF4AE8"/>
    <w:rsid w:val="00EF5782"/>
    <w:rsid w:val="00EF588E"/>
    <w:rsid w:val="00EF58F8"/>
    <w:rsid w:val="00EF63A8"/>
    <w:rsid w:val="00EF6484"/>
    <w:rsid w:val="00EF7CB9"/>
    <w:rsid w:val="00EF7ED5"/>
    <w:rsid w:val="00EF7EE1"/>
    <w:rsid w:val="00F018B1"/>
    <w:rsid w:val="00F026B1"/>
    <w:rsid w:val="00F02778"/>
    <w:rsid w:val="00F03073"/>
    <w:rsid w:val="00F037E4"/>
    <w:rsid w:val="00F038AE"/>
    <w:rsid w:val="00F039ED"/>
    <w:rsid w:val="00F04797"/>
    <w:rsid w:val="00F05263"/>
    <w:rsid w:val="00F057D5"/>
    <w:rsid w:val="00F066C6"/>
    <w:rsid w:val="00F073BF"/>
    <w:rsid w:val="00F079CB"/>
    <w:rsid w:val="00F07B63"/>
    <w:rsid w:val="00F07D72"/>
    <w:rsid w:val="00F07E31"/>
    <w:rsid w:val="00F108F7"/>
    <w:rsid w:val="00F12304"/>
    <w:rsid w:val="00F12683"/>
    <w:rsid w:val="00F12CF4"/>
    <w:rsid w:val="00F137EB"/>
    <w:rsid w:val="00F13AEA"/>
    <w:rsid w:val="00F14195"/>
    <w:rsid w:val="00F14626"/>
    <w:rsid w:val="00F14638"/>
    <w:rsid w:val="00F148BE"/>
    <w:rsid w:val="00F14B3B"/>
    <w:rsid w:val="00F14EA7"/>
    <w:rsid w:val="00F15C2D"/>
    <w:rsid w:val="00F16462"/>
    <w:rsid w:val="00F16A3E"/>
    <w:rsid w:val="00F1758E"/>
    <w:rsid w:val="00F17A06"/>
    <w:rsid w:val="00F17B29"/>
    <w:rsid w:val="00F17C74"/>
    <w:rsid w:val="00F17DB2"/>
    <w:rsid w:val="00F20F9E"/>
    <w:rsid w:val="00F21CBD"/>
    <w:rsid w:val="00F21CC9"/>
    <w:rsid w:val="00F22145"/>
    <w:rsid w:val="00F229F3"/>
    <w:rsid w:val="00F22AFB"/>
    <w:rsid w:val="00F2396F"/>
    <w:rsid w:val="00F23AA2"/>
    <w:rsid w:val="00F23BF4"/>
    <w:rsid w:val="00F23DD6"/>
    <w:rsid w:val="00F249FA"/>
    <w:rsid w:val="00F24A49"/>
    <w:rsid w:val="00F24B10"/>
    <w:rsid w:val="00F24BAE"/>
    <w:rsid w:val="00F24D4C"/>
    <w:rsid w:val="00F2502C"/>
    <w:rsid w:val="00F25E9B"/>
    <w:rsid w:val="00F25F8B"/>
    <w:rsid w:val="00F27096"/>
    <w:rsid w:val="00F27623"/>
    <w:rsid w:val="00F27668"/>
    <w:rsid w:val="00F27761"/>
    <w:rsid w:val="00F27794"/>
    <w:rsid w:val="00F27FD9"/>
    <w:rsid w:val="00F30B35"/>
    <w:rsid w:val="00F31358"/>
    <w:rsid w:val="00F315F6"/>
    <w:rsid w:val="00F3175E"/>
    <w:rsid w:val="00F32372"/>
    <w:rsid w:val="00F330BF"/>
    <w:rsid w:val="00F333C0"/>
    <w:rsid w:val="00F3411F"/>
    <w:rsid w:val="00F351FB"/>
    <w:rsid w:val="00F35732"/>
    <w:rsid w:val="00F358D0"/>
    <w:rsid w:val="00F35D25"/>
    <w:rsid w:val="00F36117"/>
    <w:rsid w:val="00F364B5"/>
    <w:rsid w:val="00F36626"/>
    <w:rsid w:val="00F369C8"/>
    <w:rsid w:val="00F3738C"/>
    <w:rsid w:val="00F374B1"/>
    <w:rsid w:val="00F37789"/>
    <w:rsid w:val="00F37F51"/>
    <w:rsid w:val="00F4035D"/>
    <w:rsid w:val="00F409CB"/>
    <w:rsid w:val="00F40CFA"/>
    <w:rsid w:val="00F411BB"/>
    <w:rsid w:val="00F4149D"/>
    <w:rsid w:val="00F41856"/>
    <w:rsid w:val="00F41CAF"/>
    <w:rsid w:val="00F41D03"/>
    <w:rsid w:val="00F4227B"/>
    <w:rsid w:val="00F429FC"/>
    <w:rsid w:val="00F4382F"/>
    <w:rsid w:val="00F43B6B"/>
    <w:rsid w:val="00F43DCD"/>
    <w:rsid w:val="00F440F4"/>
    <w:rsid w:val="00F44501"/>
    <w:rsid w:val="00F4464D"/>
    <w:rsid w:val="00F44CA6"/>
    <w:rsid w:val="00F452EC"/>
    <w:rsid w:val="00F4536F"/>
    <w:rsid w:val="00F457D9"/>
    <w:rsid w:val="00F4587A"/>
    <w:rsid w:val="00F46145"/>
    <w:rsid w:val="00F46167"/>
    <w:rsid w:val="00F462AB"/>
    <w:rsid w:val="00F4683E"/>
    <w:rsid w:val="00F46856"/>
    <w:rsid w:val="00F468BB"/>
    <w:rsid w:val="00F46B72"/>
    <w:rsid w:val="00F479E5"/>
    <w:rsid w:val="00F508F8"/>
    <w:rsid w:val="00F51723"/>
    <w:rsid w:val="00F51E49"/>
    <w:rsid w:val="00F51FA6"/>
    <w:rsid w:val="00F520ED"/>
    <w:rsid w:val="00F52339"/>
    <w:rsid w:val="00F530E6"/>
    <w:rsid w:val="00F532D9"/>
    <w:rsid w:val="00F54AC7"/>
    <w:rsid w:val="00F54AE8"/>
    <w:rsid w:val="00F54B6B"/>
    <w:rsid w:val="00F55ACE"/>
    <w:rsid w:val="00F56C33"/>
    <w:rsid w:val="00F571AD"/>
    <w:rsid w:val="00F57248"/>
    <w:rsid w:val="00F57CA0"/>
    <w:rsid w:val="00F60F52"/>
    <w:rsid w:val="00F61659"/>
    <w:rsid w:val="00F61831"/>
    <w:rsid w:val="00F6286B"/>
    <w:rsid w:val="00F62C16"/>
    <w:rsid w:val="00F630E3"/>
    <w:rsid w:val="00F635D3"/>
    <w:rsid w:val="00F63961"/>
    <w:rsid w:val="00F64DA9"/>
    <w:rsid w:val="00F652AE"/>
    <w:rsid w:val="00F655CE"/>
    <w:rsid w:val="00F658C0"/>
    <w:rsid w:val="00F6597B"/>
    <w:rsid w:val="00F65C53"/>
    <w:rsid w:val="00F65C7A"/>
    <w:rsid w:val="00F66078"/>
    <w:rsid w:val="00F665F0"/>
    <w:rsid w:val="00F66A06"/>
    <w:rsid w:val="00F66C82"/>
    <w:rsid w:val="00F679A1"/>
    <w:rsid w:val="00F67AC2"/>
    <w:rsid w:val="00F70A3F"/>
    <w:rsid w:val="00F7115C"/>
    <w:rsid w:val="00F72C83"/>
    <w:rsid w:val="00F72F22"/>
    <w:rsid w:val="00F73DB8"/>
    <w:rsid w:val="00F740E4"/>
    <w:rsid w:val="00F754B6"/>
    <w:rsid w:val="00F76E29"/>
    <w:rsid w:val="00F76EE2"/>
    <w:rsid w:val="00F770C1"/>
    <w:rsid w:val="00F77314"/>
    <w:rsid w:val="00F7781A"/>
    <w:rsid w:val="00F77B35"/>
    <w:rsid w:val="00F8025E"/>
    <w:rsid w:val="00F805DE"/>
    <w:rsid w:val="00F80775"/>
    <w:rsid w:val="00F80DFF"/>
    <w:rsid w:val="00F80E48"/>
    <w:rsid w:val="00F80F67"/>
    <w:rsid w:val="00F81A81"/>
    <w:rsid w:val="00F81AFD"/>
    <w:rsid w:val="00F81B6B"/>
    <w:rsid w:val="00F81B9C"/>
    <w:rsid w:val="00F81DA9"/>
    <w:rsid w:val="00F8218A"/>
    <w:rsid w:val="00F8360A"/>
    <w:rsid w:val="00F83E0E"/>
    <w:rsid w:val="00F85A26"/>
    <w:rsid w:val="00F866CC"/>
    <w:rsid w:val="00F86700"/>
    <w:rsid w:val="00F86B8D"/>
    <w:rsid w:val="00F87586"/>
    <w:rsid w:val="00F9040A"/>
    <w:rsid w:val="00F90713"/>
    <w:rsid w:val="00F908D2"/>
    <w:rsid w:val="00F90B3A"/>
    <w:rsid w:val="00F9150C"/>
    <w:rsid w:val="00F91698"/>
    <w:rsid w:val="00F91B59"/>
    <w:rsid w:val="00F91D11"/>
    <w:rsid w:val="00F91DA3"/>
    <w:rsid w:val="00F928A4"/>
    <w:rsid w:val="00F92ABA"/>
    <w:rsid w:val="00F94674"/>
    <w:rsid w:val="00F94C60"/>
    <w:rsid w:val="00F94D4B"/>
    <w:rsid w:val="00F94FCF"/>
    <w:rsid w:val="00F957C6"/>
    <w:rsid w:val="00F95AAF"/>
    <w:rsid w:val="00F95C49"/>
    <w:rsid w:val="00F95C60"/>
    <w:rsid w:val="00F95EBA"/>
    <w:rsid w:val="00F96937"/>
    <w:rsid w:val="00F969F5"/>
    <w:rsid w:val="00F979C6"/>
    <w:rsid w:val="00FA0286"/>
    <w:rsid w:val="00FA1024"/>
    <w:rsid w:val="00FA1467"/>
    <w:rsid w:val="00FA1490"/>
    <w:rsid w:val="00FA1834"/>
    <w:rsid w:val="00FA2046"/>
    <w:rsid w:val="00FA2069"/>
    <w:rsid w:val="00FA29EB"/>
    <w:rsid w:val="00FA2AD8"/>
    <w:rsid w:val="00FA3B00"/>
    <w:rsid w:val="00FA3BD2"/>
    <w:rsid w:val="00FA3FC6"/>
    <w:rsid w:val="00FA44A9"/>
    <w:rsid w:val="00FA44D6"/>
    <w:rsid w:val="00FA67F7"/>
    <w:rsid w:val="00FA6CB4"/>
    <w:rsid w:val="00FA6DE5"/>
    <w:rsid w:val="00FA7DBF"/>
    <w:rsid w:val="00FA7EEC"/>
    <w:rsid w:val="00FB0051"/>
    <w:rsid w:val="00FB0061"/>
    <w:rsid w:val="00FB0E06"/>
    <w:rsid w:val="00FB1584"/>
    <w:rsid w:val="00FB16E8"/>
    <w:rsid w:val="00FB219E"/>
    <w:rsid w:val="00FB2F63"/>
    <w:rsid w:val="00FB345F"/>
    <w:rsid w:val="00FB39CC"/>
    <w:rsid w:val="00FB4F1D"/>
    <w:rsid w:val="00FB5060"/>
    <w:rsid w:val="00FB5206"/>
    <w:rsid w:val="00FB58BA"/>
    <w:rsid w:val="00FB5C4B"/>
    <w:rsid w:val="00FB5C8E"/>
    <w:rsid w:val="00FB6024"/>
    <w:rsid w:val="00FB6774"/>
    <w:rsid w:val="00FB6A59"/>
    <w:rsid w:val="00FB6A89"/>
    <w:rsid w:val="00FB6BFE"/>
    <w:rsid w:val="00FB7150"/>
    <w:rsid w:val="00FC0549"/>
    <w:rsid w:val="00FC128F"/>
    <w:rsid w:val="00FC1A93"/>
    <w:rsid w:val="00FC1DC7"/>
    <w:rsid w:val="00FC239D"/>
    <w:rsid w:val="00FC2701"/>
    <w:rsid w:val="00FC281D"/>
    <w:rsid w:val="00FC319D"/>
    <w:rsid w:val="00FC38FF"/>
    <w:rsid w:val="00FC3C39"/>
    <w:rsid w:val="00FC4919"/>
    <w:rsid w:val="00FC4B71"/>
    <w:rsid w:val="00FC4F66"/>
    <w:rsid w:val="00FC554A"/>
    <w:rsid w:val="00FC5F31"/>
    <w:rsid w:val="00FC637E"/>
    <w:rsid w:val="00FC6580"/>
    <w:rsid w:val="00FC6B12"/>
    <w:rsid w:val="00FC6E1C"/>
    <w:rsid w:val="00FC74F1"/>
    <w:rsid w:val="00FC75DF"/>
    <w:rsid w:val="00FC7F8D"/>
    <w:rsid w:val="00FD01EB"/>
    <w:rsid w:val="00FD07D0"/>
    <w:rsid w:val="00FD1266"/>
    <w:rsid w:val="00FD1756"/>
    <w:rsid w:val="00FD1D91"/>
    <w:rsid w:val="00FD1E41"/>
    <w:rsid w:val="00FD1FF3"/>
    <w:rsid w:val="00FD20A5"/>
    <w:rsid w:val="00FD211E"/>
    <w:rsid w:val="00FD265D"/>
    <w:rsid w:val="00FD280A"/>
    <w:rsid w:val="00FD2C22"/>
    <w:rsid w:val="00FD2F74"/>
    <w:rsid w:val="00FD31A5"/>
    <w:rsid w:val="00FD35FD"/>
    <w:rsid w:val="00FD4237"/>
    <w:rsid w:val="00FD435E"/>
    <w:rsid w:val="00FD4940"/>
    <w:rsid w:val="00FD4BA7"/>
    <w:rsid w:val="00FD59BF"/>
    <w:rsid w:val="00FD59F2"/>
    <w:rsid w:val="00FD6F4E"/>
    <w:rsid w:val="00FD7982"/>
    <w:rsid w:val="00FD7B60"/>
    <w:rsid w:val="00FE012C"/>
    <w:rsid w:val="00FE0263"/>
    <w:rsid w:val="00FE0584"/>
    <w:rsid w:val="00FE0689"/>
    <w:rsid w:val="00FE1C99"/>
    <w:rsid w:val="00FE1E13"/>
    <w:rsid w:val="00FE1FDE"/>
    <w:rsid w:val="00FE2744"/>
    <w:rsid w:val="00FE27B2"/>
    <w:rsid w:val="00FE2C7F"/>
    <w:rsid w:val="00FE31B6"/>
    <w:rsid w:val="00FE44EC"/>
    <w:rsid w:val="00FE4566"/>
    <w:rsid w:val="00FE45EA"/>
    <w:rsid w:val="00FE4662"/>
    <w:rsid w:val="00FE4AFD"/>
    <w:rsid w:val="00FE4F1B"/>
    <w:rsid w:val="00FE53D2"/>
    <w:rsid w:val="00FE585B"/>
    <w:rsid w:val="00FE6703"/>
    <w:rsid w:val="00FE6A13"/>
    <w:rsid w:val="00FE6ADD"/>
    <w:rsid w:val="00FE780C"/>
    <w:rsid w:val="00FE7C41"/>
    <w:rsid w:val="00FF0013"/>
    <w:rsid w:val="00FF057B"/>
    <w:rsid w:val="00FF08A4"/>
    <w:rsid w:val="00FF09CF"/>
    <w:rsid w:val="00FF0B31"/>
    <w:rsid w:val="00FF125C"/>
    <w:rsid w:val="00FF1A13"/>
    <w:rsid w:val="00FF1A51"/>
    <w:rsid w:val="00FF1A81"/>
    <w:rsid w:val="00FF25FC"/>
    <w:rsid w:val="00FF3399"/>
    <w:rsid w:val="00FF3696"/>
    <w:rsid w:val="00FF3A4F"/>
    <w:rsid w:val="00FF3B0B"/>
    <w:rsid w:val="00FF3C5E"/>
    <w:rsid w:val="00FF6309"/>
    <w:rsid w:val="00FF6359"/>
    <w:rsid w:val="00FF68AC"/>
    <w:rsid w:val="00FF6CD8"/>
    <w:rsid w:val="00FF6F3D"/>
    <w:rsid w:val="00FF7423"/>
    <w:rsid w:val="00FF75BA"/>
    <w:rsid w:val="00FF77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98AF2"/>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76E"/>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5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6"/>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95541"/>
    <w:pPr>
      <w:spacing w:after="0" w:line="240" w:lineRule="auto"/>
    </w:pPr>
    <w:rPr>
      <w:rFonts w:ascii="Segoe UI" w:hAnsi="Segoe UI" w:cs="Segoe UI"/>
      <w:color w:val="FFFFFF" w:themeColor="background1"/>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2"/>
      </w:numPr>
      <w:ind w:left="206" w:hanging="206"/>
    </w:pPr>
  </w:style>
  <w:style w:type="paragraph" w:customStyle="1" w:styleId="TBLNumberedList">
    <w:name w:val="TBL Numbered List"/>
    <w:basedOn w:val="TBLText"/>
    <w:uiPriority w:val="10"/>
    <w:qFormat/>
    <w:rsid w:val="00E05FA4"/>
    <w:pPr>
      <w:numPr>
        <w:numId w:val="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unhideWhenUsed/>
    <w:qFormat/>
    <w:rsid w:val="005917FD"/>
    <w:pPr>
      <w:ind w:left="720"/>
      <w:contextualSpacing/>
    </w:pPr>
  </w:style>
  <w:style w:type="paragraph" w:customStyle="1" w:styleId="BulletedList-Level1">
    <w:name w:val="Bulleted List - Level 1"/>
    <w:basedOn w:val="ListParagraph"/>
    <w:uiPriority w:val="1"/>
    <w:qFormat/>
    <w:rsid w:val="00BD171D"/>
    <w:pPr>
      <w:numPr>
        <w:numId w:val="4"/>
      </w:numPr>
      <w:ind w:left="568" w:hanging="284"/>
    </w:pPr>
  </w:style>
  <w:style w:type="paragraph" w:customStyle="1" w:styleId="BulletedList-Level2">
    <w:name w:val="Bulleted List - Level 2"/>
    <w:basedOn w:val="BulletedList-Level1"/>
    <w:uiPriority w:val="1"/>
    <w:qFormat/>
    <w:rsid w:val="00BD171D"/>
    <w:pPr>
      <w:numPr>
        <w:numId w:val="9"/>
      </w:numPr>
    </w:pPr>
  </w:style>
  <w:style w:type="paragraph" w:customStyle="1" w:styleId="BulletedList-Level3">
    <w:name w:val="Bulleted List - Level 3"/>
    <w:basedOn w:val="ListParagraph"/>
    <w:uiPriority w:val="1"/>
    <w:qFormat/>
    <w:rsid w:val="00BD171D"/>
    <w:pPr>
      <w:numPr>
        <w:numId w:val="10"/>
      </w:numPr>
      <w:ind w:left="1135" w:hanging="284"/>
    </w:pPr>
  </w:style>
  <w:style w:type="paragraph" w:customStyle="1" w:styleId="NumberedList-Level1">
    <w:name w:val="Numbered List - Level 1"/>
    <w:basedOn w:val="ListParagraph"/>
    <w:uiPriority w:val="1"/>
    <w:qFormat/>
    <w:rsid w:val="00BD171D"/>
    <w:pPr>
      <w:numPr>
        <w:numId w:val="5"/>
      </w:numPr>
      <w:ind w:left="568" w:hanging="284"/>
    </w:pPr>
  </w:style>
  <w:style w:type="paragraph" w:customStyle="1" w:styleId="NumberedList-level2">
    <w:name w:val="Numbered List - level 2"/>
    <w:basedOn w:val="ListParagraph"/>
    <w:uiPriority w:val="1"/>
    <w:qFormat/>
    <w:rsid w:val="00BD171D"/>
    <w:pPr>
      <w:numPr>
        <w:ilvl w:val="1"/>
        <w:numId w:val="5"/>
      </w:numPr>
    </w:pPr>
  </w:style>
  <w:style w:type="paragraph" w:customStyle="1" w:styleId="NumberedList-Level3">
    <w:name w:val="Numbered List - Level 3"/>
    <w:basedOn w:val="ListParagraph"/>
    <w:uiPriority w:val="1"/>
    <w:qFormat/>
    <w:rsid w:val="00BD171D"/>
    <w:pPr>
      <w:numPr>
        <w:ilvl w:val="2"/>
        <w:numId w:val="5"/>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7"/>
      </w:numPr>
      <w:ind w:left="584" w:hanging="357"/>
    </w:pPr>
  </w:style>
  <w:style w:type="paragraph" w:customStyle="1" w:styleId="BoxDark-NumberedList">
    <w:name w:val="Box Dark - Numbered List"/>
    <w:basedOn w:val="BOXNumberedList"/>
    <w:uiPriority w:val="8"/>
    <w:rsid w:val="00FE2C7F"/>
    <w:pPr>
      <w:numPr>
        <w:numId w:val="8"/>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paragraph" w:customStyle="1" w:styleId="EmphasisPanelBullet">
    <w:name w:val="Emphasis Panel Bullet"/>
    <w:uiPriority w:val="11"/>
    <w:qFormat/>
    <w:rsid w:val="0014151F"/>
    <w:pPr>
      <w:keepLines/>
      <w:numPr>
        <w:numId w:val="12"/>
      </w:numPr>
      <w:pBdr>
        <w:top w:val="single" w:sz="4" w:space="8" w:color="FFFFFF" w:themeColor="background2"/>
        <w:left w:val="single" w:sz="4" w:space="8" w:color="FFFFFF" w:themeColor="background2"/>
        <w:bottom w:val="single" w:sz="4" w:space="8" w:color="FFFFFF" w:themeColor="background2"/>
        <w:right w:val="single" w:sz="4" w:space="8" w:color="FFFFFF" w:themeColor="background2"/>
      </w:pBdr>
      <w:shd w:val="clear" w:color="auto" w:fill="FFFFFF" w:themeFill="background2"/>
      <w:spacing w:before="120" w:after="120" w:line="264" w:lineRule="auto"/>
      <w:ind w:right="215"/>
    </w:pPr>
    <w:rPr>
      <w:rFonts w:eastAsia="Times New Roman" w:cstheme="minorHAnsi"/>
      <w:color w:val="314A63" w:themeColor="text1" w:themeTint="D9"/>
      <w:sz w:val="20"/>
      <w:szCs w:val="22"/>
      <w:lang w:val="en-US"/>
    </w:rPr>
  </w:style>
  <w:style w:type="paragraph" w:customStyle="1" w:styleId="TableNumbering">
    <w:name w:val="Table Numbering"/>
    <w:uiPriority w:val="11"/>
    <w:qFormat/>
    <w:rsid w:val="002771EC"/>
    <w:pPr>
      <w:numPr>
        <w:numId w:val="14"/>
      </w:numPr>
      <w:spacing w:before="40" w:after="40" w:line="264" w:lineRule="auto"/>
    </w:pPr>
    <w:rPr>
      <w:rFonts w:eastAsiaTheme="minorHAnsi"/>
      <w:color w:val="1C2B39" w:themeColor="text1"/>
      <w:sz w:val="18"/>
      <w:szCs w:val="20"/>
    </w:rPr>
  </w:style>
  <w:style w:type="character" w:styleId="FollowedHyperlink">
    <w:name w:val="FollowedHyperlink"/>
    <w:basedOn w:val="DefaultParagraphFont"/>
    <w:uiPriority w:val="99"/>
    <w:semiHidden/>
    <w:unhideWhenUsed/>
    <w:rsid w:val="007E6917"/>
    <w:rPr>
      <w:color w:val="DE761C" w:themeColor="followedHyperlink"/>
      <w:u w:val="single"/>
    </w:rPr>
  </w:style>
  <w:style w:type="paragraph" w:styleId="ListBullet">
    <w:name w:val="List Bullet"/>
    <w:basedOn w:val="Normal"/>
    <w:uiPriority w:val="99"/>
    <w:unhideWhenUsed/>
    <w:rsid w:val="00A45279"/>
    <w:pPr>
      <w:numPr>
        <w:numId w:val="20"/>
      </w:numPr>
      <w:contextualSpacing/>
    </w:pPr>
  </w:style>
  <w:style w:type="paragraph" w:styleId="Revision">
    <w:name w:val="Revision"/>
    <w:hidden/>
    <w:uiPriority w:val="99"/>
    <w:semiHidden/>
    <w:rsid w:val="00E455C1"/>
    <w:pPr>
      <w:spacing w:after="0" w:line="240" w:lineRule="auto"/>
    </w:pPr>
    <w:rPr>
      <w:sz w:val="22"/>
    </w:rPr>
  </w:style>
  <w:style w:type="paragraph" w:customStyle="1" w:styleId="CABNETParagraph">
    <w:name w:val="CABNET Paragraph."/>
    <w:basedOn w:val="Normal"/>
    <w:link w:val="CABNETParagraphChar"/>
    <w:uiPriority w:val="98"/>
    <w:qFormat/>
    <w:rsid w:val="00D34868"/>
    <w:pPr>
      <w:spacing w:before="120" w:after="120" w:line="240" w:lineRule="auto"/>
    </w:pPr>
    <w:rPr>
      <w:rFonts w:ascii="Arial" w:eastAsiaTheme="minorHAnsi" w:hAnsi="Arial" w:cstheme="minorHAnsi"/>
      <w:szCs w:val="22"/>
    </w:rPr>
  </w:style>
  <w:style w:type="character" w:customStyle="1" w:styleId="CABNETParagraphChar">
    <w:name w:val="CABNET Paragraph. Char"/>
    <w:basedOn w:val="DefaultParagraphFont"/>
    <w:link w:val="CABNETParagraph"/>
    <w:uiPriority w:val="98"/>
    <w:rsid w:val="00D34868"/>
    <w:rPr>
      <w:rFonts w:ascii="Arial" w:eastAsiaTheme="minorHAnsi" w:hAnsi="Arial" w:cstheme="minorHAnsi"/>
      <w:sz w:val="22"/>
      <w:szCs w:val="22"/>
    </w:rPr>
  </w:style>
  <w:style w:type="character" w:customStyle="1" w:styleId="UnresolvedMention">
    <w:name w:val="Unresolved Mention"/>
    <w:basedOn w:val="DefaultParagraphFont"/>
    <w:uiPriority w:val="99"/>
    <w:semiHidden/>
    <w:unhideWhenUsed/>
    <w:rsid w:val="00A65CAA"/>
    <w:rPr>
      <w:color w:val="605E5C"/>
      <w:shd w:val="clear" w:color="auto" w:fill="E1DFDD"/>
    </w:rPr>
  </w:style>
  <w:style w:type="paragraph" w:styleId="FootnoteText">
    <w:name w:val="footnote text"/>
    <w:basedOn w:val="Normal"/>
    <w:link w:val="FootnoteTextChar"/>
    <w:uiPriority w:val="99"/>
    <w:semiHidden/>
    <w:unhideWhenUsed/>
    <w:rsid w:val="00B40D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0DC0"/>
    <w:rPr>
      <w:sz w:val="20"/>
      <w:szCs w:val="20"/>
    </w:rPr>
  </w:style>
  <w:style w:type="character" w:styleId="FootnoteReference">
    <w:name w:val="footnote reference"/>
    <w:basedOn w:val="DefaultParagraphFont"/>
    <w:uiPriority w:val="99"/>
    <w:semiHidden/>
    <w:unhideWhenUsed/>
    <w:rsid w:val="00B40DC0"/>
    <w:rPr>
      <w:vertAlign w:val="superscript"/>
    </w:rPr>
  </w:style>
  <w:style w:type="character" w:styleId="CommentReference">
    <w:name w:val="annotation reference"/>
    <w:basedOn w:val="DefaultParagraphFont"/>
    <w:uiPriority w:val="99"/>
    <w:semiHidden/>
    <w:unhideWhenUsed/>
    <w:rsid w:val="00A06FBE"/>
    <w:rPr>
      <w:sz w:val="16"/>
      <w:szCs w:val="16"/>
    </w:rPr>
  </w:style>
  <w:style w:type="paragraph" w:styleId="CommentText">
    <w:name w:val="annotation text"/>
    <w:basedOn w:val="Normal"/>
    <w:link w:val="CommentTextChar"/>
    <w:uiPriority w:val="99"/>
    <w:unhideWhenUsed/>
    <w:rsid w:val="00A06FBE"/>
    <w:pPr>
      <w:spacing w:line="240" w:lineRule="auto"/>
    </w:pPr>
    <w:rPr>
      <w:sz w:val="20"/>
      <w:szCs w:val="20"/>
    </w:rPr>
  </w:style>
  <w:style w:type="character" w:customStyle="1" w:styleId="CommentTextChar">
    <w:name w:val="Comment Text Char"/>
    <w:basedOn w:val="DefaultParagraphFont"/>
    <w:link w:val="CommentText"/>
    <w:uiPriority w:val="99"/>
    <w:rsid w:val="00A06FBE"/>
    <w:rPr>
      <w:sz w:val="20"/>
      <w:szCs w:val="20"/>
    </w:rPr>
  </w:style>
  <w:style w:type="paragraph" w:styleId="CommentSubject">
    <w:name w:val="annotation subject"/>
    <w:basedOn w:val="CommentText"/>
    <w:next w:val="CommentText"/>
    <w:link w:val="CommentSubjectChar"/>
    <w:uiPriority w:val="99"/>
    <w:semiHidden/>
    <w:unhideWhenUsed/>
    <w:rsid w:val="00A06FBE"/>
    <w:rPr>
      <w:b/>
      <w:bCs/>
    </w:rPr>
  </w:style>
  <w:style w:type="character" w:customStyle="1" w:styleId="CommentSubjectChar">
    <w:name w:val="Comment Subject Char"/>
    <w:basedOn w:val="CommentTextChar"/>
    <w:link w:val="CommentSubject"/>
    <w:uiPriority w:val="99"/>
    <w:semiHidden/>
    <w:rsid w:val="00A06FBE"/>
    <w:rPr>
      <w:b/>
      <w:bCs/>
      <w:sz w:val="20"/>
      <w:szCs w:val="20"/>
    </w:rPr>
  </w:style>
  <w:style w:type="paragraph" w:styleId="EndnoteText">
    <w:name w:val="endnote text"/>
    <w:basedOn w:val="Normal"/>
    <w:link w:val="EndnoteTextChar"/>
    <w:uiPriority w:val="99"/>
    <w:semiHidden/>
    <w:unhideWhenUsed/>
    <w:rsid w:val="00FF05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057B"/>
    <w:rPr>
      <w:sz w:val="20"/>
      <w:szCs w:val="20"/>
    </w:rPr>
  </w:style>
  <w:style w:type="character" w:styleId="EndnoteReference">
    <w:name w:val="endnote reference"/>
    <w:basedOn w:val="DefaultParagraphFont"/>
    <w:uiPriority w:val="99"/>
    <w:semiHidden/>
    <w:unhideWhenUsed/>
    <w:rsid w:val="00FF057B"/>
    <w:rPr>
      <w:vertAlign w:val="superscript"/>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E211CB"/>
    <w:rPr>
      <w:sz w:val="22"/>
    </w:rPr>
  </w:style>
  <w:style w:type="character" w:customStyle="1" w:styleId="Mention">
    <w:name w:val="Mention"/>
    <w:basedOn w:val="DefaultParagraphFont"/>
    <w:uiPriority w:val="99"/>
    <w:unhideWhenUsed/>
    <w:rsid w:val="00C54B71"/>
    <w:rPr>
      <w:color w:val="2B579A"/>
      <w:shd w:val="clear" w:color="auto" w:fill="E1DFDD"/>
    </w:rPr>
  </w:style>
  <w:style w:type="paragraph" w:styleId="NormalWeb">
    <w:name w:val="Normal (Web)"/>
    <w:basedOn w:val="Normal"/>
    <w:uiPriority w:val="99"/>
    <w:semiHidden/>
    <w:unhideWhenUsed/>
    <w:rsid w:val="00494D8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01370">
      <w:bodyDiv w:val="1"/>
      <w:marLeft w:val="0"/>
      <w:marRight w:val="0"/>
      <w:marTop w:val="0"/>
      <w:marBottom w:val="0"/>
      <w:divBdr>
        <w:top w:val="none" w:sz="0" w:space="0" w:color="auto"/>
        <w:left w:val="none" w:sz="0" w:space="0" w:color="auto"/>
        <w:bottom w:val="none" w:sz="0" w:space="0" w:color="auto"/>
        <w:right w:val="none" w:sz="0" w:space="0" w:color="auto"/>
      </w:divBdr>
    </w:div>
    <w:div w:id="237134127">
      <w:bodyDiv w:val="1"/>
      <w:marLeft w:val="0"/>
      <w:marRight w:val="0"/>
      <w:marTop w:val="0"/>
      <w:marBottom w:val="0"/>
      <w:divBdr>
        <w:top w:val="none" w:sz="0" w:space="0" w:color="auto"/>
        <w:left w:val="none" w:sz="0" w:space="0" w:color="auto"/>
        <w:bottom w:val="none" w:sz="0" w:space="0" w:color="auto"/>
        <w:right w:val="none" w:sz="0" w:space="0" w:color="auto"/>
      </w:divBdr>
    </w:div>
    <w:div w:id="267784548">
      <w:bodyDiv w:val="1"/>
      <w:marLeft w:val="0"/>
      <w:marRight w:val="0"/>
      <w:marTop w:val="0"/>
      <w:marBottom w:val="0"/>
      <w:divBdr>
        <w:top w:val="none" w:sz="0" w:space="0" w:color="auto"/>
        <w:left w:val="none" w:sz="0" w:space="0" w:color="auto"/>
        <w:bottom w:val="none" w:sz="0" w:space="0" w:color="auto"/>
        <w:right w:val="none" w:sz="0" w:space="0" w:color="auto"/>
      </w:divBdr>
    </w:div>
    <w:div w:id="410273429">
      <w:bodyDiv w:val="1"/>
      <w:marLeft w:val="0"/>
      <w:marRight w:val="0"/>
      <w:marTop w:val="0"/>
      <w:marBottom w:val="0"/>
      <w:divBdr>
        <w:top w:val="none" w:sz="0" w:space="0" w:color="auto"/>
        <w:left w:val="none" w:sz="0" w:space="0" w:color="auto"/>
        <w:bottom w:val="none" w:sz="0" w:space="0" w:color="auto"/>
        <w:right w:val="none" w:sz="0" w:space="0" w:color="auto"/>
      </w:divBdr>
    </w:div>
    <w:div w:id="429474245">
      <w:bodyDiv w:val="1"/>
      <w:marLeft w:val="0"/>
      <w:marRight w:val="0"/>
      <w:marTop w:val="0"/>
      <w:marBottom w:val="0"/>
      <w:divBdr>
        <w:top w:val="none" w:sz="0" w:space="0" w:color="auto"/>
        <w:left w:val="none" w:sz="0" w:space="0" w:color="auto"/>
        <w:bottom w:val="none" w:sz="0" w:space="0" w:color="auto"/>
        <w:right w:val="none" w:sz="0" w:space="0" w:color="auto"/>
      </w:divBdr>
    </w:div>
    <w:div w:id="463424488">
      <w:bodyDiv w:val="1"/>
      <w:marLeft w:val="0"/>
      <w:marRight w:val="0"/>
      <w:marTop w:val="0"/>
      <w:marBottom w:val="0"/>
      <w:divBdr>
        <w:top w:val="none" w:sz="0" w:space="0" w:color="auto"/>
        <w:left w:val="none" w:sz="0" w:space="0" w:color="auto"/>
        <w:bottom w:val="none" w:sz="0" w:space="0" w:color="auto"/>
        <w:right w:val="none" w:sz="0" w:space="0" w:color="auto"/>
      </w:divBdr>
    </w:div>
    <w:div w:id="567960408">
      <w:bodyDiv w:val="1"/>
      <w:marLeft w:val="0"/>
      <w:marRight w:val="0"/>
      <w:marTop w:val="0"/>
      <w:marBottom w:val="0"/>
      <w:divBdr>
        <w:top w:val="none" w:sz="0" w:space="0" w:color="auto"/>
        <w:left w:val="none" w:sz="0" w:space="0" w:color="auto"/>
        <w:bottom w:val="none" w:sz="0" w:space="0" w:color="auto"/>
        <w:right w:val="none" w:sz="0" w:space="0" w:color="auto"/>
      </w:divBdr>
    </w:div>
    <w:div w:id="606888961">
      <w:bodyDiv w:val="1"/>
      <w:marLeft w:val="0"/>
      <w:marRight w:val="0"/>
      <w:marTop w:val="0"/>
      <w:marBottom w:val="0"/>
      <w:divBdr>
        <w:top w:val="none" w:sz="0" w:space="0" w:color="auto"/>
        <w:left w:val="none" w:sz="0" w:space="0" w:color="auto"/>
        <w:bottom w:val="none" w:sz="0" w:space="0" w:color="auto"/>
        <w:right w:val="none" w:sz="0" w:space="0" w:color="auto"/>
      </w:divBdr>
    </w:div>
    <w:div w:id="607010911">
      <w:bodyDiv w:val="1"/>
      <w:marLeft w:val="0"/>
      <w:marRight w:val="0"/>
      <w:marTop w:val="0"/>
      <w:marBottom w:val="0"/>
      <w:divBdr>
        <w:top w:val="none" w:sz="0" w:space="0" w:color="auto"/>
        <w:left w:val="none" w:sz="0" w:space="0" w:color="auto"/>
        <w:bottom w:val="none" w:sz="0" w:space="0" w:color="auto"/>
        <w:right w:val="none" w:sz="0" w:space="0" w:color="auto"/>
      </w:divBdr>
    </w:div>
    <w:div w:id="829758600">
      <w:bodyDiv w:val="1"/>
      <w:marLeft w:val="0"/>
      <w:marRight w:val="0"/>
      <w:marTop w:val="0"/>
      <w:marBottom w:val="0"/>
      <w:divBdr>
        <w:top w:val="none" w:sz="0" w:space="0" w:color="auto"/>
        <w:left w:val="none" w:sz="0" w:space="0" w:color="auto"/>
        <w:bottom w:val="none" w:sz="0" w:space="0" w:color="auto"/>
        <w:right w:val="none" w:sz="0" w:space="0" w:color="auto"/>
      </w:divBdr>
    </w:div>
    <w:div w:id="1027147245">
      <w:bodyDiv w:val="1"/>
      <w:marLeft w:val="0"/>
      <w:marRight w:val="0"/>
      <w:marTop w:val="0"/>
      <w:marBottom w:val="0"/>
      <w:divBdr>
        <w:top w:val="none" w:sz="0" w:space="0" w:color="auto"/>
        <w:left w:val="none" w:sz="0" w:space="0" w:color="auto"/>
        <w:bottom w:val="none" w:sz="0" w:space="0" w:color="auto"/>
        <w:right w:val="none" w:sz="0" w:space="0" w:color="auto"/>
      </w:divBdr>
    </w:div>
    <w:div w:id="1128745371">
      <w:bodyDiv w:val="1"/>
      <w:marLeft w:val="0"/>
      <w:marRight w:val="0"/>
      <w:marTop w:val="0"/>
      <w:marBottom w:val="0"/>
      <w:divBdr>
        <w:top w:val="none" w:sz="0" w:space="0" w:color="auto"/>
        <w:left w:val="none" w:sz="0" w:space="0" w:color="auto"/>
        <w:bottom w:val="none" w:sz="0" w:space="0" w:color="auto"/>
        <w:right w:val="none" w:sz="0" w:space="0" w:color="auto"/>
      </w:divBdr>
    </w:div>
    <w:div w:id="1270815242">
      <w:bodyDiv w:val="1"/>
      <w:marLeft w:val="0"/>
      <w:marRight w:val="0"/>
      <w:marTop w:val="0"/>
      <w:marBottom w:val="0"/>
      <w:divBdr>
        <w:top w:val="none" w:sz="0" w:space="0" w:color="auto"/>
        <w:left w:val="none" w:sz="0" w:space="0" w:color="auto"/>
        <w:bottom w:val="none" w:sz="0" w:space="0" w:color="auto"/>
        <w:right w:val="none" w:sz="0" w:space="0" w:color="auto"/>
      </w:divBdr>
    </w:div>
    <w:div w:id="1288783306">
      <w:bodyDiv w:val="1"/>
      <w:marLeft w:val="0"/>
      <w:marRight w:val="0"/>
      <w:marTop w:val="0"/>
      <w:marBottom w:val="0"/>
      <w:divBdr>
        <w:top w:val="none" w:sz="0" w:space="0" w:color="auto"/>
        <w:left w:val="none" w:sz="0" w:space="0" w:color="auto"/>
        <w:bottom w:val="none" w:sz="0" w:space="0" w:color="auto"/>
        <w:right w:val="none" w:sz="0" w:space="0" w:color="auto"/>
      </w:divBdr>
    </w:div>
    <w:div w:id="1327779397">
      <w:bodyDiv w:val="1"/>
      <w:marLeft w:val="0"/>
      <w:marRight w:val="0"/>
      <w:marTop w:val="0"/>
      <w:marBottom w:val="0"/>
      <w:divBdr>
        <w:top w:val="none" w:sz="0" w:space="0" w:color="auto"/>
        <w:left w:val="none" w:sz="0" w:space="0" w:color="auto"/>
        <w:bottom w:val="none" w:sz="0" w:space="0" w:color="auto"/>
        <w:right w:val="none" w:sz="0" w:space="0" w:color="auto"/>
      </w:divBdr>
    </w:div>
    <w:div w:id="1363438954">
      <w:bodyDiv w:val="1"/>
      <w:marLeft w:val="0"/>
      <w:marRight w:val="0"/>
      <w:marTop w:val="0"/>
      <w:marBottom w:val="0"/>
      <w:divBdr>
        <w:top w:val="none" w:sz="0" w:space="0" w:color="auto"/>
        <w:left w:val="none" w:sz="0" w:space="0" w:color="auto"/>
        <w:bottom w:val="none" w:sz="0" w:space="0" w:color="auto"/>
        <w:right w:val="none" w:sz="0" w:space="0" w:color="auto"/>
      </w:divBdr>
    </w:div>
    <w:div w:id="1581212398">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788771064">
      <w:bodyDiv w:val="1"/>
      <w:marLeft w:val="0"/>
      <w:marRight w:val="0"/>
      <w:marTop w:val="0"/>
      <w:marBottom w:val="0"/>
      <w:divBdr>
        <w:top w:val="none" w:sz="0" w:space="0" w:color="auto"/>
        <w:left w:val="none" w:sz="0" w:space="0" w:color="auto"/>
        <w:bottom w:val="none" w:sz="0" w:space="0" w:color="auto"/>
        <w:right w:val="none" w:sz="0" w:space="0" w:color="auto"/>
      </w:divBdr>
    </w:div>
    <w:div w:id="1827472593">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208767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ba.gov.au/statistics/tables/" TargetMode="External"/><Relationship Id="rId2" Type="http://schemas.openxmlformats.org/officeDocument/2006/relationships/hyperlink" Target="https://www.marketindex.com.au/statistics" TargetMode="External"/><Relationship Id="rId1" Type="http://schemas.openxmlformats.org/officeDocument/2006/relationships/hyperlink" Target="https://ministers.dss.gov.au/media-releases/8421" TargetMode="External"/><Relationship Id="rId5" Type="http://schemas.openxmlformats.org/officeDocument/2006/relationships/hyperlink" Target="https://www.rba.gov.au/statistics/tables/" TargetMode="External"/><Relationship Id="rId4" Type="http://schemas.openxmlformats.org/officeDocument/2006/relationships/hyperlink" Target="https://www.marketindex.com.au/statistic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7878</Words>
  <Characters>44906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52679</CharactersWithSpaces>
  <SharedDoc>false</SharedDoc>
  <HLinks>
    <vt:vector size="30" baseType="variant">
      <vt:variant>
        <vt:i4>851990</vt:i4>
      </vt:variant>
      <vt:variant>
        <vt:i4>12</vt:i4>
      </vt:variant>
      <vt:variant>
        <vt:i4>0</vt:i4>
      </vt:variant>
      <vt:variant>
        <vt:i4>5</vt:i4>
      </vt:variant>
      <vt:variant>
        <vt:lpwstr>https://www.rba.gov.au/statistics/tables/</vt:lpwstr>
      </vt:variant>
      <vt:variant>
        <vt:lpwstr/>
      </vt:variant>
      <vt:variant>
        <vt:i4>4915221</vt:i4>
      </vt:variant>
      <vt:variant>
        <vt:i4>9</vt:i4>
      </vt:variant>
      <vt:variant>
        <vt:i4>0</vt:i4>
      </vt:variant>
      <vt:variant>
        <vt:i4>5</vt:i4>
      </vt:variant>
      <vt:variant>
        <vt:lpwstr>https://www.marketindex.com.au/statistics</vt:lpwstr>
      </vt:variant>
      <vt:variant>
        <vt:lpwstr/>
      </vt:variant>
      <vt:variant>
        <vt:i4>851990</vt:i4>
      </vt:variant>
      <vt:variant>
        <vt:i4>6</vt:i4>
      </vt:variant>
      <vt:variant>
        <vt:i4>0</vt:i4>
      </vt:variant>
      <vt:variant>
        <vt:i4>5</vt:i4>
      </vt:variant>
      <vt:variant>
        <vt:lpwstr>https://www.rba.gov.au/statistics/tables/</vt:lpwstr>
      </vt:variant>
      <vt:variant>
        <vt:lpwstr/>
      </vt:variant>
      <vt:variant>
        <vt:i4>4915221</vt:i4>
      </vt:variant>
      <vt:variant>
        <vt:i4>3</vt:i4>
      </vt:variant>
      <vt:variant>
        <vt:i4>0</vt:i4>
      </vt:variant>
      <vt:variant>
        <vt:i4>5</vt:i4>
      </vt:variant>
      <vt:variant>
        <vt:lpwstr>https://www.marketindex.com.au/statistics</vt:lpwstr>
      </vt:variant>
      <vt:variant>
        <vt:lpwstr/>
      </vt:variant>
      <vt:variant>
        <vt:i4>524357</vt:i4>
      </vt:variant>
      <vt:variant>
        <vt:i4>0</vt:i4>
      </vt:variant>
      <vt:variant>
        <vt:i4>0</vt:i4>
      </vt:variant>
      <vt:variant>
        <vt:i4>5</vt:i4>
      </vt:variant>
      <vt:variant>
        <vt:lpwstr>https://ministers.dss.gov.au/media-releases/8421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2025-08-26T00:45:00Z</dcterms:created>
  <dcterms:modified xsi:type="dcterms:W3CDTF">2025-08-26T00:46:00Z</dcterms:modified>
  <cp:category/>
</cp:coreProperties>
</file>