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FC29" w14:textId="22258312" w:rsidR="00A62EF3" w:rsidRPr="00FC5955" w:rsidRDefault="001208FF" w:rsidP="006D71DA">
      <w:pPr>
        <w:pStyle w:val="Title"/>
        <w:spacing w:after="120"/>
        <w:rPr>
          <w:rFonts w:ascii="Calibri" w:hAnsi="Calibri" w:cs="Calibri"/>
          <w:sz w:val="52"/>
        </w:rPr>
      </w:pPr>
      <w:bookmarkStart w:id="0" w:name="_Toc96326909"/>
      <w:r>
        <w:rPr>
          <w:rFonts w:ascii="Calibri" w:hAnsi="Calibri" w:cs="Calibri"/>
          <w:sz w:val="52"/>
        </w:rPr>
        <w:t>Reduction of the Pharmaceutical Benefits Scheme (PBS) General Patient Co-payment to $25</w:t>
      </w:r>
    </w:p>
    <w:p w14:paraId="2818FC2A" w14:textId="0632BBDE" w:rsidR="00A62EF3" w:rsidRPr="008059CB" w:rsidRDefault="00FD3C15" w:rsidP="00A62EF3">
      <w:pPr>
        <w:pStyle w:val="Subtitle"/>
        <w:rPr>
          <w:rFonts w:cs="Calibri Light"/>
        </w:rPr>
      </w:pPr>
      <w:r>
        <w:rPr>
          <w:rFonts w:cs="Calibri Light"/>
        </w:rPr>
        <w:t>Department of Health, Disability and Ageing</w:t>
      </w:r>
    </w:p>
    <w:p w14:paraId="2818FC2B" w14:textId="77777777" w:rsidR="00A62EF3" w:rsidRDefault="00031D45" w:rsidP="00C13310">
      <w:pPr>
        <w:pStyle w:val="BOXHeading2"/>
        <w:ind w:firstLine="493"/>
        <w:rPr>
          <w:noProof/>
        </w:rPr>
      </w:pPr>
      <w:r>
        <w:rPr>
          <w:noProof/>
        </w:rPr>
        <w:pict w14:anchorId="2818F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98.1pt;width:38.65pt;height:38.65pt;z-index:251661312;mso-position-horizontal-relative:margin;mso-position-vertical-relative:margin">
            <v:imagedata r:id="rId8" o:title="Icons28"/>
            <w10:wrap anchorx="margin" anchory="margin"/>
          </v:shape>
        </w:pict>
      </w:r>
      <w:r w:rsidR="00E63FC4">
        <w:rPr>
          <w:noProof/>
        </w:rPr>
        <w:t xml:space="preserve">  </w:t>
      </w:r>
      <w:r w:rsidR="00BE0F4D">
        <w:rPr>
          <w:noProof/>
        </w:rPr>
        <w:t>T</w:t>
      </w:r>
      <w:r w:rsidR="00E13082">
        <w:rPr>
          <w:noProof/>
        </w:rPr>
        <w:t>he</w:t>
      </w:r>
      <w:r w:rsidR="00D13C0A">
        <w:rPr>
          <w:noProof/>
        </w:rPr>
        <w:t xml:space="preserve"> </w:t>
      </w:r>
      <w:r w:rsidR="00E13082">
        <w:rPr>
          <w:noProof/>
        </w:rPr>
        <w:t>policy p</w:t>
      </w:r>
      <w:r w:rsidR="006A2BCA">
        <w:rPr>
          <w:noProof/>
        </w:rPr>
        <w:t>roblem</w:t>
      </w:r>
      <w:bookmarkEnd w:id="0"/>
      <w:r w:rsidR="00BE0F4D">
        <w:rPr>
          <w:noProof/>
        </w:rPr>
        <w:t xml:space="preserve"> and p</w:t>
      </w:r>
      <w:r w:rsidR="00490E25">
        <w:rPr>
          <w:noProof/>
        </w:rPr>
        <w:t>r</w:t>
      </w:r>
      <w:r w:rsidR="00B05108">
        <w:rPr>
          <w:noProof/>
        </w:rPr>
        <w:t>eferred</w:t>
      </w:r>
      <w:r w:rsidR="00BE0F4D">
        <w:rPr>
          <w:noProof/>
        </w:rPr>
        <w:t xml:space="preserve"> </w:t>
      </w:r>
      <w:r w:rsidR="00B05108">
        <w:rPr>
          <w:noProof/>
        </w:rPr>
        <w:t xml:space="preserve">policy </w:t>
      </w:r>
      <w:r w:rsidR="00BE0F4D">
        <w:rPr>
          <w:noProof/>
        </w:rPr>
        <w:t>appro</w:t>
      </w:r>
      <w:r w:rsidR="00E12AB4">
        <w:rPr>
          <w:noProof/>
        </w:rPr>
        <w:t>a</w:t>
      </w:r>
      <w:r w:rsidR="00BE0F4D">
        <w:rPr>
          <w:noProof/>
        </w:rPr>
        <w:t>ch</w:t>
      </w:r>
    </w:p>
    <w:p w14:paraId="2818FC2F" w14:textId="5B50782F" w:rsidR="005E0DC7" w:rsidRPr="00BE0F4D" w:rsidRDefault="001D561F" w:rsidP="00F11873">
      <w:pPr>
        <w:pStyle w:val="BOXText"/>
        <w:pBdr>
          <w:bottom w:val="single" w:sz="48" w:space="0" w:color="F2F2F2" w:themeColor="background1" w:themeShade="F2"/>
        </w:pBdr>
        <w:spacing w:after="0"/>
      </w:pPr>
      <w:r>
        <w:t xml:space="preserve">Cost of living pressures have led to some Australians not taking their prescribed medicines as they cannot afford to buy them. These Australians are more likely to be socioeconomically disadvantaged and have multiple chronic conditions requiring multiple long-term medicines. </w:t>
      </w:r>
      <w:r w:rsidR="00F11873">
        <w:t>Reducing the PBS</w:t>
      </w:r>
      <w:r w:rsidR="006A52C1">
        <w:t xml:space="preserve"> general patient</w:t>
      </w:r>
      <w:r w:rsidR="00F11873">
        <w:t xml:space="preserve"> co-payment will </w:t>
      </w:r>
      <w:r w:rsidR="006A52C1">
        <w:t xml:space="preserve">help </w:t>
      </w:r>
      <w:r w:rsidR="00F11873">
        <w:t xml:space="preserve">Australians to have timely, safe and reliable access to effective high-quality medicines. </w:t>
      </w:r>
    </w:p>
    <w:p w14:paraId="2818FC30" w14:textId="01F27F46" w:rsidR="005505E3" w:rsidRPr="00D859BB" w:rsidRDefault="00031D45" w:rsidP="003C1C2C">
      <w:pPr>
        <w:pStyle w:val="BOXHeading2"/>
        <w:spacing w:before="120"/>
        <w:ind w:firstLine="493"/>
      </w:pPr>
      <w:r>
        <w:rPr>
          <w:noProof/>
        </w:rPr>
        <w:pict w14:anchorId="2818FC55">
          <v:shape id="_x0000_s2052" type="#_x0000_t75" style="position:absolute;left:0;text-align:left;margin-left:0;margin-top:206.55pt;width:38pt;height:38pt;z-index:251659264;mso-position-horizontal-relative:margin;mso-position-vertical-relative:margin;mso-width-relative:page;mso-height-relative:page">
            <v:imagedata r:id="rId9" o:title="Icons16"/>
            <w10:wrap anchorx="margin" anchory="margin"/>
          </v:shape>
        </w:pict>
      </w:r>
      <w:r w:rsidR="00A57585">
        <w:t xml:space="preserve">  </w:t>
      </w:r>
      <w:r w:rsidR="002002ED">
        <w:t>Impact Analysis</w:t>
      </w:r>
    </w:p>
    <w:tbl>
      <w:tblPr>
        <w:tblStyle w:val="Custom11"/>
        <w:tblW w:w="4922" w:type="pct"/>
        <w:tblLook w:val="0420" w:firstRow="1" w:lastRow="0" w:firstColumn="0" w:lastColumn="0" w:noHBand="0" w:noVBand="1"/>
        <w:tblCaption w:val="Table with horizontal lines"/>
        <w:tblDescription w:val="This is an example of alt text."/>
      </w:tblPr>
      <w:tblGrid>
        <w:gridCol w:w="3536"/>
        <w:gridCol w:w="3535"/>
        <w:gridCol w:w="3533"/>
      </w:tblGrid>
      <w:tr w:rsidR="00152412" w:rsidRPr="005505E3" w14:paraId="2818FC32" w14:textId="77777777" w:rsidTr="00944F65">
        <w:trPr>
          <w:cnfStyle w:val="100000000000" w:firstRow="1" w:lastRow="0" w:firstColumn="0" w:lastColumn="0" w:oddVBand="0" w:evenVBand="0" w:oddHBand="0" w:evenHBand="0" w:firstRowFirstColumn="0" w:firstRowLastColumn="0" w:lastRowFirstColumn="0" w:lastRowLastColumn="0"/>
          <w:trHeight w:val="246"/>
        </w:trPr>
        <w:tc>
          <w:tcPr>
            <w:tcW w:w="5000" w:type="pct"/>
            <w:gridSpan w:val="3"/>
            <w:tcBorders>
              <w:top w:val="single" w:sz="2" w:space="0" w:color="FFFFFF" w:themeColor="background1"/>
              <w:bottom w:val="single" w:sz="4" w:space="0" w:color="778E61" w:themeColor="accent2"/>
            </w:tcBorders>
            <w:shd w:val="clear" w:color="auto" w:fill="1C2B39"/>
          </w:tcPr>
          <w:p w14:paraId="2818FC31" w14:textId="77777777" w:rsidR="00152412" w:rsidRPr="00152412" w:rsidRDefault="00BE0F4D" w:rsidP="005505E3">
            <w:pPr>
              <w:spacing w:after="0" w:line="240" w:lineRule="auto"/>
              <w:rPr>
                <w:rFonts w:ascii="Calibri" w:hAnsi="Calibri" w:cs="Calibri"/>
                <w:b w:val="0"/>
                <w:color w:val="FFFFFF" w:themeColor="background1"/>
                <w:sz w:val="24"/>
                <w:szCs w:val="18"/>
              </w:rPr>
            </w:pPr>
            <w:r>
              <w:rPr>
                <w:rFonts w:ascii="Calibri" w:hAnsi="Calibri" w:cs="Calibri"/>
                <w:color w:val="FFFFFF" w:themeColor="background1"/>
                <w:sz w:val="24"/>
                <w:szCs w:val="18"/>
              </w:rPr>
              <w:t>Impacts</w:t>
            </w:r>
          </w:p>
        </w:tc>
      </w:tr>
      <w:tr w:rsidR="0044397A" w:rsidRPr="005505E3" w14:paraId="2818FC3B" w14:textId="77777777" w:rsidTr="00944F65">
        <w:trPr>
          <w:cnfStyle w:val="000000100000" w:firstRow="0" w:lastRow="0" w:firstColumn="0" w:lastColumn="0" w:oddVBand="0" w:evenVBand="0" w:oddHBand="1" w:evenHBand="0" w:firstRowFirstColumn="0" w:firstRowLastColumn="0" w:lastRowFirstColumn="0" w:lastRowLastColumn="0"/>
          <w:trHeight w:val="1591"/>
        </w:trPr>
        <w:tc>
          <w:tcPr>
            <w:tcW w:w="5000" w:type="pct"/>
            <w:gridSpan w:val="3"/>
            <w:tcBorders>
              <w:top w:val="single" w:sz="4" w:space="0" w:color="778E61" w:themeColor="accent2"/>
            </w:tcBorders>
            <w:shd w:val="clear" w:color="auto" w:fill="D8E2EC"/>
          </w:tcPr>
          <w:p w14:paraId="37C7671D" w14:textId="3A7B7E6E" w:rsidR="00223BD3" w:rsidRDefault="00A73C17" w:rsidP="00223BD3">
            <w:pPr>
              <w:spacing w:after="0" w:line="240" w:lineRule="auto"/>
              <w:rPr>
                <w:rFonts w:cs="Calibri Light"/>
                <w:szCs w:val="18"/>
              </w:rPr>
            </w:pPr>
            <w:r w:rsidRPr="00A73C17">
              <w:rPr>
                <w:rFonts w:cs="Calibri Light"/>
                <w:szCs w:val="18"/>
              </w:rPr>
              <w:t>A seven</w:t>
            </w:r>
            <w:r w:rsidR="00944F65" w:rsidRPr="00A73C17">
              <w:rPr>
                <w:rFonts w:cs="Calibri Light"/>
                <w:szCs w:val="18"/>
              </w:rPr>
              <w:t>-point multi-criteria analysis was undertaken to compare the proposed option with the status quo. Key benefits included: reduced cost barriers to essential PBS medicines for general patients, reduced downstream health system costs, improved health and wellbeing of general patients and indirect</w:t>
            </w:r>
            <w:bookmarkStart w:id="1" w:name="_GoBack"/>
            <w:bookmarkEnd w:id="1"/>
            <w:r w:rsidR="00944F65" w:rsidRPr="00A73C17">
              <w:rPr>
                <w:rFonts w:cs="Calibri Light"/>
                <w:szCs w:val="18"/>
              </w:rPr>
              <w:t xml:space="preserve"> benefits to stakeholders. Regulatory impacts were determined in terms of financial savings and costs, with a total save of $1</w:t>
            </w:r>
            <w:r w:rsidR="004D4FDE">
              <w:rPr>
                <w:rFonts w:cs="Calibri Light"/>
                <w:szCs w:val="18"/>
              </w:rPr>
              <w:t>.9 b</w:t>
            </w:r>
            <w:r w:rsidR="00944F65" w:rsidRPr="00A73C17">
              <w:rPr>
                <w:rFonts w:cs="Calibri Light"/>
                <w:szCs w:val="18"/>
              </w:rPr>
              <w:t xml:space="preserve">illion. </w:t>
            </w:r>
          </w:p>
          <w:p w14:paraId="4A39A8B2" w14:textId="77777777" w:rsidR="00223BD3" w:rsidRDefault="00223BD3" w:rsidP="00223BD3">
            <w:pPr>
              <w:spacing w:after="0" w:line="240" w:lineRule="auto"/>
              <w:rPr>
                <w:rFonts w:cs="Calibri Light"/>
                <w:szCs w:val="18"/>
              </w:rPr>
            </w:pPr>
          </w:p>
          <w:tbl>
            <w:tblPr>
              <w:tblStyle w:val="TableGrid"/>
              <w:tblW w:w="0" w:type="auto"/>
              <w:tblLook w:val="04A0" w:firstRow="1" w:lastRow="0" w:firstColumn="1" w:lastColumn="0" w:noHBand="0" w:noVBand="1"/>
            </w:tblPr>
            <w:tblGrid>
              <w:gridCol w:w="3039"/>
              <w:gridCol w:w="1580"/>
              <w:gridCol w:w="1443"/>
              <w:gridCol w:w="2356"/>
              <w:gridCol w:w="1960"/>
            </w:tblGrid>
            <w:tr w:rsidR="00223BD3" w14:paraId="37B15DEA" w14:textId="77777777" w:rsidTr="00223BD3">
              <w:tc>
                <w:tcPr>
                  <w:tcW w:w="3039" w:type="dxa"/>
                </w:tcPr>
                <w:p w14:paraId="0ACFDC63" w14:textId="58C85374" w:rsidR="00223BD3" w:rsidRPr="00223BD3" w:rsidRDefault="00223BD3" w:rsidP="00364885">
                  <w:pPr>
                    <w:spacing w:after="0" w:line="240" w:lineRule="auto"/>
                    <w:jc w:val="center"/>
                    <w:rPr>
                      <w:rFonts w:cs="Calibri Light"/>
                      <w:b/>
                      <w:szCs w:val="18"/>
                    </w:rPr>
                  </w:pPr>
                  <w:r w:rsidRPr="00223BD3">
                    <w:rPr>
                      <w:rFonts w:cs="Calibri Light"/>
                      <w:b/>
                      <w:szCs w:val="18"/>
                    </w:rPr>
                    <w:t>Option</w:t>
                  </w:r>
                </w:p>
              </w:tc>
              <w:tc>
                <w:tcPr>
                  <w:tcW w:w="1580" w:type="dxa"/>
                  <w:vAlign w:val="center"/>
                </w:tcPr>
                <w:p w14:paraId="63467776" w14:textId="29CC1228" w:rsidR="00223BD3" w:rsidRPr="00223BD3" w:rsidRDefault="00223BD3" w:rsidP="00223BD3">
                  <w:pPr>
                    <w:spacing w:after="0" w:line="240" w:lineRule="auto"/>
                    <w:jc w:val="center"/>
                    <w:rPr>
                      <w:rFonts w:cs="Calibri Light"/>
                      <w:b/>
                      <w:szCs w:val="18"/>
                    </w:rPr>
                  </w:pPr>
                  <w:r w:rsidRPr="00223BD3">
                    <w:rPr>
                      <w:rFonts w:cs="Calibri Light"/>
                      <w:b/>
                      <w:szCs w:val="18"/>
                    </w:rPr>
                    <w:t>Individuals</w:t>
                  </w:r>
                </w:p>
              </w:tc>
              <w:tc>
                <w:tcPr>
                  <w:tcW w:w="1443" w:type="dxa"/>
                  <w:vAlign w:val="center"/>
                </w:tcPr>
                <w:p w14:paraId="2161DE3C" w14:textId="7B047005" w:rsidR="00223BD3" w:rsidRPr="00223BD3" w:rsidRDefault="00223BD3" w:rsidP="00223BD3">
                  <w:pPr>
                    <w:spacing w:after="0" w:line="240" w:lineRule="auto"/>
                    <w:jc w:val="center"/>
                    <w:rPr>
                      <w:rFonts w:cs="Calibri Light"/>
                      <w:b/>
                      <w:szCs w:val="18"/>
                    </w:rPr>
                  </w:pPr>
                  <w:r w:rsidRPr="00223BD3">
                    <w:rPr>
                      <w:rFonts w:cs="Calibri Light"/>
                      <w:b/>
                      <w:szCs w:val="18"/>
                    </w:rPr>
                    <w:t>Businesses</w:t>
                  </w:r>
                </w:p>
              </w:tc>
              <w:tc>
                <w:tcPr>
                  <w:tcW w:w="2356" w:type="dxa"/>
                  <w:vAlign w:val="center"/>
                </w:tcPr>
                <w:p w14:paraId="42975AA5" w14:textId="4FF88D3E" w:rsidR="00223BD3" w:rsidRPr="00223BD3" w:rsidRDefault="00223BD3" w:rsidP="00223BD3">
                  <w:pPr>
                    <w:spacing w:after="0" w:line="240" w:lineRule="auto"/>
                    <w:jc w:val="center"/>
                    <w:rPr>
                      <w:rFonts w:cs="Calibri Light"/>
                      <w:b/>
                      <w:szCs w:val="18"/>
                    </w:rPr>
                  </w:pPr>
                  <w:r w:rsidRPr="00223BD3">
                    <w:rPr>
                      <w:rFonts w:cs="Calibri Light"/>
                      <w:b/>
                      <w:szCs w:val="18"/>
                    </w:rPr>
                    <w:t>Community Organisations</w:t>
                  </w:r>
                </w:p>
              </w:tc>
              <w:tc>
                <w:tcPr>
                  <w:tcW w:w="1960" w:type="dxa"/>
                  <w:vAlign w:val="center"/>
                </w:tcPr>
                <w:p w14:paraId="437D4448" w14:textId="3C08191A" w:rsidR="00223BD3" w:rsidRPr="00223BD3" w:rsidRDefault="00223BD3" w:rsidP="00223BD3">
                  <w:pPr>
                    <w:spacing w:after="0" w:line="240" w:lineRule="auto"/>
                    <w:jc w:val="center"/>
                    <w:rPr>
                      <w:rFonts w:cs="Calibri Light"/>
                      <w:b/>
                      <w:szCs w:val="18"/>
                    </w:rPr>
                  </w:pPr>
                  <w:r w:rsidRPr="00223BD3">
                    <w:rPr>
                      <w:rFonts w:cs="Calibri Light"/>
                      <w:b/>
                      <w:szCs w:val="18"/>
                    </w:rPr>
                    <w:t>Total change in cost</w:t>
                  </w:r>
                </w:p>
              </w:tc>
            </w:tr>
            <w:tr w:rsidR="00223BD3" w14:paraId="1A8BDC18" w14:textId="77777777" w:rsidTr="00223BD3">
              <w:tc>
                <w:tcPr>
                  <w:tcW w:w="3039" w:type="dxa"/>
                </w:tcPr>
                <w:p w14:paraId="2A6CB918" w14:textId="1F697CA5" w:rsidR="00223BD3" w:rsidRDefault="00223BD3" w:rsidP="00223BD3">
                  <w:pPr>
                    <w:spacing w:after="0" w:line="240" w:lineRule="auto"/>
                    <w:rPr>
                      <w:rFonts w:cs="Calibri Light"/>
                      <w:szCs w:val="18"/>
                    </w:rPr>
                  </w:pPr>
                  <w:r w:rsidRPr="00223BD3">
                    <w:rPr>
                      <w:rFonts w:cs="Calibri Light"/>
                      <w:b/>
                      <w:szCs w:val="18"/>
                    </w:rPr>
                    <w:t>Option 1</w:t>
                  </w:r>
                  <w:r>
                    <w:rPr>
                      <w:rFonts w:cs="Calibri Light"/>
                      <w:szCs w:val="18"/>
                    </w:rPr>
                    <w:t xml:space="preserve"> – Status Quo</w:t>
                  </w:r>
                </w:p>
              </w:tc>
              <w:tc>
                <w:tcPr>
                  <w:tcW w:w="1580" w:type="dxa"/>
                  <w:vAlign w:val="center"/>
                </w:tcPr>
                <w:p w14:paraId="28059474" w14:textId="67F56F08" w:rsidR="00223BD3" w:rsidRDefault="00223BD3" w:rsidP="00223BD3">
                  <w:pPr>
                    <w:spacing w:after="0" w:line="240" w:lineRule="auto"/>
                    <w:jc w:val="center"/>
                    <w:rPr>
                      <w:rFonts w:cs="Calibri Light"/>
                      <w:szCs w:val="18"/>
                    </w:rPr>
                  </w:pPr>
                  <w:r>
                    <w:rPr>
                      <w:rFonts w:cs="Calibri Light"/>
                      <w:szCs w:val="18"/>
                    </w:rPr>
                    <w:t>$0</w:t>
                  </w:r>
                </w:p>
              </w:tc>
              <w:tc>
                <w:tcPr>
                  <w:tcW w:w="1443" w:type="dxa"/>
                  <w:vAlign w:val="center"/>
                </w:tcPr>
                <w:p w14:paraId="791CEB99" w14:textId="08FAA45A" w:rsidR="00223BD3" w:rsidRDefault="00223BD3" w:rsidP="00223BD3">
                  <w:pPr>
                    <w:spacing w:after="0" w:line="240" w:lineRule="auto"/>
                    <w:jc w:val="center"/>
                    <w:rPr>
                      <w:rFonts w:cs="Calibri Light"/>
                      <w:szCs w:val="18"/>
                    </w:rPr>
                  </w:pPr>
                  <w:r>
                    <w:rPr>
                      <w:rFonts w:cs="Calibri Light"/>
                      <w:szCs w:val="18"/>
                    </w:rPr>
                    <w:t>$0</w:t>
                  </w:r>
                </w:p>
              </w:tc>
              <w:tc>
                <w:tcPr>
                  <w:tcW w:w="2356" w:type="dxa"/>
                  <w:vAlign w:val="center"/>
                </w:tcPr>
                <w:p w14:paraId="65873508" w14:textId="133907A2" w:rsidR="00223BD3" w:rsidRDefault="00223BD3" w:rsidP="00223BD3">
                  <w:pPr>
                    <w:spacing w:after="0" w:line="240" w:lineRule="auto"/>
                    <w:jc w:val="center"/>
                    <w:rPr>
                      <w:rFonts w:cs="Calibri Light"/>
                      <w:szCs w:val="18"/>
                    </w:rPr>
                  </w:pPr>
                  <w:r>
                    <w:rPr>
                      <w:rFonts w:cs="Calibri Light"/>
                      <w:szCs w:val="18"/>
                    </w:rPr>
                    <w:t>$0</w:t>
                  </w:r>
                </w:p>
              </w:tc>
              <w:tc>
                <w:tcPr>
                  <w:tcW w:w="1960" w:type="dxa"/>
                  <w:vAlign w:val="center"/>
                </w:tcPr>
                <w:p w14:paraId="0F0A55D7" w14:textId="292EE723" w:rsidR="00223BD3" w:rsidRDefault="00223BD3" w:rsidP="00223BD3">
                  <w:pPr>
                    <w:spacing w:after="0" w:line="240" w:lineRule="auto"/>
                    <w:jc w:val="center"/>
                    <w:rPr>
                      <w:rFonts w:cs="Calibri Light"/>
                      <w:szCs w:val="18"/>
                    </w:rPr>
                  </w:pPr>
                  <w:r>
                    <w:rPr>
                      <w:rFonts w:cs="Calibri Light"/>
                      <w:szCs w:val="18"/>
                    </w:rPr>
                    <w:t>$0</w:t>
                  </w:r>
                </w:p>
              </w:tc>
            </w:tr>
            <w:tr w:rsidR="00223BD3" w14:paraId="23546F34" w14:textId="77777777" w:rsidTr="00223BD3">
              <w:tc>
                <w:tcPr>
                  <w:tcW w:w="3039" w:type="dxa"/>
                </w:tcPr>
                <w:p w14:paraId="02874709" w14:textId="4693622A" w:rsidR="00223BD3" w:rsidRDefault="00223BD3" w:rsidP="00223BD3">
                  <w:pPr>
                    <w:spacing w:after="0" w:line="240" w:lineRule="auto"/>
                    <w:rPr>
                      <w:rFonts w:cs="Calibri Light"/>
                      <w:szCs w:val="18"/>
                    </w:rPr>
                  </w:pPr>
                  <w:r w:rsidRPr="00223BD3">
                    <w:rPr>
                      <w:rFonts w:cs="Calibri Light"/>
                      <w:b/>
                      <w:szCs w:val="18"/>
                    </w:rPr>
                    <w:t>Option 2</w:t>
                  </w:r>
                  <w:r>
                    <w:rPr>
                      <w:rFonts w:cs="Calibri Light"/>
                      <w:szCs w:val="18"/>
                    </w:rPr>
                    <w:t xml:space="preserve"> – Reduce the general patient co-payment to $25.00</w:t>
                  </w:r>
                </w:p>
              </w:tc>
              <w:tc>
                <w:tcPr>
                  <w:tcW w:w="1580" w:type="dxa"/>
                  <w:vAlign w:val="center"/>
                </w:tcPr>
                <w:p w14:paraId="1ABCCE3B" w14:textId="298028DE" w:rsidR="00223BD3" w:rsidRDefault="00223BD3" w:rsidP="00223BD3">
                  <w:pPr>
                    <w:spacing w:after="0" w:line="240" w:lineRule="auto"/>
                    <w:jc w:val="center"/>
                    <w:rPr>
                      <w:rFonts w:cs="Calibri Light"/>
                      <w:szCs w:val="18"/>
                    </w:rPr>
                  </w:pPr>
                  <w:r>
                    <w:rPr>
                      <w:rFonts w:cs="Calibri Light"/>
                      <w:szCs w:val="18"/>
                    </w:rPr>
                    <w:t>$2,206.0</w:t>
                  </w:r>
                  <w:r w:rsidR="00F4153C">
                    <w:rPr>
                      <w:rFonts w:cs="Calibri Light"/>
                      <w:szCs w:val="18"/>
                    </w:rPr>
                    <w:t xml:space="preserve"> (m)</w:t>
                  </w:r>
                  <w:r>
                    <w:rPr>
                      <w:rFonts w:cs="Calibri Light"/>
                      <w:szCs w:val="18"/>
                    </w:rPr>
                    <w:t>(save)</w:t>
                  </w:r>
                </w:p>
              </w:tc>
              <w:tc>
                <w:tcPr>
                  <w:tcW w:w="1443" w:type="dxa"/>
                  <w:vAlign w:val="center"/>
                </w:tcPr>
                <w:p w14:paraId="58407C7C" w14:textId="3D4D2258" w:rsidR="00223BD3" w:rsidRDefault="00223BD3" w:rsidP="00223BD3">
                  <w:pPr>
                    <w:spacing w:after="0" w:line="240" w:lineRule="auto"/>
                    <w:jc w:val="center"/>
                    <w:rPr>
                      <w:rFonts w:cs="Calibri Light"/>
                      <w:szCs w:val="18"/>
                    </w:rPr>
                  </w:pPr>
                  <w:r>
                    <w:rPr>
                      <w:rFonts w:cs="Calibri Light"/>
                      <w:szCs w:val="18"/>
                    </w:rPr>
                    <w:t>$285.1</w:t>
                  </w:r>
                  <w:r w:rsidR="00F4153C">
                    <w:rPr>
                      <w:rFonts w:cs="Calibri Light"/>
                      <w:szCs w:val="18"/>
                    </w:rPr>
                    <w:t xml:space="preserve"> (m)</w:t>
                  </w:r>
                  <w:r>
                    <w:rPr>
                      <w:rFonts w:cs="Calibri Light"/>
                      <w:szCs w:val="18"/>
                    </w:rPr>
                    <w:t xml:space="preserve"> (cost)</w:t>
                  </w:r>
                </w:p>
              </w:tc>
              <w:tc>
                <w:tcPr>
                  <w:tcW w:w="2356" w:type="dxa"/>
                  <w:vAlign w:val="center"/>
                </w:tcPr>
                <w:p w14:paraId="3CF483BA" w14:textId="6AA93114" w:rsidR="00223BD3" w:rsidRDefault="00223BD3" w:rsidP="00223BD3">
                  <w:pPr>
                    <w:spacing w:after="0" w:line="240" w:lineRule="auto"/>
                    <w:jc w:val="center"/>
                    <w:rPr>
                      <w:rFonts w:cs="Calibri Light"/>
                      <w:szCs w:val="18"/>
                    </w:rPr>
                  </w:pPr>
                  <w:r>
                    <w:rPr>
                      <w:rFonts w:cs="Calibri Light"/>
                      <w:szCs w:val="18"/>
                    </w:rPr>
                    <w:t>$0</w:t>
                  </w:r>
                </w:p>
              </w:tc>
              <w:tc>
                <w:tcPr>
                  <w:tcW w:w="1960" w:type="dxa"/>
                  <w:vAlign w:val="center"/>
                </w:tcPr>
                <w:p w14:paraId="0B6E58E1" w14:textId="452182A6" w:rsidR="00223BD3" w:rsidRDefault="00223BD3" w:rsidP="00223BD3">
                  <w:pPr>
                    <w:spacing w:after="0" w:line="240" w:lineRule="auto"/>
                    <w:jc w:val="center"/>
                    <w:rPr>
                      <w:rFonts w:cs="Calibri Light"/>
                      <w:szCs w:val="18"/>
                    </w:rPr>
                  </w:pPr>
                  <w:r>
                    <w:rPr>
                      <w:rFonts w:cs="Calibri Light"/>
                      <w:szCs w:val="18"/>
                    </w:rPr>
                    <w:t xml:space="preserve">$1,920.9 </w:t>
                  </w:r>
                  <w:r w:rsidR="00F4153C">
                    <w:rPr>
                      <w:rFonts w:cs="Calibri Light"/>
                      <w:szCs w:val="18"/>
                    </w:rPr>
                    <w:t>(m)</w:t>
                  </w:r>
                  <w:r>
                    <w:rPr>
                      <w:rFonts w:cs="Calibri Light"/>
                      <w:szCs w:val="18"/>
                    </w:rPr>
                    <w:t>(save)</w:t>
                  </w:r>
                </w:p>
              </w:tc>
            </w:tr>
          </w:tbl>
          <w:p w14:paraId="2818FC3A" w14:textId="1BD90747" w:rsidR="00223BD3" w:rsidRPr="00A73C17" w:rsidRDefault="00223BD3" w:rsidP="00223BD3">
            <w:pPr>
              <w:spacing w:after="0" w:line="240" w:lineRule="auto"/>
              <w:rPr>
                <w:rFonts w:cs="Calibri Light"/>
                <w:szCs w:val="18"/>
              </w:rPr>
            </w:pPr>
          </w:p>
        </w:tc>
      </w:tr>
      <w:tr w:rsidR="00152412" w:rsidRPr="005505E3" w14:paraId="2818FC3D" w14:textId="77777777" w:rsidTr="00944F65">
        <w:trPr>
          <w:trHeight w:val="234"/>
        </w:trPr>
        <w:tc>
          <w:tcPr>
            <w:tcW w:w="5000" w:type="pct"/>
            <w:gridSpan w:val="3"/>
            <w:tcBorders>
              <w:top w:val="single" w:sz="4" w:space="0" w:color="778E61" w:themeColor="accent2"/>
            </w:tcBorders>
            <w:shd w:val="clear" w:color="auto" w:fill="1C2B39"/>
          </w:tcPr>
          <w:p w14:paraId="2818FC3C" w14:textId="077C495A" w:rsidR="00152412" w:rsidRPr="002B53AF" w:rsidRDefault="00500883" w:rsidP="00DB61AC">
            <w:pPr>
              <w:spacing w:after="0" w:line="240" w:lineRule="auto"/>
              <w:rPr>
                <w:rFonts w:ascii="Calibri" w:hAnsi="Calibri" w:cs="Calibri"/>
                <w:b/>
                <w:sz w:val="24"/>
                <w:szCs w:val="18"/>
              </w:rPr>
            </w:pPr>
            <w:r>
              <w:rPr>
                <w:rFonts w:ascii="Calibri" w:hAnsi="Calibri" w:cs="Calibri"/>
                <w:b/>
                <w:color w:val="FFFFFF" w:themeColor="background1"/>
                <w:sz w:val="24"/>
                <w:szCs w:val="22"/>
              </w:rPr>
              <w:t>Who is impacted</w:t>
            </w:r>
          </w:p>
        </w:tc>
      </w:tr>
      <w:tr w:rsidR="0044397A" w:rsidRPr="005505E3" w14:paraId="2818FC41" w14:textId="77777777" w:rsidTr="00944F65">
        <w:trPr>
          <w:cnfStyle w:val="000000100000" w:firstRow="0" w:lastRow="0" w:firstColumn="0" w:lastColumn="0" w:oddVBand="0" w:evenVBand="0" w:oddHBand="1" w:evenHBand="0" w:firstRowFirstColumn="0" w:firstRowLastColumn="0" w:lastRowFirstColumn="0" w:lastRowLastColumn="0"/>
          <w:trHeight w:val="160"/>
        </w:trPr>
        <w:tc>
          <w:tcPr>
            <w:tcW w:w="1667" w:type="pct"/>
            <w:tcBorders>
              <w:top w:val="single" w:sz="4" w:space="0" w:color="778E61" w:themeColor="accent2"/>
            </w:tcBorders>
            <w:shd w:val="clear" w:color="auto" w:fill="1C2B39"/>
          </w:tcPr>
          <w:p w14:paraId="2818FC3E" w14:textId="77777777" w:rsidR="0044397A" w:rsidRDefault="0044397A" w:rsidP="00DB61AC">
            <w:pPr>
              <w:spacing w:after="0" w:line="240" w:lineRule="auto"/>
              <w:rPr>
                <w:rFonts w:ascii="Calibri" w:hAnsi="Calibri" w:cs="Calibri"/>
                <w:b/>
                <w:color w:val="FFFFFF" w:themeColor="background1"/>
                <w:sz w:val="24"/>
                <w:szCs w:val="22"/>
              </w:rPr>
            </w:pPr>
            <w:r w:rsidRPr="002B53AF">
              <w:rPr>
                <w:rFonts w:ascii="Calibri" w:hAnsi="Calibri" w:cs="Calibri"/>
                <w:b/>
                <w:color w:val="FFFFFF" w:themeColor="background1"/>
                <w:sz w:val="24"/>
                <w:szCs w:val="22"/>
              </w:rPr>
              <w:t>Individuals</w:t>
            </w:r>
          </w:p>
        </w:tc>
        <w:tc>
          <w:tcPr>
            <w:tcW w:w="1667" w:type="pct"/>
            <w:tcBorders>
              <w:top w:val="single" w:sz="4" w:space="0" w:color="778E61" w:themeColor="accent2"/>
            </w:tcBorders>
            <w:shd w:val="clear" w:color="auto" w:fill="1C2B39"/>
          </w:tcPr>
          <w:p w14:paraId="2818FC3F" w14:textId="77777777" w:rsidR="0044397A" w:rsidRDefault="0044397A" w:rsidP="00DB61AC">
            <w:pPr>
              <w:spacing w:after="0" w:line="240" w:lineRule="auto"/>
              <w:rPr>
                <w:rFonts w:ascii="Calibri" w:hAnsi="Calibri" w:cs="Calibri"/>
                <w:b/>
                <w:color w:val="FFFFFF" w:themeColor="background1"/>
                <w:sz w:val="24"/>
                <w:szCs w:val="22"/>
              </w:rPr>
            </w:pPr>
            <w:r w:rsidRPr="002B53AF">
              <w:rPr>
                <w:rFonts w:ascii="Calibri" w:hAnsi="Calibri" w:cs="Calibri"/>
                <w:b/>
                <w:color w:val="FFFFFF" w:themeColor="background1"/>
                <w:sz w:val="24"/>
                <w:szCs w:val="22"/>
              </w:rPr>
              <w:t>Businesses</w:t>
            </w:r>
          </w:p>
        </w:tc>
        <w:tc>
          <w:tcPr>
            <w:tcW w:w="1666" w:type="pct"/>
            <w:tcBorders>
              <w:top w:val="single" w:sz="4" w:space="0" w:color="778E61" w:themeColor="accent2"/>
            </w:tcBorders>
            <w:shd w:val="clear" w:color="auto" w:fill="1C2B39"/>
          </w:tcPr>
          <w:p w14:paraId="2818FC40" w14:textId="77777777" w:rsidR="0044397A" w:rsidRDefault="0044397A" w:rsidP="00DB61AC">
            <w:pPr>
              <w:spacing w:after="0" w:line="240" w:lineRule="auto"/>
              <w:rPr>
                <w:rFonts w:ascii="Calibri" w:hAnsi="Calibri" w:cs="Calibri"/>
                <w:b/>
                <w:color w:val="FFFFFF" w:themeColor="background1"/>
                <w:sz w:val="24"/>
                <w:szCs w:val="22"/>
              </w:rPr>
            </w:pPr>
            <w:r w:rsidRPr="002B53AF">
              <w:rPr>
                <w:rFonts w:ascii="Calibri" w:hAnsi="Calibri" w:cs="Calibri"/>
                <w:b/>
                <w:color w:val="FFFFFF" w:themeColor="background1"/>
                <w:sz w:val="24"/>
                <w:szCs w:val="22"/>
              </w:rPr>
              <w:t>Community organisations</w:t>
            </w:r>
          </w:p>
        </w:tc>
      </w:tr>
      <w:tr w:rsidR="00BC75F1" w:rsidRPr="005505E3" w14:paraId="2818FC4A" w14:textId="77777777" w:rsidTr="00944F65">
        <w:trPr>
          <w:trHeight w:val="1648"/>
        </w:trPr>
        <w:tc>
          <w:tcPr>
            <w:tcW w:w="1667" w:type="pct"/>
            <w:tcBorders>
              <w:top w:val="single" w:sz="2" w:space="0" w:color="FFFFFF" w:themeColor="background1"/>
            </w:tcBorders>
            <w:shd w:val="clear" w:color="auto" w:fill="D8E2EC"/>
          </w:tcPr>
          <w:p w14:paraId="2818FC47" w14:textId="1DE291CA" w:rsidR="008F491B" w:rsidRPr="00A73C17" w:rsidRDefault="00944F65" w:rsidP="00BC75F1">
            <w:pPr>
              <w:spacing w:after="0" w:line="240" w:lineRule="auto"/>
              <w:rPr>
                <w:rFonts w:cs="Calibri Light"/>
                <w:szCs w:val="18"/>
              </w:rPr>
            </w:pPr>
            <w:r w:rsidRPr="00A73C17">
              <w:rPr>
                <w:rFonts w:cs="Calibri Light"/>
                <w:szCs w:val="18"/>
              </w:rPr>
              <w:t xml:space="preserve">Individuals will </w:t>
            </w:r>
            <w:r w:rsidR="00BA3BD5">
              <w:rPr>
                <w:rFonts w:cs="Calibri Light"/>
                <w:szCs w:val="18"/>
              </w:rPr>
              <w:t>pay less for</w:t>
            </w:r>
            <w:r w:rsidR="00A73C17" w:rsidRPr="00A73C17">
              <w:rPr>
                <w:rFonts w:cs="Calibri Light"/>
                <w:szCs w:val="18"/>
              </w:rPr>
              <w:t xml:space="preserve"> PBS</w:t>
            </w:r>
            <w:r w:rsidR="00BA3BD5">
              <w:rPr>
                <w:rFonts w:cs="Calibri Light"/>
                <w:szCs w:val="18"/>
              </w:rPr>
              <w:t>-listed medicines</w:t>
            </w:r>
            <w:r w:rsidR="00A73C17" w:rsidRPr="00A73C17">
              <w:rPr>
                <w:rFonts w:cs="Calibri Light"/>
                <w:szCs w:val="18"/>
              </w:rPr>
              <w:t xml:space="preserve">. They may also continue to benefit from pharmacy discretionary discounting. </w:t>
            </w:r>
            <w:r w:rsidR="007D5BA0">
              <w:rPr>
                <w:rFonts w:cs="Calibri Light"/>
                <w:szCs w:val="18"/>
              </w:rPr>
              <w:t>I</w:t>
            </w:r>
            <w:r w:rsidR="00BA3BD5">
              <w:rPr>
                <w:rFonts w:cs="Calibri Light"/>
                <w:szCs w:val="18"/>
              </w:rPr>
              <w:t>ndividuals will pay less for PBS-listed medicines</w:t>
            </w:r>
            <w:r w:rsidR="007D5BA0">
              <w:rPr>
                <w:rFonts w:cs="Calibri Light"/>
                <w:szCs w:val="18"/>
              </w:rPr>
              <w:t xml:space="preserve"> at each dispense.</w:t>
            </w:r>
            <w:r w:rsidR="00BA3BD5">
              <w:rPr>
                <w:rFonts w:cs="Calibri Light"/>
                <w:szCs w:val="18"/>
              </w:rPr>
              <w:t xml:space="preserve"> </w:t>
            </w:r>
            <w:r w:rsidR="007D5BA0">
              <w:rPr>
                <w:rFonts w:cs="Calibri Light"/>
                <w:szCs w:val="18"/>
              </w:rPr>
              <w:t xml:space="preserve">While this means </w:t>
            </w:r>
            <w:r w:rsidR="00BA3BD5">
              <w:rPr>
                <w:rFonts w:cs="Calibri Light"/>
                <w:szCs w:val="18"/>
              </w:rPr>
              <w:t>f</w:t>
            </w:r>
            <w:r w:rsidR="00A73C17" w:rsidRPr="00A73C17">
              <w:rPr>
                <w:rFonts w:cs="Calibri Light"/>
                <w:szCs w:val="18"/>
              </w:rPr>
              <w:t>ewer patients are</w:t>
            </w:r>
            <w:r w:rsidR="00BA3BD5">
              <w:rPr>
                <w:rFonts w:cs="Calibri Light"/>
                <w:szCs w:val="18"/>
              </w:rPr>
              <w:t xml:space="preserve"> </w:t>
            </w:r>
            <w:r w:rsidR="00A73C17" w:rsidRPr="00A73C17">
              <w:rPr>
                <w:rFonts w:cs="Calibri Light"/>
                <w:szCs w:val="18"/>
              </w:rPr>
              <w:t xml:space="preserve">expected to reach the </w:t>
            </w:r>
            <w:r w:rsidR="006A52C1">
              <w:rPr>
                <w:rFonts w:cs="Calibri Light"/>
                <w:szCs w:val="18"/>
              </w:rPr>
              <w:t xml:space="preserve">general patient </w:t>
            </w:r>
            <w:r w:rsidR="00A73C17" w:rsidRPr="00A73C17">
              <w:rPr>
                <w:rFonts w:cs="Calibri Light"/>
                <w:szCs w:val="18"/>
              </w:rPr>
              <w:t>Safety Net threshold</w:t>
            </w:r>
            <w:r w:rsidR="006A52C1">
              <w:rPr>
                <w:rFonts w:cs="Calibri Light"/>
                <w:szCs w:val="18"/>
              </w:rPr>
              <w:t xml:space="preserve">, which is </w:t>
            </w:r>
            <w:r w:rsidR="00A73C17" w:rsidRPr="00A73C17">
              <w:rPr>
                <w:rFonts w:cs="Calibri Light"/>
                <w:szCs w:val="18"/>
              </w:rPr>
              <w:t>$1</w:t>
            </w:r>
            <w:r w:rsidR="007D5BA0">
              <w:rPr>
                <w:rFonts w:cs="Calibri Light"/>
                <w:szCs w:val="18"/>
              </w:rPr>
              <w:t>,</w:t>
            </w:r>
            <w:r w:rsidR="00A73C17" w:rsidRPr="00A73C17">
              <w:rPr>
                <w:rFonts w:cs="Calibri Light"/>
                <w:szCs w:val="18"/>
              </w:rPr>
              <w:t>694</w:t>
            </w:r>
            <w:r w:rsidR="006A52C1">
              <w:rPr>
                <w:rFonts w:cs="Calibri Light"/>
                <w:szCs w:val="18"/>
              </w:rPr>
              <w:t xml:space="preserve"> in 2025</w:t>
            </w:r>
            <w:r w:rsidR="007D5BA0">
              <w:rPr>
                <w:rFonts w:cs="Calibri Light"/>
                <w:szCs w:val="18"/>
              </w:rPr>
              <w:t>, the co-payment savings will outweigh foregone Safety Net savings.</w:t>
            </w:r>
            <w:r w:rsidRPr="00A73C17">
              <w:rPr>
                <w:rFonts w:cs="Calibri Light"/>
                <w:szCs w:val="18"/>
              </w:rPr>
              <w:t xml:space="preserve"> </w:t>
            </w:r>
          </w:p>
        </w:tc>
        <w:tc>
          <w:tcPr>
            <w:tcW w:w="1667" w:type="pct"/>
            <w:tcBorders>
              <w:top w:val="single" w:sz="2" w:space="0" w:color="FFFFFF" w:themeColor="background1"/>
            </w:tcBorders>
            <w:shd w:val="clear" w:color="auto" w:fill="D8E2EC"/>
          </w:tcPr>
          <w:p w14:paraId="2818FC48" w14:textId="2D3DDFF3" w:rsidR="00BC75F1" w:rsidRPr="00A73C17" w:rsidRDefault="00944F65" w:rsidP="00944F65">
            <w:pPr>
              <w:spacing w:after="0" w:line="240" w:lineRule="auto"/>
              <w:rPr>
                <w:rFonts w:cs="Calibri Light"/>
                <w:b/>
                <w:szCs w:val="18"/>
              </w:rPr>
            </w:pPr>
            <w:r w:rsidRPr="00A73C17">
              <w:rPr>
                <w:rFonts w:cs="Calibri Light"/>
                <w:szCs w:val="18"/>
              </w:rPr>
              <w:t>316 pharmaceutical companies with medicines listed on PBS subject to Deeds of Agreement may pay additional rebate</w:t>
            </w:r>
            <w:r w:rsidR="00BA3BD5">
              <w:rPr>
                <w:rFonts w:cs="Calibri Light"/>
                <w:szCs w:val="18"/>
              </w:rPr>
              <w:t>s</w:t>
            </w:r>
            <w:r w:rsidRPr="00A73C17">
              <w:rPr>
                <w:rFonts w:cs="Calibri Light"/>
                <w:szCs w:val="18"/>
              </w:rPr>
              <w:t xml:space="preserve"> of an estimated $95.5 million over 4 years. Impact on individual companies will vary depending on the specific patient population </w:t>
            </w:r>
            <w:r w:rsidR="00D71A1A">
              <w:rPr>
                <w:rFonts w:cs="Calibri Light"/>
                <w:szCs w:val="18"/>
              </w:rPr>
              <w:t>and</w:t>
            </w:r>
            <w:r w:rsidR="00D71A1A" w:rsidRPr="00A73C17">
              <w:rPr>
                <w:rFonts w:cs="Calibri Light"/>
                <w:szCs w:val="18"/>
              </w:rPr>
              <w:t xml:space="preserve"> </w:t>
            </w:r>
            <w:r w:rsidRPr="00A73C17">
              <w:rPr>
                <w:rFonts w:cs="Calibri Light"/>
                <w:szCs w:val="18"/>
              </w:rPr>
              <w:t xml:space="preserve">medicine. </w:t>
            </w:r>
          </w:p>
        </w:tc>
        <w:tc>
          <w:tcPr>
            <w:tcW w:w="1666" w:type="pct"/>
            <w:tcBorders>
              <w:top w:val="single" w:sz="2" w:space="0" w:color="FFFFFF" w:themeColor="background1"/>
            </w:tcBorders>
            <w:shd w:val="clear" w:color="auto" w:fill="D8E2EC"/>
          </w:tcPr>
          <w:p w14:paraId="2818FC49" w14:textId="5E13C1B3" w:rsidR="00BC75F1" w:rsidRPr="00A73C17" w:rsidRDefault="00944F65" w:rsidP="00BC75F1">
            <w:pPr>
              <w:spacing w:after="0" w:line="240" w:lineRule="auto"/>
              <w:rPr>
                <w:rFonts w:cs="Calibri Light"/>
                <w:b/>
                <w:szCs w:val="18"/>
              </w:rPr>
            </w:pPr>
            <w:r w:rsidRPr="00A73C17">
              <w:rPr>
                <w:rFonts w:cs="Calibri Light"/>
                <w:szCs w:val="18"/>
              </w:rPr>
              <w:t xml:space="preserve">There will be no impacts on community organisations. </w:t>
            </w:r>
          </w:p>
        </w:tc>
      </w:tr>
    </w:tbl>
    <w:p w14:paraId="2818FC4B" w14:textId="4F0947B1" w:rsidR="00E2196D" w:rsidRPr="00E2196D" w:rsidRDefault="007D5BA0" w:rsidP="00E2196D">
      <w:pPr>
        <w:pStyle w:val="BOXHeading2"/>
        <w:ind w:firstLine="493"/>
        <w:rPr>
          <w:noProof/>
        </w:rPr>
      </w:pPr>
      <w:r>
        <w:rPr>
          <w:noProof/>
          <w:lang w:eastAsia="en-AU"/>
        </w:rPr>
        <w:drawing>
          <wp:anchor distT="0" distB="0" distL="114300" distR="114300" simplePos="0" relativeHeight="251551232" behindDoc="0" locked="0" layoutInCell="1" allowOverlap="1" wp14:anchorId="2818FC56" wp14:editId="478BBFFA">
            <wp:simplePos x="0" y="0"/>
            <wp:positionH relativeFrom="margin">
              <wp:posOffset>19856</wp:posOffset>
            </wp:positionH>
            <wp:positionV relativeFrom="margin">
              <wp:posOffset>7148273</wp:posOffset>
            </wp:positionV>
            <wp:extent cx="497205" cy="497205"/>
            <wp:effectExtent l="0" t="0" r="0" b="0"/>
            <wp:wrapNone/>
            <wp:docPr id="2" name="Picture 2" descr="Icon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s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noFill/>
                  </pic:spPr>
                </pic:pic>
              </a:graphicData>
            </a:graphic>
            <wp14:sizeRelH relativeFrom="page">
              <wp14:pctWidth>0</wp14:pctWidth>
            </wp14:sizeRelH>
            <wp14:sizeRelV relativeFrom="page">
              <wp14:pctHeight>0</wp14:pctHeight>
            </wp14:sizeRelV>
          </wp:anchor>
        </w:drawing>
      </w:r>
      <w:r w:rsidR="00E2196D">
        <w:rPr>
          <w:noProof/>
        </w:rPr>
        <w:t xml:space="preserve">  </w:t>
      </w:r>
      <w:r w:rsidR="002D37AE">
        <w:rPr>
          <w:noProof/>
        </w:rPr>
        <w:t>O</w:t>
      </w:r>
      <w:r w:rsidR="00D9417E">
        <w:rPr>
          <w:noProof/>
        </w:rPr>
        <w:t>ther</w:t>
      </w:r>
      <w:r w:rsidR="00E2196D" w:rsidRPr="00E2196D">
        <w:rPr>
          <w:noProof/>
        </w:rPr>
        <w:t xml:space="preserve"> </w:t>
      </w:r>
      <w:r w:rsidR="00E2196D">
        <w:rPr>
          <w:noProof/>
        </w:rPr>
        <w:t>considerations</w:t>
      </w:r>
      <w:r w:rsidR="002D37AE">
        <w:rPr>
          <w:noProof/>
        </w:rPr>
        <w:t xml:space="preserve"> and i</w:t>
      </w:r>
      <w:r w:rsidR="002D37AE" w:rsidRPr="00534819">
        <w:rPr>
          <w:noProof/>
        </w:rPr>
        <w:t>mplementation</w:t>
      </w:r>
    </w:p>
    <w:p w14:paraId="2818FC53" w14:textId="287CEF67" w:rsidR="002D37AE" w:rsidRPr="000770FA" w:rsidRDefault="008265E5" w:rsidP="00B3208A">
      <w:pPr>
        <w:pStyle w:val="BOXText"/>
        <w:spacing w:after="0"/>
      </w:pPr>
      <w:r>
        <w:t xml:space="preserve">Alternative levels of co-payment reduction were modelled to inform the $25 co-payment amount, including </w:t>
      </w:r>
      <w:r w:rsidR="00D71A1A">
        <w:t xml:space="preserve">a </w:t>
      </w:r>
      <w:r>
        <w:t xml:space="preserve">$19 co-payment proposed by the Pharmacy Guild of Australia. A $25 co-payment was decided as the preferred option as it would mean patients would pay less at pharmacies for each prescription without </w:t>
      </w:r>
      <w:r w:rsidR="007D5BA0">
        <w:t xml:space="preserve">materially </w:t>
      </w:r>
      <w:r>
        <w:t>impact</w:t>
      </w:r>
      <w:r w:rsidR="001208FF">
        <w:t>ing</w:t>
      </w:r>
      <w:r>
        <w:t xml:space="preserve"> pharmacy market competition. </w:t>
      </w:r>
      <w:r w:rsidR="00B3208A">
        <w:t xml:space="preserve">Implementation will require Parliament to consider and make amendments to the </w:t>
      </w:r>
      <w:r w:rsidR="001A361D" w:rsidRPr="001A361D">
        <w:rPr>
          <w:i/>
          <w:iCs/>
        </w:rPr>
        <w:t xml:space="preserve">National Health </w:t>
      </w:r>
      <w:r w:rsidR="00B3208A" w:rsidRPr="001A361D">
        <w:rPr>
          <w:i/>
          <w:iCs/>
        </w:rPr>
        <w:t>Act</w:t>
      </w:r>
      <w:r w:rsidR="001A361D" w:rsidRPr="001A361D">
        <w:rPr>
          <w:i/>
          <w:iCs/>
        </w:rPr>
        <w:t xml:space="preserve"> 1953</w:t>
      </w:r>
      <w:r w:rsidR="00B3208A">
        <w:t>, with expected commencement on 1</w:t>
      </w:r>
      <w:r w:rsidR="00403F1D">
        <w:t> </w:t>
      </w:r>
      <w:r w:rsidR="00B3208A">
        <w:t xml:space="preserve">January 2026. </w:t>
      </w:r>
    </w:p>
    <w:sectPr w:rsidR="002D37AE" w:rsidRPr="000770FA" w:rsidSect="003C1C2C">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418" w:left="567"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CBEE6" w14:textId="77777777" w:rsidR="00D51916" w:rsidRDefault="00D51916" w:rsidP="00F957C6">
      <w:pPr>
        <w:spacing w:after="0" w:line="240" w:lineRule="auto"/>
      </w:pPr>
      <w:r>
        <w:separator/>
      </w:r>
    </w:p>
  </w:endnote>
  <w:endnote w:type="continuationSeparator" w:id="0">
    <w:p w14:paraId="00843733" w14:textId="77777777" w:rsidR="00D51916" w:rsidRDefault="00D5191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060E" w14:textId="5BC8D866" w:rsidR="001A361D" w:rsidRDefault="00E82ED0">
    <w:pPr>
      <w:pStyle w:val="Footer"/>
    </w:pPr>
    <w:r>
      <w:rPr>
        <w:noProof/>
        <w:lang w:eastAsia="en-AU"/>
      </w:rPr>
      <mc:AlternateContent>
        <mc:Choice Requires="wps">
          <w:drawing>
            <wp:anchor distT="0" distB="0" distL="0" distR="0" simplePos="0" relativeHeight="251781632" behindDoc="0" locked="0" layoutInCell="1" allowOverlap="1" wp14:anchorId="4322B0FF" wp14:editId="24DB8EBE">
              <wp:simplePos x="635" y="635"/>
              <wp:positionH relativeFrom="page">
                <wp:align>center</wp:align>
              </wp:positionH>
              <wp:positionV relativeFrom="page">
                <wp:align>bottom</wp:align>
              </wp:positionV>
              <wp:extent cx="551815" cy="394970"/>
              <wp:effectExtent l="0" t="0" r="635" b="0"/>
              <wp:wrapNone/>
              <wp:docPr id="1108311284"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55A416C" w14:textId="628C95E3"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2B0FF" id="_x0000_t202" coordsize="21600,21600" o:spt="202" path="m,l,21600r21600,l21600,xe">
              <v:stroke joinstyle="miter"/>
              <v:path gradientshapeok="t" o:connecttype="rect"/>
            </v:shapetype>
            <v:shape id="Text Box 5" o:spid="_x0000_s1028" type="#_x0000_t202" alt="OFFICIAL" style="position:absolute;margin-left:0;margin-top:0;width:43.45pt;height:31.1pt;z-index:251781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fill o:detectmouseclick="t"/>
              <v:textbox style="mso-fit-shape-to-text:t" inset="0,0,0,15pt">
                <w:txbxContent>
                  <w:p w14:paraId="355A416C" w14:textId="628C95E3"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FC5D" w14:textId="0FD8658C" w:rsidR="00D10635" w:rsidRPr="00F86700" w:rsidRDefault="00E82ED0" w:rsidP="00F86700">
    <w:pPr>
      <w:pStyle w:val="CLASSIFICATION"/>
    </w:pPr>
    <w:r>
      <w:rPr>
        <w:noProof/>
        <w:lang w:eastAsia="en-AU"/>
      </w:rPr>
      <mc:AlternateContent>
        <mc:Choice Requires="wps">
          <w:drawing>
            <wp:anchor distT="0" distB="0" distL="0" distR="0" simplePos="0" relativeHeight="251782656" behindDoc="0" locked="0" layoutInCell="1" allowOverlap="1" wp14:anchorId="7BBC6969" wp14:editId="6CFC913E">
              <wp:simplePos x="635" y="635"/>
              <wp:positionH relativeFrom="page">
                <wp:align>center</wp:align>
              </wp:positionH>
              <wp:positionV relativeFrom="page">
                <wp:align>bottom</wp:align>
              </wp:positionV>
              <wp:extent cx="551815" cy="394970"/>
              <wp:effectExtent l="0" t="0" r="635" b="0"/>
              <wp:wrapNone/>
              <wp:docPr id="291527470"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E4687CE" w14:textId="02D4BB5D"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BC696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1pt;z-index:251782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IOP0G6gMthXDk2zu5aqn1vfDhSSARTHuQ&#10;aMMjHdpAX3E4WZw1gD//5o/5hDtFOetJMBW3pGjOzHdLfERtjQaOxiYZxSyf5hS3u+4WSIYFvQgn&#10;k0leDGY0NUL3QnJexkYUElZSu4pvRvM2HJVLz0Gq5TIlkYycCPd27WQsHeGKWD4PLwLdCfBATD3A&#10;qCZRvsH9mBtverfcBUI/kRKhPQJ5QpwkmLg6PZeo8df/KevyqB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PnO0MsPAgAA&#10;HAQAAA4AAAAAAAAAAAAAAAAALgIAAGRycy9lMm9Eb2MueG1sUEsBAi0AFAAGAAgAAAAhAOPjT1bb&#10;AAAAAwEAAA8AAAAAAAAAAAAAAAAAaQQAAGRycy9kb3ducmV2LnhtbFBLBQYAAAAABAAEAPMAAABx&#10;BQAAAAA=&#10;" filled="f" stroked="f">
              <v:fill o:detectmouseclick="t"/>
              <v:textbox style="mso-fit-shape-to-text:t" inset="0,0,0,15pt">
                <w:txbxContent>
                  <w:p w14:paraId="4E4687CE" w14:textId="02D4BB5D"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v:textbox>
              <w10:wrap anchorx="page" anchory="page"/>
            </v:shape>
          </w:pict>
        </mc:Fallback>
      </mc:AlternateContent>
    </w:r>
    <w:sdt>
      <w:sdtPr>
        <w:rPr>
          <w:rStyle w:val="CLASSIFICATIONChar"/>
          <w:caps/>
        </w:rPr>
        <w:alias w:val="Classification"/>
        <w:tag w:val="Classification"/>
        <w:id w:val="-1876923508"/>
        <w15:color w:val="FF0000"/>
        <w:dropDownList>
          <w:listItem w:displayText="Classification" w:value="1"/>
          <w:listItem w:displayText="Official" w:value="2"/>
          <w:listItem w:displayText="Official: Sensitive" w:value="3"/>
          <w:listItem w:displayText="Protected" w:value="4"/>
          <w:listItem w:displayText="Protected: Cabinet" w:value="Protected: Cabinet"/>
          <w:listItem w:displayText="Secret" w:value="5"/>
          <w:listItem w:displayText="Top Secret and Codeword" w:value="6"/>
        </w:dropDownList>
      </w:sdtPr>
      <w:sdtEndPr>
        <w:rPr>
          <w:rStyle w:val="CLASSIFICATIONChar"/>
        </w:rPr>
      </w:sdtEndPr>
      <w:sdtContent>
        <w:r w:rsidR="00F64736">
          <w:rPr>
            <w:rStyle w:val="CLASSIFICATIONChar"/>
            <w:caps/>
          </w:rPr>
          <w:t>Classification</w:t>
        </w:r>
      </w:sdtContent>
    </w:sdt>
  </w:p>
  <w:p w14:paraId="2818FC5E" w14:textId="783EE540" w:rsidR="00037513" w:rsidRPr="00852F35" w:rsidRDefault="005A3632" w:rsidP="00D10635">
    <w:pPr>
      <w:pStyle w:val="Header"/>
      <w:rPr>
        <w:rFonts w:ascii="Segoe UI" w:hAnsi="Segoe UI" w:cs="Segoe UI"/>
        <w:color w:val="6E6E6E"/>
        <w:sz w:val="18"/>
      </w:rPr>
    </w:pPr>
    <w:r>
      <w:rPr>
        <w:color w:val="6E6E6E"/>
        <w:sz w:val="18"/>
        <w:szCs w:val="18"/>
      </w:rPr>
      <w:t xml:space="preserve">Australian Government </w:t>
    </w:r>
    <w:r w:rsidR="00037513" w:rsidRPr="00852F35">
      <w:rPr>
        <w:color w:val="6E6E6E"/>
        <w:sz w:val="18"/>
        <w:szCs w:val="18"/>
      </w:rPr>
      <w:t xml:space="preserve">| </w:t>
    </w:r>
    <w:r w:rsidR="001208FF">
      <w:rPr>
        <w:color w:val="6E6E6E"/>
        <w:sz w:val="18"/>
        <w:szCs w:val="18"/>
      </w:rPr>
      <w:t>Reduction of the Pharmaceutical Benefits Scheme (PBS) General Patient Co-payment to $25</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223BD3">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FC60" w14:textId="6D9CC9F4" w:rsidR="00464D89" w:rsidRDefault="00464D89" w:rsidP="00464D89">
    <w:pPr>
      <w:pStyle w:val="Header"/>
      <w:jc w:val="center"/>
    </w:pPr>
  </w:p>
  <w:p w14:paraId="2818FC61" w14:textId="3CA89CD2" w:rsidR="00464D89" w:rsidRPr="00BB1526" w:rsidRDefault="005A3632" w:rsidP="00BB1526">
    <w:pPr>
      <w:pStyle w:val="Header"/>
      <w:rPr>
        <w:rFonts w:ascii="Segoe UI" w:hAnsi="Segoe UI" w:cs="Segoe UI"/>
        <w:color w:val="6E6E6E"/>
        <w:sz w:val="18"/>
      </w:rPr>
    </w:pPr>
    <w:r>
      <w:rPr>
        <w:color w:val="6E6E6E"/>
        <w:sz w:val="18"/>
        <w:szCs w:val="18"/>
      </w:rPr>
      <w:t xml:space="preserve">Australian Government </w:t>
    </w:r>
    <w:r w:rsidRPr="00852F35">
      <w:rPr>
        <w:color w:val="6E6E6E"/>
        <w:sz w:val="18"/>
        <w:szCs w:val="18"/>
      </w:rPr>
      <w:t>|</w:t>
    </w:r>
    <w:r w:rsidR="00BB1526" w:rsidRPr="00852F35">
      <w:rPr>
        <w:color w:val="6E6E6E"/>
        <w:sz w:val="18"/>
        <w:szCs w:val="18"/>
      </w:rPr>
      <w:t xml:space="preserve"> </w:t>
    </w:r>
    <w:r w:rsidR="001208FF">
      <w:rPr>
        <w:color w:val="6E6E6E"/>
        <w:sz w:val="18"/>
        <w:szCs w:val="18"/>
      </w:rPr>
      <w:t>Reduction of the Pharmaceutical Benefits Scheme (PBS) General Patient Co-payment to $25</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031D45">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50C2" w14:textId="77777777" w:rsidR="00D51916" w:rsidRDefault="00D51916" w:rsidP="00F957C6">
      <w:pPr>
        <w:spacing w:after="0" w:line="240" w:lineRule="auto"/>
      </w:pPr>
      <w:r>
        <w:separator/>
      </w:r>
    </w:p>
  </w:footnote>
  <w:footnote w:type="continuationSeparator" w:id="0">
    <w:p w14:paraId="4E29A12B" w14:textId="77777777" w:rsidR="00D51916" w:rsidRDefault="00D5191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0309" w14:textId="07071ADB" w:rsidR="001A361D" w:rsidRDefault="00E82ED0">
    <w:pPr>
      <w:pStyle w:val="Header"/>
    </w:pPr>
    <w:r>
      <w:rPr>
        <w:noProof/>
        <w:lang w:eastAsia="en-AU"/>
      </w:rPr>
      <mc:AlternateContent>
        <mc:Choice Requires="wps">
          <w:drawing>
            <wp:anchor distT="0" distB="0" distL="0" distR="0" simplePos="0" relativeHeight="251778560" behindDoc="0" locked="0" layoutInCell="1" allowOverlap="1" wp14:anchorId="369DEB7F" wp14:editId="07A3D0AC">
              <wp:simplePos x="635" y="635"/>
              <wp:positionH relativeFrom="page">
                <wp:align>center</wp:align>
              </wp:positionH>
              <wp:positionV relativeFrom="page">
                <wp:align>top</wp:align>
              </wp:positionV>
              <wp:extent cx="551815" cy="394970"/>
              <wp:effectExtent l="0" t="0" r="635" b="5080"/>
              <wp:wrapNone/>
              <wp:docPr id="1054680370"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D9874C6" w14:textId="5CC4D78C"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9DEB7F"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778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fill o:detectmouseclick="t"/>
              <v:textbox style="mso-fit-shape-to-text:t" inset="0,15pt,0,0">
                <w:txbxContent>
                  <w:p w14:paraId="7D9874C6" w14:textId="5CC4D78C"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FC5C" w14:textId="51525161" w:rsidR="00037513" w:rsidRPr="00D10635" w:rsidRDefault="00E82ED0" w:rsidP="00464D89">
    <w:pPr>
      <w:pStyle w:val="Header"/>
      <w:jc w:val="center"/>
    </w:pPr>
    <w:r>
      <w:rPr>
        <w:rFonts w:ascii="Segoe UI" w:hAnsi="Segoe UI"/>
        <w:caps/>
        <w:noProof/>
        <w:color w:val="C00000"/>
        <w:sz w:val="18"/>
        <w:lang w:eastAsia="en-AU"/>
      </w:rPr>
      <mc:AlternateContent>
        <mc:Choice Requires="wps">
          <w:drawing>
            <wp:anchor distT="0" distB="0" distL="0" distR="0" simplePos="0" relativeHeight="251779584" behindDoc="0" locked="0" layoutInCell="1" allowOverlap="1" wp14:anchorId="5E08D7B8" wp14:editId="4FD8435E">
              <wp:simplePos x="635" y="635"/>
              <wp:positionH relativeFrom="page">
                <wp:align>center</wp:align>
              </wp:positionH>
              <wp:positionV relativeFrom="page">
                <wp:align>top</wp:align>
              </wp:positionV>
              <wp:extent cx="551815" cy="394970"/>
              <wp:effectExtent l="0" t="0" r="635" b="5080"/>
              <wp:wrapNone/>
              <wp:docPr id="782025756"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F58E16D" w14:textId="4FCCE0AC"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8D7B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1pt;z-index:251779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fill o:detectmouseclick="t"/>
              <v:textbox style="mso-fit-shape-to-text:t" inset="0,15pt,0,0">
                <w:txbxContent>
                  <w:p w14:paraId="3F58E16D" w14:textId="4FCCE0AC" w:rsidR="00E82ED0" w:rsidRPr="00E82ED0" w:rsidRDefault="00E82ED0" w:rsidP="00E82ED0">
                    <w:pPr>
                      <w:spacing w:after="0"/>
                      <w:rPr>
                        <w:rFonts w:ascii="Calibri" w:eastAsia="Calibri" w:hAnsi="Calibri" w:cs="Calibri"/>
                        <w:noProof/>
                        <w:color w:val="FF0000"/>
                        <w:sz w:val="24"/>
                        <w:szCs w:val="24"/>
                      </w:rPr>
                    </w:pPr>
                    <w:r w:rsidRPr="00E82ED0">
                      <w:rPr>
                        <w:rFonts w:ascii="Calibri" w:eastAsia="Calibri" w:hAnsi="Calibri" w:cs="Calibri"/>
                        <w:noProof/>
                        <w:color w:val="FF0000"/>
                        <w:sz w:val="24"/>
                        <w:szCs w:val="24"/>
                      </w:rPr>
                      <w:t>OFFICIAL</w:t>
                    </w:r>
                  </w:p>
                </w:txbxContent>
              </v:textbox>
              <w10:wrap anchorx="page" anchory="page"/>
            </v:shape>
          </w:pict>
        </mc:Fallback>
      </mc:AlternateContent>
    </w:r>
    <w:sdt>
      <w:sdtPr>
        <w:rPr>
          <w:rStyle w:val="CLASSIFICATIONChar"/>
        </w:rPr>
        <w:alias w:val="Classification"/>
        <w:tag w:val="Classification"/>
        <w:id w:val="-1388651098"/>
        <w15:color w:val="FF0000"/>
        <w:dropDownList>
          <w:listItem w:displayText="Classification" w:value="1"/>
          <w:listItem w:displayText="Official" w:value="2"/>
          <w:listItem w:displayText="Official: Sensitive" w:value="3"/>
          <w:listItem w:displayText="Protected" w:value="4"/>
          <w:listItem w:displayText="Protected: Cabinet" w:value="Protected: Cabinet"/>
          <w:listItem w:displayText="Secret" w:value="5"/>
          <w:listItem w:displayText="Top Secret and Codeword" w:value="6"/>
        </w:dropDownList>
      </w:sdtPr>
      <w:sdtEndPr>
        <w:rPr>
          <w:rStyle w:val="CLASSIFICATIONChar"/>
        </w:rPr>
      </w:sdtEndPr>
      <w:sdtContent>
        <w:r w:rsidR="00F64736">
          <w:rPr>
            <w:rStyle w:val="CLASSIFICATIONChar"/>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FC5F" w14:textId="17293F4F" w:rsidR="00037513" w:rsidRDefault="00E82ED0" w:rsidP="00D75A12">
    <w:pPr>
      <w:pStyle w:val="Header"/>
      <w:jc w:val="center"/>
    </w:pPr>
    <w:r>
      <w:rPr>
        <w:rFonts w:ascii="Segoe UI" w:hAnsi="Segoe UI"/>
        <w:caps/>
        <w:noProof/>
        <w:color w:val="C00000"/>
        <w:sz w:val="18"/>
        <w:lang w:eastAsia="en-AU"/>
      </w:rPr>
      <mc:AlternateContent>
        <mc:Choice Requires="wps">
          <w:drawing>
            <wp:anchor distT="0" distB="0" distL="0" distR="0" simplePos="0" relativeHeight="251777536" behindDoc="0" locked="0" layoutInCell="1" allowOverlap="1" wp14:anchorId="33BBC053" wp14:editId="358F20A0">
              <wp:simplePos x="359417" y="628980"/>
              <wp:positionH relativeFrom="page">
                <wp:align>center</wp:align>
              </wp:positionH>
              <wp:positionV relativeFrom="page">
                <wp:align>top</wp:align>
              </wp:positionV>
              <wp:extent cx="551815" cy="394970"/>
              <wp:effectExtent l="0" t="0" r="635" b="5080"/>
              <wp:wrapNone/>
              <wp:docPr id="955395918"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F148A70" w14:textId="63DD4CB7" w:rsidR="00E82ED0" w:rsidRPr="00E82ED0" w:rsidRDefault="00E82ED0" w:rsidP="00E82ED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BBC053"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1pt;z-index:251777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" filled="f" stroked="f">
              <v:textbox style="mso-fit-shape-to-text:t" inset="0,15pt,0,0">
                <w:txbxContent>
                  <w:p w14:paraId="2F148A70" w14:textId="63DD4CB7" w:rsidR="00E82ED0" w:rsidRPr="00E82ED0" w:rsidRDefault="00E82ED0" w:rsidP="00E82ED0">
                    <w:pPr>
                      <w:spacing w:after="0"/>
                      <w:rPr>
                        <w:rFonts w:ascii="Calibri" w:eastAsia="Calibri" w:hAnsi="Calibri" w:cs="Calibri"/>
                        <w:noProof/>
                        <w:color w:val="FF0000"/>
                        <w:sz w:val="24"/>
                        <w:szCs w:val="24"/>
                      </w:rPr>
                    </w:pPr>
                  </w:p>
                </w:txbxContent>
              </v:textbox>
              <w10:wrap anchorx="page" anchory="page"/>
            </v:shape>
          </w:pict>
        </mc:Fallback>
      </mc:AlternateContent>
    </w:r>
    <w:r w:rsidR="005A3632">
      <w:rPr>
        <w:rStyle w:val="CLASSIFICATIONChar"/>
        <w:noProof/>
        <w:lang w:eastAsia="en-AU"/>
      </w:rPr>
      <w:drawing>
        <wp:anchor distT="0" distB="0" distL="114300" distR="114300" simplePos="0" relativeHeight="251770368" behindDoc="1" locked="0" layoutInCell="1" allowOverlap="1" wp14:anchorId="2818FC62" wp14:editId="2818FC63">
          <wp:simplePos x="0" y="0"/>
          <wp:positionH relativeFrom="column">
            <wp:posOffset>-48895</wp:posOffset>
          </wp:positionH>
          <wp:positionV relativeFrom="paragraph">
            <wp:posOffset>-305435</wp:posOffset>
          </wp:positionV>
          <wp:extent cx="2120900" cy="567622"/>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56762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7655"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17A4C0A"/>
    <w:multiLevelType w:val="hybridMultilevel"/>
    <w:tmpl w:val="C1C2D7D8"/>
    <w:lvl w:ilvl="0" w:tplc="200829A6">
      <w:start w:val="1"/>
      <w:numFmt w:val="bullet"/>
      <w:lvlText w:val="•"/>
      <w:lvlJc w:val="left"/>
      <w:pPr>
        <w:tabs>
          <w:tab w:val="num" w:pos="720"/>
        </w:tabs>
        <w:ind w:left="720" w:hanging="360"/>
      </w:pPr>
      <w:rPr>
        <w:rFonts w:ascii="Arial" w:hAnsi="Arial" w:hint="default"/>
      </w:rPr>
    </w:lvl>
    <w:lvl w:ilvl="1" w:tplc="25ACB6BC" w:tentative="1">
      <w:start w:val="1"/>
      <w:numFmt w:val="bullet"/>
      <w:lvlText w:val="•"/>
      <w:lvlJc w:val="left"/>
      <w:pPr>
        <w:tabs>
          <w:tab w:val="num" w:pos="1440"/>
        </w:tabs>
        <w:ind w:left="1440" w:hanging="360"/>
      </w:pPr>
      <w:rPr>
        <w:rFonts w:ascii="Arial" w:hAnsi="Arial" w:hint="default"/>
      </w:rPr>
    </w:lvl>
    <w:lvl w:ilvl="2" w:tplc="F0360BE6" w:tentative="1">
      <w:start w:val="1"/>
      <w:numFmt w:val="bullet"/>
      <w:lvlText w:val="•"/>
      <w:lvlJc w:val="left"/>
      <w:pPr>
        <w:tabs>
          <w:tab w:val="num" w:pos="2160"/>
        </w:tabs>
        <w:ind w:left="2160" w:hanging="360"/>
      </w:pPr>
      <w:rPr>
        <w:rFonts w:ascii="Arial" w:hAnsi="Arial" w:hint="default"/>
      </w:rPr>
    </w:lvl>
    <w:lvl w:ilvl="3" w:tplc="ED6E52A2" w:tentative="1">
      <w:start w:val="1"/>
      <w:numFmt w:val="bullet"/>
      <w:lvlText w:val="•"/>
      <w:lvlJc w:val="left"/>
      <w:pPr>
        <w:tabs>
          <w:tab w:val="num" w:pos="2880"/>
        </w:tabs>
        <w:ind w:left="2880" w:hanging="360"/>
      </w:pPr>
      <w:rPr>
        <w:rFonts w:ascii="Arial" w:hAnsi="Arial" w:hint="default"/>
      </w:rPr>
    </w:lvl>
    <w:lvl w:ilvl="4" w:tplc="871494B0" w:tentative="1">
      <w:start w:val="1"/>
      <w:numFmt w:val="bullet"/>
      <w:lvlText w:val="•"/>
      <w:lvlJc w:val="left"/>
      <w:pPr>
        <w:tabs>
          <w:tab w:val="num" w:pos="3600"/>
        </w:tabs>
        <w:ind w:left="3600" w:hanging="360"/>
      </w:pPr>
      <w:rPr>
        <w:rFonts w:ascii="Arial" w:hAnsi="Arial" w:hint="default"/>
      </w:rPr>
    </w:lvl>
    <w:lvl w:ilvl="5" w:tplc="934C6314" w:tentative="1">
      <w:start w:val="1"/>
      <w:numFmt w:val="bullet"/>
      <w:lvlText w:val="•"/>
      <w:lvlJc w:val="left"/>
      <w:pPr>
        <w:tabs>
          <w:tab w:val="num" w:pos="4320"/>
        </w:tabs>
        <w:ind w:left="4320" w:hanging="360"/>
      </w:pPr>
      <w:rPr>
        <w:rFonts w:ascii="Arial" w:hAnsi="Arial" w:hint="default"/>
      </w:rPr>
    </w:lvl>
    <w:lvl w:ilvl="6" w:tplc="926CA3E2" w:tentative="1">
      <w:start w:val="1"/>
      <w:numFmt w:val="bullet"/>
      <w:lvlText w:val="•"/>
      <w:lvlJc w:val="left"/>
      <w:pPr>
        <w:tabs>
          <w:tab w:val="num" w:pos="5040"/>
        </w:tabs>
        <w:ind w:left="5040" w:hanging="360"/>
      </w:pPr>
      <w:rPr>
        <w:rFonts w:ascii="Arial" w:hAnsi="Arial" w:hint="default"/>
      </w:rPr>
    </w:lvl>
    <w:lvl w:ilvl="7" w:tplc="AB64C6C2" w:tentative="1">
      <w:start w:val="1"/>
      <w:numFmt w:val="bullet"/>
      <w:lvlText w:val="•"/>
      <w:lvlJc w:val="left"/>
      <w:pPr>
        <w:tabs>
          <w:tab w:val="num" w:pos="5760"/>
        </w:tabs>
        <w:ind w:left="5760" w:hanging="360"/>
      </w:pPr>
      <w:rPr>
        <w:rFonts w:ascii="Arial" w:hAnsi="Arial" w:hint="default"/>
      </w:rPr>
    </w:lvl>
    <w:lvl w:ilvl="8" w:tplc="BE4AC1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21BDF"/>
    <w:multiLevelType w:val="hybridMultilevel"/>
    <w:tmpl w:val="CD14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E37CDA"/>
    <w:multiLevelType w:val="hybridMultilevel"/>
    <w:tmpl w:val="108E5D92"/>
    <w:lvl w:ilvl="0" w:tplc="3962CD16">
      <w:start w:val="1"/>
      <w:numFmt w:val="bullet"/>
      <w:lvlText w:val="•"/>
      <w:lvlJc w:val="left"/>
      <w:pPr>
        <w:tabs>
          <w:tab w:val="num" w:pos="720"/>
        </w:tabs>
        <w:ind w:left="720" w:hanging="360"/>
      </w:pPr>
      <w:rPr>
        <w:rFonts w:ascii="Arial" w:hAnsi="Arial" w:hint="default"/>
      </w:rPr>
    </w:lvl>
    <w:lvl w:ilvl="1" w:tplc="4C689522" w:tentative="1">
      <w:start w:val="1"/>
      <w:numFmt w:val="bullet"/>
      <w:lvlText w:val="•"/>
      <w:lvlJc w:val="left"/>
      <w:pPr>
        <w:tabs>
          <w:tab w:val="num" w:pos="1440"/>
        </w:tabs>
        <w:ind w:left="1440" w:hanging="360"/>
      </w:pPr>
      <w:rPr>
        <w:rFonts w:ascii="Arial" w:hAnsi="Arial" w:hint="default"/>
      </w:rPr>
    </w:lvl>
    <w:lvl w:ilvl="2" w:tplc="ADA4DC22" w:tentative="1">
      <w:start w:val="1"/>
      <w:numFmt w:val="bullet"/>
      <w:lvlText w:val="•"/>
      <w:lvlJc w:val="left"/>
      <w:pPr>
        <w:tabs>
          <w:tab w:val="num" w:pos="2160"/>
        </w:tabs>
        <w:ind w:left="2160" w:hanging="360"/>
      </w:pPr>
      <w:rPr>
        <w:rFonts w:ascii="Arial" w:hAnsi="Arial" w:hint="default"/>
      </w:rPr>
    </w:lvl>
    <w:lvl w:ilvl="3" w:tplc="AF420E2C" w:tentative="1">
      <w:start w:val="1"/>
      <w:numFmt w:val="bullet"/>
      <w:lvlText w:val="•"/>
      <w:lvlJc w:val="left"/>
      <w:pPr>
        <w:tabs>
          <w:tab w:val="num" w:pos="2880"/>
        </w:tabs>
        <w:ind w:left="2880" w:hanging="360"/>
      </w:pPr>
      <w:rPr>
        <w:rFonts w:ascii="Arial" w:hAnsi="Arial" w:hint="default"/>
      </w:rPr>
    </w:lvl>
    <w:lvl w:ilvl="4" w:tplc="2CCA8F14" w:tentative="1">
      <w:start w:val="1"/>
      <w:numFmt w:val="bullet"/>
      <w:lvlText w:val="•"/>
      <w:lvlJc w:val="left"/>
      <w:pPr>
        <w:tabs>
          <w:tab w:val="num" w:pos="3600"/>
        </w:tabs>
        <w:ind w:left="3600" w:hanging="360"/>
      </w:pPr>
      <w:rPr>
        <w:rFonts w:ascii="Arial" w:hAnsi="Arial" w:hint="default"/>
      </w:rPr>
    </w:lvl>
    <w:lvl w:ilvl="5" w:tplc="55FC1A62" w:tentative="1">
      <w:start w:val="1"/>
      <w:numFmt w:val="bullet"/>
      <w:lvlText w:val="•"/>
      <w:lvlJc w:val="left"/>
      <w:pPr>
        <w:tabs>
          <w:tab w:val="num" w:pos="4320"/>
        </w:tabs>
        <w:ind w:left="4320" w:hanging="360"/>
      </w:pPr>
      <w:rPr>
        <w:rFonts w:ascii="Arial" w:hAnsi="Arial" w:hint="default"/>
      </w:rPr>
    </w:lvl>
    <w:lvl w:ilvl="6" w:tplc="7B90AA3A" w:tentative="1">
      <w:start w:val="1"/>
      <w:numFmt w:val="bullet"/>
      <w:lvlText w:val="•"/>
      <w:lvlJc w:val="left"/>
      <w:pPr>
        <w:tabs>
          <w:tab w:val="num" w:pos="5040"/>
        </w:tabs>
        <w:ind w:left="5040" w:hanging="360"/>
      </w:pPr>
      <w:rPr>
        <w:rFonts w:ascii="Arial" w:hAnsi="Arial" w:hint="default"/>
      </w:rPr>
    </w:lvl>
    <w:lvl w:ilvl="7" w:tplc="0E88D8C4" w:tentative="1">
      <w:start w:val="1"/>
      <w:numFmt w:val="bullet"/>
      <w:lvlText w:val="•"/>
      <w:lvlJc w:val="left"/>
      <w:pPr>
        <w:tabs>
          <w:tab w:val="num" w:pos="5760"/>
        </w:tabs>
        <w:ind w:left="5760" w:hanging="360"/>
      </w:pPr>
      <w:rPr>
        <w:rFonts w:ascii="Arial" w:hAnsi="Arial" w:hint="default"/>
      </w:rPr>
    </w:lvl>
    <w:lvl w:ilvl="8" w:tplc="7CA683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A761DA0"/>
    <w:multiLevelType w:val="hybridMultilevel"/>
    <w:tmpl w:val="5CEAEDEC"/>
    <w:lvl w:ilvl="0" w:tplc="1D5258A6">
      <w:start w:val="1"/>
      <w:numFmt w:val="bullet"/>
      <w:lvlText w:val="•"/>
      <w:lvlJc w:val="left"/>
      <w:pPr>
        <w:tabs>
          <w:tab w:val="num" w:pos="720"/>
        </w:tabs>
        <w:ind w:left="720" w:hanging="360"/>
      </w:pPr>
      <w:rPr>
        <w:rFonts w:ascii="Arial" w:hAnsi="Arial" w:hint="default"/>
      </w:rPr>
    </w:lvl>
    <w:lvl w:ilvl="1" w:tplc="4CC8F2EA" w:tentative="1">
      <w:start w:val="1"/>
      <w:numFmt w:val="bullet"/>
      <w:lvlText w:val="•"/>
      <w:lvlJc w:val="left"/>
      <w:pPr>
        <w:tabs>
          <w:tab w:val="num" w:pos="1440"/>
        </w:tabs>
        <w:ind w:left="1440" w:hanging="360"/>
      </w:pPr>
      <w:rPr>
        <w:rFonts w:ascii="Arial" w:hAnsi="Arial" w:hint="default"/>
      </w:rPr>
    </w:lvl>
    <w:lvl w:ilvl="2" w:tplc="7CE4BCE0" w:tentative="1">
      <w:start w:val="1"/>
      <w:numFmt w:val="bullet"/>
      <w:lvlText w:val="•"/>
      <w:lvlJc w:val="left"/>
      <w:pPr>
        <w:tabs>
          <w:tab w:val="num" w:pos="2160"/>
        </w:tabs>
        <w:ind w:left="2160" w:hanging="360"/>
      </w:pPr>
      <w:rPr>
        <w:rFonts w:ascii="Arial" w:hAnsi="Arial" w:hint="default"/>
      </w:rPr>
    </w:lvl>
    <w:lvl w:ilvl="3" w:tplc="62DC2562" w:tentative="1">
      <w:start w:val="1"/>
      <w:numFmt w:val="bullet"/>
      <w:lvlText w:val="•"/>
      <w:lvlJc w:val="left"/>
      <w:pPr>
        <w:tabs>
          <w:tab w:val="num" w:pos="2880"/>
        </w:tabs>
        <w:ind w:left="2880" w:hanging="360"/>
      </w:pPr>
      <w:rPr>
        <w:rFonts w:ascii="Arial" w:hAnsi="Arial" w:hint="default"/>
      </w:rPr>
    </w:lvl>
    <w:lvl w:ilvl="4" w:tplc="9404D3F4" w:tentative="1">
      <w:start w:val="1"/>
      <w:numFmt w:val="bullet"/>
      <w:lvlText w:val="•"/>
      <w:lvlJc w:val="left"/>
      <w:pPr>
        <w:tabs>
          <w:tab w:val="num" w:pos="3600"/>
        </w:tabs>
        <w:ind w:left="3600" w:hanging="360"/>
      </w:pPr>
      <w:rPr>
        <w:rFonts w:ascii="Arial" w:hAnsi="Arial" w:hint="default"/>
      </w:rPr>
    </w:lvl>
    <w:lvl w:ilvl="5" w:tplc="DB46CA44" w:tentative="1">
      <w:start w:val="1"/>
      <w:numFmt w:val="bullet"/>
      <w:lvlText w:val="•"/>
      <w:lvlJc w:val="left"/>
      <w:pPr>
        <w:tabs>
          <w:tab w:val="num" w:pos="4320"/>
        </w:tabs>
        <w:ind w:left="4320" w:hanging="360"/>
      </w:pPr>
      <w:rPr>
        <w:rFonts w:ascii="Arial" w:hAnsi="Arial" w:hint="default"/>
      </w:rPr>
    </w:lvl>
    <w:lvl w:ilvl="6" w:tplc="4D868B80" w:tentative="1">
      <w:start w:val="1"/>
      <w:numFmt w:val="bullet"/>
      <w:lvlText w:val="•"/>
      <w:lvlJc w:val="left"/>
      <w:pPr>
        <w:tabs>
          <w:tab w:val="num" w:pos="5040"/>
        </w:tabs>
        <w:ind w:left="5040" w:hanging="360"/>
      </w:pPr>
      <w:rPr>
        <w:rFonts w:ascii="Arial" w:hAnsi="Arial" w:hint="default"/>
      </w:rPr>
    </w:lvl>
    <w:lvl w:ilvl="7" w:tplc="3376BCD8" w:tentative="1">
      <w:start w:val="1"/>
      <w:numFmt w:val="bullet"/>
      <w:lvlText w:val="•"/>
      <w:lvlJc w:val="left"/>
      <w:pPr>
        <w:tabs>
          <w:tab w:val="num" w:pos="5760"/>
        </w:tabs>
        <w:ind w:left="5760" w:hanging="360"/>
      </w:pPr>
      <w:rPr>
        <w:rFonts w:ascii="Arial" w:hAnsi="Arial" w:hint="default"/>
      </w:rPr>
    </w:lvl>
    <w:lvl w:ilvl="8" w:tplc="60A29E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1"/>
  </w:num>
  <w:num w:numId="20">
    <w:abstractNumId w:val="21"/>
    <w:lvlOverride w:ilvl="0">
      <w:startOverride w:val="1"/>
    </w:lvlOverride>
  </w:num>
  <w:num w:numId="21">
    <w:abstractNumId w:val="25"/>
  </w:num>
  <w:num w:numId="22">
    <w:abstractNumId w:val="23"/>
  </w:num>
  <w:num w:numId="23">
    <w:abstractNumId w:val="11"/>
    <w:lvlOverride w:ilvl="0">
      <w:startOverride w:val="1"/>
    </w:lvlOverride>
  </w:num>
  <w:num w:numId="24">
    <w:abstractNumId w:val="25"/>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4"/>
  </w:num>
  <w:num w:numId="28">
    <w:abstractNumId w:val="20"/>
  </w:num>
  <w:num w:numId="29">
    <w:abstractNumId w:val="13"/>
  </w:num>
  <w:num w:numId="30">
    <w:abstractNumId w:val="15"/>
  </w:num>
  <w:num w:numId="31">
    <w:abstractNumId w:val="12"/>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2"/>
  </w:num>
  <w:num w:numId="39">
    <w:abstractNumId w:val="19"/>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F3"/>
    <w:rsid w:val="00003AF2"/>
    <w:rsid w:val="00027038"/>
    <w:rsid w:val="0003154E"/>
    <w:rsid w:val="00031D45"/>
    <w:rsid w:val="00032139"/>
    <w:rsid w:val="00037513"/>
    <w:rsid w:val="00057609"/>
    <w:rsid w:val="0006501B"/>
    <w:rsid w:val="0006627F"/>
    <w:rsid w:val="000668BB"/>
    <w:rsid w:val="000770FA"/>
    <w:rsid w:val="00080B17"/>
    <w:rsid w:val="000B3417"/>
    <w:rsid w:val="000B6A28"/>
    <w:rsid w:val="000D749D"/>
    <w:rsid w:val="00115264"/>
    <w:rsid w:val="00117A77"/>
    <w:rsid w:val="001208FF"/>
    <w:rsid w:val="00125770"/>
    <w:rsid w:val="00132068"/>
    <w:rsid w:val="00132887"/>
    <w:rsid w:val="00144AC0"/>
    <w:rsid w:val="00147E4C"/>
    <w:rsid w:val="00152412"/>
    <w:rsid w:val="001611BF"/>
    <w:rsid w:val="0017436A"/>
    <w:rsid w:val="00175841"/>
    <w:rsid w:val="001954B4"/>
    <w:rsid w:val="001A361D"/>
    <w:rsid w:val="001B2134"/>
    <w:rsid w:val="001B2D56"/>
    <w:rsid w:val="001C5831"/>
    <w:rsid w:val="001D16C5"/>
    <w:rsid w:val="001D561F"/>
    <w:rsid w:val="001F6E20"/>
    <w:rsid w:val="002002ED"/>
    <w:rsid w:val="00202E07"/>
    <w:rsid w:val="00212443"/>
    <w:rsid w:val="00220DDA"/>
    <w:rsid w:val="00223BD3"/>
    <w:rsid w:val="00227DB5"/>
    <w:rsid w:val="002336DD"/>
    <w:rsid w:val="00255046"/>
    <w:rsid w:val="00266CCC"/>
    <w:rsid w:val="00274D42"/>
    <w:rsid w:val="00285CAF"/>
    <w:rsid w:val="002A137E"/>
    <w:rsid w:val="002B53AF"/>
    <w:rsid w:val="002B661A"/>
    <w:rsid w:val="002C7A05"/>
    <w:rsid w:val="002D20AE"/>
    <w:rsid w:val="002D37AE"/>
    <w:rsid w:val="002D6B3D"/>
    <w:rsid w:val="002E5916"/>
    <w:rsid w:val="002E61BD"/>
    <w:rsid w:val="002F382A"/>
    <w:rsid w:val="00303C55"/>
    <w:rsid w:val="00304D47"/>
    <w:rsid w:val="00311C2D"/>
    <w:rsid w:val="00316AF7"/>
    <w:rsid w:val="00317030"/>
    <w:rsid w:val="00330A33"/>
    <w:rsid w:val="00346D39"/>
    <w:rsid w:val="00353E5E"/>
    <w:rsid w:val="00361020"/>
    <w:rsid w:val="00364885"/>
    <w:rsid w:val="0036534B"/>
    <w:rsid w:val="00374D2A"/>
    <w:rsid w:val="00376FE6"/>
    <w:rsid w:val="00385BD5"/>
    <w:rsid w:val="00397D1D"/>
    <w:rsid w:val="003A54A7"/>
    <w:rsid w:val="003B05DC"/>
    <w:rsid w:val="003C181D"/>
    <w:rsid w:val="003C1C2C"/>
    <w:rsid w:val="003C1F2E"/>
    <w:rsid w:val="003D51B5"/>
    <w:rsid w:val="003D676D"/>
    <w:rsid w:val="003F23E9"/>
    <w:rsid w:val="00402E24"/>
    <w:rsid w:val="00403F1D"/>
    <w:rsid w:val="004073E7"/>
    <w:rsid w:val="00413312"/>
    <w:rsid w:val="0044397A"/>
    <w:rsid w:val="00443F97"/>
    <w:rsid w:val="00454582"/>
    <w:rsid w:val="00464D89"/>
    <w:rsid w:val="00476A0E"/>
    <w:rsid w:val="00490B90"/>
    <w:rsid w:val="00490E25"/>
    <w:rsid w:val="004B088C"/>
    <w:rsid w:val="004B2C90"/>
    <w:rsid w:val="004C17DE"/>
    <w:rsid w:val="004C58F3"/>
    <w:rsid w:val="004D2BF9"/>
    <w:rsid w:val="004D4FDE"/>
    <w:rsid w:val="004F4C4F"/>
    <w:rsid w:val="004F6CF1"/>
    <w:rsid w:val="00500883"/>
    <w:rsid w:val="00516260"/>
    <w:rsid w:val="005226B9"/>
    <w:rsid w:val="00522D9C"/>
    <w:rsid w:val="005272E6"/>
    <w:rsid w:val="0052777A"/>
    <w:rsid w:val="00527EBB"/>
    <w:rsid w:val="00534819"/>
    <w:rsid w:val="005505E3"/>
    <w:rsid w:val="00551CB9"/>
    <w:rsid w:val="0055713D"/>
    <w:rsid w:val="00561FB9"/>
    <w:rsid w:val="00591288"/>
    <w:rsid w:val="005917FD"/>
    <w:rsid w:val="005A3632"/>
    <w:rsid w:val="005A4AA1"/>
    <w:rsid w:val="005B3358"/>
    <w:rsid w:val="005B4D91"/>
    <w:rsid w:val="005C0F15"/>
    <w:rsid w:val="005C3C13"/>
    <w:rsid w:val="005C5269"/>
    <w:rsid w:val="005D4706"/>
    <w:rsid w:val="005E0DC7"/>
    <w:rsid w:val="005E6E22"/>
    <w:rsid w:val="00610C0F"/>
    <w:rsid w:val="006147EB"/>
    <w:rsid w:val="006200EB"/>
    <w:rsid w:val="00621EA3"/>
    <w:rsid w:val="006324E0"/>
    <w:rsid w:val="0063519E"/>
    <w:rsid w:val="00640234"/>
    <w:rsid w:val="0064343A"/>
    <w:rsid w:val="00665FB6"/>
    <w:rsid w:val="0066795C"/>
    <w:rsid w:val="00667B5E"/>
    <w:rsid w:val="006949AF"/>
    <w:rsid w:val="006A008F"/>
    <w:rsid w:val="006A2ABA"/>
    <w:rsid w:val="006A2BCA"/>
    <w:rsid w:val="006A52C1"/>
    <w:rsid w:val="006A5AA6"/>
    <w:rsid w:val="006B349C"/>
    <w:rsid w:val="006D71DA"/>
    <w:rsid w:val="006E170D"/>
    <w:rsid w:val="006E698B"/>
    <w:rsid w:val="006F25A1"/>
    <w:rsid w:val="0071548B"/>
    <w:rsid w:val="00715A4A"/>
    <w:rsid w:val="007203E4"/>
    <w:rsid w:val="007204A9"/>
    <w:rsid w:val="0072538D"/>
    <w:rsid w:val="00736008"/>
    <w:rsid w:val="00740E77"/>
    <w:rsid w:val="0075249A"/>
    <w:rsid w:val="00756929"/>
    <w:rsid w:val="00767DBB"/>
    <w:rsid w:val="00771DC8"/>
    <w:rsid w:val="00774646"/>
    <w:rsid w:val="00780840"/>
    <w:rsid w:val="00781695"/>
    <w:rsid w:val="00783EC4"/>
    <w:rsid w:val="007851BE"/>
    <w:rsid w:val="007A02A7"/>
    <w:rsid w:val="007A038F"/>
    <w:rsid w:val="007A3AD4"/>
    <w:rsid w:val="007B1434"/>
    <w:rsid w:val="007C0935"/>
    <w:rsid w:val="007D5BA0"/>
    <w:rsid w:val="007E1C98"/>
    <w:rsid w:val="007E74EE"/>
    <w:rsid w:val="007F4E93"/>
    <w:rsid w:val="007F6CC4"/>
    <w:rsid w:val="008046D4"/>
    <w:rsid w:val="008059CB"/>
    <w:rsid w:val="008173BC"/>
    <w:rsid w:val="008204E7"/>
    <w:rsid w:val="008250D8"/>
    <w:rsid w:val="008265E5"/>
    <w:rsid w:val="00833792"/>
    <w:rsid w:val="00835B4D"/>
    <w:rsid w:val="00837A21"/>
    <w:rsid w:val="00852F35"/>
    <w:rsid w:val="00857363"/>
    <w:rsid w:val="0086394C"/>
    <w:rsid w:val="00874998"/>
    <w:rsid w:val="00876109"/>
    <w:rsid w:val="00880485"/>
    <w:rsid w:val="00883248"/>
    <w:rsid w:val="008A0614"/>
    <w:rsid w:val="008B44F5"/>
    <w:rsid w:val="008C0558"/>
    <w:rsid w:val="008C47A1"/>
    <w:rsid w:val="008C738F"/>
    <w:rsid w:val="008D6B9E"/>
    <w:rsid w:val="008E1024"/>
    <w:rsid w:val="008F2BB2"/>
    <w:rsid w:val="008F491B"/>
    <w:rsid w:val="00906A04"/>
    <w:rsid w:val="009111F2"/>
    <w:rsid w:val="00913ED0"/>
    <w:rsid w:val="00927650"/>
    <w:rsid w:val="0093222B"/>
    <w:rsid w:val="009429FD"/>
    <w:rsid w:val="00942CB6"/>
    <w:rsid w:val="00942CE9"/>
    <w:rsid w:val="00944F65"/>
    <w:rsid w:val="00946EA6"/>
    <w:rsid w:val="00954FF2"/>
    <w:rsid w:val="009615D2"/>
    <w:rsid w:val="00962EE8"/>
    <w:rsid w:val="00976EE9"/>
    <w:rsid w:val="009821BE"/>
    <w:rsid w:val="0098267F"/>
    <w:rsid w:val="00984376"/>
    <w:rsid w:val="009A350B"/>
    <w:rsid w:val="009A6D9C"/>
    <w:rsid w:val="009C14AA"/>
    <w:rsid w:val="009C60F6"/>
    <w:rsid w:val="009E350A"/>
    <w:rsid w:val="009E4EDB"/>
    <w:rsid w:val="009F0889"/>
    <w:rsid w:val="009F16DE"/>
    <w:rsid w:val="009F62F4"/>
    <w:rsid w:val="009F6A0F"/>
    <w:rsid w:val="00A008E6"/>
    <w:rsid w:val="00A06DF8"/>
    <w:rsid w:val="00A12C83"/>
    <w:rsid w:val="00A12F96"/>
    <w:rsid w:val="00A42517"/>
    <w:rsid w:val="00A57585"/>
    <w:rsid w:val="00A57FF6"/>
    <w:rsid w:val="00A62EF3"/>
    <w:rsid w:val="00A704F3"/>
    <w:rsid w:val="00A73C17"/>
    <w:rsid w:val="00A82A58"/>
    <w:rsid w:val="00A918A7"/>
    <w:rsid w:val="00AA1C38"/>
    <w:rsid w:val="00AA705F"/>
    <w:rsid w:val="00AC2CDC"/>
    <w:rsid w:val="00AD358D"/>
    <w:rsid w:val="00AD7805"/>
    <w:rsid w:val="00AE2B22"/>
    <w:rsid w:val="00B05108"/>
    <w:rsid w:val="00B23B3E"/>
    <w:rsid w:val="00B3208A"/>
    <w:rsid w:val="00B56736"/>
    <w:rsid w:val="00B6596F"/>
    <w:rsid w:val="00B73343"/>
    <w:rsid w:val="00B81D3E"/>
    <w:rsid w:val="00B92E61"/>
    <w:rsid w:val="00B97D3A"/>
    <w:rsid w:val="00BA3BD5"/>
    <w:rsid w:val="00BA7071"/>
    <w:rsid w:val="00BB1526"/>
    <w:rsid w:val="00BC75F1"/>
    <w:rsid w:val="00BC75F3"/>
    <w:rsid w:val="00BD171D"/>
    <w:rsid w:val="00BD57F5"/>
    <w:rsid w:val="00BE0F4D"/>
    <w:rsid w:val="00BE48A4"/>
    <w:rsid w:val="00BE56F0"/>
    <w:rsid w:val="00C034D3"/>
    <w:rsid w:val="00C03CD2"/>
    <w:rsid w:val="00C12D35"/>
    <w:rsid w:val="00C13310"/>
    <w:rsid w:val="00C17F81"/>
    <w:rsid w:val="00C32441"/>
    <w:rsid w:val="00C32E9F"/>
    <w:rsid w:val="00C47620"/>
    <w:rsid w:val="00C70947"/>
    <w:rsid w:val="00C909FF"/>
    <w:rsid w:val="00CC42EA"/>
    <w:rsid w:val="00CC6110"/>
    <w:rsid w:val="00CD0193"/>
    <w:rsid w:val="00CF55DD"/>
    <w:rsid w:val="00D03799"/>
    <w:rsid w:val="00D04E61"/>
    <w:rsid w:val="00D10635"/>
    <w:rsid w:val="00D11157"/>
    <w:rsid w:val="00D13C0A"/>
    <w:rsid w:val="00D34C09"/>
    <w:rsid w:val="00D500C1"/>
    <w:rsid w:val="00D51916"/>
    <w:rsid w:val="00D525B8"/>
    <w:rsid w:val="00D71A1A"/>
    <w:rsid w:val="00D75A12"/>
    <w:rsid w:val="00D8019E"/>
    <w:rsid w:val="00D859BB"/>
    <w:rsid w:val="00D9417E"/>
    <w:rsid w:val="00DA18A2"/>
    <w:rsid w:val="00DB4CBE"/>
    <w:rsid w:val="00DB61AC"/>
    <w:rsid w:val="00DC23E1"/>
    <w:rsid w:val="00DF2F8D"/>
    <w:rsid w:val="00E05FA4"/>
    <w:rsid w:val="00E12AB4"/>
    <w:rsid w:val="00E13082"/>
    <w:rsid w:val="00E155C1"/>
    <w:rsid w:val="00E2196D"/>
    <w:rsid w:val="00E224F4"/>
    <w:rsid w:val="00E2753F"/>
    <w:rsid w:val="00E27786"/>
    <w:rsid w:val="00E27CA0"/>
    <w:rsid w:val="00E43127"/>
    <w:rsid w:val="00E63FC4"/>
    <w:rsid w:val="00E82ED0"/>
    <w:rsid w:val="00E84F06"/>
    <w:rsid w:val="00E86296"/>
    <w:rsid w:val="00E92551"/>
    <w:rsid w:val="00EB6AA9"/>
    <w:rsid w:val="00EC4A85"/>
    <w:rsid w:val="00EC68BE"/>
    <w:rsid w:val="00ED0697"/>
    <w:rsid w:val="00F03073"/>
    <w:rsid w:val="00F11873"/>
    <w:rsid w:val="00F135EF"/>
    <w:rsid w:val="00F262A6"/>
    <w:rsid w:val="00F4153C"/>
    <w:rsid w:val="00F56752"/>
    <w:rsid w:val="00F620FD"/>
    <w:rsid w:val="00F64736"/>
    <w:rsid w:val="00F66078"/>
    <w:rsid w:val="00F7087B"/>
    <w:rsid w:val="00F736AF"/>
    <w:rsid w:val="00F83A8A"/>
    <w:rsid w:val="00F86700"/>
    <w:rsid w:val="00F87586"/>
    <w:rsid w:val="00F957C6"/>
    <w:rsid w:val="00FA6219"/>
    <w:rsid w:val="00FB0D46"/>
    <w:rsid w:val="00FB3AF5"/>
    <w:rsid w:val="00FB7CAD"/>
    <w:rsid w:val="00FC5955"/>
    <w:rsid w:val="00FD20A5"/>
    <w:rsid w:val="00FD2C22"/>
    <w:rsid w:val="00FD3C15"/>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818FC2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C"/>
    <w:pPr>
      <w:spacing w:after="160" w:line="264" w:lineRule="auto"/>
    </w:pPr>
    <w:rPr>
      <w:rFonts w:ascii="Calibri Light" w:hAnsi="Calibri Light"/>
      <w:color w:val="1C2B39"/>
      <w:sz w:val="20"/>
    </w:rPr>
  </w:style>
  <w:style w:type="paragraph" w:styleId="Heading1">
    <w:name w:val="heading 1"/>
    <w:basedOn w:val="Normal"/>
    <w:next w:val="Normal"/>
    <w:link w:val="Heading1Char"/>
    <w:uiPriority w:val="2"/>
    <w:qFormat/>
    <w:rsid w:val="002F382A"/>
    <w:pPr>
      <w:keepNext/>
      <w:keepLines/>
      <w:pBdr>
        <w:top w:val="single" w:sz="48" w:space="1" w:color="007279"/>
        <w:left w:val="single" w:sz="48" w:space="4" w:color="007279"/>
        <w:bottom w:val="single" w:sz="48" w:space="1" w:color="007279"/>
        <w:right w:val="single" w:sz="48" w:space="4" w:color="007279"/>
      </w:pBdr>
      <w:shd w:val="clear" w:color="auto" w:fill="007279"/>
      <w:spacing w:before="360" w:line="240" w:lineRule="auto"/>
      <w:outlineLvl w:val="0"/>
    </w:pPr>
    <w:rPr>
      <w:rFonts w:ascii="Calibri" w:eastAsiaTheme="majorEastAsia" w:hAnsi="Calibri" w:cstheme="majorBidi"/>
      <w:color w:val="FFFFFF" w:themeColor="background1"/>
      <w:sz w:val="48"/>
      <w:szCs w:val="40"/>
    </w:rPr>
  </w:style>
  <w:style w:type="paragraph" w:styleId="Heading2">
    <w:name w:val="heading 2"/>
    <w:basedOn w:val="Normal"/>
    <w:next w:val="Normal"/>
    <w:link w:val="Heading2Char"/>
    <w:uiPriority w:val="2"/>
    <w:qFormat/>
    <w:rsid w:val="008059CB"/>
    <w:pPr>
      <w:keepNext/>
      <w:keepLines/>
      <w:spacing w:before="240" w:line="240" w:lineRule="auto"/>
      <w:outlineLvl w:val="1"/>
    </w:pPr>
    <w:rPr>
      <w:rFonts w:ascii="Calibri" w:eastAsiaTheme="majorEastAsia" w:hAnsi="Calibri" w:cstheme="majorBidi"/>
      <w:sz w:val="36"/>
      <w:szCs w:val="28"/>
    </w:rPr>
  </w:style>
  <w:style w:type="paragraph" w:styleId="Heading3">
    <w:name w:val="heading 3"/>
    <w:basedOn w:val="Heading4"/>
    <w:next w:val="Normal"/>
    <w:link w:val="Heading3Char"/>
    <w:uiPriority w:val="2"/>
    <w:qFormat/>
    <w:rsid w:val="00E86296"/>
    <w:pPr>
      <w:outlineLvl w:val="2"/>
    </w:pPr>
    <w:rPr>
      <w:color w:val="1C2B39"/>
      <w:sz w:val="24"/>
      <w:szCs w:val="24"/>
    </w:rPr>
  </w:style>
  <w:style w:type="paragraph" w:styleId="Heading4">
    <w:name w:val="heading 4"/>
    <w:basedOn w:val="Normal"/>
    <w:next w:val="Normal"/>
    <w:link w:val="Heading4Char"/>
    <w:uiPriority w:val="2"/>
    <w:qFormat/>
    <w:rsid w:val="00E86296"/>
    <w:pPr>
      <w:keepNext/>
      <w:keepLines/>
      <w:spacing w:before="240"/>
      <w:outlineLvl w:val="3"/>
    </w:pPr>
    <w:rPr>
      <w:rFonts w:eastAsiaTheme="majorEastAsia" w:cstheme="minorHAnsi"/>
      <w:b/>
      <w:color w:val="007279"/>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F382A"/>
    <w:rPr>
      <w:rFonts w:ascii="Calibri" w:eastAsiaTheme="majorEastAsia" w:hAnsi="Calibri" w:cstheme="majorBidi"/>
      <w:color w:val="FFFFFF" w:themeColor="background1"/>
      <w:sz w:val="48"/>
      <w:szCs w:val="40"/>
      <w:shd w:val="clear" w:color="auto" w:fill="007279"/>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8059CB"/>
    <w:rPr>
      <w:rFonts w:ascii="Calibri" w:eastAsiaTheme="majorEastAsia" w:hAnsi="Calibri" w:cstheme="majorBidi"/>
      <w:color w:val="1C2B39"/>
      <w:sz w:val="36"/>
      <w:szCs w:val="28"/>
    </w:rPr>
  </w:style>
  <w:style w:type="character" w:customStyle="1" w:styleId="Heading3Char">
    <w:name w:val="Heading 3 Char"/>
    <w:basedOn w:val="DefaultParagraphFont"/>
    <w:link w:val="Heading3"/>
    <w:uiPriority w:val="2"/>
    <w:rsid w:val="00E86296"/>
    <w:rPr>
      <w:rFonts w:eastAsiaTheme="majorEastAsia" w:cstheme="minorHAnsi"/>
      <w:b/>
      <w:color w:val="1C2B39"/>
      <w:sz w:val="24"/>
      <w:szCs w:val="24"/>
    </w:rPr>
  </w:style>
  <w:style w:type="character" w:customStyle="1" w:styleId="Heading4Char">
    <w:name w:val="Heading 4 Char"/>
    <w:basedOn w:val="DefaultParagraphFont"/>
    <w:link w:val="Heading4"/>
    <w:uiPriority w:val="2"/>
    <w:rsid w:val="00E86296"/>
    <w:rPr>
      <w:rFonts w:eastAsiaTheme="majorEastAsia" w:cstheme="minorHAnsi"/>
      <w:b/>
      <w:color w:val="007279"/>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1"/>
    <w:next w:val="BOXText"/>
    <w:uiPriority w:val="6"/>
    <w:qFormat/>
    <w:rsid w:val="006949AF"/>
    <w:pPr>
      <w:spacing w:before="240" w:after="0"/>
      <w:ind w:left="227" w:right="227"/>
    </w:pPr>
    <w:rPr>
      <w:sz w:val="36"/>
    </w:r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D71DA"/>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8059CB"/>
    <w:pPr>
      <w:numPr>
        <w:numId w:val="27"/>
      </w:numPr>
      <w:spacing w:before="240"/>
    </w:pPr>
    <w:rPr>
      <w:rFonts w:cs="Segoe UI"/>
      <w:color w:val="007279"/>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8059CB"/>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NormalWeb">
    <w:name w:val="Normal (Web)"/>
    <w:basedOn w:val="Normal"/>
    <w:uiPriority w:val="99"/>
    <w:semiHidden/>
    <w:unhideWhenUsed/>
    <w:rsid w:val="005505E3"/>
    <w:pPr>
      <w:spacing w:before="100" w:beforeAutospacing="1" w:after="100" w:afterAutospacing="1" w:line="240" w:lineRule="auto"/>
    </w:pPr>
    <w:rPr>
      <w:rFonts w:ascii="Times New Roman" w:hAnsi="Times New Roman" w:cs="Times New Roman"/>
      <w:sz w:val="24"/>
      <w:szCs w:val="24"/>
      <w:lang w:eastAsia="en-AU"/>
    </w:rPr>
  </w:style>
  <w:style w:type="table" w:customStyle="1" w:styleId="Custom11">
    <w:name w:val="Custom 11"/>
    <w:basedOn w:val="TableNormal"/>
    <w:uiPriority w:val="99"/>
    <w:rsid w:val="005505E3"/>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paragraph" w:styleId="Revision">
    <w:name w:val="Revision"/>
    <w:hidden/>
    <w:uiPriority w:val="99"/>
    <w:semiHidden/>
    <w:rsid w:val="00BA3BD5"/>
    <w:pPr>
      <w:spacing w:after="0" w:line="240" w:lineRule="auto"/>
    </w:pPr>
    <w:rPr>
      <w:rFonts w:ascii="Calibri Light" w:hAnsi="Calibri Light"/>
      <w:color w:val="1C2B39"/>
      <w:sz w:val="20"/>
    </w:rPr>
  </w:style>
  <w:style w:type="character" w:styleId="CommentReference">
    <w:name w:val="annotation reference"/>
    <w:basedOn w:val="DefaultParagraphFont"/>
    <w:uiPriority w:val="99"/>
    <w:semiHidden/>
    <w:unhideWhenUsed/>
    <w:rsid w:val="004D4FDE"/>
    <w:rPr>
      <w:sz w:val="16"/>
      <w:szCs w:val="16"/>
    </w:rPr>
  </w:style>
  <w:style w:type="paragraph" w:styleId="CommentText">
    <w:name w:val="annotation text"/>
    <w:basedOn w:val="Normal"/>
    <w:link w:val="CommentTextChar"/>
    <w:uiPriority w:val="99"/>
    <w:unhideWhenUsed/>
    <w:rsid w:val="004D4FDE"/>
    <w:pPr>
      <w:spacing w:line="240" w:lineRule="auto"/>
    </w:pPr>
    <w:rPr>
      <w:szCs w:val="20"/>
    </w:rPr>
  </w:style>
  <w:style w:type="character" w:customStyle="1" w:styleId="CommentTextChar">
    <w:name w:val="Comment Text Char"/>
    <w:basedOn w:val="DefaultParagraphFont"/>
    <w:link w:val="CommentText"/>
    <w:uiPriority w:val="99"/>
    <w:rsid w:val="004D4FDE"/>
    <w:rPr>
      <w:rFonts w:ascii="Calibri Light" w:hAnsi="Calibri Light"/>
      <w:color w:val="1C2B39"/>
      <w:sz w:val="20"/>
      <w:szCs w:val="20"/>
    </w:rPr>
  </w:style>
  <w:style w:type="paragraph" w:styleId="CommentSubject">
    <w:name w:val="annotation subject"/>
    <w:basedOn w:val="CommentText"/>
    <w:next w:val="CommentText"/>
    <w:link w:val="CommentSubjectChar"/>
    <w:uiPriority w:val="99"/>
    <w:semiHidden/>
    <w:unhideWhenUsed/>
    <w:rsid w:val="004D4FDE"/>
    <w:rPr>
      <w:b/>
      <w:bCs/>
    </w:rPr>
  </w:style>
  <w:style w:type="character" w:customStyle="1" w:styleId="CommentSubjectChar">
    <w:name w:val="Comment Subject Char"/>
    <w:basedOn w:val="CommentTextChar"/>
    <w:link w:val="CommentSubject"/>
    <w:uiPriority w:val="99"/>
    <w:semiHidden/>
    <w:rsid w:val="004D4FDE"/>
    <w:rPr>
      <w:rFonts w:ascii="Calibri Light" w:hAnsi="Calibri Light"/>
      <w:b/>
      <w:bCs/>
      <w:color w:val="1C2B39"/>
      <w:sz w:val="20"/>
      <w:szCs w:val="20"/>
    </w:rPr>
  </w:style>
  <w:style w:type="character" w:customStyle="1" w:styleId="UnresolvedMention1">
    <w:name w:val="Unresolved Mention1"/>
    <w:basedOn w:val="DefaultParagraphFont"/>
    <w:uiPriority w:val="99"/>
    <w:semiHidden/>
    <w:unhideWhenUsed/>
    <w:rsid w:val="006A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987">
      <w:bodyDiv w:val="1"/>
      <w:marLeft w:val="0"/>
      <w:marRight w:val="0"/>
      <w:marTop w:val="0"/>
      <w:marBottom w:val="0"/>
      <w:divBdr>
        <w:top w:val="none" w:sz="0" w:space="0" w:color="auto"/>
        <w:left w:val="none" w:sz="0" w:space="0" w:color="auto"/>
        <w:bottom w:val="none" w:sz="0" w:space="0" w:color="auto"/>
        <w:right w:val="none" w:sz="0" w:space="0" w:color="auto"/>
      </w:divBdr>
      <w:divsChild>
        <w:div w:id="783230401">
          <w:marLeft w:val="274"/>
          <w:marRight w:val="0"/>
          <w:marTop w:val="0"/>
          <w:marBottom w:val="0"/>
          <w:divBdr>
            <w:top w:val="none" w:sz="0" w:space="0" w:color="auto"/>
            <w:left w:val="none" w:sz="0" w:space="0" w:color="auto"/>
            <w:bottom w:val="none" w:sz="0" w:space="0" w:color="auto"/>
            <w:right w:val="none" w:sz="0" w:space="0" w:color="auto"/>
          </w:divBdr>
        </w:div>
        <w:div w:id="816074381">
          <w:marLeft w:val="274"/>
          <w:marRight w:val="0"/>
          <w:marTop w:val="0"/>
          <w:marBottom w:val="0"/>
          <w:divBdr>
            <w:top w:val="none" w:sz="0" w:space="0" w:color="auto"/>
            <w:left w:val="none" w:sz="0" w:space="0" w:color="auto"/>
            <w:bottom w:val="none" w:sz="0" w:space="0" w:color="auto"/>
            <w:right w:val="none" w:sz="0" w:space="0" w:color="auto"/>
          </w:divBdr>
        </w:div>
        <w:div w:id="18437900">
          <w:marLeft w:val="274"/>
          <w:marRight w:val="0"/>
          <w:marTop w:val="0"/>
          <w:marBottom w:val="0"/>
          <w:divBdr>
            <w:top w:val="none" w:sz="0" w:space="0" w:color="auto"/>
            <w:left w:val="none" w:sz="0" w:space="0" w:color="auto"/>
            <w:bottom w:val="none" w:sz="0" w:space="0" w:color="auto"/>
            <w:right w:val="none" w:sz="0" w:space="0" w:color="auto"/>
          </w:divBdr>
        </w:div>
      </w:divsChild>
    </w:div>
    <w:div w:id="441608297">
      <w:bodyDiv w:val="1"/>
      <w:marLeft w:val="0"/>
      <w:marRight w:val="0"/>
      <w:marTop w:val="0"/>
      <w:marBottom w:val="0"/>
      <w:divBdr>
        <w:top w:val="none" w:sz="0" w:space="0" w:color="auto"/>
        <w:left w:val="none" w:sz="0" w:space="0" w:color="auto"/>
        <w:bottom w:val="none" w:sz="0" w:space="0" w:color="auto"/>
        <w:right w:val="none" w:sz="0" w:space="0" w:color="auto"/>
      </w:divBdr>
    </w:div>
    <w:div w:id="917054767">
      <w:bodyDiv w:val="1"/>
      <w:marLeft w:val="0"/>
      <w:marRight w:val="0"/>
      <w:marTop w:val="0"/>
      <w:marBottom w:val="0"/>
      <w:divBdr>
        <w:top w:val="none" w:sz="0" w:space="0" w:color="auto"/>
        <w:left w:val="none" w:sz="0" w:space="0" w:color="auto"/>
        <w:bottom w:val="none" w:sz="0" w:space="0" w:color="auto"/>
        <w:right w:val="none" w:sz="0" w:space="0" w:color="auto"/>
      </w:divBdr>
    </w:div>
    <w:div w:id="1405909050">
      <w:bodyDiv w:val="1"/>
      <w:marLeft w:val="0"/>
      <w:marRight w:val="0"/>
      <w:marTop w:val="0"/>
      <w:marBottom w:val="0"/>
      <w:divBdr>
        <w:top w:val="none" w:sz="0" w:space="0" w:color="auto"/>
        <w:left w:val="none" w:sz="0" w:space="0" w:color="auto"/>
        <w:bottom w:val="none" w:sz="0" w:space="0" w:color="auto"/>
        <w:right w:val="none" w:sz="0" w:space="0" w:color="auto"/>
      </w:divBdr>
      <w:divsChild>
        <w:div w:id="352000906">
          <w:marLeft w:val="274"/>
          <w:marRight w:val="0"/>
          <w:marTop w:val="0"/>
          <w:marBottom w:val="0"/>
          <w:divBdr>
            <w:top w:val="none" w:sz="0" w:space="0" w:color="auto"/>
            <w:left w:val="none" w:sz="0" w:space="0" w:color="auto"/>
            <w:bottom w:val="none" w:sz="0" w:space="0" w:color="auto"/>
            <w:right w:val="none" w:sz="0" w:space="0" w:color="auto"/>
          </w:divBdr>
        </w:div>
        <w:div w:id="1153835643">
          <w:marLeft w:val="274"/>
          <w:marRight w:val="0"/>
          <w:marTop w:val="0"/>
          <w:marBottom w:val="0"/>
          <w:divBdr>
            <w:top w:val="none" w:sz="0" w:space="0" w:color="auto"/>
            <w:left w:val="none" w:sz="0" w:space="0" w:color="auto"/>
            <w:bottom w:val="none" w:sz="0" w:space="0" w:color="auto"/>
            <w:right w:val="none" w:sz="0" w:space="0" w:color="auto"/>
          </w:divBdr>
        </w:div>
      </w:divsChild>
    </w:div>
    <w:div w:id="1611088431">
      <w:bodyDiv w:val="1"/>
      <w:marLeft w:val="0"/>
      <w:marRight w:val="0"/>
      <w:marTop w:val="0"/>
      <w:marBottom w:val="0"/>
      <w:divBdr>
        <w:top w:val="none" w:sz="0" w:space="0" w:color="auto"/>
        <w:left w:val="none" w:sz="0" w:space="0" w:color="auto"/>
        <w:bottom w:val="none" w:sz="0" w:space="0" w:color="auto"/>
        <w:right w:val="none" w:sz="0" w:space="0" w:color="auto"/>
      </w:divBdr>
      <w:divsChild>
        <w:div w:id="1800764290">
          <w:marLeft w:val="274"/>
          <w:marRight w:val="0"/>
          <w:marTop w:val="0"/>
          <w:marBottom w:val="0"/>
          <w:divBdr>
            <w:top w:val="none" w:sz="0" w:space="0" w:color="auto"/>
            <w:left w:val="none" w:sz="0" w:space="0" w:color="auto"/>
            <w:bottom w:val="none" w:sz="0" w:space="0" w:color="auto"/>
            <w:right w:val="none" w:sz="0" w:space="0" w:color="auto"/>
          </w:divBdr>
        </w:div>
        <w:div w:id="1867476915">
          <w:marLeft w:val="274"/>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87900609">
      <w:bodyDiv w:val="1"/>
      <w:marLeft w:val="0"/>
      <w:marRight w:val="0"/>
      <w:marTop w:val="0"/>
      <w:marBottom w:val="0"/>
      <w:divBdr>
        <w:top w:val="none" w:sz="0" w:space="0" w:color="auto"/>
        <w:left w:val="none" w:sz="0" w:space="0" w:color="auto"/>
        <w:bottom w:val="none" w:sz="0" w:space="0" w:color="auto"/>
        <w:right w:val="none" w:sz="0" w:space="0" w:color="auto"/>
      </w:divBdr>
    </w:div>
    <w:div w:id="1725524707">
      <w:bodyDiv w:val="1"/>
      <w:marLeft w:val="0"/>
      <w:marRight w:val="0"/>
      <w:marTop w:val="0"/>
      <w:marBottom w:val="0"/>
      <w:divBdr>
        <w:top w:val="none" w:sz="0" w:space="0" w:color="auto"/>
        <w:left w:val="none" w:sz="0" w:space="0" w:color="auto"/>
        <w:bottom w:val="none" w:sz="0" w:space="0" w:color="auto"/>
        <w:right w:val="none" w:sz="0" w:space="0" w:color="auto"/>
      </w:divBdr>
      <w:divsChild>
        <w:div w:id="295721208">
          <w:marLeft w:val="274"/>
          <w:marRight w:val="0"/>
          <w:marTop w:val="0"/>
          <w:marBottom w:val="0"/>
          <w:divBdr>
            <w:top w:val="none" w:sz="0" w:space="0" w:color="auto"/>
            <w:left w:val="none" w:sz="0" w:space="0" w:color="auto"/>
            <w:bottom w:val="none" w:sz="0" w:space="0" w:color="auto"/>
            <w:right w:val="none" w:sz="0" w:space="0" w:color="auto"/>
          </w:divBdr>
        </w:div>
        <w:div w:id="292172045">
          <w:marLeft w:val="274"/>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58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92"/>
    <w:rsid w:val="00030B92"/>
    <w:rsid w:val="00214040"/>
    <w:rsid w:val="002D20AE"/>
    <w:rsid w:val="0036534B"/>
    <w:rsid w:val="005A2276"/>
    <w:rsid w:val="0063519E"/>
    <w:rsid w:val="008075C8"/>
    <w:rsid w:val="00855446"/>
    <w:rsid w:val="00C32441"/>
    <w:rsid w:val="00DA3BCB"/>
    <w:rsid w:val="00DC23E1"/>
    <w:rsid w:val="00FB0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E34991C9F1408FB1312CB63DDEC188">
    <w:name w:val="8FE34991C9F1408FB1312CB63DDEC188"/>
  </w:style>
  <w:style w:type="paragraph" w:customStyle="1" w:styleId="AC9ED6C5216F4AB39880D8C2FB20B9BE">
    <w:name w:val="AC9ED6C5216F4AB39880D8C2FB20B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482D-A6DC-48A3-B991-59054ABF49BB}">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2241</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2025-08-25T04:31:00Z</dcterms:created>
  <dcterms:modified xsi:type="dcterms:W3CDTF">2025-08-25T04:31:00Z</dcterms:modified>
  <cp:category/>
</cp:coreProperties>
</file>