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7BD63" w14:textId="3DA01DC8" w:rsidR="0088721C" w:rsidRDefault="0088721C" w:rsidP="0088721C">
      <w:pPr>
        <w:pStyle w:val="Title"/>
      </w:pPr>
      <w:r>
        <w:t xml:space="preserve">Home Guarantee Scheme Expansion – </w:t>
      </w:r>
    </w:p>
    <w:p w14:paraId="4B45107F" w14:textId="7BC4324A" w:rsidR="00DC7458" w:rsidRPr="00A030B1" w:rsidRDefault="0088721C" w:rsidP="00A030B1">
      <w:pPr>
        <w:pStyle w:val="Title"/>
        <w:rPr>
          <w:i/>
        </w:rPr>
      </w:pPr>
      <w:r>
        <w:rPr>
          <w:i/>
          <w:iCs/>
        </w:rPr>
        <w:t>Supplementary Analysis</w:t>
      </w:r>
    </w:p>
    <w:p w14:paraId="3396C1DD" w14:textId="1C20EFB7" w:rsidR="00DC7458" w:rsidRPr="00655A2C" w:rsidRDefault="00DC7458" w:rsidP="00DC7458">
      <w:pPr>
        <w:pStyle w:val="Heading2"/>
        <w:rPr>
          <w:rFonts w:asciiTheme="minorHAnsi" w:hAnsiTheme="minorHAnsi" w:cstheme="minorBidi"/>
          <w:u w:val="single"/>
        </w:rPr>
      </w:pPr>
      <w:r w:rsidRPr="5D0E8126">
        <w:rPr>
          <w:rFonts w:asciiTheme="minorHAnsi" w:hAnsiTheme="minorHAnsi" w:cstheme="minorBidi"/>
          <w:u w:val="single"/>
        </w:rPr>
        <w:t xml:space="preserve">Introduction </w:t>
      </w:r>
    </w:p>
    <w:p w14:paraId="61422859" w14:textId="5E99FB97" w:rsidR="0009229D" w:rsidRDefault="00C8762C" w:rsidP="0009229D">
      <w:pPr>
        <w:pStyle w:val="Heading4"/>
      </w:pPr>
      <w:r>
        <w:t xml:space="preserve">Government Commitment </w:t>
      </w:r>
    </w:p>
    <w:p w14:paraId="6627D371" w14:textId="56B816CB" w:rsidR="005373E5" w:rsidRDefault="0099282D" w:rsidP="005373E5">
      <w:r>
        <w:t>This Impact Analysis has been prepared by the Department of the Treasur</w:t>
      </w:r>
      <w:bookmarkStart w:id="0" w:name="_GoBack"/>
      <w:bookmarkEnd w:id="0"/>
      <w:r>
        <w:t xml:space="preserve">y to </w:t>
      </w:r>
      <w:r w:rsidR="00695963">
        <w:t>inform</w:t>
      </w:r>
      <w:r>
        <w:t xml:space="preserve"> the Government’s decision to implement the 5% deposits for all first home </w:t>
      </w:r>
      <w:proofErr w:type="gramStart"/>
      <w:r>
        <w:t>buyers</w:t>
      </w:r>
      <w:proofErr w:type="gramEnd"/>
      <w:r>
        <w:t xml:space="preserve"> election commitment.</w:t>
      </w:r>
      <w:r w:rsidR="005373E5" w:rsidRPr="003E376A">
        <w:t xml:space="preserve"> </w:t>
      </w:r>
      <w:r>
        <w:t xml:space="preserve">Under the commitment, announced on </w:t>
      </w:r>
      <w:r w:rsidR="005373E5" w:rsidRPr="003E376A">
        <w:t xml:space="preserve">13 April 2025, </w:t>
      </w:r>
      <w:r w:rsidR="00F72038">
        <w:t xml:space="preserve">all first home buyers </w:t>
      </w:r>
      <w:r>
        <w:t xml:space="preserve">will be able to </w:t>
      </w:r>
      <w:r w:rsidR="00F72038">
        <w:t xml:space="preserve">access 5 per cent deposits </w:t>
      </w:r>
      <w:r>
        <w:t xml:space="preserve">through an expanded </w:t>
      </w:r>
      <w:r w:rsidR="00813E53">
        <w:t>Home Guarant</w:t>
      </w:r>
      <w:r w:rsidR="00FD73E2">
        <w:t>ee Scheme (</w:t>
      </w:r>
      <w:r w:rsidR="005373E5" w:rsidRPr="003E376A">
        <w:t>HGS</w:t>
      </w:r>
      <w:r w:rsidR="00FD73E2">
        <w:t>)</w:t>
      </w:r>
      <w:r w:rsidR="009D7215">
        <w:t xml:space="preserve">. </w:t>
      </w:r>
      <w:r w:rsidR="00695963">
        <w:t>T</w:t>
      </w:r>
      <w:r w:rsidR="009D7215" w:rsidRPr="00FF485A">
        <w:t>he</w:t>
      </w:r>
      <w:r w:rsidR="00897BC1" w:rsidRPr="00FF485A">
        <w:t>re</w:t>
      </w:r>
      <w:r w:rsidR="007F0EBC" w:rsidRPr="00FF485A">
        <w:t xml:space="preserve"> will</w:t>
      </w:r>
      <w:r w:rsidR="00897BC1" w:rsidRPr="00FF485A">
        <w:t xml:space="preserve"> be no caps </w:t>
      </w:r>
      <w:r w:rsidR="00FE2E9A" w:rsidRPr="00FF485A">
        <w:t xml:space="preserve">on how </w:t>
      </w:r>
      <w:r w:rsidR="008F557B" w:rsidRPr="00FF485A">
        <w:t xml:space="preserve">many </w:t>
      </w:r>
      <w:r w:rsidR="00A9470E" w:rsidRPr="00FF485A">
        <w:t xml:space="preserve">people </w:t>
      </w:r>
      <w:r w:rsidR="00721B1E" w:rsidRPr="00FF485A">
        <w:t>can apply</w:t>
      </w:r>
      <w:r w:rsidR="002D6D29" w:rsidRPr="00BB3EC3">
        <w:t xml:space="preserve"> and </w:t>
      </w:r>
      <w:r w:rsidR="003C1A71" w:rsidRPr="00400576">
        <w:t>no limit on</w:t>
      </w:r>
      <w:r w:rsidR="00220E9C" w:rsidRPr="00BB3EC3">
        <w:t xml:space="preserve"> </w:t>
      </w:r>
      <w:r w:rsidR="000572BC" w:rsidRPr="00BB3EC3">
        <w:t xml:space="preserve">how much </w:t>
      </w:r>
      <w:r w:rsidR="003C1A71" w:rsidRPr="00400576">
        <w:t xml:space="preserve">an </w:t>
      </w:r>
      <w:r w:rsidR="004F5233" w:rsidRPr="00400576">
        <w:t>applicant</w:t>
      </w:r>
      <w:r w:rsidR="00D523E0" w:rsidRPr="00400576">
        <w:t>, or their partner,</w:t>
      </w:r>
      <w:r w:rsidR="004F5233" w:rsidRPr="00400576">
        <w:t xml:space="preserve"> can earn</w:t>
      </w:r>
      <w:r w:rsidR="00D523E0" w:rsidRPr="00400576">
        <w:t xml:space="preserve">. </w:t>
      </w:r>
      <w:r w:rsidR="00053C3E" w:rsidRPr="00400576">
        <w:t xml:space="preserve">Property price caps will also increase </w:t>
      </w:r>
      <w:r w:rsidR="002A1B65" w:rsidRPr="00400576">
        <w:t xml:space="preserve">and are provided </w:t>
      </w:r>
      <w:r w:rsidR="004E61F5" w:rsidRPr="00400576">
        <w:t>at</w:t>
      </w:r>
      <w:r w:rsidR="00FF485A" w:rsidRPr="00400576">
        <w:t xml:space="preserve"> Appendix A</w:t>
      </w:r>
      <w:r w:rsidR="005373E5" w:rsidRPr="00FF485A">
        <w:t>. The Government has committed to industry consultation</w:t>
      </w:r>
      <w:r w:rsidR="00F56CC9" w:rsidRPr="00B10046">
        <w:t xml:space="preserve"> to support implementation</w:t>
      </w:r>
      <w:r w:rsidR="005373E5" w:rsidRPr="00FF485A">
        <w:t xml:space="preserve">. </w:t>
      </w:r>
    </w:p>
    <w:p w14:paraId="3997FA13" w14:textId="77777777" w:rsidR="00DC7458" w:rsidRPr="00544987" w:rsidRDefault="00DC7458" w:rsidP="00DC7458">
      <w:pPr>
        <w:pStyle w:val="Heading4"/>
      </w:pPr>
      <w:r w:rsidRPr="00544987">
        <w:t>About this Supplementary Analysis</w:t>
      </w:r>
    </w:p>
    <w:p w14:paraId="6F92F887" w14:textId="4A84F878" w:rsidR="00B625F5" w:rsidRDefault="00B625F5" w:rsidP="00DC7458">
      <w:r>
        <w:t>An Impact Analysis is required when a</w:t>
      </w:r>
      <w:r w:rsidRPr="00B625F5">
        <w:t xml:space="preserve"> policy proposal or action of government, with an expectation of compliance, would result in a more than minor change in behaviour or impact for people, businesses or community organisations.</w:t>
      </w:r>
      <w:r w:rsidR="00BE6905">
        <w:t xml:space="preserve"> </w:t>
      </w:r>
    </w:p>
    <w:p w14:paraId="3EFD4688" w14:textId="0FDA942E" w:rsidR="00BE6905" w:rsidRDefault="00BE6905" w:rsidP="00DC7458">
      <w:r>
        <w:t xml:space="preserve">The Office of Impact Analysis has </w:t>
      </w:r>
      <w:r w:rsidR="0011300F">
        <w:t xml:space="preserve">assessed that the Government’s </w:t>
      </w:r>
      <w:r w:rsidR="004F7CB5">
        <w:t>c</w:t>
      </w:r>
      <w:r w:rsidR="0011300F">
        <w:t xml:space="preserve">ommitment to </w:t>
      </w:r>
      <w:r w:rsidR="004F7CB5">
        <w:t>e</w:t>
      </w:r>
      <w:r w:rsidR="0011300F">
        <w:t xml:space="preserve">xpand the </w:t>
      </w:r>
      <w:r w:rsidR="00C26560">
        <w:t>HGS</w:t>
      </w:r>
      <w:r w:rsidR="0011300F">
        <w:t xml:space="preserve"> will have more than a minor impact.</w:t>
      </w:r>
    </w:p>
    <w:p w14:paraId="24773BF4" w14:textId="1D510EDC" w:rsidR="00BA5290" w:rsidRDefault="00F52AC4" w:rsidP="00DC7458">
      <w:r>
        <w:t xml:space="preserve">In special cases where </w:t>
      </w:r>
      <w:r w:rsidR="00ED69AB">
        <w:t xml:space="preserve">a </w:t>
      </w:r>
      <w:r>
        <w:t xml:space="preserve">comprehensive review has already been undertaken, </w:t>
      </w:r>
      <w:r w:rsidR="00ED69AB">
        <w:t xml:space="preserve">an </w:t>
      </w:r>
      <w:r w:rsidR="005A34FE">
        <w:t xml:space="preserve">Impact Analysis Equivalent </w:t>
      </w:r>
      <w:r w:rsidR="00ED69AB">
        <w:t>is</w:t>
      </w:r>
      <w:r w:rsidR="005A34FE">
        <w:t xml:space="preserve"> able to meet the </w:t>
      </w:r>
      <w:r w:rsidR="007E7B26">
        <w:t xml:space="preserve">requirement </w:t>
      </w:r>
      <w:r>
        <w:t>for a</w:t>
      </w:r>
      <w:r w:rsidR="00BA5290">
        <w:t xml:space="preserve">n </w:t>
      </w:r>
      <w:r w:rsidR="00CC64C1" w:rsidRPr="00CC64C1">
        <w:t xml:space="preserve">Impact </w:t>
      </w:r>
      <w:r>
        <w:t>A</w:t>
      </w:r>
      <w:r w:rsidR="00F459A9">
        <w:t>nalysis</w:t>
      </w:r>
      <w:r w:rsidR="00CC64C1" w:rsidRPr="00CC64C1">
        <w:t>.</w:t>
      </w:r>
      <w:r w:rsidR="002B42CD">
        <w:t xml:space="preserve"> </w:t>
      </w:r>
      <w:r w:rsidR="001763F2" w:rsidRPr="001763F2">
        <w:t xml:space="preserve">Given an Impact Analysis has been completed </w:t>
      </w:r>
      <w:r w:rsidR="00E37F44">
        <w:t>to support</w:t>
      </w:r>
      <w:r w:rsidR="001763F2" w:rsidRPr="001763F2">
        <w:t xml:space="preserve"> an earlier </w:t>
      </w:r>
      <w:r w:rsidR="00E37F44">
        <w:t>government decision to expand</w:t>
      </w:r>
      <w:r w:rsidR="001763F2" w:rsidRPr="001763F2">
        <w:t xml:space="preserve"> the </w:t>
      </w:r>
      <w:r w:rsidR="005C7DAB">
        <w:t>HGS</w:t>
      </w:r>
      <w:r w:rsidR="001763F2" w:rsidRPr="001763F2">
        <w:t xml:space="preserve"> (as published </w:t>
      </w:r>
      <w:hyperlink r:id="rId7" w:history="1">
        <w:r w:rsidR="00DB1A74">
          <w:rPr>
            <w:rStyle w:val="Hyperlink"/>
          </w:rPr>
          <w:t>here</w:t>
        </w:r>
      </w:hyperlink>
      <w:r w:rsidR="001763F2" w:rsidRPr="001763F2">
        <w:t>)</w:t>
      </w:r>
      <w:r w:rsidR="00ED69AB">
        <w:t>, t</w:t>
      </w:r>
      <w:r w:rsidR="00DC7458">
        <w:t xml:space="preserve">he </w:t>
      </w:r>
      <w:r w:rsidR="00DC7458" w:rsidRPr="00DC7458">
        <w:t>O</w:t>
      </w:r>
      <w:r w:rsidR="00DC7458">
        <w:t xml:space="preserve">ffice of </w:t>
      </w:r>
      <w:r w:rsidR="00DC7458" w:rsidRPr="00DC7458">
        <w:t>I</w:t>
      </w:r>
      <w:r w:rsidR="00DC7458">
        <w:t>mpact Analysis</w:t>
      </w:r>
      <w:r w:rsidR="00DC7458" w:rsidRPr="00DC7458">
        <w:t xml:space="preserve"> has agreed to Treasury certifying </w:t>
      </w:r>
      <w:r w:rsidR="00ED69AB">
        <w:t>this</w:t>
      </w:r>
      <w:r w:rsidR="00BA5290">
        <w:t xml:space="preserve"> previous </w:t>
      </w:r>
      <w:r w:rsidR="00ED69AB">
        <w:t>analysis</w:t>
      </w:r>
      <w:r w:rsidR="00BA5290">
        <w:t xml:space="preserve"> </w:t>
      </w:r>
      <w:r w:rsidR="00DC7458" w:rsidRPr="00DC7458">
        <w:t xml:space="preserve">together with supplementary analysis </w:t>
      </w:r>
      <w:r w:rsidR="00BA5290">
        <w:t>to form</w:t>
      </w:r>
      <w:r w:rsidR="00DC7458" w:rsidRPr="00DC7458">
        <w:t xml:space="preserve"> an Impact Analysis Equivalent</w:t>
      </w:r>
      <w:r w:rsidR="00BA5290">
        <w:t xml:space="preserve">. </w:t>
      </w:r>
    </w:p>
    <w:p w14:paraId="300BAD31" w14:textId="41979934" w:rsidR="00DC4083" w:rsidRDefault="00ED69AB" w:rsidP="00DC7458">
      <w:r>
        <w:t>To</w:t>
      </w:r>
      <w:r w:rsidR="00BA5290">
        <w:t xml:space="preserve"> </w:t>
      </w:r>
      <w:r>
        <w:t xml:space="preserve">ensure </w:t>
      </w:r>
      <w:r w:rsidR="000F0FD8">
        <w:t>the impacts of</w:t>
      </w:r>
      <w:r w:rsidR="00DC4083">
        <w:t xml:space="preserve"> this </w:t>
      </w:r>
      <w:r w:rsidR="006765E5">
        <w:t>commitment’s specific parameters are considered</w:t>
      </w:r>
      <w:r w:rsidR="00D75395">
        <w:t>,</w:t>
      </w:r>
      <w:r w:rsidR="00DC4083">
        <w:t xml:space="preserve"> t</w:t>
      </w:r>
      <w:r w:rsidR="00DC7458" w:rsidRPr="00DC7458">
        <w:t xml:space="preserve">his supplementary analysis will </w:t>
      </w:r>
      <w:r w:rsidR="00DC4083">
        <w:t>consider</w:t>
      </w:r>
      <w:r w:rsidR="00D75395">
        <w:t>:</w:t>
      </w:r>
    </w:p>
    <w:p w14:paraId="56EADDB2" w14:textId="5B5301FA" w:rsidR="00DC4083" w:rsidRDefault="00DC7458" w:rsidP="00DC4083">
      <w:pPr>
        <w:pStyle w:val="Bullet"/>
      </w:pPr>
      <w:r w:rsidRPr="00DC7458">
        <w:t xml:space="preserve">impacts on </w:t>
      </w:r>
      <w:r w:rsidR="000D587A">
        <w:t>l</w:t>
      </w:r>
      <w:r w:rsidRPr="00DC7458">
        <w:t>ender</w:t>
      </w:r>
      <w:r w:rsidR="000D587A">
        <w:t>s</w:t>
      </w:r>
      <w:r w:rsidRPr="00DC7458">
        <w:t xml:space="preserve"> </w:t>
      </w:r>
      <w:r w:rsidR="000D587A">
        <w:t>m</w:t>
      </w:r>
      <w:r w:rsidRPr="00DC7458">
        <w:t xml:space="preserve">ortgage </w:t>
      </w:r>
      <w:r w:rsidR="000D587A">
        <w:t>i</w:t>
      </w:r>
      <w:r w:rsidRPr="00DC7458">
        <w:t>nsurance</w:t>
      </w:r>
      <w:r w:rsidR="00B74A8D">
        <w:t xml:space="preserve"> (LMI)</w:t>
      </w:r>
      <w:r w:rsidRPr="00DC7458">
        <w:t xml:space="preserve"> providers</w:t>
      </w:r>
      <w:r w:rsidR="00245D38">
        <w:t>;</w:t>
      </w:r>
      <w:r w:rsidRPr="00DC7458">
        <w:t xml:space="preserve"> </w:t>
      </w:r>
    </w:p>
    <w:p w14:paraId="5E29AB70" w14:textId="234C6E2E" w:rsidR="00DC4083" w:rsidRDefault="00DC7458" w:rsidP="00DC4083">
      <w:pPr>
        <w:pStyle w:val="Bullet"/>
      </w:pPr>
      <w:r w:rsidRPr="00DC7458">
        <w:t>impacts on small and regional banks</w:t>
      </w:r>
      <w:r w:rsidR="006765E5">
        <w:t>; and</w:t>
      </w:r>
    </w:p>
    <w:p w14:paraId="7752CA5E" w14:textId="5B191958" w:rsidR="0021306B" w:rsidRPr="00655A2C" w:rsidRDefault="00DC7458" w:rsidP="00F640D9">
      <w:pPr>
        <w:pStyle w:val="Bullet"/>
      </w:pPr>
      <w:proofErr w:type="gramStart"/>
      <w:r w:rsidRPr="00DC7458">
        <w:t>impacts</w:t>
      </w:r>
      <w:proofErr w:type="gramEnd"/>
      <w:r w:rsidRPr="00DC7458">
        <w:t xml:space="preserve"> on low-income buyers</w:t>
      </w:r>
      <w:r w:rsidR="00DC4083">
        <w:t>.</w:t>
      </w:r>
    </w:p>
    <w:p w14:paraId="6761A28C" w14:textId="7F9F272F" w:rsidR="00F12BD2" w:rsidRPr="00655A2C" w:rsidRDefault="0072769B" w:rsidP="00F12BD2">
      <w:pPr>
        <w:pStyle w:val="Heading4"/>
        <w:rPr>
          <w:rStyle w:val="IntenseEmphasis"/>
          <w:i/>
        </w:rPr>
      </w:pPr>
      <w:r>
        <w:rPr>
          <w:rStyle w:val="IntenseEmphasis"/>
          <w:i/>
        </w:rPr>
        <w:t>M</w:t>
      </w:r>
      <w:r w:rsidR="00FE0ACF" w:rsidRPr="00655A2C">
        <w:rPr>
          <w:rStyle w:val="IntenseEmphasis"/>
          <w:i/>
        </w:rPr>
        <w:t xml:space="preserve">arket conditions </w:t>
      </w:r>
      <w:r w:rsidR="00E65C81" w:rsidRPr="00655A2C">
        <w:rPr>
          <w:rStyle w:val="IntenseEmphasis"/>
          <w:i/>
        </w:rPr>
        <w:t xml:space="preserve">have made it </w:t>
      </w:r>
      <w:r w:rsidR="00BF3DFD">
        <w:rPr>
          <w:rStyle w:val="IntenseEmphasis"/>
          <w:i/>
        </w:rPr>
        <w:t>challenging</w:t>
      </w:r>
      <w:r w:rsidR="00E65C81" w:rsidRPr="00655A2C">
        <w:rPr>
          <w:rStyle w:val="IntenseEmphasis"/>
          <w:i/>
        </w:rPr>
        <w:t xml:space="preserve"> for </w:t>
      </w:r>
      <w:r w:rsidR="00A61F2E" w:rsidRPr="00655A2C">
        <w:rPr>
          <w:rStyle w:val="IntenseEmphasis"/>
          <w:i/>
        </w:rPr>
        <w:t>many</w:t>
      </w:r>
      <w:r w:rsidR="00E65C81" w:rsidRPr="00655A2C">
        <w:rPr>
          <w:rStyle w:val="IntenseEmphasis"/>
          <w:i/>
        </w:rPr>
        <w:t xml:space="preserve"> Australians to achieve home ownership</w:t>
      </w:r>
    </w:p>
    <w:p w14:paraId="6C890FB4" w14:textId="00B1E653" w:rsidR="00D75395" w:rsidRDefault="00B94040" w:rsidP="00D75395">
      <w:r w:rsidRPr="00B94040">
        <w:t xml:space="preserve">Home ownership rates have been falling in Australia over recent decades. While a variety of factors, including changing societal attitudes and norms, have impacted home ownership rates, the relative affordability of housing has fallen substantially over the past </w:t>
      </w:r>
      <w:r w:rsidR="00CD0819">
        <w:t>4</w:t>
      </w:r>
      <w:r w:rsidRPr="00B94040">
        <w:t xml:space="preserve"> decades. Strong and sustained increases in housing prices, particularly compared to growth in incomes, have made both saving for a deposit and </w:t>
      </w:r>
      <w:r w:rsidRPr="00B94040">
        <w:lastRenderedPageBreak/>
        <w:t>servicing a mortgage significantly more challenging. Between 1994 and 2021</w:t>
      </w:r>
      <w:r w:rsidR="00A70218">
        <w:t>,</w:t>
      </w:r>
      <w:r w:rsidRPr="00B94040">
        <w:t xml:space="preserve"> rates of home ownership declined from 71.4 per cent to 66.3 per cent</w:t>
      </w:r>
      <w:r w:rsidR="00B53526">
        <w:t>.</w:t>
      </w:r>
      <w:r w:rsidR="005D7ADE" w:rsidRPr="00B31109">
        <w:rPr>
          <w:rStyle w:val="FootnoteReference"/>
          <w:vertAlign w:val="superscript"/>
        </w:rPr>
        <w:footnoteReference w:id="2"/>
      </w:r>
    </w:p>
    <w:p w14:paraId="2ED09B04" w14:textId="0D464E3C" w:rsidR="00F01B11" w:rsidRDefault="00F01B11" w:rsidP="00F01B11">
      <w:r>
        <w:t>The f</w:t>
      </w:r>
      <w:r w:rsidRPr="003B23CC">
        <w:t xml:space="preserve">actors contributing to </w:t>
      </w:r>
      <w:r>
        <w:t xml:space="preserve">strong and sustained increases in </w:t>
      </w:r>
      <w:r w:rsidRPr="003B23CC">
        <w:t>hous</w:t>
      </w:r>
      <w:r>
        <w:t>ing</w:t>
      </w:r>
      <w:r w:rsidRPr="003B23CC">
        <w:t xml:space="preserve"> price</w:t>
      </w:r>
      <w:r>
        <w:t>s</w:t>
      </w:r>
      <w:r w:rsidRPr="003B23CC">
        <w:t xml:space="preserve"> </w:t>
      </w:r>
      <w:r>
        <w:t>are well documented and include declining nominal interest rates, financial liberalisation, higher rates of population growth and rising incomes. H</w:t>
      </w:r>
      <w:r w:rsidRPr="003B23CC">
        <w:t>ousing price growth has, on average, significantly exceeded income growth</w:t>
      </w:r>
      <w:r>
        <w:t>.</w:t>
      </w:r>
      <w:r w:rsidRPr="003B23CC">
        <w:t xml:space="preserve"> </w:t>
      </w:r>
      <w:r>
        <w:t>As a result, t</w:t>
      </w:r>
      <w:r w:rsidRPr="003B23CC">
        <w:t xml:space="preserve">he </w:t>
      </w:r>
      <w:r>
        <w:t xml:space="preserve">ratio of both </w:t>
      </w:r>
      <w:r w:rsidRPr="003B23CC">
        <w:t>housing price</w:t>
      </w:r>
      <w:r>
        <w:t>s and household debt</w:t>
      </w:r>
      <w:r w:rsidRPr="003B23CC">
        <w:t xml:space="preserve"> to </w:t>
      </w:r>
      <w:r>
        <w:t xml:space="preserve">household disposable </w:t>
      </w:r>
      <w:r w:rsidRPr="003B23CC">
        <w:t>income</w:t>
      </w:r>
      <w:r>
        <w:t>s</w:t>
      </w:r>
      <w:r w:rsidRPr="003B23CC">
        <w:t xml:space="preserve"> has increased </w:t>
      </w:r>
      <w:r>
        <w:t>substantially in</w:t>
      </w:r>
      <w:r w:rsidRPr="003B23CC">
        <w:t xml:space="preserve"> Australia over recent decades</w:t>
      </w:r>
      <w:r>
        <w:t xml:space="preserve"> (Figure 1.</w:t>
      </w:r>
      <w:r w:rsidR="00E77333">
        <w:t>1</w:t>
      </w:r>
      <w:r>
        <w:t>).</w:t>
      </w:r>
    </w:p>
    <w:p w14:paraId="13D7AC1E" w14:textId="4F0B516D" w:rsidR="00F01B11" w:rsidRPr="00216B19" w:rsidRDefault="009B417B" w:rsidP="002B4848">
      <w:pPr>
        <w:spacing w:after="120"/>
        <w:jc w:val="center"/>
        <w:rPr>
          <w:b/>
          <w:color w:val="2E74B5" w:themeColor="accent1" w:themeShade="BF"/>
          <w:sz w:val="20"/>
          <w:szCs w:val="20"/>
        </w:rPr>
      </w:pPr>
      <w:r w:rsidRPr="00747878">
        <w:rPr>
          <w:noProof/>
          <w:lang w:eastAsia="en-AU"/>
        </w:rPr>
        <w:drawing>
          <wp:anchor distT="0" distB="0" distL="114300" distR="114300" simplePos="0" relativeHeight="251658240" behindDoc="0" locked="0" layoutInCell="1" allowOverlap="1" wp14:anchorId="46E15D37" wp14:editId="6EA2F449">
            <wp:simplePos x="0" y="0"/>
            <wp:positionH relativeFrom="margin">
              <wp:align>center</wp:align>
            </wp:positionH>
            <wp:positionV relativeFrom="page">
              <wp:posOffset>2682240</wp:posOffset>
            </wp:positionV>
            <wp:extent cx="3473450" cy="3067050"/>
            <wp:effectExtent l="0" t="0" r="0" b="0"/>
            <wp:wrapTopAndBottom/>
            <wp:docPr id="711183971" name="Picture 71118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3473450" cy="3067050"/>
                    </a:xfrm>
                    <a:prstGeom prst="rect">
                      <a:avLst/>
                    </a:prstGeom>
                  </pic:spPr>
                </pic:pic>
              </a:graphicData>
            </a:graphic>
          </wp:anchor>
        </w:drawing>
      </w:r>
      <w:r w:rsidR="00F01B11" w:rsidRPr="00216B19">
        <w:rPr>
          <w:b/>
          <w:color w:val="2E74B5" w:themeColor="accent1" w:themeShade="BF"/>
          <w:sz w:val="20"/>
          <w:szCs w:val="20"/>
        </w:rPr>
        <w:t>Figure 1.</w:t>
      </w:r>
      <w:r w:rsidR="00E77333">
        <w:rPr>
          <w:b/>
          <w:color w:val="2E74B5" w:themeColor="accent1" w:themeShade="BF"/>
          <w:sz w:val="20"/>
          <w:szCs w:val="20"/>
        </w:rPr>
        <w:t>1</w:t>
      </w:r>
      <w:r w:rsidR="00F01B11" w:rsidRPr="00216B19">
        <w:rPr>
          <w:b/>
          <w:color w:val="2E74B5" w:themeColor="accent1" w:themeShade="BF"/>
          <w:sz w:val="20"/>
          <w:szCs w:val="20"/>
        </w:rPr>
        <w:t>: Housing prices and household debt to income</w:t>
      </w:r>
    </w:p>
    <w:tbl>
      <w:tblPr>
        <w:tblStyle w:val="TableGrid"/>
        <w:tblW w:w="0" w:type="auto"/>
        <w:tblLook w:val="0600" w:firstRow="0" w:lastRow="0" w:firstColumn="0" w:lastColumn="0" w:noHBand="1" w:noVBand="1"/>
      </w:tblPr>
      <w:tblGrid>
        <w:gridCol w:w="222"/>
      </w:tblGrid>
      <w:tr w:rsidR="009162A5" w14:paraId="20380920" w14:textId="77777777" w:rsidTr="00495BD6">
        <w:tc>
          <w:tcPr>
            <w:tcW w:w="0" w:type="dxa"/>
          </w:tcPr>
          <w:p w14:paraId="53F2AF33" w14:textId="76E87632" w:rsidR="00F01B11" w:rsidRPr="004522AA" w:rsidRDefault="00F01B11" w:rsidP="00F27847">
            <w:pPr>
              <w:jc w:val="center"/>
            </w:pPr>
          </w:p>
        </w:tc>
      </w:tr>
    </w:tbl>
    <w:p w14:paraId="20C2E30C" w14:textId="3902EC27" w:rsidR="00F01B11" w:rsidRPr="00655A2C" w:rsidRDefault="00EE59F2" w:rsidP="00655A2C">
      <w:pPr>
        <w:pStyle w:val="Heading4"/>
        <w:rPr>
          <w:rStyle w:val="IntenseEmphasis"/>
          <w:i/>
          <w:color w:val="2E74B5" w:themeColor="accent1" w:themeShade="BF"/>
        </w:rPr>
      </w:pPr>
      <w:r>
        <w:rPr>
          <w:rStyle w:val="IntenseEmphasis"/>
          <w:i/>
          <w:color w:val="2E74B5" w:themeColor="accent1" w:themeShade="BF"/>
        </w:rPr>
        <w:t>A high d</w:t>
      </w:r>
      <w:r w:rsidR="00F01B11" w:rsidRPr="00655A2C">
        <w:rPr>
          <w:rStyle w:val="IntenseEmphasis"/>
          <w:i/>
          <w:color w:val="2E74B5" w:themeColor="accent1" w:themeShade="BF"/>
        </w:rPr>
        <w:t>eposit hurdle</w:t>
      </w:r>
    </w:p>
    <w:p w14:paraId="6F8D15B4" w14:textId="1B7BF987" w:rsidR="00F01B11" w:rsidRPr="007C4E86" w:rsidRDefault="00F01B11" w:rsidP="00F01B11">
      <w:pPr>
        <w:pStyle w:val="Housingauthoritymainbodytext"/>
        <w:spacing w:before="120" w:after="120"/>
        <w:jc w:val="left"/>
        <w:rPr>
          <w:rFonts w:asciiTheme="minorHAnsi" w:hAnsiTheme="minorHAnsi"/>
        </w:rPr>
      </w:pPr>
      <w:r w:rsidRPr="0034229C">
        <w:rPr>
          <w:rFonts w:asciiTheme="minorHAnsi" w:hAnsiTheme="minorHAnsi" w:cstheme="minorHAnsi"/>
        </w:rPr>
        <w:t xml:space="preserve">As a result of rising housing price to income ratios, the ‘deposit hurdle’ – </w:t>
      </w:r>
      <w:r w:rsidRPr="0034229C">
        <w:rPr>
          <w:rFonts w:asciiTheme="minorHAnsi" w:hAnsiTheme="minorHAnsi"/>
        </w:rPr>
        <w:t xml:space="preserve">the challenge of accumulating a sufficiently-sized deposit to purchase a home (and to support a home loan application) – has grown significantly (Figure </w:t>
      </w:r>
      <w:r>
        <w:rPr>
          <w:rFonts w:asciiTheme="minorHAnsi" w:hAnsiTheme="minorHAnsi"/>
        </w:rPr>
        <w:t>1.</w:t>
      </w:r>
      <w:r w:rsidR="00E77333">
        <w:rPr>
          <w:rFonts w:asciiTheme="minorHAnsi" w:hAnsiTheme="minorHAnsi"/>
        </w:rPr>
        <w:t>2</w:t>
      </w:r>
      <w:r w:rsidRPr="0034229C">
        <w:rPr>
          <w:rFonts w:asciiTheme="minorHAnsi" w:hAnsiTheme="minorHAnsi"/>
        </w:rPr>
        <w:t xml:space="preserve">). The average time needed for a median household to save a 20 per cent deposit remains at elevated levels, with the national figure currently at 10.6 years </w:t>
      </w:r>
      <w:r>
        <w:rPr>
          <w:rFonts w:asciiTheme="minorHAnsi" w:hAnsiTheme="minorHAnsi"/>
        </w:rPr>
        <w:t>as of September 2024</w:t>
      </w:r>
      <w:r w:rsidRPr="0034229C">
        <w:rPr>
          <w:rFonts w:asciiTheme="minorHAnsi" w:hAnsiTheme="minorHAnsi"/>
        </w:rPr>
        <w:t xml:space="preserve">. </w:t>
      </w:r>
      <w:r w:rsidR="0065103B">
        <w:rPr>
          <w:rFonts w:asciiTheme="minorHAnsi" w:hAnsiTheme="minorHAnsi"/>
        </w:rPr>
        <w:t>T</w:t>
      </w:r>
      <w:r w:rsidRPr="0034229C">
        <w:rPr>
          <w:rFonts w:asciiTheme="minorHAnsi" w:hAnsiTheme="minorHAnsi"/>
        </w:rPr>
        <w:t xml:space="preserve">his has fallen from </w:t>
      </w:r>
      <w:r w:rsidR="0065103B">
        <w:rPr>
          <w:rFonts w:asciiTheme="minorHAnsi" w:hAnsiTheme="minorHAnsi"/>
        </w:rPr>
        <w:t>a post-</w:t>
      </w:r>
      <w:proofErr w:type="spellStart"/>
      <w:r w:rsidR="0065103B">
        <w:rPr>
          <w:rFonts w:asciiTheme="minorHAnsi" w:hAnsiTheme="minorHAnsi"/>
        </w:rPr>
        <w:t>Covid</w:t>
      </w:r>
      <w:proofErr w:type="spellEnd"/>
      <w:r w:rsidR="0065103B">
        <w:rPr>
          <w:rFonts w:asciiTheme="minorHAnsi" w:hAnsiTheme="minorHAnsi"/>
        </w:rPr>
        <w:t xml:space="preserve"> </w:t>
      </w:r>
      <w:r w:rsidRPr="0034229C">
        <w:rPr>
          <w:rFonts w:asciiTheme="minorHAnsi" w:hAnsiTheme="minorHAnsi"/>
        </w:rPr>
        <w:t>peak of 11.4 years in the March quarter 2022 but remains well above the average of the past two decades (9.0 years)</w:t>
      </w:r>
      <w:r w:rsidR="0056108A">
        <w:rPr>
          <w:rFonts w:asciiTheme="minorHAnsi" w:hAnsiTheme="minorHAnsi"/>
        </w:rPr>
        <w:t xml:space="preserve"> and has been increasing over recent quarters</w:t>
      </w:r>
      <w:r w:rsidR="0065103B">
        <w:rPr>
          <w:rFonts w:asciiTheme="minorHAnsi" w:hAnsiTheme="minorHAnsi"/>
        </w:rPr>
        <w:t>.</w:t>
      </w:r>
      <w:r w:rsidR="00D60D2D" w:rsidRPr="00B31109">
        <w:rPr>
          <w:rStyle w:val="FootnoteReference"/>
          <w:rFonts w:asciiTheme="minorHAnsi" w:hAnsiTheme="minorHAnsi"/>
          <w:vertAlign w:val="superscript"/>
        </w:rPr>
        <w:footnoteReference w:id="3"/>
      </w:r>
    </w:p>
    <w:p w14:paraId="12868C23" w14:textId="7322F171" w:rsidR="00F01B11" w:rsidRPr="00216B19" w:rsidRDefault="00F01B11" w:rsidP="00AE1563">
      <w:pPr>
        <w:pStyle w:val="Housingauthoritymainbodytext"/>
        <w:keepNext/>
        <w:spacing w:before="120" w:after="120"/>
        <w:rPr>
          <w:rFonts w:asciiTheme="minorHAnsi" w:hAnsiTheme="minorHAnsi"/>
          <w:b/>
          <w:bCs/>
          <w:color w:val="2E74B5" w:themeColor="accent1" w:themeShade="BF"/>
          <w:sz w:val="20"/>
          <w:szCs w:val="20"/>
        </w:rPr>
      </w:pPr>
      <w:r w:rsidRPr="00216B19">
        <w:rPr>
          <w:rFonts w:asciiTheme="minorHAnsi" w:hAnsiTheme="minorHAnsi"/>
          <w:b/>
          <w:bCs/>
          <w:color w:val="2E74B5" w:themeColor="accent1" w:themeShade="BF"/>
          <w:sz w:val="20"/>
          <w:szCs w:val="20"/>
        </w:rPr>
        <w:lastRenderedPageBreak/>
        <w:t>Figure 1.</w:t>
      </w:r>
      <w:r w:rsidR="00E77333">
        <w:rPr>
          <w:rFonts w:asciiTheme="minorHAnsi" w:hAnsiTheme="minorHAnsi"/>
          <w:b/>
          <w:bCs/>
          <w:color w:val="2E74B5" w:themeColor="accent1" w:themeShade="BF"/>
          <w:sz w:val="20"/>
          <w:szCs w:val="20"/>
        </w:rPr>
        <w:t>2</w:t>
      </w:r>
      <w:r w:rsidRPr="00216B19">
        <w:rPr>
          <w:rFonts w:asciiTheme="minorHAnsi" w:hAnsiTheme="minorHAnsi"/>
          <w:b/>
          <w:bCs/>
          <w:color w:val="2E74B5" w:themeColor="accent1" w:themeShade="BF"/>
          <w:sz w:val="20"/>
          <w:szCs w:val="20"/>
        </w:rPr>
        <w:t>: Years required to save a 20 per cent deposit</w:t>
      </w:r>
    </w:p>
    <w:p w14:paraId="4EBAC400" w14:textId="77777777" w:rsidR="00F01B11" w:rsidRPr="0070551C" w:rsidRDefault="00F01B11" w:rsidP="00AE1563">
      <w:pPr>
        <w:keepNext/>
        <w:spacing w:after="120"/>
        <w:jc w:val="center"/>
      </w:pPr>
      <w:r w:rsidRPr="0019756E">
        <w:rPr>
          <w:noProof/>
          <w:lang w:eastAsia="en-AU"/>
        </w:rPr>
        <w:drawing>
          <wp:inline distT="0" distB="0" distL="0" distR="0" wp14:anchorId="00FCD165" wp14:editId="5F104BED">
            <wp:extent cx="3038475" cy="2829440"/>
            <wp:effectExtent l="0" t="0" r="0" b="1270"/>
            <wp:docPr id="850858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858081" name=""/>
                    <pic:cNvPicPr/>
                  </pic:nvPicPr>
                  <pic:blipFill>
                    <a:blip r:embed="rId9"/>
                    <a:stretch>
                      <a:fillRect/>
                    </a:stretch>
                  </pic:blipFill>
                  <pic:spPr>
                    <a:xfrm>
                      <a:off x="0" y="0"/>
                      <a:ext cx="3038475" cy="2829440"/>
                    </a:xfrm>
                    <a:prstGeom prst="rect">
                      <a:avLst/>
                    </a:prstGeom>
                  </pic:spPr>
                </pic:pic>
              </a:graphicData>
            </a:graphic>
          </wp:inline>
        </w:drawing>
      </w:r>
    </w:p>
    <w:p w14:paraId="55D5EE95" w14:textId="68333687" w:rsidR="005D38A8" w:rsidRDefault="00F01B11" w:rsidP="00AE1563">
      <w:pPr>
        <w:keepNext/>
        <w:spacing w:after="0" w:line="240" w:lineRule="auto"/>
        <w:rPr>
          <w:sz w:val="18"/>
          <w:szCs w:val="20"/>
        </w:rPr>
      </w:pPr>
      <w:r w:rsidRPr="00CA2023">
        <w:rPr>
          <w:sz w:val="18"/>
          <w:szCs w:val="20"/>
        </w:rPr>
        <w:t xml:space="preserve">Source: </w:t>
      </w:r>
      <w:proofErr w:type="spellStart"/>
      <w:r w:rsidRPr="00CA2023">
        <w:rPr>
          <w:sz w:val="18"/>
          <w:szCs w:val="20"/>
        </w:rPr>
        <w:t>CoreLogic</w:t>
      </w:r>
      <w:proofErr w:type="spellEnd"/>
      <w:r w:rsidRPr="00CA2023">
        <w:rPr>
          <w:sz w:val="18"/>
          <w:szCs w:val="20"/>
        </w:rPr>
        <w:t>, AN</w:t>
      </w:r>
      <w:r w:rsidR="00662EE5">
        <w:rPr>
          <w:sz w:val="18"/>
          <w:szCs w:val="20"/>
        </w:rPr>
        <w:t>Z</w:t>
      </w:r>
    </w:p>
    <w:p w14:paraId="0107C473" w14:textId="77777777" w:rsidR="00BB72D8" w:rsidRPr="00BB72D8" w:rsidRDefault="00BB72D8" w:rsidP="00BB72D8">
      <w:pPr>
        <w:spacing w:after="0" w:line="240" w:lineRule="auto"/>
        <w:rPr>
          <w:sz w:val="18"/>
          <w:szCs w:val="20"/>
        </w:rPr>
      </w:pPr>
    </w:p>
    <w:p w14:paraId="7B7B180A" w14:textId="0AFF4ACF" w:rsidR="00BA054F" w:rsidRPr="00216B19" w:rsidRDefault="00A61F2E" w:rsidP="00655A2C">
      <w:pPr>
        <w:pStyle w:val="Heading4"/>
      </w:pPr>
      <w:r>
        <w:t>A broad range of households</w:t>
      </w:r>
      <w:r w:rsidR="00C75153">
        <w:t>, particular</w:t>
      </w:r>
      <w:r w:rsidR="00BE5192">
        <w:t>ly</w:t>
      </w:r>
      <w:r w:rsidR="00C75153">
        <w:t xml:space="preserve"> younger cohorts</w:t>
      </w:r>
      <w:r w:rsidR="005E7317">
        <w:t>,</w:t>
      </w:r>
      <w:r w:rsidR="005E7317" w:rsidRPr="005E7317">
        <w:t xml:space="preserve"> </w:t>
      </w:r>
      <w:r w:rsidR="005E7317">
        <w:t>face challenges in saving a deposit</w:t>
      </w:r>
    </w:p>
    <w:p w14:paraId="0005ECA1" w14:textId="34CC002F" w:rsidR="00E24735" w:rsidRDefault="00E24735" w:rsidP="00E24735">
      <w:r>
        <w:t xml:space="preserve">There have been considerable falls in home ownership rates across most working-age groups. </w:t>
      </w:r>
      <w:r w:rsidRPr="00EB1658">
        <w:t>Between 1981 and 20</w:t>
      </w:r>
      <w:r>
        <w:t>21</w:t>
      </w:r>
      <w:r w:rsidRPr="00EB1658">
        <w:t xml:space="preserve">, </w:t>
      </w:r>
      <w:r>
        <w:t>home ownership</w:t>
      </w:r>
      <w:r w:rsidRPr="00EB1658">
        <w:t xml:space="preserve"> rates for households aged 25-34 </w:t>
      </w:r>
      <w:r>
        <w:t xml:space="preserve">fell from </w:t>
      </w:r>
      <w:r w:rsidR="00691F3D">
        <w:t>62 per cent to 44 per cent</w:t>
      </w:r>
      <w:r w:rsidR="009D3117">
        <w:t>, i</w:t>
      </w:r>
      <w:r w:rsidR="00061C86">
        <w:t xml:space="preserve">ncluding a fall of 10 percentage points </w:t>
      </w:r>
      <w:r w:rsidRPr="00EB1658">
        <w:t>for households in the top income quintile</w:t>
      </w:r>
      <w:r w:rsidR="00B35EC8">
        <w:t xml:space="preserve"> of this age cohort</w:t>
      </w:r>
      <w:r w:rsidRPr="00EB1658">
        <w:t xml:space="preserve">. </w:t>
      </w:r>
      <w:r w:rsidR="00061C86">
        <w:t xml:space="preserve">In contrast, among those aged </w:t>
      </w:r>
      <w:r w:rsidR="00396DBB">
        <w:t>45-54 and 55-64</w:t>
      </w:r>
      <w:r w:rsidR="002B55A7">
        <w:t>,</w:t>
      </w:r>
      <w:r w:rsidR="00396DBB">
        <w:t xml:space="preserve"> rates of home ownership among the top two income quintiles have remained largely unchanged</w:t>
      </w:r>
      <w:r w:rsidR="00822DE3">
        <w:t>.</w:t>
      </w:r>
      <w:r w:rsidR="00120D1F" w:rsidRPr="00B31109">
        <w:rPr>
          <w:rStyle w:val="FootnoteReference"/>
          <w:vertAlign w:val="superscript"/>
        </w:rPr>
        <w:footnoteReference w:id="4"/>
      </w:r>
      <w:r w:rsidR="00396DBB">
        <w:t xml:space="preserve"> While declining rates of home ownership are an acute problem for </w:t>
      </w:r>
      <w:r w:rsidR="00D51DB9">
        <w:t>low-</w:t>
      </w:r>
      <w:r w:rsidR="006B1076">
        <w:t> </w:t>
      </w:r>
      <w:r w:rsidR="00D51DB9">
        <w:t>and middle-income</w:t>
      </w:r>
      <w:r w:rsidR="00396DBB">
        <w:t xml:space="preserve"> households, </w:t>
      </w:r>
      <w:r w:rsidR="009B06E8">
        <w:t>declining affordability has impacted the ability of even those with relatively high incomes to purchase a home.</w:t>
      </w:r>
    </w:p>
    <w:p w14:paraId="7E537B94" w14:textId="626E7C83" w:rsidR="00E24735" w:rsidRPr="003E3715" w:rsidRDefault="00E24735" w:rsidP="00E24735">
      <w:pPr>
        <w:rPr>
          <w:bCs/>
          <w:sz w:val="20"/>
          <w:szCs w:val="20"/>
        </w:rPr>
      </w:pPr>
      <w:r>
        <w:rPr>
          <w:bCs/>
        </w:rPr>
        <w:t>While home ownership rates have fallen across age groups, the substantial reductions in rates for all income quintiles among younger cohorts demonstrates that achieving home</w:t>
      </w:r>
      <w:r w:rsidR="00FB7261">
        <w:rPr>
          <w:bCs/>
        </w:rPr>
        <w:t xml:space="preserve"> </w:t>
      </w:r>
      <w:r>
        <w:rPr>
          <w:bCs/>
        </w:rPr>
        <w:t xml:space="preserve">ownership is no longer a challenge solely for </w:t>
      </w:r>
      <w:r w:rsidR="00737A23">
        <w:rPr>
          <w:bCs/>
        </w:rPr>
        <w:t>low</w:t>
      </w:r>
      <w:r w:rsidR="00690F7E">
        <w:rPr>
          <w:bCs/>
        </w:rPr>
        <w:t>-</w:t>
      </w:r>
      <w:r w:rsidR="00737A23">
        <w:rPr>
          <w:bCs/>
        </w:rPr>
        <w:t>income earners</w:t>
      </w:r>
      <w:r>
        <w:rPr>
          <w:bCs/>
        </w:rPr>
        <w:t xml:space="preserve"> but extends to </w:t>
      </w:r>
      <w:r w:rsidR="00A21F49">
        <w:rPr>
          <w:bCs/>
        </w:rPr>
        <w:t>a significant portion of</w:t>
      </w:r>
      <w:r>
        <w:rPr>
          <w:bCs/>
        </w:rPr>
        <w:t xml:space="preserve"> young Australians.</w:t>
      </w:r>
    </w:p>
    <w:p w14:paraId="63B8EB94" w14:textId="4D76918D" w:rsidR="00E24735" w:rsidRPr="00216B19" w:rsidRDefault="009D0533" w:rsidP="00AE1563">
      <w:pPr>
        <w:keepNext/>
        <w:spacing w:after="120"/>
        <w:rPr>
          <w:b/>
          <w:color w:val="2E74B5" w:themeColor="accent1" w:themeShade="BF"/>
          <w:sz w:val="20"/>
          <w:szCs w:val="20"/>
        </w:rPr>
      </w:pPr>
      <w:r w:rsidRPr="003A63BC">
        <w:rPr>
          <w:noProof/>
          <w:lang w:eastAsia="en-AU"/>
        </w:rPr>
        <w:lastRenderedPageBreak/>
        <w:drawing>
          <wp:anchor distT="0" distB="0" distL="114300" distR="114300" simplePos="0" relativeHeight="251658241" behindDoc="0" locked="0" layoutInCell="1" allowOverlap="1" wp14:anchorId="181D53A6" wp14:editId="0A00EBD2">
            <wp:simplePos x="0" y="0"/>
            <wp:positionH relativeFrom="column">
              <wp:posOffset>106680</wp:posOffset>
            </wp:positionH>
            <wp:positionV relativeFrom="paragraph">
              <wp:posOffset>223520</wp:posOffset>
            </wp:positionV>
            <wp:extent cx="5731510" cy="3152775"/>
            <wp:effectExtent l="0" t="0" r="2540" b="9525"/>
            <wp:wrapTopAndBottom/>
            <wp:docPr id="214108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06"/>
                    <a:stretch/>
                  </pic:blipFill>
                  <pic:spPr bwMode="auto">
                    <a:xfrm>
                      <a:off x="0" y="0"/>
                      <a:ext cx="5731510" cy="31527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24735" w:rsidRPr="00216B19">
        <w:rPr>
          <w:b/>
          <w:color w:val="2E74B5" w:themeColor="accent1" w:themeShade="BF"/>
          <w:sz w:val="20"/>
          <w:szCs w:val="20"/>
        </w:rPr>
        <w:t>Figure 1.</w:t>
      </w:r>
      <w:r w:rsidR="00E77333">
        <w:rPr>
          <w:b/>
          <w:color w:val="2E74B5" w:themeColor="accent1" w:themeShade="BF"/>
          <w:sz w:val="20"/>
          <w:szCs w:val="20"/>
        </w:rPr>
        <w:t>3</w:t>
      </w:r>
      <w:r w:rsidR="00E24735" w:rsidRPr="00216B19">
        <w:rPr>
          <w:b/>
          <w:color w:val="2E74B5" w:themeColor="accent1" w:themeShade="BF"/>
          <w:sz w:val="20"/>
          <w:szCs w:val="20"/>
        </w:rPr>
        <w:t>: Home ownership rates by age and income, 1981 and 2021</w:t>
      </w:r>
    </w:p>
    <w:p w14:paraId="48327C7C" w14:textId="78D639DB" w:rsidR="00E24735" w:rsidRPr="009D0533" w:rsidRDefault="00E24735" w:rsidP="009D0533">
      <w:pPr>
        <w:spacing w:after="0"/>
        <w:jc w:val="center"/>
        <w:rPr>
          <w:sz w:val="12"/>
          <w:szCs w:val="12"/>
        </w:rPr>
      </w:pPr>
    </w:p>
    <w:p w14:paraId="499B9AB6" w14:textId="00E886C5" w:rsidR="00E24735" w:rsidRDefault="00E24735" w:rsidP="00E24735">
      <w:pPr>
        <w:spacing w:after="0" w:line="240" w:lineRule="auto"/>
        <w:rPr>
          <w:sz w:val="18"/>
          <w:szCs w:val="20"/>
        </w:rPr>
      </w:pPr>
      <w:r w:rsidRPr="00CA2023">
        <w:rPr>
          <w:sz w:val="18"/>
          <w:szCs w:val="20"/>
        </w:rPr>
        <w:t>Source: Grattan Institute</w:t>
      </w:r>
    </w:p>
    <w:p w14:paraId="01FE76F4" w14:textId="77777777" w:rsidR="003E71F0" w:rsidRDefault="003E71F0" w:rsidP="00E24735">
      <w:pPr>
        <w:spacing w:after="0" w:line="240" w:lineRule="auto"/>
        <w:rPr>
          <w:sz w:val="18"/>
          <w:szCs w:val="20"/>
        </w:rPr>
      </w:pPr>
    </w:p>
    <w:p w14:paraId="440BC9AB" w14:textId="714449C6" w:rsidR="003E71F0" w:rsidRDefault="003E71F0" w:rsidP="003E71F0">
      <w:pPr>
        <w:rPr>
          <w:bCs/>
        </w:rPr>
      </w:pPr>
      <w:r>
        <w:rPr>
          <w:bCs/>
        </w:rPr>
        <w:t xml:space="preserve">Given the significant affordability challenges, increasing numbers of young Australians are relying on </w:t>
      </w:r>
      <w:r w:rsidR="00B00EE7">
        <w:rPr>
          <w:bCs/>
        </w:rPr>
        <w:t xml:space="preserve">family </w:t>
      </w:r>
      <w:r>
        <w:rPr>
          <w:bCs/>
        </w:rPr>
        <w:t xml:space="preserve">support </w:t>
      </w:r>
      <w:r w:rsidR="001D7C28">
        <w:rPr>
          <w:bCs/>
        </w:rPr>
        <w:t>to purchase a dwelling</w:t>
      </w:r>
      <w:r>
        <w:rPr>
          <w:bCs/>
        </w:rPr>
        <w:t>.</w:t>
      </w:r>
      <w:r w:rsidR="001D7C28">
        <w:rPr>
          <w:bCs/>
        </w:rPr>
        <w:t xml:space="preserve"> </w:t>
      </w:r>
      <w:r w:rsidR="00155215">
        <w:rPr>
          <w:bCs/>
        </w:rPr>
        <w:t xml:space="preserve">In 2025, 17 per cent of first home buyers said they </w:t>
      </w:r>
      <w:r w:rsidR="00B61271">
        <w:rPr>
          <w:bCs/>
        </w:rPr>
        <w:t xml:space="preserve">received </w:t>
      </w:r>
      <w:r w:rsidR="00155215">
        <w:rPr>
          <w:bCs/>
        </w:rPr>
        <w:t>financial support from parents,</w:t>
      </w:r>
      <w:r w:rsidR="00B61271">
        <w:rPr>
          <w:bCs/>
        </w:rPr>
        <w:t xml:space="preserve"> compared to 11 per cent in 2022.</w:t>
      </w:r>
      <w:r w:rsidR="00B61271">
        <w:rPr>
          <w:rStyle w:val="FootnoteReference"/>
          <w:bCs/>
        </w:rPr>
        <w:footnoteReference w:id="5"/>
      </w:r>
      <w:r w:rsidR="00155215">
        <w:rPr>
          <w:bCs/>
        </w:rPr>
        <w:t xml:space="preserve"> </w:t>
      </w:r>
      <w:r w:rsidR="00953607">
        <w:rPr>
          <w:bCs/>
        </w:rPr>
        <w:t xml:space="preserve">Where family members are unable to </w:t>
      </w:r>
      <w:r w:rsidR="00863464">
        <w:rPr>
          <w:bCs/>
        </w:rPr>
        <w:t xml:space="preserve">provide direct financial assistance, </w:t>
      </w:r>
      <w:r w:rsidR="00C15FA9">
        <w:rPr>
          <w:bCs/>
        </w:rPr>
        <w:t>they may instead agree to act as a guarantor</w:t>
      </w:r>
      <w:r w:rsidR="00863464">
        <w:rPr>
          <w:bCs/>
        </w:rPr>
        <w:t>.</w:t>
      </w:r>
      <w:r w:rsidR="009F3DD2">
        <w:rPr>
          <w:bCs/>
        </w:rPr>
        <w:t xml:space="preserve"> This allows individuals to purchase a property with a deposit of less th</w:t>
      </w:r>
      <w:r w:rsidR="009D74FE">
        <w:rPr>
          <w:bCs/>
        </w:rPr>
        <w:t>a</w:t>
      </w:r>
      <w:r w:rsidR="009F3DD2">
        <w:rPr>
          <w:bCs/>
        </w:rPr>
        <w:t>n 20</w:t>
      </w:r>
      <w:r w:rsidR="00EF3440">
        <w:rPr>
          <w:bCs/>
        </w:rPr>
        <w:t xml:space="preserve"> per cent</w:t>
      </w:r>
      <w:r w:rsidR="009F3DD2">
        <w:rPr>
          <w:bCs/>
        </w:rPr>
        <w:t xml:space="preserve"> without being required to </w:t>
      </w:r>
      <w:r w:rsidR="00347B61">
        <w:rPr>
          <w:bCs/>
        </w:rPr>
        <w:t xml:space="preserve">obtain </w:t>
      </w:r>
      <w:r w:rsidR="005130CA">
        <w:rPr>
          <w:bCs/>
        </w:rPr>
        <w:t>LMI</w:t>
      </w:r>
      <w:r w:rsidR="00347B61">
        <w:rPr>
          <w:bCs/>
        </w:rPr>
        <w:t>.</w:t>
      </w:r>
    </w:p>
    <w:p w14:paraId="06D7D13A" w14:textId="0DE44A75" w:rsidR="00E24735" w:rsidRPr="00C41F0F" w:rsidRDefault="008E517C" w:rsidP="00C41F0F">
      <w:pPr>
        <w:rPr>
          <w:bCs/>
          <w:sz w:val="20"/>
          <w:szCs w:val="20"/>
        </w:rPr>
      </w:pPr>
      <w:r>
        <w:rPr>
          <w:bCs/>
        </w:rPr>
        <w:t xml:space="preserve">This results in </w:t>
      </w:r>
      <w:r w:rsidR="005130CA">
        <w:rPr>
          <w:bCs/>
        </w:rPr>
        <w:t xml:space="preserve">individuals who are able to secure this form of financial support </w:t>
      </w:r>
      <w:r w:rsidR="00F76AE3">
        <w:rPr>
          <w:bCs/>
        </w:rPr>
        <w:t>from family members</w:t>
      </w:r>
      <w:r w:rsidR="000703CE">
        <w:rPr>
          <w:bCs/>
        </w:rPr>
        <w:t xml:space="preserve"> being significantly advantaged over those who are not. </w:t>
      </w:r>
      <w:r w:rsidR="00882BEA">
        <w:rPr>
          <w:bCs/>
        </w:rPr>
        <w:t>In the absence of Gov</w:t>
      </w:r>
      <w:r w:rsidR="007265D7">
        <w:rPr>
          <w:bCs/>
        </w:rPr>
        <w:t>ernment intervention</w:t>
      </w:r>
      <w:r w:rsidR="00664C95">
        <w:rPr>
          <w:bCs/>
        </w:rPr>
        <w:t>,</w:t>
      </w:r>
      <w:r w:rsidR="007265D7">
        <w:rPr>
          <w:bCs/>
        </w:rPr>
        <w:t xml:space="preserve"> </w:t>
      </w:r>
      <w:r w:rsidR="00B931C4">
        <w:rPr>
          <w:bCs/>
        </w:rPr>
        <w:t xml:space="preserve">this </w:t>
      </w:r>
      <w:r w:rsidR="00024BB0">
        <w:rPr>
          <w:bCs/>
        </w:rPr>
        <w:t>would result in a significant divergence in housing outcomes even among Australians with similar income levels.</w:t>
      </w:r>
    </w:p>
    <w:p w14:paraId="7B054E9D" w14:textId="77777777" w:rsidR="00696759" w:rsidRPr="00655A2C" w:rsidRDefault="00696759" w:rsidP="00696759">
      <w:pPr>
        <w:rPr>
          <w:i/>
          <w:color w:val="2E74B5" w:themeColor="accent1" w:themeShade="BF"/>
        </w:rPr>
      </w:pPr>
      <w:r w:rsidRPr="00655A2C">
        <w:rPr>
          <w:i/>
          <w:color w:val="2E74B5" w:themeColor="accent1" w:themeShade="BF"/>
        </w:rPr>
        <w:t>The Home Guarantee Scheme has been effective in supporting Australians into home ownership</w:t>
      </w:r>
    </w:p>
    <w:p w14:paraId="07D9928D" w14:textId="68A1EBFD" w:rsidR="00C447E9" w:rsidRDefault="00696759" w:rsidP="00696759">
      <w:r>
        <w:t xml:space="preserve">The Government’s </w:t>
      </w:r>
      <w:r w:rsidR="00941655">
        <w:t>HGS</w:t>
      </w:r>
      <w:r>
        <w:t xml:space="preserve"> assists individuals into home ownership by providing a government guarantee of up to 15</w:t>
      </w:r>
      <w:r w:rsidR="00EF3440">
        <w:t xml:space="preserve"> per cent</w:t>
      </w:r>
      <w:r>
        <w:t xml:space="preserve"> (or 18</w:t>
      </w:r>
      <w:r w:rsidR="00EF3440">
        <w:t xml:space="preserve"> per cent</w:t>
      </w:r>
      <w:r>
        <w:t xml:space="preserve"> for the Family Home Guarantee). This allows individuals to purchase a home with a deposit of as low as 5</w:t>
      </w:r>
      <w:r w:rsidR="00EF3440">
        <w:t xml:space="preserve"> per cent</w:t>
      </w:r>
      <w:r>
        <w:t xml:space="preserve"> (or 2</w:t>
      </w:r>
      <w:r w:rsidR="00EF3440">
        <w:t xml:space="preserve"> per cent</w:t>
      </w:r>
      <w:r>
        <w:t xml:space="preserve"> for the Family Home Guarantee), without being required to </w:t>
      </w:r>
      <w:r w:rsidR="000D3E31">
        <w:t xml:space="preserve">pay </w:t>
      </w:r>
      <w:r w:rsidR="007735DC">
        <w:t xml:space="preserve">for </w:t>
      </w:r>
      <w:r>
        <w:t xml:space="preserve">LMI. </w:t>
      </w:r>
      <w:r w:rsidR="00FB31E4">
        <w:t xml:space="preserve">The </w:t>
      </w:r>
      <w:r>
        <w:t xml:space="preserve">HGS has supported approximately </w:t>
      </w:r>
      <w:r w:rsidRPr="00A819E2">
        <w:t>23</w:t>
      </w:r>
      <w:r w:rsidR="00A819E2" w:rsidRPr="00A819E2">
        <w:t>7</w:t>
      </w:r>
      <w:r w:rsidRPr="00A819E2">
        <w:t xml:space="preserve">,000 </w:t>
      </w:r>
      <w:r>
        <w:t>Australians into home ownership since the scheme was launched</w:t>
      </w:r>
      <w:r w:rsidR="00B3054C">
        <w:t>.</w:t>
      </w:r>
      <w:r>
        <w:t xml:space="preserve"> </w:t>
      </w:r>
    </w:p>
    <w:p w14:paraId="32B71266" w14:textId="2E0960D0" w:rsidR="00C447E9" w:rsidRDefault="00C447E9" w:rsidP="00696759">
      <w:r>
        <w:t>As previously noted, the average time need</w:t>
      </w:r>
      <w:r w:rsidR="00E8754F">
        <w:t>ed</w:t>
      </w:r>
      <w:r>
        <w:t xml:space="preserve"> to save a 20</w:t>
      </w:r>
      <w:r w:rsidR="00EF3440">
        <w:t xml:space="preserve"> per cent</w:t>
      </w:r>
      <w:r>
        <w:t xml:space="preserve"> deposit has increased substantially to 10.6</w:t>
      </w:r>
      <w:r w:rsidR="00595766">
        <w:t> </w:t>
      </w:r>
      <w:r>
        <w:t xml:space="preserve">years as of September 2024, compared to the long-run average of 9.0 years. For many young Australians, this </w:t>
      </w:r>
      <w:r w:rsidR="00595074">
        <w:t>represents</w:t>
      </w:r>
      <w:r>
        <w:t xml:space="preserve"> a significant hurdle in achieving home ownership. By reducing the required </w:t>
      </w:r>
      <w:r>
        <w:lastRenderedPageBreak/>
        <w:t xml:space="preserve">deposit </w:t>
      </w:r>
      <w:r w:rsidR="00B027D4" w:rsidRPr="00B027D4">
        <w:t>to only 5 per cent</w:t>
      </w:r>
      <w:r>
        <w:t xml:space="preserve">, HGS </w:t>
      </w:r>
      <w:r w:rsidR="00B027D4" w:rsidRPr="00B027D4">
        <w:t xml:space="preserve">will </w:t>
      </w:r>
      <w:r>
        <w:t xml:space="preserve">significantly </w:t>
      </w:r>
      <w:r w:rsidR="00B027D4" w:rsidRPr="00B027D4">
        <w:t>reduce the time needed to save for a deposit, improving</w:t>
      </w:r>
      <w:r>
        <w:t xml:space="preserve"> the likelihood that participants will be able to purchase a dwelling.</w:t>
      </w:r>
      <w:r w:rsidR="00B027D4">
        <w:t xml:space="preserve"> </w:t>
      </w:r>
    </w:p>
    <w:p w14:paraId="02E461E4" w14:textId="10E307AB" w:rsidR="00C447E9" w:rsidRDefault="00C447E9" w:rsidP="00696759">
      <w:r>
        <w:t xml:space="preserve">While aspiring first home buyers without access to HGS </w:t>
      </w:r>
      <w:r w:rsidR="003C4A6B">
        <w:t>can</w:t>
      </w:r>
      <w:r>
        <w:t xml:space="preserve"> purchase a dwelling with a deposit of less than 20</w:t>
      </w:r>
      <w:r w:rsidR="00EF3440">
        <w:t xml:space="preserve"> per cent</w:t>
      </w:r>
      <w:r>
        <w:t>, they will</w:t>
      </w:r>
      <w:r w:rsidR="003B2604">
        <w:t xml:space="preserve"> </w:t>
      </w:r>
      <w:r w:rsidR="00580551">
        <w:t>typically</w:t>
      </w:r>
      <w:r>
        <w:t xml:space="preserve"> be required to obtain LMI coverage to do so. For many first home buyers the cost involved can be prohibitive. For example, for an individual seeking to purchase an $800,000 property with a 5</w:t>
      </w:r>
      <w:r w:rsidR="00EF3440">
        <w:t xml:space="preserve"> per cent</w:t>
      </w:r>
      <w:r>
        <w:t xml:space="preserve"> deposit of $40,000, an upfront LMI premium could be up to $32,000.</w:t>
      </w:r>
      <w:r w:rsidR="00FE72EF" w:rsidRPr="00580551">
        <w:rPr>
          <w:rStyle w:val="FootnoteReference"/>
          <w:vertAlign w:val="superscript"/>
        </w:rPr>
        <w:footnoteReference w:id="6"/>
      </w:r>
      <w:r>
        <w:t xml:space="preserve"> In many cases, this additional cost can push home ownership out of reach</w:t>
      </w:r>
      <w:r w:rsidR="00B027D4">
        <w:t xml:space="preserve"> or delay it by many years</w:t>
      </w:r>
      <w:r>
        <w:t>.</w:t>
      </w:r>
    </w:p>
    <w:p w14:paraId="2C955FD3" w14:textId="2782D1FF" w:rsidR="00A113F3" w:rsidRPr="00655A2C" w:rsidRDefault="00A12A35" w:rsidP="00696759">
      <w:pPr>
        <w:rPr>
          <w:i/>
          <w:color w:val="2E74B5" w:themeColor="accent1" w:themeShade="BF"/>
        </w:rPr>
      </w:pPr>
      <w:r w:rsidRPr="00655A2C">
        <w:rPr>
          <w:i/>
          <w:color w:val="2E74B5" w:themeColor="accent1" w:themeShade="BF"/>
        </w:rPr>
        <w:t>A</w:t>
      </w:r>
      <w:r w:rsidR="00122B26" w:rsidRPr="00655A2C">
        <w:rPr>
          <w:i/>
          <w:color w:val="2E74B5" w:themeColor="accent1" w:themeShade="BF"/>
        </w:rPr>
        <w:t>n expanded</w:t>
      </w:r>
      <w:r w:rsidRPr="00655A2C">
        <w:rPr>
          <w:i/>
          <w:color w:val="2E74B5" w:themeColor="accent1" w:themeShade="BF"/>
        </w:rPr>
        <w:t xml:space="preserve"> Home Guarantee Scheme will support </w:t>
      </w:r>
      <w:r w:rsidR="004321C5" w:rsidRPr="00655A2C">
        <w:rPr>
          <w:i/>
          <w:color w:val="2E74B5" w:themeColor="accent1" w:themeShade="BF"/>
        </w:rPr>
        <w:t>more Australians</w:t>
      </w:r>
      <w:r w:rsidR="0013166A" w:rsidRPr="00655A2C">
        <w:rPr>
          <w:i/>
          <w:color w:val="2E74B5" w:themeColor="accent1" w:themeShade="BF"/>
        </w:rPr>
        <w:t xml:space="preserve"> into </w:t>
      </w:r>
      <w:r w:rsidR="0013166A" w:rsidRPr="00655A2C">
        <w:rPr>
          <w:i/>
          <w:iCs/>
          <w:color w:val="2E74B5" w:themeColor="accent1" w:themeShade="BF"/>
        </w:rPr>
        <w:t>home</w:t>
      </w:r>
      <w:r w:rsidR="0067682F">
        <w:rPr>
          <w:i/>
          <w:iCs/>
          <w:color w:val="2E74B5" w:themeColor="accent1" w:themeShade="BF"/>
        </w:rPr>
        <w:t xml:space="preserve"> </w:t>
      </w:r>
      <w:r w:rsidR="0013166A" w:rsidRPr="00655A2C">
        <w:rPr>
          <w:i/>
          <w:iCs/>
          <w:color w:val="2E74B5" w:themeColor="accent1" w:themeShade="BF"/>
        </w:rPr>
        <w:t>ownership</w:t>
      </w:r>
      <w:r w:rsidR="009E5CFB" w:rsidRPr="00655A2C">
        <w:rPr>
          <w:i/>
          <w:color w:val="2E74B5" w:themeColor="accent1" w:themeShade="BF"/>
        </w:rPr>
        <w:t>, reflecting changed market conditions and demand</w:t>
      </w:r>
    </w:p>
    <w:p w14:paraId="4E8B08B4" w14:textId="176B2EE0" w:rsidR="00342FE2" w:rsidRDefault="00C447E9" w:rsidP="00696759">
      <w:r>
        <w:t xml:space="preserve">The </w:t>
      </w:r>
      <w:r w:rsidR="00E73D20">
        <w:t xml:space="preserve">existing </w:t>
      </w:r>
      <w:r>
        <w:t xml:space="preserve">Home Guarantee </w:t>
      </w:r>
      <w:r w:rsidR="006D50FB">
        <w:t>S</w:t>
      </w:r>
      <w:r>
        <w:t>cheme offers a maximum of 50,000 places each financial year</w:t>
      </w:r>
      <w:r w:rsidR="00696759">
        <w:t xml:space="preserve">, with the First Home Guarantee </w:t>
      </w:r>
      <w:r>
        <w:t xml:space="preserve">offering </w:t>
      </w:r>
      <w:r w:rsidRPr="00390041">
        <w:t>35,000 places, the Regional First Home Buyer Guarantee</w:t>
      </w:r>
      <w:r>
        <w:t xml:space="preserve"> offering 10</w:t>
      </w:r>
      <w:r w:rsidRPr="00390041">
        <w:t>,000</w:t>
      </w:r>
      <w:r w:rsidR="008D1518">
        <w:t> </w:t>
      </w:r>
      <w:r w:rsidRPr="00390041">
        <w:t xml:space="preserve">places and the Family Home Guarantee </w:t>
      </w:r>
      <w:r>
        <w:t xml:space="preserve">providing </w:t>
      </w:r>
      <w:r w:rsidRPr="00390041">
        <w:t>5,000 places each financial year</w:t>
      </w:r>
      <w:r w:rsidR="00A209B6">
        <w:t xml:space="preserve">. </w:t>
      </w:r>
      <w:r w:rsidR="009F1D09">
        <w:t xml:space="preserve">However, both </w:t>
      </w:r>
      <w:r w:rsidR="00696759">
        <w:t xml:space="preserve">the First Home Guarantee and Regional Home Buyer </w:t>
      </w:r>
      <w:r w:rsidR="00696759" w:rsidRPr="002819B7">
        <w:t>Guarantee streams</w:t>
      </w:r>
      <w:r w:rsidR="00F373DE" w:rsidRPr="002819B7">
        <w:t xml:space="preserve"> are</w:t>
      </w:r>
      <w:r w:rsidR="00696759" w:rsidRPr="002819B7">
        <w:t xml:space="preserve"> likely to be</w:t>
      </w:r>
      <w:r w:rsidR="00065ED5">
        <w:t xml:space="preserve"> almost</w:t>
      </w:r>
      <w:r w:rsidR="00696759" w:rsidRPr="002819B7">
        <w:t xml:space="preserve"> fully subscribed over the 2024-25 financial year, an increase from approximately 95</w:t>
      </w:r>
      <w:r w:rsidR="00EF3440">
        <w:t xml:space="preserve"> per cent</w:t>
      </w:r>
      <w:r w:rsidR="00696759" w:rsidRPr="002819B7">
        <w:t xml:space="preserve"> subscription </w:t>
      </w:r>
      <w:r w:rsidR="004F14E2" w:rsidRPr="002819B7">
        <w:t>for these two streams</w:t>
      </w:r>
      <w:r w:rsidR="008A5667">
        <w:t xml:space="preserve"> combined</w:t>
      </w:r>
      <w:r w:rsidR="004F14E2" w:rsidRPr="002819B7">
        <w:t xml:space="preserve"> </w:t>
      </w:r>
      <w:r w:rsidR="00696759" w:rsidRPr="002819B7">
        <w:t>in 2023-24 and approximately 6</w:t>
      </w:r>
      <w:r w:rsidR="00982EBB" w:rsidRPr="002819B7">
        <w:t>7</w:t>
      </w:r>
      <w:r w:rsidR="00EF3440">
        <w:t xml:space="preserve"> per cent</w:t>
      </w:r>
      <w:r w:rsidR="00696759" w:rsidRPr="002819B7">
        <w:t xml:space="preserve"> subscription </w:t>
      </w:r>
      <w:r w:rsidR="004F14E2" w:rsidRPr="002819B7">
        <w:t>for these streams</w:t>
      </w:r>
      <w:r w:rsidR="00696759" w:rsidRPr="002819B7">
        <w:t xml:space="preserve"> </w:t>
      </w:r>
      <w:r w:rsidR="008A5667">
        <w:t xml:space="preserve">combined </w:t>
      </w:r>
      <w:r w:rsidR="00696759" w:rsidRPr="002819B7">
        <w:t>in 2022-23.</w:t>
      </w:r>
      <w:r w:rsidR="00846D2A" w:rsidRPr="00BA0695">
        <w:rPr>
          <w:rStyle w:val="FootnoteReference"/>
          <w:vertAlign w:val="superscript"/>
        </w:rPr>
        <w:footnoteReference w:id="7"/>
      </w:r>
      <w:r w:rsidR="0058743E" w:rsidRPr="002819B7">
        <w:t xml:space="preserve"> </w:t>
      </w:r>
      <w:r w:rsidR="00441FFB" w:rsidRPr="002819B7">
        <w:t>This</w:t>
      </w:r>
      <w:r w:rsidR="00441FFB">
        <w:t xml:space="preserve"> means that it is likely that if demand for the scheme continues to increase</w:t>
      </w:r>
      <w:r w:rsidR="002F6CE6">
        <w:t xml:space="preserve">, </w:t>
      </w:r>
      <w:r w:rsidR="00CD1D4E" w:rsidRPr="00CD1D4E">
        <w:t xml:space="preserve">eligible Australians will be unable to access the support of </w:t>
      </w:r>
      <w:r w:rsidR="001805A5">
        <w:t xml:space="preserve">the </w:t>
      </w:r>
      <w:r w:rsidR="00CD1D4E" w:rsidRPr="00CD1D4E">
        <w:t>HGS</w:t>
      </w:r>
      <w:r w:rsidR="00CD1D4E">
        <w:t xml:space="preserve">, to enable them to enter home ownership sooner, </w:t>
      </w:r>
      <w:r w:rsidR="00CD1D4E" w:rsidRPr="00CD1D4E">
        <w:t>unless the caps o</w:t>
      </w:r>
      <w:r w:rsidR="00292201">
        <w:t>n</w:t>
      </w:r>
      <w:r w:rsidR="00CD1D4E" w:rsidRPr="00CD1D4E">
        <w:t xml:space="preserve"> places are increased or removed.</w:t>
      </w:r>
    </w:p>
    <w:p w14:paraId="58AB6702" w14:textId="28E01957" w:rsidR="00C447E9" w:rsidRDefault="009E5CFB" w:rsidP="00696759">
      <w:r>
        <w:t>Currently</w:t>
      </w:r>
      <w:r w:rsidR="008B468E">
        <w:t>, t</w:t>
      </w:r>
      <w:r w:rsidR="00C447E9">
        <w:t xml:space="preserve">o be eligible for the scheme, </w:t>
      </w:r>
      <w:r w:rsidR="0015498E">
        <w:t xml:space="preserve">applicants </w:t>
      </w:r>
      <w:r w:rsidR="00C447E9">
        <w:t>must have a taxable income</w:t>
      </w:r>
      <w:r w:rsidR="0020667F">
        <w:t xml:space="preserve"> that does not exceed</w:t>
      </w:r>
      <w:r w:rsidR="00C447E9" w:rsidDel="0020667F">
        <w:t xml:space="preserve"> </w:t>
      </w:r>
      <w:r w:rsidR="00C447E9" w:rsidRPr="00AB787B">
        <w:t>$125,000 for individuals or a combined $200,000 for joint applicants</w:t>
      </w:r>
      <w:r w:rsidR="00C447E9">
        <w:t>. T</w:t>
      </w:r>
      <w:r w:rsidR="00696759">
        <w:t>he distribution of HGS participants</w:t>
      </w:r>
      <w:r w:rsidR="00905E3C">
        <w:t>’</w:t>
      </w:r>
      <w:r w:rsidR="00696759">
        <w:t xml:space="preserve"> </w:t>
      </w:r>
      <w:r w:rsidR="00905E3C">
        <w:t xml:space="preserve">income levels </w:t>
      </w:r>
      <w:r w:rsidR="00696759">
        <w:t xml:space="preserve">has </w:t>
      </w:r>
      <w:r w:rsidR="00B764D3">
        <w:t xml:space="preserve">shifted </w:t>
      </w:r>
      <w:r w:rsidR="00696759">
        <w:t>increas</w:t>
      </w:r>
      <w:r w:rsidR="00B764D3">
        <w:t xml:space="preserve">ingly </w:t>
      </w:r>
      <w:r w:rsidR="00B33973">
        <w:t>closer to</w:t>
      </w:r>
      <w:r w:rsidR="00B764D3">
        <w:t xml:space="preserve"> the</w:t>
      </w:r>
      <w:r w:rsidR="00B55E42">
        <w:t xml:space="preserve"> income caps</w:t>
      </w:r>
      <w:r w:rsidR="00696759">
        <w:t xml:space="preserve"> over time. </w:t>
      </w:r>
      <w:r>
        <w:t>Over</w:t>
      </w:r>
      <w:r w:rsidR="00696759">
        <w:t xml:space="preserve"> the 2023-24 financial year approximately 26</w:t>
      </w:r>
      <w:r w:rsidR="00EF3440">
        <w:t xml:space="preserve"> per cent</w:t>
      </w:r>
      <w:r w:rsidR="00696759">
        <w:t xml:space="preserve"> of single participants and 23</w:t>
      </w:r>
      <w:r w:rsidR="00EF3440">
        <w:t xml:space="preserve"> per cent</w:t>
      </w:r>
      <w:r w:rsidR="00696759">
        <w:t xml:space="preserve"> of joint participants had incomes of </w:t>
      </w:r>
      <w:r w:rsidR="00F85BE9">
        <w:t>between 80 per cent and 100 per cent of the income caps</w:t>
      </w:r>
      <w:r w:rsidR="00696759">
        <w:t>, compared with 18</w:t>
      </w:r>
      <w:r w:rsidR="00EF3440">
        <w:t xml:space="preserve"> per cent</w:t>
      </w:r>
      <w:r w:rsidR="00696759">
        <w:t xml:space="preserve"> and 15</w:t>
      </w:r>
      <w:r w:rsidR="00EF3440">
        <w:t xml:space="preserve"> per cent</w:t>
      </w:r>
      <w:r w:rsidR="00696759">
        <w:t xml:space="preserve"> respectively in 2022-23.</w:t>
      </w:r>
      <w:r w:rsidR="009D4092">
        <w:t xml:space="preserve"> </w:t>
      </w:r>
      <w:r w:rsidR="001F3216">
        <w:t xml:space="preserve">The existing </w:t>
      </w:r>
      <w:r w:rsidR="005C34B1">
        <w:t xml:space="preserve">income </w:t>
      </w:r>
      <w:r w:rsidR="001F3216">
        <w:t xml:space="preserve">caps have remained unchanged since the scheme was established in 2020, while </w:t>
      </w:r>
      <w:r w:rsidR="00115808">
        <w:t xml:space="preserve">house prices and wages have both increased over this period. </w:t>
      </w:r>
      <w:r w:rsidR="00D81ACC">
        <w:t xml:space="preserve">As noted above, given </w:t>
      </w:r>
      <w:r w:rsidR="002161B6">
        <w:t xml:space="preserve">the </w:t>
      </w:r>
      <w:r w:rsidR="00D81ACC">
        <w:t xml:space="preserve">increasing </w:t>
      </w:r>
      <w:r w:rsidR="002161B6">
        <w:t xml:space="preserve">affordability challenges </w:t>
      </w:r>
      <w:r w:rsidR="00BD7870">
        <w:t xml:space="preserve">facing even </w:t>
      </w:r>
      <w:r w:rsidR="00911AAE">
        <w:t>high-income</w:t>
      </w:r>
      <w:r w:rsidR="00BD7870">
        <w:t xml:space="preserve"> young Australians, it is likely individuals </w:t>
      </w:r>
      <w:r w:rsidR="007D70C2">
        <w:t xml:space="preserve">earning </w:t>
      </w:r>
      <w:r w:rsidR="00745A43">
        <w:t xml:space="preserve">above the existing income caps </w:t>
      </w:r>
      <w:r w:rsidR="00BD7870">
        <w:t>would benefit from support through HGS.</w:t>
      </w:r>
    </w:p>
    <w:p w14:paraId="5E44C05F" w14:textId="0B632271" w:rsidR="00502F37" w:rsidRDefault="00BD7870" w:rsidP="00502F37">
      <w:r w:rsidRPr="00BD7870">
        <w:t>Finally,</w:t>
      </w:r>
      <w:r>
        <w:t xml:space="preserve"> </w:t>
      </w:r>
      <w:r w:rsidR="0026559D">
        <w:t>under the scheme</w:t>
      </w:r>
      <w:r w:rsidR="009E5CFB">
        <w:t>, the purchase price of a</w:t>
      </w:r>
      <w:r w:rsidR="0026559D">
        <w:t xml:space="preserve"> property must </w:t>
      </w:r>
      <w:r w:rsidR="0019258F">
        <w:t>not exceed</w:t>
      </w:r>
      <w:r w:rsidR="0026559D">
        <w:t xml:space="preserve"> the relevant price cap </w:t>
      </w:r>
      <w:r w:rsidR="00E755DF">
        <w:t xml:space="preserve">for the area </w:t>
      </w:r>
      <w:r w:rsidR="00F56120">
        <w:t xml:space="preserve">within which </w:t>
      </w:r>
      <w:r w:rsidR="00E755DF">
        <w:t>the property is located</w:t>
      </w:r>
      <w:r w:rsidR="009E5CFB">
        <w:t xml:space="preserve"> </w:t>
      </w:r>
      <w:r w:rsidR="00AC5FEE">
        <w:t xml:space="preserve">(current price caps are provided at </w:t>
      </w:r>
      <w:r w:rsidR="00E272B6">
        <w:t>A</w:t>
      </w:r>
      <w:r w:rsidR="00AC5FEE">
        <w:t xml:space="preserve">ppendix A). </w:t>
      </w:r>
      <w:r w:rsidR="005623A2">
        <w:t xml:space="preserve">However, significant price growth </w:t>
      </w:r>
      <w:r w:rsidR="00CC3817">
        <w:t xml:space="preserve">since the price caps were established has </w:t>
      </w:r>
      <w:r w:rsidR="00490458">
        <w:t>begun to limit the ability of participants to purchase an appropriate property for their circumstances, limiting choice under the scheme and potentially concentrating any demand impacts at the lower end of the property market. In 2023-24, approximately 47 per cent of purchases were valued at the equivalent of least 80 per cent of the current price cap in the relevant area, an increase from 34 per cent in 2022-23.</w:t>
      </w:r>
      <w:r w:rsidR="00502F37" w:rsidRPr="00502F37">
        <w:t xml:space="preserve"> </w:t>
      </w:r>
      <w:r w:rsidR="00502F37">
        <w:t xml:space="preserve">This has been driven particularly by significant increases in prices in South Australia, Western Australia and Tasmania over the </w:t>
      </w:r>
      <w:r w:rsidR="00502F37">
        <w:lastRenderedPageBreak/>
        <w:t xml:space="preserve">past 3 years. </w:t>
      </w:r>
      <w:r w:rsidR="00F7667E">
        <w:t xml:space="preserve">It </w:t>
      </w:r>
      <w:r w:rsidR="00502F37">
        <w:t>is likely that this issue will be exacerbated</w:t>
      </w:r>
      <w:r w:rsidR="00745AAF">
        <w:t>, combined with an increasing number of properties becoming ineligible under the scheme,</w:t>
      </w:r>
      <w:r w:rsidR="00502F37" w:rsidDel="00B62C79">
        <w:t xml:space="preserve"> </w:t>
      </w:r>
      <w:r w:rsidR="00502F37">
        <w:t>if the price caps are not updated to reflect market conditions.</w:t>
      </w:r>
    </w:p>
    <w:p w14:paraId="58D3EFCA" w14:textId="2919FB45" w:rsidR="00DC7458" w:rsidRDefault="00BA35EC" w:rsidP="00D857F4">
      <w:r>
        <w:t>While the existing H</w:t>
      </w:r>
      <w:r w:rsidR="00B17827">
        <w:t>GS program</w:t>
      </w:r>
      <w:r w:rsidR="00B17827" w:rsidDel="008E5BD3">
        <w:t xml:space="preserve"> </w:t>
      </w:r>
      <w:r w:rsidR="00B17827">
        <w:t xml:space="preserve">has been successful in supporting </w:t>
      </w:r>
      <w:r w:rsidR="004A63EC">
        <w:t>low- and middle-income</w:t>
      </w:r>
      <w:r w:rsidR="00FB19C3">
        <w:t xml:space="preserve"> earner</w:t>
      </w:r>
      <w:r w:rsidR="007B2793">
        <w:t>s</w:t>
      </w:r>
      <w:r w:rsidR="00FB19C3">
        <w:t xml:space="preserve"> into home ownership, </w:t>
      </w:r>
      <w:r w:rsidR="004A63EC">
        <w:t xml:space="preserve">falls in levels of home ownership </w:t>
      </w:r>
      <w:r w:rsidR="00B47348">
        <w:t xml:space="preserve">across all </w:t>
      </w:r>
      <w:r w:rsidR="004A63EC">
        <w:t xml:space="preserve">income quintiles demonstrates </w:t>
      </w:r>
      <w:r w:rsidR="009809A4">
        <w:t xml:space="preserve">the ongoing </w:t>
      </w:r>
      <w:r w:rsidR="00FB4510">
        <w:t xml:space="preserve">challenges </w:t>
      </w:r>
      <w:r w:rsidR="00B9790A">
        <w:t xml:space="preserve">Australians </w:t>
      </w:r>
      <w:r w:rsidR="00F01DD2">
        <w:t xml:space="preserve">face securing a first home. </w:t>
      </w:r>
      <w:r w:rsidR="00181E3B">
        <w:t>Expanding</w:t>
      </w:r>
      <w:r w:rsidR="003E0030">
        <w:t xml:space="preserve"> Government support through HGS to all </w:t>
      </w:r>
      <w:r w:rsidR="001E57FF">
        <w:t>first home buyers</w:t>
      </w:r>
      <w:r w:rsidR="003E0030">
        <w:t xml:space="preserve"> will allow </w:t>
      </w:r>
      <w:r w:rsidR="004A799C">
        <w:t>more individuals to achieve home ownership</w:t>
      </w:r>
      <w:r w:rsidR="00B37934">
        <w:t xml:space="preserve"> sooner</w:t>
      </w:r>
      <w:r w:rsidR="004A799C">
        <w:t>,</w:t>
      </w:r>
      <w:r w:rsidR="00B37934">
        <w:t xml:space="preserve"> significantly reduce the time </w:t>
      </w:r>
      <w:r w:rsidR="00100293">
        <w:t>required to save a deposit,</w:t>
      </w:r>
      <w:r w:rsidR="004A799C">
        <w:t xml:space="preserve"> reduce the additional costs associated with obtaining LMI covera</w:t>
      </w:r>
      <w:r w:rsidR="00100293">
        <w:t>ge, and level the playing field between those who are able to access support from family members and those who are not.</w:t>
      </w:r>
    </w:p>
    <w:p w14:paraId="55A30088" w14:textId="4600DCEA" w:rsidR="00DC7458" w:rsidRPr="000864AE" w:rsidRDefault="00DC7458" w:rsidP="00DC7458">
      <w:pPr>
        <w:pStyle w:val="Heading3"/>
        <w:rPr>
          <w:u w:val="single"/>
        </w:rPr>
      </w:pPr>
      <w:r w:rsidRPr="000864AE">
        <w:rPr>
          <w:u w:val="single"/>
        </w:rPr>
        <w:t>Lender</w:t>
      </w:r>
      <w:r w:rsidR="00397A0D">
        <w:rPr>
          <w:u w:val="single"/>
        </w:rPr>
        <w:t>s</w:t>
      </w:r>
      <w:r w:rsidRPr="000864AE">
        <w:rPr>
          <w:u w:val="single"/>
        </w:rPr>
        <w:t xml:space="preserve"> </w:t>
      </w:r>
      <w:r w:rsidR="00397A0D">
        <w:rPr>
          <w:u w:val="single"/>
        </w:rPr>
        <w:t>m</w:t>
      </w:r>
      <w:r w:rsidRPr="000864AE">
        <w:rPr>
          <w:u w:val="single"/>
        </w:rPr>
        <w:t xml:space="preserve">ortgage </w:t>
      </w:r>
      <w:r w:rsidR="00397A0D">
        <w:rPr>
          <w:u w:val="single"/>
        </w:rPr>
        <w:t>i</w:t>
      </w:r>
      <w:r w:rsidRPr="000864AE">
        <w:rPr>
          <w:u w:val="single"/>
        </w:rPr>
        <w:t xml:space="preserve">nsurance </w:t>
      </w:r>
      <w:r w:rsidR="00022E8A">
        <w:rPr>
          <w:u w:val="single"/>
        </w:rPr>
        <w:t>i</w:t>
      </w:r>
      <w:r w:rsidRPr="000864AE">
        <w:rPr>
          <w:u w:val="single"/>
        </w:rPr>
        <w:t xml:space="preserve">ndustry </w:t>
      </w:r>
      <w:r w:rsidR="00022E8A">
        <w:rPr>
          <w:u w:val="single"/>
        </w:rPr>
        <w:t>– I</w:t>
      </w:r>
      <w:r w:rsidRPr="000864AE">
        <w:rPr>
          <w:u w:val="single"/>
        </w:rPr>
        <w:t xml:space="preserve">mpacts and </w:t>
      </w:r>
      <w:r w:rsidR="00397A0D">
        <w:rPr>
          <w:u w:val="single"/>
        </w:rPr>
        <w:t>i</w:t>
      </w:r>
      <w:r w:rsidRPr="000864AE">
        <w:rPr>
          <w:u w:val="single"/>
        </w:rPr>
        <w:t>mplications</w:t>
      </w:r>
    </w:p>
    <w:p w14:paraId="4D59A0D0" w14:textId="4EF2CF23" w:rsidR="00AF248F" w:rsidRDefault="00563702" w:rsidP="00563702">
      <w:pPr>
        <w:pStyle w:val="Bullet"/>
        <w:numPr>
          <w:ilvl w:val="0"/>
          <w:numId w:val="0"/>
        </w:numPr>
      </w:pPr>
      <w:r>
        <w:t>LMI is a form of credit protection insurance that protects a lender from losses in</w:t>
      </w:r>
      <w:r w:rsidR="009A0C7E">
        <w:t xml:space="preserve"> </w:t>
      </w:r>
      <w:r>
        <w:t xml:space="preserve">the event of borrower default on a home loan. </w:t>
      </w:r>
      <w:r w:rsidR="00C10DC9">
        <w:t xml:space="preserve">Under prudential standards, where a borrower’s deposit is less than 20 per cent of the property value, </w:t>
      </w:r>
      <w:r w:rsidR="00272D5A">
        <w:t>lenders</w:t>
      </w:r>
      <w:r w:rsidR="00C10DC9">
        <w:t xml:space="preserve"> are required to either obtain LMI</w:t>
      </w:r>
      <w:r w:rsidR="00C010E0">
        <w:t xml:space="preserve">, </w:t>
      </w:r>
      <w:r w:rsidR="00B51B50">
        <w:t>paid for by the borrower</w:t>
      </w:r>
      <w:r w:rsidR="00C010E0">
        <w:t>,</w:t>
      </w:r>
      <w:r w:rsidR="0082684B">
        <w:t xml:space="preserve"> </w:t>
      </w:r>
      <w:r w:rsidR="00C10DC9">
        <w:t xml:space="preserve">or carry additional capital to cover the higher risk associated with issuing a high loan-to-value ratio (LVR) </w:t>
      </w:r>
      <w:r w:rsidR="000B2C29">
        <w:t>loan</w:t>
      </w:r>
      <w:r w:rsidR="00327AD7">
        <w:t>. Th</w:t>
      </w:r>
      <w:r w:rsidR="00E24BE5">
        <w:t>e additional capital</w:t>
      </w:r>
      <w:r w:rsidR="00BE2C8B">
        <w:t xml:space="preserve"> held</w:t>
      </w:r>
      <w:r w:rsidR="00E24BE5">
        <w:t xml:space="preserve"> </w:t>
      </w:r>
      <w:r w:rsidR="00C10DC9">
        <w:t>increases borrowing costs and is generally passed on to the borrower through higher interest rates.</w:t>
      </w:r>
    </w:p>
    <w:p w14:paraId="29C48F50" w14:textId="076030FA" w:rsidR="00310ADA" w:rsidRDefault="001C37B9" w:rsidP="00563702">
      <w:pPr>
        <w:pStyle w:val="Bullet"/>
        <w:numPr>
          <w:ilvl w:val="0"/>
          <w:numId w:val="0"/>
        </w:numPr>
      </w:pPr>
      <w:r>
        <w:t xml:space="preserve">While </w:t>
      </w:r>
      <w:r w:rsidR="00272262">
        <w:t>LMI off</w:t>
      </w:r>
      <w:r w:rsidR="00662E45">
        <w:t>ers protection to the lender over the life of the mortgage</w:t>
      </w:r>
      <w:r w:rsidR="00691CD7">
        <w:t>,</w:t>
      </w:r>
      <w:r>
        <w:t xml:space="preserve"> the premiums are generally paid </w:t>
      </w:r>
      <w:r w:rsidR="00B63C7E">
        <w:t xml:space="preserve">by the borrower </w:t>
      </w:r>
      <w:r>
        <w:t>upfront</w:t>
      </w:r>
      <w:r w:rsidR="00A43AB2">
        <w:t xml:space="preserve"> as a lump sum</w:t>
      </w:r>
      <w:r w:rsidR="00012833">
        <w:t xml:space="preserve"> which is often then capitalised into the total value of a mortgage</w:t>
      </w:r>
      <w:r w:rsidR="00A43AB2">
        <w:t>, rather than in regular periodic payments over the life of the contract</w:t>
      </w:r>
      <w:r w:rsidR="003D7EBC">
        <w:t xml:space="preserve"> (as</w:t>
      </w:r>
      <w:r w:rsidR="00062744">
        <w:t xml:space="preserve"> occurs with most insurance products). As such, this can add significantly to the overall cost of purchasing a home.</w:t>
      </w:r>
      <w:r w:rsidR="0021030F">
        <w:t xml:space="preserve"> </w:t>
      </w:r>
      <w:r w:rsidR="00A20EB8">
        <w:t xml:space="preserve">Further detail on LMI is included in the </w:t>
      </w:r>
      <w:hyperlink r:id="rId11" w:history="1">
        <w:r w:rsidR="00A20EB8">
          <w:rPr>
            <w:rStyle w:val="Hyperlink"/>
          </w:rPr>
          <w:t>earlier HGS impact analysis</w:t>
        </w:r>
      </w:hyperlink>
      <w:r w:rsidR="00A20EB8">
        <w:t>.</w:t>
      </w:r>
    </w:p>
    <w:p w14:paraId="0CC7C6E3" w14:textId="1E7099F6" w:rsidR="00563702" w:rsidRDefault="00563702" w:rsidP="00E06986">
      <w:r w:rsidRPr="00CD6387">
        <w:t xml:space="preserve">The Home Guarantee Scheme </w:t>
      </w:r>
      <w:r w:rsidR="001E485E">
        <w:t>supports</w:t>
      </w:r>
      <w:r w:rsidR="00300F9F">
        <w:t xml:space="preserve"> eligible home buyers to purchase a home without</w:t>
      </w:r>
      <w:r>
        <w:t xml:space="preserve"> paying </w:t>
      </w:r>
      <w:r w:rsidR="00311733">
        <w:t xml:space="preserve">for </w:t>
      </w:r>
      <w:r>
        <w:t xml:space="preserve">LMI, </w:t>
      </w:r>
      <w:r w:rsidR="001E485E">
        <w:t>enabling them</w:t>
      </w:r>
      <w:r>
        <w:t xml:space="preserve"> to enter</w:t>
      </w:r>
      <w:r w:rsidR="00FF09B6">
        <w:t xml:space="preserve"> </w:t>
      </w:r>
      <w:r>
        <w:t xml:space="preserve">home ownership </w:t>
      </w:r>
      <w:r w:rsidR="001E485E">
        <w:t>sooner</w:t>
      </w:r>
      <w:r w:rsidR="00E82043">
        <w:t xml:space="preserve"> at a lower cost</w:t>
      </w:r>
      <w:r w:rsidR="001E485E">
        <w:t xml:space="preserve"> </w:t>
      </w:r>
      <w:r>
        <w:t>with a lower deposit.</w:t>
      </w:r>
      <w:r w:rsidR="00E06986" w:rsidRPr="00E06986">
        <w:t xml:space="preserve"> In the event of </w:t>
      </w:r>
      <w:r w:rsidR="009A1210">
        <w:t xml:space="preserve">a </w:t>
      </w:r>
      <w:r w:rsidR="00E06986" w:rsidRPr="00E06986">
        <w:t>default</w:t>
      </w:r>
      <w:r w:rsidR="00291D78">
        <w:t>,</w:t>
      </w:r>
      <w:r w:rsidR="00E06986" w:rsidRPr="00E06986" w:rsidDel="00291D78">
        <w:t xml:space="preserve"> </w:t>
      </w:r>
      <w:r w:rsidR="00E06986" w:rsidRPr="00E06986">
        <w:t>where the lender exercises its rights under the loan agreement to sell the property, if there is a shortfall in the sale proceeds of the property, the guarantee applies and the shortfall becomes payable to the lender</w:t>
      </w:r>
      <w:r w:rsidR="00A20EB8">
        <w:t xml:space="preserve">. </w:t>
      </w:r>
      <w:r w:rsidR="0007356E">
        <w:t>However, in contrast to LMI, coverage</w:t>
      </w:r>
      <w:r w:rsidR="00892D4F">
        <w:t xml:space="preserve"> provided</w:t>
      </w:r>
      <w:r w:rsidR="0007356E">
        <w:t xml:space="preserve"> by the guarantee ceases once the </w:t>
      </w:r>
      <w:r w:rsidR="00570A4C">
        <w:t>LVR</w:t>
      </w:r>
      <w:r w:rsidR="006A02F0">
        <w:t xml:space="preserve"> </w:t>
      </w:r>
      <w:r w:rsidR="002E14C1">
        <w:t xml:space="preserve">of the </w:t>
      </w:r>
      <w:r w:rsidR="00EF2E4A">
        <w:t>HGS</w:t>
      </w:r>
      <w:r w:rsidR="002E14C1">
        <w:t xml:space="preserve">-backed loan </w:t>
      </w:r>
      <w:r w:rsidR="006A02F0">
        <w:t>falls below 80</w:t>
      </w:r>
      <w:r w:rsidR="00801BD2">
        <w:t xml:space="preserve"> per cent</w:t>
      </w:r>
      <w:r w:rsidR="006A02F0">
        <w:t xml:space="preserve">. </w:t>
      </w:r>
    </w:p>
    <w:p w14:paraId="1199B56C" w14:textId="330E8B9A" w:rsidR="00E27F66" w:rsidRDefault="00E27F66" w:rsidP="00E06986">
      <w:pPr>
        <w:rPr>
          <w:rFonts w:eastAsiaTheme="majorEastAsia" w:cstheme="majorBidi"/>
          <w:i/>
          <w:iCs/>
          <w:color w:val="2E74B5" w:themeColor="accent1" w:themeShade="BF"/>
        </w:rPr>
      </w:pPr>
      <w:r w:rsidRPr="005F06AC">
        <w:rPr>
          <w:rFonts w:eastAsiaTheme="majorEastAsia" w:cstheme="majorBidi"/>
          <w:i/>
          <w:iCs/>
          <w:color w:val="2E74B5" w:themeColor="accent1" w:themeShade="BF"/>
        </w:rPr>
        <w:t>Overview of the LMI market</w:t>
      </w:r>
    </w:p>
    <w:p w14:paraId="2261B2DB" w14:textId="3EEA0179" w:rsidR="00524D52" w:rsidRDefault="001908F8" w:rsidP="00E06986">
      <w:r>
        <w:t>Private</w:t>
      </w:r>
      <w:r w:rsidR="001F790F">
        <w:t xml:space="preserve"> LMI </w:t>
      </w:r>
      <w:r w:rsidR="004506B8">
        <w:t>providers</w:t>
      </w:r>
      <w:r w:rsidR="001F790F">
        <w:t xml:space="preserve"> in Australia </w:t>
      </w:r>
      <w:r w:rsidR="004506B8">
        <w:t xml:space="preserve">have experienced a </w:t>
      </w:r>
      <w:r w:rsidR="006069AB">
        <w:t>slowing</w:t>
      </w:r>
      <w:r w:rsidR="004506B8">
        <w:t xml:space="preserve"> in the LMI market</w:t>
      </w:r>
      <w:r w:rsidR="000D0837">
        <w:t>, particularly</w:t>
      </w:r>
      <w:r w:rsidR="004506B8">
        <w:t xml:space="preserve"> in recent years</w:t>
      </w:r>
      <w:r w:rsidR="001F790F">
        <w:t xml:space="preserve">. </w:t>
      </w:r>
      <w:r w:rsidR="008F6DD5">
        <w:t>D</w:t>
      </w:r>
      <w:r w:rsidR="009A09D7">
        <w:t xml:space="preserve">uring the </w:t>
      </w:r>
      <w:r w:rsidR="00F11828" w:rsidRPr="00F11828">
        <w:t>interest rate tightening cycle</w:t>
      </w:r>
      <w:r w:rsidR="008F6DD5">
        <w:t xml:space="preserve"> </w:t>
      </w:r>
      <w:r w:rsidR="00A46160">
        <w:t>of</w:t>
      </w:r>
      <w:r w:rsidR="008F6DD5">
        <w:t xml:space="preserve"> 2022 to 2024</w:t>
      </w:r>
      <w:r w:rsidR="00F11828" w:rsidRPr="00F11828">
        <w:t xml:space="preserve">, </w:t>
      </w:r>
      <w:r w:rsidR="009A09D7">
        <w:t>new LMI policies written decreased substantially</w:t>
      </w:r>
      <w:r w:rsidR="00ED784E">
        <w:t xml:space="preserve">, with the Insurance Council of Australia noting </w:t>
      </w:r>
      <w:r w:rsidR="00086D37">
        <w:t>that LMI gross written premiums declined by 39 per cent between 2019 and 2023</w:t>
      </w:r>
      <w:r w:rsidR="00524D52">
        <w:t>.</w:t>
      </w:r>
      <w:r w:rsidR="006D4231" w:rsidRPr="000B222B">
        <w:rPr>
          <w:rStyle w:val="FootnoteReference"/>
          <w:vertAlign w:val="superscript"/>
        </w:rPr>
        <w:footnoteReference w:id="8"/>
      </w:r>
      <w:r w:rsidR="00524D52">
        <w:t xml:space="preserve"> </w:t>
      </w:r>
      <w:r w:rsidR="009163BA">
        <w:t>This</w:t>
      </w:r>
      <w:r w:rsidR="00881CA5">
        <w:t xml:space="preserve"> indicates </w:t>
      </w:r>
      <w:r w:rsidR="0041354A">
        <w:t>the sector has</w:t>
      </w:r>
      <w:r w:rsidR="00066682">
        <w:t>,</w:t>
      </w:r>
      <w:r w:rsidR="0041354A">
        <w:t xml:space="preserve"> and continues to</w:t>
      </w:r>
      <w:r w:rsidR="00066682">
        <w:t>,</w:t>
      </w:r>
      <w:r w:rsidR="0041354A">
        <w:t xml:space="preserve"> experience </w:t>
      </w:r>
      <w:r w:rsidR="00887A17">
        <w:t>slowing growth</w:t>
      </w:r>
      <w:r w:rsidR="00F8116B">
        <w:t>.</w:t>
      </w:r>
      <w:r w:rsidR="00564D9C">
        <w:t xml:space="preserve"> </w:t>
      </w:r>
      <w:r w:rsidR="00524D52">
        <w:t>While changes to the Home Guarantee Scheme may have contributed to this, there are also other contributing factors</w:t>
      </w:r>
      <w:r w:rsidR="006F76D0">
        <w:t xml:space="preserve"> including rising interest rates</w:t>
      </w:r>
      <w:r w:rsidR="009802A9">
        <w:t xml:space="preserve"> for much of the period</w:t>
      </w:r>
      <w:r w:rsidR="006F76D0">
        <w:t xml:space="preserve">, tightening of serviceability criteria </w:t>
      </w:r>
      <w:r w:rsidR="00AB237D">
        <w:t>and an increasing number of banks waiving serviceability requirements across a range of professions.</w:t>
      </w:r>
      <w:r w:rsidR="00AF28FF">
        <w:t xml:space="preserve"> </w:t>
      </w:r>
      <w:r w:rsidR="00524D52">
        <w:t xml:space="preserve"> </w:t>
      </w:r>
    </w:p>
    <w:p w14:paraId="16835572" w14:textId="69204F50" w:rsidR="00DC7458" w:rsidRDefault="00F76310" w:rsidP="00DC7458">
      <w:pPr>
        <w:pStyle w:val="Heading4"/>
      </w:pPr>
      <w:r>
        <w:lastRenderedPageBreak/>
        <w:t xml:space="preserve">Impact of </w:t>
      </w:r>
      <w:r w:rsidR="00B73F64">
        <w:t>an expanded</w:t>
      </w:r>
      <w:r w:rsidR="00384BA5">
        <w:t xml:space="preserve"> Home Guarantee Scheme on the LMI market</w:t>
      </w:r>
    </w:p>
    <w:p w14:paraId="2117A8F7" w14:textId="108126F1" w:rsidR="00527B04" w:rsidRDefault="00947306" w:rsidP="00415207">
      <w:r w:rsidRPr="00866A8D">
        <w:t>Given the</w:t>
      </w:r>
      <w:r w:rsidRPr="00866A8D" w:rsidDel="00190AD6">
        <w:t xml:space="preserve"> </w:t>
      </w:r>
      <w:r w:rsidR="00E34807" w:rsidRPr="00866A8D">
        <w:t xml:space="preserve">cost of LMI to </w:t>
      </w:r>
      <w:r w:rsidR="00E2374D" w:rsidRPr="00866A8D">
        <w:t>borrowers</w:t>
      </w:r>
      <w:r w:rsidR="00355FC4" w:rsidRPr="00866A8D">
        <w:t xml:space="preserve">, </w:t>
      </w:r>
      <w:r w:rsidR="000A6194" w:rsidRPr="00866A8D">
        <w:t xml:space="preserve">Treasury </w:t>
      </w:r>
      <w:r w:rsidR="00796D46" w:rsidRPr="00866A8D">
        <w:t>would expect</w:t>
      </w:r>
      <w:r w:rsidR="000D0444" w:rsidRPr="00866A8D">
        <w:t xml:space="preserve"> </w:t>
      </w:r>
      <w:r w:rsidR="009B4B21" w:rsidRPr="00866A8D">
        <w:t>a large</w:t>
      </w:r>
      <w:r w:rsidR="00B73F64">
        <w:t>r</w:t>
      </w:r>
      <w:r w:rsidR="009B4B21" w:rsidRPr="00866A8D">
        <w:t xml:space="preserve"> portion of first home </w:t>
      </w:r>
      <w:r w:rsidR="004F43E3" w:rsidRPr="00866A8D">
        <w:t xml:space="preserve">buyers </w:t>
      </w:r>
      <w:r w:rsidR="004272F2" w:rsidRPr="00866A8D">
        <w:t>to use HGS to support their purchase of a home</w:t>
      </w:r>
      <w:r w:rsidR="00595571">
        <w:t>,</w:t>
      </w:r>
      <w:r w:rsidR="004272F2" w:rsidRPr="00866A8D">
        <w:t xml:space="preserve"> </w:t>
      </w:r>
      <w:r w:rsidR="0093446B">
        <w:t>in place of</w:t>
      </w:r>
      <w:r w:rsidR="00ED557F">
        <w:t xml:space="preserve"> LMI.</w:t>
      </w:r>
      <w:r w:rsidR="004272F2" w:rsidRPr="00866A8D">
        <w:t xml:space="preserve"> </w:t>
      </w:r>
      <w:r w:rsidR="008C03D4">
        <w:t xml:space="preserve">As noted by the Insurance Council of Australia in their submission to </w:t>
      </w:r>
      <w:r w:rsidR="004D3A26">
        <w:t xml:space="preserve">Treasury on the proposed expansion, </w:t>
      </w:r>
      <w:r w:rsidR="00262790">
        <w:t xml:space="preserve">between 10,000 </w:t>
      </w:r>
      <w:r w:rsidR="00982CD3">
        <w:t>and 15,000 first home buyers make use of LMI each year.</w:t>
      </w:r>
      <w:r w:rsidR="004F0B7B">
        <w:rPr>
          <w:rStyle w:val="FootnoteReference"/>
        </w:rPr>
        <w:footnoteReference w:id="9"/>
      </w:r>
      <w:r w:rsidR="00982CD3">
        <w:t xml:space="preserve"> </w:t>
      </w:r>
    </w:p>
    <w:p w14:paraId="7F1C3085" w14:textId="0CCE16F2" w:rsidR="00D703EA" w:rsidRDefault="00880CEA" w:rsidP="00415207">
      <w:r>
        <w:t>As</w:t>
      </w:r>
      <w:r w:rsidR="00044E1B">
        <w:t xml:space="preserve"> </w:t>
      </w:r>
      <w:r w:rsidR="00044E1B" w:rsidRPr="00866A8D">
        <w:t>HGS is only available to first home buyers</w:t>
      </w:r>
      <w:r w:rsidR="00044E1B">
        <w:t>, i</w:t>
      </w:r>
      <w:r w:rsidR="003E52E3" w:rsidRPr="00866A8D">
        <w:t>nvestors and non-first home buyers w</w:t>
      </w:r>
      <w:r w:rsidR="003E52E3">
        <w:t>ould</w:t>
      </w:r>
      <w:r w:rsidR="003E52E3" w:rsidRPr="00866A8D">
        <w:t xml:space="preserve"> continue to </w:t>
      </w:r>
      <w:r w:rsidR="003E52E3">
        <w:t xml:space="preserve">generate </w:t>
      </w:r>
      <w:r w:rsidR="003E52E3" w:rsidRPr="00866A8D">
        <w:t xml:space="preserve">demand </w:t>
      </w:r>
      <w:r w:rsidR="003E52E3">
        <w:t xml:space="preserve">for </w:t>
      </w:r>
      <w:r w:rsidR="003E52E3" w:rsidRPr="00866A8D">
        <w:t xml:space="preserve">LMI products in the market. </w:t>
      </w:r>
      <w:r w:rsidR="00AB3278">
        <w:t xml:space="preserve">For </w:t>
      </w:r>
      <w:r w:rsidR="005D192F">
        <w:t>private</w:t>
      </w:r>
      <w:r w:rsidR="00823F4A">
        <w:t xml:space="preserve"> LMI</w:t>
      </w:r>
      <w:r w:rsidR="00AB3278">
        <w:t xml:space="preserve"> providers, the </w:t>
      </w:r>
      <w:r w:rsidR="00D8686D">
        <w:t xml:space="preserve">ongoing level of demand for their products, particularly </w:t>
      </w:r>
      <w:r w:rsidR="000C310A">
        <w:t xml:space="preserve">from </w:t>
      </w:r>
      <w:r w:rsidR="00374CF5" w:rsidRPr="00866A8D">
        <w:t>first home buye</w:t>
      </w:r>
      <w:r w:rsidR="000C310A">
        <w:t>rs</w:t>
      </w:r>
      <w:r w:rsidR="00D8686D">
        <w:t>,</w:t>
      </w:r>
      <w:r w:rsidR="00374CF5" w:rsidRPr="00866A8D">
        <w:t xml:space="preserve"> would </w:t>
      </w:r>
      <w:r w:rsidR="00A26746">
        <w:t xml:space="preserve">likely </w:t>
      </w:r>
      <w:r w:rsidR="005E7644" w:rsidRPr="00866A8D">
        <w:t>be a</w:t>
      </w:r>
      <w:r w:rsidR="00D8686D">
        <w:t xml:space="preserve"> key</w:t>
      </w:r>
      <w:r w:rsidR="005E7644" w:rsidRPr="00866A8D" w:rsidDel="00B23309">
        <w:t xml:space="preserve"> </w:t>
      </w:r>
      <w:r w:rsidR="005E7644" w:rsidRPr="00866A8D">
        <w:t xml:space="preserve">consideration </w:t>
      </w:r>
      <w:r w:rsidR="005509A5">
        <w:t xml:space="preserve">in the commercial attractiveness </w:t>
      </w:r>
      <w:r w:rsidR="00585B55">
        <w:t xml:space="preserve">of the Australian market. </w:t>
      </w:r>
      <w:r w:rsidR="00E91F33">
        <w:t>While</w:t>
      </w:r>
      <w:r w:rsidR="00A26746">
        <w:t xml:space="preserve"> ultimately</w:t>
      </w:r>
      <w:r w:rsidR="00E91F33">
        <w:t xml:space="preserve"> i</w:t>
      </w:r>
      <w:r w:rsidR="00726B60">
        <w:t>t is a commercial decision for private LMI providers</w:t>
      </w:r>
      <w:r w:rsidR="00DA62E9">
        <w:t>,</w:t>
      </w:r>
      <w:r w:rsidR="005D5013">
        <w:t xml:space="preserve"> </w:t>
      </w:r>
      <w:r w:rsidR="005D3C85">
        <w:t>the</w:t>
      </w:r>
      <w:r w:rsidR="00A343FD">
        <w:t xml:space="preserve"> HGS </w:t>
      </w:r>
      <w:r w:rsidR="005D3C85">
        <w:t xml:space="preserve">changes </w:t>
      </w:r>
      <w:r w:rsidR="00166F04">
        <w:t xml:space="preserve">have the potential to </w:t>
      </w:r>
      <w:r w:rsidR="0089788F">
        <w:t>result in future consolidation of the industry</w:t>
      </w:r>
      <w:r>
        <w:t xml:space="preserve"> in Australia</w:t>
      </w:r>
      <w:r w:rsidR="0089788F">
        <w:t>.</w:t>
      </w:r>
      <w:r w:rsidR="00726B60">
        <w:t xml:space="preserve"> </w:t>
      </w:r>
    </w:p>
    <w:p w14:paraId="0061C9BD" w14:textId="6A01C075" w:rsidR="0069002C" w:rsidRDefault="00B95F5D" w:rsidP="00A1323C">
      <w:r>
        <w:t>The extent of any</w:t>
      </w:r>
      <w:r w:rsidR="00A343FD">
        <w:t xml:space="preserve"> potential</w:t>
      </w:r>
      <w:r>
        <w:t xml:space="preserve"> consolidation in the LMI sector</w:t>
      </w:r>
      <w:r w:rsidR="00CD0A49">
        <w:t xml:space="preserve"> may give rise </w:t>
      </w:r>
      <w:r w:rsidR="00B36D63">
        <w:t xml:space="preserve">to </w:t>
      </w:r>
      <w:r w:rsidR="00913D4F">
        <w:t xml:space="preserve">possible </w:t>
      </w:r>
      <w:r w:rsidR="00B36D63">
        <w:t>impacts on those</w:t>
      </w:r>
      <w:r w:rsidR="008828E0">
        <w:t xml:space="preserve"> borrowers</w:t>
      </w:r>
      <w:r w:rsidR="00355BC4">
        <w:t xml:space="preserve"> who are</w:t>
      </w:r>
      <w:r w:rsidR="008828E0">
        <w:t xml:space="preserve"> ineligible to access HGS (generally, investors and non-first home buyers). </w:t>
      </w:r>
      <w:r w:rsidR="00D067E9">
        <w:t xml:space="preserve">If LMI was difficult to obtain, </w:t>
      </w:r>
      <w:r w:rsidR="00DC5DFB">
        <w:t xml:space="preserve">fewer lenders may offer high LVR loans and those </w:t>
      </w:r>
      <w:r w:rsidR="00D36BE6" w:rsidRPr="00860C55">
        <w:t xml:space="preserve">that continue to </w:t>
      </w:r>
      <w:r w:rsidR="00DC5DFB">
        <w:t>do so</w:t>
      </w:r>
      <w:r w:rsidR="00D36BE6" w:rsidRPr="00860C55">
        <w:t xml:space="preserve"> </w:t>
      </w:r>
      <w:r w:rsidR="00D067E9">
        <w:t>would</w:t>
      </w:r>
      <w:r w:rsidR="00D36BE6" w:rsidRPr="00860C55">
        <w:t xml:space="preserve"> likely incur additional costs</w:t>
      </w:r>
      <w:r w:rsidR="001937A4" w:rsidRPr="00860C55">
        <w:t xml:space="preserve"> </w:t>
      </w:r>
      <w:r w:rsidR="00517E90">
        <w:t>because of</w:t>
      </w:r>
      <w:r w:rsidR="00952153">
        <w:t xml:space="preserve"> the higher capital requirements </w:t>
      </w:r>
      <w:r w:rsidR="00C23400">
        <w:t xml:space="preserve">for </w:t>
      </w:r>
      <w:r w:rsidR="00952153">
        <w:t>the loan</w:t>
      </w:r>
      <w:r w:rsidR="007C4EDD">
        <w:t>. Consequently</w:t>
      </w:r>
      <w:r w:rsidR="00952153">
        <w:t>,</w:t>
      </w:r>
      <w:r w:rsidR="007C4EDD">
        <w:t xml:space="preserve"> they</w:t>
      </w:r>
      <w:r w:rsidR="00952153" w:rsidDel="007C4EDD">
        <w:t xml:space="preserve"> </w:t>
      </w:r>
      <w:r w:rsidR="00D703EA">
        <w:t>could</w:t>
      </w:r>
      <w:r w:rsidR="00D36BE6" w:rsidRPr="00860C55">
        <w:t xml:space="preserve"> choose to pass on those costs to borrower</w:t>
      </w:r>
      <w:r w:rsidR="00D05D09">
        <w:t>s</w:t>
      </w:r>
      <w:r w:rsidR="00D36BE6" w:rsidRPr="00860C55">
        <w:t xml:space="preserve"> through higher interest rates</w:t>
      </w:r>
      <w:r w:rsidR="00CA3FDD">
        <w:t xml:space="preserve">. This would make it </w:t>
      </w:r>
      <w:r w:rsidR="006507BE">
        <w:t xml:space="preserve">more difficult </w:t>
      </w:r>
      <w:r w:rsidR="007C4EDD">
        <w:t xml:space="preserve">or costly </w:t>
      </w:r>
      <w:r w:rsidR="00952827">
        <w:t>f</w:t>
      </w:r>
      <w:r w:rsidR="006507BE">
        <w:t>o</w:t>
      </w:r>
      <w:r w:rsidR="00952827">
        <w:t>r</w:t>
      </w:r>
      <w:r w:rsidR="006507BE">
        <w:t xml:space="preserve"> borrowers who are ineligible </w:t>
      </w:r>
      <w:r w:rsidR="00454ABC">
        <w:t>for</w:t>
      </w:r>
      <w:r w:rsidR="006507BE">
        <w:t xml:space="preserve"> HGS to obtain finance to support their purchase</w:t>
      </w:r>
      <w:r w:rsidR="0069002C">
        <w:t>.</w:t>
      </w:r>
      <w:r w:rsidR="00D36BE6" w:rsidRPr="00860C55">
        <w:t xml:space="preserve"> </w:t>
      </w:r>
    </w:p>
    <w:p w14:paraId="3E342A81" w14:textId="60BC4C7F" w:rsidR="00E84FBF" w:rsidDel="00D51C45" w:rsidRDefault="00E84FBF" w:rsidP="00E84FBF">
      <w:r>
        <w:t xml:space="preserve">Smaller lenders could </w:t>
      </w:r>
      <w:r w:rsidR="00CA3A1F">
        <w:t xml:space="preserve">also </w:t>
      </w:r>
      <w:r>
        <w:t xml:space="preserve">be disproportionately affected by LMI </w:t>
      </w:r>
      <w:r w:rsidR="007372C9">
        <w:t xml:space="preserve">sector </w:t>
      </w:r>
      <w:r>
        <w:t xml:space="preserve">consolidation. This is discussed in the section </w:t>
      </w:r>
      <w:r w:rsidR="004370E0">
        <w:t xml:space="preserve">below on the competition </w:t>
      </w:r>
      <w:r w:rsidR="00E370CE">
        <w:t>implications for small and regional banks</w:t>
      </w:r>
      <w:r>
        <w:t xml:space="preserve">.  </w:t>
      </w:r>
    </w:p>
    <w:p w14:paraId="24ED1A8C" w14:textId="0325B4F2" w:rsidR="00DB154A" w:rsidRPr="00112355" w:rsidRDefault="00DB154A" w:rsidP="00DB154A">
      <w:pPr>
        <w:pStyle w:val="Heading4"/>
      </w:pPr>
      <w:r w:rsidRPr="00112355">
        <w:t>Increasing Government exposure to the housing market</w:t>
      </w:r>
    </w:p>
    <w:p w14:paraId="38D61167" w14:textId="61BB2516" w:rsidR="003B00F0" w:rsidRDefault="00112355" w:rsidP="00A1323C">
      <w:pPr>
        <w:rPr>
          <w:rFonts w:cstheme="minorHAnsi"/>
          <w:szCs w:val="24"/>
        </w:rPr>
      </w:pPr>
      <w:r w:rsidRPr="00114AD8">
        <w:t>T</w:t>
      </w:r>
      <w:r w:rsidR="00900B77" w:rsidRPr="00112355">
        <w:t>o date,</w:t>
      </w:r>
      <w:r w:rsidR="003B7344" w:rsidRPr="00112355">
        <w:t xml:space="preserve"> </w:t>
      </w:r>
      <w:r w:rsidR="00221D54" w:rsidRPr="00112355">
        <w:t xml:space="preserve">the HGS portfolio </w:t>
      </w:r>
      <w:r w:rsidR="00AA2DD6" w:rsidRPr="00112355">
        <w:t xml:space="preserve">has </w:t>
      </w:r>
      <w:r w:rsidR="00221D54" w:rsidRPr="00112355">
        <w:t>perform</w:t>
      </w:r>
      <w:r w:rsidR="00AA2DD6" w:rsidRPr="00112355">
        <w:t>ed</w:t>
      </w:r>
      <w:r w:rsidR="00221D54" w:rsidRPr="00112355">
        <w:t xml:space="preserve"> </w:t>
      </w:r>
      <w:r w:rsidR="00B4455D" w:rsidRPr="00112355">
        <w:t>above</w:t>
      </w:r>
      <w:r w:rsidR="00221D54" w:rsidRPr="00112355">
        <w:t xml:space="preserve"> industry standards</w:t>
      </w:r>
      <w:r w:rsidR="00900B77" w:rsidRPr="00112355">
        <w:t>,</w:t>
      </w:r>
      <w:r w:rsidR="00B4455D" w:rsidRPr="00112355">
        <w:t xml:space="preserve"> with </w:t>
      </w:r>
      <w:r w:rsidR="006333D0" w:rsidRPr="00112355">
        <w:t xml:space="preserve">lower hardship </w:t>
      </w:r>
      <w:r w:rsidR="000059A7" w:rsidRPr="00112355">
        <w:t>and arrears rate</w:t>
      </w:r>
      <w:r w:rsidR="00F96141" w:rsidRPr="00112355">
        <w:t>s</w:t>
      </w:r>
      <w:r w:rsidR="000059A7" w:rsidRPr="00112355">
        <w:t xml:space="preserve"> than the general market</w:t>
      </w:r>
      <w:r w:rsidR="00AD2649" w:rsidRPr="00112355">
        <w:t xml:space="preserve">. Approximately 1.0 per cent of the </w:t>
      </w:r>
      <w:r w:rsidR="000059A7" w:rsidRPr="00112355">
        <w:t>HGS</w:t>
      </w:r>
      <w:r w:rsidR="00AD2649" w:rsidRPr="00112355">
        <w:t xml:space="preserve"> portfolio is accessing hardship support, and 0.3 per cent of the portfolio is in arrears.</w:t>
      </w:r>
      <w:r w:rsidR="00FC3B30" w:rsidRPr="00112355">
        <w:t xml:space="preserve"> This is in comparison with</w:t>
      </w:r>
      <w:r w:rsidR="00AD2649" w:rsidRPr="00112355">
        <w:t xml:space="preserve"> over 0.5 per cent of the general population of first home buyers </w:t>
      </w:r>
      <w:r w:rsidR="00681D41" w:rsidRPr="00112355">
        <w:t xml:space="preserve">in </w:t>
      </w:r>
      <w:r w:rsidR="00D54E13" w:rsidRPr="00112355">
        <w:t>arrears</w:t>
      </w:r>
      <w:r w:rsidR="00AD2649" w:rsidRPr="00112355">
        <w:t xml:space="preserve"> and over 2</w:t>
      </w:r>
      <w:r w:rsidR="00F96141" w:rsidRPr="00112355">
        <w:t> </w:t>
      </w:r>
      <w:r w:rsidR="00AD2649" w:rsidRPr="00112355">
        <w:t>per cent of other high</w:t>
      </w:r>
      <w:r w:rsidR="00F96141" w:rsidRPr="00112355">
        <w:t>-LVR</w:t>
      </w:r>
      <w:r w:rsidR="00AD2649" w:rsidRPr="00112355">
        <w:t xml:space="preserve"> borrowers in a</w:t>
      </w:r>
      <w:r w:rsidR="00160C2E" w:rsidRPr="00112355">
        <w:t>r</w:t>
      </w:r>
      <w:r w:rsidR="00AD2649" w:rsidRPr="00112355">
        <w:t>rea</w:t>
      </w:r>
      <w:r w:rsidR="00160C2E" w:rsidRPr="00112355">
        <w:t>r</w:t>
      </w:r>
      <w:r w:rsidR="00AD2649" w:rsidRPr="00112355">
        <w:t>s</w:t>
      </w:r>
      <w:r w:rsidR="00FC3B30" w:rsidRPr="00112355">
        <w:t xml:space="preserve"> in early 2024</w:t>
      </w:r>
      <w:r w:rsidR="00AD2649" w:rsidRPr="00112355">
        <w:t>.</w:t>
      </w:r>
      <w:r w:rsidR="00BC7B1A">
        <w:rPr>
          <w:rStyle w:val="FootnoteReference"/>
        </w:rPr>
        <w:footnoteReference w:id="10"/>
      </w:r>
      <w:r w:rsidR="00221D54" w:rsidRPr="00112355">
        <w:t xml:space="preserve"> </w:t>
      </w:r>
      <w:r w:rsidR="00133B8D">
        <w:t>Since</w:t>
      </w:r>
      <w:r w:rsidR="006A7C4A">
        <w:t xml:space="preserve"> the scheme began in</w:t>
      </w:r>
      <w:r w:rsidR="00133B8D">
        <w:t xml:space="preserve"> </w:t>
      </w:r>
      <w:r w:rsidR="00850FED">
        <w:t>20</w:t>
      </w:r>
      <w:r w:rsidR="00A560DC">
        <w:t>20</w:t>
      </w:r>
      <w:r w:rsidR="009C7036" w:rsidRPr="00112355">
        <w:t>,</w:t>
      </w:r>
      <w:r w:rsidR="00AC0D7D">
        <w:t xml:space="preserve"> the Commonwealth has provided </w:t>
      </w:r>
      <w:r w:rsidR="0067719A">
        <w:t>approximately 155,000 guarantees</w:t>
      </w:r>
      <w:r w:rsidR="001A58BD">
        <w:t>.</w:t>
      </w:r>
      <w:r w:rsidR="00FC2F8B" w:rsidRPr="00112355">
        <w:t xml:space="preserve"> </w:t>
      </w:r>
      <w:r w:rsidR="001A58BD">
        <w:t xml:space="preserve">Of these, </w:t>
      </w:r>
      <w:r w:rsidR="00FC2F8B" w:rsidRPr="00112355">
        <w:t>5 guarantees have been paid out</w:t>
      </w:r>
      <w:r w:rsidR="000A473B" w:rsidRPr="00112355">
        <w:t xml:space="preserve"> so far</w:t>
      </w:r>
      <w:r w:rsidR="00FC2F8B" w:rsidRPr="00112355">
        <w:t xml:space="preserve">, </w:t>
      </w:r>
      <w:r w:rsidR="000A473B" w:rsidRPr="00112355">
        <w:t>at</w:t>
      </w:r>
      <w:r w:rsidR="00FC2F8B" w:rsidRPr="00112355">
        <w:t xml:space="preserve"> a total cost of </w:t>
      </w:r>
      <w:r w:rsidR="00390846" w:rsidRPr="00112355">
        <w:t>$</w:t>
      </w:r>
      <w:r w:rsidR="00FC2F8B" w:rsidRPr="00112355">
        <w:t xml:space="preserve">240,673. </w:t>
      </w:r>
      <w:r w:rsidR="00462032" w:rsidRPr="00112355">
        <w:t>It is difficult to ascertain why the HGS portfolio has typically outperformed the market with respect to hardship and arrears.</w:t>
      </w:r>
      <w:r w:rsidR="00FD67BD" w:rsidRPr="00112355">
        <w:t xml:space="preserve"> </w:t>
      </w:r>
      <w:r w:rsidR="00894ED1">
        <w:t>While</w:t>
      </w:r>
      <w:r w:rsidR="00B44837" w:rsidRPr="00112355">
        <w:t xml:space="preserve"> it is </w:t>
      </w:r>
      <w:r w:rsidR="00F96141" w:rsidRPr="00112355">
        <w:t>expected</w:t>
      </w:r>
      <w:r w:rsidR="00955A8A" w:rsidRPr="00112355">
        <w:t xml:space="preserve"> that claims would increase</w:t>
      </w:r>
      <w:r w:rsidR="00F63226" w:rsidRPr="00112355">
        <w:t xml:space="preserve"> under an expanded scheme</w:t>
      </w:r>
      <w:r w:rsidR="00B44837" w:rsidRPr="00112355">
        <w:t xml:space="preserve">, </w:t>
      </w:r>
      <w:r w:rsidR="000042EA">
        <w:t xml:space="preserve">particularly in the event </w:t>
      </w:r>
      <w:r w:rsidR="00036F4E">
        <w:t>conditions in the housing market deteriorate</w:t>
      </w:r>
      <w:r w:rsidR="00114AD8">
        <w:t xml:space="preserve">, </w:t>
      </w:r>
      <w:r w:rsidR="00B44837" w:rsidRPr="00112355">
        <w:t>previous</w:t>
      </w:r>
      <w:r w:rsidR="0094647D" w:rsidRPr="00112355">
        <w:t xml:space="preserve"> </w:t>
      </w:r>
      <w:r w:rsidR="00EC1D0C" w:rsidRPr="00112355">
        <w:t xml:space="preserve">HGS trends </w:t>
      </w:r>
      <w:r w:rsidR="0094647D" w:rsidRPr="00112355">
        <w:t xml:space="preserve">may </w:t>
      </w:r>
      <w:r w:rsidR="00114AD8">
        <w:t xml:space="preserve">still </w:t>
      </w:r>
      <w:r w:rsidR="009A2434" w:rsidRPr="00112355">
        <w:t xml:space="preserve">provide </w:t>
      </w:r>
      <w:r w:rsidR="0094647D" w:rsidRPr="00112355">
        <w:t>some</w:t>
      </w:r>
      <w:r w:rsidR="009A2434" w:rsidRPr="00112355">
        <w:t xml:space="preserve"> positive</w:t>
      </w:r>
      <w:r w:rsidR="00AB3F90" w:rsidRPr="00112355">
        <w:t xml:space="preserve"> indicat</w:t>
      </w:r>
      <w:r w:rsidR="0094647D" w:rsidRPr="00112355">
        <w:t>ion</w:t>
      </w:r>
      <w:r w:rsidR="00AB3F90" w:rsidRPr="00112355">
        <w:t xml:space="preserve"> of potential </w:t>
      </w:r>
      <w:r w:rsidR="005E03B2" w:rsidRPr="00112355">
        <w:t xml:space="preserve">future </w:t>
      </w:r>
      <w:r w:rsidR="00AB3F90" w:rsidRPr="00112355">
        <w:t>HGS portfolio performance under an e</w:t>
      </w:r>
      <w:r w:rsidR="007D6684" w:rsidRPr="00112355">
        <w:t>xpanded</w:t>
      </w:r>
      <w:r w:rsidR="00AB3F90" w:rsidRPr="00112355">
        <w:t xml:space="preserve"> scheme</w:t>
      </w:r>
      <w:r w:rsidR="00FB62E6" w:rsidRPr="00112355">
        <w:t>.</w:t>
      </w:r>
      <w:r w:rsidR="00496590">
        <w:t xml:space="preserve"> </w:t>
      </w:r>
    </w:p>
    <w:p w14:paraId="10890E57" w14:textId="205A00FD" w:rsidR="000A1F0F" w:rsidRDefault="009C2076" w:rsidP="00A1323C">
      <w:pPr>
        <w:rPr>
          <w:rFonts w:cstheme="minorHAnsi"/>
          <w:szCs w:val="24"/>
        </w:rPr>
      </w:pPr>
      <w:r>
        <w:t>Giv</w:t>
      </w:r>
      <w:r w:rsidR="008921D1">
        <w:t xml:space="preserve">ing </w:t>
      </w:r>
      <w:r>
        <w:t xml:space="preserve">all first home buyers access to 5 per cent deposits by </w:t>
      </w:r>
      <w:r w:rsidRPr="003E376A">
        <w:t>expand</w:t>
      </w:r>
      <w:r>
        <w:t>ing</w:t>
      </w:r>
      <w:r w:rsidRPr="003E376A">
        <w:t xml:space="preserve"> HGS</w:t>
      </w:r>
      <w:r w:rsidR="008921D1">
        <w:t xml:space="preserve"> may </w:t>
      </w:r>
      <w:r w:rsidR="004E59F8">
        <w:t xml:space="preserve">also </w:t>
      </w:r>
      <w:r w:rsidR="00CC7ACB">
        <w:t xml:space="preserve">impact </w:t>
      </w:r>
      <w:r w:rsidR="00D22430">
        <w:t>the</w:t>
      </w:r>
      <w:r w:rsidR="00CC7ACB">
        <w:t xml:space="preserve"> housing market</w:t>
      </w:r>
      <w:r w:rsidR="00D22430">
        <w:t>.</w:t>
      </w:r>
      <w:r w:rsidR="00CC7ACB">
        <w:t xml:space="preserve"> </w:t>
      </w:r>
      <w:r w:rsidR="000A1F0F" w:rsidRPr="00112355">
        <w:t xml:space="preserve">High LVR lending is typically associated with higher arrears rates in downturns. Low-deposit lending incrementally increases household indebtedness and the potential for negative equity for some purchasers. It also lowers the behavioural impact on creditworthiness of requiring borrowers to save a </w:t>
      </w:r>
      <w:r w:rsidR="000A1F0F" w:rsidRPr="00112355">
        <w:lastRenderedPageBreak/>
        <w:t xml:space="preserve">meaningful deposit. Taken together, these factors have the potential to </w:t>
      </w:r>
      <w:r w:rsidR="00813608">
        <w:t>also</w:t>
      </w:r>
      <w:r w:rsidR="000A1F0F" w:rsidRPr="00112355">
        <w:t xml:space="preserve"> amplify the Government’s exposure to the housing market.</w:t>
      </w:r>
    </w:p>
    <w:p w14:paraId="320BA473" w14:textId="23F898B5" w:rsidR="00DC7458" w:rsidRPr="000864AE" w:rsidRDefault="004370E0" w:rsidP="00DC7458">
      <w:pPr>
        <w:pStyle w:val="Heading3"/>
        <w:rPr>
          <w:u w:val="single"/>
        </w:rPr>
      </w:pPr>
      <w:r>
        <w:rPr>
          <w:u w:val="single"/>
        </w:rPr>
        <w:t>S</w:t>
      </w:r>
      <w:r w:rsidR="00DC7458" w:rsidRPr="000864AE">
        <w:rPr>
          <w:u w:val="single"/>
        </w:rPr>
        <w:t>mall and regional banks</w:t>
      </w:r>
      <w:r>
        <w:rPr>
          <w:u w:val="single"/>
        </w:rPr>
        <w:t xml:space="preserve"> – competition implications</w:t>
      </w:r>
    </w:p>
    <w:p w14:paraId="29C436F4" w14:textId="59AC7C6A" w:rsidR="00DC7458" w:rsidRDefault="00B838DB" w:rsidP="00EB6E6A">
      <w:pPr>
        <w:pStyle w:val="Bullet"/>
        <w:numPr>
          <w:ilvl w:val="0"/>
          <w:numId w:val="0"/>
        </w:numPr>
      </w:pPr>
      <w:r>
        <w:t xml:space="preserve">A diverse and competitive banking sector is critical to ensuring Australians </w:t>
      </w:r>
      <w:r w:rsidR="001D643A">
        <w:t>can</w:t>
      </w:r>
      <w:r>
        <w:t xml:space="preserve"> access finance,</w:t>
      </w:r>
      <w:r w:rsidR="005F1F0E">
        <w:t xml:space="preserve"> particularly mortgage finance, at competitive rates. </w:t>
      </w:r>
      <w:r w:rsidR="00F6105E">
        <w:t xml:space="preserve">Small and regional lenders play a central role in </w:t>
      </w:r>
      <w:r w:rsidR="13CB038C">
        <w:t xml:space="preserve">supporting </w:t>
      </w:r>
      <w:r w:rsidR="00213CA0">
        <w:t xml:space="preserve">diversity </w:t>
      </w:r>
      <w:r w:rsidR="00EE44AD">
        <w:t xml:space="preserve">and competition </w:t>
      </w:r>
      <w:r w:rsidR="00213CA0">
        <w:t>in the sector.</w:t>
      </w:r>
    </w:p>
    <w:p w14:paraId="35D6AE93" w14:textId="09961A30" w:rsidR="00732BF4" w:rsidRDefault="00182590" w:rsidP="0070008D">
      <w:pPr>
        <w:pStyle w:val="Bullet"/>
        <w:numPr>
          <w:ilvl w:val="0"/>
          <w:numId w:val="0"/>
        </w:numPr>
      </w:pPr>
      <w:r>
        <w:t xml:space="preserve">For many lenders, </w:t>
      </w:r>
      <w:r w:rsidR="000D51C4">
        <w:t xml:space="preserve">attracting </w:t>
      </w:r>
      <w:r>
        <w:t>first home buyer</w:t>
      </w:r>
      <w:r w:rsidR="004F1297">
        <w:t xml:space="preserve">s </w:t>
      </w:r>
      <w:r w:rsidR="000D51C4">
        <w:t>is</w:t>
      </w:r>
      <w:r w:rsidDel="004F1297">
        <w:t xml:space="preserve"> </w:t>
      </w:r>
      <w:r>
        <w:t xml:space="preserve">critical </w:t>
      </w:r>
      <w:r w:rsidR="005D0F91">
        <w:t>to</w:t>
      </w:r>
      <w:r>
        <w:t xml:space="preserve"> </w:t>
      </w:r>
      <w:r w:rsidR="00767543">
        <w:t>their business</w:t>
      </w:r>
      <w:r w:rsidR="00F84E46">
        <w:t xml:space="preserve"> as i</w:t>
      </w:r>
      <w:r w:rsidR="00767543">
        <w:t xml:space="preserve">t </w:t>
      </w:r>
      <w:r w:rsidR="00035BB5">
        <w:t xml:space="preserve">typically </w:t>
      </w:r>
      <w:r w:rsidR="007D6FEE">
        <w:t>enables</w:t>
      </w:r>
      <w:r w:rsidR="009D754D">
        <w:t xml:space="preserve"> lenders to acquire and build long-term relationship</w:t>
      </w:r>
      <w:r w:rsidR="00FA5DD7">
        <w:t>s</w:t>
      </w:r>
      <w:r w:rsidR="009D754D">
        <w:t xml:space="preserve"> with </w:t>
      </w:r>
      <w:r w:rsidR="0060781D">
        <w:t>new customers</w:t>
      </w:r>
      <w:r w:rsidR="00F84E46">
        <w:t>.</w:t>
      </w:r>
      <w:r w:rsidR="00E358B5">
        <w:rPr>
          <w:rStyle w:val="FootnoteReference"/>
        </w:rPr>
        <w:footnoteReference w:id="11"/>
      </w:r>
      <w:r w:rsidR="00F84E46">
        <w:t xml:space="preserve"> This occurs</w:t>
      </w:r>
      <w:r w:rsidR="009D754D">
        <w:t xml:space="preserve"> </w:t>
      </w:r>
      <w:r w:rsidR="0070008D">
        <w:t xml:space="preserve">both through the initial long-term lending involved in mortgage finance, but also through </w:t>
      </w:r>
      <w:r w:rsidR="00B25457">
        <w:t xml:space="preserve">other relationships which may result from this initial interaction. </w:t>
      </w:r>
      <w:r w:rsidR="00356384">
        <w:t xml:space="preserve">The expansion of the HGS is likely to result in a larger proportion of the first home buyer market </w:t>
      </w:r>
      <w:r w:rsidR="0084537A">
        <w:t>participating in</w:t>
      </w:r>
      <w:r w:rsidR="000E1E64">
        <w:t xml:space="preserve"> and entering into mortgages via</w:t>
      </w:r>
      <w:r w:rsidR="00FE3250">
        <w:t xml:space="preserve"> the scheme. </w:t>
      </w:r>
      <w:r w:rsidR="0075567E">
        <w:t>Consequently</w:t>
      </w:r>
      <w:r w:rsidR="00FE3250">
        <w:t xml:space="preserve">, </w:t>
      </w:r>
      <w:r w:rsidR="00AA02AE">
        <w:t>for</w:t>
      </w:r>
      <w:r w:rsidR="0035561D">
        <w:t xml:space="preserve"> many small and regional</w:t>
      </w:r>
      <w:r w:rsidR="00AA02AE">
        <w:t xml:space="preserve"> lenders</w:t>
      </w:r>
      <w:r w:rsidR="0035561D">
        <w:t>,</w:t>
      </w:r>
      <w:r w:rsidR="00AA02AE">
        <w:t xml:space="preserve"> </w:t>
      </w:r>
      <w:r w:rsidR="00FE3250">
        <w:t xml:space="preserve">participation in the HGS panel will become </w:t>
      </w:r>
      <w:r w:rsidR="00EA343C" w:rsidRPr="00FC7D20">
        <w:t xml:space="preserve">critical </w:t>
      </w:r>
      <w:r w:rsidR="0035561D" w:rsidRPr="00150E48">
        <w:t>to enabl</w:t>
      </w:r>
      <w:r w:rsidR="00CA44BF" w:rsidRPr="00150E48">
        <w:t>ing</w:t>
      </w:r>
      <w:r w:rsidR="0035561D" w:rsidRPr="00150E48">
        <w:t xml:space="preserve"> them to</w:t>
      </w:r>
      <w:r w:rsidR="00EA343C" w:rsidRPr="00FC7D20">
        <w:t xml:space="preserve"> compete in the first home buyer segment of the market</w:t>
      </w:r>
      <w:r w:rsidR="0035561D" w:rsidRPr="00150E48">
        <w:t>.</w:t>
      </w:r>
    </w:p>
    <w:p w14:paraId="20D2AAC2" w14:textId="77777777" w:rsidR="00DC7458" w:rsidRPr="00B93D44" w:rsidRDefault="00DC7458" w:rsidP="00DC7458">
      <w:pPr>
        <w:pStyle w:val="Heading4"/>
      </w:pPr>
      <w:r w:rsidRPr="00B93D44">
        <w:t xml:space="preserve">Impacts on </w:t>
      </w:r>
      <w:bookmarkStart w:id="1" w:name="_Hlk202865787"/>
      <w:r w:rsidRPr="00B93D44">
        <w:t xml:space="preserve">small and regional banks </w:t>
      </w:r>
      <w:bookmarkEnd w:id="1"/>
      <w:r w:rsidRPr="00712C4E">
        <w:t>d</w:t>
      </w:r>
      <w:r w:rsidRPr="00B93D44">
        <w:t>ue to potential LMI industry consolidation/exit</w:t>
      </w:r>
    </w:p>
    <w:p w14:paraId="1D1B165F" w14:textId="385F246B" w:rsidR="004C7653" w:rsidRPr="00B93D44" w:rsidRDefault="005B2580" w:rsidP="004C7653">
      <w:pPr>
        <w:pStyle w:val="Bullet"/>
        <w:numPr>
          <w:ilvl w:val="0"/>
          <w:numId w:val="0"/>
        </w:numPr>
      </w:pPr>
      <w:r w:rsidRPr="00B93D44">
        <w:t>W</w:t>
      </w:r>
      <w:r w:rsidR="00AC4AC1" w:rsidRPr="00B93D44">
        <w:t xml:space="preserve">ith </w:t>
      </w:r>
      <w:r w:rsidR="00647BFF" w:rsidRPr="00B93D44">
        <w:t>a</w:t>
      </w:r>
      <w:r w:rsidR="00966C61" w:rsidRPr="00B93D44">
        <w:t>n expected</w:t>
      </w:r>
      <w:r w:rsidR="00647BFF" w:rsidRPr="00B93D44">
        <w:t xml:space="preserve"> larger proportion of first home buyers </w:t>
      </w:r>
      <w:r w:rsidR="00245895" w:rsidRPr="00B93D44">
        <w:t>access</w:t>
      </w:r>
      <w:r w:rsidR="00F01111" w:rsidRPr="00B93D44">
        <w:t>ing</w:t>
      </w:r>
      <w:r w:rsidR="00647BFF" w:rsidRPr="00B93D44">
        <w:t xml:space="preserve"> high LVR </w:t>
      </w:r>
      <w:r w:rsidR="00245895" w:rsidRPr="00B93D44">
        <w:t>loans</w:t>
      </w:r>
      <w:r w:rsidR="00F01111" w:rsidRPr="00B93D44">
        <w:t xml:space="preserve"> through HGS</w:t>
      </w:r>
      <w:r w:rsidR="00647BFF" w:rsidRPr="00B93D44">
        <w:t xml:space="preserve">, </w:t>
      </w:r>
      <w:r w:rsidR="008A71FF" w:rsidRPr="00B93D44">
        <w:t>s</w:t>
      </w:r>
      <w:r w:rsidR="001D20B4" w:rsidRPr="00B93D44">
        <w:t>maller lenders</w:t>
      </w:r>
      <w:r w:rsidRPr="00B93D44">
        <w:t xml:space="preserve"> </w:t>
      </w:r>
      <w:r w:rsidR="001D20B4" w:rsidRPr="00B93D44">
        <w:t xml:space="preserve">could be disproportionately affected by LMI </w:t>
      </w:r>
      <w:r w:rsidR="007372C9" w:rsidRPr="00B93D44">
        <w:t xml:space="preserve">sector </w:t>
      </w:r>
      <w:r w:rsidR="001D20B4" w:rsidRPr="00B93D44">
        <w:t>consolidation</w:t>
      </w:r>
      <w:r w:rsidR="00D42D4B" w:rsidRPr="00B93D44">
        <w:t xml:space="preserve"> given their </w:t>
      </w:r>
      <w:r w:rsidR="00E9248B" w:rsidRPr="00B93D44">
        <w:t xml:space="preserve">heavier </w:t>
      </w:r>
      <w:r w:rsidR="00D42D4B" w:rsidRPr="00B93D44">
        <w:t xml:space="preserve">reliance </w:t>
      </w:r>
      <w:r w:rsidR="00FC5AB0" w:rsidRPr="00B93D44">
        <w:t xml:space="preserve">(than larger lenders) </w:t>
      </w:r>
      <w:r w:rsidR="00D42D4B" w:rsidRPr="00B93D44">
        <w:t xml:space="preserve">on LMI </w:t>
      </w:r>
      <w:r w:rsidR="007372C9" w:rsidRPr="00B93D44">
        <w:t xml:space="preserve">to </w:t>
      </w:r>
      <w:r w:rsidR="00D42D4B" w:rsidRPr="00B93D44">
        <w:t>support them to offer high LVR loans</w:t>
      </w:r>
      <w:r w:rsidR="00F12F40">
        <w:t xml:space="preserve"> and competitive rates</w:t>
      </w:r>
      <w:r w:rsidR="001D20B4" w:rsidRPr="00B93D44">
        <w:t>.</w:t>
      </w:r>
      <w:r w:rsidR="004C7653" w:rsidRPr="004C7653">
        <w:t xml:space="preserve"> </w:t>
      </w:r>
      <w:r w:rsidR="004C7653" w:rsidRPr="00B93D44">
        <w:t>Major lenders generally have greater capacity to ‘self-insure’ high LVR loans (demonstrated by the LMI waivers offered to selected professions by some lenders) as they have greater access to capital. They may also have greater ability to charge the borrower a premium directly to absorb the additional credit risk of high LVR lending.</w:t>
      </w:r>
    </w:p>
    <w:p w14:paraId="6D7BB621" w14:textId="28A73782" w:rsidR="00E17201" w:rsidRPr="00B93D44" w:rsidRDefault="00483CC6" w:rsidP="00541F27">
      <w:r w:rsidRPr="00B93D44">
        <w:t xml:space="preserve">For small and regional </w:t>
      </w:r>
      <w:r w:rsidR="008C418F" w:rsidRPr="00B93D44">
        <w:t>banks</w:t>
      </w:r>
      <w:r w:rsidRPr="00B93D44">
        <w:t xml:space="preserve">, </w:t>
      </w:r>
      <w:r w:rsidR="008C418F" w:rsidRPr="00B93D44">
        <w:t xml:space="preserve">who typically have </w:t>
      </w:r>
      <w:r w:rsidR="00352FCE" w:rsidRPr="00B93D44">
        <w:t xml:space="preserve">more limited options </w:t>
      </w:r>
      <w:r w:rsidR="00FC5AB0" w:rsidRPr="00B93D44">
        <w:t>to access</w:t>
      </w:r>
      <w:r w:rsidR="00352FCE" w:rsidRPr="00B93D44">
        <w:t xml:space="preserve"> additional capital, </w:t>
      </w:r>
      <w:r w:rsidRPr="00B93D44">
        <w:t xml:space="preserve">LMI facilitates their ability to </w:t>
      </w:r>
      <w:r w:rsidR="002A64BD" w:rsidRPr="00B93D44">
        <w:t>offer high LVR lending by</w:t>
      </w:r>
      <w:r w:rsidR="00E17201" w:rsidRPr="00B93D44">
        <w:t>:</w:t>
      </w:r>
    </w:p>
    <w:p w14:paraId="783E8086" w14:textId="170BCC4F" w:rsidR="00AC7300" w:rsidRPr="00B93D44" w:rsidRDefault="00401471" w:rsidP="00E17201">
      <w:pPr>
        <w:pStyle w:val="Bullet"/>
      </w:pPr>
      <w:r w:rsidRPr="00B93D44">
        <w:t xml:space="preserve">reducing the amount of capital </w:t>
      </w:r>
      <w:r w:rsidR="00CE74AB" w:rsidRPr="00B93D44">
        <w:t xml:space="preserve">they are required to hold </w:t>
      </w:r>
      <w:r w:rsidR="00C36595" w:rsidRPr="00B93D44">
        <w:t>against high LVR loans</w:t>
      </w:r>
      <w:r w:rsidR="002F43D4" w:rsidRPr="00B93D44">
        <w:t>, making them more commercially attractive</w:t>
      </w:r>
      <w:r w:rsidR="00CD3EB7" w:rsidRPr="00B93D44">
        <w:t xml:space="preserve"> –</w:t>
      </w:r>
      <w:r w:rsidR="003C312A" w:rsidRPr="00B93D44">
        <w:t xml:space="preserve"> </w:t>
      </w:r>
      <w:r w:rsidR="008C7B12" w:rsidRPr="00B93D44">
        <w:t xml:space="preserve">the Australian Prudential Regulation Authority’s (APRA) </w:t>
      </w:r>
      <w:r w:rsidR="00444CDD" w:rsidRPr="00B93D44">
        <w:t>capital requirements</w:t>
      </w:r>
      <w:r w:rsidR="003C312A" w:rsidRPr="00B93D44">
        <w:t xml:space="preserve"> are lower</w:t>
      </w:r>
      <w:r w:rsidR="00444CDD" w:rsidRPr="00B93D44">
        <w:t xml:space="preserve"> for high LVR loans</w:t>
      </w:r>
      <w:r w:rsidR="00C40619" w:rsidRPr="00B93D44">
        <w:t xml:space="preserve"> with LMI cover</w:t>
      </w:r>
    </w:p>
    <w:p w14:paraId="5BCE2C1B" w14:textId="218A84D4" w:rsidR="0045307E" w:rsidRPr="00B93D44" w:rsidRDefault="001B57BB" w:rsidP="00E17201">
      <w:pPr>
        <w:pStyle w:val="Bullet"/>
      </w:pPr>
      <w:proofErr w:type="gramStart"/>
      <w:r w:rsidRPr="00B93D44">
        <w:t>enabling</w:t>
      </w:r>
      <w:proofErr w:type="gramEnd"/>
      <w:r w:rsidRPr="00B93D44">
        <w:t xml:space="preserve"> </w:t>
      </w:r>
      <w:r w:rsidR="000957FE" w:rsidRPr="00B93D44">
        <w:t>lenders</w:t>
      </w:r>
      <w:r w:rsidR="00503799" w:rsidRPr="00B93D44">
        <w:t xml:space="preserve"> to securitise these</w:t>
      </w:r>
      <w:r w:rsidR="0071775D" w:rsidRPr="00B93D44">
        <w:t xml:space="preserve"> loans</w:t>
      </w:r>
      <w:r w:rsidR="00043868" w:rsidRPr="00B93D44">
        <w:t xml:space="preserve">, which </w:t>
      </w:r>
      <w:r w:rsidR="000A6D5C" w:rsidRPr="00B93D44">
        <w:t>takes the loans off their balance sheet</w:t>
      </w:r>
      <w:r w:rsidR="0045307E" w:rsidRPr="00B93D44">
        <w:t>s</w:t>
      </w:r>
      <w:r w:rsidR="000A6D5C" w:rsidRPr="00B93D44">
        <w:t xml:space="preserve"> and enables them to </w:t>
      </w:r>
      <w:r w:rsidR="0045307E" w:rsidRPr="00B93D44">
        <w:t>re</w:t>
      </w:r>
      <w:r w:rsidR="000A6D5C" w:rsidRPr="00B93D44">
        <w:t xml:space="preserve">allocate </w:t>
      </w:r>
      <w:r w:rsidR="001032D8" w:rsidRPr="00B93D44">
        <w:t>the</w:t>
      </w:r>
      <w:r w:rsidR="0045307E" w:rsidRPr="00B93D44">
        <w:t xml:space="preserve"> capital they would have otherwise been required to hold against these loans</w:t>
      </w:r>
      <w:r w:rsidR="00BF4087" w:rsidRPr="00B93D44">
        <w:t xml:space="preserve"> – loans covered by HGS cannot be securitised.</w:t>
      </w:r>
    </w:p>
    <w:p w14:paraId="7E37148F" w14:textId="29463B97" w:rsidR="00EC43E8" w:rsidRPr="00B93D44" w:rsidRDefault="00F12F40" w:rsidP="003A6413">
      <w:pPr>
        <w:pStyle w:val="Bullet"/>
        <w:numPr>
          <w:ilvl w:val="0"/>
          <w:numId w:val="0"/>
        </w:numPr>
      </w:pPr>
      <w:r w:rsidRPr="00B93D44">
        <w:t xml:space="preserve">An active LMI market may, therefore, help to support the competitiveness of smaller lenders and competition in the banking sector more broadly.  </w:t>
      </w:r>
      <w:r w:rsidR="00163F79">
        <w:t>Access to the LMI market will be</w:t>
      </w:r>
      <w:r w:rsidR="005A3E87">
        <w:t xml:space="preserve"> important for </w:t>
      </w:r>
      <w:r w:rsidR="00163F79" w:rsidRPr="00B93D44">
        <w:t>low-deposit customers who cannot access HGS (for example, prospective buyers who have purchased a home in the previous 10 years).</w:t>
      </w:r>
    </w:p>
    <w:p w14:paraId="47ED96BC" w14:textId="28077AF5" w:rsidR="005F2EC3" w:rsidRPr="00B93D44" w:rsidRDefault="005F2EC3" w:rsidP="00EC6F55">
      <w:pPr>
        <w:pStyle w:val="Heading4"/>
      </w:pPr>
      <w:r w:rsidRPr="00B93D44">
        <w:t xml:space="preserve">Impacts on </w:t>
      </w:r>
      <w:r w:rsidR="00EC6F55" w:rsidRPr="00B93D44">
        <w:t>small and regional bank</w:t>
      </w:r>
      <w:r w:rsidR="006E67CC" w:rsidRPr="00B93D44">
        <w:t>s’</w:t>
      </w:r>
      <w:r w:rsidR="00EC6F55" w:rsidRPr="00B93D44">
        <w:t xml:space="preserve"> risk </w:t>
      </w:r>
      <w:r w:rsidR="003362D4" w:rsidRPr="00B93D44">
        <w:t>exposures</w:t>
      </w:r>
    </w:p>
    <w:p w14:paraId="4B9AAEAD" w14:textId="52F59A1E" w:rsidR="00917AAC" w:rsidRPr="00B93D44" w:rsidRDefault="00DB4644" w:rsidP="008F2BB1">
      <w:r w:rsidRPr="00B93D44">
        <w:t>HGS</w:t>
      </w:r>
      <w:r w:rsidR="00075456" w:rsidRPr="00B93D44">
        <w:t xml:space="preserve"> </w:t>
      </w:r>
      <w:r w:rsidRPr="00B93D44">
        <w:t>backed l</w:t>
      </w:r>
      <w:r w:rsidR="00585140" w:rsidRPr="00B93D44">
        <w:t xml:space="preserve">oans </w:t>
      </w:r>
      <w:r w:rsidR="00BB18A4" w:rsidRPr="00B93D44">
        <w:t>pose different risks to</w:t>
      </w:r>
      <w:r w:rsidR="005841FA" w:rsidRPr="00B93D44">
        <w:t xml:space="preserve"> those covered by LMI </w:t>
      </w:r>
      <w:r w:rsidR="00CA1CED" w:rsidRPr="00B93D44">
        <w:t xml:space="preserve">so </w:t>
      </w:r>
      <w:r w:rsidR="00E613AF" w:rsidRPr="00B93D44">
        <w:t xml:space="preserve">switching to </w:t>
      </w:r>
      <w:r w:rsidR="00CA1CED" w:rsidRPr="00B93D44">
        <w:t>a</w:t>
      </w:r>
      <w:r w:rsidR="001838FF" w:rsidRPr="00B93D44">
        <w:t xml:space="preserve"> higher </w:t>
      </w:r>
      <w:r w:rsidR="00CA1CED" w:rsidRPr="00B93D44">
        <w:t xml:space="preserve">proportion of </w:t>
      </w:r>
      <w:r w:rsidR="002A5EE7" w:rsidRPr="00B93D44">
        <w:t>HGS</w:t>
      </w:r>
      <w:r w:rsidR="00075456" w:rsidRPr="00B93D44">
        <w:t xml:space="preserve"> </w:t>
      </w:r>
      <w:r w:rsidR="00E96C94" w:rsidRPr="00B93D44">
        <w:t>backed loans</w:t>
      </w:r>
      <w:r w:rsidR="002A5EE7" w:rsidRPr="00B93D44">
        <w:t xml:space="preserve"> may have implications for small and regional banks</w:t>
      </w:r>
      <w:r w:rsidR="00E96C94" w:rsidRPr="00B93D44">
        <w:t xml:space="preserve">’ risk </w:t>
      </w:r>
      <w:r w:rsidR="003362D4" w:rsidRPr="00B93D44">
        <w:t>exposures</w:t>
      </w:r>
      <w:r w:rsidR="00036943" w:rsidRPr="00B93D44">
        <w:t xml:space="preserve">. </w:t>
      </w:r>
      <w:r w:rsidR="00640769" w:rsidRPr="00B93D44">
        <w:t>Small and regional banks have noted that</w:t>
      </w:r>
      <w:r w:rsidR="00DF53E6" w:rsidRPr="00B93D44">
        <w:t xml:space="preserve"> </w:t>
      </w:r>
      <w:r w:rsidR="00EB1322" w:rsidRPr="00B93D44">
        <w:t xml:space="preserve">when they lend using </w:t>
      </w:r>
      <w:r w:rsidR="00DF53E6" w:rsidRPr="00B93D44">
        <w:t xml:space="preserve">HGS </w:t>
      </w:r>
      <w:r w:rsidR="00EB1322" w:rsidRPr="00B93D44">
        <w:t>rather than LMI,</w:t>
      </w:r>
      <w:r w:rsidR="00DF53E6" w:rsidRPr="00B93D44">
        <w:t xml:space="preserve"> </w:t>
      </w:r>
      <w:r w:rsidR="00143B5F" w:rsidRPr="00B93D44">
        <w:t xml:space="preserve">they </w:t>
      </w:r>
      <w:r w:rsidR="00971406" w:rsidRPr="00B93D44">
        <w:t>b</w:t>
      </w:r>
      <w:r w:rsidR="00B10C81">
        <w:t>ear</w:t>
      </w:r>
      <w:r w:rsidR="00971406" w:rsidRPr="00B93D44">
        <w:t xml:space="preserve"> the </w:t>
      </w:r>
      <w:r w:rsidR="00143B5F" w:rsidRPr="00B93D44">
        <w:t xml:space="preserve">risk </w:t>
      </w:r>
      <w:r w:rsidR="00E74250" w:rsidRPr="00B93D44">
        <w:t xml:space="preserve">of </w:t>
      </w:r>
      <w:r w:rsidR="00143B5F" w:rsidRPr="00B93D44">
        <w:t xml:space="preserve">the HGS </w:t>
      </w:r>
      <w:r w:rsidR="00DF53E6" w:rsidRPr="00B93D44">
        <w:lastRenderedPageBreak/>
        <w:t xml:space="preserve">guarantee </w:t>
      </w:r>
      <w:r w:rsidR="00EE475F" w:rsidRPr="00B93D44">
        <w:t>being invalidated</w:t>
      </w:r>
      <w:r w:rsidR="00DF53E6" w:rsidRPr="00B93D44">
        <w:t xml:space="preserve"> due to borrower actions</w:t>
      </w:r>
      <w:r w:rsidR="004F2196" w:rsidRPr="00B93D44">
        <w:t xml:space="preserve"> beyond their control</w:t>
      </w:r>
      <w:r w:rsidR="00BE0ED5" w:rsidRPr="00B93D44">
        <w:t>.</w:t>
      </w:r>
      <w:r w:rsidR="00DF53E6" w:rsidRPr="00B93D44">
        <w:t xml:space="preserve"> </w:t>
      </w:r>
      <w:r w:rsidR="00BE0ED5" w:rsidRPr="00B93D44">
        <w:t>This</w:t>
      </w:r>
      <w:r w:rsidR="008328D6" w:rsidRPr="00B93D44">
        <w:t xml:space="preserve"> can</w:t>
      </w:r>
      <w:r w:rsidR="00BE0ED5" w:rsidRPr="00B93D44">
        <w:t xml:space="preserve"> leave the bank </w:t>
      </w:r>
      <w:r w:rsidR="00637E5E" w:rsidRPr="00B93D44">
        <w:t xml:space="preserve">unexpectedly </w:t>
      </w:r>
      <w:r w:rsidR="005B7CF7" w:rsidRPr="00B93D44">
        <w:t xml:space="preserve">without HGS coverage on </w:t>
      </w:r>
      <w:r w:rsidR="00BE0ED5" w:rsidRPr="00B93D44">
        <w:t>high</w:t>
      </w:r>
      <w:r w:rsidR="00A55F6F" w:rsidRPr="00B93D44">
        <w:t xml:space="preserve"> </w:t>
      </w:r>
      <w:r w:rsidR="00BE0ED5" w:rsidRPr="00B93D44">
        <w:t>LVR loan</w:t>
      </w:r>
      <w:r w:rsidR="00994116" w:rsidRPr="00B93D44">
        <w:t>s</w:t>
      </w:r>
      <w:r w:rsidR="00BE0ED5" w:rsidRPr="00B93D44">
        <w:t xml:space="preserve">, </w:t>
      </w:r>
      <w:r w:rsidR="001441D8" w:rsidRPr="00B93D44">
        <w:t xml:space="preserve">which is a risk they do not face </w:t>
      </w:r>
      <w:r w:rsidR="00143B5F" w:rsidRPr="00B93D44">
        <w:t>when offer</w:t>
      </w:r>
      <w:r w:rsidR="00271ADE" w:rsidRPr="00B93D44">
        <w:t>ing</w:t>
      </w:r>
      <w:r w:rsidR="00143B5F" w:rsidRPr="00B93D44">
        <w:t xml:space="preserve"> LMI backed loan</w:t>
      </w:r>
      <w:r w:rsidR="00271ADE" w:rsidRPr="00B93D44">
        <w:t>s</w:t>
      </w:r>
      <w:r w:rsidR="00143B5F" w:rsidRPr="00B93D44">
        <w:t xml:space="preserve">. </w:t>
      </w:r>
      <w:r w:rsidR="00FB595D" w:rsidRPr="00B93D44">
        <w:t>While</w:t>
      </w:r>
      <w:r w:rsidR="005A349C" w:rsidRPr="00B93D44">
        <w:t xml:space="preserve"> very few claims made under HGS have been </w:t>
      </w:r>
      <w:r w:rsidR="00132CE1" w:rsidRPr="00B93D44">
        <w:t>s</w:t>
      </w:r>
      <w:r w:rsidR="00B66F0D" w:rsidRPr="00B93D44">
        <w:t xml:space="preserve">ubject to this </w:t>
      </w:r>
      <w:r w:rsidR="00271ADE" w:rsidRPr="00B93D44">
        <w:t>issue</w:t>
      </w:r>
      <w:r w:rsidR="00B06E3B" w:rsidRPr="00B93D44">
        <w:t xml:space="preserve">, it </w:t>
      </w:r>
      <w:r w:rsidR="00917AAC" w:rsidRPr="00B93D44">
        <w:t xml:space="preserve">presents a risk </w:t>
      </w:r>
      <w:r w:rsidR="004836EC" w:rsidRPr="00B93D44">
        <w:t xml:space="preserve">to </w:t>
      </w:r>
      <w:r w:rsidR="00BB5DDF">
        <w:t>sm</w:t>
      </w:r>
      <w:r w:rsidR="008579B3">
        <w:t xml:space="preserve">all and regional banks </w:t>
      </w:r>
      <w:r w:rsidR="00027F11" w:rsidRPr="00B93D44">
        <w:t>if offering more HGS-backed loans</w:t>
      </w:r>
      <w:r w:rsidR="00917AAC" w:rsidRPr="00B93D44">
        <w:t>.</w:t>
      </w:r>
    </w:p>
    <w:p w14:paraId="7CB32F72" w14:textId="43424B9A" w:rsidR="008F2BB1" w:rsidRDefault="004A69C7" w:rsidP="008F2BB1">
      <w:r w:rsidRPr="00B93D44">
        <w:t>Addi</w:t>
      </w:r>
      <w:r w:rsidR="002A5EE7" w:rsidRPr="00B93D44">
        <w:t>tionally</w:t>
      </w:r>
      <w:r w:rsidR="007A13FD" w:rsidRPr="00B93D44">
        <w:t>,</w:t>
      </w:r>
      <w:r w:rsidR="009414F0" w:rsidRPr="00B93D44">
        <w:t xml:space="preserve"> </w:t>
      </w:r>
      <w:r w:rsidR="009B36D4" w:rsidRPr="00B93D44">
        <w:t xml:space="preserve">LMI </w:t>
      </w:r>
      <w:r w:rsidR="00E673FC" w:rsidRPr="00B93D44">
        <w:t xml:space="preserve">is structured to </w:t>
      </w:r>
      <w:r w:rsidR="00FE2DC2" w:rsidRPr="00B93D44">
        <w:t xml:space="preserve">cover </w:t>
      </w:r>
      <w:r w:rsidR="009414F0" w:rsidRPr="00B93D44">
        <w:t>a loan</w:t>
      </w:r>
      <w:r w:rsidR="00216B78" w:rsidRPr="00B93D44">
        <w:t xml:space="preserve"> </w:t>
      </w:r>
      <w:r w:rsidR="00D53709" w:rsidRPr="00B93D44">
        <w:t xml:space="preserve">through its lifecycle </w:t>
      </w:r>
      <w:r w:rsidR="006660F2" w:rsidRPr="00B93D44">
        <w:t>until it is repaid</w:t>
      </w:r>
      <w:r w:rsidR="00FE2DC2" w:rsidRPr="00B93D44">
        <w:t xml:space="preserve">, whereas HGS </w:t>
      </w:r>
      <w:r w:rsidR="0098142E" w:rsidRPr="00B93D44">
        <w:t xml:space="preserve">coverage </w:t>
      </w:r>
      <w:r w:rsidR="000271AA" w:rsidRPr="00B93D44">
        <w:t xml:space="preserve">ceases when a loan </w:t>
      </w:r>
      <w:r w:rsidR="00CC0840" w:rsidRPr="00B93D44">
        <w:t>falls below</w:t>
      </w:r>
      <w:r w:rsidR="000271AA" w:rsidRPr="00B93D44">
        <w:t xml:space="preserve"> </w:t>
      </w:r>
      <w:r w:rsidR="001A29D7" w:rsidRPr="00B93D44">
        <w:t xml:space="preserve">80 per cent </w:t>
      </w:r>
      <w:r w:rsidR="003B19CB" w:rsidRPr="00B93D44">
        <w:t xml:space="preserve">LVR </w:t>
      </w:r>
      <w:r w:rsidR="001A29D7" w:rsidRPr="00B93D44">
        <w:t xml:space="preserve">(i.e. HGS </w:t>
      </w:r>
      <w:r w:rsidR="00AD31BD" w:rsidRPr="00B93D44">
        <w:t>covers</w:t>
      </w:r>
      <w:r w:rsidR="00E66BB7" w:rsidRPr="00B93D44">
        <w:t xml:space="preserve"> </w:t>
      </w:r>
      <w:r w:rsidR="009A3B37" w:rsidRPr="00B93D44">
        <w:t>up to 15</w:t>
      </w:r>
      <w:r w:rsidR="00EF3440" w:rsidRPr="00B93D44">
        <w:t xml:space="preserve"> per cent</w:t>
      </w:r>
      <w:r w:rsidR="00F810C5" w:rsidRPr="00B93D44">
        <w:t xml:space="preserve">, </w:t>
      </w:r>
      <w:r w:rsidR="009A3B37" w:rsidRPr="00B93D44">
        <w:t>or 18</w:t>
      </w:r>
      <w:r w:rsidR="00EF3440" w:rsidRPr="00B93D44">
        <w:t xml:space="preserve"> per cent</w:t>
      </w:r>
      <w:r w:rsidR="009A3B37" w:rsidRPr="00B93D44">
        <w:t xml:space="preserve"> for the Family Home Guarantee</w:t>
      </w:r>
      <w:r w:rsidR="00F810C5" w:rsidRPr="00B93D44">
        <w:t>,</w:t>
      </w:r>
      <w:r w:rsidR="009A3B37" w:rsidRPr="00B93D44">
        <w:t xml:space="preserve"> of the value of the loan</w:t>
      </w:r>
      <w:r w:rsidR="00106EB6" w:rsidRPr="00B93D44">
        <w:t>)</w:t>
      </w:r>
      <w:r w:rsidR="009A3B37" w:rsidRPr="00B93D44">
        <w:t xml:space="preserve">. </w:t>
      </w:r>
      <w:r w:rsidR="00AD31BD" w:rsidRPr="00B93D44">
        <w:t xml:space="preserve">However, </w:t>
      </w:r>
      <w:r w:rsidR="005524C3" w:rsidRPr="00B93D44">
        <w:t xml:space="preserve">the </w:t>
      </w:r>
      <w:r w:rsidR="00530CB6" w:rsidRPr="00B93D44">
        <w:t xml:space="preserve">strength of the </w:t>
      </w:r>
      <w:r w:rsidR="005524C3" w:rsidRPr="00B93D44">
        <w:t>Government</w:t>
      </w:r>
      <w:r w:rsidR="00530CB6" w:rsidRPr="00B93D44">
        <w:t xml:space="preserve">’s standing as a guarantor </w:t>
      </w:r>
      <w:r w:rsidR="005524C3" w:rsidRPr="00B93D44">
        <w:t xml:space="preserve">is reflected in APRA’s </w:t>
      </w:r>
      <w:r w:rsidR="001D0013" w:rsidRPr="00B93D44">
        <w:t xml:space="preserve">capital </w:t>
      </w:r>
      <w:r w:rsidR="004B39F7" w:rsidRPr="00B93D44">
        <w:t>settings</w:t>
      </w:r>
      <w:r w:rsidR="001D0013" w:rsidRPr="00B93D44">
        <w:t xml:space="preserve">, which </w:t>
      </w:r>
      <w:r w:rsidR="008F2BB1" w:rsidRPr="00B93D44">
        <w:t>require</w:t>
      </w:r>
      <w:r w:rsidR="00012151" w:rsidRPr="00B93D44">
        <w:t xml:space="preserve"> lenders to hold</w:t>
      </w:r>
      <w:r w:rsidR="008F2BB1" w:rsidRPr="00B93D44">
        <w:t xml:space="preserve"> less capital </w:t>
      </w:r>
      <w:r w:rsidR="001D0013" w:rsidRPr="00B93D44">
        <w:t xml:space="preserve">against </w:t>
      </w:r>
      <w:r w:rsidR="008F2BB1" w:rsidRPr="00B93D44">
        <w:t>HGS</w:t>
      </w:r>
      <w:r w:rsidR="00A46F21" w:rsidRPr="00B93D44">
        <w:t xml:space="preserve"> backed</w:t>
      </w:r>
      <w:r w:rsidR="008F2BB1" w:rsidRPr="00B93D44">
        <w:t xml:space="preserve"> loan</w:t>
      </w:r>
      <w:r w:rsidR="00012151" w:rsidRPr="00B93D44">
        <w:t>s</w:t>
      </w:r>
      <w:r w:rsidR="002A5EE7" w:rsidRPr="00B93D44">
        <w:t xml:space="preserve"> than LMI backed loan</w:t>
      </w:r>
      <w:r w:rsidR="00EF7AD2" w:rsidRPr="00B93D44">
        <w:t>s</w:t>
      </w:r>
      <w:r w:rsidR="008F2BB1" w:rsidRPr="00B93D44">
        <w:t xml:space="preserve">. </w:t>
      </w:r>
      <w:r w:rsidR="001D1B28" w:rsidRPr="00B93D44">
        <w:t xml:space="preserve">This </w:t>
      </w:r>
      <w:r w:rsidR="00382C67" w:rsidRPr="00B93D44">
        <w:t>preferential</w:t>
      </w:r>
      <w:r w:rsidR="001D1B28" w:rsidRPr="00B93D44">
        <w:t xml:space="preserve"> capital treatment could incentivise small and regional lenders to offer </w:t>
      </w:r>
      <w:r w:rsidR="006E67CC" w:rsidRPr="00B93D44">
        <w:t>more HGS-backed loans.</w:t>
      </w:r>
    </w:p>
    <w:p w14:paraId="3603CAE0" w14:textId="11550960" w:rsidR="00FE1E56" w:rsidRDefault="002013E6" w:rsidP="00D92D2B">
      <w:pPr>
        <w:pStyle w:val="Heading4"/>
      </w:pPr>
      <w:r>
        <w:t>Enabling</w:t>
      </w:r>
      <w:r w:rsidR="00AA4902">
        <w:t xml:space="preserve"> s</w:t>
      </w:r>
      <w:r w:rsidR="00D92D2B">
        <w:t xml:space="preserve">mall and regional bank </w:t>
      </w:r>
      <w:r w:rsidR="00AA4902">
        <w:t>participation in HGS</w:t>
      </w:r>
    </w:p>
    <w:p w14:paraId="7CA584A4" w14:textId="2895D295" w:rsidR="00E86492" w:rsidRPr="00B077D4" w:rsidRDefault="00447076" w:rsidP="00B077D4">
      <w:pPr>
        <w:pStyle w:val="Bullet"/>
        <w:numPr>
          <w:ilvl w:val="0"/>
          <w:numId w:val="0"/>
        </w:numPr>
      </w:pPr>
      <w:r>
        <w:t xml:space="preserve">Small and regional </w:t>
      </w:r>
      <w:r w:rsidR="00EA60AE">
        <w:t>banks</w:t>
      </w:r>
      <w:r>
        <w:t xml:space="preserve"> </w:t>
      </w:r>
      <w:r w:rsidR="00567B4B">
        <w:t xml:space="preserve">are </w:t>
      </w:r>
      <w:r w:rsidR="00D7561F">
        <w:t>significant</w:t>
      </w:r>
      <w:r w:rsidR="00567B4B">
        <w:t xml:space="preserve"> contributors to competition in the banking </w:t>
      </w:r>
      <w:r w:rsidR="00AA4902">
        <w:t>sector,</w:t>
      </w:r>
      <w:r w:rsidR="001C3458">
        <w:t xml:space="preserve"> so it is important that they </w:t>
      </w:r>
      <w:r w:rsidR="00AA4902">
        <w:t>continue to be</w:t>
      </w:r>
      <w:r w:rsidR="001C3458">
        <w:t xml:space="preserve"> supported to participate in HGS</w:t>
      </w:r>
      <w:r w:rsidR="00EA60AE">
        <w:t xml:space="preserve">. </w:t>
      </w:r>
      <w:r w:rsidR="00FE1E56">
        <w:t xml:space="preserve">As part of the implementation process for the expansion of HGS, Housing Australia will consider approaches to expanding the current panel of lenders. Small and regional lenders who are not currently part of the lender panel will have the opportunity to </w:t>
      </w:r>
      <w:r w:rsidR="00107E32">
        <w:t xml:space="preserve">become </w:t>
      </w:r>
      <w:r w:rsidR="00FE1E56">
        <w:t>participa</w:t>
      </w:r>
      <w:r w:rsidR="00107E32">
        <w:t xml:space="preserve">nts </w:t>
      </w:r>
      <w:r w:rsidR="00FE1E56">
        <w:t>in the scheme,</w:t>
      </w:r>
      <w:r w:rsidR="00502E4E">
        <w:t xml:space="preserve"> </w:t>
      </w:r>
      <w:r w:rsidR="00B04EDD">
        <w:t>assisting to</w:t>
      </w:r>
      <w:r w:rsidR="00692630">
        <w:t xml:space="preserve"> </w:t>
      </w:r>
      <w:r w:rsidR="00765B48">
        <w:t>ameliorate</w:t>
      </w:r>
      <w:r w:rsidR="00692630">
        <w:t xml:space="preserve"> competition </w:t>
      </w:r>
      <w:r w:rsidR="00765B48">
        <w:t>concerns</w:t>
      </w:r>
      <w:r w:rsidR="00692630">
        <w:t xml:space="preserve"> that may arise in relation to </w:t>
      </w:r>
      <w:r w:rsidR="00765B48">
        <w:t xml:space="preserve">lender </w:t>
      </w:r>
      <w:r w:rsidR="00692630">
        <w:t>access to the panel</w:t>
      </w:r>
      <w:r w:rsidR="00FE1E56">
        <w:t>.</w:t>
      </w:r>
    </w:p>
    <w:p w14:paraId="1B06597E" w14:textId="77C53117" w:rsidR="00DC7458" w:rsidRPr="000864AE" w:rsidRDefault="00DC7458" w:rsidP="00DC7458">
      <w:pPr>
        <w:pStyle w:val="Heading3"/>
        <w:rPr>
          <w:u w:val="single"/>
        </w:rPr>
      </w:pPr>
      <w:r w:rsidRPr="000864AE">
        <w:rPr>
          <w:u w:val="single"/>
        </w:rPr>
        <w:t>Impacts on low-</w:t>
      </w:r>
      <w:r w:rsidR="00B4666F">
        <w:rPr>
          <w:u w:val="single"/>
        </w:rPr>
        <w:t xml:space="preserve"> to </w:t>
      </w:r>
      <w:r w:rsidR="00085190">
        <w:rPr>
          <w:u w:val="single"/>
        </w:rPr>
        <w:t>middle</w:t>
      </w:r>
      <w:r w:rsidR="00B4666F">
        <w:rPr>
          <w:u w:val="single"/>
        </w:rPr>
        <w:t>-</w:t>
      </w:r>
      <w:r w:rsidR="00085190">
        <w:rPr>
          <w:u w:val="single"/>
        </w:rPr>
        <w:t xml:space="preserve"> </w:t>
      </w:r>
      <w:r w:rsidRPr="000864AE">
        <w:rPr>
          <w:u w:val="single"/>
        </w:rPr>
        <w:t>income home buyers</w:t>
      </w:r>
    </w:p>
    <w:p w14:paraId="6179320B" w14:textId="7BE0360C" w:rsidR="00577E57" w:rsidRDefault="001E6D10" w:rsidP="006C26F2">
      <w:pPr>
        <w:pStyle w:val="Bullet"/>
        <w:numPr>
          <w:ilvl w:val="0"/>
          <w:numId w:val="0"/>
        </w:numPr>
      </w:pPr>
      <w:r>
        <w:t xml:space="preserve">The </w:t>
      </w:r>
      <w:r w:rsidR="00B36D89">
        <w:t xml:space="preserve">support provided by </w:t>
      </w:r>
      <w:r w:rsidR="000D3B44">
        <w:t>HGS</w:t>
      </w:r>
      <w:r>
        <w:t xml:space="preserve"> </w:t>
      </w:r>
      <w:r w:rsidR="009E0D0A">
        <w:t xml:space="preserve">has two key impacts for home buyers. First, it </w:t>
      </w:r>
      <w:r w:rsidR="00FF7502">
        <w:t xml:space="preserve">increases the purchasing capacity of eligible applicants </w:t>
      </w:r>
      <w:r w:rsidR="00776B31">
        <w:t xml:space="preserve">by allowing </w:t>
      </w:r>
      <w:r w:rsidR="00FC28FC">
        <w:t xml:space="preserve">individuals to </w:t>
      </w:r>
      <w:r w:rsidR="008D72DA">
        <w:t xml:space="preserve">avoid the cost of </w:t>
      </w:r>
      <w:r w:rsidR="00FC28FC">
        <w:t>purchas</w:t>
      </w:r>
      <w:r w:rsidR="008D72DA">
        <w:t>ing</w:t>
      </w:r>
      <w:r w:rsidR="00FC28FC">
        <w:t xml:space="preserve"> LMI</w:t>
      </w:r>
      <w:r w:rsidR="007C2CE1">
        <w:t xml:space="preserve">. </w:t>
      </w:r>
      <w:r w:rsidR="009E0D0A">
        <w:t>Second, it enables</w:t>
      </w:r>
      <w:r w:rsidR="002B538A">
        <w:t xml:space="preserve"> households to </w:t>
      </w:r>
      <w:r w:rsidR="00937681">
        <w:t xml:space="preserve">bring forward </w:t>
      </w:r>
      <w:r w:rsidR="00927169">
        <w:t>their purchase</w:t>
      </w:r>
      <w:r w:rsidR="000D3B44">
        <w:t xml:space="preserve"> and</w:t>
      </w:r>
      <w:r w:rsidR="00927169">
        <w:t xml:space="preserve"> </w:t>
      </w:r>
      <w:r w:rsidR="00725D96">
        <w:t xml:space="preserve">enter the property market </w:t>
      </w:r>
      <w:r w:rsidR="00927169">
        <w:t xml:space="preserve">sooner. </w:t>
      </w:r>
      <w:r w:rsidR="00577E57">
        <w:t xml:space="preserve">As a </w:t>
      </w:r>
      <w:r w:rsidR="00332895">
        <w:t>result</w:t>
      </w:r>
      <w:r w:rsidR="00725D96">
        <w:t xml:space="preserve">, the support provided by HGS may lead to an increase in demand for housing. </w:t>
      </w:r>
    </w:p>
    <w:p w14:paraId="67C9D6B7" w14:textId="04540AAD" w:rsidR="002C29A3" w:rsidRDefault="000A3134" w:rsidP="006C26F2">
      <w:pPr>
        <w:pStyle w:val="Bullet"/>
        <w:numPr>
          <w:ilvl w:val="0"/>
          <w:numId w:val="0"/>
        </w:numPr>
      </w:pPr>
      <w:r w:rsidRPr="00E26AC8">
        <w:t>Policies that increase</w:t>
      </w:r>
      <w:r w:rsidR="004B4F12">
        <w:t xml:space="preserve"> demand for housing without a corresponding increase in supply </w:t>
      </w:r>
      <w:r w:rsidRPr="00E26AC8">
        <w:t>can put upward pressure on housing prices</w:t>
      </w:r>
      <w:r w:rsidR="00F4174C">
        <w:t xml:space="preserve">, </w:t>
      </w:r>
      <w:r w:rsidR="00FE0596">
        <w:t xml:space="preserve">impacting </w:t>
      </w:r>
      <w:r w:rsidR="00F4174C">
        <w:t>affordability</w:t>
      </w:r>
      <w:r w:rsidRPr="00E26AC8">
        <w:t>.</w:t>
      </w:r>
      <w:r>
        <w:t xml:space="preserve"> </w:t>
      </w:r>
      <w:r w:rsidR="00FE0596">
        <w:t xml:space="preserve">The ability of many low- and middle-income earners to enter the market is heavily dependent on broader housing affordability. </w:t>
      </w:r>
      <w:r w:rsidR="00DF77D3">
        <w:t xml:space="preserve">As such, policy interventions </w:t>
      </w:r>
      <w:r w:rsidR="00846DB8">
        <w:t>that</w:t>
      </w:r>
      <w:r w:rsidR="00DF77D3">
        <w:t xml:space="preserve"> harm </w:t>
      </w:r>
      <w:r w:rsidR="00846DB8">
        <w:t xml:space="preserve">housing </w:t>
      </w:r>
      <w:r w:rsidR="00DF77D3">
        <w:t xml:space="preserve">affordability </w:t>
      </w:r>
      <w:r w:rsidR="000946A7">
        <w:t>can be counterproductive for</w:t>
      </w:r>
      <w:r w:rsidR="00DF77D3">
        <w:t xml:space="preserve"> these Australians, including some who may currently be eligible for HGS.</w:t>
      </w:r>
    </w:p>
    <w:p w14:paraId="7EB0BBC3" w14:textId="46C8D4AB" w:rsidR="00F04EC3" w:rsidRDefault="00061AEE" w:rsidP="006C26F2">
      <w:pPr>
        <w:pStyle w:val="Bullet"/>
        <w:numPr>
          <w:ilvl w:val="0"/>
          <w:numId w:val="0"/>
        </w:numPr>
      </w:pPr>
      <w:r>
        <w:t xml:space="preserve">As noted </w:t>
      </w:r>
      <w:r w:rsidR="002B40B9">
        <w:t>previously</w:t>
      </w:r>
      <w:r>
        <w:t xml:space="preserve">, </w:t>
      </w:r>
      <w:r w:rsidR="00F04EC3">
        <w:t xml:space="preserve">the high LVR lending supported by HGS will </w:t>
      </w:r>
      <w:r w:rsidRPr="00061AEE">
        <w:t>incrementally increase household indebtedness</w:t>
      </w:r>
      <w:r>
        <w:t xml:space="preserve"> and</w:t>
      </w:r>
      <w:r w:rsidRPr="00061AEE">
        <w:t xml:space="preserve"> increase the potential for negative equity for some purchasers</w:t>
      </w:r>
      <w:r w:rsidR="003F1CE9">
        <w:t>. However</w:t>
      </w:r>
      <w:r>
        <w:t xml:space="preserve">, this impact will be mitigated </w:t>
      </w:r>
      <w:r w:rsidR="00065995">
        <w:t xml:space="preserve">to some extent </w:t>
      </w:r>
      <w:r>
        <w:t xml:space="preserve">by the </w:t>
      </w:r>
      <w:r w:rsidR="00104F86">
        <w:t>need</w:t>
      </w:r>
      <w:r>
        <w:t xml:space="preserve"> </w:t>
      </w:r>
      <w:r w:rsidR="00104F86">
        <w:t xml:space="preserve">for </w:t>
      </w:r>
      <w:r>
        <w:t xml:space="preserve">participants </w:t>
      </w:r>
      <w:r w:rsidR="00104F86">
        <w:t xml:space="preserve">to </w:t>
      </w:r>
      <w:r>
        <w:t xml:space="preserve">secure a mortgage from a lender </w:t>
      </w:r>
      <w:r w:rsidR="008768EA">
        <w:t xml:space="preserve">and therefore </w:t>
      </w:r>
      <w:r w:rsidR="00104F86">
        <w:t>satisfy all the ordinary requirements involved in obtaining finance.</w:t>
      </w:r>
    </w:p>
    <w:p w14:paraId="6CE53520" w14:textId="57CED0E0" w:rsidR="00DD63A1" w:rsidRDefault="00021E4C" w:rsidP="006967E1">
      <w:pPr>
        <w:pStyle w:val="Heading4"/>
      </w:pPr>
      <w:r>
        <w:t>Overall demand impacts are expected to be limited</w:t>
      </w:r>
    </w:p>
    <w:p w14:paraId="55D8F842" w14:textId="308EC0CA" w:rsidR="00A753DE" w:rsidRDefault="00021E4C" w:rsidP="00021E4C">
      <w:r>
        <w:t xml:space="preserve">While the expansion of HGS </w:t>
      </w:r>
      <w:r w:rsidR="00413A4B">
        <w:t xml:space="preserve">is likely to </w:t>
      </w:r>
      <w:r w:rsidR="00E74C4B">
        <w:t>place some upward pressure</w:t>
      </w:r>
      <w:r w:rsidR="00A753DE">
        <w:t xml:space="preserve"> on demand for housing, it is expected that these impacts will be relatively modest. </w:t>
      </w:r>
      <w:r w:rsidR="00E560D6">
        <w:t>The existing scheme support</w:t>
      </w:r>
      <w:r w:rsidR="009A43D4">
        <w:t>ed</w:t>
      </w:r>
      <w:r w:rsidR="00E560D6">
        <w:t xml:space="preserve"> approximately </w:t>
      </w:r>
      <w:r w:rsidR="009A43D4">
        <w:t xml:space="preserve">45,000 eligible home buyers </w:t>
      </w:r>
      <w:r w:rsidR="00FC527E">
        <w:t>in 202</w:t>
      </w:r>
      <w:r w:rsidR="002C6D53">
        <w:t>4</w:t>
      </w:r>
      <w:r w:rsidR="00FC527E">
        <w:t>-2</w:t>
      </w:r>
      <w:r w:rsidR="002C6D53">
        <w:t>5</w:t>
      </w:r>
      <w:r w:rsidR="00FC527E">
        <w:t xml:space="preserve">, </w:t>
      </w:r>
      <w:r w:rsidR="00B66862">
        <w:t>this represents approximately 40</w:t>
      </w:r>
      <w:r w:rsidR="00EF3440">
        <w:t xml:space="preserve"> per cent</w:t>
      </w:r>
      <w:r w:rsidR="00B66862">
        <w:t xml:space="preserve"> of the </w:t>
      </w:r>
      <w:r w:rsidR="00125026">
        <w:t>around</w:t>
      </w:r>
      <w:r w:rsidR="00775F5D">
        <w:t xml:space="preserve"> </w:t>
      </w:r>
      <w:r w:rsidR="00B66862">
        <w:t>110,000 annual first home buyers.</w:t>
      </w:r>
      <w:r w:rsidR="00905143">
        <w:rPr>
          <w:rStyle w:val="FootnoteReference"/>
        </w:rPr>
        <w:footnoteReference w:id="12"/>
      </w:r>
      <w:r w:rsidR="00B66862">
        <w:t xml:space="preserve"> While the additional support provided by</w:t>
      </w:r>
      <w:r w:rsidR="00241A33">
        <w:t xml:space="preserve"> the expansion of</w:t>
      </w:r>
      <w:r w:rsidR="00B66862">
        <w:t xml:space="preserve"> HGS will </w:t>
      </w:r>
      <w:r w:rsidR="00B66862">
        <w:lastRenderedPageBreak/>
        <w:t>increase the size of this market</w:t>
      </w:r>
      <w:r w:rsidR="00E43525">
        <w:t xml:space="preserve">, </w:t>
      </w:r>
      <w:r w:rsidR="0050437D">
        <w:t xml:space="preserve">it is unlikely </w:t>
      </w:r>
      <w:r w:rsidR="00EF72A2">
        <w:t xml:space="preserve">to </w:t>
      </w:r>
      <w:r w:rsidR="0066158B">
        <w:t xml:space="preserve">be of sufficient scale to </w:t>
      </w:r>
      <w:r w:rsidR="00676574">
        <w:t xml:space="preserve">represent more </w:t>
      </w:r>
      <w:r w:rsidR="00427059">
        <w:t>than</w:t>
      </w:r>
      <w:r w:rsidR="00676574">
        <w:t xml:space="preserve"> a small proportion of the 5</w:t>
      </w:r>
      <w:r w:rsidR="00CF3DEF">
        <w:t>55</w:t>
      </w:r>
      <w:r w:rsidR="00676574">
        <w:t xml:space="preserve">,000 residential property transactions </w:t>
      </w:r>
      <w:r w:rsidR="00CC3AAC">
        <w:t>that occurred in Australia in 2024.</w:t>
      </w:r>
      <w:r w:rsidR="00A255FE">
        <w:rPr>
          <w:rStyle w:val="FootnoteReference"/>
        </w:rPr>
        <w:footnoteReference w:id="13"/>
      </w:r>
    </w:p>
    <w:p w14:paraId="094D2BA3" w14:textId="598F25E5" w:rsidR="004B0FA3" w:rsidRDefault="007C7B90" w:rsidP="00021E4C">
      <w:r>
        <w:t xml:space="preserve">Additionally, </w:t>
      </w:r>
      <w:r w:rsidR="001B28EB">
        <w:t>as has been noted, the existing scheme</w:t>
      </w:r>
      <w:r w:rsidR="00DD3435">
        <w:t xml:space="preserve"> income and property price caps </w:t>
      </w:r>
      <w:r w:rsidR="00ED372C">
        <w:t xml:space="preserve">were set at levels which would concentrate any </w:t>
      </w:r>
      <w:r w:rsidR="008F422C">
        <w:t xml:space="preserve">price impacts at the </w:t>
      </w:r>
      <w:r w:rsidR="00B82103">
        <w:t>entry level segment</w:t>
      </w:r>
      <w:r w:rsidR="00DF6849">
        <w:t xml:space="preserve"> of the property market. Removing the existing scheme income caps and substantially increasing the property price caps is likely to </w:t>
      </w:r>
      <w:r w:rsidR="00E77B3E">
        <w:t xml:space="preserve">dilute the impact </w:t>
      </w:r>
      <w:r w:rsidR="00B24AC7">
        <w:t>of the increased</w:t>
      </w:r>
      <w:r w:rsidR="00A564E2">
        <w:t xml:space="preserve"> demand</w:t>
      </w:r>
      <w:r w:rsidR="00B24AC7">
        <w:t>,</w:t>
      </w:r>
      <w:r w:rsidR="00136ECA">
        <w:t xml:space="preserve"> </w:t>
      </w:r>
      <w:r w:rsidR="0019305E">
        <w:t>spread</w:t>
      </w:r>
      <w:r w:rsidR="00B24AC7">
        <w:t>ing it</w:t>
      </w:r>
      <w:r w:rsidR="0019305E">
        <w:t xml:space="preserve"> across </w:t>
      </w:r>
      <w:r w:rsidR="00B24AC7">
        <w:t xml:space="preserve">a broader segment of </w:t>
      </w:r>
      <w:r w:rsidR="0019305E">
        <w:t>the market</w:t>
      </w:r>
      <w:r w:rsidR="00A80EF4">
        <w:t>.</w:t>
      </w:r>
    </w:p>
    <w:p w14:paraId="3A51BB6C" w14:textId="3F1CCD37" w:rsidR="00A80EF4" w:rsidRDefault="00437A89" w:rsidP="00A80EF4">
      <w:pPr>
        <w:pStyle w:val="Heading4"/>
      </w:pPr>
      <w:r>
        <w:t>Uncapping</w:t>
      </w:r>
      <w:r w:rsidR="00A80EF4">
        <w:t xml:space="preserve"> the scheme </w:t>
      </w:r>
      <w:r w:rsidR="00FE659C">
        <w:t>ensure</w:t>
      </w:r>
      <w:r w:rsidR="00A11E33">
        <w:t>s</w:t>
      </w:r>
      <w:r w:rsidR="00A80EF4">
        <w:t xml:space="preserve"> access </w:t>
      </w:r>
      <w:r w:rsidR="00A603F2">
        <w:t xml:space="preserve">remains possible </w:t>
      </w:r>
      <w:r w:rsidR="00DD63A1">
        <w:t xml:space="preserve">for </w:t>
      </w:r>
      <w:r w:rsidR="00A603F2">
        <w:t xml:space="preserve">all </w:t>
      </w:r>
      <w:r w:rsidR="00FE659C">
        <w:t>low and middle income first</w:t>
      </w:r>
      <w:r w:rsidR="00A603F2">
        <w:t xml:space="preserve"> home</w:t>
      </w:r>
      <w:r w:rsidR="000344DE">
        <w:t xml:space="preserve"> </w:t>
      </w:r>
      <w:r w:rsidR="00A603F2">
        <w:t>buyers</w:t>
      </w:r>
    </w:p>
    <w:p w14:paraId="6C8FF29A" w14:textId="5A3C2E4A" w:rsidR="00A80EF4" w:rsidRPr="00B61A8D" w:rsidRDefault="00DF77D3" w:rsidP="00A80EF4">
      <w:r>
        <w:t>As has previously been noted, the existing FHBG and RFHBG streams of HGS are likely to be</w:t>
      </w:r>
      <w:r w:rsidR="000671DA">
        <w:t xml:space="preserve"> </w:t>
      </w:r>
      <w:r w:rsidR="00EC619D">
        <w:t xml:space="preserve">fully (or </w:t>
      </w:r>
      <w:r w:rsidR="000671DA">
        <w:t>almost</w:t>
      </w:r>
      <w:r>
        <w:t xml:space="preserve"> fully</w:t>
      </w:r>
      <w:r w:rsidR="00EC619D">
        <w:t>)</w:t>
      </w:r>
      <w:r>
        <w:t xml:space="preserve"> subscribed </w:t>
      </w:r>
      <w:r w:rsidR="00ED7382">
        <w:t xml:space="preserve">for the 2024-25 financial year, </w:t>
      </w:r>
      <w:r w:rsidR="001B2945" w:rsidRPr="000671DA">
        <w:t>with approximately 95</w:t>
      </w:r>
      <w:r w:rsidR="00EF3440" w:rsidRPr="000671DA">
        <w:t xml:space="preserve"> per cent</w:t>
      </w:r>
      <w:r w:rsidR="001B2945" w:rsidRPr="000671DA">
        <w:t xml:space="preserve"> of places in both streams having been </w:t>
      </w:r>
      <w:r w:rsidR="00D52639" w:rsidRPr="000671DA">
        <w:t>allocated in 2023-24.</w:t>
      </w:r>
      <w:r w:rsidR="00372912">
        <w:rPr>
          <w:rStyle w:val="FootnoteReference"/>
        </w:rPr>
        <w:footnoteReference w:id="14"/>
      </w:r>
      <w:r w:rsidR="00D52639" w:rsidRPr="000671DA">
        <w:t xml:space="preserve"> </w:t>
      </w:r>
      <w:r w:rsidR="00F54FA3" w:rsidRPr="000671DA">
        <w:t>In</w:t>
      </w:r>
      <w:r w:rsidR="00F54FA3">
        <w:t xml:space="preserve"> the absence of an increase </w:t>
      </w:r>
      <w:r w:rsidR="00360BC9">
        <w:t>i</w:t>
      </w:r>
      <w:r w:rsidR="00F54FA3">
        <w:t xml:space="preserve">n the maximum number of places available under the scheme </w:t>
      </w:r>
      <w:r w:rsidR="009C496B">
        <w:t xml:space="preserve">it is likely that some eligible Australians </w:t>
      </w:r>
      <w:r w:rsidR="007602D4">
        <w:t xml:space="preserve">would be unable to access support in the 2025-26 financial year. </w:t>
      </w:r>
      <w:r w:rsidR="003812AB">
        <w:t xml:space="preserve">The removal of the cap on places </w:t>
      </w:r>
      <w:r w:rsidR="00D22A05">
        <w:t xml:space="preserve">allows </w:t>
      </w:r>
      <w:r w:rsidR="003812AB">
        <w:t xml:space="preserve">all eligible Australians </w:t>
      </w:r>
      <w:r w:rsidR="008C6771">
        <w:t>to</w:t>
      </w:r>
      <w:r w:rsidR="003812AB">
        <w:t xml:space="preserve"> receive support, </w:t>
      </w:r>
      <w:r w:rsidR="00D22A05">
        <w:t xml:space="preserve">ensuring that </w:t>
      </w:r>
      <w:r w:rsidR="00F63E96">
        <w:t xml:space="preserve">individuals who </w:t>
      </w:r>
      <w:r w:rsidR="00EC43E9">
        <w:t>are</w:t>
      </w:r>
      <w:r w:rsidR="00FE5C4B">
        <w:t xml:space="preserve"> eligible for the </w:t>
      </w:r>
      <w:r w:rsidR="00004315">
        <w:t>existing</w:t>
      </w:r>
      <w:r w:rsidR="00EC43E9">
        <w:t xml:space="preserve"> </w:t>
      </w:r>
      <w:r w:rsidR="00FE5C4B">
        <w:t xml:space="preserve">scheme are not </w:t>
      </w:r>
      <w:r w:rsidR="00A6593C">
        <w:t xml:space="preserve">displaced by </w:t>
      </w:r>
      <w:r w:rsidR="00033CFE" w:rsidRPr="00B61A8D">
        <w:t xml:space="preserve">individuals who </w:t>
      </w:r>
      <w:r w:rsidR="00004315" w:rsidRPr="00B61A8D">
        <w:t>will become</w:t>
      </w:r>
      <w:r w:rsidR="00033CFE" w:rsidRPr="00B61A8D">
        <w:t xml:space="preserve"> eligible </w:t>
      </w:r>
      <w:r w:rsidR="00004315" w:rsidRPr="00B61A8D">
        <w:t xml:space="preserve">under the expanded scheme. </w:t>
      </w:r>
    </w:p>
    <w:p w14:paraId="5BB4CC1F" w14:textId="33592479" w:rsidR="005D48C2" w:rsidRPr="00B61A8D" w:rsidRDefault="005D48C2" w:rsidP="00FA0005">
      <w:pPr>
        <w:pStyle w:val="Heading3"/>
        <w:rPr>
          <w:u w:val="single"/>
        </w:rPr>
      </w:pPr>
      <w:r w:rsidRPr="00B61A8D">
        <w:rPr>
          <w:u w:val="single"/>
        </w:rPr>
        <w:t xml:space="preserve">Consultation </w:t>
      </w:r>
    </w:p>
    <w:p w14:paraId="73285528" w14:textId="7F3FA4CC" w:rsidR="00427059" w:rsidRDefault="00A603F2" w:rsidP="0098207D">
      <w:pPr>
        <w:pStyle w:val="Heading3"/>
        <w:rPr>
          <w:color w:val="auto"/>
          <w:sz w:val="22"/>
          <w:szCs w:val="22"/>
        </w:rPr>
      </w:pPr>
      <w:r w:rsidRPr="00B61A8D">
        <w:rPr>
          <w:color w:val="auto"/>
          <w:sz w:val="22"/>
          <w:szCs w:val="22"/>
        </w:rPr>
        <w:t xml:space="preserve">Treasury </w:t>
      </w:r>
      <w:r w:rsidR="009719B7">
        <w:rPr>
          <w:color w:val="auto"/>
          <w:sz w:val="22"/>
          <w:szCs w:val="22"/>
        </w:rPr>
        <w:t>undertook targeted consultation with key</w:t>
      </w:r>
      <w:r w:rsidR="009719B7" w:rsidRPr="00B749A2">
        <w:rPr>
          <w:color w:val="auto"/>
          <w:sz w:val="22"/>
          <w:szCs w:val="22"/>
        </w:rPr>
        <w:t xml:space="preserve"> stakeholders including from the ba</w:t>
      </w:r>
      <w:r w:rsidR="009D0E17" w:rsidRPr="00B749A2">
        <w:rPr>
          <w:color w:val="auto"/>
          <w:sz w:val="22"/>
          <w:szCs w:val="22"/>
        </w:rPr>
        <w:t>nking and LMI sectors,</w:t>
      </w:r>
      <w:r w:rsidR="00F603CE" w:rsidRPr="00B749A2">
        <w:rPr>
          <w:color w:val="auto"/>
          <w:sz w:val="22"/>
          <w:szCs w:val="22"/>
        </w:rPr>
        <w:t xml:space="preserve"> and the Australia Prudential Regulation Authority</w:t>
      </w:r>
      <w:r w:rsidR="00C23F87" w:rsidRPr="00B749A2">
        <w:rPr>
          <w:color w:val="auto"/>
          <w:sz w:val="22"/>
          <w:szCs w:val="22"/>
        </w:rPr>
        <w:t>.</w:t>
      </w:r>
      <w:r w:rsidR="00A76160" w:rsidRPr="00B749A2">
        <w:rPr>
          <w:color w:val="auto"/>
          <w:sz w:val="22"/>
          <w:szCs w:val="22"/>
        </w:rPr>
        <w:t xml:space="preserve"> 5 meetings were held</w:t>
      </w:r>
      <w:r w:rsidR="006C1741" w:rsidRPr="00B749A2">
        <w:rPr>
          <w:color w:val="auto"/>
          <w:sz w:val="22"/>
          <w:szCs w:val="22"/>
        </w:rPr>
        <w:t xml:space="preserve"> and </w:t>
      </w:r>
      <w:r w:rsidR="001304B4" w:rsidRPr="00B749A2">
        <w:rPr>
          <w:color w:val="auto"/>
          <w:sz w:val="22"/>
          <w:szCs w:val="22"/>
        </w:rPr>
        <w:t>7</w:t>
      </w:r>
      <w:r w:rsidR="006C1741" w:rsidRPr="00B749A2">
        <w:rPr>
          <w:color w:val="auto"/>
          <w:sz w:val="22"/>
          <w:szCs w:val="22"/>
        </w:rPr>
        <w:t xml:space="preserve"> written submissions received from stakeholders</w:t>
      </w:r>
      <w:r w:rsidR="00CF5489" w:rsidRPr="00B749A2">
        <w:rPr>
          <w:color w:val="auto"/>
          <w:sz w:val="22"/>
          <w:szCs w:val="22"/>
        </w:rPr>
        <w:t xml:space="preserve">, including </w:t>
      </w:r>
      <w:r w:rsidR="000464D7">
        <w:rPr>
          <w:color w:val="auto"/>
          <w:sz w:val="22"/>
          <w:szCs w:val="22"/>
        </w:rPr>
        <w:t>4</w:t>
      </w:r>
      <w:r w:rsidR="00CF5489" w:rsidRPr="00B749A2">
        <w:rPr>
          <w:color w:val="auto"/>
          <w:sz w:val="22"/>
          <w:szCs w:val="22"/>
        </w:rPr>
        <w:t xml:space="preserve"> confidential submissions</w:t>
      </w:r>
      <w:r w:rsidR="006C1741" w:rsidRPr="00B749A2">
        <w:rPr>
          <w:color w:val="auto"/>
          <w:sz w:val="22"/>
          <w:szCs w:val="22"/>
        </w:rPr>
        <w:t>.</w:t>
      </w:r>
      <w:r w:rsidR="001F5C99" w:rsidRPr="00B749A2">
        <w:rPr>
          <w:color w:val="auto"/>
          <w:sz w:val="22"/>
          <w:szCs w:val="22"/>
        </w:rPr>
        <w:t xml:space="preserve"> Treasury sought stakeholder views on:</w:t>
      </w:r>
      <w:r w:rsidR="00DA7027">
        <w:rPr>
          <w:color w:val="auto"/>
          <w:sz w:val="22"/>
          <w:szCs w:val="22"/>
        </w:rPr>
        <w:t xml:space="preserve"> </w:t>
      </w:r>
    </w:p>
    <w:p w14:paraId="2AD61517" w14:textId="413AE378" w:rsidR="00FE3D7C" w:rsidRPr="008B2752" w:rsidRDefault="00DF68A6" w:rsidP="00FE3D7C">
      <w:pPr>
        <w:numPr>
          <w:ilvl w:val="0"/>
          <w:numId w:val="13"/>
        </w:numPr>
        <w:spacing w:after="0" w:line="276" w:lineRule="auto"/>
        <w:rPr>
          <w:rFonts w:ascii="Calibri" w:hAnsi="Calibri" w:cs="Calibri"/>
        </w:rPr>
      </w:pPr>
      <w:r>
        <w:rPr>
          <w:rFonts w:ascii="Calibri" w:hAnsi="Calibri"/>
        </w:rPr>
        <w:t xml:space="preserve">the potential impact of the expansion </w:t>
      </w:r>
      <w:r w:rsidR="00DC6C30">
        <w:rPr>
          <w:rFonts w:ascii="Calibri" w:hAnsi="Calibri"/>
        </w:rPr>
        <w:t xml:space="preserve">of HGS on </w:t>
      </w:r>
      <w:r w:rsidR="00E65F66">
        <w:rPr>
          <w:rFonts w:ascii="Calibri" w:hAnsi="Calibri"/>
        </w:rPr>
        <w:t>the LMI industry, and particularly demand for LMI product</w:t>
      </w:r>
      <w:r w:rsidR="008B2752">
        <w:rPr>
          <w:rFonts w:ascii="Calibri" w:hAnsi="Calibri"/>
        </w:rPr>
        <w:t>s amongst first home buyers</w:t>
      </w:r>
      <w:r w:rsidR="00DA5FCF">
        <w:rPr>
          <w:rFonts w:ascii="Calibri" w:hAnsi="Calibri"/>
        </w:rPr>
        <w:t>;</w:t>
      </w:r>
    </w:p>
    <w:p w14:paraId="263B8A15" w14:textId="63A7CDA6" w:rsidR="008B2752" w:rsidRDefault="00E12698" w:rsidP="00FE3D7C">
      <w:pPr>
        <w:numPr>
          <w:ilvl w:val="0"/>
          <w:numId w:val="13"/>
        </w:numPr>
        <w:spacing w:after="0" w:line="276" w:lineRule="auto"/>
        <w:rPr>
          <w:rFonts w:ascii="Calibri" w:hAnsi="Calibri" w:cs="Calibri"/>
        </w:rPr>
      </w:pPr>
      <w:r>
        <w:rPr>
          <w:rFonts w:ascii="Calibri" w:hAnsi="Calibri" w:cs="Calibri"/>
        </w:rPr>
        <w:t xml:space="preserve">the potential impact on competition in the banking sector if certain lenders were excluded from the HGS </w:t>
      </w:r>
      <w:r w:rsidR="006053FC">
        <w:rPr>
          <w:rFonts w:ascii="Calibri" w:hAnsi="Calibri" w:cs="Calibri"/>
        </w:rPr>
        <w:t>lender panel</w:t>
      </w:r>
      <w:r w:rsidR="00DA5FCF">
        <w:rPr>
          <w:rFonts w:ascii="Calibri" w:hAnsi="Calibri" w:cs="Calibri"/>
        </w:rPr>
        <w:t>;</w:t>
      </w:r>
    </w:p>
    <w:p w14:paraId="017E971A" w14:textId="5B659C94" w:rsidR="00B64B85" w:rsidRDefault="00073757" w:rsidP="00653E3B">
      <w:pPr>
        <w:numPr>
          <w:ilvl w:val="0"/>
          <w:numId w:val="13"/>
        </w:numPr>
        <w:spacing w:line="276" w:lineRule="auto"/>
        <w:rPr>
          <w:rFonts w:ascii="Calibri" w:hAnsi="Calibri" w:cs="Calibri"/>
        </w:rPr>
      </w:pPr>
      <w:proofErr w:type="gramStart"/>
      <w:r>
        <w:rPr>
          <w:rFonts w:ascii="Calibri" w:hAnsi="Calibri" w:cs="Calibri"/>
        </w:rPr>
        <w:t>the</w:t>
      </w:r>
      <w:proofErr w:type="gramEnd"/>
      <w:r>
        <w:rPr>
          <w:rFonts w:ascii="Calibri" w:hAnsi="Calibri" w:cs="Calibri"/>
        </w:rPr>
        <w:t xml:space="preserve"> potential impact on </w:t>
      </w:r>
      <w:r w:rsidR="00D92FD3">
        <w:rPr>
          <w:rFonts w:ascii="Calibri" w:hAnsi="Calibri" w:cs="Calibri"/>
        </w:rPr>
        <w:t xml:space="preserve">low and middle income first home buyers of the </w:t>
      </w:r>
      <w:r w:rsidR="004565F7">
        <w:rPr>
          <w:rFonts w:ascii="Calibri" w:hAnsi="Calibri" w:cs="Calibri"/>
        </w:rPr>
        <w:t>expansion of the scheme</w:t>
      </w:r>
      <w:r w:rsidR="00653E3B">
        <w:rPr>
          <w:rFonts w:ascii="Calibri" w:hAnsi="Calibri" w:cs="Calibri"/>
        </w:rPr>
        <w:t>.</w:t>
      </w:r>
    </w:p>
    <w:p w14:paraId="42909F79" w14:textId="1EFF9C13" w:rsidR="0086129F" w:rsidRDefault="00D7175B" w:rsidP="00846E23">
      <w:pPr>
        <w:spacing w:after="0" w:line="276" w:lineRule="auto"/>
        <w:rPr>
          <w:rFonts w:ascii="Calibri" w:hAnsi="Calibri" w:cs="Calibri"/>
        </w:rPr>
      </w:pPr>
      <w:r>
        <w:rPr>
          <w:rFonts w:ascii="Calibri" w:hAnsi="Calibri" w:cs="Calibri"/>
        </w:rPr>
        <w:t xml:space="preserve">During this consultation process, </w:t>
      </w:r>
      <w:r w:rsidR="00A73527">
        <w:rPr>
          <w:rFonts w:ascii="Calibri" w:hAnsi="Calibri" w:cs="Calibri"/>
        </w:rPr>
        <w:t>stakeholders noted particular concerns relating to</w:t>
      </w:r>
      <w:r w:rsidR="00BD1189">
        <w:rPr>
          <w:rFonts w:ascii="Calibri" w:hAnsi="Calibri" w:cs="Calibri"/>
        </w:rPr>
        <w:t>:</w:t>
      </w:r>
    </w:p>
    <w:p w14:paraId="28EDFAFD" w14:textId="0F7DB8CD" w:rsidR="00BD1189" w:rsidRDefault="00902817" w:rsidP="00D86D22">
      <w:pPr>
        <w:numPr>
          <w:ilvl w:val="0"/>
          <w:numId w:val="13"/>
        </w:numPr>
        <w:spacing w:after="0" w:line="276" w:lineRule="auto"/>
        <w:rPr>
          <w:rFonts w:ascii="Calibri" w:hAnsi="Calibri" w:cs="Calibri"/>
        </w:rPr>
      </w:pPr>
      <w:r>
        <w:rPr>
          <w:rFonts w:ascii="Calibri" w:hAnsi="Calibri" w:cs="Calibri"/>
        </w:rPr>
        <w:t xml:space="preserve">the impacts on the LMI sector, particularly relating </w:t>
      </w:r>
      <w:r w:rsidR="002039A2">
        <w:rPr>
          <w:rFonts w:ascii="Calibri" w:hAnsi="Calibri" w:cs="Calibri"/>
        </w:rPr>
        <w:t xml:space="preserve">to the impact of a reduction in gross written premiums </w:t>
      </w:r>
      <w:r w:rsidR="00885AD9">
        <w:rPr>
          <w:rFonts w:ascii="Calibri" w:hAnsi="Calibri" w:cs="Calibri"/>
        </w:rPr>
        <w:t>from first home buyer</w:t>
      </w:r>
      <w:r w:rsidR="00DA5FCF">
        <w:rPr>
          <w:rFonts w:ascii="Calibri" w:hAnsi="Calibri" w:cs="Calibri"/>
        </w:rPr>
        <w:t>;</w:t>
      </w:r>
    </w:p>
    <w:p w14:paraId="7BCA2ADF" w14:textId="1EF72AED" w:rsidR="00E26F15" w:rsidRDefault="00417460" w:rsidP="00D86D22">
      <w:pPr>
        <w:numPr>
          <w:ilvl w:val="0"/>
          <w:numId w:val="13"/>
        </w:numPr>
        <w:spacing w:after="0" w:line="276" w:lineRule="auto"/>
        <w:rPr>
          <w:rFonts w:ascii="Calibri" w:hAnsi="Calibri" w:cs="Calibri"/>
        </w:rPr>
      </w:pPr>
      <w:r>
        <w:rPr>
          <w:rFonts w:ascii="Calibri" w:hAnsi="Calibri" w:cs="Calibri"/>
        </w:rPr>
        <w:t>t</w:t>
      </w:r>
      <w:r w:rsidR="00F82A08">
        <w:rPr>
          <w:rFonts w:ascii="Calibri" w:hAnsi="Calibri" w:cs="Calibri"/>
        </w:rPr>
        <w:t xml:space="preserve">he potential impacts </w:t>
      </w:r>
      <w:r w:rsidR="007669DE">
        <w:rPr>
          <w:rFonts w:ascii="Calibri" w:hAnsi="Calibri" w:cs="Calibri"/>
        </w:rPr>
        <w:t xml:space="preserve">on small lenders </w:t>
      </w:r>
      <w:r w:rsidR="00F33932">
        <w:rPr>
          <w:rFonts w:ascii="Calibri" w:hAnsi="Calibri" w:cs="Calibri"/>
        </w:rPr>
        <w:t xml:space="preserve">of the </w:t>
      </w:r>
      <w:r w:rsidR="00401C5B">
        <w:rPr>
          <w:rFonts w:ascii="Calibri" w:hAnsi="Calibri" w:cs="Calibri"/>
        </w:rPr>
        <w:t xml:space="preserve">expansion of the </w:t>
      </w:r>
      <w:r w:rsidR="00F33932">
        <w:rPr>
          <w:rFonts w:ascii="Calibri" w:hAnsi="Calibri" w:cs="Calibri"/>
        </w:rPr>
        <w:t xml:space="preserve">scheme </w:t>
      </w:r>
      <w:r w:rsidR="00460FE8">
        <w:rPr>
          <w:rFonts w:ascii="Calibri" w:hAnsi="Calibri" w:cs="Calibri"/>
        </w:rPr>
        <w:t xml:space="preserve">where lenders </w:t>
      </w:r>
      <w:r w:rsidR="00F33932">
        <w:rPr>
          <w:rFonts w:ascii="Calibri" w:hAnsi="Calibri" w:cs="Calibri"/>
        </w:rPr>
        <w:t xml:space="preserve">are not included </w:t>
      </w:r>
      <w:r w:rsidR="00460FE8">
        <w:rPr>
          <w:rFonts w:ascii="Calibri" w:hAnsi="Calibri" w:cs="Calibri"/>
        </w:rPr>
        <w:t>in the HGS lender panel</w:t>
      </w:r>
      <w:r w:rsidR="00DA5FCF">
        <w:rPr>
          <w:rFonts w:ascii="Calibri" w:hAnsi="Calibri" w:cs="Calibri"/>
        </w:rPr>
        <w:t>; and</w:t>
      </w:r>
    </w:p>
    <w:p w14:paraId="4AB29BE8" w14:textId="563DEFA2" w:rsidR="00DA5FCF" w:rsidRDefault="003500FA" w:rsidP="00BD1189">
      <w:pPr>
        <w:numPr>
          <w:ilvl w:val="0"/>
          <w:numId w:val="13"/>
        </w:numPr>
        <w:spacing w:line="276" w:lineRule="auto"/>
        <w:rPr>
          <w:rFonts w:ascii="Calibri" w:hAnsi="Calibri" w:cs="Calibri"/>
        </w:rPr>
      </w:pPr>
      <w:proofErr w:type="gramStart"/>
      <w:r>
        <w:rPr>
          <w:rFonts w:ascii="Calibri" w:hAnsi="Calibri" w:cs="Calibri"/>
        </w:rPr>
        <w:t>the</w:t>
      </w:r>
      <w:proofErr w:type="gramEnd"/>
      <w:r>
        <w:rPr>
          <w:rFonts w:ascii="Calibri" w:hAnsi="Calibri" w:cs="Calibri"/>
        </w:rPr>
        <w:t xml:space="preserve"> potential impact on demand in the housing market of additional first home buyers </w:t>
      </w:r>
      <w:r w:rsidR="002562A7">
        <w:rPr>
          <w:rFonts w:ascii="Calibri" w:hAnsi="Calibri" w:cs="Calibri"/>
        </w:rPr>
        <w:t>purchasing a dwelling.</w:t>
      </w:r>
    </w:p>
    <w:p w14:paraId="68882EB7" w14:textId="79F92D7B" w:rsidR="00351652" w:rsidRDefault="002562A7" w:rsidP="00D86D22">
      <w:pPr>
        <w:spacing w:line="276" w:lineRule="auto"/>
        <w:rPr>
          <w:rFonts w:ascii="Calibri" w:hAnsi="Calibri" w:cs="Calibri"/>
        </w:rPr>
      </w:pPr>
      <w:r>
        <w:rPr>
          <w:rFonts w:ascii="Calibri" w:hAnsi="Calibri" w:cs="Calibri"/>
        </w:rPr>
        <w:t>Stakeholders also noted the importance of maintaining a competitive banking sector</w:t>
      </w:r>
      <w:r w:rsidR="00351652">
        <w:rPr>
          <w:rFonts w:ascii="Calibri" w:hAnsi="Calibri" w:cs="Calibri"/>
        </w:rPr>
        <w:t xml:space="preserve"> and first home buyer lending market,</w:t>
      </w:r>
      <w:r>
        <w:rPr>
          <w:rFonts w:ascii="Calibri" w:hAnsi="Calibri" w:cs="Calibri"/>
        </w:rPr>
        <w:t xml:space="preserve"> including for </w:t>
      </w:r>
      <w:r w:rsidR="00351652">
        <w:rPr>
          <w:rFonts w:ascii="Calibri" w:hAnsi="Calibri" w:cs="Calibri"/>
        </w:rPr>
        <w:t>small and regional lenders.</w:t>
      </w:r>
    </w:p>
    <w:p w14:paraId="2A8E93C2" w14:textId="3FA913CA" w:rsidR="00DA7027" w:rsidRPr="00DA7027" w:rsidDel="00CD0DF8" w:rsidRDefault="002A1099" w:rsidP="00D86D22">
      <w:pPr>
        <w:spacing w:after="0" w:line="276" w:lineRule="auto"/>
      </w:pPr>
      <w:r>
        <w:rPr>
          <w:rFonts w:ascii="Calibri" w:hAnsi="Calibri" w:cs="Calibri"/>
        </w:rPr>
        <w:lastRenderedPageBreak/>
        <w:t xml:space="preserve">The Government </w:t>
      </w:r>
      <w:r w:rsidR="00AC465D">
        <w:rPr>
          <w:rFonts w:ascii="Calibri" w:hAnsi="Calibri" w:cs="Calibri"/>
        </w:rPr>
        <w:t xml:space="preserve">has noted these concerns raised by stakeholders, which have informed </w:t>
      </w:r>
      <w:r>
        <w:rPr>
          <w:rFonts w:ascii="Calibri" w:hAnsi="Calibri" w:cs="Calibri"/>
        </w:rPr>
        <w:t xml:space="preserve">the implementation </w:t>
      </w:r>
      <w:r w:rsidR="00F33FE3">
        <w:rPr>
          <w:rFonts w:ascii="Calibri" w:hAnsi="Calibri" w:cs="Calibri"/>
        </w:rPr>
        <w:t>of the Home Guarantee Scheme expansion election commitment.</w:t>
      </w:r>
    </w:p>
    <w:p w14:paraId="42943C8F" w14:textId="4C7DCC6F" w:rsidR="00D14496" w:rsidRPr="0098207D" w:rsidRDefault="00D14496" w:rsidP="0098207D">
      <w:pPr>
        <w:pStyle w:val="Heading3"/>
        <w:rPr>
          <w:u w:val="single"/>
        </w:rPr>
      </w:pPr>
      <w:r w:rsidRPr="00D14496">
        <w:rPr>
          <w:u w:val="single"/>
        </w:rPr>
        <w:t>Estimate</w:t>
      </w:r>
      <w:r w:rsidR="00004402">
        <w:rPr>
          <w:u w:val="single"/>
        </w:rPr>
        <w:t>d</w:t>
      </w:r>
      <w:r w:rsidRPr="00D14496">
        <w:rPr>
          <w:u w:val="single"/>
        </w:rPr>
        <w:t xml:space="preserve"> Regulatory Cost of HGS Expansion</w:t>
      </w:r>
    </w:p>
    <w:p w14:paraId="7B4ADDAB" w14:textId="353E8697" w:rsidR="00CD0DF8" w:rsidRPr="00D14496" w:rsidRDefault="00CD0DF8" w:rsidP="0043731F">
      <w:pPr>
        <w:pStyle w:val="NormalWeb"/>
        <w:spacing w:before="240" w:beforeAutospacing="0" w:after="120" w:afterAutospacing="0" w:line="276" w:lineRule="auto"/>
        <w:rPr>
          <w:rFonts w:ascii="Calibri" w:hAnsi="Calibri"/>
          <w:color w:val="5B9BD5" w:themeColor="accent1"/>
          <w:sz w:val="22"/>
          <w:szCs w:val="22"/>
          <w:lang w:eastAsia="en-US"/>
        </w:rPr>
      </w:pPr>
      <w:r>
        <w:rPr>
          <w:rFonts w:ascii="Calibri" w:hAnsi="Calibri"/>
          <w:i/>
          <w:color w:val="5B9BD5" w:themeColor="accent1"/>
          <w:sz w:val="22"/>
          <w:szCs w:val="22"/>
          <w:lang w:eastAsia="en-US"/>
        </w:rPr>
        <w:t>Methodology used to estimate annual regulatory costs to individuals</w:t>
      </w:r>
    </w:p>
    <w:p w14:paraId="279E8040" w14:textId="7F8D0A51" w:rsidR="00CD0DF8" w:rsidRDefault="00CD0DF8" w:rsidP="00BF5106">
      <w:pPr>
        <w:pStyle w:val="NormalWeb"/>
        <w:spacing w:before="0" w:beforeAutospacing="0" w:after="240" w:afterAutospacing="0" w:line="276" w:lineRule="auto"/>
        <w:rPr>
          <w:rFonts w:ascii="Calibri" w:hAnsi="Calibri"/>
          <w:sz w:val="22"/>
          <w:szCs w:val="22"/>
          <w:lang w:eastAsia="en-US"/>
        </w:rPr>
      </w:pPr>
      <w:r>
        <w:rPr>
          <w:rFonts w:ascii="Calibri" w:hAnsi="Calibri"/>
          <w:sz w:val="22"/>
          <w:szCs w:val="22"/>
          <w:lang w:eastAsia="en-US"/>
        </w:rPr>
        <w:t>Under the HGS expansion option, regulatory costs to individuals come from the additional time it takes individuals to understand the requirements of the guarantee schemes.</w:t>
      </w:r>
    </w:p>
    <w:p w14:paraId="06AAD359" w14:textId="77777777" w:rsidR="00CD0DF8" w:rsidRDefault="00CD0DF8" w:rsidP="00CD0DF8">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Based on industry estimates and experience with the existing scheme, the following assumptions were made to determine the regulatory costs to individuals under the HGS expansion options:</w:t>
      </w:r>
    </w:p>
    <w:p w14:paraId="627ABB5F" w14:textId="77777777" w:rsidR="00CD0DF8" w:rsidRPr="008F5A91" w:rsidRDefault="00CD0DF8" w:rsidP="008F5A91">
      <w:pPr>
        <w:numPr>
          <w:ilvl w:val="0"/>
          <w:numId w:val="13"/>
        </w:numPr>
        <w:spacing w:after="0" w:line="276" w:lineRule="auto"/>
        <w:rPr>
          <w:rFonts w:ascii="Calibri" w:hAnsi="Calibri" w:cs="Calibri"/>
        </w:rPr>
      </w:pPr>
      <w:r>
        <w:rPr>
          <w:rFonts w:ascii="Calibri" w:hAnsi="Calibri"/>
        </w:rPr>
        <w:t>Individuals spend 1 additional hour to understand the requirements of the guarantee schemes.</w:t>
      </w:r>
    </w:p>
    <w:p w14:paraId="6EEB84FB" w14:textId="3195E317" w:rsidR="00CD0DF8" w:rsidRPr="00863D90" w:rsidRDefault="00CD0DF8" w:rsidP="008F5A91">
      <w:pPr>
        <w:numPr>
          <w:ilvl w:val="0"/>
          <w:numId w:val="13"/>
        </w:numPr>
        <w:spacing w:after="0" w:line="276" w:lineRule="auto"/>
        <w:rPr>
          <w:rFonts w:ascii="Arial" w:hAnsi="Arial"/>
        </w:rPr>
      </w:pPr>
      <w:r>
        <w:rPr>
          <w:rFonts w:ascii="Calibri" w:hAnsi="Calibri"/>
        </w:rPr>
        <w:t xml:space="preserve">Using the Office of </w:t>
      </w:r>
      <w:r w:rsidR="00AA762E">
        <w:rPr>
          <w:rFonts w:ascii="Calibri" w:hAnsi="Calibri"/>
        </w:rPr>
        <w:t>Impact Analysis</w:t>
      </w:r>
      <w:r>
        <w:rPr>
          <w:rFonts w:ascii="Calibri" w:hAnsi="Calibri"/>
        </w:rPr>
        <w:t xml:space="preserve"> estimate for individual costs at $37.00 per hour.</w:t>
      </w:r>
    </w:p>
    <w:p w14:paraId="1A7F9F1F" w14:textId="7545B826" w:rsidR="00D14496" w:rsidRDefault="00CD0DF8" w:rsidP="00CD0DF8">
      <w:pPr>
        <w:rPr>
          <w:rFonts w:ascii="Calibri" w:hAnsi="Calibri"/>
        </w:rPr>
      </w:pPr>
      <w:r>
        <w:rPr>
          <w:rFonts w:ascii="Calibri" w:hAnsi="Calibri"/>
        </w:rPr>
        <w:t xml:space="preserve">The total estimated average regulatory costs to individuals under the HGS expansion option will be </w:t>
      </w:r>
      <w:r w:rsidR="00383DA5">
        <w:rPr>
          <w:rFonts w:ascii="Calibri" w:hAnsi="Calibri"/>
        </w:rPr>
        <w:t>dependent</w:t>
      </w:r>
      <w:r>
        <w:rPr>
          <w:rFonts w:ascii="Calibri" w:hAnsi="Calibri"/>
        </w:rPr>
        <w:t xml:space="preserve"> on the extent of uptake of the expanded scheme. While it is not possible to determine the exact size of this uptake, if all existing first home buyers made use of the scheme the total regulatory cost to individuals would be approximately $2.405 million. A more realistic estimate of uptake numbers would lead to an estimate of approximately $0.925 million in additional regulatory cost</w:t>
      </w:r>
      <w:r w:rsidR="00266391">
        <w:rPr>
          <w:rFonts w:ascii="Calibri" w:hAnsi="Calibri"/>
        </w:rPr>
        <w:t>s</w:t>
      </w:r>
      <w:r>
        <w:rPr>
          <w:rFonts w:ascii="Calibri" w:hAnsi="Calibri"/>
        </w:rPr>
        <w:t xml:space="preserve"> for individuals.</w:t>
      </w:r>
    </w:p>
    <w:p w14:paraId="73988FCB" w14:textId="77777777" w:rsidR="00CD0DF8" w:rsidRPr="005022B6" w:rsidRDefault="00CD0DF8" w:rsidP="005022B6">
      <w:pPr>
        <w:pStyle w:val="NormalWeb"/>
        <w:spacing w:before="240" w:beforeAutospacing="0" w:after="120" w:afterAutospacing="0" w:line="276" w:lineRule="auto"/>
        <w:rPr>
          <w:rFonts w:ascii="Calibri" w:hAnsi="Calibri"/>
          <w:i/>
          <w:color w:val="5B9BD5" w:themeColor="accent1"/>
          <w:sz w:val="22"/>
          <w:szCs w:val="22"/>
          <w:lang w:eastAsia="en-US"/>
        </w:rPr>
      </w:pPr>
      <w:r w:rsidRPr="005022B6">
        <w:rPr>
          <w:rFonts w:ascii="Calibri" w:hAnsi="Calibri"/>
          <w:i/>
          <w:color w:val="5B9BD5" w:themeColor="accent1"/>
          <w:sz w:val="22"/>
          <w:szCs w:val="22"/>
          <w:lang w:eastAsia="en-US"/>
        </w:rPr>
        <w:t>Methodology used to estimate annual regulatory costs to businesses</w:t>
      </w:r>
    </w:p>
    <w:p w14:paraId="3ED16252" w14:textId="77777777" w:rsidR="00CD0DF8" w:rsidRDefault="00CD0DF8" w:rsidP="00CD0DF8">
      <w:pPr>
        <w:spacing w:after="0"/>
        <w:rPr>
          <w:rFonts w:ascii="Calibri" w:hAnsi="Calibri" w:cs="Calibri"/>
        </w:rPr>
      </w:pPr>
      <w:r>
        <w:rPr>
          <w:rFonts w:ascii="Calibri" w:hAnsi="Calibri" w:cs="Calibri"/>
        </w:rPr>
        <w:t>The following assumptions were made to estimate the regulatory costs associated with ongoing administrative costs to lenders through processing additional loans:</w:t>
      </w:r>
    </w:p>
    <w:p w14:paraId="01B5BC22" w14:textId="211881B9" w:rsidR="00CD0DF8" w:rsidRPr="00B31743" w:rsidRDefault="00CD0DF8" w:rsidP="00CD0DF8">
      <w:pPr>
        <w:numPr>
          <w:ilvl w:val="0"/>
          <w:numId w:val="13"/>
        </w:numPr>
        <w:spacing w:after="0" w:line="276" w:lineRule="auto"/>
        <w:rPr>
          <w:rFonts w:ascii="Calibri" w:hAnsi="Calibri" w:cs="Calibri"/>
        </w:rPr>
      </w:pPr>
      <w:r w:rsidRPr="00B31743">
        <w:rPr>
          <w:rFonts w:ascii="Calibri" w:hAnsi="Calibri" w:cs="Calibri"/>
        </w:rPr>
        <w:t>Additional two hours for a lender to process a</w:t>
      </w:r>
      <w:r w:rsidR="005D568A">
        <w:rPr>
          <w:rFonts w:ascii="Calibri" w:hAnsi="Calibri" w:cs="Calibri"/>
        </w:rPr>
        <w:t>n additional</w:t>
      </w:r>
      <w:r w:rsidRPr="00B31743">
        <w:rPr>
          <w:rFonts w:ascii="Calibri" w:hAnsi="Calibri" w:cs="Calibri"/>
        </w:rPr>
        <w:t xml:space="preserve"> guarantee loan</w:t>
      </w:r>
    </w:p>
    <w:p w14:paraId="33FF1DBF" w14:textId="23B2E42A" w:rsidR="00CD0DF8" w:rsidRPr="00B31743" w:rsidRDefault="00CD0DF8" w:rsidP="00CD0DF8">
      <w:pPr>
        <w:numPr>
          <w:ilvl w:val="0"/>
          <w:numId w:val="13"/>
        </w:numPr>
        <w:spacing w:after="200" w:line="240" w:lineRule="auto"/>
        <w:textAlignment w:val="center"/>
        <w:rPr>
          <w:rFonts w:ascii="Arial" w:hAnsi="Arial"/>
        </w:rPr>
      </w:pPr>
      <w:r>
        <w:rPr>
          <w:rFonts w:ascii="Calibri" w:hAnsi="Calibri"/>
        </w:rPr>
        <w:t xml:space="preserve">Using the Office of </w:t>
      </w:r>
      <w:r w:rsidR="00340182">
        <w:rPr>
          <w:rFonts w:ascii="Calibri" w:hAnsi="Calibri"/>
        </w:rPr>
        <w:t>Impact Analysis</w:t>
      </w:r>
      <w:r>
        <w:rPr>
          <w:rFonts w:ascii="Calibri" w:hAnsi="Calibri"/>
        </w:rPr>
        <w:t xml:space="preserve"> estimate for business costs at $85.17 per hour.</w:t>
      </w:r>
    </w:p>
    <w:p w14:paraId="5D250779" w14:textId="77777777" w:rsidR="00CD0DF8" w:rsidRPr="00283C46" w:rsidRDefault="00CD0DF8" w:rsidP="00CD0DF8">
      <w:pPr>
        <w:rPr>
          <w:rFonts w:ascii="Calibri" w:hAnsi="Calibri" w:cs="Calibri"/>
        </w:rPr>
      </w:pPr>
      <w:r w:rsidRPr="00283C46">
        <w:rPr>
          <w:rFonts w:ascii="Calibri" w:hAnsi="Calibri" w:cs="Calibri"/>
        </w:rPr>
        <w:t>Estimated average regulatory costs associated with ongoing administrative costs to lenders through processing additional loans is $</w:t>
      </w:r>
      <w:r>
        <w:rPr>
          <w:rFonts w:ascii="Calibri" w:hAnsi="Calibri" w:cs="Calibri"/>
        </w:rPr>
        <w:t>4</w:t>
      </w:r>
      <w:r w:rsidRPr="00283C46">
        <w:rPr>
          <w:rFonts w:ascii="Calibri" w:hAnsi="Calibri" w:cs="Calibri"/>
        </w:rPr>
        <w:t>.</w:t>
      </w:r>
      <w:r>
        <w:rPr>
          <w:rFonts w:ascii="Calibri" w:hAnsi="Calibri" w:cs="Calibri"/>
        </w:rPr>
        <w:t>286</w:t>
      </w:r>
      <w:r w:rsidRPr="00283C46">
        <w:rPr>
          <w:rFonts w:ascii="Calibri" w:hAnsi="Calibri" w:cs="Calibri"/>
        </w:rPr>
        <w:t xml:space="preserve"> million per year.</w:t>
      </w:r>
    </w:p>
    <w:p w14:paraId="709C8AB1" w14:textId="77777777" w:rsidR="00CD0DF8" w:rsidRPr="00B31743" w:rsidRDefault="00CD0DF8" w:rsidP="00CD0DF8">
      <w:pPr>
        <w:spacing w:after="0"/>
        <w:rPr>
          <w:rFonts w:ascii="Calibri" w:hAnsi="Calibri" w:cs="Calibri"/>
        </w:rPr>
      </w:pPr>
      <w:r w:rsidRPr="00B31743">
        <w:rPr>
          <w:rFonts w:ascii="Calibri" w:hAnsi="Calibri" w:cs="Calibri"/>
        </w:rPr>
        <w:t>The following additional assumptions were made to estimate the regulatory costs associated with processing defaults on additional loans:</w:t>
      </w:r>
    </w:p>
    <w:p w14:paraId="40818B0E" w14:textId="055748E4" w:rsidR="00CD0DF8" w:rsidRPr="00B31743" w:rsidRDefault="00CD0DF8" w:rsidP="00CD0DF8">
      <w:pPr>
        <w:numPr>
          <w:ilvl w:val="0"/>
          <w:numId w:val="14"/>
        </w:numPr>
        <w:spacing w:after="0" w:line="276" w:lineRule="auto"/>
        <w:rPr>
          <w:rFonts w:ascii="Calibri" w:hAnsi="Calibri" w:cs="Calibri"/>
        </w:rPr>
      </w:pPr>
      <w:r w:rsidRPr="00B31743">
        <w:rPr>
          <w:rFonts w:ascii="Calibri" w:hAnsi="Calibri" w:cs="Calibri"/>
        </w:rPr>
        <w:t>Default claim rate of 2 per cent (based on actuarial modelling of the scheme</w:t>
      </w:r>
      <w:r>
        <w:rPr>
          <w:rFonts w:ascii="Calibri" w:hAnsi="Calibri" w:cs="Calibri"/>
        </w:rPr>
        <w:t>, noting the existing scheme has had substantially lower default rates</w:t>
      </w:r>
      <w:r w:rsidR="00062F55">
        <w:rPr>
          <w:rFonts w:ascii="Calibri" w:hAnsi="Calibri" w:cs="Calibri"/>
        </w:rPr>
        <w:t>)</w:t>
      </w:r>
    </w:p>
    <w:p w14:paraId="44C08183" w14:textId="08B37351" w:rsidR="00CD0DF8" w:rsidRPr="00B31743" w:rsidRDefault="00CD0DF8" w:rsidP="00CD0DF8">
      <w:pPr>
        <w:numPr>
          <w:ilvl w:val="0"/>
          <w:numId w:val="14"/>
        </w:numPr>
        <w:spacing w:after="200" w:line="276" w:lineRule="auto"/>
        <w:rPr>
          <w:rFonts w:ascii="Calibri" w:hAnsi="Calibri" w:cs="Calibri"/>
        </w:rPr>
      </w:pPr>
      <w:r w:rsidRPr="00B31743">
        <w:rPr>
          <w:rFonts w:ascii="Calibri" w:hAnsi="Calibri" w:cs="Calibri"/>
        </w:rPr>
        <w:t>Additional 5 hours for a lender to process default</w:t>
      </w:r>
      <w:r w:rsidR="008C2CEF">
        <w:rPr>
          <w:rFonts w:ascii="Calibri" w:hAnsi="Calibri" w:cs="Calibri"/>
        </w:rPr>
        <w:t>.</w:t>
      </w:r>
    </w:p>
    <w:p w14:paraId="283547DF" w14:textId="77777777" w:rsidR="00CD0DF8" w:rsidRPr="00B31743" w:rsidRDefault="00CD0DF8" w:rsidP="00CD0DF8">
      <w:pPr>
        <w:spacing w:after="200"/>
        <w:rPr>
          <w:rFonts w:ascii="Calibri" w:hAnsi="Calibri" w:cs="Calibri"/>
        </w:rPr>
      </w:pPr>
      <w:r w:rsidRPr="00B31743">
        <w:rPr>
          <w:rFonts w:ascii="Calibri" w:hAnsi="Calibri" w:cs="Calibri"/>
        </w:rPr>
        <w:t>Estimated average regulatory costs associated with processing defaults on additional loans is $0.</w:t>
      </w:r>
      <w:r>
        <w:rPr>
          <w:rFonts w:ascii="Calibri" w:hAnsi="Calibri" w:cs="Calibri"/>
        </w:rPr>
        <w:t>213</w:t>
      </w:r>
      <w:r w:rsidRPr="00B31743">
        <w:rPr>
          <w:rFonts w:ascii="Calibri" w:hAnsi="Calibri" w:cs="Calibri"/>
        </w:rPr>
        <w:t xml:space="preserve"> million per year.</w:t>
      </w:r>
    </w:p>
    <w:p w14:paraId="1F130237" w14:textId="24733E18" w:rsidR="00CD0DF8" w:rsidRDefault="00CD0DF8" w:rsidP="00CD0DF8">
      <w:pPr>
        <w:rPr>
          <w:rFonts w:ascii="Calibri" w:hAnsi="Calibri" w:cs="Calibri"/>
        </w:rPr>
      </w:pPr>
      <w:r w:rsidRPr="00B31743">
        <w:rPr>
          <w:rFonts w:ascii="Calibri" w:hAnsi="Calibri" w:cs="Calibri"/>
        </w:rPr>
        <w:t>T</w:t>
      </w:r>
      <w:r w:rsidR="00863D90">
        <w:rPr>
          <w:rFonts w:ascii="Calibri" w:hAnsi="Calibri" w:cs="Calibri"/>
        </w:rPr>
        <w:t>his results in a</w:t>
      </w:r>
      <w:r w:rsidRPr="00B31743">
        <w:rPr>
          <w:rFonts w:ascii="Calibri" w:hAnsi="Calibri" w:cs="Calibri"/>
        </w:rPr>
        <w:t xml:space="preserve"> </w:t>
      </w:r>
      <w:r w:rsidR="00340182" w:rsidRPr="00B31743">
        <w:rPr>
          <w:rFonts w:ascii="Calibri" w:hAnsi="Calibri" w:cs="Calibri"/>
        </w:rPr>
        <w:t>total estimated average regulatory cost</w:t>
      </w:r>
      <w:r w:rsidRPr="00B31743">
        <w:rPr>
          <w:rFonts w:ascii="Calibri" w:hAnsi="Calibri" w:cs="Calibri"/>
        </w:rPr>
        <w:t xml:space="preserve"> to lenders and brokers </w:t>
      </w:r>
      <w:r w:rsidR="00863D90">
        <w:rPr>
          <w:rFonts w:ascii="Calibri" w:hAnsi="Calibri" w:cs="Calibri"/>
        </w:rPr>
        <w:t>of</w:t>
      </w:r>
      <w:r w:rsidRPr="00B31743">
        <w:rPr>
          <w:rFonts w:ascii="Calibri" w:hAnsi="Calibri" w:cs="Calibri"/>
        </w:rPr>
        <w:t xml:space="preserve"> $4.</w:t>
      </w:r>
      <w:r>
        <w:rPr>
          <w:rFonts w:ascii="Calibri" w:hAnsi="Calibri" w:cs="Calibri"/>
        </w:rPr>
        <w:t>499</w:t>
      </w:r>
      <w:r w:rsidRPr="00B31743">
        <w:rPr>
          <w:rFonts w:ascii="Calibri" w:hAnsi="Calibri" w:cs="Calibri"/>
        </w:rPr>
        <w:t xml:space="preserve"> million per year.</w:t>
      </w:r>
    </w:p>
    <w:p w14:paraId="3748C768" w14:textId="48D992BA" w:rsidR="00CD0DF8" w:rsidRDefault="00CD0DF8" w:rsidP="00CD0DF8">
      <w:pPr>
        <w:rPr>
          <w:rFonts w:ascii="Calibri" w:hAnsi="Calibri" w:cs="Calibri"/>
        </w:rPr>
      </w:pPr>
      <w:r>
        <w:rPr>
          <w:rFonts w:ascii="Calibri" w:hAnsi="Calibri" w:cs="Calibri"/>
        </w:rPr>
        <w:t xml:space="preserve">Treasury notes that while the 2022 Home Guarantee Scheme Impact Analysis included the cost of the </w:t>
      </w:r>
      <w:r w:rsidRPr="00B31743">
        <w:rPr>
          <w:rFonts w:ascii="Calibri" w:hAnsi="Calibri" w:cs="Calibri"/>
        </w:rPr>
        <w:t xml:space="preserve">additional time it </w:t>
      </w:r>
      <w:r>
        <w:rPr>
          <w:rFonts w:ascii="Calibri" w:hAnsi="Calibri" w:cs="Calibri"/>
        </w:rPr>
        <w:t xml:space="preserve">would </w:t>
      </w:r>
      <w:r w:rsidRPr="00B31743">
        <w:rPr>
          <w:rFonts w:ascii="Calibri" w:hAnsi="Calibri" w:cs="Calibri"/>
        </w:rPr>
        <w:t xml:space="preserve">take to educate front-line lenders and brokers </w:t>
      </w:r>
      <w:r>
        <w:rPr>
          <w:rFonts w:ascii="Calibri" w:hAnsi="Calibri" w:cs="Calibri"/>
        </w:rPr>
        <w:t>and update systems, given the expanded scheme does not differ significantly from an operational perspective, this supplementary impact analysis does not consider these costs to be material.</w:t>
      </w:r>
    </w:p>
    <w:p w14:paraId="41111BDE" w14:textId="2BC5CEB6" w:rsidR="00340182" w:rsidRDefault="002F3FC5" w:rsidP="00CD0DF8">
      <w:pPr>
        <w:rPr>
          <w:rFonts w:ascii="Calibri" w:hAnsi="Calibri" w:cs="Calibri"/>
        </w:rPr>
      </w:pPr>
      <w:r>
        <w:rPr>
          <w:rFonts w:ascii="Calibri" w:hAnsi="Calibri" w:cs="Calibri"/>
        </w:rPr>
        <w:br/>
      </w:r>
    </w:p>
    <w:tbl>
      <w:tblPr>
        <w:tblStyle w:val="TableGridLight"/>
        <w:tblW w:w="8565" w:type="dxa"/>
        <w:tblLook w:val="04A0" w:firstRow="1" w:lastRow="0" w:firstColumn="1" w:lastColumn="0" w:noHBand="0" w:noVBand="1"/>
      </w:tblPr>
      <w:tblGrid>
        <w:gridCol w:w="1926"/>
        <w:gridCol w:w="1489"/>
        <w:gridCol w:w="1964"/>
        <w:gridCol w:w="1761"/>
        <w:gridCol w:w="1425"/>
      </w:tblGrid>
      <w:tr w:rsidR="00CD0DF8" w:rsidRPr="00946E74" w14:paraId="465BD5F4" w14:textId="77777777" w:rsidTr="00FF15A5">
        <w:trPr>
          <w:trHeight w:val="816"/>
        </w:trPr>
        <w:tc>
          <w:tcPr>
            <w:tcW w:w="856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E16A8EF" w14:textId="77777777" w:rsidR="00CD0DF8" w:rsidRPr="00946E74" w:rsidRDefault="00CD0DF8" w:rsidP="00FF15A5">
            <w:pPr>
              <w:spacing w:after="200" w:line="276" w:lineRule="auto"/>
              <w:rPr>
                <w:b/>
              </w:rPr>
            </w:pPr>
            <w:r w:rsidRPr="00946E74">
              <w:rPr>
                <w:b/>
              </w:rPr>
              <w:lastRenderedPageBreak/>
              <w:t>Average annual regulatory costs (from business as usual)</w:t>
            </w:r>
          </w:p>
        </w:tc>
      </w:tr>
      <w:tr w:rsidR="00CD0DF8" w:rsidRPr="00946E74" w14:paraId="5A3DB4DF" w14:textId="77777777" w:rsidTr="00FF15A5">
        <w:trPr>
          <w:trHeight w:val="816"/>
        </w:trPr>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C2BD8AB" w14:textId="77777777" w:rsidR="00CD0DF8" w:rsidRPr="00946E74" w:rsidRDefault="00CD0DF8" w:rsidP="00FF15A5">
            <w:pPr>
              <w:spacing w:after="200" w:line="276" w:lineRule="auto"/>
              <w:rPr>
                <w:b/>
                <w:bCs/>
              </w:rPr>
            </w:pPr>
            <w:r w:rsidRPr="00946E74">
              <w:t>Change in costs ($ million)</w:t>
            </w:r>
          </w:p>
        </w:tc>
        <w:tc>
          <w:tcPr>
            <w:tcW w:w="14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923E898" w14:textId="77777777" w:rsidR="00CD0DF8" w:rsidRPr="00946E74" w:rsidRDefault="00CD0DF8" w:rsidP="00FF15A5">
            <w:pPr>
              <w:spacing w:after="200" w:line="276" w:lineRule="auto"/>
            </w:pPr>
            <w:r w:rsidRPr="00946E74">
              <w:t>Business</w:t>
            </w:r>
          </w:p>
        </w:tc>
        <w:tc>
          <w:tcPr>
            <w:tcW w:w="1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19EEC35" w14:textId="77777777" w:rsidR="00CD0DF8" w:rsidRPr="00946E74" w:rsidRDefault="00CD0DF8" w:rsidP="00FF15A5">
            <w:pPr>
              <w:spacing w:after="200" w:line="276" w:lineRule="auto"/>
            </w:pPr>
            <w:r w:rsidRPr="00946E74">
              <w:t>Community organisations</w:t>
            </w:r>
          </w:p>
        </w:tc>
        <w:tc>
          <w:tcPr>
            <w:tcW w:w="17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8D870B0" w14:textId="77777777" w:rsidR="00CD0DF8" w:rsidRPr="00946E74" w:rsidRDefault="00CD0DF8" w:rsidP="00FF15A5">
            <w:pPr>
              <w:spacing w:after="200" w:line="276" w:lineRule="auto"/>
            </w:pPr>
            <w:r w:rsidRPr="00946E74">
              <w:t>Individuals</w:t>
            </w:r>
          </w:p>
        </w:tc>
        <w:tc>
          <w:tcPr>
            <w:tcW w:w="1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267FC10" w14:textId="77777777" w:rsidR="00CD0DF8" w:rsidRPr="00946E74" w:rsidRDefault="00CD0DF8" w:rsidP="00FF15A5">
            <w:pPr>
              <w:spacing w:after="200" w:line="276" w:lineRule="auto"/>
            </w:pPr>
            <w:r w:rsidRPr="00946E74">
              <w:t>Total change in cost</w:t>
            </w:r>
          </w:p>
        </w:tc>
      </w:tr>
      <w:tr w:rsidR="00CD0DF8" w:rsidRPr="00946E74" w14:paraId="6A726C99" w14:textId="77777777" w:rsidTr="00FF15A5">
        <w:trPr>
          <w:trHeight w:val="816"/>
        </w:trPr>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C50BEA9" w14:textId="77777777" w:rsidR="00CD0DF8" w:rsidRPr="00946E74" w:rsidRDefault="00CD0DF8" w:rsidP="00FF15A5">
            <w:pPr>
              <w:spacing w:after="200" w:line="276" w:lineRule="auto"/>
              <w:rPr>
                <w:b/>
                <w:bCs/>
              </w:rPr>
            </w:pPr>
            <w:r w:rsidRPr="00946E74">
              <w:t>Total, by sector</w:t>
            </w:r>
          </w:p>
        </w:tc>
        <w:tc>
          <w:tcPr>
            <w:tcW w:w="14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0AEFF3D" w14:textId="77777777" w:rsidR="00CD0DF8" w:rsidRPr="00946E74" w:rsidRDefault="00CD0DF8" w:rsidP="00FF15A5">
            <w:pPr>
              <w:spacing w:after="200" w:line="276" w:lineRule="auto"/>
            </w:pPr>
            <w:r w:rsidRPr="00946E74">
              <w:t>$4.</w:t>
            </w:r>
            <w:r>
              <w:t>45</w:t>
            </w:r>
          </w:p>
        </w:tc>
        <w:tc>
          <w:tcPr>
            <w:tcW w:w="1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4827039" w14:textId="77777777" w:rsidR="00CD0DF8" w:rsidRPr="00946E74" w:rsidRDefault="00CD0DF8" w:rsidP="00FF15A5">
            <w:pPr>
              <w:spacing w:after="200" w:line="276" w:lineRule="auto"/>
            </w:pPr>
            <w:r w:rsidRPr="00946E74">
              <w:t>$0</w:t>
            </w:r>
          </w:p>
        </w:tc>
        <w:tc>
          <w:tcPr>
            <w:tcW w:w="17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B1802DD" w14:textId="77777777" w:rsidR="00CD0DF8" w:rsidRPr="00946E74" w:rsidRDefault="00CD0DF8" w:rsidP="00FF15A5">
            <w:pPr>
              <w:spacing w:after="200" w:line="276" w:lineRule="auto"/>
            </w:pPr>
            <w:r w:rsidRPr="00946E74">
              <w:t>$0.</w:t>
            </w:r>
            <w:r>
              <w:t>93</w:t>
            </w:r>
          </w:p>
        </w:tc>
        <w:tc>
          <w:tcPr>
            <w:tcW w:w="1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332AF0E" w14:textId="77777777" w:rsidR="00CD0DF8" w:rsidRPr="00946E74" w:rsidRDefault="00CD0DF8" w:rsidP="00FF15A5">
            <w:pPr>
              <w:spacing w:after="200" w:line="276" w:lineRule="auto"/>
            </w:pPr>
            <w:r w:rsidRPr="00946E74">
              <w:t>$5.</w:t>
            </w:r>
            <w:r>
              <w:t>38</w:t>
            </w:r>
          </w:p>
        </w:tc>
      </w:tr>
    </w:tbl>
    <w:p w14:paraId="38AE6D7C" w14:textId="607CF778" w:rsidR="00CD0DF8" w:rsidRDefault="00CD0DF8" w:rsidP="005D568A"/>
    <w:p w14:paraId="6865F858" w14:textId="4680078C" w:rsidR="00DC7458" w:rsidRPr="000864AE" w:rsidRDefault="00DC7458" w:rsidP="00DC7458">
      <w:pPr>
        <w:pStyle w:val="Heading3"/>
        <w:rPr>
          <w:u w:val="single"/>
        </w:rPr>
      </w:pPr>
      <w:r w:rsidRPr="000864AE">
        <w:rPr>
          <w:u w:val="single"/>
        </w:rPr>
        <w:t xml:space="preserve">Conclusion </w:t>
      </w:r>
    </w:p>
    <w:p w14:paraId="52235C35" w14:textId="36FC0C79" w:rsidR="00DC7458" w:rsidRDefault="009E09B8" w:rsidP="00DC7458">
      <w:r>
        <w:t>In an environment of</w:t>
      </w:r>
      <w:r w:rsidR="005C7B16">
        <w:t xml:space="preserve"> increasing </w:t>
      </w:r>
      <w:r w:rsidR="00BB230B">
        <w:t>housing</w:t>
      </w:r>
      <w:r w:rsidR="005C7B16">
        <w:t xml:space="preserve"> prices, </w:t>
      </w:r>
      <w:r w:rsidR="00886FB8">
        <w:t xml:space="preserve">falling </w:t>
      </w:r>
      <w:r w:rsidR="00B45E0E">
        <w:t>home</w:t>
      </w:r>
      <w:r w:rsidR="00BB230B">
        <w:t xml:space="preserve"> </w:t>
      </w:r>
      <w:r w:rsidR="00B45E0E">
        <w:t>ownership</w:t>
      </w:r>
      <w:r w:rsidR="00886FB8">
        <w:t xml:space="preserve"> rates across all income </w:t>
      </w:r>
      <w:r w:rsidR="00B45E0E">
        <w:t xml:space="preserve">quintiles among young Australians, </w:t>
      </w:r>
      <w:r w:rsidR="00582E09">
        <w:t xml:space="preserve">and the </w:t>
      </w:r>
      <w:r w:rsidR="00E57148">
        <w:t xml:space="preserve">available scheme </w:t>
      </w:r>
      <w:r w:rsidR="000F764D">
        <w:t>place</w:t>
      </w:r>
      <w:r w:rsidR="0053178C">
        <w:t>s</w:t>
      </w:r>
      <w:r w:rsidR="000F764D">
        <w:t xml:space="preserve"> for the 2024-2025 financial year </w:t>
      </w:r>
      <w:r w:rsidR="0053178C">
        <w:t>close to fully utilised</w:t>
      </w:r>
      <w:r w:rsidR="000F764D">
        <w:t xml:space="preserve"> (for all streams excluding the </w:t>
      </w:r>
      <w:r w:rsidR="001A13E9">
        <w:t>F</w:t>
      </w:r>
      <w:r w:rsidR="000F764D">
        <w:t xml:space="preserve">amily </w:t>
      </w:r>
      <w:r w:rsidR="001A13E9">
        <w:t>H</w:t>
      </w:r>
      <w:r w:rsidR="000F764D">
        <w:t xml:space="preserve">ome </w:t>
      </w:r>
      <w:r w:rsidR="001A13E9">
        <w:t>Guarantee)</w:t>
      </w:r>
      <w:r w:rsidR="0007032C">
        <w:t>,</w:t>
      </w:r>
      <w:r w:rsidR="004F70B8">
        <w:t xml:space="preserve"> the </w:t>
      </w:r>
      <w:r w:rsidRPr="009E09B8">
        <w:t xml:space="preserve">expansion of the </w:t>
      </w:r>
      <w:r w:rsidR="004F70B8">
        <w:t xml:space="preserve">HGS </w:t>
      </w:r>
      <w:r w:rsidRPr="009E09B8">
        <w:t>is an appropriate way of encouraging</w:t>
      </w:r>
      <w:r w:rsidR="004F70B8">
        <w:t xml:space="preserve"> home ownership</w:t>
      </w:r>
      <w:r>
        <w:t>.</w:t>
      </w:r>
      <w:r w:rsidR="004F70B8">
        <w:t xml:space="preserve"> Providing expanded Government support through HGS will allow more individuals to achieve home ownership sooner, significantly reduce the time required to save a deposit, reduce the additional costs associated with obtaining LMI coverage, and level the playing field between those who are able to access support from family members and those who are not.</w:t>
      </w:r>
    </w:p>
    <w:p w14:paraId="16388550" w14:textId="58EE471E" w:rsidR="00836636" w:rsidRDefault="002B5ED9" w:rsidP="004F70B8">
      <w:r>
        <w:t>However</w:t>
      </w:r>
      <w:r w:rsidR="00427059">
        <w:t>,</w:t>
      </w:r>
      <w:r>
        <w:t xml:space="preserve"> it is worth noting that the HGS expansion may </w:t>
      </w:r>
      <w:r w:rsidR="007E70EC">
        <w:t xml:space="preserve">potentially </w:t>
      </w:r>
      <w:r>
        <w:t xml:space="preserve">lead to consolidation </w:t>
      </w:r>
      <w:r w:rsidR="007E70EC">
        <w:t>in</w:t>
      </w:r>
      <w:r>
        <w:t xml:space="preserve"> the LMI industry, potentially making accessing high LVR loans for those ineligible for HGS more expensive, and reducing competition within the banking sector. </w:t>
      </w:r>
      <w:r w:rsidR="003E74D6">
        <w:t>T</w:t>
      </w:r>
      <w:r w:rsidR="00836636">
        <w:t xml:space="preserve">he LMI industry is expected to </w:t>
      </w:r>
      <w:r w:rsidR="00396254">
        <w:t xml:space="preserve">continue to be viable </w:t>
      </w:r>
      <w:r w:rsidR="00D67F61">
        <w:t xml:space="preserve">and all eligible first home buyers will be able to access the HGS as an alternative. Housing Australia will also work to expand their lender panel, enabling more small and regional lenders to offer HGS backed loans. </w:t>
      </w:r>
    </w:p>
    <w:p w14:paraId="69025DFD" w14:textId="45E4106E" w:rsidR="004F70B8" w:rsidRDefault="00C02A59" w:rsidP="00DC7458">
      <w:r>
        <w:t>W</w:t>
      </w:r>
      <w:r w:rsidR="00D37056">
        <w:t xml:space="preserve">hile the expansion of HGS is likely to have some impact on demand for housing, it is expected that these impacts will be relatively modest and the </w:t>
      </w:r>
      <w:r w:rsidR="004B1426">
        <w:t xml:space="preserve">removal of </w:t>
      </w:r>
      <w:r w:rsidR="00D37056">
        <w:t>existing scheme income</w:t>
      </w:r>
      <w:r w:rsidR="000F1DC0">
        <w:t xml:space="preserve"> caps</w:t>
      </w:r>
      <w:r w:rsidR="00D37056">
        <w:t xml:space="preserve"> and </w:t>
      </w:r>
      <w:r w:rsidR="00EA3123">
        <w:t>increase</w:t>
      </w:r>
      <w:r w:rsidR="000F1DC0">
        <w:t>s</w:t>
      </w:r>
      <w:r w:rsidR="00EA3123">
        <w:t xml:space="preserve"> to </w:t>
      </w:r>
      <w:r w:rsidR="00D37056">
        <w:t xml:space="preserve">property price caps </w:t>
      </w:r>
      <w:r w:rsidR="00EA3123">
        <w:t>will dilute</w:t>
      </w:r>
      <w:r w:rsidR="00D37056">
        <w:t xml:space="preserve"> any price impacts at the lower end of the property market.</w:t>
      </w:r>
    </w:p>
    <w:p w14:paraId="319542C8" w14:textId="561E7D48" w:rsidR="00DC7458" w:rsidRDefault="001A7126" w:rsidP="00DC7458">
      <w:r>
        <w:br w:type="page"/>
      </w:r>
    </w:p>
    <w:p w14:paraId="462FD137" w14:textId="77777777" w:rsidR="00DC7458" w:rsidRPr="00854B97" w:rsidRDefault="00DC7458" w:rsidP="00DC7458">
      <w:pPr>
        <w:pStyle w:val="Heading3"/>
        <w:rPr>
          <w:u w:val="single"/>
        </w:rPr>
      </w:pPr>
      <w:r w:rsidRPr="00854B97">
        <w:rPr>
          <w:u w:val="single"/>
        </w:rPr>
        <w:lastRenderedPageBreak/>
        <w:t>Appendix A</w:t>
      </w:r>
    </w:p>
    <w:p w14:paraId="337A0DAA" w14:textId="77777777" w:rsidR="00DC7458" w:rsidRPr="004165B3" w:rsidRDefault="00DC7458" w:rsidP="00DC7458">
      <w:pPr>
        <w:rPr>
          <w:i/>
          <w:iCs/>
        </w:rPr>
      </w:pPr>
      <w:r>
        <w:rPr>
          <w:i/>
          <w:iCs/>
        </w:rPr>
        <w:t>New Property Price Caps</w:t>
      </w:r>
    </w:p>
    <w:p w14:paraId="6C6AEEB3" w14:textId="77777777" w:rsidR="00DC7458" w:rsidRPr="00A84130" w:rsidRDefault="00DC7458" w:rsidP="00DC7458">
      <w:r>
        <w:t xml:space="preserve">The price caps will be increased to reflect changes in the median house price in each locality. </w:t>
      </w:r>
      <w:r w:rsidRPr="00A84130">
        <w:t>The price cap on the value of residential property for a HGS supported loan will be as follows:</w:t>
      </w:r>
    </w:p>
    <w:tbl>
      <w:tblPr>
        <w:tblStyle w:val="TableGrid"/>
        <w:tblW w:w="0" w:type="auto"/>
        <w:tblLook w:val="04A0" w:firstRow="1" w:lastRow="0" w:firstColumn="1" w:lastColumn="0" w:noHBand="0" w:noVBand="1"/>
      </w:tblPr>
      <w:tblGrid>
        <w:gridCol w:w="4111"/>
        <w:gridCol w:w="2693"/>
        <w:gridCol w:w="2268"/>
      </w:tblGrid>
      <w:tr w:rsidR="00752F36" w14:paraId="0048E18F" w14:textId="77777777" w:rsidTr="008B60D3">
        <w:trPr>
          <w:cnfStyle w:val="100000000000" w:firstRow="1" w:lastRow="0" w:firstColumn="0" w:lastColumn="0" w:oddVBand="0" w:evenVBand="0" w:oddHBand="0" w:evenHBand="0" w:firstRowFirstColumn="0" w:firstRowLastColumn="0" w:lastRowFirstColumn="0" w:lastRowLastColumn="0"/>
        </w:trPr>
        <w:tc>
          <w:tcPr>
            <w:tcW w:w="4111" w:type="dxa"/>
            <w:vAlign w:val="center"/>
          </w:tcPr>
          <w:p w14:paraId="5D542EDA" w14:textId="77777777" w:rsidR="00DC7458" w:rsidRDefault="00DC7458">
            <w:pPr>
              <w:pStyle w:val="BodyText"/>
              <w:spacing w:before="96" w:after="96"/>
              <w:rPr>
                <w:b w:val="0"/>
                <w:bCs/>
                <w:i/>
                <w:iCs/>
              </w:rPr>
            </w:pPr>
            <w:r>
              <w:rPr>
                <w:bCs/>
                <w:color w:val="000000"/>
              </w:rPr>
              <w:t> Locality</w:t>
            </w:r>
          </w:p>
        </w:tc>
        <w:tc>
          <w:tcPr>
            <w:tcW w:w="2693" w:type="dxa"/>
          </w:tcPr>
          <w:p w14:paraId="3E4CD458" w14:textId="4E470B00" w:rsidR="00792F6D" w:rsidRDefault="00792F6D" w:rsidP="008B60D3">
            <w:pPr>
              <w:pStyle w:val="BodyText"/>
              <w:spacing w:before="96" w:after="96"/>
              <w:jc w:val="center"/>
              <w:rPr>
                <w:bCs/>
                <w:color w:val="000000"/>
              </w:rPr>
            </w:pPr>
            <w:r>
              <w:rPr>
                <w:bCs/>
                <w:color w:val="000000"/>
              </w:rPr>
              <w:t>Current HGS property price caps</w:t>
            </w:r>
          </w:p>
        </w:tc>
        <w:tc>
          <w:tcPr>
            <w:tcW w:w="2268" w:type="dxa"/>
          </w:tcPr>
          <w:p w14:paraId="01965BB5" w14:textId="77777777" w:rsidR="00DC7458" w:rsidRDefault="00DC7458" w:rsidP="008B60D3">
            <w:pPr>
              <w:pStyle w:val="BodyText"/>
              <w:spacing w:before="96" w:after="96"/>
              <w:jc w:val="center"/>
              <w:rPr>
                <w:b w:val="0"/>
                <w:bCs/>
                <w:i/>
                <w:iCs/>
              </w:rPr>
            </w:pPr>
            <w:r>
              <w:rPr>
                <w:bCs/>
                <w:color w:val="000000"/>
              </w:rPr>
              <w:t>New HGS property price caps</w:t>
            </w:r>
          </w:p>
        </w:tc>
      </w:tr>
      <w:tr w:rsidR="00DC7458" w14:paraId="670314F5" w14:textId="77777777" w:rsidTr="008B60D3">
        <w:tc>
          <w:tcPr>
            <w:tcW w:w="4111" w:type="dxa"/>
            <w:vAlign w:val="center"/>
          </w:tcPr>
          <w:p w14:paraId="0701E446" w14:textId="77777777" w:rsidR="00DC7458" w:rsidRDefault="00DC7458">
            <w:pPr>
              <w:pStyle w:val="BodyText"/>
              <w:rPr>
                <w:b/>
                <w:bCs/>
                <w:i/>
                <w:iCs/>
              </w:rPr>
            </w:pPr>
            <w:r>
              <w:rPr>
                <w:color w:val="000000"/>
              </w:rPr>
              <w:t>NSW – capital city and regional centre</w:t>
            </w:r>
          </w:p>
        </w:tc>
        <w:tc>
          <w:tcPr>
            <w:tcW w:w="2693" w:type="dxa"/>
            <w:vAlign w:val="center"/>
          </w:tcPr>
          <w:p w14:paraId="3408A863" w14:textId="2EDD046E" w:rsidR="00792F6D" w:rsidRPr="00A86730" w:rsidRDefault="00E715F9" w:rsidP="00A86730">
            <w:pPr>
              <w:jc w:val="center"/>
              <w:rPr>
                <w:rFonts w:ascii="Arial" w:hAnsi="Arial" w:cs="Arial"/>
              </w:rPr>
            </w:pPr>
            <w:r w:rsidRPr="00A86730">
              <w:rPr>
                <w:rFonts w:ascii="Arial" w:hAnsi="Arial" w:cs="Arial"/>
              </w:rPr>
              <w:t>$900,000</w:t>
            </w:r>
          </w:p>
        </w:tc>
        <w:tc>
          <w:tcPr>
            <w:tcW w:w="2268" w:type="dxa"/>
            <w:vAlign w:val="center"/>
          </w:tcPr>
          <w:p w14:paraId="6E9F0EAE" w14:textId="77777777" w:rsidR="00DC7458" w:rsidRPr="00A86730" w:rsidRDefault="00DC7458" w:rsidP="00A86730">
            <w:pPr>
              <w:jc w:val="center"/>
              <w:rPr>
                <w:rFonts w:ascii="Arial" w:hAnsi="Arial" w:cs="Arial"/>
              </w:rPr>
            </w:pPr>
            <w:r w:rsidRPr="00A86730">
              <w:rPr>
                <w:rFonts w:ascii="Arial" w:hAnsi="Arial" w:cs="Arial"/>
              </w:rPr>
              <w:t>$1,500,000</w:t>
            </w:r>
          </w:p>
        </w:tc>
      </w:tr>
      <w:tr w:rsidR="00DC7458" w14:paraId="4421273F" w14:textId="77777777" w:rsidTr="008B60D3">
        <w:tc>
          <w:tcPr>
            <w:tcW w:w="4111" w:type="dxa"/>
            <w:vAlign w:val="center"/>
          </w:tcPr>
          <w:p w14:paraId="7C47DCA2" w14:textId="77777777" w:rsidR="00DC7458" w:rsidRDefault="00DC7458">
            <w:pPr>
              <w:pStyle w:val="BodyText"/>
              <w:rPr>
                <w:b/>
                <w:bCs/>
                <w:i/>
                <w:iCs/>
              </w:rPr>
            </w:pPr>
            <w:r>
              <w:rPr>
                <w:color w:val="000000"/>
              </w:rPr>
              <w:t>NSW – other</w:t>
            </w:r>
          </w:p>
        </w:tc>
        <w:tc>
          <w:tcPr>
            <w:tcW w:w="2693" w:type="dxa"/>
            <w:vAlign w:val="center"/>
          </w:tcPr>
          <w:p w14:paraId="17386CB1" w14:textId="6FFFC467" w:rsidR="00792F6D" w:rsidRPr="00A86730" w:rsidRDefault="00E715F9" w:rsidP="00A86730">
            <w:pPr>
              <w:jc w:val="center"/>
              <w:rPr>
                <w:rFonts w:ascii="Arial" w:hAnsi="Arial" w:cs="Arial"/>
              </w:rPr>
            </w:pPr>
            <w:r w:rsidRPr="00A86730">
              <w:rPr>
                <w:rFonts w:ascii="Arial" w:hAnsi="Arial" w:cs="Arial"/>
              </w:rPr>
              <w:t>$750,000</w:t>
            </w:r>
          </w:p>
        </w:tc>
        <w:tc>
          <w:tcPr>
            <w:tcW w:w="2268" w:type="dxa"/>
            <w:vAlign w:val="center"/>
          </w:tcPr>
          <w:p w14:paraId="6BE826B0" w14:textId="77777777" w:rsidR="00DC7458" w:rsidRPr="00A86730" w:rsidRDefault="00DC7458" w:rsidP="00A86730">
            <w:pPr>
              <w:jc w:val="center"/>
              <w:rPr>
                <w:rFonts w:ascii="Arial" w:hAnsi="Arial" w:cs="Arial"/>
              </w:rPr>
            </w:pPr>
            <w:r w:rsidRPr="00A86730">
              <w:rPr>
                <w:rFonts w:ascii="Arial" w:hAnsi="Arial" w:cs="Arial"/>
              </w:rPr>
              <w:t>$800,000</w:t>
            </w:r>
          </w:p>
        </w:tc>
      </w:tr>
      <w:tr w:rsidR="00DC7458" w14:paraId="0D64D98B" w14:textId="77777777" w:rsidTr="008B60D3">
        <w:tc>
          <w:tcPr>
            <w:tcW w:w="4111" w:type="dxa"/>
            <w:vAlign w:val="center"/>
          </w:tcPr>
          <w:p w14:paraId="46EB78B9" w14:textId="77777777" w:rsidR="00DC7458" w:rsidRDefault="00DC7458">
            <w:pPr>
              <w:pStyle w:val="BodyText"/>
              <w:rPr>
                <w:b/>
                <w:bCs/>
                <w:i/>
                <w:iCs/>
              </w:rPr>
            </w:pPr>
            <w:r>
              <w:rPr>
                <w:color w:val="000000"/>
              </w:rPr>
              <w:t>VIC – capital city and regional centre</w:t>
            </w:r>
          </w:p>
        </w:tc>
        <w:tc>
          <w:tcPr>
            <w:tcW w:w="2693" w:type="dxa"/>
            <w:vAlign w:val="center"/>
          </w:tcPr>
          <w:p w14:paraId="745E25C2" w14:textId="421E9875" w:rsidR="00792F6D" w:rsidRPr="00A86730" w:rsidRDefault="00E715F9" w:rsidP="00A86730">
            <w:pPr>
              <w:jc w:val="center"/>
              <w:rPr>
                <w:rFonts w:ascii="Arial" w:hAnsi="Arial" w:cs="Arial"/>
              </w:rPr>
            </w:pPr>
            <w:r w:rsidRPr="00A86730">
              <w:rPr>
                <w:rFonts w:ascii="Arial" w:hAnsi="Arial" w:cs="Arial"/>
              </w:rPr>
              <w:t>$800,000</w:t>
            </w:r>
          </w:p>
        </w:tc>
        <w:tc>
          <w:tcPr>
            <w:tcW w:w="2268" w:type="dxa"/>
            <w:vAlign w:val="center"/>
          </w:tcPr>
          <w:p w14:paraId="52832D11" w14:textId="77777777" w:rsidR="00DC7458" w:rsidRPr="00A86730" w:rsidRDefault="00DC7458" w:rsidP="00A86730">
            <w:pPr>
              <w:jc w:val="center"/>
              <w:rPr>
                <w:rFonts w:ascii="Arial" w:hAnsi="Arial" w:cs="Arial"/>
              </w:rPr>
            </w:pPr>
            <w:r w:rsidRPr="00A86730">
              <w:rPr>
                <w:rFonts w:ascii="Arial" w:hAnsi="Arial" w:cs="Arial"/>
              </w:rPr>
              <w:t>$950,000</w:t>
            </w:r>
          </w:p>
        </w:tc>
      </w:tr>
      <w:tr w:rsidR="00DC7458" w14:paraId="7E32FE87" w14:textId="77777777" w:rsidTr="008B60D3">
        <w:tc>
          <w:tcPr>
            <w:tcW w:w="4111" w:type="dxa"/>
            <w:vAlign w:val="center"/>
          </w:tcPr>
          <w:p w14:paraId="70FA6057" w14:textId="77777777" w:rsidR="00DC7458" w:rsidRDefault="00DC7458">
            <w:pPr>
              <w:pStyle w:val="BodyText"/>
              <w:rPr>
                <w:b/>
                <w:bCs/>
                <w:i/>
                <w:iCs/>
              </w:rPr>
            </w:pPr>
            <w:r>
              <w:rPr>
                <w:color w:val="000000"/>
              </w:rPr>
              <w:t>VIC – other</w:t>
            </w:r>
          </w:p>
        </w:tc>
        <w:tc>
          <w:tcPr>
            <w:tcW w:w="2693" w:type="dxa"/>
            <w:vAlign w:val="center"/>
          </w:tcPr>
          <w:p w14:paraId="40F6399F" w14:textId="2ACB8FDB" w:rsidR="00792F6D" w:rsidRPr="00A86730" w:rsidRDefault="00E715F9" w:rsidP="00A86730">
            <w:pPr>
              <w:jc w:val="center"/>
              <w:rPr>
                <w:rFonts w:ascii="Arial" w:hAnsi="Arial" w:cs="Arial"/>
              </w:rPr>
            </w:pPr>
            <w:r w:rsidRPr="00A86730">
              <w:rPr>
                <w:rFonts w:ascii="Arial" w:hAnsi="Arial" w:cs="Arial"/>
              </w:rPr>
              <w:t>$650,000</w:t>
            </w:r>
          </w:p>
        </w:tc>
        <w:tc>
          <w:tcPr>
            <w:tcW w:w="2268" w:type="dxa"/>
            <w:vAlign w:val="center"/>
          </w:tcPr>
          <w:p w14:paraId="504EE84F" w14:textId="77777777" w:rsidR="00DC7458" w:rsidRPr="00A86730" w:rsidRDefault="00DC7458" w:rsidP="00A86730">
            <w:pPr>
              <w:jc w:val="center"/>
              <w:rPr>
                <w:rFonts w:ascii="Arial" w:hAnsi="Arial" w:cs="Arial"/>
              </w:rPr>
            </w:pPr>
            <w:r w:rsidRPr="00A86730">
              <w:rPr>
                <w:rFonts w:ascii="Arial" w:hAnsi="Arial" w:cs="Arial"/>
              </w:rPr>
              <w:t>$650,000</w:t>
            </w:r>
          </w:p>
        </w:tc>
      </w:tr>
      <w:tr w:rsidR="00DC7458" w14:paraId="78F4B641" w14:textId="77777777" w:rsidTr="008B60D3">
        <w:tc>
          <w:tcPr>
            <w:tcW w:w="4111" w:type="dxa"/>
            <w:vAlign w:val="center"/>
          </w:tcPr>
          <w:p w14:paraId="055B8D76" w14:textId="77777777" w:rsidR="00DC7458" w:rsidRDefault="00DC7458">
            <w:pPr>
              <w:pStyle w:val="BodyText"/>
              <w:rPr>
                <w:b/>
                <w:bCs/>
                <w:i/>
                <w:iCs/>
              </w:rPr>
            </w:pPr>
            <w:r>
              <w:rPr>
                <w:color w:val="000000"/>
              </w:rPr>
              <w:t>QLD – capital city and regional centre</w:t>
            </w:r>
          </w:p>
        </w:tc>
        <w:tc>
          <w:tcPr>
            <w:tcW w:w="2693" w:type="dxa"/>
            <w:vAlign w:val="center"/>
          </w:tcPr>
          <w:p w14:paraId="0E06B085" w14:textId="5E5A85BF" w:rsidR="00792F6D" w:rsidRPr="00A86730" w:rsidRDefault="00E715F9" w:rsidP="00A86730">
            <w:pPr>
              <w:jc w:val="center"/>
              <w:rPr>
                <w:rFonts w:ascii="Arial" w:hAnsi="Arial" w:cs="Arial"/>
              </w:rPr>
            </w:pPr>
            <w:r w:rsidRPr="00A86730">
              <w:rPr>
                <w:rFonts w:ascii="Arial" w:hAnsi="Arial" w:cs="Arial"/>
              </w:rPr>
              <w:t>$700,000</w:t>
            </w:r>
          </w:p>
        </w:tc>
        <w:tc>
          <w:tcPr>
            <w:tcW w:w="2268" w:type="dxa"/>
            <w:vAlign w:val="center"/>
          </w:tcPr>
          <w:p w14:paraId="244EAAA1" w14:textId="77777777" w:rsidR="00DC7458" w:rsidRPr="00A86730" w:rsidRDefault="00DC7458" w:rsidP="00A86730">
            <w:pPr>
              <w:jc w:val="center"/>
              <w:rPr>
                <w:rFonts w:ascii="Arial" w:hAnsi="Arial" w:cs="Arial"/>
              </w:rPr>
            </w:pPr>
            <w:r w:rsidRPr="00A86730">
              <w:rPr>
                <w:rFonts w:ascii="Arial" w:hAnsi="Arial" w:cs="Arial"/>
              </w:rPr>
              <w:t>$1,000,000</w:t>
            </w:r>
          </w:p>
        </w:tc>
      </w:tr>
      <w:tr w:rsidR="00DC7458" w14:paraId="043008B1" w14:textId="77777777" w:rsidTr="008B60D3">
        <w:tc>
          <w:tcPr>
            <w:tcW w:w="4111" w:type="dxa"/>
            <w:vAlign w:val="center"/>
          </w:tcPr>
          <w:p w14:paraId="5F00DEA9" w14:textId="77777777" w:rsidR="00DC7458" w:rsidRDefault="00DC7458">
            <w:pPr>
              <w:pStyle w:val="BodyText"/>
              <w:rPr>
                <w:b/>
                <w:bCs/>
                <w:i/>
                <w:iCs/>
              </w:rPr>
            </w:pPr>
            <w:r>
              <w:rPr>
                <w:color w:val="000000"/>
              </w:rPr>
              <w:t>QLD – other</w:t>
            </w:r>
          </w:p>
        </w:tc>
        <w:tc>
          <w:tcPr>
            <w:tcW w:w="2693" w:type="dxa"/>
            <w:vAlign w:val="center"/>
          </w:tcPr>
          <w:p w14:paraId="37DA220A" w14:textId="51C9CB46" w:rsidR="00792F6D" w:rsidRPr="00A86730" w:rsidRDefault="00E715F9" w:rsidP="00A86730">
            <w:pPr>
              <w:jc w:val="center"/>
              <w:rPr>
                <w:rFonts w:ascii="Arial" w:hAnsi="Arial" w:cs="Arial"/>
              </w:rPr>
            </w:pPr>
            <w:r w:rsidRPr="00A86730">
              <w:rPr>
                <w:rFonts w:ascii="Arial" w:hAnsi="Arial" w:cs="Arial"/>
              </w:rPr>
              <w:t>$550,000</w:t>
            </w:r>
          </w:p>
        </w:tc>
        <w:tc>
          <w:tcPr>
            <w:tcW w:w="2268" w:type="dxa"/>
            <w:vAlign w:val="center"/>
          </w:tcPr>
          <w:p w14:paraId="3F6AEDC2" w14:textId="77777777" w:rsidR="00DC7458" w:rsidRPr="00A86730" w:rsidRDefault="00DC7458" w:rsidP="00A86730">
            <w:pPr>
              <w:jc w:val="center"/>
              <w:rPr>
                <w:rFonts w:ascii="Arial" w:hAnsi="Arial" w:cs="Arial"/>
              </w:rPr>
            </w:pPr>
            <w:r w:rsidRPr="00A86730">
              <w:rPr>
                <w:rFonts w:ascii="Arial" w:hAnsi="Arial" w:cs="Arial"/>
              </w:rPr>
              <w:t>$700,000</w:t>
            </w:r>
          </w:p>
        </w:tc>
      </w:tr>
      <w:tr w:rsidR="00DC7458" w14:paraId="3171B74F" w14:textId="77777777" w:rsidTr="008B60D3">
        <w:tc>
          <w:tcPr>
            <w:tcW w:w="4111" w:type="dxa"/>
            <w:vAlign w:val="center"/>
          </w:tcPr>
          <w:p w14:paraId="41CA2047" w14:textId="77777777" w:rsidR="00DC7458" w:rsidRDefault="00DC7458">
            <w:pPr>
              <w:pStyle w:val="BodyText"/>
              <w:rPr>
                <w:b/>
                <w:bCs/>
                <w:i/>
                <w:iCs/>
              </w:rPr>
            </w:pPr>
            <w:r>
              <w:rPr>
                <w:color w:val="000000"/>
              </w:rPr>
              <w:t>WA – capital city</w:t>
            </w:r>
          </w:p>
        </w:tc>
        <w:tc>
          <w:tcPr>
            <w:tcW w:w="2693" w:type="dxa"/>
            <w:vAlign w:val="center"/>
          </w:tcPr>
          <w:p w14:paraId="1F6704FC" w14:textId="458822EE" w:rsidR="00792F6D" w:rsidRPr="00A86730" w:rsidRDefault="00E715F9" w:rsidP="00A86730">
            <w:pPr>
              <w:jc w:val="center"/>
              <w:rPr>
                <w:rFonts w:ascii="Arial" w:hAnsi="Arial" w:cs="Arial"/>
              </w:rPr>
            </w:pPr>
            <w:r w:rsidRPr="00A86730">
              <w:rPr>
                <w:rFonts w:ascii="Arial" w:hAnsi="Arial" w:cs="Arial"/>
              </w:rPr>
              <w:t>$600,000</w:t>
            </w:r>
          </w:p>
        </w:tc>
        <w:tc>
          <w:tcPr>
            <w:tcW w:w="2268" w:type="dxa"/>
            <w:vAlign w:val="center"/>
          </w:tcPr>
          <w:p w14:paraId="0245238E" w14:textId="77777777" w:rsidR="00DC7458" w:rsidRPr="00A86730" w:rsidRDefault="00DC7458" w:rsidP="00A86730">
            <w:pPr>
              <w:jc w:val="center"/>
              <w:rPr>
                <w:rFonts w:ascii="Arial" w:hAnsi="Arial" w:cs="Arial"/>
              </w:rPr>
            </w:pPr>
            <w:r w:rsidRPr="00A86730">
              <w:rPr>
                <w:rFonts w:ascii="Arial" w:hAnsi="Arial" w:cs="Arial"/>
              </w:rPr>
              <w:t>$850,000</w:t>
            </w:r>
          </w:p>
        </w:tc>
      </w:tr>
      <w:tr w:rsidR="00DC7458" w14:paraId="0E029C8E" w14:textId="77777777" w:rsidTr="008B60D3">
        <w:tc>
          <w:tcPr>
            <w:tcW w:w="4111" w:type="dxa"/>
            <w:vAlign w:val="center"/>
          </w:tcPr>
          <w:p w14:paraId="7292186E" w14:textId="77777777" w:rsidR="00DC7458" w:rsidRDefault="00DC7458">
            <w:pPr>
              <w:pStyle w:val="BodyText"/>
              <w:rPr>
                <w:b/>
                <w:bCs/>
                <w:i/>
                <w:iCs/>
              </w:rPr>
            </w:pPr>
            <w:r>
              <w:rPr>
                <w:color w:val="000000"/>
              </w:rPr>
              <w:t>WA – other</w:t>
            </w:r>
          </w:p>
        </w:tc>
        <w:tc>
          <w:tcPr>
            <w:tcW w:w="2693" w:type="dxa"/>
            <w:vAlign w:val="center"/>
          </w:tcPr>
          <w:p w14:paraId="45EF9A42" w14:textId="12B0F0E3" w:rsidR="00792F6D" w:rsidRPr="00A86730" w:rsidRDefault="00E715F9" w:rsidP="00A86730">
            <w:pPr>
              <w:jc w:val="center"/>
              <w:rPr>
                <w:rFonts w:ascii="Arial" w:hAnsi="Arial" w:cs="Arial"/>
              </w:rPr>
            </w:pPr>
            <w:r w:rsidRPr="00A86730">
              <w:rPr>
                <w:rFonts w:ascii="Arial" w:hAnsi="Arial" w:cs="Arial"/>
              </w:rPr>
              <w:t>$450,000</w:t>
            </w:r>
          </w:p>
        </w:tc>
        <w:tc>
          <w:tcPr>
            <w:tcW w:w="2268" w:type="dxa"/>
            <w:vAlign w:val="center"/>
          </w:tcPr>
          <w:p w14:paraId="69C036C9" w14:textId="77777777" w:rsidR="00DC7458" w:rsidRPr="00A86730" w:rsidRDefault="00DC7458" w:rsidP="00A86730">
            <w:pPr>
              <w:jc w:val="center"/>
              <w:rPr>
                <w:rFonts w:ascii="Arial" w:hAnsi="Arial" w:cs="Arial"/>
              </w:rPr>
            </w:pPr>
            <w:r w:rsidRPr="00A86730">
              <w:rPr>
                <w:rFonts w:ascii="Arial" w:hAnsi="Arial" w:cs="Arial"/>
              </w:rPr>
              <w:t>$600,000</w:t>
            </w:r>
          </w:p>
        </w:tc>
      </w:tr>
      <w:tr w:rsidR="00DC7458" w14:paraId="4411DD4F" w14:textId="77777777" w:rsidTr="008B60D3">
        <w:tc>
          <w:tcPr>
            <w:tcW w:w="4111" w:type="dxa"/>
            <w:vAlign w:val="center"/>
          </w:tcPr>
          <w:p w14:paraId="153CBDC5" w14:textId="77777777" w:rsidR="00DC7458" w:rsidRDefault="00DC7458">
            <w:pPr>
              <w:pStyle w:val="BodyText"/>
              <w:rPr>
                <w:b/>
                <w:bCs/>
                <w:i/>
                <w:iCs/>
              </w:rPr>
            </w:pPr>
            <w:r>
              <w:rPr>
                <w:color w:val="000000"/>
              </w:rPr>
              <w:t>SA – capital city</w:t>
            </w:r>
          </w:p>
        </w:tc>
        <w:tc>
          <w:tcPr>
            <w:tcW w:w="2693" w:type="dxa"/>
            <w:vAlign w:val="center"/>
          </w:tcPr>
          <w:p w14:paraId="5CE906E7" w14:textId="2915E193" w:rsidR="00792F6D" w:rsidRPr="00A86730" w:rsidRDefault="00E715F9" w:rsidP="00A86730">
            <w:pPr>
              <w:jc w:val="center"/>
              <w:rPr>
                <w:rFonts w:ascii="Arial" w:hAnsi="Arial" w:cs="Arial"/>
              </w:rPr>
            </w:pPr>
            <w:r w:rsidRPr="00A86730">
              <w:rPr>
                <w:rFonts w:ascii="Arial" w:hAnsi="Arial" w:cs="Arial"/>
              </w:rPr>
              <w:t>$600,000</w:t>
            </w:r>
          </w:p>
        </w:tc>
        <w:tc>
          <w:tcPr>
            <w:tcW w:w="2268" w:type="dxa"/>
            <w:vAlign w:val="center"/>
          </w:tcPr>
          <w:p w14:paraId="5648DB4C" w14:textId="77777777" w:rsidR="00DC7458" w:rsidRPr="00A86730" w:rsidRDefault="00DC7458" w:rsidP="00A86730">
            <w:pPr>
              <w:jc w:val="center"/>
              <w:rPr>
                <w:rFonts w:ascii="Arial" w:hAnsi="Arial" w:cs="Arial"/>
              </w:rPr>
            </w:pPr>
            <w:r w:rsidRPr="00A86730">
              <w:rPr>
                <w:rFonts w:ascii="Arial" w:hAnsi="Arial" w:cs="Arial"/>
              </w:rPr>
              <w:t>$900,000</w:t>
            </w:r>
          </w:p>
        </w:tc>
      </w:tr>
      <w:tr w:rsidR="00DC7458" w14:paraId="5F1B8F9E" w14:textId="77777777" w:rsidTr="008B60D3">
        <w:tc>
          <w:tcPr>
            <w:tcW w:w="4111" w:type="dxa"/>
            <w:vAlign w:val="center"/>
          </w:tcPr>
          <w:p w14:paraId="7C63EC59" w14:textId="77777777" w:rsidR="00DC7458" w:rsidRDefault="00DC7458">
            <w:pPr>
              <w:pStyle w:val="BodyText"/>
              <w:rPr>
                <w:b/>
                <w:bCs/>
                <w:i/>
                <w:iCs/>
              </w:rPr>
            </w:pPr>
            <w:r>
              <w:rPr>
                <w:color w:val="000000"/>
              </w:rPr>
              <w:t>SA – other</w:t>
            </w:r>
          </w:p>
        </w:tc>
        <w:tc>
          <w:tcPr>
            <w:tcW w:w="2693" w:type="dxa"/>
            <w:vAlign w:val="center"/>
          </w:tcPr>
          <w:p w14:paraId="7D206E07" w14:textId="477B8537" w:rsidR="00792F6D" w:rsidRPr="00A86730" w:rsidRDefault="00E715F9" w:rsidP="00A86730">
            <w:pPr>
              <w:jc w:val="center"/>
              <w:rPr>
                <w:rFonts w:ascii="Arial" w:hAnsi="Arial" w:cs="Arial"/>
              </w:rPr>
            </w:pPr>
            <w:r w:rsidRPr="00A86730">
              <w:rPr>
                <w:rFonts w:ascii="Arial" w:hAnsi="Arial" w:cs="Arial"/>
              </w:rPr>
              <w:t>$450,000</w:t>
            </w:r>
          </w:p>
        </w:tc>
        <w:tc>
          <w:tcPr>
            <w:tcW w:w="2268" w:type="dxa"/>
            <w:vAlign w:val="center"/>
          </w:tcPr>
          <w:p w14:paraId="206F0B91" w14:textId="77777777" w:rsidR="00DC7458" w:rsidRPr="00A86730" w:rsidRDefault="00DC7458" w:rsidP="00A86730">
            <w:pPr>
              <w:jc w:val="center"/>
              <w:rPr>
                <w:rFonts w:ascii="Arial" w:hAnsi="Arial" w:cs="Arial"/>
              </w:rPr>
            </w:pPr>
            <w:r w:rsidRPr="00A86730">
              <w:rPr>
                <w:rFonts w:ascii="Arial" w:hAnsi="Arial" w:cs="Arial"/>
              </w:rPr>
              <w:t>$500,000</w:t>
            </w:r>
          </w:p>
        </w:tc>
      </w:tr>
      <w:tr w:rsidR="00DC7458" w14:paraId="5741F2A2" w14:textId="77777777" w:rsidTr="008B60D3">
        <w:tc>
          <w:tcPr>
            <w:tcW w:w="4111" w:type="dxa"/>
            <w:vAlign w:val="center"/>
          </w:tcPr>
          <w:p w14:paraId="3F61875A" w14:textId="77777777" w:rsidR="00DC7458" w:rsidRDefault="00DC7458">
            <w:pPr>
              <w:pStyle w:val="BodyText"/>
              <w:rPr>
                <w:b/>
                <w:bCs/>
                <w:i/>
                <w:iCs/>
              </w:rPr>
            </w:pPr>
            <w:r>
              <w:rPr>
                <w:color w:val="000000"/>
              </w:rPr>
              <w:t>TAS – capital city</w:t>
            </w:r>
          </w:p>
        </w:tc>
        <w:tc>
          <w:tcPr>
            <w:tcW w:w="2693" w:type="dxa"/>
            <w:vAlign w:val="center"/>
          </w:tcPr>
          <w:p w14:paraId="7DFB055D" w14:textId="68B26D63" w:rsidR="00792F6D" w:rsidRPr="00A86730" w:rsidRDefault="00E715F9" w:rsidP="00A86730">
            <w:pPr>
              <w:jc w:val="center"/>
              <w:rPr>
                <w:rFonts w:ascii="Arial" w:hAnsi="Arial" w:cs="Arial"/>
              </w:rPr>
            </w:pPr>
            <w:r w:rsidRPr="00A86730">
              <w:rPr>
                <w:rFonts w:ascii="Arial" w:hAnsi="Arial" w:cs="Arial"/>
              </w:rPr>
              <w:t>$600,000</w:t>
            </w:r>
          </w:p>
        </w:tc>
        <w:tc>
          <w:tcPr>
            <w:tcW w:w="2268" w:type="dxa"/>
            <w:vAlign w:val="center"/>
          </w:tcPr>
          <w:p w14:paraId="1B925134" w14:textId="77777777" w:rsidR="00DC7458" w:rsidRPr="00A86730" w:rsidRDefault="00DC7458" w:rsidP="00A86730">
            <w:pPr>
              <w:jc w:val="center"/>
              <w:rPr>
                <w:rFonts w:ascii="Arial" w:hAnsi="Arial" w:cs="Arial"/>
              </w:rPr>
            </w:pPr>
            <w:r w:rsidRPr="00A86730">
              <w:rPr>
                <w:rFonts w:ascii="Arial" w:hAnsi="Arial" w:cs="Arial"/>
              </w:rPr>
              <w:t>$700,000</w:t>
            </w:r>
          </w:p>
        </w:tc>
      </w:tr>
      <w:tr w:rsidR="00DC7458" w14:paraId="30BCA81B" w14:textId="77777777" w:rsidTr="008B60D3">
        <w:tc>
          <w:tcPr>
            <w:tcW w:w="4111" w:type="dxa"/>
            <w:vAlign w:val="center"/>
          </w:tcPr>
          <w:p w14:paraId="18061A47" w14:textId="77777777" w:rsidR="00DC7458" w:rsidRDefault="00DC7458">
            <w:pPr>
              <w:pStyle w:val="BodyText"/>
              <w:rPr>
                <w:b/>
                <w:bCs/>
                <w:i/>
                <w:iCs/>
              </w:rPr>
            </w:pPr>
            <w:r>
              <w:rPr>
                <w:color w:val="000000"/>
              </w:rPr>
              <w:t>TAS– other</w:t>
            </w:r>
          </w:p>
        </w:tc>
        <w:tc>
          <w:tcPr>
            <w:tcW w:w="2693" w:type="dxa"/>
            <w:vAlign w:val="center"/>
          </w:tcPr>
          <w:p w14:paraId="5E1E7DC2" w14:textId="201B6A13" w:rsidR="00792F6D" w:rsidRPr="00A86730" w:rsidRDefault="00E715F9" w:rsidP="00A86730">
            <w:pPr>
              <w:jc w:val="center"/>
              <w:rPr>
                <w:rFonts w:ascii="Arial" w:hAnsi="Arial" w:cs="Arial"/>
              </w:rPr>
            </w:pPr>
            <w:r w:rsidRPr="00A86730">
              <w:rPr>
                <w:rFonts w:ascii="Arial" w:hAnsi="Arial" w:cs="Arial"/>
              </w:rPr>
              <w:t>$450,000</w:t>
            </w:r>
          </w:p>
        </w:tc>
        <w:tc>
          <w:tcPr>
            <w:tcW w:w="2268" w:type="dxa"/>
            <w:vAlign w:val="center"/>
          </w:tcPr>
          <w:p w14:paraId="3D2ADF13" w14:textId="77777777" w:rsidR="00DC7458" w:rsidRPr="00A86730" w:rsidRDefault="00DC7458" w:rsidP="00A86730">
            <w:pPr>
              <w:jc w:val="center"/>
              <w:rPr>
                <w:rFonts w:ascii="Arial" w:hAnsi="Arial" w:cs="Arial"/>
              </w:rPr>
            </w:pPr>
            <w:r w:rsidRPr="00A86730">
              <w:rPr>
                <w:rFonts w:ascii="Arial" w:hAnsi="Arial" w:cs="Arial"/>
              </w:rPr>
              <w:t>$550,000</w:t>
            </w:r>
          </w:p>
        </w:tc>
      </w:tr>
      <w:tr w:rsidR="00DC7458" w14:paraId="13323369" w14:textId="77777777" w:rsidTr="008B60D3">
        <w:tc>
          <w:tcPr>
            <w:tcW w:w="4111" w:type="dxa"/>
            <w:vAlign w:val="center"/>
          </w:tcPr>
          <w:p w14:paraId="5089E33B" w14:textId="77777777" w:rsidR="00DC7458" w:rsidRDefault="00DC7458">
            <w:pPr>
              <w:pStyle w:val="BodyText"/>
              <w:rPr>
                <w:b/>
                <w:bCs/>
                <w:i/>
                <w:iCs/>
              </w:rPr>
            </w:pPr>
            <w:r>
              <w:rPr>
                <w:color w:val="000000"/>
              </w:rPr>
              <w:t>ACT</w:t>
            </w:r>
          </w:p>
        </w:tc>
        <w:tc>
          <w:tcPr>
            <w:tcW w:w="2693" w:type="dxa"/>
            <w:vAlign w:val="center"/>
          </w:tcPr>
          <w:p w14:paraId="0FE0F72E" w14:textId="56C11F16" w:rsidR="00792F6D" w:rsidRPr="00A86730" w:rsidRDefault="00E715F9" w:rsidP="00A86730">
            <w:pPr>
              <w:jc w:val="center"/>
              <w:rPr>
                <w:rFonts w:ascii="Arial" w:hAnsi="Arial" w:cs="Arial"/>
              </w:rPr>
            </w:pPr>
            <w:r w:rsidRPr="00A86730">
              <w:rPr>
                <w:rFonts w:ascii="Arial" w:hAnsi="Arial" w:cs="Arial"/>
              </w:rPr>
              <w:t>$750,000</w:t>
            </w:r>
          </w:p>
        </w:tc>
        <w:tc>
          <w:tcPr>
            <w:tcW w:w="2268" w:type="dxa"/>
            <w:vAlign w:val="center"/>
          </w:tcPr>
          <w:p w14:paraId="54DF3CF4" w14:textId="77777777" w:rsidR="00DC7458" w:rsidRPr="00A86730" w:rsidRDefault="00DC7458" w:rsidP="00A86730">
            <w:pPr>
              <w:jc w:val="center"/>
              <w:rPr>
                <w:rFonts w:ascii="Arial" w:hAnsi="Arial" w:cs="Arial"/>
              </w:rPr>
            </w:pPr>
            <w:r w:rsidRPr="00A86730">
              <w:rPr>
                <w:rFonts w:ascii="Arial" w:hAnsi="Arial" w:cs="Arial"/>
              </w:rPr>
              <w:t>$1,000,000</w:t>
            </w:r>
          </w:p>
        </w:tc>
      </w:tr>
      <w:tr w:rsidR="00DC7458" w14:paraId="14E08BB1" w14:textId="77777777" w:rsidTr="008B60D3">
        <w:tc>
          <w:tcPr>
            <w:tcW w:w="4111" w:type="dxa"/>
            <w:vAlign w:val="center"/>
          </w:tcPr>
          <w:p w14:paraId="07EB03A9" w14:textId="77777777" w:rsidR="00DC7458" w:rsidRDefault="00DC7458">
            <w:pPr>
              <w:pStyle w:val="BodyText"/>
              <w:rPr>
                <w:b/>
                <w:bCs/>
                <w:i/>
                <w:iCs/>
              </w:rPr>
            </w:pPr>
            <w:r>
              <w:rPr>
                <w:color w:val="000000"/>
              </w:rPr>
              <w:t>NT</w:t>
            </w:r>
          </w:p>
        </w:tc>
        <w:tc>
          <w:tcPr>
            <w:tcW w:w="2693" w:type="dxa"/>
            <w:vAlign w:val="center"/>
          </w:tcPr>
          <w:p w14:paraId="137D585F" w14:textId="49D27412" w:rsidR="00792F6D" w:rsidRPr="00A86730" w:rsidRDefault="00E715F9" w:rsidP="00A86730">
            <w:pPr>
              <w:jc w:val="center"/>
              <w:rPr>
                <w:rFonts w:ascii="Arial" w:hAnsi="Arial" w:cs="Arial"/>
              </w:rPr>
            </w:pPr>
            <w:r w:rsidRPr="00A86730">
              <w:rPr>
                <w:rFonts w:ascii="Arial" w:hAnsi="Arial" w:cs="Arial"/>
              </w:rPr>
              <w:t>$600,000</w:t>
            </w:r>
          </w:p>
        </w:tc>
        <w:tc>
          <w:tcPr>
            <w:tcW w:w="2268" w:type="dxa"/>
            <w:vAlign w:val="center"/>
          </w:tcPr>
          <w:p w14:paraId="5DF82CEE" w14:textId="77777777" w:rsidR="00DC7458" w:rsidRPr="00A86730" w:rsidRDefault="00DC7458" w:rsidP="00A86730">
            <w:pPr>
              <w:jc w:val="center"/>
              <w:rPr>
                <w:rFonts w:ascii="Arial" w:hAnsi="Arial" w:cs="Arial"/>
              </w:rPr>
            </w:pPr>
            <w:r w:rsidRPr="00A86730">
              <w:rPr>
                <w:rFonts w:ascii="Arial" w:hAnsi="Arial" w:cs="Arial"/>
              </w:rPr>
              <w:t>$600,000</w:t>
            </w:r>
          </w:p>
        </w:tc>
      </w:tr>
      <w:tr w:rsidR="00DC7458" w:rsidRPr="00071E81" w14:paraId="739283EC" w14:textId="77777777" w:rsidTr="008B60D3">
        <w:tc>
          <w:tcPr>
            <w:tcW w:w="4111" w:type="dxa"/>
            <w:vAlign w:val="center"/>
          </w:tcPr>
          <w:p w14:paraId="055BC7FE" w14:textId="77777777" w:rsidR="00DC7458" w:rsidRPr="00C8390C" w:rsidRDefault="00DC7458">
            <w:pPr>
              <w:pStyle w:val="BodyText"/>
              <w:rPr>
                <w:bCs/>
                <w:i/>
              </w:rPr>
            </w:pPr>
            <w:r w:rsidRPr="00C8390C">
              <w:rPr>
                <w:bCs/>
                <w:color w:val="000000"/>
              </w:rPr>
              <w:t>Jervis Bay Territory and Norfolk Island</w:t>
            </w:r>
          </w:p>
        </w:tc>
        <w:tc>
          <w:tcPr>
            <w:tcW w:w="2693" w:type="dxa"/>
            <w:vAlign w:val="center"/>
          </w:tcPr>
          <w:p w14:paraId="08C4755A" w14:textId="29BBB1A7" w:rsidR="00792F6D" w:rsidRPr="00A86730" w:rsidRDefault="00E715F9" w:rsidP="00A86730">
            <w:pPr>
              <w:jc w:val="center"/>
              <w:rPr>
                <w:rFonts w:ascii="Arial" w:hAnsi="Arial" w:cs="Arial"/>
              </w:rPr>
            </w:pPr>
            <w:r w:rsidRPr="00A86730">
              <w:rPr>
                <w:rFonts w:ascii="Arial" w:hAnsi="Arial" w:cs="Arial"/>
              </w:rPr>
              <w:t>$550,000</w:t>
            </w:r>
          </w:p>
        </w:tc>
        <w:tc>
          <w:tcPr>
            <w:tcW w:w="2268" w:type="dxa"/>
            <w:vAlign w:val="center"/>
          </w:tcPr>
          <w:p w14:paraId="2D1401B7" w14:textId="77777777" w:rsidR="00DC7458" w:rsidRPr="00A86730" w:rsidRDefault="00DC7458" w:rsidP="00A86730">
            <w:pPr>
              <w:jc w:val="center"/>
              <w:rPr>
                <w:rFonts w:ascii="Arial" w:hAnsi="Arial" w:cs="Arial"/>
              </w:rPr>
            </w:pPr>
            <w:r w:rsidRPr="00A86730">
              <w:rPr>
                <w:rFonts w:ascii="Arial" w:hAnsi="Arial" w:cs="Arial"/>
              </w:rPr>
              <w:t>$550,000</w:t>
            </w:r>
          </w:p>
        </w:tc>
      </w:tr>
      <w:tr w:rsidR="00DC7458" w:rsidRPr="00071E81" w14:paraId="3654171D" w14:textId="77777777" w:rsidTr="008B60D3">
        <w:trPr>
          <w:trHeight w:val="62"/>
        </w:trPr>
        <w:tc>
          <w:tcPr>
            <w:tcW w:w="4111" w:type="dxa"/>
            <w:vAlign w:val="center"/>
          </w:tcPr>
          <w:p w14:paraId="56DBE8A6" w14:textId="77777777" w:rsidR="00DC7458" w:rsidRPr="00C8390C" w:rsidRDefault="00DC7458">
            <w:pPr>
              <w:pStyle w:val="BodyText"/>
              <w:rPr>
                <w:bCs/>
                <w:color w:val="000000"/>
              </w:rPr>
            </w:pPr>
            <w:r w:rsidRPr="00C8390C">
              <w:rPr>
                <w:bCs/>
                <w:color w:val="000000"/>
              </w:rPr>
              <w:t>Christmas Island and Cocos (Keeling) Islands</w:t>
            </w:r>
          </w:p>
        </w:tc>
        <w:tc>
          <w:tcPr>
            <w:tcW w:w="2693" w:type="dxa"/>
            <w:vAlign w:val="center"/>
          </w:tcPr>
          <w:p w14:paraId="4D0766D3" w14:textId="209B28B7" w:rsidR="00792F6D" w:rsidRPr="00A86730" w:rsidRDefault="00E715F9" w:rsidP="00A86730">
            <w:pPr>
              <w:jc w:val="center"/>
              <w:rPr>
                <w:rFonts w:ascii="Arial" w:hAnsi="Arial" w:cs="Arial"/>
              </w:rPr>
            </w:pPr>
            <w:r w:rsidRPr="00A86730">
              <w:rPr>
                <w:rFonts w:ascii="Arial" w:hAnsi="Arial" w:cs="Arial"/>
              </w:rPr>
              <w:t>$400,000</w:t>
            </w:r>
          </w:p>
        </w:tc>
        <w:tc>
          <w:tcPr>
            <w:tcW w:w="2268" w:type="dxa"/>
            <w:vAlign w:val="center"/>
          </w:tcPr>
          <w:p w14:paraId="4D790225" w14:textId="68D624A4" w:rsidR="00DC7458" w:rsidRPr="00A86730" w:rsidRDefault="00DC7458" w:rsidP="00A86730">
            <w:pPr>
              <w:jc w:val="center"/>
              <w:rPr>
                <w:rFonts w:ascii="Arial" w:hAnsi="Arial" w:cs="Arial"/>
              </w:rPr>
            </w:pPr>
            <w:r w:rsidRPr="00A86730">
              <w:rPr>
                <w:rFonts w:ascii="Arial" w:hAnsi="Arial" w:cs="Arial"/>
              </w:rPr>
              <w:t>$400,000</w:t>
            </w:r>
          </w:p>
        </w:tc>
      </w:tr>
    </w:tbl>
    <w:p w14:paraId="67451162" w14:textId="77777777" w:rsidR="0028415B" w:rsidRDefault="0028415B"/>
    <w:sectPr w:rsidR="0028415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277D9" w14:textId="77777777" w:rsidR="00EE1673" w:rsidRDefault="00EE1673" w:rsidP="0088721C">
      <w:pPr>
        <w:spacing w:after="0" w:line="240" w:lineRule="auto"/>
      </w:pPr>
      <w:r>
        <w:separator/>
      </w:r>
    </w:p>
  </w:endnote>
  <w:endnote w:type="continuationSeparator" w:id="0">
    <w:p w14:paraId="1E2CA74C" w14:textId="77777777" w:rsidR="00EE1673" w:rsidRDefault="00EE1673" w:rsidP="0088721C">
      <w:pPr>
        <w:spacing w:after="0" w:line="240" w:lineRule="auto"/>
      </w:pPr>
      <w:r>
        <w:continuationSeparator/>
      </w:r>
    </w:p>
  </w:endnote>
  <w:endnote w:type="continuationNotice" w:id="1">
    <w:p w14:paraId="4C883EA2" w14:textId="77777777" w:rsidR="00EE1673" w:rsidRDefault="00EE1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40CB" w14:textId="160EA44A" w:rsidR="0088721C" w:rsidRDefault="0088721C">
    <w:pPr>
      <w:pStyle w:val="Footer"/>
    </w:pPr>
    <w:r>
      <w:rPr>
        <w:noProof/>
        <w:lang w:eastAsia="en-AU"/>
        <w14:ligatures w14:val="none"/>
      </w:rPr>
      <mc:AlternateContent>
        <mc:Choice Requires="wps">
          <w:drawing>
            <wp:anchor distT="0" distB="0" distL="0" distR="0" simplePos="0" relativeHeight="251658244" behindDoc="0" locked="0" layoutInCell="1" allowOverlap="1" wp14:anchorId="4AC15FDB" wp14:editId="3836F39E">
              <wp:simplePos x="635" y="635"/>
              <wp:positionH relativeFrom="page">
                <wp:align>center</wp:align>
              </wp:positionH>
              <wp:positionV relativeFrom="page">
                <wp:align>bottom</wp:align>
              </wp:positionV>
              <wp:extent cx="551815" cy="391160"/>
              <wp:effectExtent l="0" t="0" r="635" b="0"/>
              <wp:wrapNone/>
              <wp:docPr id="1148114908" name="Text Box 5"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5763787" w14:textId="133D0F10" w:rsidR="0088721C" w:rsidRPr="0088721C" w:rsidRDefault="0088721C" w:rsidP="0088721C">
                          <w:pPr>
                            <w:spacing w:after="0"/>
                            <w:rPr>
                              <w:rFonts w:ascii="Calibri" w:eastAsia="Calibri" w:hAnsi="Calibri" w:cs="Calibri"/>
                              <w:noProof/>
                              <w:color w:val="FF0000"/>
                              <w:sz w:val="24"/>
                              <w:szCs w:val="24"/>
                            </w:rPr>
                          </w:pPr>
                          <w:r w:rsidRPr="0088721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C15FDB"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35763787" w14:textId="133D0F10" w:rsidR="0088721C" w:rsidRPr="0088721C" w:rsidRDefault="0088721C" w:rsidP="0088721C">
                    <w:pPr>
                      <w:spacing w:after="0"/>
                      <w:rPr>
                        <w:rFonts w:ascii="Calibri" w:eastAsia="Calibri" w:hAnsi="Calibri" w:cs="Calibri"/>
                        <w:noProof/>
                        <w:color w:val="FF0000"/>
                        <w:sz w:val="24"/>
                        <w:szCs w:val="24"/>
                      </w:rPr>
                    </w:pPr>
                    <w:r w:rsidRPr="0088721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758076"/>
      <w:docPartObj>
        <w:docPartGallery w:val="Page Numbers (Bottom of Page)"/>
        <w:docPartUnique/>
      </w:docPartObj>
    </w:sdtPr>
    <w:sdtEndPr>
      <w:rPr>
        <w:noProof/>
      </w:rPr>
    </w:sdtEndPr>
    <w:sdtContent>
      <w:p w14:paraId="4908E5A8" w14:textId="21DCBDFA" w:rsidR="00EB755E" w:rsidRDefault="00EB755E">
        <w:pPr>
          <w:pStyle w:val="Footer"/>
        </w:pPr>
        <w:r>
          <w:fldChar w:fldCharType="begin"/>
        </w:r>
        <w:r>
          <w:instrText xml:space="preserve"> PAGE   \* MERGEFORMAT </w:instrText>
        </w:r>
        <w:r>
          <w:fldChar w:fldCharType="separate"/>
        </w:r>
        <w:r w:rsidR="00FB14BB">
          <w:rPr>
            <w:noProof/>
          </w:rPr>
          <w:t>5</w:t>
        </w:r>
        <w:r>
          <w:rPr>
            <w:noProof/>
          </w:rPr>
          <w:fldChar w:fldCharType="end"/>
        </w:r>
      </w:p>
    </w:sdtContent>
  </w:sdt>
  <w:p w14:paraId="6FC95397" w14:textId="4EBD2388" w:rsidR="0088721C" w:rsidRDefault="008872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938D8" w14:textId="1579369D" w:rsidR="0088721C" w:rsidRDefault="0088721C">
    <w:pPr>
      <w:pStyle w:val="Footer"/>
    </w:pPr>
    <w:r>
      <w:rPr>
        <w:noProof/>
        <w:lang w:eastAsia="en-AU"/>
        <w14:ligatures w14:val="none"/>
      </w:rPr>
      <mc:AlternateContent>
        <mc:Choice Requires="wps">
          <w:drawing>
            <wp:anchor distT="0" distB="0" distL="0" distR="0" simplePos="0" relativeHeight="251658243" behindDoc="0" locked="0" layoutInCell="1" allowOverlap="1" wp14:anchorId="6630D955" wp14:editId="014204CB">
              <wp:simplePos x="635" y="635"/>
              <wp:positionH relativeFrom="page">
                <wp:align>center</wp:align>
              </wp:positionH>
              <wp:positionV relativeFrom="page">
                <wp:align>bottom</wp:align>
              </wp:positionV>
              <wp:extent cx="551815" cy="391160"/>
              <wp:effectExtent l="0" t="0" r="635" b="0"/>
              <wp:wrapNone/>
              <wp:docPr id="714175947" name="Text Box 4"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A884064" w14:textId="181B07C9" w:rsidR="0088721C" w:rsidRPr="0088721C" w:rsidRDefault="0088721C" w:rsidP="0088721C">
                          <w:pPr>
                            <w:spacing w:after="0"/>
                            <w:rPr>
                              <w:rFonts w:ascii="Calibri" w:eastAsia="Calibri" w:hAnsi="Calibri" w:cs="Calibri"/>
                              <w:noProof/>
                              <w:color w:val="FF0000"/>
                              <w:sz w:val="24"/>
                              <w:szCs w:val="24"/>
                            </w:rPr>
                          </w:pPr>
                          <w:r w:rsidRPr="0088721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30D955" id="_x0000_t202" coordsize="21600,21600" o:spt="202" path="m,l,21600r21600,l21600,xe">
              <v:stroke joinstyle="miter"/>
              <v:path gradientshapeok="t" o:connecttype="rect"/>
            </v:shapetype>
            <v:shape id="Text Box 4" o:spid="_x0000_s1030"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textbox style="mso-fit-shape-to-text:t" inset="0,0,0,15pt">
                <w:txbxContent>
                  <w:p w14:paraId="3A884064" w14:textId="181B07C9" w:rsidR="0088721C" w:rsidRPr="0088721C" w:rsidRDefault="0088721C" w:rsidP="0088721C">
                    <w:pPr>
                      <w:spacing w:after="0"/>
                      <w:rPr>
                        <w:rFonts w:ascii="Calibri" w:eastAsia="Calibri" w:hAnsi="Calibri" w:cs="Calibri"/>
                        <w:noProof/>
                        <w:color w:val="FF0000"/>
                        <w:sz w:val="24"/>
                        <w:szCs w:val="24"/>
                      </w:rPr>
                    </w:pPr>
                    <w:r w:rsidRPr="0088721C">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7284B" w14:textId="77777777" w:rsidR="00EE1673" w:rsidRDefault="00EE1673" w:rsidP="0088721C">
      <w:pPr>
        <w:spacing w:after="0" w:line="240" w:lineRule="auto"/>
      </w:pPr>
      <w:r>
        <w:separator/>
      </w:r>
    </w:p>
  </w:footnote>
  <w:footnote w:type="continuationSeparator" w:id="0">
    <w:p w14:paraId="47699515" w14:textId="77777777" w:rsidR="00EE1673" w:rsidRDefault="00EE1673" w:rsidP="0088721C">
      <w:pPr>
        <w:spacing w:after="0" w:line="240" w:lineRule="auto"/>
      </w:pPr>
      <w:r>
        <w:continuationSeparator/>
      </w:r>
    </w:p>
  </w:footnote>
  <w:footnote w:type="continuationNotice" w:id="1">
    <w:p w14:paraId="7E761B5C" w14:textId="77777777" w:rsidR="00EE1673" w:rsidRDefault="00EE1673">
      <w:pPr>
        <w:spacing w:after="0" w:line="240" w:lineRule="auto"/>
      </w:pPr>
    </w:p>
  </w:footnote>
  <w:footnote w:id="2">
    <w:p w14:paraId="146826A5" w14:textId="450699EF" w:rsidR="005D7ADE" w:rsidRDefault="005D7ADE">
      <w:pPr>
        <w:pStyle w:val="FootnoteText"/>
      </w:pPr>
      <w:r>
        <w:rPr>
          <w:rStyle w:val="FootnoteReference"/>
        </w:rPr>
        <w:footnoteRef/>
      </w:r>
      <w:r>
        <w:t xml:space="preserve"> </w:t>
      </w:r>
      <w:r w:rsidRPr="005D7ADE">
        <w:t>Australian Bureau of Statistics, Survey of Income and Housing, https://www.abs.gov.au/statistics/people/housing/housing-census/latest-release.</w:t>
      </w:r>
    </w:p>
  </w:footnote>
  <w:footnote w:id="3">
    <w:p w14:paraId="7461D6DB" w14:textId="3D44201C" w:rsidR="00D60D2D" w:rsidRDefault="00D60D2D">
      <w:pPr>
        <w:pStyle w:val="FootnoteText"/>
      </w:pPr>
      <w:r>
        <w:rPr>
          <w:rStyle w:val="FootnoteReference"/>
        </w:rPr>
        <w:footnoteRef/>
      </w:r>
      <w:r>
        <w:t xml:space="preserve"> </w:t>
      </w:r>
      <w:r w:rsidRPr="00D60D2D">
        <w:t xml:space="preserve">ANZ – </w:t>
      </w:r>
      <w:proofErr w:type="spellStart"/>
      <w:r w:rsidRPr="00D60D2D">
        <w:t>CoreLogic</w:t>
      </w:r>
      <w:proofErr w:type="spellEnd"/>
      <w:r w:rsidRPr="00D60D2D">
        <w:t xml:space="preserve"> (2024), https://www.anz.com.au/content/dam/anzcomau/bluenotes/documents/ANZ_CoreLogic_%20Housing_Affordability%20Report_November-2024.pdf.</w:t>
      </w:r>
    </w:p>
  </w:footnote>
  <w:footnote w:id="4">
    <w:p w14:paraId="09843C39" w14:textId="5F0B49DD" w:rsidR="00120D1F" w:rsidRDefault="00120D1F">
      <w:pPr>
        <w:pStyle w:val="FootnoteText"/>
      </w:pPr>
      <w:r>
        <w:rPr>
          <w:rStyle w:val="FootnoteReference"/>
        </w:rPr>
        <w:footnoteRef/>
      </w:r>
      <w:r>
        <w:t xml:space="preserve"> </w:t>
      </w:r>
      <w:r w:rsidRPr="00120D1F">
        <w:t>Australian Bureau of Statistics, Survey of Income and Housing, https://www.abs.gov.au/statistics/people/housing/housing-census/latest-release.</w:t>
      </w:r>
    </w:p>
  </w:footnote>
  <w:footnote w:id="5">
    <w:p w14:paraId="53371281" w14:textId="556EA35B" w:rsidR="00B61271" w:rsidRDefault="00B61271">
      <w:pPr>
        <w:pStyle w:val="FootnoteText"/>
      </w:pPr>
      <w:r>
        <w:rPr>
          <w:rStyle w:val="FootnoteReference"/>
        </w:rPr>
        <w:footnoteRef/>
      </w:r>
      <w:r>
        <w:t xml:space="preserve"> </w:t>
      </w:r>
      <w:r w:rsidR="00EC5F8E">
        <w:t xml:space="preserve">First Home Buyer Report 2025, </w:t>
      </w:r>
      <w:r w:rsidR="00EC5F8E" w:rsidRPr="00EC5F8E">
        <w:t>https://cdn.finder.com.au/finder-au/wp-uploads/2025/06/Finder-First-Home-Buyer-Report-2025.pdf?_gl=1*13hou9f*_gcl_au*MTM1NTIyMDE4MS4xNzUxNjEwODA1</w:t>
      </w:r>
      <w:r w:rsidR="00EC5F8E">
        <w:t>.</w:t>
      </w:r>
    </w:p>
  </w:footnote>
  <w:footnote w:id="6">
    <w:p w14:paraId="7BEFC1F7" w14:textId="40DF8DDE" w:rsidR="00FE72EF" w:rsidRDefault="00FE72EF">
      <w:pPr>
        <w:pStyle w:val="FootnoteText"/>
      </w:pPr>
      <w:r>
        <w:rPr>
          <w:rStyle w:val="FootnoteReference"/>
        </w:rPr>
        <w:footnoteRef/>
      </w:r>
      <w:r>
        <w:t xml:space="preserve"> </w:t>
      </w:r>
      <w:proofErr w:type="spellStart"/>
      <w:r w:rsidR="00743112">
        <w:t>Helia</w:t>
      </w:r>
      <w:proofErr w:type="spellEnd"/>
      <w:r w:rsidR="00743112">
        <w:t xml:space="preserve"> LMI Fee Estimator, </w:t>
      </w:r>
      <w:r w:rsidR="00743112" w:rsidRPr="00743112">
        <w:t>https://helia.com.au/the-hub/calculators-estimators/lmi-fee-estimator</w:t>
      </w:r>
      <w:r w:rsidR="00CC4185">
        <w:t>.</w:t>
      </w:r>
    </w:p>
  </w:footnote>
  <w:footnote w:id="7">
    <w:p w14:paraId="4DE2EC6D" w14:textId="1C8E6BCA" w:rsidR="00846D2A" w:rsidRDefault="00846D2A">
      <w:pPr>
        <w:pStyle w:val="FootnoteText"/>
      </w:pPr>
      <w:r>
        <w:rPr>
          <w:rStyle w:val="FootnoteReference"/>
        </w:rPr>
        <w:footnoteRef/>
      </w:r>
      <w:r>
        <w:t xml:space="preserve"> Housing Australia, Home Guarantee Scheme Trends and Insights Report 2023-24,</w:t>
      </w:r>
      <w:r w:rsidRPr="00A32365">
        <w:rPr>
          <w:rFonts w:eastAsiaTheme="minorEastAsia"/>
          <w:sz w:val="22"/>
          <w:szCs w:val="21"/>
        </w:rPr>
        <w:t xml:space="preserve"> </w:t>
      </w:r>
      <w:hyperlink r:id="rId1" w:history="1">
        <w:r w:rsidR="008F74B5" w:rsidRPr="00875C42">
          <w:rPr>
            <w:rStyle w:val="Hyperlink"/>
          </w:rPr>
          <w:t>https://www.housingaustralia.gov.au/research-data-analytics/hgs-trends-and-insights-report-2023-24</w:t>
        </w:r>
      </w:hyperlink>
      <w:r w:rsidR="00CC4185">
        <w:t>.</w:t>
      </w:r>
    </w:p>
    <w:p w14:paraId="5A7C38C0" w14:textId="29580DF5" w:rsidR="008F74B5" w:rsidRDefault="008F74B5">
      <w:pPr>
        <w:pStyle w:val="FootnoteText"/>
      </w:pPr>
      <w:r>
        <w:t>Housing Australia, Home Guarantee Scheme Trends and Insights Report 202</w:t>
      </w:r>
      <w:r w:rsidR="00710AD1">
        <w:t>2</w:t>
      </w:r>
      <w:r>
        <w:t>-2</w:t>
      </w:r>
      <w:r w:rsidR="00710AD1">
        <w:t>3</w:t>
      </w:r>
      <w:r>
        <w:t>,</w:t>
      </w:r>
      <w:r w:rsidRPr="00A32365">
        <w:rPr>
          <w:rFonts w:eastAsiaTheme="minorEastAsia"/>
          <w:sz w:val="22"/>
          <w:szCs w:val="21"/>
        </w:rPr>
        <w:t xml:space="preserve"> </w:t>
      </w:r>
      <w:r w:rsidR="00710AD1" w:rsidRPr="00710AD1">
        <w:t>https://www.housingaustralia.gov.au/research-data-analytics/hgs-trends-and-insights-report-2022-23</w:t>
      </w:r>
      <w:r w:rsidR="00CC4185">
        <w:t>.</w:t>
      </w:r>
    </w:p>
  </w:footnote>
  <w:footnote w:id="8">
    <w:p w14:paraId="6CE7830D" w14:textId="57B0EF10" w:rsidR="006D4231" w:rsidRDefault="006D4231">
      <w:pPr>
        <w:pStyle w:val="FootnoteText"/>
      </w:pPr>
      <w:r>
        <w:rPr>
          <w:rStyle w:val="FootnoteReference"/>
        </w:rPr>
        <w:footnoteRef/>
      </w:r>
      <w:r>
        <w:t xml:space="preserve"> </w:t>
      </w:r>
      <w:r w:rsidR="004F0B7B">
        <w:t xml:space="preserve">Insurance </w:t>
      </w:r>
      <w:r w:rsidR="00DD2240">
        <w:t xml:space="preserve">Council of Australia Submission to Treasury on the </w:t>
      </w:r>
      <w:r w:rsidR="004F0B7B">
        <w:t>proposed expansion of HGS</w:t>
      </w:r>
    </w:p>
  </w:footnote>
  <w:footnote w:id="9">
    <w:p w14:paraId="6E42A1CE" w14:textId="7C8380A8" w:rsidR="004F0B7B" w:rsidRDefault="004F0B7B">
      <w:pPr>
        <w:pStyle w:val="FootnoteText"/>
      </w:pPr>
      <w:r>
        <w:rPr>
          <w:rStyle w:val="FootnoteReference"/>
        </w:rPr>
        <w:footnoteRef/>
      </w:r>
      <w:r>
        <w:t xml:space="preserve"> Insurance Council of Australia Submission to Treasury on the proposed expansion of HGS</w:t>
      </w:r>
    </w:p>
  </w:footnote>
  <w:footnote w:id="10">
    <w:p w14:paraId="539D0245" w14:textId="21022237" w:rsidR="00482510" w:rsidRDefault="00BC7B1A" w:rsidP="00B60ECA">
      <w:pPr>
        <w:pStyle w:val="FootnoteText"/>
      </w:pPr>
      <w:r>
        <w:rPr>
          <w:rStyle w:val="FootnoteReference"/>
        </w:rPr>
        <w:footnoteRef/>
      </w:r>
      <w:r w:rsidR="00B60ECA">
        <w:t xml:space="preserve"> </w:t>
      </w:r>
      <w:r w:rsidR="00F60F9F">
        <w:t>Reserve Bank of Australia,</w:t>
      </w:r>
      <w:r w:rsidR="001C0CF1">
        <w:t xml:space="preserve"> Recent Drivers of Housing Loan </w:t>
      </w:r>
      <w:r w:rsidR="00A37CAF">
        <w:t>Arrears</w:t>
      </w:r>
      <w:r w:rsidR="00F60F9F">
        <w:t xml:space="preserve">, </w:t>
      </w:r>
      <w:hyperlink r:id="rId2" w:history="1">
        <w:r w:rsidR="00482510" w:rsidRPr="006E768C">
          <w:rPr>
            <w:rStyle w:val="Hyperlink"/>
          </w:rPr>
          <w:t>https://www.rba.gov.au/publications/bulletin/2024/jul/pdf/recent-drivers-of-housing-loan-arrears.pdf</w:t>
        </w:r>
      </w:hyperlink>
      <w:r w:rsidR="00F60F9F">
        <w:t>;</w:t>
      </w:r>
      <w:r w:rsidR="00482510">
        <w:t xml:space="preserve"> Reserve Bank of Australia, </w:t>
      </w:r>
      <w:r w:rsidR="007232E1">
        <w:t xml:space="preserve">Financial Stability Review, </w:t>
      </w:r>
      <w:r w:rsidR="00482510" w:rsidRPr="00482510">
        <w:t>https://www.rba.gov.au/publications/fsr/2024/sep/resilience-of-australian-households-and-businesses.html</w:t>
      </w:r>
      <w:r w:rsidR="00482510">
        <w:t>.</w:t>
      </w:r>
    </w:p>
  </w:footnote>
  <w:footnote w:id="11">
    <w:p w14:paraId="5E774827" w14:textId="5B85D3A1" w:rsidR="00E358B5" w:rsidRDefault="00E358B5">
      <w:pPr>
        <w:pStyle w:val="FootnoteText"/>
      </w:pPr>
      <w:r>
        <w:rPr>
          <w:rStyle w:val="FootnoteReference"/>
        </w:rPr>
        <w:footnoteRef/>
      </w:r>
      <w:r>
        <w:t xml:space="preserve"> Customer Owned Banking Association Submission to Treasury on the proposed expansion of HGS</w:t>
      </w:r>
    </w:p>
  </w:footnote>
  <w:footnote w:id="12">
    <w:p w14:paraId="4FA33A47" w14:textId="10A770CA" w:rsidR="00905143" w:rsidRDefault="00905143">
      <w:pPr>
        <w:pStyle w:val="FootnoteText"/>
      </w:pPr>
      <w:r>
        <w:rPr>
          <w:rStyle w:val="FootnoteReference"/>
        </w:rPr>
        <w:footnoteRef/>
      </w:r>
      <w:r>
        <w:t xml:space="preserve"> Australian Bureau of Statistics, </w:t>
      </w:r>
      <w:r w:rsidR="00CB3A60">
        <w:t>Lending Indicators</w:t>
      </w:r>
      <w:r w:rsidR="005F0A4F">
        <w:t xml:space="preserve">, </w:t>
      </w:r>
      <w:r w:rsidR="005F0A4F" w:rsidRPr="005F0A4F">
        <w:t>https://www.abs.gov.au/statistics/economy/finance/lending-indicators/latest-release</w:t>
      </w:r>
      <w:r w:rsidR="005F0A4F">
        <w:t>.</w:t>
      </w:r>
    </w:p>
  </w:footnote>
  <w:footnote w:id="13">
    <w:p w14:paraId="725AFE74" w14:textId="59231F33" w:rsidR="00A255FE" w:rsidRDefault="00A255FE">
      <w:pPr>
        <w:pStyle w:val="FootnoteText"/>
      </w:pPr>
      <w:r>
        <w:rPr>
          <w:rStyle w:val="FootnoteReference"/>
        </w:rPr>
        <w:footnoteRef/>
      </w:r>
      <w:r>
        <w:t xml:space="preserve"> Australian Bureau of Statistic</w:t>
      </w:r>
      <w:r w:rsidR="00366683">
        <w:t xml:space="preserve">s, </w:t>
      </w:r>
      <w:r w:rsidR="00905143">
        <w:t xml:space="preserve">Total Value of Dwellings, </w:t>
      </w:r>
      <w:r w:rsidR="00905143" w:rsidRPr="00905143">
        <w:t>https://www.abs.gov.au/statistics/economy/price-indexes-and-inflation/total-value-dwellings/latest-release</w:t>
      </w:r>
      <w:r w:rsidR="00905143">
        <w:t>.</w:t>
      </w:r>
    </w:p>
  </w:footnote>
  <w:footnote w:id="14">
    <w:p w14:paraId="51C8ACA4" w14:textId="237E24AA" w:rsidR="00372912" w:rsidRDefault="00372912">
      <w:pPr>
        <w:pStyle w:val="FootnoteText"/>
      </w:pPr>
      <w:r>
        <w:rPr>
          <w:rStyle w:val="FootnoteReference"/>
        </w:rPr>
        <w:footnoteRef/>
      </w:r>
      <w:r>
        <w:t xml:space="preserve"> </w:t>
      </w:r>
      <w:r w:rsidRPr="00372912">
        <w:t>Housing Australia, Home Guarantee Scheme Trends and Insights Report 2023-24, https://www.housingaustralia.gov.au/research-data-analytics/hgs-trends-and-insights-report-2023-24.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98F43" w14:textId="31BAF211" w:rsidR="0088721C" w:rsidRDefault="0088721C">
    <w:pPr>
      <w:pStyle w:val="Header"/>
    </w:pPr>
    <w:r>
      <w:rPr>
        <w:noProof/>
        <w:lang w:eastAsia="en-AU"/>
        <w14:ligatures w14:val="none"/>
      </w:rPr>
      <mc:AlternateContent>
        <mc:Choice Requires="wps">
          <w:drawing>
            <wp:anchor distT="0" distB="0" distL="0" distR="0" simplePos="0" relativeHeight="251658241" behindDoc="0" locked="0" layoutInCell="1" allowOverlap="1" wp14:anchorId="6BE53A82" wp14:editId="42FA85D2">
              <wp:simplePos x="635" y="635"/>
              <wp:positionH relativeFrom="page">
                <wp:align>center</wp:align>
              </wp:positionH>
              <wp:positionV relativeFrom="page">
                <wp:align>top</wp:align>
              </wp:positionV>
              <wp:extent cx="551815" cy="391160"/>
              <wp:effectExtent l="0" t="0" r="635" b="8890"/>
              <wp:wrapNone/>
              <wp:docPr id="677279728"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8EBE15C" w14:textId="5C31351A" w:rsidR="0088721C" w:rsidRPr="0088721C" w:rsidRDefault="0088721C" w:rsidP="0088721C">
                          <w:pPr>
                            <w:spacing w:after="0"/>
                            <w:rPr>
                              <w:rFonts w:ascii="Calibri" w:eastAsia="Calibri" w:hAnsi="Calibri" w:cs="Calibri"/>
                              <w:noProof/>
                              <w:color w:val="FF0000"/>
                              <w:sz w:val="24"/>
                              <w:szCs w:val="24"/>
                            </w:rPr>
                          </w:pPr>
                          <w:r w:rsidRPr="0088721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E53A82"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08EBE15C" w14:textId="5C31351A" w:rsidR="0088721C" w:rsidRPr="0088721C" w:rsidRDefault="0088721C" w:rsidP="0088721C">
                    <w:pPr>
                      <w:spacing w:after="0"/>
                      <w:rPr>
                        <w:rFonts w:ascii="Calibri" w:eastAsia="Calibri" w:hAnsi="Calibri" w:cs="Calibri"/>
                        <w:noProof/>
                        <w:color w:val="FF0000"/>
                        <w:sz w:val="24"/>
                        <w:szCs w:val="24"/>
                      </w:rPr>
                    </w:pPr>
                    <w:r w:rsidRPr="0088721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19A61" w14:textId="5596CB03" w:rsidR="0088721C" w:rsidRDefault="0088721C">
    <w:pPr>
      <w:pStyle w:val="Header"/>
    </w:pPr>
    <w:r>
      <w:rPr>
        <w:noProof/>
        <w:lang w:eastAsia="en-AU"/>
        <w14:ligatures w14:val="none"/>
      </w:rPr>
      <mc:AlternateContent>
        <mc:Choice Requires="wps">
          <w:drawing>
            <wp:anchor distT="0" distB="0" distL="0" distR="0" simplePos="0" relativeHeight="251658242" behindDoc="0" locked="0" layoutInCell="1" allowOverlap="1" wp14:anchorId="14F70B8F" wp14:editId="699F1C2A">
              <wp:simplePos x="914400" y="457200"/>
              <wp:positionH relativeFrom="page">
                <wp:align>center</wp:align>
              </wp:positionH>
              <wp:positionV relativeFrom="page">
                <wp:align>top</wp:align>
              </wp:positionV>
              <wp:extent cx="551815" cy="391160"/>
              <wp:effectExtent l="0" t="0" r="635" b="8890"/>
              <wp:wrapNone/>
              <wp:docPr id="583401150"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CFED63C" w14:textId="22514CDF" w:rsidR="0088721C" w:rsidRPr="0088721C" w:rsidRDefault="0088721C" w:rsidP="0088721C">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F70B8F"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" filled="f" stroked="f">
              <v:textbox style="mso-fit-shape-to-text:t" inset="0,15pt,0,0">
                <w:txbxContent>
                  <w:p w14:paraId="2CFED63C" w14:textId="22514CDF" w:rsidR="0088721C" w:rsidRPr="0088721C" w:rsidRDefault="0088721C" w:rsidP="0088721C">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FDFF8" w14:textId="4CC5CD48" w:rsidR="0088721C" w:rsidRDefault="0088721C">
    <w:pPr>
      <w:pStyle w:val="Header"/>
    </w:pPr>
    <w:r>
      <w:rPr>
        <w:noProof/>
        <w:lang w:eastAsia="en-AU"/>
        <w14:ligatures w14:val="none"/>
      </w:rPr>
      <mc:AlternateContent>
        <mc:Choice Requires="wps">
          <w:drawing>
            <wp:anchor distT="0" distB="0" distL="0" distR="0" simplePos="0" relativeHeight="251658240" behindDoc="0" locked="0" layoutInCell="1" allowOverlap="1" wp14:anchorId="5B613053" wp14:editId="7CAA1E42">
              <wp:simplePos x="635" y="635"/>
              <wp:positionH relativeFrom="page">
                <wp:align>center</wp:align>
              </wp:positionH>
              <wp:positionV relativeFrom="page">
                <wp:align>top</wp:align>
              </wp:positionV>
              <wp:extent cx="551815" cy="391160"/>
              <wp:effectExtent l="0" t="0" r="635" b="8890"/>
              <wp:wrapNone/>
              <wp:docPr id="1000548774" name="Text Box 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ACFD8E5" w14:textId="02C0A116" w:rsidR="0088721C" w:rsidRPr="0088721C" w:rsidRDefault="0088721C" w:rsidP="0088721C">
                          <w:pPr>
                            <w:spacing w:after="0"/>
                            <w:rPr>
                              <w:rFonts w:ascii="Calibri" w:eastAsia="Calibri" w:hAnsi="Calibri" w:cs="Calibri"/>
                              <w:noProof/>
                              <w:color w:val="FF0000"/>
                              <w:sz w:val="24"/>
                              <w:szCs w:val="24"/>
                            </w:rPr>
                          </w:pPr>
                          <w:r w:rsidRPr="0088721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613053" id="_x0000_t202" coordsize="21600,21600" o:spt="202" path="m,l,21600r21600,l21600,xe">
              <v:stroke joinstyle="miter"/>
              <v:path gradientshapeok="t" o:connecttype="rect"/>
            </v:shapetype>
            <v:shape id="Text Box 1" o:spid="_x0000_s1029"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D8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qfk4/QbqAy3l4ch3cHLZUuuVCPgiPBFMe5Bo&#10;8ZkObaCvOJwszhrwP//lj/mEO0U560kwFbekaM7Md0t8RG0lo7jNpznd/OjejIbddQ9AMizoRTiZ&#10;zJiHZjS1h+6N5LyIjSgkrKR2FcfRfMCjcuk5SLVYpCSSkRO4smsnY+kIV8TydXgT3p0AR2LqCUY1&#10;ifId7sfc+Gdwix0S+omUCO0RyBPiJMHE1em5RI3/fk9Zl0c9/wU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geKw/A0CAAAcBAAA&#10;DgAAAAAAAAAAAAAAAAAuAgAAZHJzL2Uyb0RvYy54bWxQSwECLQAUAAYACAAAACEAKFBSr9kAAAAD&#10;AQAADwAAAAAAAAAAAAAAAABnBAAAZHJzL2Rvd25yZXYueG1sUEsFBgAAAAAEAAQA8wAAAG0FAAAA&#10;AA==&#10;" filled="f" stroked="f">
              <v:textbox style="mso-fit-shape-to-text:t" inset="0,15pt,0,0">
                <w:txbxContent>
                  <w:p w14:paraId="2ACFD8E5" w14:textId="02C0A116" w:rsidR="0088721C" w:rsidRPr="0088721C" w:rsidRDefault="0088721C" w:rsidP="0088721C">
                    <w:pPr>
                      <w:spacing w:after="0"/>
                      <w:rPr>
                        <w:rFonts w:ascii="Calibri" w:eastAsia="Calibri" w:hAnsi="Calibri" w:cs="Calibri"/>
                        <w:noProof/>
                        <w:color w:val="FF0000"/>
                        <w:sz w:val="24"/>
                        <w:szCs w:val="24"/>
                      </w:rPr>
                    </w:pPr>
                    <w:r w:rsidRPr="0088721C">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FE4"/>
    <w:multiLevelType w:val="hybridMultilevel"/>
    <w:tmpl w:val="A0D815AE"/>
    <w:lvl w:ilvl="0" w:tplc="0582CF5E">
      <w:start w:val="1"/>
      <w:numFmt w:val="bullet"/>
      <w:lvlText w:val=""/>
      <w:lvlJc w:val="left"/>
      <w:pPr>
        <w:ind w:left="1240" w:hanging="360"/>
      </w:pPr>
      <w:rPr>
        <w:rFonts w:ascii="Symbol" w:hAnsi="Symbol"/>
      </w:rPr>
    </w:lvl>
    <w:lvl w:ilvl="1" w:tplc="C75ED696">
      <w:start w:val="1"/>
      <w:numFmt w:val="bullet"/>
      <w:lvlText w:val=""/>
      <w:lvlJc w:val="left"/>
      <w:pPr>
        <w:ind w:left="1240" w:hanging="360"/>
      </w:pPr>
      <w:rPr>
        <w:rFonts w:ascii="Symbol" w:hAnsi="Symbol"/>
      </w:rPr>
    </w:lvl>
    <w:lvl w:ilvl="2" w:tplc="EA7E87B2">
      <w:start w:val="1"/>
      <w:numFmt w:val="bullet"/>
      <w:lvlText w:val=""/>
      <w:lvlJc w:val="left"/>
      <w:pPr>
        <w:ind w:left="1240" w:hanging="360"/>
      </w:pPr>
      <w:rPr>
        <w:rFonts w:ascii="Symbol" w:hAnsi="Symbol"/>
      </w:rPr>
    </w:lvl>
    <w:lvl w:ilvl="3" w:tplc="5D96B58A">
      <w:start w:val="1"/>
      <w:numFmt w:val="bullet"/>
      <w:lvlText w:val=""/>
      <w:lvlJc w:val="left"/>
      <w:pPr>
        <w:ind w:left="1240" w:hanging="360"/>
      </w:pPr>
      <w:rPr>
        <w:rFonts w:ascii="Symbol" w:hAnsi="Symbol"/>
      </w:rPr>
    </w:lvl>
    <w:lvl w:ilvl="4" w:tplc="1F789560">
      <w:start w:val="1"/>
      <w:numFmt w:val="bullet"/>
      <w:lvlText w:val=""/>
      <w:lvlJc w:val="left"/>
      <w:pPr>
        <w:ind w:left="1240" w:hanging="360"/>
      </w:pPr>
      <w:rPr>
        <w:rFonts w:ascii="Symbol" w:hAnsi="Symbol"/>
      </w:rPr>
    </w:lvl>
    <w:lvl w:ilvl="5" w:tplc="166A4256">
      <w:start w:val="1"/>
      <w:numFmt w:val="bullet"/>
      <w:lvlText w:val=""/>
      <w:lvlJc w:val="left"/>
      <w:pPr>
        <w:ind w:left="1240" w:hanging="360"/>
      </w:pPr>
      <w:rPr>
        <w:rFonts w:ascii="Symbol" w:hAnsi="Symbol"/>
      </w:rPr>
    </w:lvl>
    <w:lvl w:ilvl="6" w:tplc="456813CC">
      <w:start w:val="1"/>
      <w:numFmt w:val="bullet"/>
      <w:lvlText w:val=""/>
      <w:lvlJc w:val="left"/>
      <w:pPr>
        <w:ind w:left="1240" w:hanging="360"/>
      </w:pPr>
      <w:rPr>
        <w:rFonts w:ascii="Symbol" w:hAnsi="Symbol"/>
      </w:rPr>
    </w:lvl>
    <w:lvl w:ilvl="7" w:tplc="F80C805A">
      <w:start w:val="1"/>
      <w:numFmt w:val="bullet"/>
      <w:lvlText w:val=""/>
      <w:lvlJc w:val="left"/>
      <w:pPr>
        <w:ind w:left="1240" w:hanging="360"/>
      </w:pPr>
      <w:rPr>
        <w:rFonts w:ascii="Symbol" w:hAnsi="Symbol"/>
      </w:rPr>
    </w:lvl>
    <w:lvl w:ilvl="8" w:tplc="9B9E7B56">
      <w:start w:val="1"/>
      <w:numFmt w:val="bullet"/>
      <w:lvlText w:val=""/>
      <w:lvlJc w:val="left"/>
      <w:pPr>
        <w:ind w:left="1240" w:hanging="360"/>
      </w:pPr>
      <w:rPr>
        <w:rFonts w:ascii="Symbol" w:hAnsi="Symbol"/>
      </w:rPr>
    </w:lvl>
  </w:abstractNum>
  <w:abstractNum w:abstractNumId="1" w15:restartNumberingAfterBreak="0">
    <w:nsid w:val="0F3B7A07"/>
    <w:multiLevelType w:val="multilevel"/>
    <w:tmpl w:val="64BCE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C014E1"/>
    <w:multiLevelType w:val="hybridMultilevel"/>
    <w:tmpl w:val="A08207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A08523E"/>
    <w:multiLevelType w:val="multilevel"/>
    <w:tmpl w:val="91C4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E0591"/>
    <w:multiLevelType w:val="multilevel"/>
    <w:tmpl w:val="85AA2C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78409A"/>
    <w:multiLevelType w:val="hybridMultilevel"/>
    <w:tmpl w:val="3A1EEDA0"/>
    <w:lvl w:ilvl="0" w:tplc="A3EAB7CA">
      <w:start w:val="1"/>
      <w:numFmt w:val="bullet"/>
      <w:lvlText w:val=""/>
      <w:lvlJc w:val="left"/>
      <w:pPr>
        <w:ind w:left="1240" w:hanging="360"/>
      </w:pPr>
      <w:rPr>
        <w:rFonts w:ascii="Symbol" w:hAnsi="Symbol"/>
      </w:rPr>
    </w:lvl>
    <w:lvl w:ilvl="1" w:tplc="49E41CA4">
      <w:start w:val="1"/>
      <w:numFmt w:val="bullet"/>
      <w:lvlText w:val=""/>
      <w:lvlJc w:val="left"/>
      <w:pPr>
        <w:ind w:left="1240" w:hanging="360"/>
      </w:pPr>
      <w:rPr>
        <w:rFonts w:ascii="Symbol" w:hAnsi="Symbol"/>
      </w:rPr>
    </w:lvl>
    <w:lvl w:ilvl="2" w:tplc="0B3EB7D2">
      <w:start w:val="1"/>
      <w:numFmt w:val="bullet"/>
      <w:lvlText w:val=""/>
      <w:lvlJc w:val="left"/>
      <w:pPr>
        <w:ind w:left="1240" w:hanging="360"/>
      </w:pPr>
      <w:rPr>
        <w:rFonts w:ascii="Symbol" w:hAnsi="Symbol"/>
      </w:rPr>
    </w:lvl>
    <w:lvl w:ilvl="3" w:tplc="744E717C">
      <w:start w:val="1"/>
      <w:numFmt w:val="bullet"/>
      <w:lvlText w:val=""/>
      <w:lvlJc w:val="left"/>
      <w:pPr>
        <w:ind w:left="1240" w:hanging="360"/>
      </w:pPr>
      <w:rPr>
        <w:rFonts w:ascii="Symbol" w:hAnsi="Symbol"/>
      </w:rPr>
    </w:lvl>
    <w:lvl w:ilvl="4" w:tplc="19680884">
      <w:start w:val="1"/>
      <w:numFmt w:val="bullet"/>
      <w:lvlText w:val=""/>
      <w:lvlJc w:val="left"/>
      <w:pPr>
        <w:ind w:left="1240" w:hanging="360"/>
      </w:pPr>
      <w:rPr>
        <w:rFonts w:ascii="Symbol" w:hAnsi="Symbol"/>
      </w:rPr>
    </w:lvl>
    <w:lvl w:ilvl="5" w:tplc="017ADD16">
      <w:start w:val="1"/>
      <w:numFmt w:val="bullet"/>
      <w:lvlText w:val=""/>
      <w:lvlJc w:val="left"/>
      <w:pPr>
        <w:ind w:left="1240" w:hanging="360"/>
      </w:pPr>
      <w:rPr>
        <w:rFonts w:ascii="Symbol" w:hAnsi="Symbol"/>
      </w:rPr>
    </w:lvl>
    <w:lvl w:ilvl="6" w:tplc="147EAE50">
      <w:start w:val="1"/>
      <w:numFmt w:val="bullet"/>
      <w:lvlText w:val=""/>
      <w:lvlJc w:val="left"/>
      <w:pPr>
        <w:ind w:left="1240" w:hanging="360"/>
      </w:pPr>
      <w:rPr>
        <w:rFonts w:ascii="Symbol" w:hAnsi="Symbol"/>
      </w:rPr>
    </w:lvl>
    <w:lvl w:ilvl="7" w:tplc="D8945ABE">
      <w:start w:val="1"/>
      <w:numFmt w:val="bullet"/>
      <w:lvlText w:val=""/>
      <w:lvlJc w:val="left"/>
      <w:pPr>
        <w:ind w:left="1240" w:hanging="360"/>
      </w:pPr>
      <w:rPr>
        <w:rFonts w:ascii="Symbol" w:hAnsi="Symbol"/>
      </w:rPr>
    </w:lvl>
    <w:lvl w:ilvl="8" w:tplc="BE4ABACE">
      <w:start w:val="1"/>
      <w:numFmt w:val="bullet"/>
      <w:lvlText w:val=""/>
      <w:lvlJc w:val="left"/>
      <w:pPr>
        <w:ind w:left="1240" w:hanging="360"/>
      </w:pPr>
      <w:rPr>
        <w:rFonts w:ascii="Symbol" w:hAnsi="Symbol"/>
      </w:rPr>
    </w:lvl>
  </w:abstractNum>
  <w:abstractNum w:abstractNumId="6" w15:restartNumberingAfterBreak="0">
    <w:nsid w:val="44FB1CC9"/>
    <w:multiLevelType w:val="multilevel"/>
    <w:tmpl w:val="D7383BD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B31496D"/>
    <w:multiLevelType w:val="hybridMultilevel"/>
    <w:tmpl w:val="F2BCA5E8"/>
    <w:lvl w:ilvl="0" w:tplc="EF089C0C">
      <w:numFmt w:val="bullet"/>
      <w:lvlText w:val=""/>
      <w:lvlJc w:val="left"/>
      <w:pPr>
        <w:ind w:left="720" w:hanging="360"/>
      </w:pPr>
      <w:rPr>
        <w:rFonts w:ascii="Symbol" w:eastAsia="Apto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B400F83"/>
    <w:multiLevelType w:val="multilevel"/>
    <w:tmpl w:val="F0EE9C22"/>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439634B"/>
    <w:multiLevelType w:val="multilevel"/>
    <w:tmpl w:val="1B40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380AF6"/>
    <w:multiLevelType w:val="hybridMultilevel"/>
    <w:tmpl w:val="FFFFFFFF"/>
    <w:lvl w:ilvl="0" w:tplc="8AF20AC8">
      <w:start w:val="1"/>
      <w:numFmt w:val="bullet"/>
      <w:lvlText w:val=""/>
      <w:lvlJc w:val="left"/>
      <w:pPr>
        <w:ind w:left="720" w:hanging="360"/>
      </w:pPr>
      <w:rPr>
        <w:rFonts w:ascii="Symbol" w:hAnsi="Symbol" w:hint="default"/>
      </w:rPr>
    </w:lvl>
    <w:lvl w:ilvl="1" w:tplc="17BE1222">
      <w:start w:val="1"/>
      <w:numFmt w:val="bullet"/>
      <w:lvlText w:val="o"/>
      <w:lvlJc w:val="left"/>
      <w:pPr>
        <w:ind w:left="1440" w:hanging="360"/>
      </w:pPr>
      <w:rPr>
        <w:rFonts w:ascii="Courier New" w:hAnsi="Courier New" w:hint="default"/>
      </w:rPr>
    </w:lvl>
    <w:lvl w:ilvl="2" w:tplc="1E96DADC">
      <w:start w:val="1"/>
      <w:numFmt w:val="bullet"/>
      <w:lvlText w:val=""/>
      <w:lvlJc w:val="left"/>
      <w:pPr>
        <w:ind w:left="2160" w:hanging="360"/>
      </w:pPr>
      <w:rPr>
        <w:rFonts w:ascii="Wingdings" w:hAnsi="Wingdings" w:hint="default"/>
      </w:rPr>
    </w:lvl>
    <w:lvl w:ilvl="3" w:tplc="CEA88F96">
      <w:start w:val="1"/>
      <w:numFmt w:val="bullet"/>
      <w:lvlText w:val=""/>
      <w:lvlJc w:val="left"/>
      <w:pPr>
        <w:ind w:left="2880" w:hanging="360"/>
      </w:pPr>
      <w:rPr>
        <w:rFonts w:ascii="Symbol" w:hAnsi="Symbol" w:hint="default"/>
      </w:rPr>
    </w:lvl>
    <w:lvl w:ilvl="4" w:tplc="0172B30E">
      <w:start w:val="1"/>
      <w:numFmt w:val="bullet"/>
      <w:lvlText w:val="o"/>
      <w:lvlJc w:val="left"/>
      <w:pPr>
        <w:ind w:left="3600" w:hanging="360"/>
      </w:pPr>
      <w:rPr>
        <w:rFonts w:ascii="Courier New" w:hAnsi="Courier New" w:hint="default"/>
      </w:rPr>
    </w:lvl>
    <w:lvl w:ilvl="5" w:tplc="AC061048">
      <w:start w:val="1"/>
      <w:numFmt w:val="bullet"/>
      <w:lvlText w:val=""/>
      <w:lvlJc w:val="left"/>
      <w:pPr>
        <w:ind w:left="4320" w:hanging="360"/>
      </w:pPr>
      <w:rPr>
        <w:rFonts w:ascii="Wingdings" w:hAnsi="Wingdings" w:hint="default"/>
      </w:rPr>
    </w:lvl>
    <w:lvl w:ilvl="6" w:tplc="E9005928">
      <w:start w:val="1"/>
      <w:numFmt w:val="bullet"/>
      <w:lvlText w:val=""/>
      <w:lvlJc w:val="left"/>
      <w:pPr>
        <w:ind w:left="5040" w:hanging="360"/>
      </w:pPr>
      <w:rPr>
        <w:rFonts w:ascii="Symbol" w:hAnsi="Symbol" w:hint="default"/>
      </w:rPr>
    </w:lvl>
    <w:lvl w:ilvl="7" w:tplc="B3D21D56">
      <w:start w:val="1"/>
      <w:numFmt w:val="bullet"/>
      <w:lvlText w:val="o"/>
      <w:lvlJc w:val="left"/>
      <w:pPr>
        <w:ind w:left="5760" w:hanging="360"/>
      </w:pPr>
      <w:rPr>
        <w:rFonts w:ascii="Courier New" w:hAnsi="Courier New" w:hint="default"/>
      </w:rPr>
    </w:lvl>
    <w:lvl w:ilvl="8" w:tplc="C10220BC">
      <w:start w:val="1"/>
      <w:numFmt w:val="bullet"/>
      <w:lvlText w:val=""/>
      <w:lvlJc w:val="left"/>
      <w:pPr>
        <w:ind w:left="6480" w:hanging="360"/>
      </w:pPr>
      <w:rPr>
        <w:rFonts w:ascii="Wingdings" w:hAnsi="Wingdings" w:hint="default"/>
      </w:rPr>
    </w:lvl>
  </w:abstractNum>
  <w:abstractNum w:abstractNumId="11" w15:restartNumberingAfterBreak="0">
    <w:nsid w:val="57E52777"/>
    <w:multiLevelType w:val="hybridMultilevel"/>
    <w:tmpl w:val="71DA2B30"/>
    <w:lvl w:ilvl="0" w:tplc="2FF05550">
      <w:start w:val="1"/>
      <w:numFmt w:val="bullet"/>
      <w:lvlText w:val=""/>
      <w:lvlJc w:val="left"/>
      <w:pPr>
        <w:ind w:left="1240" w:hanging="360"/>
      </w:pPr>
      <w:rPr>
        <w:rFonts w:ascii="Symbol" w:hAnsi="Symbol"/>
      </w:rPr>
    </w:lvl>
    <w:lvl w:ilvl="1" w:tplc="4B124C06">
      <w:start w:val="1"/>
      <w:numFmt w:val="bullet"/>
      <w:lvlText w:val=""/>
      <w:lvlJc w:val="left"/>
      <w:pPr>
        <w:ind w:left="1240" w:hanging="360"/>
      </w:pPr>
      <w:rPr>
        <w:rFonts w:ascii="Symbol" w:hAnsi="Symbol"/>
      </w:rPr>
    </w:lvl>
    <w:lvl w:ilvl="2" w:tplc="FB581330">
      <w:start w:val="1"/>
      <w:numFmt w:val="bullet"/>
      <w:lvlText w:val=""/>
      <w:lvlJc w:val="left"/>
      <w:pPr>
        <w:ind w:left="1240" w:hanging="360"/>
      </w:pPr>
      <w:rPr>
        <w:rFonts w:ascii="Symbol" w:hAnsi="Symbol"/>
      </w:rPr>
    </w:lvl>
    <w:lvl w:ilvl="3" w:tplc="97F2C5BC">
      <w:start w:val="1"/>
      <w:numFmt w:val="bullet"/>
      <w:lvlText w:val=""/>
      <w:lvlJc w:val="left"/>
      <w:pPr>
        <w:ind w:left="1240" w:hanging="360"/>
      </w:pPr>
      <w:rPr>
        <w:rFonts w:ascii="Symbol" w:hAnsi="Symbol"/>
      </w:rPr>
    </w:lvl>
    <w:lvl w:ilvl="4" w:tplc="5CE41624">
      <w:start w:val="1"/>
      <w:numFmt w:val="bullet"/>
      <w:lvlText w:val=""/>
      <w:lvlJc w:val="left"/>
      <w:pPr>
        <w:ind w:left="1240" w:hanging="360"/>
      </w:pPr>
      <w:rPr>
        <w:rFonts w:ascii="Symbol" w:hAnsi="Symbol"/>
      </w:rPr>
    </w:lvl>
    <w:lvl w:ilvl="5" w:tplc="B41E58A6">
      <w:start w:val="1"/>
      <w:numFmt w:val="bullet"/>
      <w:lvlText w:val=""/>
      <w:lvlJc w:val="left"/>
      <w:pPr>
        <w:ind w:left="1240" w:hanging="360"/>
      </w:pPr>
      <w:rPr>
        <w:rFonts w:ascii="Symbol" w:hAnsi="Symbol"/>
      </w:rPr>
    </w:lvl>
    <w:lvl w:ilvl="6" w:tplc="6A663982">
      <w:start w:val="1"/>
      <w:numFmt w:val="bullet"/>
      <w:lvlText w:val=""/>
      <w:lvlJc w:val="left"/>
      <w:pPr>
        <w:ind w:left="1240" w:hanging="360"/>
      </w:pPr>
      <w:rPr>
        <w:rFonts w:ascii="Symbol" w:hAnsi="Symbol"/>
      </w:rPr>
    </w:lvl>
    <w:lvl w:ilvl="7" w:tplc="9FE23DEA">
      <w:start w:val="1"/>
      <w:numFmt w:val="bullet"/>
      <w:lvlText w:val=""/>
      <w:lvlJc w:val="left"/>
      <w:pPr>
        <w:ind w:left="1240" w:hanging="360"/>
      </w:pPr>
      <w:rPr>
        <w:rFonts w:ascii="Symbol" w:hAnsi="Symbol"/>
      </w:rPr>
    </w:lvl>
    <w:lvl w:ilvl="8" w:tplc="A192F152">
      <w:start w:val="1"/>
      <w:numFmt w:val="bullet"/>
      <w:lvlText w:val=""/>
      <w:lvlJc w:val="left"/>
      <w:pPr>
        <w:ind w:left="1240" w:hanging="360"/>
      </w:pPr>
      <w:rPr>
        <w:rFonts w:ascii="Symbol" w:hAnsi="Symbol"/>
      </w:rPr>
    </w:lvl>
  </w:abstractNum>
  <w:abstractNum w:abstractNumId="12" w15:restartNumberingAfterBreak="0">
    <w:nsid w:val="61B5304C"/>
    <w:multiLevelType w:val="multilevel"/>
    <w:tmpl w:val="00F86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C411FB"/>
    <w:multiLevelType w:val="multilevel"/>
    <w:tmpl w:val="0A08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1"/>
  </w:num>
  <w:num w:numId="7">
    <w:abstractNumId w:val="13"/>
  </w:num>
  <w:num w:numId="8">
    <w:abstractNumId w:val="9"/>
  </w:num>
  <w:num w:numId="9">
    <w:abstractNumId w:val="3"/>
  </w:num>
  <w:num w:numId="10">
    <w:abstractNumId w:val="10"/>
  </w:num>
  <w:num w:numId="11">
    <w:abstractNumId w:val="8"/>
  </w:num>
  <w:num w:numId="12">
    <w:abstractNumId w:val="1"/>
  </w:num>
  <w:num w:numId="13">
    <w:abstractNumId w:val="4"/>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1C"/>
    <w:rsid w:val="00000232"/>
    <w:rsid w:val="000006AD"/>
    <w:rsid w:val="0000087E"/>
    <w:rsid w:val="00000A35"/>
    <w:rsid w:val="00000E4E"/>
    <w:rsid w:val="000012A8"/>
    <w:rsid w:val="000013FE"/>
    <w:rsid w:val="000019CC"/>
    <w:rsid w:val="00001B8D"/>
    <w:rsid w:val="00002112"/>
    <w:rsid w:val="0000217D"/>
    <w:rsid w:val="000023A0"/>
    <w:rsid w:val="00002C9D"/>
    <w:rsid w:val="00002E59"/>
    <w:rsid w:val="00002ED3"/>
    <w:rsid w:val="000030CE"/>
    <w:rsid w:val="0000319E"/>
    <w:rsid w:val="000034C6"/>
    <w:rsid w:val="00003585"/>
    <w:rsid w:val="00003A41"/>
    <w:rsid w:val="00003ABF"/>
    <w:rsid w:val="00003B0A"/>
    <w:rsid w:val="00003B87"/>
    <w:rsid w:val="000042A7"/>
    <w:rsid w:val="000042EA"/>
    <w:rsid w:val="00004315"/>
    <w:rsid w:val="0000433D"/>
    <w:rsid w:val="00004402"/>
    <w:rsid w:val="000046D3"/>
    <w:rsid w:val="00004B8F"/>
    <w:rsid w:val="00004F22"/>
    <w:rsid w:val="000059A7"/>
    <w:rsid w:val="000060FE"/>
    <w:rsid w:val="0000622A"/>
    <w:rsid w:val="000065E6"/>
    <w:rsid w:val="0000675F"/>
    <w:rsid w:val="00006798"/>
    <w:rsid w:val="00006971"/>
    <w:rsid w:val="000074E0"/>
    <w:rsid w:val="00007513"/>
    <w:rsid w:val="0001017B"/>
    <w:rsid w:val="0001097F"/>
    <w:rsid w:val="00010C5E"/>
    <w:rsid w:val="00010F0A"/>
    <w:rsid w:val="00010F2A"/>
    <w:rsid w:val="0001116C"/>
    <w:rsid w:val="000112A4"/>
    <w:rsid w:val="00011489"/>
    <w:rsid w:val="00011CC0"/>
    <w:rsid w:val="00011CDC"/>
    <w:rsid w:val="00012151"/>
    <w:rsid w:val="000121B5"/>
    <w:rsid w:val="00012361"/>
    <w:rsid w:val="00012387"/>
    <w:rsid w:val="0001241D"/>
    <w:rsid w:val="000126DE"/>
    <w:rsid w:val="00012833"/>
    <w:rsid w:val="000128DD"/>
    <w:rsid w:val="00012F4B"/>
    <w:rsid w:val="00013500"/>
    <w:rsid w:val="0001350D"/>
    <w:rsid w:val="00013967"/>
    <w:rsid w:val="00014528"/>
    <w:rsid w:val="000148A6"/>
    <w:rsid w:val="00014B0F"/>
    <w:rsid w:val="00014C93"/>
    <w:rsid w:val="000153D0"/>
    <w:rsid w:val="00015704"/>
    <w:rsid w:val="00015796"/>
    <w:rsid w:val="000157AB"/>
    <w:rsid w:val="00015C66"/>
    <w:rsid w:val="00015CF4"/>
    <w:rsid w:val="00016315"/>
    <w:rsid w:val="00016D2B"/>
    <w:rsid w:val="000171D5"/>
    <w:rsid w:val="00017366"/>
    <w:rsid w:val="00017413"/>
    <w:rsid w:val="00020B6F"/>
    <w:rsid w:val="00021964"/>
    <w:rsid w:val="00021B0F"/>
    <w:rsid w:val="00021C52"/>
    <w:rsid w:val="00021E4C"/>
    <w:rsid w:val="00022325"/>
    <w:rsid w:val="000224DB"/>
    <w:rsid w:val="000224E4"/>
    <w:rsid w:val="00022AAB"/>
    <w:rsid w:val="00022D42"/>
    <w:rsid w:val="00022E8A"/>
    <w:rsid w:val="00023128"/>
    <w:rsid w:val="00023933"/>
    <w:rsid w:val="00024BB0"/>
    <w:rsid w:val="00024FAA"/>
    <w:rsid w:val="00025173"/>
    <w:rsid w:val="000259C5"/>
    <w:rsid w:val="00025B90"/>
    <w:rsid w:val="00026472"/>
    <w:rsid w:val="00026DB8"/>
    <w:rsid w:val="000270F7"/>
    <w:rsid w:val="000271AA"/>
    <w:rsid w:val="0002720A"/>
    <w:rsid w:val="00027413"/>
    <w:rsid w:val="00027619"/>
    <w:rsid w:val="0002772D"/>
    <w:rsid w:val="00027753"/>
    <w:rsid w:val="0002789E"/>
    <w:rsid w:val="000278D0"/>
    <w:rsid w:val="00027F11"/>
    <w:rsid w:val="00030189"/>
    <w:rsid w:val="00030323"/>
    <w:rsid w:val="00030E46"/>
    <w:rsid w:val="0003141F"/>
    <w:rsid w:val="000316CA"/>
    <w:rsid w:val="00031AF2"/>
    <w:rsid w:val="00031B0C"/>
    <w:rsid w:val="000322C5"/>
    <w:rsid w:val="00032669"/>
    <w:rsid w:val="00033527"/>
    <w:rsid w:val="00033546"/>
    <w:rsid w:val="00033CFE"/>
    <w:rsid w:val="0003422A"/>
    <w:rsid w:val="0003437A"/>
    <w:rsid w:val="000344DE"/>
    <w:rsid w:val="00034777"/>
    <w:rsid w:val="00034979"/>
    <w:rsid w:val="00035143"/>
    <w:rsid w:val="00035B61"/>
    <w:rsid w:val="00035BB5"/>
    <w:rsid w:val="00035D08"/>
    <w:rsid w:val="00035DD6"/>
    <w:rsid w:val="0003686F"/>
    <w:rsid w:val="000368AF"/>
    <w:rsid w:val="00036943"/>
    <w:rsid w:val="00036EEB"/>
    <w:rsid w:val="00036F4E"/>
    <w:rsid w:val="00037067"/>
    <w:rsid w:val="000403E8"/>
    <w:rsid w:val="0004070A"/>
    <w:rsid w:val="00040A3C"/>
    <w:rsid w:val="00040CDF"/>
    <w:rsid w:val="00040E4B"/>
    <w:rsid w:val="00040FE6"/>
    <w:rsid w:val="0004263E"/>
    <w:rsid w:val="00042BEC"/>
    <w:rsid w:val="000432BD"/>
    <w:rsid w:val="000434D6"/>
    <w:rsid w:val="00043868"/>
    <w:rsid w:val="00043C97"/>
    <w:rsid w:val="00043D42"/>
    <w:rsid w:val="00043FE1"/>
    <w:rsid w:val="00043FF8"/>
    <w:rsid w:val="00044446"/>
    <w:rsid w:val="000447C0"/>
    <w:rsid w:val="00044918"/>
    <w:rsid w:val="00044E1B"/>
    <w:rsid w:val="00044EE5"/>
    <w:rsid w:val="000454AD"/>
    <w:rsid w:val="000458DA"/>
    <w:rsid w:val="00045DEA"/>
    <w:rsid w:val="00046150"/>
    <w:rsid w:val="0004616B"/>
    <w:rsid w:val="00046199"/>
    <w:rsid w:val="0004632E"/>
    <w:rsid w:val="00046481"/>
    <w:rsid w:val="000464D7"/>
    <w:rsid w:val="000467D8"/>
    <w:rsid w:val="00046809"/>
    <w:rsid w:val="0004728E"/>
    <w:rsid w:val="0004754E"/>
    <w:rsid w:val="00047D6F"/>
    <w:rsid w:val="00050505"/>
    <w:rsid w:val="00050B5F"/>
    <w:rsid w:val="00050C74"/>
    <w:rsid w:val="0005120D"/>
    <w:rsid w:val="00051249"/>
    <w:rsid w:val="000512DF"/>
    <w:rsid w:val="000515A7"/>
    <w:rsid w:val="00051925"/>
    <w:rsid w:val="00051A47"/>
    <w:rsid w:val="00052D3D"/>
    <w:rsid w:val="00052DB0"/>
    <w:rsid w:val="00053165"/>
    <w:rsid w:val="000533DF"/>
    <w:rsid w:val="00053601"/>
    <w:rsid w:val="00053721"/>
    <w:rsid w:val="00053825"/>
    <w:rsid w:val="00053B3A"/>
    <w:rsid w:val="00053BEC"/>
    <w:rsid w:val="00053C3E"/>
    <w:rsid w:val="000543F8"/>
    <w:rsid w:val="00054931"/>
    <w:rsid w:val="00054FBA"/>
    <w:rsid w:val="00055287"/>
    <w:rsid w:val="000553B2"/>
    <w:rsid w:val="000554FE"/>
    <w:rsid w:val="00055B67"/>
    <w:rsid w:val="00055E86"/>
    <w:rsid w:val="00055FA0"/>
    <w:rsid w:val="000563BB"/>
    <w:rsid w:val="000572BC"/>
    <w:rsid w:val="00057385"/>
    <w:rsid w:val="0005738C"/>
    <w:rsid w:val="0005776D"/>
    <w:rsid w:val="00061084"/>
    <w:rsid w:val="00061383"/>
    <w:rsid w:val="00061AEE"/>
    <w:rsid w:val="00061B7B"/>
    <w:rsid w:val="00061C86"/>
    <w:rsid w:val="00061FDE"/>
    <w:rsid w:val="00062457"/>
    <w:rsid w:val="0006258D"/>
    <w:rsid w:val="00062744"/>
    <w:rsid w:val="00062B2D"/>
    <w:rsid w:val="00062F55"/>
    <w:rsid w:val="00063129"/>
    <w:rsid w:val="0006323D"/>
    <w:rsid w:val="000637BE"/>
    <w:rsid w:val="00063D6F"/>
    <w:rsid w:val="00063E60"/>
    <w:rsid w:val="000644D6"/>
    <w:rsid w:val="00064558"/>
    <w:rsid w:val="000652F5"/>
    <w:rsid w:val="0006558C"/>
    <w:rsid w:val="00065752"/>
    <w:rsid w:val="00065995"/>
    <w:rsid w:val="00065BA0"/>
    <w:rsid w:val="00065ED5"/>
    <w:rsid w:val="00066682"/>
    <w:rsid w:val="00066A2C"/>
    <w:rsid w:val="00066B5E"/>
    <w:rsid w:val="00066F2E"/>
    <w:rsid w:val="000671DA"/>
    <w:rsid w:val="000674EE"/>
    <w:rsid w:val="00067539"/>
    <w:rsid w:val="00067779"/>
    <w:rsid w:val="000679BA"/>
    <w:rsid w:val="00067E94"/>
    <w:rsid w:val="0007032C"/>
    <w:rsid w:val="000703CE"/>
    <w:rsid w:val="00070511"/>
    <w:rsid w:val="00070ECA"/>
    <w:rsid w:val="0007132E"/>
    <w:rsid w:val="0007169C"/>
    <w:rsid w:val="00072B2D"/>
    <w:rsid w:val="00072FAC"/>
    <w:rsid w:val="0007356E"/>
    <w:rsid w:val="0007371F"/>
    <w:rsid w:val="00073757"/>
    <w:rsid w:val="00073D4E"/>
    <w:rsid w:val="00073E25"/>
    <w:rsid w:val="00074AB4"/>
    <w:rsid w:val="00075456"/>
    <w:rsid w:val="000756F3"/>
    <w:rsid w:val="00075E4F"/>
    <w:rsid w:val="00076432"/>
    <w:rsid w:val="000764FF"/>
    <w:rsid w:val="000769A7"/>
    <w:rsid w:val="00076C26"/>
    <w:rsid w:val="000801B2"/>
    <w:rsid w:val="0008023E"/>
    <w:rsid w:val="00080686"/>
    <w:rsid w:val="00080BC5"/>
    <w:rsid w:val="00080F4E"/>
    <w:rsid w:val="00080FAD"/>
    <w:rsid w:val="000811F1"/>
    <w:rsid w:val="00081441"/>
    <w:rsid w:val="00081CC0"/>
    <w:rsid w:val="000822ED"/>
    <w:rsid w:val="00082352"/>
    <w:rsid w:val="000828B8"/>
    <w:rsid w:val="00082DEA"/>
    <w:rsid w:val="00083625"/>
    <w:rsid w:val="000839ED"/>
    <w:rsid w:val="00083A7B"/>
    <w:rsid w:val="00083DF3"/>
    <w:rsid w:val="000848F4"/>
    <w:rsid w:val="00084AEE"/>
    <w:rsid w:val="00085021"/>
    <w:rsid w:val="00085190"/>
    <w:rsid w:val="0008594F"/>
    <w:rsid w:val="00086010"/>
    <w:rsid w:val="000863A3"/>
    <w:rsid w:val="00086631"/>
    <w:rsid w:val="00086D37"/>
    <w:rsid w:val="000870C6"/>
    <w:rsid w:val="000876B3"/>
    <w:rsid w:val="000876FF"/>
    <w:rsid w:val="00087CA7"/>
    <w:rsid w:val="00087F89"/>
    <w:rsid w:val="0009008F"/>
    <w:rsid w:val="00090529"/>
    <w:rsid w:val="00090F20"/>
    <w:rsid w:val="00091CBF"/>
    <w:rsid w:val="0009204F"/>
    <w:rsid w:val="0009229D"/>
    <w:rsid w:val="000926CB"/>
    <w:rsid w:val="0009385A"/>
    <w:rsid w:val="00093C75"/>
    <w:rsid w:val="00093CC6"/>
    <w:rsid w:val="00093E28"/>
    <w:rsid w:val="000940DE"/>
    <w:rsid w:val="000943CA"/>
    <w:rsid w:val="000946A7"/>
    <w:rsid w:val="000949E2"/>
    <w:rsid w:val="00094C89"/>
    <w:rsid w:val="00094C98"/>
    <w:rsid w:val="00094F6E"/>
    <w:rsid w:val="0009567B"/>
    <w:rsid w:val="000957FE"/>
    <w:rsid w:val="00095A3C"/>
    <w:rsid w:val="00095C2C"/>
    <w:rsid w:val="000961B1"/>
    <w:rsid w:val="00096349"/>
    <w:rsid w:val="00096C2B"/>
    <w:rsid w:val="000978AB"/>
    <w:rsid w:val="000979E5"/>
    <w:rsid w:val="00097A97"/>
    <w:rsid w:val="00097B4A"/>
    <w:rsid w:val="00097E31"/>
    <w:rsid w:val="000A0153"/>
    <w:rsid w:val="000A097F"/>
    <w:rsid w:val="000A0DC8"/>
    <w:rsid w:val="000A1096"/>
    <w:rsid w:val="000A1668"/>
    <w:rsid w:val="000A1858"/>
    <w:rsid w:val="000A1F0F"/>
    <w:rsid w:val="000A24F1"/>
    <w:rsid w:val="000A2703"/>
    <w:rsid w:val="000A2834"/>
    <w:rsid w:val="000A2DF7"/>
    <w:rsid w:val="000A3134"/>
    <w:rsid w:val="000A31FE"/>
    <w:rsid w:val="000A34E9"/>
    <w:rsid w:val="000A38E5"/>
    <w:rsid w:val="000A3B1D"/>
    <w:rsid w:val="000A409F"/>
    <w:rsid w:val="000A4273"/>
    <w:rsid w:val="000A473B"/>
    <w:rsid w:val="000A5094"/>
    <w:rsid w:val="000A6192"/>
    <w:rsid w:val="000A6194"/>
    <w:rsid w:val="000A6401"/>
    <w:rsid w:val="000A64FF"/>
    <w:rsid w:val="000A6D5C"/>
    <w:rsid w:val="000A704C"/>
    <w:rsid w:val="000A70D8"/>
    <w:rsid w:val="000A77FC"/>
    <w:rsid w:val="000A7C9C"/>
    <w:rsid w:val="000B0000"/>
    <w:rsid w:val="000B0653"/>
    <w:rsid w:val="000B0B3B"/>
    <w:rsid w:val="000B0C1E"/>
    <w:rsid w:val="000B0E3A"/>
    <w:rsid w:val="000B222B"/>
    <w:rsid w:val="000B2324"/>
    <w:rsid w:val="000B23E6"/>
    <w:rsid w:val="000B2477"/>
    <w:rsid w:val="000B25E0"/>
    <w:rsid w:val="000B28D6"/>
    <w:rsid w:val="000B29EF"/>
    <w:rsid w:val="000B2A08"/>
    <w:rsid w:val="000B2C29"/>
    <w:rsid w:val="000B2D95"/>
    <w:rsid w:val="000B32D8"/>
    <w:rsid w:val="000B343F"/>
    <w:rsid w:val="000B3717"/>
    <w:rsid w:val="000B3DEC"/>
    <w:rsid w:val="000B4002"/>
    <w:rsid w:val="000B41AB"/>
    <w:rsid w:val="000B48BD"/>
    <w:rsid w:val="000B4910"/>
    <w:rsid w:val="000B5799"/>
    <w:rsid w:val="000B5AB0"/>
    <w:rsid w:val="000B627C"/>
    <w:rsid w:val="000B6560"/>
    <w:rsid w:val="000B6649"/>
    <w:rsid w:val="000B6DA8"/>
    <w:rsid w:val="000B742D"/>
    <w:rsid w:val="000B7800"/>
    <w:rsid w:val="000B7A84"/>
    <w:rsid w:val="000B7B8D"/>
    <w:rsid w:val="000B7E0B"/>
    <w:rsid w:val="000C05B9"/>
    <w:rsid w:val="000C1135"/>
    <w:rsid w:val="000C1E00"/>
    <w:rsid w:val="000C1F7C"/>
    <w:rsid w:val="000C23D8"/>
    <w:rsid w:val="000C2576"/>
    <w:rsid w:val="000C275C"/>
    <w:rsid w:val="000C27B1"/>
    <w:rsid w:val="000C2A7A"/>
    <w:rsid w:val="000C3080"/>
    <w:rsid w:val="000C310A"/>
    <w:rsid w:val="000C3175"/>
    <w:rsid w:val="000C4634"/>
    <w:rsid w:val="000C484F"/>
    <w:rsid w:val="000C4EE3"/>
    <w:rsid w:val="000C5385"/>
    <w:rsid w:val="000C5553"/>
    <w:rsid w:val="000C5571"/>
    <w:rsid w:val="000C5A90"/>
    <w:rsid w:val="000C5B94"/>
    <w:rsid w:val="000C5D59"/>
    <w:rsid w:val="000C608D"/>
    <w:rsid w:val="000C60FE"/>
    <w:rsid w:val="000C6257"/>
    <w:rsid w:val="000C6C02"/>
    <w:rsid w:val="000C7046"/>
    <w:rsid w:val="000C7D63"/>
    <w:rsid w:val="000C7F68"/>
    <w:rsid w:val="000C7FD7"/>
    <w:rsid w:val="000C7FFB"/>
    <w:rsid w:val="000D0081"/>
    <w:rsid w:val="000D00A7"/>
    <w:rsid w:val="000D0444"/>
    <w:rsid w:val="000D0630"/>
    <w:rsid w:val="000D0741"/>
    <w:rsid w:val="000D0837"/>
    <w:rsid w:val="000D08EA"/>
    <w:rsid w:val="000D1247"/>
    <w:rsid w:val="000D144B"/>
    <w:rsid w:val="000D1AB3"/>
    <w:rsid w:val="000D2324"/>
    <w:rsid w:val="000D2523"/>
    <w:rsid w:val="000D2978"/>
    <w:rsid w:val="000D297F"/>
    <w:rsid w:val="000D2FA5"/>
    <w:rsid w:val="000D3963"/>
    <w:rsid w:val="000D3B44"/>
    <w:rsid w:val="000D3DB5"/>
    <w:rsid w:val="000D3E31"/>
    <w:rsid w:val="000D3FD9"/>
    <w:rsid w:val="000D4810"/>
    <w:rsid w:val="000D4969"/>
    <w:rsid w:val="000D4A82"/>
    <w:rsid w:val="000D4E41"/>
    <w:rsid w:val="000D4EA3"/>
    <w:rsid w:val="000D4F03"/>
    <w:rsid w:val="000D4F3B"/>
    <w:rsid w:val="000D51C4"/>
    <w:rsid w:val="000D525B"/>
    <w:rsid w:val="000D53AC"/>
    <w:rsid w:val="000D587A"/>
    <w:rsid w:val="000D5DF0"/>
    <w:rsid w:val="000D5F0B"/>
    <w:rsid w:val="000D6922"/>
    <w:rsid w:val="000D6EFC"/>
    <w:rsid w:val="000D73A4"/>
    <w:rsid w:val="000D7B76"/>
    <w:rsid w:val="000D7BBE"/>
    <w:rsid w:val="000D7F79"/>
    <w:rsid w:val="000E02B6"/>
    <w:rsid w:val="000E07A1"/>
    <w:rsid w:val="000E0DF2"/>
    <w:rsid w:val="000E12E7"/>
    <w:rsid w:val="000E138A"/>
    <w:rsid w:val="000E1CF6"/>
    <w:rsid w:val="000E1DB3"/>
    <w:rsid w:val="000E1E64"/>
    <w:rsid w:val="000E1ED4"/>
    <w:rsid w:val="000E229E"/>
    <w:rsid w:val="000E2456"/>
    <w:rsid w:val="000E2B62"/>
    <w:rsid w:val="000E30D3"/>
    <w:rsid w:val="000E30D5"/>
    <w:rsid w:val="000E3304"/>
    <w:rsid w:val="000E3437"/>
    <w:rsid w:val="000E383B"/>
    <w:rsid w:val="000E4289"/>
    <w:rsid w:val="000E454C"/>
    <w:rsid w:val="000E4780"/>
    <w:rsid w:val="000E47D9"/>
    <w:rsid w:val="000E49DE"/>
    <w:rsid w:val="000E5341"/>
    <w:rsid w:val="000E6218"/>
    <w:rsid w:val="000E64B7"/>
    <w:rsid w:val="000E69B9"/>
    <w:rsid w:val="000E6BA4"/>
    <w:rsid w:val="000E7115"/>
    <w:rsid w:val="000E7120"/>
    <w:rsid w:val="000E79B8"/>
    <w:rsid w:val="000E7AD8"/>
    <w:rsid w:val="000F0178"/>
    <w:rsid w:val="000F08DC"/>
    <w:rsid w:val="000F0B1D"/>
    <w:rsid w:val="000F0FD8"/>
    <w:rsid w:val="000F103C"/>
    <w:rsid w:val="000F111C"/>
    <w:rsid w:val="000F1DC0"/>
    <w:rsid w:val="000F258B"/>
    <w:rsid w:val="000F2613"/>
    <w:rsid w:val="000F28A0"/>
    <w:rsid w:val="000F2D0D"/>
    <w:rsid w:val="000F3084"/>
    <w:rsid w:val="000F39D6"/>
    <w:rsid w:val="000F3A2D"/>
    <w:rsid w:val="000F3A35"/>
    <w:rsid w:val="000F3ADA"/>
    <w:rsid w:val="000F3E1D"/>
    <w:rsid w:val="000F41AB"/>
    <w:rsid w:val="000F43E1"/>
    <w:rsid w:val="000F472F"/>
    <w:rsid w:val="000F4889"/>
    <w:rsid w:val="000F4BAE"/>
    <w:rsid w:val="000F4D75"/>
    <w:rsid w:val="000F5482"/>
    <w:rsid w:val="000F5814"/>
    <w:rsid w:val="000F5A50"/>
    <w:rsid w:val="000F5EBB"/>
    <w:rsid w:val="000F685D"/>
    <w:rsid w:val="000F68B5"/>
    <w:rsid w:val="000F764D"/>
    <w:rsid w:val="000F7AA8"/>
    <w:rsid w:val="00100293"/>
    <w:rsid w:val="00100571"/>
    <w:rsid w:val="00100A43"/>
    <w:rsid w:val="0010169B"/>
    <w:rsid w:val="00101719"/>
    <w:rsid w:val="0010172F"/>
    <w:rsid w:val="001017BF"/>
    <w:rsid w:val="00101A4D"/>
    <w:rsid w:val="001022B7"/>
    <w:rsid w:val="00102368"/>
    <w:rsid w:val="00102419"/>
    <w:rsid w:val="00102A55"/>
    <w:rsid w:val="0010308D"/>
    <w:rsid w:val="001032D8"/>
    <w:rsid w:val="00103897"/>
    <w:rsid w:val="00104284"/>
    <w:rsid w:val="00104407"/>
    <w:rsid w:val="00104649"/>
    <w:rsid w:val="00104752"/>
    <w:rsid w:val="00104C42"/>
    <w:rsid w:val="00104D76"/>
    <w:rsid w:val="00104F86"/>
    <w:rsid w:val="00105696"/>
    <w:rsid w:val="00105988"/>
    <w:rsid w:val="00105DB3"/>
    <w:rsid w:val="00105DEB"/>
    <w:rsid w:val="0010601D"/>
    <w:rsid w:val="0010676B"/>
    <w:rsid w:val="001067D3"/>
    <w:rsid w:val="001067E9"/>
    <w:rsid w:val="00106A2B"/>
    <w:rsid w:val="00106CEF"/>
    <w:rsid w:val="00106EB6"/>
    <w:rsid w:val="00107AA5"/>
    <w:rsid w:val="00107B3C"/>
    <w:rsid w:val="00107CD2"/>
    <w:rsid w:val="00107E32"/>
    <w:rsid w:val="0011007D"/>
    <w:rsid w:val="001105FA"/>
    <w:rsid w:val="00110600"/>
    <w:rsid w:val="00110AC3"/>
    <w:rsid w:val="00110BF1"/>
    <w:rsid w:val="00110F7D"/>
    <w:rsid w:val="00111245"/>
    <w:rsid w:val="00111480"/>
    <w:rsid w:val="001114DC"/>
    <w:rsid w:val="00111989"/>
    <w:rsid w:val="00111A5E"/>
    <w:rsid w:val="00112355"/>
    <w:rsid w:val="001124D1"/>
    <w:rsid w:val="0011300F"/>
    <w:rsid w:val="001131EB"/>
    <w:rsid w:val="001135A6"/>
    <w:rsid w:val="001140D6"/>
    <w:rsid w:val="001143BB"/>
    <w:rsid w:val="001145A1"/>
    <w:rsid w:val="00114AD8"/>
    <w:rsid w:val="00115808"/>
    <w:rsid w:val="00115869"/>
    <w:rsid w:val="00115BF9"/>
    <w:rsid w:val="00115FF4"/>
    <w:rsid w:val="00116273"/>
    <w:rsid w:val="00116358"/>
    <w:rsid w:val="001164CB"/>
    <w:rsid w:val="00116953"/>
    <w:rsid w:val="00116FFE"/>
    <w:rsid w:val="00117876"/>
    <w:rsid w:val="00117AA5"/>
    <w:rsid w:val="00117B8F"/>
    <w:rsid w:val="0012092D"/>
    <w:rsid w:val="00120D1F"/>
    <w:rsid w:val="00120EE6"/>
    <w:rsid w:val="0012184C"/>
    <w:rsid w:val="00121B9A"/>
    <w:rsid w:val="00121C10"/>
    <w:rsid w:val="00121D8A"/>
    <w:rsid w:val="001221ED"/>
    <w:rsid w:val="00122721"/>
    <w:rsid w:val="00122B26"/>
    <w:rsid w:val="00123590"/>
    <w:rsid w:val="00123672"/>
    <w:rsid w:val="0012371D"/>
    <w:rsid w:val="001237CB"/>
    <w:rsid w:val="00123BF6"/>
    <w:rsid w:val="00123C32"/>
    <w:rsid w:val="00123D60"/>
    <w:rsid w:val="00123D90"/>
    <w:rsid w:val="00123E38"/>
    <w:rsid w:val="00124190"/>
    <w:rsid w:val="00124708"/>
    <w:rsid w:val="0012481C"/>
    <w:rsid w:val="0012499A"/>
    <w:rsid w:val="00124ADD"/>
    <w:rsid w:val="00124F3C"/>
    <w:rsid w:val="00125026"/>
    <w:rsid w:val="0012562B"/>
    <w:rsid w:val="001258A2"/>
    <w:rsid w:val="00125EF2"/>
    <w:rsid w:val="00126A7E"/>
    <w:rsid w:val="0012706E"/>
    <w:rsid w:val="001270B0"/>
    <w:rsid w:val="001271A0"/>
    <w:rsid w:val="001275F5"/>
    <w:rsid w:val="00127D66"/>
    <w:rsid w:val="001303FC"/>
    <w:rsid w:val="001304B4"/>
    <w:rsid w:val="00130505"/>
    <w:rsid w:val="001308C3"/>
    <w:rsid w:val="00130D38"/>
    <w:rsid w:val="00131076"/>
    <w:rsid w:val="00131289"/>
    <w:rsid w:val="0013152C"/>
    <w:rsid w:val="0013166A"/>
    <w:rsid w:val="001328CB"/>
    <w:rsid w:val="00132CE1"/>
    <w:rsid w:val="001331CC"/>
    <w:rsid w:val="0013385E"/>
    <w:rsid w:val="001338DE"/>
    <w:rsid w:val="0013391A"/>
    <w:rsid w:val="00133AE6"/>
    <w:rsid w:val="00133B4C"/>
    <w:rsid w:val="00133B8D"/>
    <w:rsid w:val="00133D60"/>
    <w:rsid w:val="001342D1"/>
    <w:rsid w:val="0013433F"/>
    <w:rsid w:val="00134579"/>
    <w:rsid w:val="001345D8"/>
    <w:rsid w:val="00134F86"/>
    <w:rsid w:val="00135A36"/>
    <w:rsid w:val="00135D62"/>
    <w:rsid w:val="00135D74"/>
    <w:rsid w:val="00136012"/>
    <w:rsid w:val="00136102"/>
    <w:rsid w:val="0013654F"/>
    <w:rsid w:val="00136A3F"/>
    <w:rsid w:val="00136DAA"/>
    <w:rsid w:val="00136E5E"/>
    <w:rsid w:val="00136ECA"/>
    <w:rsid w:val="0013701B"/>
    <w:rsid w:val="001370E4"/>
    <w:rsid w:val="0013737D"/>
    <w:rsid w:val="00137791"/>
    <w:rsid w:val="00140ADA"/>
    <w:rsid w:val="00140C3E"/>
    <w:rsid w:val="00140D13"/>
    <w:rsid w:val="00140E4A"/>
    <w:rsid w:val="00141110"/>
    <w:rsid w:val="00141144"/>
    <w:rsid w:val="001411C2"/>
    <w:rsid w:val="00141378"/>
    <w:rsid w:val="00141C84"/>
    <w:rsid w:val="00141E18"/>
    <w:rsid w:val="001423A2"/>
    <w:rsid w:val="001424E4"/>
    <w:rsid w:val="0014282E"/>
    <w:rsid w:val="0014295F"/>
    <w:rsid w:val="00142F1F"/>
    <w:rsid w:val="0014347D"/>
    <w:rsid w:val="00143A14"/>
    <w:rsid w:val="00143B5F"/>
    <w:rsid w:val="00143C89"/>
    <w:rsid w:val="00143E1F"/>
    <w:rsid w:val="001441D8"/>
    <w:rsid w:val="00144C32"/>
    <w:rsid w:val="00144D09"/>
    <w:rsid w:val="00144D0D"/>
    <w:rsid w:val="00144DE7"/>
    <w:rsid w:val="00145227"/>
    <w:rsid w:val="001453AA"/>
    <w:rsid w:val="00145B96"/>
    <w:rsid w:val="00145F26"/>
    <w:rsid w:val="001463F8"/>
    <w:rsid w:val="001466AE"/>
    <w:rsid w:val="00146885"/>
    <w:rsid w:val="001469C8"/>
    <w:rsid w:val="00147CB4"/>
    <w:rsid w:val="001500D6"/>
    <w:rsid w:val="001504BC"/>
    <w:rsid w:val="001508C7"/>
    <w:rsid w:val="00150E48"/>
    <w:rsid w:val="00150F92"/>
    <w:rsid w:val="00150FDE"/>
    <w:rsid w:val="00151BF6"/>
    <w:rsid w:val="00151D10"/>
    <w:rsid w:val="00151F7F"/>
    <w:rsid w:val="00152474"/>
    <w:rsid w:val="00152C92"/>
    <w:rsid w:val="00152DAA"/>
    <w:rsid w:val="00152DE1"/>
    <w:rsid w:val="00152E84"/>
    <w:rsid w:val="00153273"/>
    <w:rsid w:val="001537E1"/>
    <w:rsid w:val="001538E3"/>
    <w:rsid w:val="0015391B"/>
    <w:rsid w:val="00153DB4"/>
    <w:rsid w:val="00153E7D"/>
    <w:rsid w:val="0015494A"/>
    <w:rsid w:val="0015494B"/>
    <w:rsid w:val="0015498E"/>
    <w:rsid w:val="00154E36"/>
    <w:rsid w:val="00155215"/>
    <w:rsid w:val="00155379"/>
    <w:rsid w:val="00155A7C"/>
    <w:rsid w:val="00157056"/>
    <w:rsid w:val="0015710F"/>
    <w:rsid w:val="001576ED"/>
    <w:rsid w:val="0015771F"/>
    <w:rsid w:val="001577C9"/>
    <w:rsid w:val="00157C47"/>
    <w:rsid w:val="00157CD0"/>
    <w:rsid w:val="00157E70"/>
    <w:rsid w:val="00160379"/>
    <w:rsid w:val="001604A6"/>
    <w:rsid w:val="00160ADA"/>
    <w:rsid w:val="00160B5B"/>
    <w:rsid w:val="00160C2E"/>
    <w:rsid w:val="00160C75"/>
    <w:rsid w:val="00160D5F"/>
    <w:rsid w:val="00160E08"/>
    <w:rsid w:val="00161374"/>
    <w:rsid w:val="0016238D"/>
    <w:rsid w:val="00162B14"/>
    <w:rsid w:val="00163BB0"/>
    <w:rsid w:val="00163DCE"/>
    <w:rsid w:val="00163F79"/>
    <w:rsid w:val="0016426D"/>
    <w:rsid w:val="001649C6"/>
    <w:rsid w:val="00164D20"/>
    <w:rsid w:val="001654A6"/>
    <w:rsid w:val="001654E6"/>
    <w:rsid w:val="001655E4"/>
    <w:rsid w:val="00165D39"/>
    <w:rsid w:val="00165DD5"/>
    <w:rsid w:val="0016630E"/>
    <w:rsid w:val="0016632A"/>
    <w:rsid w:val="00166359"/>
    <w:rsid w:val="00166824"/>
    <w:rsid w:val="00166E09"/>
    <w:rsid w:val="00166F04"/>
    <w:rsid w:val="00167630"/>
    <w:rsid w:val="001676C6"/>
    <w:rsid w:val="001676E3"/>
    <w:rsid w:val="001677FD"/>
    <w:rsid w:val="00167A07"/>
    <w:rsid w:val="00167C3D"/>
    <w:rsid w:val="00167FE1"/>
    <w:rsid w:val="00170029"/>
    <w:rsid w:val="0017010C"/>
    <w:rsid w:val="00170617"/>
    <w:rsid w:val="00170C55"/>
    <w:rsid w:val="00170F2E"/>
    <w:rsid w:val="00171341"/>
    <w:rsid w:val="00171850"/>
    <w:rsid w:val="001719FF"/>
    <w:rsid w:val="00171A4C"/>
    <w:rsid w:val="00172360"/>
    <w:rsid w:val="00172629"/>
    <w:rsid w:val="00172D87"/>
    <w:rsid w:val="00172F37"/>
    <w:rsid w:val="0017328D"/>
    <w:rsid w:val="001735BF"/>
    <w:rsid w:val="00173D52"/>
    <w:rsid w:val="001744C2"/>
    <w:rsid w:val="001752AC"/>
    <w:rsid w:val="00175384"/>
    <w:rsid w:val="00175688"/>
    <w:rsid w:val="00175F35"/>
    <w:rsid w:val="0017601D"/>
    <w:rsid w:val="001763F2"/>
    <w:rsid w:val="00176579"/>
    <w:rsid w:val="00176A0A"/>
    <w:rsid w:val="00176E3A"/>
    <w:rsid w:val="00176E57"/>
    <w:rsid w:val="00176F89"/>
    <w:rsid w:val="001805A5"/>
    <w:rsid w:val="00180758"/>
    <w:rsid w:val="00180A43"/>
    <w:rsid w:val="00180BAF"/>
    <w:rsid w:val="00180EBC"/>
    <w:rsid w:val="00180F23"/>
    <w:rsid w:val="001810E1"/>
    <w:rsid w:val="001818BE"/>
    <w:rsid w:val="00181B72"/>
    <w:rsid w:val="00181E3B"/>
    <w:rsid w:val="00182590"/>
    <w:rsid w:val="00182709"/>
    <w:rsid w:val="00182A0D"/>
    <w:rsid w:val="00183880"/>
    <w:rsid w:val="001838FF"/>
    <w:rsid w:val="00183FE2"/>
    <w:rsid w:val="00184164"/>
    <w:rsid w:val="00185751"/>
    <w:rsid w:val="00185789"/>
    <w:rsid w:val="00185FFF"/>
    <w:rsid w:val="00186392"/>
    <w:rsid w:val="00186660"/>
    <w:rsid w:val="00186682"/>
    <w:rsid w:val="00187803"/>
    <w:rsid w:val="001879C4"/>
    <w:rsid w:val="001901A1"/>
    <w:rsid w:val="00190426"/>
    <w:rsid w:val="00190817"/>
    <w:rsid w:val="001908F8"/>
    <w:rsid w:val="001909F8"/>
    <w:rsid w:val="00190AD6"/>
    <w:rsid w:val="00190B72"/>
    <w:rsid w:val="0019156E"/>
    <w:rsid w:val="00191706"/>
    <w:rsid w:val="00191A80"/>
    <w:rsid w:val="00191F8D"/>
    <w:rsid w:val="0019258F"/>
    <w:rsid w:val="00192D75"/>
    <w:rsid w:val="0019305E"/>
    <w:rsid w:val="0019314B"/>
    <w:rsid w:val="0019366A"/>
    <w:rsid w:val="00193716"/>
    <w:rsid w:val="001937A4"/>
    <w:rsid w:val="00193F48"/>
    <w:rsid w:val="00194359"/>
    <w:rsid w:val="0019471E"/>
    <w:rsid w:val="00194722"/>
    <w:rsid w:val="0019478E"/>
    <w:rsid w:val="00195997"/>
    <w:rsid w:val="00196A91"/>
    <w:rsid w:val="00197380"/>
    <w:rsid w:val="00197AFF"/>
    <w:rsid w:val="001A034B"/>
    <w:rsid w:val="001A0947"/>
    <w:rsid w:val="001A0B31"/>
    <w:rsid w:val="001A0B48"/>
    <w:rsid w:val="001A0F37"/>
    <w:rsid w:val="001A104F"/>
    <w:rsid w:val="001A1121"/>
    <w:rsid w:val="001A13E9"/>
    <w:rsid w:val="001A1758"/>
    <w:rsid w:val="001A198E"/>
    <w:rsid w:val="001A1AFD"/>
    <w:rsid w:val="001A266D"/>
    <w:rsid w:val="001A284D"/>
    <w:rsid w:val="001A29D7"/>
    <w:rsid w:val="001A2B95"/>
    <w:rsid w:val="001A2D9F"/>
    <w:rsid w:val="001A2E76"/>
    <w:rsid w:val="001A3544"/>
    <w:rsid w:val="001A396F"/>
    <w:rsid w:val="001A3A43"/>
    <w:rsid w:val="001A3B0D"/>
    <w:rsid w:val="001A3D7A"/>
    <w:rsid w:val="001A47E0"/>
    <w:rsid w:val="001A47E4"/>
    <w:rsid w:val="001A4A6C"/>
    <w:rsid w:val="001A4BA1"/>
    <w:rsid w:val="001A5750"/>
    <w:rsid w:val="001A58BD"/>
    <w:rsid w:val="001A5A16"/>
    <w:rsid w:val="001A5CEB"/>
    <w:rsid w:val="001A5D89"/>
    <w:rsid w:val="001A65A2"/>
    <w:rsid w:val="001A682C"/>
    <w:rsid w:val="001A6A3A"/>
    <w:rsid w:val="001A6CAA"/>
    <w:rsid w:val="001A6DA4"/>
    <w:rsid w:val="001A7126"/>
    <w:rsid w:val="001A7338"/>
    <w:rsid w:val="001A76FE"/>
    <w:rsid w:val="001A793D"/>
    <w:rsid w:val="001B0296"/>
    <w:rsid w:val="001B02BD"/>
    <w:rsid w:val="001B02FF"/>
    <w:rsid w:val="001B0C08"/>
    <w:rsid w:val="001B0F0E"/>
    <w:rsid w:val="001B1741"/>
    <w:rsid w:val="001B17FC"/>
    <w:rsid w:val="001B1A49"/>
    <w:rsid w:val="001B1CEE"/>
    <w:rsid w:val="001B1E92"/>
    <w:rsid w:val="001B20FF"/>
    <w:rsid w:val="001B28EB"/>
    <w:rsid w:val="001B2945"/>
    <w:rsid w:val="001B2EA3"/>
    <w:rsid w:val="001B3030"/>
    <w:rsid w:val="001B35F6"/>
    <w:rsid w:val="001B3C73"/>
    <w:rsid w:val="001B3D20"/>
    <w:rsid w:val="001B3F74"/>
    <w:rsid w:val="001B406C"/>
    <w:rsid w:val="001B420A"/>
    <w:rsid w:val="001B4A55"/>
    <w:rsid w:val="001B4D67"/>
    <w:rsid w:val="001B4FA7"/>
    <w:rsid w:val="001B5136"/>
    <w:rsid w:val="001B55E3"/>
    <w:rsid w:val="001B57BB"/>
    <w:rsid w:val="001B5C27"/>
    <w:rsid w:val="001B5C98"/>
    <w:rsid w:val="001B618F"/>
    <w:rsid w:val="001B70B3"/>
    <w:rsid w:val="001B73E3"/>
    <w:rsid w:val="001B7B30"/>
    <w:rsid w:val="001B7E7E"/>
    <w:rsid w:val="001C0645"/>
    <w:rsid w:val="001C0B81"/>
    <w:rsid w:val="001C0CF1"/>
    <w:rsid w:val="001C0D15"/>
    <w:rsid w:val="001C0E01"/>
    <w:rsid w:val="001C0F9C"/>
    <w:rsid w:val="001C10A5"/>
    <w:rsid w:val="001C1425"/>
    <w:rsid w:val="001C14FF"/>
    <w:rsid w:val="001C15F1"/>
    <w:rsid w:val="001C1AAD"/>
    <w:rsid w:val="001C29B3"/>
    <w:rsid w:val="001C2B0A"/>
    <w:rsid w:val="001C3458"/>
    <w:rsid w:val="001C36D0"/>
    <w:rsid w:val="001C37B9"/>
    <w:rsid w:val="001C3ACC"/>
    <w:rsid w:val="001C4204"/>
    <w:rsid w:val="001C42C3"/>
    <w:rsid w:val="001C4307"/>
    <w:rsid w:val="001C4547"/>
    <w:rsid w:val="001C4F92"/>
    <w:rsid w:val="001C4FC8"/>
    <w:rsid w:val="001C5115"/>
    <w:rsid w:val="001C51F7"/>
    <w:rsid w:val="001C53AD"/>
    <w:rsid w:val="001C5B8E"/>
    <w:rsid w:val="001C64B4"/>
    <w:rsid w:val="001C6748"/>
    <w:rsid w:val="001C725B"/>
    <w:rsid w:val="001C7AAB"/>
    <w:rsid w:val="001C7C3C"/>
    <w:rsid w:val="001D0013"/>
    <w:rsid w:val="001D03E7"/>
    <w:rsid w:val="001D0684"/>
    <w:rsid w:val="001D09DF"/>
    <w:rsid w:val="001D16C3"/>
    <w:rsid w:val="001D19AD"/>
    <w:rsid w:val="001D1B28"/>
    <w:rsid w:val="001D1BDC"/>
    <w:rsid w:val="001D20A1"/>
    <w:rsid w:val="001D20B4"/>
    <w:rsid w:val="001D2554"/>
    <w:rsid w:val="001D2911"/>
    <w:rsid w:val="001D2AD0"/>
    <w:rsid w:val="001D330C"/>
    <w:rsid w:val="001D3813"/>
    <w:rsid w:val="001D3982"/>
    <w:rsid w:val="001D3A77"/>
    <w:rsid w:val="001D3EDA"/>
    <w:rsid w:val="001D4390"/>
    <w:rsid w:val="001D474E"/>
    <w:rsid w:val="001D47A7"/>
    <w:rsid w:val="001D4AB9"/>
    <w:rsid w:val="001D4F03"/>
    <w:rsid w:val="001D4F79"/>
    <w:rsid w:val="001D5494"/>
    <w:rsid w:val="001D55EB"/>
    <w:rsid w:val="001D5940"/>
    <w:rsid w:val="001D5F89"/>
    <w:rsid w:val="001D61D7"/>
    <w:rsid w:val="001D63D6"/>
    <w:rsid w:val="001D643A"/>
    <w:rsid w:val="001D64A8"/>
    <w:rsid w:val="001D6AAF"/>
    <w:rsid w:val="001D6DDF"/>
    <w:rsid w:val="001D6F1C"/>
    <w:rsid w:val="001D75EA"/>
    <w:rsid w:val="001D7C28"/>
    <w:rsid w:val="001E06B9"/>
    <w:rsid w:val="001E09E8"/>
    <w:rsid w:val="001E0A03"/>
    <w:rsid w:val="001E0F75"/>
    <w:rsid w:val="001E1292"/>
    <w:rsid w:val="001E195B"/>
    <w:rsid w:val="001E2177"/>
    <w:rsid w:val="001E21C3"/>
    <w:rsid w:val="001E22E2"/>
    <w:rsid w:val="001E23E0"/>
    <w:rsid w:val="001E29A1"/>
    <w:rsid w:val="001E2A16"/>
    <w:rsid w:val="001E2D8F"/>
    <w:rsid w:val="001E2F78"/>
    <w:rsid w:val="001E38DE"/>
    <w:rsid w:val="001E398C"/>
    <w:rsid w:val="001E45FE"/>
    <w:rsid w:val="001E485E"/>
    <w:rsid w:val="001E4A69"/>
    <w:rsid w:val="001E4E0F"/>
    <w:rsid w:val="001E5106"/>
    <w:rsid w:val="001E5499"/>
    <w:rsid w:val="001E568C"/>
    <w:rsid w:val="001E57FF"/>
    <w:rsid w:val="001E5E13"/>
    <w:rsid w:val="001E60EB"/>
    <w:rsid w:val="001E6734"/>
    <w:rsid w:val="001E687E"/>
    <w:rsid w:val="001E6D10"/>
    <w:rsid w:val="001E6D64"/>
    <w:rsid w:val="001E71A8"/>
    <w:rsid w:val="001E7367"/>
    <w:rsid w:val="001E76C3"/>
    <w:rsid w:val="001E77A2"/>
    <w:rsid w:val="001E7FD8"/>
    <w:rsid w:val="001F0543"/>
    <w:rsid w:val="001F0591"/>
    <w:rsid w:val="001F112E"/>
    <w:rsid w:val="001F12A4"/>
    <w:rsid w:val="001F1464"/>
    <w:rsid w:val="001F1A29"/>
    <w:rsid w:val="001F1C8B"/>
    <w:rsid w:val="001F1EFF"/>
    <w:rsid w:val="001F2C70"/>
    <w:rsid w:val="001F2D5E"/>
    <w:rsid w:val="001F3216"/>
    <w:rsid w:val="001F343C"/>
    <w:rsid w:val="001F3838"/>
    <w:rsid w:val="001F3DCB"/>
    <w:rsid w:val="001F4575"/>
    <w:rsid w:val="001F4823"/>
    <w:rsid w:val="001F5B6D"/>
    <w:rsid w:val="001F5C99"/>
    <w:rsid w:val="001F610F"/>
    <w:rsid w:val="001F61C8"/>
    <w:rsid w:val="001F661C"/>
    <w:rsid w:val="001F66EF"/>
    <w:rsid w:val="001F7157"/>
    <w:rsid w:val="001F790F"/>
    <w:rsid w:val="001F797F"/>
    <w:rsid w:val="001F7BA2"/>
    <w:rsid w:val="00200565"/>
    <w:rsid w:val="002009C7"/>
    <w:rsid w:val="00200D79"/>
    <w:rsid w:val="00200E35"/>
    <w:rsid w:val="00200EB6"/>
    <w:rsid w:val="002013CF"/>
    <w:rsid w:val="002013E6"/>
    <w:rsid w:val="002017A7"/>
    <w:rsid w:val="00201DD0"/>
    <w:rsid w:val="00202749"/>
    <w:rsid w:val="00202ADE"/>
    <w:rsid w:val="00203372"/>
    <w:rsid w:val="002036D4"/>
    <w:rsid w:val="002039A2"/>
    <w:rsid w:val="00203AE0"/>
    <w:rsid w:val="00204951"/>
    <w:rsid w:val="00205292"/>
    <w:rsid w:val="00205379"/>
    <w:rsid w:val="00205FF8"/>
    <w:rsid w:val="0020667F"/>
    <w:rsid w:val="002068D5"/>
    <w:rsid w:val="00206AC5"/>
    <w:rsid w:val="00206ADA"/>
    <w:rsid w:val="00206C39"/>
    <w:rsid w:val="00207192"/>
    <w:rsid w:val="00207213"/>
    <w:rsid w:val="002072B9"/>
    <w:rsid w:val="002072C2"/>
    <w:rsid w:val="002073EC"/>
    <w:rsid w:val="0021007D"/>
    <w:rsid w:val="0021030F"/>
    <w:rsid w:val="002106B2"/>
    <w:rsid w:val="00210840"/>
    <w:rsid w:val="00210948"/>
    <w:rsid w:val="00210CC4"/>
    <w:rsid w:val="00210EC0"/>
    <w:rsid w:val="00210FAB"/>
    <w:rsid w:val="00211213"/>
    <w:rsid w:val="002114E4"/>
    <w:rsid w:val="002116B4"/>
    <w:rsid w:val="002116C8"/>
    <w:rsid w:val="002116E0"/>
    <w:rsid w:val="0021173C"/>
    <w:rsid w:val="00211AE6"/>
    <w:rsid w:val="00211E1C"/>
    <w:rsid w:val="0021306B"/>
    <w:rsid w:val="0021322A"/>
    <w:rsid w:val="002137E7"/>
    <w:rsid w:val="00213B03"/>
    <w:rsid w:val="00213B42"/>
    <w:rsid w:val="00213CA0"/>
    <w:rsid w:val="00213F90"/>
    <w:rsid w:val="002142C7"/>
    <w:rsid w:val="00214414"/>
    <w:rsid w:val="00214C5C"/>
    <w:rsid w:val="00215CD6"/>
    <w:rsid w:val="002161B6"/>
    <w:rsid w:val="002161C3"/>
    <w:rsid w:val="0021654D"/>
    <w:rsid w:val="00216837"/>
    <w:rsid w:val="00216ABB"/>
    <w:rsid w:val="00216B19"/>
    <w:rsid w:val="00216B78"/>
    <w:rsid w:val="00216EFE"/>
    <w:rsid w:val="002171DC"/>
    <w:rsid w:val="002174B6"/>
    <w:rsid w:val="00217D51"/>
    <w:rsid w:val="00220E9C"/>
    <w:rsid w:val="00220FE1"/>
    <w:rsid w:val="0022115B"/>
    <w:rsid w:val="00221590"/>
    <w:rsid w:val="0022196E"/>
    <w:rsid w:val="00221C91"/>
    <w:rsid w:val="00221D54"/>
    <w:rsid w:val="00221DB1"/>
    <w:rsid w:val="00222165"/>
    <w:rsid w:val="0022232E"/>
    <w:rsid w:val="00222C55"/>
    <w:rsid w:val="00222EC5"/>
    <w:rsid w:val="00223622"/>
    <w:rsid w:val="0022413A"/>
    <w:rsid w:val="00224582"/>
    <w:rsid w:val="00224BCC"/>
    <w:rsid w:val="00224E21"/>
    <w:rsid w:val="00225079"/>
    <w:rsid w:val="002255BA"/>
    <w:rsid w:val="00225E7E"/>
    <w:rsid w:val="00226736"/>
    <w:rsid w:val="00226A4D"/>
    <w:rsid w:val="002271A6"/>
    <w:rsid w:val="00227848"/>
    <w:rsid w:val="0022788C"/>
    <w:rsid w:val="002278E2"/>
    <w:rsid w:val="0023005A"/>
    <w:rsid w:val="002307E1"/>
    <w:rsid w:val="002317F5"/>
    <w:rsid w:val="002325C0"/>
    <w:rsid w:val="002325F3"/>
    <w:rsid w:val="00232BBF"/>
    <w:rsid w:val="00233CE0"/>
    <w:rsid w:val="002341BA"/>
    <w:rsid w:val="002342EA"/>
    <w:rsid w:val="0023466A"/>
    <w:rsid w:val="00234673"/>
    <w:rsid w:val="00234737"/>
    <w:rsid w:val="00234D7B"/>
    <w:rsid w:val="002355BE"/>
    <w:rsid w:val="00235EF4"/>
    <w:rsid w:val="0023712F"/>
    <w:rsid w:val="002371EE"/>
    <w:rsid w:val="0023742F"/>
    <w:rsid w:val="0023757B"/>
    <w:rsid w:val="00237EBE"/>
    <w:rsid w:val="00240A0C"/>
    <w:rsid w:val="00240B07"/>
    <w:rsid w:val="00240B7C"/>
    <w:rsid w:val="00240C1D"/>
    <w:rsid w:val="00240E5E"/>
    <w:rsid w:val="00240F0B"/>
    <w:rsid w:val="00241439"/>
    <w:rsid w:val="00241A33"/>
    <w:rsid w:val="00241D4C"/>
    <w:rsid w:val="00241D93"/>
    <w:rsid w:val="00242149"/>
    <w:rsid w:val="002426B2"/>
    <w:rsid w:val="00242CB6"/>
    <w:rsid w:val="00242F6A"/>
    <w:rsid w:val="002436D3"/>
    <w:rsid w:val="002440FA"/>
    <w:rsid w:val="00244E28"/>
    <w:rsid w:val="0024543A"/>
    <w:rsid w:val="00245895"/>
    <w:rsid w:val="00245D38"/>
    <w:rsid w:val="00246B6A"/>
    <w:rsid w:val="00246C74"/>
    <w:rsid w:val="002473BA"/>
    <w:rsid w:val="00247563"/>
    <w:rsid w:val="0024766E"/>
    <w:rsid w:val="00247FB3"/>
    <w:rsid w:val="002500FF"/>
    <w:rsid w:val="002505C8"/>
    <w:rsid w:val="00250AC6"/>
    <w:rsid w:val="00250FBC"/>
    <w:rsid w:val="002512FD"/>
    <w:rsid w:val="00251C34"/>
    <w:rsid w:val="00251E23"/>
    <w:rsid w:val="002520BE"/>
    <w:rsid w:val="002524C2"/>
    <w:rsid w:val="00252888"/>
    <w:rsid w:val="00252B88"/>
    <w:rsid w:val="00253148"/>
    <w:rsid w:val="002541EA"/>
    <w:rsid w:val="002543E0"/>
    <w:rsid w:val="002545A2"/>
    <w:rsid w:val="00254A6E"/>
    <w:rsid w:val="00254BAB"/>
    <w:rsid w:val="00254EF0"/>
    <w:rsid w:val="002556D2"/>
    <w:rsid w:val="002557E2"/>
    <w:rsid w:val="00255816"/>
    <w:rsid w:val="0025589D"/>
    <w:rsid w:val="00255A9A"/>
    <w:rsid w:val="00255E05"/>
    <w:rsid w:val="002560B2"/>
    <w:rsid w:val="002562A7"/>
    <w:rsid w:val="00256993"/>
    <w:rsid w:val="00257BEC"/>
    <w:rsid w:val="002605A6"/>
    <w:rsid w:val="00260C9F"/>
    <w:rsid w:val="0026115A"/>
    <w:rsid w:val="002612BE"/>
    <w:rsid w:val="00261C41"/>
    <w:rsid w:val="00262096"/>
    <w:rsid w:val="0026218C"/>
    <w:rsid w:val="002624A5"/>
    <w:rsid w:val="00262538"/>
    <w:rsid w:val="00262790"/>
    <w:rsid w:val="002629E0"/>
    <w:rsid w:val="00262B93"/>
    <w:rsid w:val="002635AF"/>
    <w:rsid w:val="00263921"/>
    <w:rsid w:val="00264258"/>
    <w:rsid w:val="00264B1B"/>
    <w:rsid w:val="00264E25"/>
    <w:rsid w:val="002651F4"/>
    <w:rsid w:val="00265463"/>
    <w:rsid w:val="00265586"/>
    <w:rsid w:val="0026559D"/>
    <w:rsid w:val="002658A3"/>
    <w:rsid w:val="00266391"/>
    <w:rsid w:val="00266431"/>
    <w:rsid w:val="00266757"/>
    <w:rsid w:val="00266B09"/>
    <w:rsid w:val="00266B5E"/>
    <w:rsid w:val="00267029"/>
    <w:rsid w:val="0026739F"/>
    <w:rsid w:val="00267586"/>
    <w:rsid w:val="002679D9"/>
    <w:rsid w:val="00267A75"/>
    <w:rsid w:val="00267B8A"/>
    <w:rsid w:val="00270359"/>
    <w:rsid w:val="0027102E"/>
    <w:rsid w:val="00271811"/>
    <w:rsid w:val="00271ADE"/>
    <w:rsid w:val="00271D69"/>
    <w:rsid w:val="00271DCF"/>
    <w:rsid w:val="00272262"/>
    <w:rsid w:val="00272D5A"/>
    <w:rsid w:val="00273174"/>
    <w:rsid w:val="00273816"/>
    <w:rsid w:val="002739B4"/>
    <w:rsid w:val="00274106"/>
    <w:rsid w:val="002742CA"/>
    <w:rsid w:val="00275490"/>
    <w:rsid w:val="002756F8"/>
    <w:rsid w:val="00275F99"/>
    <w:rsid w:val="00276138"/>
    <w:rsid w:val="002761AA"/>
    <w:rsid w:val="0027646A"/>
    <w:rsid w:val="002765D0"/>
    <w:rsid w:val="00276797"/>
    <w:rsid w:val="0027682C"/>
    <w:rsid w:val="00276851"/>
    <w:rsid w:val="00276892"/>
    <w:rsid w:val="0027689A"/>
    <w:rsid w:val="00277003"/>
    <w:rsid w:val="002770AB"/>
    <w:rsid w:val="002774F1"/>
    <w:rsid w:val="002774F7"/>
    <w:rsid w:val="002779C2"/>
    <w:rsid w:val="00277A0D"/>
    <w:rsid w:val="00277A14"/>
    <w:rsid w:val="00277D0F"/>
    <w:rsid w:val="00277DA1"/>
    <w:rsid w:val="00280282"/>
    <w:rsid w:val="002803BA"/>
    <w:rsid w:val="002803F1"/>
    <w:rsid w:val="002804D8"/>
    <w:rsid w:val="00280C70"/>
    <w:rsid w:val="002811EB"/>
    <w:rsid w:val="0028148B"/>
    <w:rsid w:val="00281513"/>
    <w:rsid w:val="002815FC"/>
    <w:rsid w:val="002818D8"/>
    <w:rsid w:val="00281987"/>
    <w:rsid w:val="002819B7"/>
    <w:rsid w:val="00281D8F"/>
    <w:rsid w:val="0028230A"/>
    <w:rsid w:val="002827E6"/>
    <w:rsid w:val="0028333F"/>
    <w:rsid w:val="00283E2E"/>
    <w:rsid w:val="0028415B"/>
    <w:rsid w:val="00284342"/>
    <w:rsid w:val="002848FF"/>
    <w:rsid w:val="00284F8D"/>
    <w:rsid w:val="00285138"/>
    <w:rsid w:val="002855F3"/>
    <w:rsid w:val="002858F4"/>
    <w:rsid w:val="002862D6"/>
    <w:rsid w:val="0028642D"/>
    <w:rsid w:val="002865E9"/>
    <w:rsid w:val="002866AF"/>
    <w:rsid w:val="00286E39"/>
    <w:rsid w:val="00286E46"/>
    <w:rsid w:val="002904A5"/>
    <w:rsid w:val="00290523"/>
    <w:rsid w:val="0029064F"/>
    <w:rsid w:val="00290F8E"/>
    <w:rsid w:val="00291958"/>
    <w:rsid w:val="00291B72"/>
    <w:rsid w:val="00291CEB"/>
    <w:rsid w:val="00291D78"/>
    <w:rsid w:val="002921EB"/>
    <w:rsid w:val="00292201"/>
    <w:rsid w:val="002924A0"/>
    <w:rsid w:val="0029255A"/>
    <w:rsid w:val="00293458"/>
    <w:rsid w:val="0029353E"/>
    <w:rsid w:val="00293C32"/>
    <w:rsid w:val="00294504"/>
    <w:rsid w:val="0029460D"/>
    <w:rsid w:val="00294BC2"/>
    <w:rsid w:val="00295000"/>
    <w:rsid w:val="00295079"/>
    <w:rsid w:val="002951CF"/>
    <w:rsid w:val="00295231"/>
    <w:rsid w:val="00295890"/>
    <w:rsid w:val="00296312"/>
    <w:rsid w:val="00297484"/>
    <w:rsid w:val="00297866"/>
    <w:rsid w:val="002A0404"/>
    <w:rsid w:val="002A0688"/>
    <w:rsid w:val="002A07E8"/>
    <w:rsid w:val="002A0A1E"/>
    <w:rsid w:val="002A1099"/>
    <w:rsid w:val="002A1998"/>
    <w:rsid w:val="002A1B17"/>
    <w:rsid w:val="002A1B65"/>
    <w:rsid w:val="002A1C88"/>
    <w:rsid w:val="002A2387"/>
    <w:rsid w:val="002A2510"/>
    <w:rsid w:val="002A25A6"/>
    <w:rsid w:val="002A3BED"/>
    <w:rsid w:val="002A3EF7"/>
    <w:rsid w:val="002A3FF2"/>
    <w:rsid w:val="002A40D2"/>
    <w:rsid w:val="002A435C"/>
    <w:rsid w:val="002A45E8"/>
    <w:rsid w:val="002A495D"/>
    <w:rsid w:val="002A4988"/>
    <w:rsid w:val="002A4AC0"/>
    <w:rsid w:val="002A4B06"/>
    <w:rsid w:val="002A50EE"/>
    <w:rsid w:val="002A50F7"/>
    <w:rsid w:val="002A5A56"/>
    <w:rsid w:val="002A5E00"/>
    <w:rsid w:val="002A5E60"/>
    <w:rsid w:val="002A5EE7"/>
    <w:rsid w:val="002A6240"/>
    <w:rsid w:val="002A639C"/>
    <w:rsid w:val="002A64BD"/>
    <w:rsid w:val="002A683B"/>
    <w:rsid w:val="002A6EEA"/>
    <w:rsid w:val="002A7261"/>
    <w:rsid w:val="002A7797"/>
    <w:rsid w:val="002A7B54"/>
    <w:rsid w:val="002B0B42"/>
    <w:rsid w:val="002B0E90"/>
    <w:rsid w:val="002B201B"/>
    <w:rsid w:val="002B20E7"/>
    <w:rsid w:val="002B2A22"/>
    <w:rsid w:val="002B2B52"/>
    <w:rsid w:val="002B3112"/>
    <w:rsid w:val="002B32D4"/>
    <w:rsid w:val="002B3724"/>
    <w:rsid w:val="002B3E38"/>
    <w:rsid w:val="002B3F18"/>
    <w:rsid w:val="002B3F51"/>
    <w:rsid w:val="002B40B9"/>
    <w:rsid w:val="002B42CD"/>
    <w:rsid w:val="002B42F3"/>
    <w:rsid w:val="002B4476"/>
    <w:rsid w:val="002B4848"/>
    <w:rsid w:val="002B4D02"/>
    <w:rsid w:val="002B4D20"/>
    <w:rsid w:val="002B4F2A"/>
    <w:rsid w:val="002B5250"/>
    <w:rsid w:val="002B538A"/>
    <w:rsid w:val="002B53C2"/>
    <w:rsid w:val="002B555F"/>
    <w:rsid w:val="002B55A7"/>
    <w:rsid w:val="002B58A5"/>
    <w:rsid w:val="002B5ED9"/>
    <w:rsid w:val="002B644E"/>
    <w:rsid w:val="002B670A"/>
    <w:rsid w:val="002B679A"/>
    <w:rsid w:val="002B6E20"/>
    <w:rsid w:val="002B6FF2"/>
    <w:rsid w:val="002B760E"/>
    <w:rsid w:val="002B78F9"/>
    <w:rsid w:val="002B7ED7"/>
    <w:rsid w:val="002C06CA"/>
    <w:rsid w:val="002C07F7"/>
    <w:rsid w:val="002C0A19"/>
    <w:rsid w:val="002C0D89"/>
    <w:rsid w:val="002C106B"/>
    <w:rsid w:val="002C18FA"/>
    <w:rsid w:val="002C1B41"/>
    <w:rsid w:val="002C1C69"/>
    <w:rsid w:val="002C2435"/>
    <w:rsid w:val="002C27FD"/>
    <w:rsid w:val="002C29A3"/>
    <w:rsid w:val="002C2C8E"/>
    <w:rsid w:val="002C36A7"/>
    <w:rsid w:val="002C39BE"/>
    <w:rsid w:val="002C575E"/>
    <w:rsid w:val="002C5D57"/>
    <w:rsid w:val="002C5F68"/>
    <w:rsid w:val="002C6818"/>
    <w:rsid w:val="002C6D53"/>
    <w:rsid w:val="002C6FA7"/>
    <w:rsid w:val="002C6FE2"/>
    <w:rsid w:val="002C7329"/>
    <w:rsid w:val="002C7B8A"/>
    <w:rsid w:val="002D0849"/>
    <w:rsid w:val="002D0FE4"/>
    <w:rsid w:val="002D15E3"/>
    <w:rsid w:val="002D1656"/>
    <w:rsid w:val="002D192E"/>
    <w:rsid w:val="002D22B6"/>
    <w:rsid w:val="002D234D"/>
    <w:rsid w:val="002D250C"/>
    <w:rsid w:val="002D28A2"/>
    <w:rsid w:val="002D2CC7"/>
    <w:rsid w:val="002D2EF1"/>
    <w:rsid w:val="002D3014"/>
    <w:rsid w:val="002D3132"/>
    <w:rsid w:val="002D332F"/>
    <w:rsid w:val="002D3C12"/>
    <w:rsid w:val="002D3E1F"/>
    <w:rsid w:val="002D3F61"/>
    <w:rsid w:val="002D40AD"/>
    <w:rsid w:val="002D40FC"/>
    <w:rsid w:val="002D41A6"/>
    <w:rsid w:val="002D41FF"/>
    <w:rsid w:val="002D4373"/>
    <w:rsid w:val="002D4567"/>
    <w:rsid w:val="002D4642"/>
    <w:rsid w:val="002D4C8C"/>
    <w:rsid w:val="002D5294"/>
    <w:rsid w:val="002D54CA"/>
    <w:rsid w:val="002D54F1"/>
    <w:rsid w:val="002D559E"/>
    <w:rsid w:val="002D55FB"/>
    <w:rsid w:val="002D583E"/>
    <w:rsid w:val="002D5E9F"/>
    <w:rsid w:val="002D624B"/>
    <w:rsid w:val="002D6615"/>
    <w:rsid w:val="002D6674"/>
    <w:rsid w:val="002D6D29"/>
    <w:rsid w:val="002D6FE2"/>
    <w:rsid w:val="002D6FFD"/>
    <w:rsid w:val="002D7680"/>
    <w:rsid w:val="002D76BD"/>
    <w:rsid w:val="002E045B"/>
    <w:rsid w:val="002E04AF"/>
    <w:rsid w:val="002E0CFB"/>
    <w:rsid w:val="002E0F6F"/>
    <w:rsid w:val="002E1293"/>
    <w:rsid w:val="002E14C1"/>
    <w:rsid w:val="002E1560"/>
    <w:rsid w:val="002E159A"/>
    <w:rsid w:val="002E164F"/>
    <w:rsid w:val="002E16E5"/>
    <w:rsid w:val="002E183E"/>
    <w:rsid w:val="002E1AB6"/>
    <w:rsid w:val="002E1C40"/>
    <w:rsid w:val="002E200F"/>
    <w:rsid w:val="002E299C"/>
    <w:rsid w:val="002E35DC"/>
    <w:rsid w:val="002E3720"/>
    <w:rsid w:val="002E3A1B"/>
    <w:rsid w:val="002E3B6E"/>
    <w:rsid w:val="002E4008"/>
    <w:rsid w:val="002E42B1"/>
    <w:rsid w:val="002E43A2"/>
    <w:rsid w:val="002E4CE6"/>
    <w:rsid w:val="002E4E3C"/>
    <w:rsid w:val="002E5197"/>
    <w:rsid w:val="002E5F6C"/>
    <w:rsid w:val="002E6022"/>
    <w:rsid w:val="002E6113"/>
    <w:rsid w:val="002E6AE4"/>
    <w:rsid w:val="002E73FE"/>
    <w:rsid w:val="002E7DF2"/>
    <w:rsid w:val="002F025C"/>
    <w:rsid w:val="002F164D"/>
    <w:rsid w:val="002F1901"/>
    <w:rsid w:val="002F2519"/>
    <w:rsid w:val="002F3080"/>
    <w:rsid w:val="002F3909"/>
    <w:rsid w:val="002F3A13"/>
    <w:rsid w:val="002F3FC5"/>
    <w:rsid w:val="002F4254"/>
    <w:rsid w:val="002F43D4"/>
    <w:rsid w:val="002F4D08"/>
    <w:rsid w:val="002F4F3F"/>
    <w:rsid w:val="002F511A"/>
    <w:rsid w:val="002F531B"/>
    <w:rsid w:val="002F55AB"/>
    <w:rsid w:val="002F5AB3"/>
    <w:rsid w:val="002F5BE0"/>
    <w:rsid w:val="002F5C1B"/>
    <w:rsid w:val="002F5C26"/>
    <w:rsid w:val="002F5E8E"/>
    <w:rsid w:val="002F61E9"/>
    <w:rsid w:val="002F6231"/>
    <w:rsid w:val="002F6A0C"/>
    <w:rsid w:val="002F6CE6"/>
    <w:rsid w:val="002F6D1D"/>
    <w:rsid w:val="002F6ECB"/>
    <w:rsid w:val="002F7311"/>
    <w:rsid w:val="002F78A8"/>
    <w:rsid w:val="002F79E8"/>
    <w:rsid w:val="002F7FC3"/>
    <w:rsid w:val="002F7FF2"/>
    <w:rsid w:val="003006EF"/>
    <w:rsid w:val="00300E17"/>
    <w:rsid w:val="00300F9F"/>
    <w:rsid w:val="003010E8"/>
    <w:rsid w:val="00302F9E"/>
    <w:rsid w:val="0030306C"/>
    <w:rsid w:val="003039E0"/>
    <w:rsid w:val="00303C54"/>
    <w:rsid w:val="00304051"/>
    <w:rsid w:val="0030459A"/>
    <w:rsid w:val="00304CFF"/>
    <w:rsid w:val="00304EA5"/>
    <w:rsid w:val="00304F0D"/>
    <w:rsid w:val="003057A7"/>
    <w:rsid w:val="00305D2F"/>
    <w:rsid w:val="00305F40"/>
    <w:rsid w:val="0030650D"/>
    <w:rsid w:val="003065AD"/>
    <w:rsid w:val="00306C2C"/>
    <w:rsid w:val="00306C5E"/>
    <w:rsid w:val="00306EAA"/>
    <w:rsid w:val="003074F9"/>
    <w:rsid w:val="003075A0"/>
    <w:rsid w:val="00307775"/>
    <w:rsid w:val="00310845"/>
    <w:rsid w:val="00310ADA"/>
    <w:rsid w:val="00310E9C"/>
    <w:rsid w:val="0031101B"/>
    <w:rsid w:val="00311733"/>
    <w:rsid w:val="00312550"/>
    <w:rsid w:val="0031261C"/>
    <w:rsid w:val="003129E6"/>
    <w:rsid w:val="003131FA"/>
    <w:rsid w:val="0031332F"/>
    <w:rsid w:val="0031379B"/>
    <w:rsid w:val="00314068"/>
    <w:rsid w:val="00314430"/>
    <w:rsid w:val="0031461F"/>
    <w:rsid w:val="00314FA1"/>
    <w:rsid w:val="003155C1"/>
    <w:rsid w:val="00315725"/>
    <w:rsid w:val="00315CE0"/>
    <w:rsid w:val="00316E3F"/>
    <w:rsid w:val="00316EDF"/>
    <w:rsid w:val="00316F13"/>
    <w:rsid w:val="00317674"/>
    <w:rsid w:val="0031775C"/>
    <w:rsid w:val="0031787E"/>
    <w:rsid w:val="00317A2C"/>
    <w:rsid w:val="00317BD8"/>
    <w:rsid w:val="00320579"/>
    <w:rsid w:val="00320620"/>
    <w:rsid w:val="003210E4"/>
    <w:rsid w:val="00321292"/>
    <w:rsid w:val="00321636"/>
    <w:rsid w:val="00322061"/>
    <w:rsid w:val="00322079"/>
    <w:rsid w:val="003227FC"/>
    <w:rsid w:val="0032330F"/>
    <w:rsid w:val="00323493"/>
    <w:rsid w:val="003234B4"/>
    <w:rsid w:val="003235FE"/>
    <w:rsid w:val="00323CA5"/>
    <w:rsid w:val="00324875"/>
    <w:rsid w:val="00324B15"/>
    <w:rsid w:val="00324DCE"/>
    <w:rsid w:val="00324ED3"/>
    <w:rsid w:val="0032561C"/>
    <w:rsid w:val="00325AA5"/>
    <w:rsid w:val="00325E57"/>
    <w:rsid w:val="00326B83"/>
    <w:rsid w:val="00326EFC"/>
    <w:rsid w:val="00326F2B"/>
    <w:rsid w:val="00326F50"/>
    <w:rsid w:val="00327463"/>
    <w:rsid w:val="00327551"/>
    <w:rsid w:val="00327638"/>
    <w:rsid w:val="00327AD7"/>
    <w:rsid w:val="00327BDE"/>
    <w:rsid w:val="00327DAC"/>
    <w:rsid w:val="0033003C"/>
    <w:rsid w:val="003300FE"/>
    <w:rsid w:val="003306DB"/>
    <w:rsid w:val="00330810"/>
    <w:rsid w:val="00331768"/>
    <w:rsid w:val="00331C68"/>
    <w:rsid w:val="00331EA5"/>
    <w:rsid w:val="00332712"/>
    <w:rsid w:val="00332895"/>
    <w:rsid w:val="00332BEB"/>
    <w:rsid w:val="00332CE5"/>
    <w:rsid w:val="00332FCA"/>
    <w:rsid w:val="00333044"/>
    <w:rsid w:val="00333AD8"/>
    <w:rsid w:val="00333CD6"/>
    <w:rsid w:val="00333FA5"/>
    <w:rsid w:val="003347B7"/>
    <w:rsid w:val="00334E02"/>
    <w:rsid w:val="0033523D"/>
    <w:rsid w:val="0033539B"/>
    <w:rsid w:val="00335688"/>
    <w:rsid w:val="00335A1A"/>
    <w:rsid w:val="00335AE6"/>
    <w:rsid w:val="00335DA1"/>
    <w:rsid w:val="00335F36"/>
    <w:rsid w:val="003362D4"/>
    <w:rsid w:val="00336764"/>
    <w:rsid w:val="003369E5"/>
    <w:rsid w:val="00336B13"/>
    <w:rsid w:val="0033707D"/>
    <w:rsid w:val="003372E5"/>
    <w:rsid w:val="00337336"/>
    <w:rsid w:val="00337725"/>
    <w:rsid w:val="00337EB2"/>
    <w:rsid w:val="00337FBD"/>
    <w:rsid w:val="00340182"/>
    <w:rsid w:val="00340461"/>
    <w:rsid w:val="0034091D"/>
    <w:rsid w:val="0034116E"/>
    <w:rsid w:val="00341773"/>
    <w:rsid w:val="0034194B"/>
    <w:rsid w:val="0034198A"/>
    <w:rsid w:val="00341BD1"/>
    <w:rsid w:val="00341CD1"/>
    <w:rsid w:val="00342F30"/>
    <w:rsid w:val="00342FE2"/>
    <w:rsid w:val="003431B4"/>
    <w:rsid w:val="00343567"/>
    <w:rsid w:val="00344408"/>
    <w:rsid w:val="00344D08"/>
    <w:rsid w:val="0034508C"/>
    <w:rsid w:val="00345097"/>
    <w:rsid w:val="00345233"/>
    <w:rsid w:val="003458FB"/>
    <w:rsid w:val="00345B70"/>
    <w:rsid w:val="00345F46"/>
    <w:rsid w:val="003461B5"/>
    <w:rsid w:val="00346607"/>
    <w:rsid w:val="00346D76"/>
    <w:rsid w:val="0034756D"/>
    <w:rsid w:val="00347582"/>
    <w:rsid w:val="00347992"/>
    <w:rsid w:val="00347A96"/>
    <w:rsid w:val="00347B61"/>
    <w:rsid w:val="003500FA"/>
    <w:rsid w:val="00350A2E"/>
    <w:rsid w:val="00350AEA"/>
    <w:rsid w:val="00350E6C"/>
    <w:rsid w:val="00350E6F"/>
    <w:rsid w:val="00350F5C"/>
    <w:rsid w:val="0035121A"/>
    <w:rsid w:val="00351652"/>
    <w:rsid w:val="0035240B"/>
    <w:rsid w:val="003525C3"/>
    <w:rsid w:val="00352966"/>
    <w:rsid w:val="00352A24"/>
    <w:rsid w:val="00352AB8"/>
    <w:rsid w:val="00352B4A"/>
    <w:rsid w:val="00352BC4"/>
    <w:rsid w:val="00352E7A"/>
    <w:rsid w:val="00352FCE"/>
    <w:rsid w:val="00353183"/>
    <w:rsid w:val="00354370"/>
    <w:rsid w:val="0035452E"/>
    <w:rsid w:val="00354987"/>
    <w:rsid w:val="00354A54"/>
    <w:rsid w:val="00354FC1"/>
    <w:rsid w:val="00355220"/>
    <w:rsid w:val="003554D1"/>
    <w:rsid w:val="003555E2"/>
    <w:rsid w:val="0035561D"/>
    <w:rsid w:val="00355BC4"/>
    <w:rsid w:val="00355FC4"/>
    <w:rsid w:val="00356384"/>
    <w:rsid w:val="003571C4"/>
    <w:rsid w:val="00357541"/>
    <w:rsid w:val="00357C9E"/>
    <w:rsid w:val="00360017"/>
    <w:rsid w:val="00360735"/>
    <w:rsid w:val="003609C7"/>
    <w:rsid w:val="00360A9B"/>
    <w:rsid w:val="00360BC9"/>
    <w:rsid w:val="0036122F"/>
    <w:rsid w:val="003622D9"/>
    <w:rsid w:val="003627B3"/>
    <w:rsid w:val="00362FD9"/>
    <w:rsid w:val="00363080"/>
    <w:rsid w:val="00363806"/>
    <w:rsid w:val="003639A8"/>
    <w:rsid w:val="00364440"/>
    <w:rsid w:val="003649C0"/>
    <w:rsid w:val="00364F47"/>
    <w:rsid w:val="00364FD8"/>
    <w:rsid w:val="00365387"/>
    <w:rsid w:val="00365649"/>
    <w:rsid w:val="00365BA2"/>
    <w:rsid w:val="00366578"/>
    <w:rsid w:val="00366683"/>
    <w:rsid w:val="00366709"/>
    <w:rsid w:val="0036688E"/>
    <w:rsid w:val="00367002"/>
    <w:rsid w:val="00367088"/>
    <w:rsid w:val="003679FA"/>
    <w:rsid w:val="003704D8"/>
    <w:rsid w:val="00370694"/>
    <w:rsid w:val="0037088E"/>
    <w:rsid w:val="003708BD"/>
    <w:rsid w:val="00370BEE"/>
    <w:rsid w:val="003718DA"/>
    <w:rsid w:val="00371CEB"/>
    <w:rsid w:val="00371FD0"/>
    <w:rsid w:val="00372397"/>
    <w:rsid w:val="003723DE"/>
    <w:rsid w:val="003724F5"/>
    <w:rsid w:val="0037250B"/>
    <w:rsid w:val="0037265B"/>
    <w:rsid w:val="00372912"/>
    <w:rsid w:val="00373129"/>
    <w:rsid w:val="0037324A"/>
    <w:rsid w:val="00373F4A"/>
    <w:rsid w:val="00374224"/>
    <w:rsid w:val="00374CF5"/>
    <w:rsid w:val="00374FC3"/>
    <w:rsid w:val="00375083"/>
    <w:rsid w:val="0037572C"/>
    <w:rsid w:val="0037612F"/>
    <w:rsid w:val="00376154"/>
    <w:rsid w:val="003768CF"/>
    <w:rsid w:val="00376C35"/>
    <w:rsid w:val="00376D8E"/>
    <w:rsid w:val="00376E76"/>
    <w:rsid w:val="003771D5"/>
    <w:rsid w:val="0037749D"/>
    <w:rsid w:val="00377C08"/>
    <w:rsid w:val="00377C2C"/>
    <w:rsid w:val="003801B5"/>
    <w:rsid w:val="00380454"/>
    <w:rsid w:val="00380577"/>
    <w:rsid w:val="0038057B"/>
    <w:rsid w:val="00380B9B"/>
    <w:rsid w:val="00380D3D"/>
    <w:rsid w:val="0038104B"/>
    <w:rsid w:val="0038123A"/>
    <w:rsid w:val="003812AB"/>
    <w:rsid w:val="003818D1"/>
    <w:rsid w:val="00381D97"/>
    <w:rsid w:val="003821BE"/>
    <w:rsid w:val="0038282B"/>
    <w:rsid w:val="00382C67"/>
    <w:rsid w:val="00383594"/>
    <w:rsid w:val="003836B4"/>
    <w:rsid w:val="003837C0"/>
    <w:rsid w:val="00383DA5"/>
    <w:rsid w:val="00383F4F"/>
    <w:rsid w:val="00384BA5"/>
    <w:rsid w:val="00384E4F"/>
    <w:rsid w:val="00384F7F"/>
    <w:rsid w:val="003854BB"/>
    <w:rsid w:val="0038641A"/>
    <w:rsid w:val="00386B51"/>
    <w:rsid w:val="00386D6F"/>
    <w:rsid w:val="003870AC"/>
    <w:rsid w:val="003873F4"/>
    <w:rsid w:val="00387D4C"/>
    <w:rsid w:val="00390041"/>
    <w:rsid w:val="0039046E"/>
    <w:rsid w:val="00390846"/>
    <w:rsid w:val="00390ED2"/>
    <w:rsid w:val="003911E2"/>
    <w:rsid w:val="0039150A"/>
    <w:rsid w:val="00391599"/>
    <w:rsid w:val="003918AC"/>
    <w:rsid w:val="003919C0"/>
    <w:rsid w:val="003919F5"/>
    <w:rsid w:val="00391CAE"/>
    <w:rsid w:val="00392380"/>
    <w:rsid w:val="003928B4"/>
    <w:rsid w:val="00392C49"/>
    <w:rsid w:val="00394589"/>
    <w:rsid w:val="00394B74"/>
    <w:rsid w:val="00394F07"/>
    <w:rsid w:val="00395048"/>
    <w:rsid w:val="00395156"/>
    <w:rsid w:val="003951A2"/>
    <w:rsid w:val="00396254"/>
    <w:rsid w:val="003962AB"/>
    <w:rsid w:val="00396924"/>
    <w:rsid w:val="00396A2F"/>
    <w:rsid w:val="00396CF2"/>
    <w:rsid w:val="00396DBB"/>
    <w:rsid w:val="00396F9B"/>
    <w:rsid w:val="0039736D"/>
    <w:rsid w:val="00397A0D"/>
    <w:rsid w:val="00397AB0"/>
    <w:rsid w:val="00397E8F"/>
    <w:rsid w:val="003A05BC"/>
    <w:rsid w:val="003A0D6E"/>
    <w:rsid w:val="003A0E71"/>
    <w:rsid w:val="003A1124"/>
    <w:rsid w:val="003A14CF"/>
    <w:rsid w:val="003A1500"/>
    <w:rsid w:val="003A1B08"/>
    <w:rsid w:val="003A1B81"/>
    <w:rsid w:val="003A1FAA"/>
    <w:rsid w:val="003A2113"/>
    <w:rsid w:val="003A22BB"/>
    <w:rsid w:val="003A2FA7"/>
    <w:rsid w:val="003A314F"/>
    <w:rsid w:val="003A3978"/>
    <w:rsid w:val="003A3A01"/>
    <w:rsid w:val="003A4240"/>
    <w:rsid w:val="003A43B9"/>
    <w:rsid w:val="003A45A1"/>
    <w:rsid w:val="003A46D0"/>
    <w:rsid w:val="003A4A0A"/>
    <w:rsid w:val="003A4B9E"/>
    <w:rsid w:val="003A4EDF"/>
    <w:rsid w:val="003A57A0"/>
    <w:rsid w:val="003A5A59"/>
    <w:rsid w:val="003A61A3"/>
    <w:rsid w:val="003A62B8"/>
    <w:rsid w:val="003A6357"/>
    <w:rsid w:val="003A6413"/>
    <w:rsid w:val="003A659E"/>
    <w:rsid w:val="003A688A"/>
    <w:rsid w:val="003A72EF"/>
    <w:rsid w:val="003A73ED"/>
    <w:rsid w:val="003A7527"/>
    <w:rsid w:val="003A7555"/>
    <w:rsid w:val="003A7C1B"/>
    <w:rsid w:val="003A7CDC"/>
    <w:rsid w:val="003A7D90"/>
    <w:rsid w:val="003B00F0"/>
    <w:rsid w:val="003B0E89"/>
    <w:rsid w:val="003B19CB"/>
    <w:rsid w:val="003B2604"/>
    <w:rsid w:val="003B26C4"/>
    <w:rsid w:val="003B29BD"/>
    <w:rsid w:val="003B2D5F"/>
    <w:rsid w:val="003B2F8B"/>
    <w:rsid w:val="003B37C3"/>
    <w:rsid w:val="003B3924"/>
    <w:rsid w:val="003B3D5E"/>
    <w:rsid w:val="003B3EE1"/>
    <w:rsid w:val="003B450A"/>
    <w:rsid w:val="003B52B1"/>
    <w:rsid w:val="003B5B2C"/>
    <w:rsid w:val="003B5D7C"/>
    <w:rsid w:val="003B6030"/>
    <w:rsid w:val="003B61E5"/>
    <w:rsid w:val="003B639D"/>
    <w:rsid w:val="003B6B80"/>
    <w:rsid w:val="003B6BC9"/>
    <w:rsid w:val="003B6ED5"/>
    <w:rsid w:val="003B7344"/>
    <w:rsid w:val="003B776E"/>
    <w:rsid w:val="003B77CA"/>
    <w:rsid w:val="003B7807"/>
    <w:rsid w:val="003B7F6E"/>
    <w:rsid w:val="003B7F75"/>
    <w:rsid w:val="003C03BF"/>
    <w:rsid w:val="003C0CC5"/>
    <w:rsid w:val="003C0F01"/>
    <w:rsid w:val="003C10FD"/>
    <w:rsid w:val="003C18BD"/>
    <w:rsid w:val="003C1A71"/>
    <w:rsid w:val="003C1BAD"/>
    <w:rsid w:val="003C212E"/>
    <w:rsid w:val="003C2A32"/>
    <w:rsid w:val="003C312A"/>
    <w:rsid w:val="003C3798"/>
    <w:rsid w:val="003C45CD"/>
    <w:rsid w:val="003C4696"/>
    <w:rsid w:val="003C492E"/>
    <w:rsid w:val="003C4A6B"/>
    <w:rsid w:val="003C4B9B"/>
    <w:rsid w:val="003C712D"/>
    <w:rsid w:val="003D10E9"/>
    <w:rsid w:val="003D170D"/>
    <w:rsid w:val="003D1BD6"/>
    <w:rsid w:val="003D1F52"/>
    <w:rsid w:val="003D291D"/>
    <w:rsid w:val="003D2A7F"/>
    <w:rsid w:val="003D2D2A"/>
    <w:rsid w:val="003D2F98"/>
    <w:rsid w:val="003D3141"/>
    <w:rsid w:val="003D3E2A"/>
    <w:rsid w:val="003D3E72"/>
    <w:rsid w:val="003D4159"/>
    <w:rsid w:val="003D484A"/>
    <w:rsid w:val="003D4A40"/>
    <w:rsid w:val="003D4BEC"/>
    <w:rsid w:val="003D4C14"/>
    <w:rsid w:val="003D4E93"/>
    <w:rsid w:val="003D516A"/>
    <w:rsid w:val="003D51C9"/>
    <w:rsid w:val="003D52B2"/>
    <w:rsid w:val="003D5698"/>
    <w:rsid w:val="003D6346"/>
    <w:rsid w:val="003D6383"/>
    <w:rsid w:val="003D7288"/>
    <w:rsid w:val="003D72E5"/>
    <w:rsid w:val="003D76D7"/>
    <w:rsid w:val="003D7EA4"/>
    <w:rsid w:val="003D7EBC"/>
    <w:rsid w:val="003E0030"/>
    <w:rsid w:val="003E00F1"/>
    <w:rsid w:val="003E0523"/>
    <w:rsid w:val="003E0C92"/>
    <w:rsid w:val="003E15D1"/>
    <w:rsid w:val="003E18E7"/>
    <w:rsid w:val="003E23A6"/>
    <w:rsid w:val="003E252A"/>
    <w:rsid w:val="003E2594"/>
    <w:rsid w:val="003E28DB"/>
    <w:rsid w:val="003E2918"/>
    <w:rsid w:val="003E3336"/>
    <w:rsid w:val="003E35E0"/>
    <w:rsid w:val="003E3826"/>
    <w:rsid w:val="003E39FA"/>
    <w:rsid w:val="003E3F54"/>
    <w:rsid w:val="003E48D2"/>
    <w:rsid w:val="003E4D17"/>
    <w:rsid w:val="003E52B1"/>
    <w:rsid w:val="003E52E3"/>
    <w:rsid w:val="003E5909"/>
    <w:rsid w:val="003E6223"/>
    <w:rsid w:val="003E6949"/>
    <w:rsid w:val="003E71F0"/>
    <w:rsid w:val="003E7364"/>
    <w:rsid w:val="003E74D6"/>
    <w:rsid w:val="003E7954"/>
    <w:rsid w:val="003E7BA1"/>
    <w:rsid w:val="003E7C62"/>
    <w:rsid w:val="003E7DEF"/>
    <w:rsid w:val="003F0201"/>
    <w:rsid w:val="003F0D7E"/>
    <w:rsid w:val="003F0F84"/>
    <w:rsid w:val="003F1ACF"/>
    <w:rsid w:val="003F1C45"/>
    <w:rsid w:val="003F1CE9"/>
    <w:rsid w:val="003F209D"/>
    <w:rsid w:val="003F22DF"/>
    <w:rsid w:val="003F284C"/>
    <w:rsid w:val="003F2BB6"/>
    <w:rsid w:val="003F3386"/>
    <w:rsid w:val="003F3DDD"/>
    <w:rsid w:val="003F44EF"/>
    <w:rsid w:val="003F4946"/>
    <w:rsid w:val="003F4B24"/>
    <w:rsid w:val="003F5691"/>
    <w:rsid w:val="003F5C84"/>
    <w:rsid w:val="003F6DA6"/>
    <w:rsid w:val="003F7216"/>
    <w:rsid w:val="003F74A9"/>
    <w:rsid w:val="003F7588"/>
    <w:rsid w:val="003F75A0"/>
    <w:rsid w:val="003F78DD"/>
    <w:rsid w:val="003F7CF1"/>
    <w:rsid w:val="003F7EA0"/>
    <w:rsid w:val="00400576"/>
    <w:rsid w:val="004007F8"/>
    <w:rsid w:val="0040082F"/>
    <w:rsid w:val="00400890"/>
    <w:rsid w:val="00400BED"/>
    <w:rsid w:val="00401471"/>
    <w:rsid w:val="0040184C"/>
    <w:rsid w:val="00401C5B"/>
    <w:rsid w:val="0040220F"/>
    <w:rsid w:val="00402446"/>
    <w:rsid w:val="004035F4"/>
    <w:rsid w:val="0040474F"/>
    <w:rsid w:val="00404D1F"/>
    <w:rsid w:val="00405144"/>
    <w:rsid w:val="00405BBE"/>
    <w:rsid w:val="004061E7"/>
    <w:rsid w:val="00406499"/>
    <w:rsid w:val="004065A6"/>
    <w:rsid w:val="00406690"/>
    <w:rsid w:val="00406C08"/>
    <w:rsid w:val="00407096"/>
    <w:rsid w:val="004074EE"/>
    <w:rsid w:val="00407708"/>
    <w:rsid w:val="00407EDB"/>
    <w:rsid w:val="00407F53"/>
    <w:rsid w:val="00410B94"/>
    <w:rsid w:val="00410C53"/>
    <w:rsid w:val="00410D28"/>
    <w:rsid w:val="00410D9D"/>
    <w:rsid w:val="00411455"/>
    <w:rsid w:val="0041168F"/>
    <w:rsid w:val="00411C20"/>
    <w:rsid w:val="00411D93"/>
    <w:rsid w:val="00411FDE"/>
    <w:rsid w:val="004123CD"/>
    <w:rsid w:val="0041243B"/>
    <w:rsid w:val="004125C6"/>
    <w:rsid w:val="00413195"/>
    <w:rsid w:val="0041354A"/>
    <w:rsid w:val="00413A4B"/>
    <w:rsid w:val="00413A6E"/>
    <w:rsid w:val="00413AF9"/>
    <w:rsid w:val="00413AFB"/>
    <w:rsid w:val="00413C08"/>
    <w:rsid w:val="004140BE"/>
    <w:rsid w:val="00414233"/>
    <w:rsid w:val="00414D59"/>
    <w:rsid w:val="00415207"/>
    <w:rsid w:val="0041558C"/>
    <w:rsid w:val="004163B4"/>
    <w:rsid w:val="00416407"/>
    <w:rsid w:val="004165B5"/>
    <w:rsid w:val="00416E14"/>
    <w:rsid w:val="00416EAE"/>
    <w:rsid w:val="00417460"/>
    <w:rsid w:val="00417B76"/>
    <w:rsid w:val="004201EB"/>
    <w:rsid w:val="0042022E"/>
    <w:rsid w:val="00420552"/>
    <w:rsid w:val="0042100C"/>
    <w:rsid w:val="004218C8"/>
    <w:rsid w:val="00421953"/>
    <w:rsid w:val="00422353"/>
    <w:rsid w:val="0042258E"/>
    <w:rsid w:val="004225FB"/>
    <w:rsid w:val="00422686"/>
    <w:rsid w:val="00423017"/>
    <w:rsid w:val="00423184"/>
    <w:rsid w:val="004236D2"/>
    <w:rsid w:val="00423989"/>
    <w:rsid w:val="00423BE1"/>
    <w:rsid w:val="00423FB6"/>
    <w:rsid w:val="004243FB"/>
    <w:rsid w:val="00424628"/>
    <w:rsid w:val="00424CE0"/>
    <w:rsid w:val="00424DE5"/>
    <w:rsid w:val="0042503E"/>
    <w:rsid w:val="0042503F"/>
    <w:rsid w:val="00425228"/>
    <w:rsid w:val="00425263"/>
    <w:rsid w:val="00425A72"/>
    <w:rsid w:val="00425C05"/>
    <w:rsid w:val="00425D2C"/>
    <w:rsid w:val="00425F03"/>
    <w:rsid w:val="00426526"/>
    <w:rsid w:val="00426BD6"/>
    <w:rsid w:val="00426D1B"/>
    <w:rsid w:val="00426D6C"/>
    <w:rsid w:val="00427059"/>
    <w:rsid w:val="0042712C"/>
    <w:rsid w:val="004271A5"/>
    <w:rsid w:val="0042727C"/>
    <w:rsid w:val="004272F2"/>
    <w:rsid w:val="00427520"/>
    <w:rsid w:val="00427798"/>
    <w:rsid w:val="00427BCB"/>
    <w:rsid w:val="004300AE"/>
    <w:rsid w:val="00431576"/>
    <w:rsid w:val="004318D4"/>
    <w:rsid w:val="004321C5"/>
    <w:rsid w:val="00434798"/>
    <w:rsid w:val="004349A6"/>
    <w:rsid w:val="004350A8"/>
    <w:rsid w:val="004352E0"/>
    <w:rsid w:val="0043580E"/>
    <w:rsid w:val="00435E87"/>
    <w:rsid w:val="00435F94"/>
    <w:rsid w:val="0043606E"/>
    <w:rsid w:val="00436866"/>
    <w:rsid w:val="00436B42"/>
    <w:rsid w:val="00436F21"/>
    <w:rsid w:val="004370E0"/>
    <w:rsid w:val="0043731F"/>
    <w:rsid w:val="00437437"/>
    <w:rsid w:val="00437770"/>
    <w:rsid w:val="00437A89"/>
    <w:rsid w:val="004401C6"/>
    <w:rsid w:val="004406D4"/>
    <w:rsid w:val="004407E7"/>
    <w:rsid w:val="00440A27"/>
    <w:rsid w:val="00440B0F"/>
    <w:rsid w:val="0044161A"/>
    <w:rsid w:val="00441FFB"/>
    <w:rsid w:val="0044206F"/>
    <w:rsid w:val="00442847"/>
    <w:rsid w:val="00443024"/>
    <w:rsid w:val="00443254"/>
    <w:rsid w:val="004436D1"/>
    <w:rsid w:val="00443902"/>
    <w:rsid w:val="00443E4C"/>
    <w:rsid w:val="00443F48"/>
    <w:rsid w:val="00444CDD"/>
    <w:rsid w:val="00444D4E"/>
    <w:rsid w:val="00444FBA"/>
    <w:rsid w:val="0044561C"/>
    <w:rsid w:val="00445630"/>
    <w:rsid w:val="004460D8"/>
    <w:rsid w:val="004460DA"/>
    <w:rsid w:val="0044618F"/>
    <w:rsid w:val="00446284"/>
    <w:rsid w:val="00446316"/>
    <w:rsid w:val="0044699C"/>
    <w:rsid w:val="00446B74"/>
    <w:rsid w:val="00447076"/>
    <w:rsid w:val="0044713D"/>
    <w:rsid w:val="00447896"/>
    <w:rsid w:val="00447ABD"/>
    <w:rsid w:val="00447FF4"/>
    <w:rsid w:val="00450120"/>
    <w:rsid w:val="004505D6"/>
    <w:rsid w:val="004506B8"/>
    <w:rsid w:val="00450FD6"/>
    <w:rsid w:val="004516BE"/>
    <w:rsid w:val="0045184E"/>
    <w:rsid w:val="00451923"/>
    <w:rsid w:val="00451BB5"/>
    <w:rsid w:val="00451D4E"/>
    <w:rsid w:val="00451F1A"/>
    <w:rsid w:val="004522B7"/>
    <w:rsid w:val="004526AB"/>
    <w:rsid w:val="0045289A"/>
    <w:rsid w:val="00452BC9"/>
    <w:rsid w:val="00452E0A"/>
    <w:rsid w:val="0045307E"/>
    <w:rsid w:val="00453135"/>
    <w:rsid w:val="00453EBA"/>
    <w:rsid w:val="00453FCA"/>
    <w:rsid w:val="00454346"/>
    <w:rsid w:val="004544DE"/>
    <w:rsid w:val="004545BC"/>
    <w:rsid w:val="004547D7"/>
    <w:rsid w:val="00454ABC"/>
    <w:rsid w:val="00454BB1"/>
    <w:rsid w:val="00455A91"/>
    <w:rsid w:val="00455DF7"/>
    <w:rsid w:val="00456227"/>
    <w:rsid w:val="004562E7"/>
    <w:rsid w:val="004565F7"/>
    <w:rsid w:val="0045685C"/>
    <w:rsid w:val="00456991"/>
    <w:rsid w:val="004569FF"/>
    <w:rsid w:val="00456AEF"/>
    <w:rsid w:val="00456E54"/>
    <w:rsid w:val="00456F1D"/>
    <w:rsid w:val="00456FA0"/>
    <w:rsid w:val="00457070"/>
    <w:rsid w:val="004579CC"/>
    <w:rsid w:val="00460396"/>
    <w:rsid w:val="0046054B"/>
    <w:rsid w:val="0046067A"/>
    <w:rsid w:val="00460749"/>
    <w:rsid w:val="00460868"/>
    <w:rsid w:val="00460920"/>
    <w:rsid w:val="00460A75"/>
    <w:rsid w:val="00460AFD"/>
    <w:rsid w:val="00460C3A"/>
    <w:rsid w:val="00460FE8"/>
    <w:rsid w:val="00461686"/>
    <w:rsid w:val="0046168A"/>
    <w:rsid w:val="004617B1"/>
    <w:rsid w:val="00461E3D"/>
    <w:rsid w:val="00462032"/>
    <w:rsid w:val="00463358"/>
    <w:rsid w:val="004635C1"/>
    <w:rsid w:val="0046379D"/>
    <w:rsid w:val="004639F7"/>
    <w:rsid w:val="00463A36"/>
    <w:rsid w:val="00463C01"/>
    <w:rsid w:val="004646FF"/>
    <w:rsid w:val="0046473B"/>
    <w:rsid w:val="0046499A"/>
    <w:rsid w:val="004650F7"/>
    <w:rsid w:val="004651C6"/>
    <w:rsid w:val="004652C3"/>
    <w:rsid w:val="004657AC"/>
    <w:rsid w:val="0046589F"/>
    <w:rsid w:val="0046597A"/>
    <w:rsid w:val="00465DA6"/>
    <w:rsid w:val="00465DD1"/>
    <w:rsid w:val="00465E05"/>
    <w:rsid w:val="00465E1B"/>
    <w:rsid w:val="0046625A"/>
    <w:rsid w:val="0046697D"/>
    <w:rsid w:val="00466AE7"/>
    <w:rsid w:val="00466C6E"/>
    <w:rsid w:val="00466CF3"/>
    <w:rsid w:val="00467071"/>
    <w:rsid w:val="004675ED"/>
    <w:rsid w:val="00467AF0"/>
    <w:rsid w:val="00467C41"/>
    <w:rsid w:val="00470056"/>
    <w:rsid w:val="00470165"/>
    <w:rsid w:val="00470A05"/>
    <w:rsid w:val="00472264"/>
    <w:rsid w:val="004723C5"/>
    <w:rsid w:val="00472553"/>
    <w:rsid w:val="00472905"/>
    <w:rsid w:val="00472FAF"/>
    <w:rsid w:val="00473023"/>
    <w:rsid w:val="0047360E"/>
    <w:rsid w:val="00473E92"/>
    <w:rsid w:val="0047415C"/>
    <w:rsid w:val="00474665"/>
    <w:rsid w:val="00474BD5"/>
    <w:rsid w:val="00474DD7"/>
    <w:rsid w:val="00474EE5"/>
    <w:rsid w:val="00474F62"/>
    <w:rsid w:val="00474F91"/>
    <w:rsid w:val="00475EF6"/>
    <w:rsid w:val="00476160"/>
    <w:rsid w:val="00476ACF"/>
    <w:rsid w:val="00477A51"/>
    <w:rsid w:val="00480895"/>
    <w:rsid w:val="00480E9D"/>
    <w:rsid w:val="0048124A"/>
    <w:rsid w:val="004812A8"/>
    <w:rsid w:val="00481ACC"/>
    <w:rsid w:val="00482031"/>
    <w:rsid w:val="004820CE"/>
    <w:rsid w:val="00482510"/>
    <w:rsid w:val="004825CF"/>
    <w:rsid w:val="004830BA"/>
    <w:rsid w:val="004836EC"/>
    <w:rsid w:val="0048377D"/>
    <w:rsid w:val="00483AC1"/>
    <w:rsid w:val="00483CC6"/>
    <w:rsid w:val="00483FFA"/>
    <w:rsid w:val="0048411A"/>
    <w:rsid w:val="0048449C"/>
    <w:rsid w:val="0048469D"/>
    <w:rsid w:val="004846C4"/>
    <w:rsid w:val="00484B2E"/>
    <w:rsid w:val="00484C93"/>
    <w:rsid w:val="00484CF8"/>
    <w:rsid w:val="00484DC7"/>
    <w:rsid w:val="00484FAF"/>
    <w:rsid w:val="0048534E"/>
    <w:rsid w:val="0048559F"/>
    <w:rsid w:val="00485DB5"/>
    <w:rsid w:val="0048657E"/>
    <w:rsid w:val="00486649"/>
    <w:rsid w:val="00486E70"/>
    <w:rsid w:val="00487411"/>
    <w:rsid w:val="004875E9"/>
    <w:rsid w:val="00490458"/>
    <w:rsid w:val="0049059C"/>
    <w:rsid w:val="00490794"/>
    <w:rsid w:val="004907C1"/>
    <w:rsid w:val="0049088E"/>
    <w:rsid w:val="004909B2"/>
    <w:rsid w:val="00490A00"/>
    <w:rsid w:val="00490A78"/>
    <w:rsid w:val="0049146C"/>
    <w:rsid w:val="004918BF"/>
    <w:rsid w:val="00491D88"/>
    <w:rsid w:val="00491E6F"/>
    <w:rsid w:val="00491ED4"/>
    <w:rsid w:val="00492F37"/>
    <w:rsid w:val="0049309E"/>
    <w:rsid w:val="004931B0"/>
    <w:rsid w:val="004931C2"/>
    <w:rsid w:val="00494121"/>
    <w:rsid w:val="0049522A"/>
    <w:rsid w:val="00495BD6"/>
    <w:rsid w:val="00496134"/>
    <w:rsid w:val="00496590"/>
    <w:rsid w:val="00496928"/>
    <w:rsid w:val="0049696A"/>
    <w:rsid w:val="00496BE8"/>
    <w:rsid w:val="00497A18"/>
    <w:rsid w:val="00497ECD"/>
    <w:rsid w:val="004A0095"/>
    <w:rsid w:val="004A0AE5"/>
    <w:rsid w:val="004A0BE8"/>
    <w:rsid w:val="004A19CC"/>
    <w:rsid w:val="004A1AC0"/>
    <w:rsid w:val="004A1AFC"/>
    <w:rsid w:val="004A2CD8"/>
    <w:rsid w:val="004A3222"/>
    <w:rsid w:val="004A3408"/>
    <w:rsid w:val="004A35EA"/>
    <w:rsid w:val="004A38C5"/>
    <w:rsid w:val="004A3BB5"/>
    <w:rsid w:val="004A3DF6"/>
    <w:rsid w:val="004A3F80"/>
    <w:rsid w:val="004A415F"/>
    <w:rsid w:val="004A423D"/>
    <w:rsid w:val="004A4927"/>
    <w:rsid w:val="004A4B35"/>
    <w:rsid w:val="004A63EC"/>
    <w:rsid w:val="004A6551"/>
    <w:rsid w:val="004A69C7"/>
    <w:rsid w:val="004A7661"/>
    <w:rsid w:val="004A799C"/>
    <w:rsid w:val="004A7A25"/>
    <w:rsid w:val="004B04DC"/>
    <w:rsid w:val="004B0F72"/>
    <w:rsid w:val="004B0FA3"/>
    <w:rsid w:val="004B124D"/>
    <w:rsid w:val="004B1394"/>
    <w:rsid w:val="004B1426"/>
    <w:rsid w:val="004B153B"/>
    <w:rsid w:val="004B18AA"/>
    <w:rsid w:val="004B19A0"/>
    <w:rsid w:val="004B1E36"/>
    <w:rsid w:val="004B2176"/>
    <w:rsid w:val="004B3564"/>
    <w:rsid w:val="004B38EF"/>
    <w:rsid w:val="004B39F7"/>
    <w:rsid w:val="004B3B0D"/>
    <w:rsid w:val="004B482D"/>
    <w:rsid w:val="004B4DB2"/>
    <w:rsid w:val="004B4F12"/>
    <w:rsid w:val="004B5026"/>
    <w:rsid w:val="004B505B"/>
    <w:rsid w:val="004B53BD"/>
    <w:rsid w:val="004B594F"/>
    <w:rsid w:val="004B5EA7"/>
    <w:rsid w:val="004B65EB"/>
    <w:rsid w:val="004B71CF"/>
    <w:rsid w:val="004B7F09"/>
    <w:rsid w:val="004C0056"/>
    <w:rsid w:val="004C0449"/>
    <w:rsid w:val="004C0B43"/>
    <w:rsid w:val="004C0E7F"/>
    <w:rsid w:val="004C11BA"/>
    <w:rsid w:val="004C12C8"/>
    <w:rsid w:val="004C138D"/>
    <w:rsid w:val="004C17EC"/>
    <w:rsid w:val="004C1905"/>
    <w:rsid w:val="004C1E5D"/>
    <w:rsid w:val="004C206C"/>
    <w:rsid w:val="004C23DD"/>
    <w:rsid w:val="004C2426"/>
    <w:rsid w:val="004C24B8"/>
    <w:rsid w:val="004C2EC0"/>
    <w:rsid w:val="004C3335"/>
    <w:rsid w:val="004C39F5"/>
    <w:rsid w:val="004C405A"/>
    <w:rsid w:val="004C40C9"/>
    <w:rsid w:val="004C4258"/>
    <w:rsid w:val="004C4A75"/>
    <w:rsid w:val="004C4C38"/>
    <w:rsid w:val="004C4E31"/>
    <w:rsid w:val="004C6367"/>
    <w:rsid w:val="004C6758"/>
    <w:rsid w:val="004C67B7"/>
    <w:rsid w:val="004C6AD8"/>
    <w:rsid w:val="004C7653"/>
    <w:rsid w:val="004C7934"/>
    <w:rsid w:val="004C7E61"/>
    <w:rsid w:val="004D01BD"/>
    <w:rsid w:val="004D0241"/>
    <w:rsid w:val="004D0A41"/>
    <w:rsid w:val="004D0B45"/>
    <w:rsid w:val="004D0B5E"/>
    <w:rsid w:val="004D0C13"/>
    <w:rsid w:val="004D0D43"/>
    <w:rsid w:val="004D139A"/>
    <w:rsid w:val="004D187E"/>
    <w:rsid w:val="004D1EC0"/>
    <w:rsid w:val="004D2080"/>
    <w:rsid w:val="004D26E5"/>
    <w:rsid w:val="004D3849"/>
    <w:rsid w:val="004D3A26"/>
    <w:rsid w:val="004D4196"/>
    <w:rsid w:val="004D444C"/>
    <w:rsid w:val="004D46CD"/>
    <w:rsid w:val="004D4A4E"/>
    <w:rsid w:val="004D4BBC"/>
    <w:rsid w:val="004D5325"/>
    <w:rsid w:val="004D5528"/>
    <w:rsid w:val="004D56E0"/>
    <w:rsid w:val="004D5D55"/>
    <w:rsid w:val="004D7370"/>
    <w:rsid w:val="004D7D3D"/>
    <w:rsid w:val="004E0709"/>
    <w:rsid w:val="004E0867"/>
    <w:rsid w:val="004E0A1E"/>
    <w:rsid w:val="004E104E"/>
    <w:rsid w:val="004E1698"/>
    <w:rsid w:val="004E16CD"/>
    <w:rsid w:val="004E1C34"/>
    <w:rsid w:val="004E213B"/>
    <w:rsid w:val="004E2177"/>
    <w:rsid w:val="004E22DB"/>
    <w:rsid w:val="004E2DBF"/>
    <w:rsid w:val="004E3293"/>
    <w:rsid w:val="004E33B7"/>
    <w:rsid w:val="004E3756"/>
    <w:rsid w:val="004E3858"/>
    <w:rsid w:val="004E39C1"/>
    <w:rsid w:val="004E3C98"/>
    <w:rsid w:val="004E4EA9"/>
    <w:rsid w:val="004E50C7"/>
    <w:rsid w:val="004E516E"/>
    <w:rsid w:val="004E534F"/>
    <w:rsid w:val="004E56CF"/>
    <w:rsid w:val="004E59F8"/>
    <w:rsid w:val="004E5B63"/>
    <w:rsid w:val="004E5F7D"/>
    <w:rsid w:val="004E6197"/>
    <w:rsid w:val="004E61F5"/>
    <w:rsid w:val="004E63B4"/>
    <w:rsid w:val="004E68AE"/>
    <w:rsid w:val="004E706E"/>
    <w:rsid w:val="004E741A"/>
    <w:rsid w:val="004E7481"/>
    <w:rsid w:val="004E754E"/>
    <w:rsid w:val="004F0B7B"/>
    <w:rsid w:val="004F0F2E"/>
    <w:rsid w:val="004F1140"/>
    <w:rsid w:val="004F1297"/>
    <w:rsid w:val="004F14E2"/>
    <w:rsid w:val="004F1987"/>
    <w:rsid w:val="004F1BAB"/>
    <w:rsid w:val="004F1C7B"/>
    <w:rsid w:val="004F204D"/>
    <w:rsid w:val="004F211F"/>
    <w:rsid w:val="004F2196"/>
    <w:rsid w:val="004F21FB"/>
    <w:rsid w:val="004F2837"/>
    <w:rsid w:val="004F2899"/>
    <w:rsid w:val="004F2946"/>
    <w:rsid w:val="004F2B51"/>
    <w:rsid w:val="004F2B93"/>
    <w:rsid w:val="004F3B11"/>
    <w:rsid w:val="004F3D2D"/>
    <w:rsid w:val="004F3F92"/>
    <w:rsid w:val="004F406D"/>
    <w:rsid w:val="004F42DD"/>
    <w:rsid w:val="004F43E3"/>
    <w:rsid w:val="004F4595"/>
    <w:rsid w:val="004F481C"/>
    <w:rsid w:val="004F5034"/>
    <w:rsid w:val="004F51B0"/>
    <w:rsid w:val="004F5233"/>
    <w:rsid w:val="004F57F7"/>
    <w:rsid w:val="004F61D4"/>
    <w:rsid w:val="004F6256"/>
    <w:rsid w:val="004F6656"/>
    <w:rsid w:val="004F6795"/>
    <w:rsid w:val="004F6BBE"/>
    <w:rsid w:val="004F6F27"/>
    <w:rsid w:val="004F6F3A"/>
    <w:rsid w:val="004F6FB5"/>
    <w:rsid w:val="004F70B8"/>
    <w:rsid w:val="004F7458"/>
    <w:rsid w:val="004F760D"/>
    <w:rsid w:val="004F7879"/>
    <w:rsid w:val="004F7BA2"/>
    <w:rsid w:val="004F7CB5"/>
    <w:rsid w:val="004F7E3C"/>
    <w:rsid w:val="004F7E96"/>
    <w:rsid w:val="00500005"/>
    <w:rsid w:val="00501640"/>
    <w:rsid w:val="0050184F"/>
    <w:rsid w:val="005021D4"/>
    <w:rsid w:val="005022B0"/>
    <w:rsid w:val="005022B6"/>
    <w:rsid w:val="005023B9"/>
    <w:rsid w:val="005023CA"/>
    <w:rsid w:val="0050242A"/>
    <w:rsid w:val="00502E4E"/>
    <w:rsid w:val="00502F37"/>
    <w:rsid w:val="00503799"/>
    <w:rsid w:val="00503806"/>
    <w:rsid w:val="00503D76"/>
    <w:rsid w:val="00503E5D"/>
    <w:rsid w:val="0050437D"/>
    <w:rsid w:val="005048C5"/>
    <w:rsid w:val="00504CA4"/>
    <w:rsid w:val="005056DF"/>
    <w:rsid w:val="00505E5E"/>
    <w:rsid w:val="0050604C"/>
    <w:rsid w:val="005065DE"/>
    <w:rsid w:val="00506822"/>
    <w:rsid w:val="00506874"/>
    <w:rsid w:val="00506942"/>
    <w:rsid w:val="005069F0"/>
    <w:rsid w:val="00506AFA"/>
    <w:rsid w:val="00506E55"/>
    <w:rsid w:val="005070DF"/>
    <w:rsid w:val="0050730D"/>
    <w:rsid w:val="005075DE"/>
    <w:rsid w:val="005077CB"/>
    <w:rsid w:val="00507B00"/>
    <w:rsid w:val="0051007A"/>
    <w:rsid w:val="00510096"/>
    <w:rsid w:val="005100AD"/>
    <w:rsid w:val="00510232"/>
    <w:rsid w:val="00510D75"/>
    <w:rsid w:val="00510FAD"/>
    <w:rsid w:val="00511056"/>
    <w:rsid w:val="005111F4"/>
    <w:rsid w:val="00511669"/>
    <w:rsid w:val="00511936"/>
    <w:rsid w:val="00511A1F"/>
    <w:rsid w:val="00511CBE"/>
    <w:rsid w:val="00511CEC"/>
    <w:rsid w:val="00511DA8"/>
    <w:rsid w:val="00512340"/>
    <w:rsid w:val="00512689"/>
    <w:rsid w:val="0051281A"/>
    <w:rsid w:val="00512B73"/>
    <w:rsid w:val="00512E81"/>
    <w:rsid w:val="005130CA"/>
    <w:rsid w:val="00513823"/>
    <w:rsid w:val="0051387C"/>
    <w:rsid w:val="0051397D"/>
    <w:rsid w:val="00513D1C"/>
    <w:rsid w:val="00513D7E"/>
    <w:rsid w:val="00513DA3"/>
    <w:rsid w:val="00514041"/>
    <w:rsid w:val="005142A6"/>
    <w:rsid w:val="00514409"/>
    <w:rsid w:val="005147AA"/>
    <w:rsid w:val="005151D5"/>
    <w:rsid w:val="0051558B"/>
    <w:rsid w:val="00515A97"/>
    <w:rsid w:val="00515F5D"/>
    <w:rsid w:val="00515F76"/>
    <w:rsid w:val="00516461"/>
    <w:rsid w:val="00516664"/>
    <w:rsid w:val="00516866"/>
    <w:rsid w:val="005178ED"/>
    <w:rsid w:val="00517B6E"/>
    <w:rsid w:val="00517E90"/>
    <w:rsid w:val="005207BA"/>
    <w:rsid w:val="00520997"/>
    <w:rsid w:val="00520AB7"/>
    <w:rsid w:val="00520D15"/>
    <w:rsid w:val="005214CB"/>
    <w:rsid w:val="00521C8C"/>
    <w:rsid w:val="00521D14"/>
    <w:rsid w:val="00521F35"/>
    <w:rsid w:val="00521F3B"/>
    <w:rsid w:val="005223FF"/>
    <w:rsid w:val="005225E4"/>
    <w:rsid w:val="00522713"/>
    <w:rsid w:val="00522978"/>
    <w:rsid w:val="00522B06"/>
    <w:rsid w:val="00523A71"/>
    <w:rsid w:val="00523C9D"/>
    <w:rsid w:val="00523D16"/>
    <w:rsid w:val="00524AFC"/>
    <w:rsid w:val="00524D52"/>
    <w:rsid w:val="00524DFA"/>
    <w:rsid w:val="00524EA4"/>
    <w:rsid w:val="00524F82"/>
    <w:rsid w:val="005253D8"/>
    <w:rsid w:val="005258E1"/>
    <w:rsid w:val="005259B8"/>
    <w:rsid w:val="00525DE9"/>
    <w:rsid w:val="00526093"/>
    <w:rsid w:val="005264F9"/>
    <w:rsid w:val="0052650C"/>
    <w:rsid w:val="00526C62"/>
    <w:rsid w:val="00527162"/>
    <w:rsid w:val="005279BA"/>
    <w:rsid w:val="00527B04"/>
    <w:rsid w:val="00527B62"/>
    <w:rsid w:val="00527F85"/>
    <w:rsid w:val="00530700"/>
    <w:rsid w:val="00530CB6"/>
    <w:rsid w:val="00531561"/>
    <w:rsid w:val="00531571"/>
    <w:rsid w:val="00531757"/>
    <w:rsid w:val="0053178C"/>
    <w:rsid w:val="00531C8B"/>
    <w:rsid w:val="00531E73"/>
    <w:rsid w:val="00532495"/>
    <w:rsid w:val="005325BF"/>
    <w:rsid w:val="00532850"/>
    <w:rsid w:val="0053297B"/>
    <w:rsid w:val="005333E1"/>
    <w:rsid w:val="005335B0"/>
    <w:rsid w:val="00534472"/>
    <w:rsid w:val="00534AB7"/>
    <w:rsid w:val="00534CCC"/>
    <w:rsid w:val="005357E1"/>
    <w:rsid w:val="00535888"/>
    <w:rsid w:val="00535B3C"/>
    <w:rsid w:val="00535BAD"/>
    <w:rsid w:val="00536065"/>
    <w:rsid w:val="00536140"/>
    <w:rsid w:val="005367EF"/>
    <w:rsid w:val="00536E75"/>
    <w:rsid w:val="00536EFC"/>
    <w:rsid w:val="00536FD1"/>
    <w:rsid w:val="005373E5"/>
    <w:rsid w:val="005373F3"/>
    <w:rsid w:val="005375F7"/>
    <w:rsid w:val="00537834"/>
    <w:rsid w:val="005378FB"/>
    <w:rsid w:val="00537AE4"/>
    <w:rsid w:val="00537B17"/>
    <w:rsid w:val="00537CCE"/>
    <w:rsid w:val="00540142"/>
    <w:rsid w:val="005406AF"/>
    <w:rsid w:val="005408A5"/>
    <w:rsid w:val="00541200"/>
    <w:rsid w:val="00541B74"/>
    <w:rsid w:val="00541F27"/>
    <w:rsid w:val="00542640"/>
    <w:rsid w:val="00542708"/>
    <w:rsid w:val="00542729"/>
    <w:rsid w:val="00542EFB"/>
    <w:rsid w:val="005430A9"/>
    <w:rsid w:val="005437E5"/>
    <w:rsid w:val="00543A2C"/>
    <w:rsid w:val="00544079"/>
    <w:rsid w:val="005445E1"/>
    <w:rsid w:val="00544BE3"/>
    <w:rsid w:val="00545F44"/>
    <w:rsid w:val="00545F8E"/>
    <w:rsid w:val="00546073"/>
    <w:rsid w:val="00547B23"/>
    <w:rsid w:val="00547EE1"/>
    <w:rsid w:val="0055042A"/>
    <w:rsid w:val="00550577"/>
    <w:rsid w:val="00550656"/>
    <w:rsid w:val="00550767"/>
    <w:rsid w:val="00550795"/>
    <w:rsid w:val="005509A5"/>
    <w:rsid w:val="00550C03"/>
    <w:rsid w:val="00550D8B"/>
    <w:rsid w:val="00551828"/>
    <w:rsid w:val="00551CC3"/>
    <w:rsid w:val="005524C3"/>
    <w:rsid w:val="005525B5"/>
    <w:rsid w:val="005526FD"/>
    <w:rsid w:val="00552703"/>
    <w:rsid w:val="00552716"/>
    <w:rsid w:val="00552779"/>
    <w:rsid w:val="005528D9"/>
    <w:rsid w:val="00552A87"/>
    <w:rsid w:val="005538BC"/>
    <w:rsid w:val="005539B3"/>
    <w:rsid w:val="00553B14"/>
    <w:rsid w:val="00553E17"/>
    <w:rsid w:val="0055417D"/>
    <w:rsid w:val="00554A2E"/>
    <w:rsid w:val="00554E72"/>
    <w:rsid w:val="00554F96"/>
    <w:rsid w:val="0055557C"/>
    <w:rsid w:val="00555EC0"/>
    <w:rsid w:val="0055609C"/>
    <w:rsid w:val="005560F3"/>
    <w:rsid w:val="0055669C"/>
    <w:rsid w:val="00556F28"/>
    <w:rsid w:val="005570D6"/>
    <w:rsid w:val="00560038"/>
    <w:rsid w:val="00560A7A"/>
    <w:rsid w:val="00560AAA"/>
    <w:rsid w:val="00560CCA"/>
    <w:rsid w:val="0056108A"/>
    <w:rsid w:val="005610F6"/>
    <w:rsid w:val="005618FB"/>
    <w:rsid w:val="00561CC9"/>
    <w:rsid w:val="005623A2"/>
    <w:rsid w:val="00562512"/>
    <w:rsid w:val="00562603"/>
    <w:rsid w:val="005626A0"/>
    <w:rsid w:val="0056308C"/>
    <w:rsid w:val="00563417"/>
    <w:rsid w:val="00563702"/>
    <w:rsid w:val="0056387E"/>
    <w:rsid w:val="00564738"/>
    <w:rsid w:val="00564A4E"/>
    <w:rsid w:val="00564D9C"/>
    <w:rsid w:val="00564E9B"/>
    <w:rsid w:val="00565324"/>
    <w:rsid w:val="005653CA"/>
    <w:rsid w:val="00565B35"/>
    <w:rsid w:val="00565BA5"/>
    <w:rsid w:val="00565D94"/>
    <w:rsid w:val="00565EB0"/>
    <w:rsid w:val="00566351"/>
    <w:rsid w:val="00566822"/>
    <w:rsid w:val="00566894"/>
    <w:rsid w:val="00566919"/>
    <w:rsid w:val="005671F7"/>
    <w:rsid w:val="00567727"/>
    <w:rsid w:val="00567927"/>
    <w:rsid w:val="00567B4B"/>
    <w:rsid w:val="005703F8"/>
    <w:rsid w:val="00570442"/>
    <w:rsid w:val="005705E1"/>
    <w:rsid w:val="0057097F"/>
    <w:rsid w:val="00570A4C"/>
    <w:rsid w:val="00570DD8"/>
    <w:rsid w:val="005711EC"/>
    <w:rsid w:val="0057149C"/>
    <w:rsid w:val="005717A9"/>
    <w:rsid w:val="00572381"/>
    <w:rsid w:val="005723F1"/>
    <w:rsid w:val="00572700"/>
    <w:rsid w:val="00572857"/>
    <w:rsid w:val="00572A4F"/>
    <w:rsid w:val="0057345E"/>
    <w:rsid w:val="00573EA8"/>
    <w:rsid w:val="00574D3F"/>
    <w:rsid w:val="00575094"/>
    <w:rsid w:val="00576324"/>
    <w:rsid w:val="00576491"/>
    <w:rsid w:val="0057670B"/>
    <w:rsid w:val="005767F8"/>
    <w:rsid w:val="00576D47"/>
    <w:rsid w:val="0057744B"/>
    <w:rsid w:val="00577816"/>
    <w:rsid w:val="00577B6B"/>
    <w:rsid w:val="00577E57"/>
    <w:rsid w:val="00580438"/>
    <w:rsid w:val="00580551"/>
    <w:rsid w:val="00580E74"/>
    <w:rsid w:val="00580EA8"/>
    <w:rsid w:val="00581109"/>
    <w:rsid w:val="00581886"/>
    <w:rsid w:val="005829CB"/>
    <w:rsid w:val="00582E09"/>
    <w:rsid w:val="00582F27"/>
    <w:rsid w:val="005841FA"/>
    <w:rsid w:val="00584217"/>
    <w:rsid w:val="0058454E"/>
    <w:rsid w:val="0058487B"/>
    <w:rsid w:val="00584FB7"/>
    <w:rsid w:val="00585140"/>
    <w:rsid w:val="00585B55"/>
    <w:rsid w:val="00586112"/>
    <w:rsid w:val="0058619B"/>
    <w:rsid w:val="00586CE1"/>
    <w:rsid w:val="00586E80"/>
    <w:rsid w:val="00587369"/>
    <w:rsid w:val="0058743E"/>
    <w:rsid w:val="0058779F"/>
    <w:rsid w:val="00587EA9"/>
    <w:rsid w:val="005901D3"/>
    <w:rsid w:val="005902E0"/>
    <w:rsid w:val="00590899"/>
    <w:rsid w:val="00590D16"/>
    <w:rsid w:val="00590E2A"/>
    <w:rsid w:val="005912B0"/>
    <w:rsid w:val="00591674"/>
    <w:rsid w:val="005918C8"/>
    <w:rsid w:val="00591D7E"/>
    <w:rsid w:val="00591F8C"/>
    <w:rsid w:val="00591FCD"/>
    <w:rsid w:val="0059258F"/>
    <w:rsid w:val="0059288A"/>
    <w:rsid w:val="00592974"/>
    <w:rsid w:val="00592E20"/>
    <w:rsid w:val="0059319A"/>
    <w:rsid w:val="005931B0"/>
    <w:rsid w:val="005931CB"/>
    <w:rsid w:val="00593FB4"/>
    <w:rsid w:val="00594554"/>
    <w:rsid w:val="005945E2"/>
    <w:rsid w:val="005946D4"/>
    <w:rsid w:val="00594CE9"/>
    <w:rsid w:val="00595074"/>
    <w:rsid w:val="00595121"/>
    <w:rsid w:val="00595571"/>
    <w:rsid w:val="00595766"/>
    <w:rsid w:val="00595BD3"/>
    <w:rsid w:val="0059625C"/>
    <w:rsid w:val="00596358"/>
    <w:rsid w:val="005964FB"/>
    <w:rsid w:val="00596741"/>
    <w:rsid w:val="00596F8F"/>
    <w:rsid w:val="00597C65"/>
    <w:rsid w:val="00597F0B"/>
    <w:rsid w:val="005A0170"/>
    <w:rsid w:val="005A0651"/>
    <w:rsid w:val="005A0895"/>
    <w:rsid w:val="005A0932"/>
    <w:rsid w:val="005A1519"/>
    <w:rsid w:val="005A15CB"/>
    <w:rsid w:val="005A19DD"/>
    <w:rsid w:val="005A1B7C"/>
    <w:rsid w:val="005A211E"/>
    <w:rsid w:val="005A214F"/>
    <w:rsid w:val="005A237E"/>
    <w:rsid w:val="005A23D0"/>
    <w:rsid w:val="005A289D"/>
    <w:rsid w:val="005A28B6"/>
    <w:rsid w:val="005A2EE6"/>
    <w:rsid w:val="005A300B"/>
    <w:rsid w:val="005A3192"/>
    <w:rsid w:val="005A3435"/>
    <w:rsid w:val="005A349C"/>
    <w:rsid w:val="005A34FE"/>
    <w:rsid w:val="005A35BC"/>
    <w:rsid w:val="005A3788"/>
    <w:rsid w:val="005A3E5E"/>
    <w:rsid w:val="005A3E87"/>
    <w:rsid w:val="005A4377"/>
    <w:rsid w:val="005A4F8F"/>
    <w:rsid w:val="005A4FD9"/>
    <w:rsid w:val="005A53C0"/>
    <w:rsid w:val="005A54D8"/>
    <w:rsid w:val="005A5972"/>
    <w:rsid w:val="005A5B29"/>
    <w:rsid w:val="005A5C63"/>
    <w:rsid w:val="005A5F34"/>
    <w:rsid w:val="005A5F9D"/>
    <w:rsid w:val="005A614E"/>
    <w:rsid w:val="005A616B"/>
    <w:rsid w:val="005A655D"/>
    <w:rsid w:val="005A6A3B"/>
    <w:rsid w:val="005A6B3A"/>
    <w:rsid w:val="005A6C20"/>
    <w:rsid w:val="005B0B59"/>
    <w:rsid w:val="005B14C8"/>
    <w:rsid w:val="005B17C8"/>
    <w:rsid w:val="005B1BF7"/>
    <w:rsid w:val="005B2580"/>
    <w:rsid w:val="005B2B0A"/>
    <w:rsid w:val="005B2C7A"/>
    <w:rsid w:val="005B349F"/>
    <w:rsid w:val="005B3694"/>
    <w:rsid w:val="005B397A"/>
    <w:rsid w:val="005B4177"/>
    <w:rsid w:val="005B4676"/>
    <w:rsid w:val="005B46F0"/>
    <w:rsid w:val="005B4F86"/>
    <w:rsid w:val="005B5264"/>
    <w:rsid w:val="005B5765"/>
    <w:rsid w:val="005B57EF"/>
    <w:rsid w:val="005B5ECC"/>
    <w:rsid w:val="005B6256"/>
    <w:rsid w:val="005B64FA"/>
    <w:rsid w:val="005B6514"/>
    <w:rsid w:val="005B6D4D"/>
    <w:rsid w:val="005B6FAE"/>
    <w:rsid w:val="005B7951"/>
    <w:rsid w:val="005B79E3"/>
    <w:rsid w:val="005B7B62"/>
    <w:rsid w:val="005B7CF7"/>
    <w:rsid w:val="005C0177"/>
    <w:rsid w:val="005C0ABF"/>
    <w:rsid w:val="005C0B17"/>
    <w:rsid w:val="005C222C"/>
    <w:rsid w:val="005C2309"/>
    <w:rsid w:val="005C241E"/>
    <w:rsid w:val="005C248F"/>
    <w:rsid w:val="005C2504"/>
    <w:rsid w:val="005C257A"/>
    <w:rsid w:val="005C2646"/>
    <w:rsid w:val="005C27FE"/>
    <w:rsid w:val="005C2F14"/>
    <w:rsid w:val="005C34B1"/>
    <w:rsid w:val="005C3627"/>
    <w:rsid w:val="005C3761"/>
    <w:rsid w:val="005C3D2C"/>
    <w:rsid w:val="005C40A0"/>
    <w:rsid w:val="005C43D2"/>
    <w:rsid w:val="005C4C33"/>
    <w:rsid w:val="005C4D59"/>
    <w:rsid w:val="005C5833"/>
    <w:rsid w:val="005C58F7"/>
    <w:rsid w:val="005C5997"/>
    <w:rsid w:val="005C5A14"/>
    <w:rsid w:val="005C5CB0"/>
    <w:rsid w:val="005C6A62"/>
    <w:rsid w:val="005C6BB2"/>
    <w:rsid w:val="005C7B0C"/>
    <w:rsid w:val="005C7B16"/>
    <w:rsid w:val="005C7DAB"/>
    <w:rsid w:val="005D0085"/>
    <w:rsid w:val="005D060A"/>
    <w:rsid w:val="005D07B2"/>
    <w:rsid w:val="005D07E9"/>
    <w:rsid w:val="005D0BC9"/>
    <w:rsid w:val="005D0BFF"/>
    <w:rsid w:val="005D0F91"/>
    <w:rsid w:val="005D192F"/>
    <w:rsid w:val="005D2208"/>
    <w:rsid w:val="005D2C3C"/>
    <w:rsid w:val="005D2E99"/>
    <w:rsid w:val="005D32B3"/>
    <w:rsid w:val="005D38A8"/>
    <w:rsid w:val="005D3905"/>
    <w:rsid w:val="005D3BAF"/>
    <w:rsid w:val="005D3C57"/>
    <w:rsid w:val="005D3C85"/>
    <w:rsid w:val="005D46BA"/>
    <w:rsid w:val="005D48C2"/>
    <w:rsid w:val="005D4AC5"/>
    <w:rsid w:val="005D4CDF"/>
    <w:rsid w:val="005D4D13"/>
    <w:rsid w:val="005D5013"/>
    <w:rsid w:val="005D5358"/>
    <w:rsid w:val="005D568A"/>
    <w:rsid w:val="005D576B"/>
    <w:rsid w:val="005D5877"/>
    <w:rsid w:val="005D58C8"/>
    <w:rsid w:val="005D5D7F"/>
    <w:rsid w:val="005D5EAD"/>
    <w:rsid w:val="005D5FE2"/>
    <w:rsid w:val="005D6873"/>
    <w:rsid w:val="005D6D02"/>
    <w:rsid w:val="005D70F5"/>
    <w:rsid w:val="005D7528"/>
    <w:rsid w:val="005D7627"/>
    <w:rsid w:val="005D782F"/>
    <w:rsid w:val="005D7ADE"/>
    <w:rsid w:val="005D7B20"/>
    <w:rsid w:val="005D7EA9"/>
    <w:rsid w:val="005D7FD0"/>
    <w:rsid w:val="005E0147"/>
    <w:rsid w:val="005E03B2"/>
    <w:rsid w:val="005E0609"/>
    <w:rsid w:val="005E0BD7"/>
    <w:rsid w:val="005E1B97"/>
    <w:rsid w:val="005E1D14"/>
    <w:rsid w:val="005E29C8"/>
    <w:rsid w:val="005E2B5E"/>
    <w:rsid w:val="005E32D2"/>
    <w:rsid w:val="005E3484"/>
    <w:rsid w:val="005E3D61"/>
    <w:rsid w:val="005E3E0E"/>
    <w:rsid w:val="005E4303"/>
    <w:rsid w:val="005E45E5"/>
    <w:rsid w:val="005E46CF"/>
    <w:rsid w:val="005E4735"/>
    <w:rsid w:val="005E4B80"/>
    <w:rsid w:val="005E5246"/>
    <w:rsid w:val="005E5337"/>
    <w:rsid w:val="005E5B60"/>
    <w:rsid w:val="005E6421"/>
    <w:rsid w:val="005E658C"/>
    <w:rsid w:val="005E6A9B"/>
    <w:rsid w:val="005E7317"/>
    <w:rsid w:val="005E746A"/>
    <w:rsid w:val="005E7644"/>
    <w:rsid w:val="005E7898"/>
    <w:rsid w:val="005F018C"/>
    <w:rsid w:val="005F06AC"/>
    <w:rsid w:val="005F0A4F"/>
    <w:rsid w:val="005F0B70"/>
    <w:rsid w:val="005F0EEB"/>
    <w:rsid w:val="005F0EED"/>
    <w:rsid w:val="005F0FBC"/>
    <w:rsid w:val="005F133D"/>
    <w:rsid w:val="005F16A6"/>
    <w:rsid w:val="005F1F0E"/>
    <w:rsid w:val="005F246E"/>
    <w:rsid w:val="005F24DB"/>
    <w:rsid w:val="005F2A64"/>
    <w:rsid w:val="005F2D3C"/>
    <w:rsid w:val="005F2EC3"/>
    <w:rsid w:val="005F3315"/>
    <w:rsid w:val="005F38F3"/>
    <w:rsid w:val="005F3A0D"/>
    <w:rsid w:val="005F3A9D"/>
    <w:rsid w:val="005F3E8C"/>
    <w:rsid w:val="005F49E5"/>
    <w:rsid w:val="005F4AC8"/>
    <w:rsid w:val="005F4F5A"/>
    <w:rsid w:val="005F56EC"/>
    <w:rsid w:val="005F5A6D"/>
    <w:rsid w:val="005F6172"/>
    <w:rsid w:val="005F672F"/>
    <w:rsid w:val="005F6940"/>
    <w:rsid w:val="005F6984"/>
    <w:rsid w:val="005F6A58"/>
    <w:rsid w:val="005F6B04"/>
    <w:rsid w:val="005F6BAA"/>
    <w:rsid w:val="005F78AC"/>
    <w:rsid w:val="005F7918"/>
    <w:rsid w:val="005F7ECD"/>
    <w:rsid w:val="00600C8F"/>
    <w:rsid w:val="00600CDE"/>
    <w:rsid w:val="006015D7"/>
    <w:rsid w:val="0060277D"/>
    <w:rsid w:val="00603B4A"/>
    <w:rsid w:val="00603D3F"/>
    <w:rsid w:val="006043C5"/>
    <w:rsid w:val="006045C7"/>
    <w:rsid w:val="00604970"/>
    <w:rsid w:val="00604B79"/>
    <w:rsid w:val="00604E69"/>
    <w:rsid w:val="006053FC"/>
    <w:rsid w:val="0060574B"/>
    <w:rsid w:val="00605B8B"/>
    <w:rsid w:val="00605B93"/>
    <w:rsid w:val="00606861"/>
    <w:rsid w:val="006069AB"/>
    <w:rsid w:val="00606CC3"/>
    <w:rsid w:val="00606FDC"/>
    <w:rsid w:val="00607025"/>
    <w:rsid w:val="006077D0"/>
    <w:rsid w:val="0060781D"/>
    <w:rsid w:val="00607AFA"/>
    <w:rsid w:val="00607BDB"/>
    <w:rsid w:val="00607E3C"/>
    <w:rsid w:val="00607F59"/>
    <w:rsid w:val="00607FE0"/>
    <w:rsid w:val="006102D1"/>
    <w:rsid w:val="00610451"/>
    <w:rsid w:val="0061111D"/>
    <w:rsid w:val="00611954"/>
    <w:rsid w:val="0061252F"/>
    <w:rsid w:val="006127AA"/>
    <w:rsid w:val="00612AEE"/>
    <w:rsid w:val="00612C97"/>
    <w:rsid w:val="00612E3F"/>
    <w:rsid w:val="00613481"/>
    <w:rsid w:val="00613E5A"/>
    <w:rsid w:val="00614041"/>
    <w:rsid w:val="0061492E"/>
    <w:rsid w:val="00614AC0"/>
    <w:rsid w:val="00614ECB"/>
    <w:rsid w:val="00615394"/>
    <w:rsid w:val="0061550A"/>
    <w:rsid w:val="0061561A"/>
    <w:rsid w:val="00616353"/>
    <w:rsid w:val="00617172"/>
    <w:rsid w:val="00617532"/>
    <w:rsid w:val="0061758D"/>
    <w:rsid w:val="00620102"/>
    <w:rsid w:val="00620960"/>
    <w:rsid w:val="006210C9"/>
    <w:rsid w:val="00621390"/>
    <w:rsid w:val="00621D90"/>
    <w:rsid w:val="00621EF0"/>
    <w:rsid w:val="00621F77"/>
    <w:rsid w:val="00622AC0"/>
    <w:rsid w:val="00622ADB"/>
    <w:rsid w:val="00622C63"/>
    <w:rsid w:val="00622EDB"/>
    <w:rsid w:val="00622FC6"/>
    <w:rsid w:val="0062461F"/>
    <w:rsid w:val="0062485C"/>
    <w:rsid w:val="00625138"/>
    <w:rsid w:val="006258F0"/>
    <w:rsid w:val="00625976"/>
    <w:rsid w:val="006261F0"/>
    <w:rsid w:val="00626342"/>
    <w:rsid w:val="006264E4"/>
    <w:rsid w:val="00626954"/>
    <w:rsid w:val="00627142"/>
    <w:rsid w:val="0062743E"/>
    <w:rsid w:val="006276C5"/>
    <w:rsid w:val="00627A03"/>
    <w:rsid w:val="0063040F"/>
    <w:rsid w:val="00630486"/>
    <w:rsid w:val="006305F5"/>
    <w:rsid w:val="006306E4"/>
    <w:rsid w:val="006308C1"/>
    <w:rsid w:val="006309DC"/>
    <w:rsid w:val="00631497"/>
    <w:rsid w:val="0063165D"/>
    <w:rsid w:val="00631D12"/>
    <w:rsid w:val="00632041"/>
    <w:rsid w:val="006326CD"/>
    <w:rsid w:val="00632D5A"/>
    <w:rsid w:val="00632E62"/>
    <w:rsid w:val="00632E8F"/>
    <w:rsid w:val="0063305B"/>
    <w:rsid w:val="006333D0"/>
    <w:rsid w:val="006333DD"/>
    <w:rsid w:val="006336D1"/>
    <w:rsid w:val="00633796"/>
    <w:rsid w:val="00634913"/>
    <w:rsid w:val="00634B42"/>
    <w:rsid w:val="00634BFD"/>
    <w:rsid w:val="0063579D"/>
    <w:rsid w:val="006360B8"/>
    <w:rsid w:val="006361A9"/>
    <w:rsid w:val="006362E3"/>
    <w:rsid w:val="00637195"/>
    <w:rsid w:val="00637BEB"/>
    <w:rsid w:val="00637CE3"/>
    <w:rsid w:val="00637E5E"/>
    <w:rsid w:val="00640769"/>
    <w:rsid w:val="006409F0"/>
    <w:rsid w:val="00641001"/>
    <w:rsid w:val="006411D5"/>
    <w:rsid w:val="006414EC"/>
    <w:rsid w:val="00641AB4"/>
    <w:rsid w:val="00641C83"/>
    <w:rsid w:val="0064219C"/>
    <w:rsid w:val="0064251B"/>
    <w:rsid w:val="00642530"/>
    <w:rsid w:val="00642812"/>
    <w:rsid w:val="006429B3"/>
    <w:rsid w:val="00643058"/>
    <w:rsid w:val="0064364B"/>
    <w:rsid w:val="00644193"/>
    <w:rsid w:val="0064431C"/>
    <w:rsid w:val="0064471F"/>
    <w:rsid w:val="0064498D"/>
    <w:rsid w:val="006451CC"/>
    <w:rsid w:val="00645DC6"/>
    <w:rsid w:val="00646176"/>
    <w:rsid w:val="006468F6"/>
    <w:rsid w:val="00646B59"/>
    <w:rsid w:val="00647BFF"/>
    <w:rsid w:val="006505CB"/>
    <w:rsid w:val="006507BE"/>
    <w:rsid w:val="00651027"/>
    <w:rsid w:val="0065103B"/>
    <w:rsid w:val="00651235"/>
    <w:rsid w:val="0065167E"/>
    <w:rsid w:val="00651785"/>
    <w:rsid w:val="00651D24"/>
    <w:rsid w:val="00651D74"/>
    <w:rsid w:val="00651E55"/>
    <w:rsid w:val="00651F03"/>
    <w:rsid w:val="006527E3"/>
    <w:rsid w:val="00652C75"/>
    <w:rsid w:val="00653E3B"/>
    <w:rsid w:val="00654036"/>
    <w:rsid w:val="0065442C"/>
    <w:rsid w:val="0065446E"/>
    <w:rsid w:val="0065459A"/>
    <w:rsid w:val="00654606"/>
    <w:rsid w:val="0065476D"/>
    <w:rsid w:val="00654F85"/>
    <w:rsid w:val="00654FF1"/>
    <w:rsid w:val="00655052"/>
    <w:rsid w:val="006550C1"/>
    <w:rsid w:val="006555E9"/>
    <w:rsid w:val="00655A2C"/>
    <w:rsid w:val="00656195"/>
    <w:rsid w:val="0065636E"/>
    <w:rsid w:val="0065650C"/>
    <w:rsid w:val="006565D5"/>
    <w:rsid w:val="006573C5"/>
    <w:rsid w:val="006576E0"/>
    <w:rsid w:val="00657A8C"/>
    <w:rsid w:val="0066044E"/>
    <w:rsid w:val="0066055E"/>
    <w:rsid w:val="006605A9"/>
    <w:rsid w:val="00660F51"/>
    <w:rsid w:val="00661454"/>
    <w:rsid w:val="006614A5"/>
    <w:rsid w:val="0066158B"/>
    <w:rsid w:val="00661A3D"/>
    <w:rsid w:val="00661D24"/>
    <w:rsid w:val="00661F88"/>
    <w:rsid w:val="0066211E"/>
    <w:rsid w:val="0066239B"/>
    <w:rsid w:val="00662553"/>
    <w:rsid w:val="00662DC0"/>
    <w:rsid w:val="00662E45"/>
    <w:rsid w:val="00662EE5"/>
    <w:rsid w:val="006637EB"/>
    <w:rsid w:val="0066389F"/>
    <w:rsid w:val="006639E5"/>
    <w:rsid w:val="00663A63"/>
    <w:rsid w:val="006642DF"/>
    <w:rsid w:val="006649BB"/>
    <w:rsid w:val="00664C95"/>
    <w:rsid w:val="0066569D"/>
    <w:rsid w:val="006659B0"/>
    <w:rsid w:val="006660F2"/>
    <w:rsid w:val="0066647B"/>
    <w:rsid w:val="00666546"/>
    <w:rsid w:val="0066657F"/>
    <w:rsid w:val="0066664C"/>
    <w:rsid w:val="00666AAE"/>
    <w:rsid w:val="00666D38"/>
    <w:rsid w:val="00666DF2"/>
    <w:rsid w:val="006670C2"/>
    <w:rsid w:val="0066736C"/>
    <w:rsid w:val="00667765"/>
    <w:rsid w:val="00671520"/>
    <w:rsid w:val="00671DD1"/>
    <w:rsid w:val="006724C1"/>
    <w:rsid w:val="00672AA8"/>
    <w:rsid w:val="00672AB5"/>
    <w:rsid w:val="00672AFB"/>
    <w:rsid w:val="00672C18"/>
    <w:rsid w:val="00672E91"/>
    <w:rsid w:val="006734B8"/>
    <w:rsid w:val="00673785"/>
    <w:rsid w:val="00673953"/>
    <w:rsid w:val="00673B50"/>
    <w:rsid w:val="00674266"/>
    <w:rsid w:val="00674399"/>
    <w:rsid w:val="006743EA"/>
    <w:rsid w:val="00674F3C"/>
    <w:rsid w:val="00674F53"/>
    <w:rsid w:val="00675273"/>
    <w:rsid w:val="00675288"/>
    <w:rsid w:val="0067554E"/>
    <w:rsid w:val="006757C1"/>
    <w:rsid w:val="00676574"/>
    <w:rsid w:val="006765E5"/>
    <w:rsid w:val="006766B7"/>
    <w:rsid w:val="00676808"/>
    <w:rsid w:val="0067682F"/>
    <w:rsid w:val="00676FA3"/>
    <w:rsid w:val="0067719A"/>
    <w:rsid w:val="006772A1"/>
    <w:rsid w:val="00677D6E"/>
    <w:rsid w:val="00680CC3"/>
    <w:rsid w:val="006816D1"/>
    <w:rsid w:val="006818E4"/>
    <w:rsid w:val="006819F7"/>
    <w:rsid w:val="00681ADF"/>
    <w:rsid w:val="00681B7B"/>
    <w:rsid w:val="00681D41"/>
    <w:rsid w:val="0068219F"/>
    <w:rsid w:val="0068283B"/>
    <w:rsid w:val="00682926"/>
    <w:rsid w:val="00682934"/>
    <w:rsid w:val="00682A03"/>
    <w:rsid w:val="00682D2D"/>
    <w:rsid w:val="006831A2"/>
    <w:rsid w:val="00683709"/>
    <w:rsid w:val="00683DE3"/>
    <w:rsid w:val="00683FBE"/>
    <w:rsid w:val="00684539"/>
    <w:rsid w:val="006851A7"/>
    <w:rsid w:val="00685D7C"/>
    <w:rsid w:val="00685ED2"/>
    <w:rsid w:val="00686746"/>
    <w:rsid w:val="00686EA1"/>
    <w:rsid w:val="006875F8"/>
    <w:rsid w:val="006878EE"/>
    <w:rsid w:val="0068790F"/>
    <w:rsid w:val="00687A6C"/>
    <w:rsid w:val="00687BDE"/>
    <w:rsid w:val="00687F55"/>
    <w:rsid w:val="0069002C"/>
    <w:rsid w:val="00690932"/>
    <w:rsid w:val="00690AB3"/>
    <w:rsid w:val="00690C6D"/>
    <w:rsid w:val="00690C7F"/>
    <w:rsid w:val="00690C94"/>
    <w:rsid w:val="00690F7E"/>
    <w:rsid w:val="00691206"/>
    <w:rsid w:val="006912FF"/>
    <w:rsid w:val="0069161F"/>
    <w:rsid w:val="0069189E"/>
    <w:rsid w:val="00691B4E"/>
    <w:rsid w:val="00691CD7"/>
    <w:rsid w:val="00691F3D"/>
    <w:rsid w:val="0069211D"/>
    <w:rsid w:val="006924F3"/>
    <w:rsid w:val="0069251B"/>
    <w:rsid w:val="00692630"/>
    <w:rsid w:val="00692729"/>
    <w:rsid w:val="00692F95"/>
    <w:rsid w:val="0069348D"/>
    <w:rsid w:val="006939C5"/>
    <w:rsid w:val="00693B07"/>
    <w:rsid w:val="00693E18"/>
    <w:rsid w:val="0069416A"/>
    <w:rsid w:val="0069457F"/>
    <w:rsid w:val="00694721"/>
    <w:rsid w:val="006947B4"/>
    <w:rsid w:val="006948D3"/>
    <w:rsid w:val="006948F3"/>
    <w:rsid w:val="00694E5B"/>
    <w:rsid w:val="00695476"/>
    <w:rsid w:val="00695810"/>
    <w:rsid w:val="00695891"/>
    <w:rsid w:val="00695963"/>
    <w:rsid w:val="00696403"/>
    <w:rsid w:val="00696759"/>
    <w:rsid w:val="006967E1"/>
    <w:rsid w:val="006969A6"/>
    <w:rsid w:val="006969CD"/>
    <w:rsid w:val="00697491"/>
    <w:rsid w:val="00697AA2"/>
    <w:rsid w:val="00697D42"/>
    <w:rsid w:val="00697D47"/>
    <w:rsid w:val="006A0194"/>
    <w:rsid w:val="006A02F0"/>
    <w:rsid w:val="006A0455"/>
    <w:rsid w:val="006A0930"/>
    <w:rsid w:val="006A1D34"/>
    <w:rsid w:val="006A1DE5"/>
    <w:rsid w:val="006A225D"/>
    <w:rsid w:val="006A3C84"/>
    <w:rsid w:val="006A3CE9"/>
    <w:rsid w:val="006A4F6E"/>
    <w:rsid w:val="006A50DB"/>
    <w:rsid w:val="006A51E8"/>
    <w:rsid w:val="006A53D6"/>
    <w:rsid w:val="006A6157"/>
    <w:rsid w:val="006A61E1"/>
    <w:rsid w:val="006A623A"/>
    <w:rsid w:val="006A637A"/>
    <w:rsid w:val="006A6AD3"/>
    <w:rsid w:val="006A6E6D"/>
    <w:rsid w:val="006A6F08"/>
    <w:rsid w:val="006A7C4A"/>
    <w:rsid w:val="006B047E"/>
    <w:rsid w:val="006B0520"/>
    <w:rsid w:val="006B09EF"/>
    <w:rsid w:val="006B0DE6"/>
    <w:rsid w:val="006B0F11"/>
    <w:rsid w:val="006B1076"/>
    <w:rsid w:val="006B1112"/>
    <w:rsid w:val="006B1173"/>
    <w:rsid w:val="006B1213"/>
    <w:rsid w:val="006B14F8"/>
    <w:rsid w:val="006B171B"/>
    <w:rsid w:val="006B17E1"/>
    <w:rsid w:val="006B1EB3"/>
    <w:rsid w:val="006B22A3"/>
    <w:rsid w:val="006B26AF"/>
    <w:rsid w:val="006B305B"/>
    <w:rsid w:val="006B33C6"/>
    <w:rsid w:val="006B3438"/>
    <w:rsid w:val="006B347C"/>
    <w:rsid w:val="006B41ED"/>
    <w:rsid w:val="006B428D"/>
    <w:rsid w:val="006B434A"/>
    <w:rsid w:val="006B44C7"/>
    <w:rsid w:val="006B476D"/>
    <w:rsid w:val="006B48F3"/>
    <w:rsid w:val="006B4A1B"/>
    <w:rsid w:val="006B4E63"/>
    <w:rsid w:val="006B5127"/>
    <w:rsid w:val="006B5130"/>
    <w:rsid w:val="006B545D"/>
    <w:rsid w:val="006B61C2"/>
    <w:rsid w:val="006B62F9"/>
    <w:rsid w:val="006B657B"/>
    <w:rsid w:val="006B67E4"/>
    <w:rsid w:val="006B692D"/>
    <w:rsid w:val="006B7482"/>
    <w:rsid w:val="006B7711"/>
    <w:rsid w:val="006C0170"/>
    <w:rsid w:val="006C0A4E"/>
    <w:rsid w:val="006C0B77"/>
    <w:rsid w:val="006C0BCF"/>
    <w:rsid w:val="006C0E12"/>
    <w:rsid w:val="006C131A"/>
    <w:rsid w:val="006C1741"/>
    <w:rsid w:val="006C1808"/>
    <w:rsid w:val="006C22D5"/>
    <w:rsid w:val="006C26F2"/>
    <w:rsid w:val="006C2AC4"/>
    <w:rsid w:val="006C34A7"/>
    <w:rsid w:val="006C3DB7"/>
    <w:rsid w:val="006C3E0C"/>
    <w:rsid w:val="006C40CA"/>
    <w:rsid w:val="006C4D3F"/>
    <w:rsid w:val="006C5A85"/>
    <w:rsid w:val="006C5B8D"/>
    <w:rsid w:val="006C634B"/>
    <w:rsid w:val="006C6C2B"/>
    <w:rsid w:val="006C7BD7"/>
    <w:rsid w:val="006D0201"/>
    <w:rsid w:val="006D0745"/>
    <w:rsid w:val="006D0AB0"/>
    <w:rsid w:val="006D0B19"/>
    <w:rsid w:val="006D0D2A"/>
    <w:rsid w:val="006D0DBD"/>
    <w:rsid w:val="006D0E09"/>
    <w:rsid w:val="006D0EB9"/>
    <w:rsid w:val="006D103C"/>
    <w:rsid w:val="006D12F8"/>
    <w:rsid w:val="006D150D"/>
    <w:rsid w:val="006D17EE"/>
    <w:rsid w:val="006D1C8C"/>
    <w:rsid w:val="006D1D02"/>
    <w:rsid w:val="006D2117"/>
    <w:rsid w:val="006D25B2"/>
    <w:rsid w:val="006D2A08"/>
    <w:rsid w:val="006D2E79"/>
    <w:rsid w:val="006D3120"/>
    <w:rsid w:val="006D345C"/>
    <w:rsid w:val="006D36E9"/>
    <w:rsid w:val="006D4231"/>
    <w:rsid w:val="006D483F"/>
    <w:rsid w:val="006D4964"/>
    <w:rsid w:val="006D5025"/>
    <w:rsid w:val="006D50FB"/>
    <w:rsid w:val="006D52D9"/>
    <w:rsid w:val="006D5B2D"/>
    <w:rsid w:val="006D5BDB"/>
    <w:rsid w:val="006D5C31"/>
    <w:rsid w:val="006D626C"/>
    <w:rsid w:val="006D644B"/>
    <w:rsid w:val="006D657E"/>
    <w:rsid w:val="006D65BB"/>
    <w:rsid w:val="006D730A"/>
    <w:rsid w:val="006D75A0"/>
    <w:rsid w:val="006D7C18"/>
    <w:rsid w:val="006E0277"/>
    <w:rsid w:val="006E039E"/>
    <w:rsid w:val="006E0837"/>
    <w:rsid w:val="006E0B3B"/>
    <w:rsid w:val="006E1297"/>
    <w:rsid w:val="006E16D9"/>
    <w:rsid w:val="006E1FE9"/>
    <w:rsid w:val="006E25E4"/>
    <w:rsid w:val="006E31C7"/>
    <w:rsid w:val="006E375A"/>
    <w:rsid w:val="006E3952"/>
    <w:rsid w:val="006E3F73"/>
    <w:rsid w:val="006E42A5"/>
    <w:rsid w:val="006E4A1B"/>
    <w:rsid w:val="006E4FB8"/>
    <w:rsid w:val="006E606C"/>
    <w:rsid w:val="006E67CC"/>
    <w:rsid w:val="006E704A"/>
    <w:rsid w:val="006E7462"/>
    <w:rsid w:val="006E7AA9"/>
    <w:rsid w:val="006E7F08"/>
    <w:rsid w:val="006F067D"/>
    <w:rsid w:val="006F0EA9"/>
    <w:rsid w:val="006F11DB"/>
    <w:rsid w:val="006F154E"/>
    <w:rsid w:val="006F17CC"/>
    <w:rsid w:val="006F189E"/>
    <w:rsid w:val="006F1D0E"/>
    <w:rsid w:val="006F1EE7"/>
    <w:rsid w:val="006F1F04"/>
    <w:rsid w:val="006F1FC7"/>
    <w:rsid w:val="006F1FEE"/>
    <w:rsid w:val="006F2732"/>
    <w:rsid w:val="006F2C6A"/>
    <w:rsid w:val="006F2DF0"/>
    <w:rsid w:val="006F38A2"/>
    <w:rsid w:val="006F3A94"/>
    <w:rsid w:val="006F3BEF"/>
    <w:rsid w:val="006F3D73"/>
    <w:rsid w:val="006F3F23"/>
    <w:rsid w:val="006F4005"/>
    <w:rsid w:val="006F4112"/>
    <w:rsid w:val="006F430C"/>
    <w:rsid w:val="006F48B5"/>
    <w:rsid w:val="006F48DB"/>
    <w:rsid w:val="006F506F"/>
    <w:rsid w:val="006F52BD"/>
    <w:rsid w:val="006F52D3"/>
    <w:rsid w:val="006F52FB"/>
    <w:rsid w:val="006F5643"/>
    <w:rsid w:val="006F6531"/>
    <w:rsid w:val="006F65E2"/>
    <w:rsid w:val="006F6A9E"/>
    <w:rsid w:val="006F6E2F"/>
    <w:rsid w:val="006F7294"/>
    <w:rsid w:val="006F76D0"/>
    <w:rsid w:val="006F7AA3"/>
    <w:rsid w:val="00700024"/>
    <w:rsid w:val="0070008D"/>
    <w:rsid w:val="007000FC"/>
    <w:rsid w:val="00700AB9"/>
    <w:rsid w:val="00700DA1"/>
    <w:rsid w:val="007014A2"/>
    <w:rsid w:val="00701B3C"/>
    <w:rsid w:val="00701BF1"/>
    <w:rsid w:val="007027FC"/>
    <w:rsid w:val="007035EB"/>
    <w:rsid w:val="00703993"/>
    <w:rsid w:val="00703B60"/>
    <w:rsid w:val="00703D1E"/>
    <w:rsid w:val="00703FA6"/>
    <w:rsid w:val="00704336"/>
    <w:rsid w:val="00704426"/>
    <w:rsid w:val="00704C08"/>
    <w:rsid w:val="00704F3A"/>
    <w:rsid w:val="00705128"/>
    <w:rsid w:val="00705496"/>
    <w:rsid w:val="0070555E"/>
    <w:rsid w:val="00705802"/>
    <w:rsid w:val="007058E7"/>
    <w:rsid w:val="007066E3"/>
    <w:rsid w:val="00706DEB"/>
    <w:rsid w:val="007073D2"/>
    <w:rsid w:val="0070758D"/>
    <w:rsid w:val="00707A72"/>
    <w:rsid w:val="00707F7C"/>
    <w:rsid w:val="007102C9"/>
    <w:rsid w:val="00710AD1"/>
    <w:rsid w:val="00711029"/>
    <w:rsid w:val="007111FD"/>
    <w:rsid w:val="0071123A"/>
    <w:rsid w:val="0071127E"/>
    <w:rsid w:val="0071148E"/>
    <w:rsid w:val="007119DC"/>
    <w:rsid w:val="00711D46"/>
    <w:rsid w:val="00711DD6"/>
    <w:rsid w:val="0071269C"/>
    <w:rsid w:val="007126E8"/>
    <w:rsid w:val="00712774"/>
    <w:rsid w:val="00712C4E"/>
    <w:rsid w:val="00712DA2"/>
    <w:rsid w:val="00712DBE"/>
    <w:rsid w:val="00712EEC"/>
    <w:rsid w:val="007139CD"/>
    <w:rsid w:val="00713D3C"/>
    <w:rsid w:val="00715086"/>
    <w:rsid w:val="00715C45"/>
    <w:rsid w:val="00715CE4"/>
    <w:rsid w:val="0071628D"/>
    <w:rsid w:val="00716435"/>
    <w:rsid w:val="0071673F"/>
    <w:rsid w:val="00716A65"/>
    <w:rsid w:val="00716B7F"/>
    <w:rsid w:val="00716E70"/>
    <w:rsid w:val="0071760C"/>
    <w:rsid w:val="0071775D"/>
    <w:rsid w:val="00717E3E"/>
    <w:rsid w:val="00720004"/>
    <w:rsid w:val="007202B3"/>
    <w:rsid w:val="0072065D"/>
    <w:rsid w:val="0072066E"/>
    <w:rsid w:val="007209F9"/>
    <w:rsid w:val="0072102D"/>
    <w:rsid w:val="0072111A"/>
    <w:rsid w:val="00721948"/>
    <w:rsid w:val="00721B1E"/>
    <w:rsid w:val="00721E4B"/>
    <w:rsid w:val="00721E58"/>
    <w:rsid w:val="0072252B"/>
    <w:rsid w:val="007225A7"/>
    <w:rsid w:val="007232E1"/>
    <w:rsid w:val="00723AFB"/>
    <w:rsid w:val="00724377"/>
    <w:rsid w:val="00724CA0"/>
    <w:rsid w:val="00724F76"/>
    <w:rsid w:val="007251E7"/>
    <w:rsid w:val="00725576"/>
    <w:rsid w:val="00725D96"/>
    <w:rsid w:val="00725E74"/>
    <w:rsid w:val="007263A4"/>
    <w:rsid w:val="00726471"/>
    <w:rsid w:val="007265D7"/>
    <w:rsid w:val="00726B60"/>
    <w:rsid w:val="007270AA"/>
    <w:rsid w:val="007270D4"/>
    <w:rsid w:val="0072769B"/>
    <w:rsid w:val="007278AD"/>
    <w:rsid w:val="0072790D"/>
    <w:rsid w:val="00727A25"/>
    <w:rsid w:val="00727DD9"/>
    <w:rsid w:val="00727F3A"/>
    <w:rsid w:val="0073107A"/>
    <w:rsid w:val="00731185"/>
    <w:rsid w:val="00731915"/>
    <w:rsid w:val="00732A2D"/>
    <w:rsid w:val="00732BF4"/>
    <w:rsid w:val="00732E62"/>
    <w:rsid w:val="00732F4B"/>
    <w:rsid w:val="007331A7"/>
    <w:rsid w:val="007331B0"/>
    <w:rsid w:val="00733317"/>
    <w:rsid w:val="00734601"/>
    <w:rsid w:val="007347B4"/>
    <w:rsid w:val="00734A34"/>
    <w:rsid w:val="00734C57"/>
    <w:rsid w:val="007357FF"/>
    <w:rsid w:val="00735A17"/>
    <w:rsid w:val="00735A9A"/>
    <w:rsid w:val="00736473"/>
    <w:rsid w:val="00736DBA"/>
    <w:rsid w:val="00736E64"/>
    <w:rsid w:val="007372C9"/>
    <w:rsid w:val="0073737D"/>
    <w:rsid w:val="007375E9"/>
    <w:rsid w:val="00737A23"/>
    <w:rsid w:val="00737B47"/>
    <w:rsid w:val="00737BF1"/>
    <w:rsid w:val="00740579"/>
    <w:rsid w:val="007406FF"/>
    <w:rsid w:val="00740AC2"/>
    <w:rsid w:val="00740B5B"/>
    <w:rsid w:val="00740DD1"/>
    <w:rsid w:val="00740F21"/>
    <w:rsid w:val="0074125A"/>
    <w:rsid w:val="007414AE"/>
    <w:rsid w:val="00741553"/>
    <w:rsid w:val="00741655"/>
    <w:rsid w:val="00741A7A"/>
    <w:rsid w:val="00741BF2"/>
    <w:rsid w:val="0074260A"/>
    <w:rsid w:val="00742E91"/>
    <w:rsid w:val="00742E92"/>
    <w:rsid w:val="00742EDF"/>
    <w:rsid w:val="00743065"/>
    <w:rsid w:val="0074310A"/>
    <w:rsid w:val="00743112"/>
    <w:rsid w:val="007439B0"/>
    <w:rsid w:val="007445FD"/>
    <w:rsid w:val="00744632"/>
    <w:rsid w:val="00745018"/>
    <w:rsid w:val="007455D5"/>
    <w:rsid w:val="00745A43"/>
    <w:rsid w:val="00745AAF"/>
    <w:rsid w:val="00745AF1"/>
    <w:rsid w:val="0074676B"/>
    <w:rsid w:val="00746BB2"/>
    <w:rsid w:val="00746E00"/>
    <w:rsid w:val="007471BC"/>
    <w:rsid w:val="007475B3"/>
    <w:rsid w:val="00750CE0"/>
    <w:rsid w:val="00751860"/>
    <w:rsid w:val="00752208"/>
    <w:rsid w:val="00752319"/>
    <w:rsid w:val="00752386"/>
    <w:rsid w:val="007528DC"/>
    <w:rsid w:val="007529BD"/>
    <w:rsid w:val="00752A9C"/>
    <w:rsid w:val="00752F36"/>
    <w:rsid w:val="00753D52"/>
    <w:rsid w:val="00753E9E"/>
    <w:rsid w:val="0075567E"/>
    <w:rsid w:val="007556EB"/>
    <w:rsid w:val="007559E5"/>
    <w:rsid w:val="00755B76"/>
    <w:rsid w:val="00755B79"/>
    <w:rsid w:val="00755C1D"/>
    <w:rsid w:val="00755FB9"/>
    <w:rsid w:val="00756BA5"/>
    <w:rsid w:val="00756C40"/>
    <w:rsid w:val="00756E2B"/>
    <w:rsid w:val="007572E9"/>
    <w:rsid w:val="007602D4"/>
    <w:rsid w:val="00760355"/>
    <w:rsid w:val="00760598"/>
    <w:rsid w:val="007609E3"/>
    <w:rsid w:val="00760C03"/>
    <w:rsid w:val="00760D05"/>
    <w:rsid w:val="007611D6"/>
    <w:rsid w:val="00761307"/>
    <w:rsid w:val="007616DA"/>
    <w:rsid w:val="00761941"/>
    <w:rsid w:val="007619C2"/>
    <w:rsid w:val="00763117"/>
    <w:rsid w:val="0076316D"/>
    <w:rsid w:val="007635A2"/>
    <w:rsid w:val="00763C79"/>
    <w:rsid w:val="0076454F"/>
    <w:rsid w:val="00764827"/>
    <w:rsid w:val="00764894"/>
    <w:rsid w:val="00764C34"/>
    <w:rsid w:val="007654A7"/>
    <w:rsid w:val="007657B5"/>
    <w:rsid w:val="00765B48"/>
    <w:rsid w:val="0076628E"/>
    <w:rsid w:val="007669DE"/>
    <w:rsid w:val="00766A47"/>
    <w:rsid w:val="0076725F"/>
    <w:rsid w:val="00767543"/>
    <w:rsid w:val="00767692"/>
    <w:rsid w:val="00767D14"/>
    <w:rsid w:val="00767E7F"/>
    <w:rsid w:val="00770272"/>
    <w:rsid w:val="00770FD8"/>
    <w:rsid w:val="007713F3"/>
    <w:rsid w:val="00771A06"/>
    <w:rsid w:val="00771D18"/>
    <w:rsid w:val="00771D2F"/>
    <w:rsid w:val="00771F12"/>
    <w:rsid w:val="007725EF"/>
    <w:rsid w:val="007726FD"/>
    <w:rsid w:val="0077297D"/>
    <w:rsid w:val="00772AAA"/>
    <w:rsid w:val="00772C15"/>
    <w:rsid w:val="00772D1D"/>
    <w:rsid w:val="007735DC"/>
    <w:rsid w:val="007738F9"/>
    <w:rsid w:val="007744CE"/>
    <w:rsid w:val="00774DEA"/>
    <w:rsid w:val="0077502C"/>
    <w:rsid w:val="007757E4"/>
    <w:rsid w:val="00775DB9"/>
    <w:rsid w:val="00775F5D"/>
    <w:rsid w:val="00775FCE"/>
    <w:rsid w:val="0077661D"/>
    <w:rsid w:val="0077662B"/>
    <w:rsid w:val="00776B31"/>
    <w:rsid w:val="00776DEC"/>
    <w:rsid w:val="00776FCF"/>
    <w:rsid w:val="00777013"/>
    <w:rsid w:val="007772CD"/>
    <w:rsid w:val="00777648"/>
    <w:rsid w:val="007777DE"/>
    <w:rsid w:val="00777B02"/>
    <w:rsid w:val="00777F2C"/>
    <w:rsid w:val="00777F67"/>
    <w:rsid w:val="00780415"/>
    <w:rsid w:val="00780861"/>
    <w:rsid w:val="00780DED"/>
    <w:rsid w:val="00780EE3"/>
    <w:rsid w:val="0078162C"/>
    <w:rsid w:val="007816E7"/>
    <w:rsid w:val="007818D0"/>
    <w:rsid w:val="007819C6"/>
    <w:rsid w:val="007820B7"/>
    <w:rsid w:val="00782785"/>
    <w:rsid w:val="007829C5"/>
    <w:rsid w:val="00783393"/>
    <w:rsid w:val="00783C06"/>
    <w:rsid w:val="00783C5A"/>
    <w:rsid w:val="00783C8E"/>
    <w:rsid w:val="007841C2"/>
    <w:rsid w:val="00784DF7"/>
    <w:rsid w:val="0078508D"/>
    <w:rsid w:val="0078538D"/>
    <w:rsid w:val="00785583"/>
    <w:rsid w:val="007857E7"/>
    <w:rsid w:val="0078589F"/>
    <w:rsid w:val="00785B83"/>
    <w:rsid w:val="0078626B"/>
    <w:rsid w:val="007862D4"/>
    <w:rsid w:val="0078649F"/>
    <w:rsid w:val="00786E53"/>
    <w:rsid w:val="00787A2E"/>
    <w:rsid w:val="00790597"/>
    <w:rsid w:val="00790EE3"/>
    <w:rsid w:val="007919E9"/>
    <w:rsid w:val="0079245F"/>
    <w:rsid w:val="0079266D"/>
    <w:rsid w:val="007929A7"/>
    <w:rsid w:val="00792AEA"/>
    <w:rsid w:val="00792ED1"/>
    <w:rsid w:val="00792F6D"/>
    <w:rsid w:val="00793816"/>
    <w:rsid w:val="00793819"/>
    <w:rsid w:val="00794900"/>
    <w:rsid w:val="007952B3"/>
    <w:rsid w:val="0079570D"/>
    <w:rsid w:val="00796254"/>
    <w:rsid w:val="00796804"/>
    <w:rsid w:val="00796D46"/>
    <w:rsid w:val="00796EDD"/>
    <w:rsid w:val="0079738D"/>
    <w:rsid w:val="00797532"/>
    <w:rsid w:val="00797690"/>
    <w:rsid w:val="007978E1"/>
    <w:rsid w:val="007A0166"/>
    <w:rsid w:val="007A02D4"/>
    <w:rsid w:val="007A04FD"/>
    <w:rsid w:val="007A086D"/>
    <w:rsid w:val="007A0A0C"/>
    <w:rsid w:val="007A13FD"/>
    <w:rsid w:val="007A1AC9"/>
    <w:rsid w:val="007A1B94"/>
    <w:rsid w:val="007A1BCE"/>
    <w:rsid w:val="007A1DEC"/>
    <w:rsid w:val="007A1E15"/>
    <w:rsid w:val="007A216F"/>
    <w:rsid w:val="007A238C"/>
    <w:rsid w:val="007A2598"/>
    <w:rsid w:val="007A2B0B"/>
    <w:rsid w:val="007A34C0"/>
    <w:rsid w:val="007A37C2"/>
    <w:rsid w:val="007A3C1C"/>
    <w:rsid w:val="007A3D90"/>
    <w:rsid w:val="007A3E8B"/>
    <w:rsid w:val="007A4122"/>
    <w:rsid w:val="007A416B"/>
    <w:rsid w:val="007A43DB"/>
    <w:rsid w:val="007A45F8"/>
    <w:rsid w:val="007A5328"/>
    <w:rsid w:val="007A5393"/>
    <w:rsid w:val="007A53D7"/>
    <w:rsid w:val="007A53E8"/>
    <w:rsid w:val="007A5E27"/>
    <w:rsid w:val="007A5EAC"/>
    <w:rsid w:val="007A5ED4"/>
    <w:rsid w:val="007A61A0"/>
    <w:rsid w:val="007A62AA"/>
    <w:rsid w:val="007A66EA"/>
    <w:rsid w:val="007A722C"/>
    <w:rsid w:val="007A726E"/>
    <w:rsid w:val="007A7409"/>
    <w:rsid w:val="007A74A7"/>
    <w:rsid w:val="007A74F4"/>
    <w:rsid w:val="007A7559"/>
    <w:rsid w:val="007A7873"/>
    <w:rsid w:val="007B005F"/>
    <w:rsid w:val="007B021C"/>
    <w:rsid w:val="007B06B8"/>
    <w:rsid w:val="007B0777"/>
    <w:rsid w:val="007B10EC"/>
    <w:rsid w:val="007B1331"/>
    <w:rsid w:val="007B13B5"/>
    <w:rsid w:val="007B18F3"/>
    <w:rsid w:val="007B19DC"/>
    <w:rsid w:val="007B1A55"/>
    <w:rsid w:val="007B1ADC"/>
    <w:rsid w:val="007B214E"/>
    <w:rsid w:val="007B2233"/>
    <w:rsid w:val="007B226E"/>
    <w:rsid w:val="007B2298"/>
    <w:rsid w:val="007B2424"/>
    <w:rsid w:val="007B25EE"/>
    <w:rsid w:val="007B2602"/>
    <w:rsid w:val="007B2793"/>
    <w:rsid w:val="007B2C85"/>
    <w:rsid w:val="007B303D"/>
    <w:rsid w:val="007B321D"/>
    <w:rsid w:val="007B35E3"/>
    <w:rsid w:val="007B35FA"/>
    <w:rsid w:val="007B3819"/>
    <w:rsid w:val="007B4719"/>
    <w:rsid w:val="007B4B7A"/>
    <w:rsid w:val="007B4C43"/>
    <w:rsid w:val="007B541F"/>
    <w:rsid w:val="007B5666"/>
    <w:rsid w:val="007B56BC"/>
    <w:rsid w:val="007B65FE"/>
    <w:rsid w:val="007B6804"/>
    <w:rsid w:val="007B6BA5"/>
    <w:rsid w:val="007B6EE9"/>
    <w:rsid w:val="007B775B"/>
    <w:rsid w:val="007C04FB"/>
    <w:rsid w:val="007C08A0"/>
    <w:rsid w:val="007C0AD8"/>
    <w:rsid w:val="007C0B09"/>
    <w:rsid w:val="007C0BC9"/>
    <w:rsid w:val="007C110A"/>
    <w:rsid w:val="007C1BAD"/>
    <w:rsid w:val="007C1D25"/>
    <w:rsid w:val="007C1F06"/>
    <w:rsid w:val="007C2115"/>
    <w:rsid w:val="007C2596"/>
    <w:rsid w:val="007C2946"/>
    <w:rsid w:val="007C2CE1"/>
    <w:rsid w:val="007C32A6"/>
    <w:rsid w:val="007C338C"/>
    <w:rsid w:val="007C348B"/>
    <w:rsid w:val="007C3DEF"/>
    <w:rsid w:val="007C454E"/>
    <w:rsid w:val="007C4994"/>
    <w:rsid w:val="007C4B68"/>
    <w:rsid w:val="007C4EDD"/>
    <w:rsid w:val="007C5C9B"/>
    <w:rsid w:val="007C6156"/>
    <w:rsid w:val="007C6588"/>
    <w:rsid w:val="007C6B67"/>
    <w:rsid w:val="007C6BB0"/>
    <w:rsid w:val="007C6F7F"/>
    <w:rsid w:val="007C70BE"/>
    <w:rsid w:val="007C7B90"/>
    <w:rsid w:val="007D03FA"/>
    <w:rsid w:val="007D0D8A"/>
    <w:rsid w:val="007D1040"/>
    <w:rsid w:val="007D2155"/>
    <w:rsid w:val="007D2529"/>
    <w:rsid w:val="007D3E2A"/>
    <w:rsid w:val="007D3FC2"/>
    <w:rsid w:val="007D414E"/>
    <w:rsid w:val="007D427D"/>
    <w:rsid w:val="007D4358"/>
    <w:rsid w:val="007D43DE"/>
    <w:rsid w:val="007D4552"/>
    <w:rsid w:val="007D4C4A"/>
    <w:rsid w:val="007D4F4F"/>
    <w:rsid w:val="007D4FAB"/>
    <w:rsid w:val="007D5076"/>
    <w:rsid w:val="007D5173"/>
    <w:rsid w:val="007D53C1"/>
    <w:rsid w:val="007D57D2"/>
    <w:rsid w:val="007D6164"/>
    <w:rsid w:val="007D6684"/>
    <w:rsid w:val="007D693A"/>
    <w:rsid w:val="007D6A65"/>
    <w:rsid w:val="007D6FEE"/>
    <w:rsid w:val="007D70C2"/>
    <w:rsid w:val="007D7378"/>
    <w:rsid w:val="007D7C49"/>
    <w:rsid w:val="007D7C6C"/>
    <w:rsid w:val="007D7CA8"/>
    <w:rsid w:val="007E031D"/>
    <w:rsid w:val="007E0912"/>
    <w:rsid w:val="007E0E8F"/>
    <w:rsid w:val="007E11CC"/>
    <w:rsid w:val="007E23F5"/>
    <w:rsid w:val="007E2B2A"/>
    <w:rsid w:val="007E2B9F"/>
    <w:rsid w:val="007E2DE0"/>
    <w:rsid w:val="007E32A0"/>
    <w:rsid w:val="007E3425"/>
    <w:rsid w:val="007E34A4"/>
    <w:rsid w:val="007E3601"/>
    <w:rsid w:val="007E36D4"/>
    <w:rsid w:val="007E3F8F"/>
    <w:rsid w:val="007E5180"/>
    <w:rsid w:val="007E577B"/>
    <w:rsid w:val="007E6293"/>
    <w:rsid w:val="007E6335"/>
    <w:rsid w:val="007E6841"/>
    <w:rsid w:val="007E6B8F"/>
    <w:rsid w:val="007E70EC"/>
    <w:rsid w:val="007E735B"/>
    <w:rsid w:val="007E743D"/>
    <w:rsid w:val="007E7693"/>
    <w:rsid w:val="007E7B26"/>
    <w:rsid w:val="007F03B7"/>
    <w:rsid w:val="007F074C"/>
    <w:rsid w:val="007F0A73"/>
    <w:rsid w:val="007F0DFB"/>
    <w:rsid w:val="007F0EBC"/>
    <w:rsid w:val="007F0FC3"/>
    <w:rsid w:val="007F18DD"/>
    <w:rsid w:val="007F1DF5"/>
    <w:rsid w:val="007F218B"/>
    <w:rsid w:val="007F32CD"/>
    <w:rsid w:val="007F338C"/>
    <w:rsid w:val="007F400B"/>
    <w:rsid w:val="007F4938"/>
    <w:rsid w:val="007F4B1E"/>
    <w:rsid w:val="007F4DAB"/>
    <w:rsid w:val="007F517C"/>
    <w:rsid w:val="007F541E"/>
    <w:rsid w:val="007F5B57"/>
    <w:rsid w:val="007F638C"/>
    <w:rsid w:val="007F6728"/>
    <w:rsid w:val="007F68DB"/>
    <w:rsid w:val="007F6D7E"/>
    <w:rsid w:val="007F6FF5"/>
    <w:rsid w:val="007F766E"/>
    <w:rsid w:val="00800128"/>
    <w:rsid w:val="00800D5B"/>
    <w:rsid w:val="0080125C"/>
    <w:rsid w:val="00801490"/>
    <w:rsid w:val="00801BD2"/>
    <w:rsid w:val="00802BFE"/>
    <w:rsid w:val="00802D52"/>
    <w:rsid w:val="00803237"/>
    <w:rsid w:val="00803384"/>
    <w:rsid w:val="008033B8"/>
    <w:rsid w:val="008035B1"/>
    <w:rsid w:val="008038B3"/>
    <w:rsid w:val="008045D9"/>
    <w:rsid w:val="00804B37"/>
    <w:rsid w:val="008050FD"/>
    <w:rsid w:val="00805DCD"/>
    <w:rsid w:val="00805FC4"/>
    <w:rsid w:val="008062CD"/>
    <w:rsid w:val="00806585"/>
    <w:rsid w:val="00806B77"/>
    <w:rsid w:val="00806B92"/>
    <w:rsid w:val="00806FCC"/>
    <w:rsid w:val="008076C9"/>
    <w:rsid w:val="00807E9B"/>
    <w:rsid w:val="0081040A"/>
    <w:rsid w:val="00810AD8"/>
    <w:rsid w:val="0081105B"/>
    <w:rsid w:val="00811178"/>
    <w:rsid w:val="0081117D"/>
    <w:rsid w:val="008121C4"/>
    <w:rsid w:val="0081221A"/>
    <w:rsid w:val="0081290C"/>
    <w:rsid w:val="00812E1D"/>
    <w:rsid w:val="00813520"/>
    <w:rsid w:val="00813608"/>
    <w:rsid w:val="00813ABE"/>
    <w:rsid w:val="00813E53"/>
    <w:rsid w:val="00813FD6"/>
    <w:rsid w:val="008144D9"/>
    <w:rsid w:val="0081483E"/>
    <w:rsid w:val="00814B48"/>
    <w:rsid w:val="00814D9B"/>
    <w:rsid w:val="00815307"/>
    <w:rsid w:val="00815446"/>
    <w:rsid w:val="00815798"/>
    <w:rsid w:val="00815FC7"/>
    <w:rsid w:val="008164E0"/>
    <w:rsid w:val="008169F5"/>
    <w:rsid w:val="008179C5"/>
    <w:rsid w:val="00817E03"/>
    <w:rsid w:val="0082020A"/>
    <w:rsid w:val="0082036D"/>
    <w:rsid w:val="008205CD"/>
    <w:rsid w:val="00820EEA"/>
    <w:rsid w:val="008210D3"/>
    <w:rsid w:val="00821290"/>
    <w:rsid w:val="00821499"/>
    <w:rsid w:val="00821B8F"/>
    <w:rsid w:val="00822089"/>
    <w:rsid w:val="008223D3"/>
    <w:rsid w:val="00822C02"/>
    <w:rsid w:val="00822D83"/>
    <w:rsid w:val="00822DE3"/>
    <w:rsid w:val="00822E66"/>
    <w:rsid w:val="00823014"/>
    <w:rsid w:val="008230A9"/>
    <w:rsid w:val="008230B7"/>
    <w:rsid w:val="008238EE"/>
    <w:rsid w:val="00823A92"/>
    <w:rsid w:val="00823C89"/>
    <w:rsid w:val="00823E1B"/>
    <w:rsid w:val="00823F4A"/>
    <w:rsid w:val="00823FA8"/>
    <w:rsid w:val="00824665"/>
    <w:rsid w:val="0082491F"/>
    <w:rsid w:val="00824958"/>
    <w:rsid w:val="00825067"/>
    <w:rsid w:val="00825EC8"/>
    <w:rsid w:val="00826163"/>
    <w:rsid w:val="0082684B"/>
    <w:rsid w:val="00826E03"/>
    <w:rsid w:val="00826E04"/>
    <w:rsid w:val="00826F6B"/>
    <w:rsid w:val="008272EB"/>
    <w:rsid w:val="00827572"/>
    <w:rsid w:val="00827924"/>
    <w:rsid w:val="00827DBA"/>
    <w:rsid w:val="00830332"/>
    <w:rsid w:val="008303D4"/>
    <w:rsid w:val="008306A0"/>
    <w:rsid w:val="0083086A"/>
    <w:rsid w:val="00830B72"/>
    <w:rsid w:val="00830DE4"/>
    <w:rsid w:val="00830E26"/>
    <w:rsid w:val="00830EA5"/>
    <w:rsid w:val="008311AD"/>
    <w:rsid w:val="008313C3"/>
    <w:rsid w:val="00831B48"/>
    <w:rsid w:val="00831D3E"/>
    <w:rsid w:val="00832154"/>
    <w:rsid w:val="008328D6"/>
    <w:rsid w:val="00832D73"/>
    <w:rsid w:val="00833515"/>
    <w:rsid w:val="0083394A"/>
    <w:rsid w:val="008344DC"/>
    <w:rsid w:val="008346BE"/>
    <w:rsid w:val="00834850"/>
    <w:rsid w:val="008348D6"/>
    <w:rsid w:val="008349DC"/>
    <w:rsid w:val="00834E8A"/>
    <w:rsid w:val="0083526F"/>
    <w:rsid w:val="00836636"/>
    <w:rsid w:val="00836991"/>
    <w:rsid w:val="00837439"/>
    <w:rsid w:val="0084068D"/>
    <w:rsid w:val="00840AB6"/>
    <w:rsid w:val="00840FD6"/>
    <w:rsid w:val="00841694"/>
    <w:rsid w:val="00842385"/>
    <w:rsid w:val="00842658"/>
    <w:rsid w:val="00842A4B"/>
    <w:rsid w:val="00842C0E"/>
    <w:rsid w:val="0084330F"/>
    <w:rsid w:val="00843A03"/>
    <w:rsid w:val="008442E1"/>
    <w:rsid w:val="008443DB"/>
    <w:rsid w:val="008444E7"/>
    <w:rsid w:val="00844A35"/>
    <w:rsid w:val="00844B42"/>
    <w:rsid w:val="00844B77"/>
    <w:rsid w:val="00844E24"/>
    <w:rsid w:val="0084537A"/>
    <w:rsid w:val="0084561B"/>
    <w:rsid w:val="00845820"/>
    <w:rsid w:val="00845EFC"/>
    <w:rsid w:val="00846904"/>
    <w:rsid w:val="00846B01"/>
    <w:rsid w:val="00846D2A"/>
    <w:rsid w:val="00846DB8"/>
    <w:rsid w:val="00846E23"/>
    <w:rsid w:val="008472EA"/>
    <w:rsid w:val="0084754B"/>
    <w:rsid w:val="00847841"/>
    <w:rsid w:val="00847C06"/>
    <w:rsid w:val="00850FB3"/>
    <w:rsid w:val="00850FED"/>
    <w:rsid w:val="0085103A"/>
    <w:rsid w:val="008513C0"/>
    <w:rsid w:val="00851AFB"/>
    <w:rsid w:val="00851B3E"/>
    <w:rsid w:val="00852024"/>
    <w:rsid w:val="0085233C"/>
    <w:rsid w:val="0085265F"/>
    <w:rsid w:val="008529D5"/>
    <w:rsid w:val="00852D54"/>
    <w:rsid w:val="00852F70"/>
    <w:rsid w:val="00853579"/>
    <w:rsid w:val="008535C8"/>
    <w:rsid w:val="008535D2"/>
    <w:rsid w:val="00854414"/>
    <w:rsid w:val="00854717"/>
    <w:rsid w:val="00854B37"/>
    <w:rsid w:val="00854D12"/>
    <w:rsid w:val="0085612C"/>
    <w:rsid w:val="0085662D"/>
    <w:rsid w:val="00856C3A"/>
    <w:rsid w:val="0085706B"/>
    <w:rsid w:val="00857240"/>
    <w:rsid w:val="0085755E"/>
    <w:rsid w:val="00857744"/>
    <w:rsid w:val="008579B3"/>
    <w:rsid w:val="008603A0"/>
    <w:rsid w:val="00860C55"/>
    <w:rsid w:val="00860E0C"/>
    <w:rsid w:val="00861216"/>
    <w:rsid w:val="0086129F"/>
    <w:rsid w:val="008614C2"/>
    <w:rsid w:val="00861D9E"/>
    <w:rsid w:val="00861F44"/>
    <w:rsid w:val="00861F68"/>
    <w:rsid w:val="008621D2"/>
    <w:rsid w:val="00862D51"/>
    <w:rsid w:val="0086308C"/>
    <w:rsid w:val="00863464"/>
    <w:rsid w:val="00863492"/>
    <w:rsid w:val="008635D0"/>
    <w:rsid w:val="00863767"/>
    <w:rsid w:val="0086378F"/>
    <w:rsid w:val="0086384A"/>
    <w:rsid w:val="00863C1B"/>
    <w:rsid w:val="00863D90"/>
    <w:rsid w:val="00863F73"/>
    <w:rsid w:val="00864284"/>
    <w:rsid w:val="00864658"/>
    <w:rsid w:val="008650A1"/>
    <w:rsid w:val="00865147"/>
    <w:rsid w:val="00865152"/>
    <w:rsid w:val="00865739"/>
    <w:rsid w:val="0086624E"/>
    <w:rsid w:val="00866289"/>
    <w:rsid w:val="00866483"/>
    <w:rsid w:val="00866A13"/>
    <w:rsid w:val="00866A8D"/>
    <w:rsid w:val="00866DDB"/>
    <w:rsid w:val="008671ED"/>
    <w:rsid w:val="00867FEF"/>
    <w:rsid w:val="00870E93"/>
    <w:rsid w:val="00871518"/>
    <w:rsid w:val="00871823"/>
    <w:rsid w:val="00871C3D"/>
    <w:rsid w:val="00871DA0"/>
    <w:rsid w:val="00871E9F"/>
    <w:rsid w:val="008726A4"/>
    <w:rsid w:val="008729E0"/>
    <w:rsid w:val="00872D8F"/>
    <w:rsid w:val="00872E73"/>
    <w:rsid w:val="00872F51"/>
    <w:rsid w:val="00873171"/>
    <w:rsid w:val="0087333F"/>
    <w:rsid w:val="0087373F"/>
    <w:rsid w:val="00873A79"/>
    <w:rsid w:val="00873F51"/>
    <w:rsid w:val="00874672"/>
    <w:rsid w:val="008746AE"/>
    <w:rsid w:val="008746E8"/>
    <w:rsid w:val="008746EC"/>
    <w:rsid w:val="00874A4E"/>
    <w:rsid w:val="008765DB"/>
    <w:rsid w:val="008766B0"/>
    <w:rsid w:val="008768EA"/>
    <w:rsid w:val="008769E2"/>
    <w:rsid w:val="00876E4F"/>
    <w:rsid w:val="00876F91"/>
    <w:rsid w:val="0087782D"/>
    <w:rsid w:val="00880146"/>
    <w:rsid w:val="00880CEA"/>
    <w:rsid w:val="00880E62"/>
    <w:rsid w:val="008811F4"/>
    <w:rsid w:val="00881264"/>
    <w:rsid w:val="00881570"/>
    <w:rsid w:val="00881713"/>
    <w:rsid w:val="00881894"/>
    <w:rsid w:val="00881CA5"/>
    <w:rsid w:val="008821FD"/>
    <w:rsid w:val="008828E0"/>
    <w:rsid w:val="00882BEA"/>
    <w:rsid w:val="00882D81"/>
    <w:rsid w:val="008831B7"/>
    <w:rsid w:val="00883632"/>
    <w:rsid w:val="008850E6"/>
    <w:rsid w:val="00885286"/>
    <w:rsid w:val="00885539"/>
    <w:rsid w:val="00885AD9"/>
    <w:rsid w:val="00885D4A"/>
    <w:rsid w:val="00885F33"/>
    <w:rsid w:val="00886424"/>
    <w:rsid w:val="008866F5"/>
    <w:rsid w:val="00886CF8"/>
    <w:rsid w:val="00886EE6"/>
    <w:rsid w:val="00886FB8"/>
    <w:rsid w:val="0088721C"/>
    <w:rsid w:val="0088791F"/>
    <w:rsid w:val="00887920"/>
    <w:rsid w:val="00887A17"/>
    <w:rsid w:val="00887D8E"/>
    <w:rsid w:val="00887E7B"/>
    <w:rsid w:val="00887FB0"/>
    <w:rsid w:val="008909BE"/>
    <w:rsid w:val="00890E3A"/>
    <w:rsid w:val="008910D2"/>
    <w:rsid w:val="0089143F"/>
    <w:rsid w:val="00891B99"/>
    <w:rsid w:val="00891BCA"/>
    <w:rsid w:val="00891C88"/>
    <w:rsid w:val="00891C90"/>
    <w:rsid w:val="008921D1"/>
    <w:rsid w:val="00892604"/>
    <w:rsid w:val="00892AFC"/>
    <w:rsid w:val="00892CBF"/>
    <w:rsid w:val="00892D4F"/>
    <w:rsid w:val="00893042"/>
    <w:rsid w:val="00893756"/>
    <w:rsid w:val="00894983"/>
    <w:rsid w:val="00894ED1"/>
    <w:rsid w:val="00895364"/>
    <w:rsid w:val="008955FD"/>
    <w:rsid w:val="00895A13"/>
    <w:rsid w:val="00895CFB"/>
    <w:rsid w:val="00895F6C"/>
    <w:rsid w:val="008967D5"/>
    <w:rsid w:val="00896917"/>
    <w:rsid w:val="00896AEF"/>
    <w:rsid w:val="00896E78"/>
    <w:rsid w:val="00896F19"/>
    <w:rsid w:val="0089788F"/>
    <w:rsid w:val="00897BC1"/>
    <w:rsid w:val="008A028E"/>
    <w:rsid w:val="008A05C3"/>
    <w:rsid w:val="008A065A"/>
    <w:rsid w:val="008A113A"/>
    <w:rsid w:val="008A1833"/>
    <w:rsid w:val="008A183B"/>
    <w:rsid w:val="008A1D45"/>
    <w:rsid w:val="008A24C2"/>
    <w:rsid w:val="008A285D"/>
    <w:rsid w:val="008A298A"/>
    <w:rsid w:val="008A2DCE"/>
    <w:rsid w:val="008A30CA"/>
    <w:rsid w:val="008A3334"/>
    <w:rsid w:val="008A3612"/>
    <w:rsid w:val="008A385B"/>
    <w:rsid w:val="008A44FC"/>
    <w:rsid w:val="008A46BC"/>
    <w:rsid w:val="008A51F2"/>
    <w:rsid w:val="008A535C"/>
    <w:rsid w:val="008A55F0"/>
    <w:rsid w:val="008A5667"/>
    <w:rsid w:val="008A64CF"/>
    <w:rsid w:val="008A71FF"/>
    <w:rsid w:val="008A741C"/>
    <w:rsid w:val="008A7A20"/>
    <w:rsid w:val="008A7A40"/>
    <w:rsid w:val="008B0E30"/>
    <w:rsid w:val="008B0F31"/>
    <w:rsid w:val="008B133B"/>
    <w:rsid w:val="008B22A2"/>
    <w:rsid w:val="008B25BC"/>
    <w:rsid w:val="008B2752"/>
    <w:rsid w:val="008B2BF8"/>
    <w:rsid w:val="008B2FFA"/>
    <w:rsid w:val="008B3424"/>
    <w:rsid w:val="008B3B1C"/>
    <w:rsid w:val="008B43BC"/>
    <w:rsid w:val="008B468E"/>
    <w:rsid w:val="008B51BB"/>
    <w:rsid w:val="008B60D3"/>
    <w:rsid w:val="008B622E"/>
    <w:rsid w:val="008B64A6"/>
    <w:rsid w:val="008B66AE"/>
    <w:rsid w:val="008B6742"/>
    <w:rsid w:val="008B67AA"/>
    <w:rsid w:val="008B6849"/>
    <w:rsid w:val="008B68F4"/>
    <w:rsid w:val="008B69F1"/>
    <w:rsid w:val="008B703D"/>
    <w:rsid w:val="008B74A1"/>
    <w:rsid w:val="008B795B"/>
    <w:rsid w:val="008C0000"/>
    <w:rsid w:val="008C03D4"/>
    <w:rsid w:val="008C116D"/>
    <w:rsid w:val="008C2347"/>
    <w:rsid w:val="008C2918"/>
    <w:rsid w:val="008C29C2"/>
    <w:rsid w:val="008C2C5C"/>
    <w:rsid w:val="008C2CEF"/>
    <w:rsid w:val="008C31F8"/>
    <w:rsid w:val="008C33E9"/>
    <w:rsid w:val="008C350D"/>
    <w:rsid w:val="008C3B4D"/>
    <w:rsid w:val="008C3B54"/>
    <w:rsid w:val="008C3FD5"/>
    <w:rsid w:val="008C418F"/>
    <w:rsid w:val="008C425E"/>
    <w:rsid w:val="008C46B2"/>
    <w:rsid w:val="008C4718"/>
    <w:rsid w:val="008C47EA"/>
    <w:rsid w:val="008C4920"/>
    <w:rsid w:val="008C4E8B"/>
    <w:rsid w:val="008C4ED7"/>
    <w:rsid w:val="008C52C1"/>
    <w:rsid w:val="008C53AE"/>
    <w:rsid w:val="008C546E"/>
    <w:rsid w:val="008C5A5C"/>
    <w:rsid w:val="008C5AAE"/>
    <w:rsid w:val="008C5E41"/>
    <w:rsid w:val="008C5E52"/>
    <w:rsid w:val="008C6125"/>
    <w:rsid w:val="008C6379"/>
    <w:rsid w:val="008C6771"/>
    <w:rsid w:val="008C6A29"/>
    <w:rsid w:val="008C74D8"/>
    <w:rsid w:val="008C793A"/>
    <w:rsid w:val="008C7B12"/>
    <w:rsid w:val="008C7E8A"/>
    <w:rsid w:val="008D0E9E"/>
    <w:rsid w:val="008D10E7"/>
    <w:rsid w:val="008D1518"/>
    <w:rsid w:val="008D15D3"/>
    <w:rsid w:val="008D1894"/>
    <w:rsid w:val="008D22A0"/>
    <w:rsid w:val="008D2865"/>
    <w:rsid w:val="008D2933"/>
    <w:rsid w:val="008D2A36"/>
    <w:rsid w:val="008D30A4"/>
    <w:rsid w:val="008D3DD0"/>
    <w:rsid w:val="008D44A7"/>
    <w:rsid w:val="008D487C"/>
    <w:rsid w:val="008D4B75"/>
    <w:rsid w:val="008D4C7F"/>
    <w:rsid w:val="008D59D4"/>
    <w:rsid w:val="008D6459"/>
    <w:rsid w:val="008D6A10"/>
    <w:rsid w:val="008D6A32"/>
    <w:rsid w:val="008D72DA"/>
    <w:rsid w:val="008D7463"/>
    <w:rsid w:val="008D7473"/>
    <w:rsid w:val="008D74BB"/>
    <w:rsid w:val="008D7AD5"/>
    <w:rsid w:val="008D7E22"/>
    <w:rsid w:val="008E0385"/>
    <w:rsid w:val="008E0C97"/>
    <w:rsid w:val="008E0E3C"/>
    <w:rsid w:val="008E1483"/>
    <w:rsid w:val="008E1BA5"/>
    <w:rsid w:val="008E1E72"/>
    <w:rsid w:val="008E2152"/>
    <w:rsid w:val="008E2256"/>
    <w:rsid w:val="008E2456"/>
    <w:rsid w:val="008E2632"/>
    <w:rsid w:val="008E271C"/>
    <w:rsid w:val="008E2BA5"/>
    <w:rsid w:val="008E2D47"/>
    <w:rsid w:val="008E32F8"/>
    <w:rsid w:val="008E3D8F"/>
    <w:rsid w:val="008E3EF6"/>
    <w:rsid w:val="008E44B2"/>
    <w:rsid w:val="008E517C"/>
    <w:rsid w:val="008E542F"/>
    <w:rsid w:val="008E58A6"/>
    <w:rsid w:val="008E5BD3"/>
    <w:rsid w:val="008E5D27"/>
    <w:rsid w:val="008E6312"/>
    <w:rsid w:val="008E642B"/>
    <w:rsid w:val="008E6A0E"/>
    <w:rsid w:val="008E6B4C"/>
    <w:rsid w:val="008E6CA3"/>
    <w:rsid w:val="008E7DA1"/>
    <w:rsid w:val="008F002F"/>
    <w:rsid w:val="008F03C0"/>
    <w:rsid w:val="008F0A98"/>
    <w:rsid w:val="008F0B9D"/>
    <w:rsid w:val="008F101E"/>
    <w:rsid w:val="008F15EA"/>
    <w:rsid w:val="008F19A5"/>
    <w:rsid w:val="008F243A"/>
    <w:rsid w:val="008F2593"/>
    <w:rsid w:val="008F2687"/>
    <w:rsid w:val="008F297B"/>
    <w:rsid w:val="008F29BD"/>
    <w:rsid w:val="008F2BB1"/>
    <w:rsid w:val="008F2BDA"/>
    <w:rsid w:val="008F4071"/>
    <w:rsid w:val="008F41DE"/>
    <w:rsid w:val="008F422C"/>
    <w:rsid w:val="008F4828"/>
    <w:rsid w:val="008F4974"/>
    <w:rsid w:val="008F4E9E"/>
    <w:rsid w:val="008F5018"/>
    <w:rsid w:val="008F557B"/>
    <w:rsid w:val="008F5A91"/>
    <w:rsid w:val="008F5C69"/>
    <w:rsid w:val="008F6209"/>
    <w:rsid w:val="008F639C"/>
    <w:rsid w:val="008F6DD5"/>
    <w:rsid w:val="008F718C"/>
    <w:rsid w:val="008F731A"/>
    <w:rsid w:val="008F74B5"/>
    <w:rsid w:val="008F7A80"/>
    <w:rsid w:val="008F7CA2"/>
    <w:rsid w:val="00900475"/>
    <w:rsid w:val="0090094A"/>
    <w:rsid w:val="00900B77"/>
    <w:rsid w:val="00900C90"/>
    <w:rsid w:val="00900D55"/>
    <w:rsid w:val="00900E10"/>
    <w:rsid w:val="00900E40"/>
    <w:rsid w:val="009010E3"/>
    <w:rsid w:val="0090121E"/>
    <w:rsid w:val="00901594"/>
    <w:rsid w:val="0090181C"/>
    <w:rsid w:val="009019AD"/>
    <w:rsid w:val="009025FE"/>
    <w:rsid w:val="00902817"/>
    <w:rsid w:val="0090284F"/>
    <w:rsid w:val="009029F1"/>
    <w:rsid w:val="00902B40"/>
    <w:rsid w:val="00902E35"/>
    <w:rsid w:val="00903EBA"/>
    <w:rsid w:val="0090404C"/>
    <w:rsid w:val="009042BC"/>
    <w:rsid w:val="00904703"/>
    <w:rsid w:val="00905143"/>
    <w:rsid w:val="00905E3C"/>
    <w:rsid w:val="009061BD"/>
    <w:rsid w:val="00906BD7"/>
    <w:rsid w:val="00906D4A"/>
    <w:rsid w:val="00907700"/>
    <w:rsid w:val="00907CF7"/>
    <w:rsid w:val="0091011B"/>
    <w:rsid w:val="009103B0"/>
    <w:rsid w:val="00910A79"/>
    <w:rsid w:val="00910AA9"/>
    <w:rsid w:val="009116B5"/>
    <w:rsid w:val="00911AAE"/>
    <w:rsid w:val="0091213F"/>
    <w:rsid w:val="009126F3"/>
    <w:rsid w:val="00912954"/>
    <w:rsid w:val="0091329D"/>
    <w:rsid w:val="00913D4F"/>
    <w:rsid w:val="00914B2F"/>
    <w:rsid w:val="00914BA9"/>
    <w:rsid w:val="009154CC"/>
    <w:rsid w:val="009162A5"/>
    <w:rsid w:val="00916375"/>
    <w:rsid w:val="009163BA"/>
    <w:rsid w:val="00916588"/>
    <w:rsid w:val="009169B1"/>
    <w:rsid w:val="00917006"/>
    <w:rsid w:val="00917039"/>
    <w:rsid w:val="009173B9"/>
    <w:rsid w:val="00917722"/>
    <w:rsid w:val="00917AAC"/>
    <w:rsid w:val="009203BF"/>
    <w:rsid w:val="00920538"/>
    <w:rsid w:val="00920DD0"/>
    <w:rsid w:val="0092134D"/>
    <w:rsid w:val="009213B4"/>
    <w:rsid w:val="0092151B"/>
    <w:rsid w:val="00921582"/>
    <w:rsid w:val="0092172B"/>
    <w:rsid w:val="00921A29"/>
    <w:rsid w:val="00921B24"/>
    <w:rsid w:val="00921E1C"/>
    <w:rsid w:val="009227AE"/>
    <w:rsid w:val="009237B0"/>
    <w:rsid w:val="00923F0B"/>
    <w:rsid w:val="00923FD2"/>
    <w:rsid w:val="00924518"/>
    <w:rsid w:val="00925299"/>
    <w:rsid w:val="00925A34"/>
    <w:rsid w:val="00925E5B"/>
    <w:rsid w:val="009260EF"/>
    <w:rsid w:val="00926649"/>
    <w:rsid w:val="00927169"/>
    <w:rsid w:val="0092717E"/>
    <w:rsid w:val="00927788"/>
    <w:rsid w:val="00930698"/>
    <w:rsid w:val="00930BBC"/>
    <w:rsid w:val="00930D17"/>
    <w:rsid w:val="00930DC1"/>
    <w:rsid w:val="0093108E"/>
    <w:rsid w:val="00932541"/>
    <w:rsid w:val="009327A8"/>
    <w:rsid w:val="00932A71"/>
    <w:rsid w:val="00932E07"/>
    <w:rsid w:val="00932E4B"/>
    <w:rsid w:val="00933574"/>
    <w:rsid w:val="00933788"/>
    <w:rsid w:val="00933C17"/>
    <w:rsid w:val="00933F25"/>
    <w:rsid w:val="00933F93"/>
    <w:rsid w:val="00934069"/>
    <w:rsid w:val="0093446B"/>
    <w:rsid w:val="009347C9"/>
    <w:rsid w:val="009347DC"/>
    <w:rsid w:val="00934929"/>
    <w:rsid w:val="00935669"/>
    <w:rsid w:val="00936310"/>
    <w:rsid w:val="009364FC"/>
    <w:rsid w:val="0093655E"/>
    <w:rsid w:val="009365C0"/>
    <w:rsid w:val="009367AA"/>
    <w:rsid w:val="00936F0D"/>
    <w:rsid w:val="00937541"/>
    <w:rsid w:val="00937681"/>
    <w:rsid w:val="009377A7"/>
    <w:rsid w:val="00937900"/>
    <w:rsid w:val="0094067E"/>
    <w:rsid w:val="00940B09"/>
    <w:rsid w:val="009410F7"/>
    <w:rsid w:val="00941254"/>
    <w:rsid w:val="009414F0"/>
    <w:rsid w:val="00941655"/>
    <w:rsid w:val="00941718"/>
    <w:rsid w:val="00941CCE"/>
    <w:rsid w:val="00941D63"/>
    <w:rsid w:val="00941E5F"/>
    <w:rsid w:val="0094233B"/>
    <w:rsid w:val="00942405"/>
    <w:rsid w:val="00942796"/>
    <w:rsid w:val="00942A9B"/>
    <w:rsid w:val="00942ADE"/>
    <w:rsid w:val="00942FAB"/>
    <w:rsid w:val="00943353"/>
    <w:rsid w:val="00943825"/>
    <w:rsid w:val="009449CA"/>
    <w:rsid w:val="00944DA1"/>
    <w:rsid w:val="00945175"/>
    <w:rsid w:val="009455ED"/>
    <w:rsid w:val="0094586F"/>
    <w:rsid w:val="00945B0E"/>
    <w:rsid w:val="00945D96"/>
    <w:rsid w:val="00945F81"/>
    <w:rsid w:val="00945FF4"/>
    <w:rsid w:val="009462B5"/>
    <w:rsid w:val="0094647D"/>
    <w:rsid w:val="009467FB"/>
    <w:rsid w:val="00946818"/>
    <w:rsid w:val="00946E36"/>
    <w:rsid w:val="00947306"/>
    <w:rsid w:val="00947665"/>
    <w:rsid w:val="0094785E"/>
    <w:rsid w:val="009478DA"/>
    <w:rsid w:val="00947AA1"/>
    <w:rsid w:val="009502A4"/>
    <w:rsid w:val="009503AE"/>
    <w:rsid w:val="00950857"/>
    <w:rsid w:val="00950993"/>
    <w:rsid w:val="00950AA5"/>
    <w:rsid w:val="009515DF"/>
    <w:rsid w:val="0095179A"/>
    <w:rsid w:val="00951F86"/>
    <w:rsid w:val="00952057"/>
    <w:rsid w:val="00952153"/>
    <w:rsid w:val="00952688"/>
    <w:rsid w:val="00952827"/>
    <w:rsid w:val="00952AD5"/>
    <w:rsid w:val="009531F7"/>
    <w:rsid w:val="00953607"/>
    <w:rsid w:val="0095363B"/>
    <w:rsid w:val="00953A93"/>
    <w:rsid w:val="00953B61"/>
    <w:rsid w:val="00953E4D"/>
    <w:rsid w:val="00953FE7"/>
    <w:rsid w:val="00953FF7"/>
    <w:rsid w:val="0095403A"/>
    <w:rsid w:val="00954933"/>
    <w:rsid w:val="0095493F"/>
    <w:rsid w:val="009549FE"/>
    <w:rsid w:val="00954AC6"/>
    <w:rsid w:val="00955167"/>
    <w:rsid w:val="00955A8A"/>
    <w:rsid w:val="00955BC9"/>
    <w:rsid w:val="00956491"/>
    <w:rsid w:val="009566E6"/>
    <w:rsid w:val="00956C21"/>
    <w:rsid w:val="009571C0"/>
    <w:rsid w:val="009574AB"/>
    <w:rsid w:val="00957854"/>
    <w:rsid w:val="00957942"/>
    <w:rsid w:val="00957CCB"/>
    <w:rsid w:val="00957EB7"/>
    <w:rsid w:val="0096011D"/>
    <w:rsid w:val="009605FA"/>
    <w:rsid w:val="009609E3"/>
    <w:rsid w:val="00960EE7"/>
    <w:rsid w:val="00961850"/>
    <w:rsid w:val="00961A83"/>
    <w:rsid w:val="0096238F"/>
    <w:rsid w:val="0096266A"/>
    <w:rsid w:val="00962854"/>
    <w:rsid w:val="00962A17"/>
    <w:rsid w:val="00962D34"/>
    <w:rsid w:val="009640BC"/>
    <w:rsid w:val="00964653"/>
    <w:rsid w:val="009648EF"/>
    <w:rsid w:val="00964B24"/>
    <w:rsid w:val="00964D51"/>
    <w:rsid w:val="009653CD"/>
    <w:rsid w:val="00965EA4"/>
    <w:rsid w:val="00966136"/>
    <w:rsid w:val="009661F2"/>
    <w:rsid w:val="00966275"/>
    <w:rsid w:val="0096627E"/>
    <w:rsid w:val="0096635F"/>
    <w:rsid w:val="00966B28"/>
    <w:rsid w:val="00966C61"/>
    <w:rsid w:val="00966E4F"/>
    <w:rsid w:val="009677A9"/>
    <w:rsid w:val="00967A37"/>
    <w:rsid w:val="00970100"/>
    <w:rsid w:val="009710EC"/>
    <w:rsid w:val="0097116F"/>
    <w:rsid w:val="00971406"/>
    <w:rsid w:val="009715E1"/>
    <w:rsid w:val="009719B7"/>
    <w:rsid w:val="00971CCE"/>
    <w:rsid w:val="009724BF"/>
    <w:rsid w:val="009727D0"/>
    <w:rsid w:val="0097281F"/>
    <w:rsid w:val="0097299F"/>
    <w:rsid w:val="00972C2E"/>
    <w:rsid w:val="00973481"/>
    <w:rsid w:val="00973BD9"/>
    <w:rsid w:val="009740C9"/>
    <w:rsid w:val="00974346"/>
    <w:rsid w:val="00974BA4"/>
    <w:rsid w:val="00974BDD"/>
    <w:rsid w:val="009756FE"/>
    <w:rsid w:val="00975764"/>
    <w:rsid w:val="0097592A"/>
    <w:rsid w:val="00975998"/>
    <w:rsid w:val="00975A57"/>
    <w:rsid w:val="009801BC"/>
    <w:rsid w:val="009802A9"/>
    <w:rsid w:val="0098036E"/>
    <w:rsid w:val="00980430"/>
    <w:rsid w:val="00980586"/>
    <w:rsid w:val="009809A4"/>
    <w:rsid w:val="00980EAB"/>
    <w:rsid w:val="00981023"/>
    <w:rsid w:val="0098102A"/>
    <w:rsid w:val="0098142E"/>
    <w:rsid w:val="0098170B"/>
    <w:rsid w:val="0098207D"/>
    <w:rsid w:val="00982426"/>
    <w:rsid w:val="0098248C"/>
    <w:rsid w:val="00982788"/>
    <w:rsid w:val="00982A90"/>
    <w:rsid w:val="00982CD3"/>
    <w:rsid w:val="00982EAA"/>
    <w:rsid w:val="00982EBB"/>
    <w:rsid w:val="0098304E"/>
    <w:rsid w:val="00983F14"/>
    <w:rsid w:val="009843CE"/>
    <w:rsid w:val="00984498"/>
    <w:rsid w:val="00984C78"/>
    <w:rsid w:val="00985046"/>
    <w:rsid w:val="0098529C"/>
    <w:rsid w:val="009852A1"/>
    <w:rsid w:val="00985BE1"/>
    <w:rsid w:val="00985D56"/>
    <w:rsid w:val="00985E2B"/>
    <w:rsid w:val="009860BF"/>
    <w:rsid w:val="00986545"/>
    <w:rsid w:val="00986736"/>
    <w:rsid w:val="0098676D"/>
    <w:rsid w:val="00986AB5"/>
    <w:rsid w:val="00986FD0"/>
    <w:rsid w:val="00987140"/>
    <w:rsid w:val="0098753F"/>
    <w:rsid w:val="00987911"/>
    <w:rsid w:val="00987B90"/>
    <w:rsid w:val="00987CD7"/>
    <w:rsid w:val="00987EB3"/>
    <w:rsid w:val="0099034B"/>
    <w:rsid w:val="00990948"/>
    <w:rsid w:val="00990EA5"/>
    <w:rsid w:val="0099137E"/>
    <w:rsid w:val="0099141C"/>
    <w:rsid w:val="009916E3"/>
    <w:rsid w:val="0099198B"/>
    <w:rsid w:val="00992346"/>
    <w:rsid w:val="009926D1"/>
    <w:rsid w:val="0099282D"/>
    <w:rsid w:val="00992DCE"/>
    <w:rsid w:val="0099300E"/>
    <w:rsid w:val="009932D1"/>
    <w:rsid w:val="0099399B"/>
    <w:rsid w:val="00994116"/>
    <w:rsid w:val="009949A7"/>
    <w:rsid w:val="00994DCB"/>
    <w:rsid w:val="00994E97"/>
    <w:rsid w:val="00995086"/>
    <w:rsid w:val="00995542"/>
    <w:rsid w:val="00995BC1"/>
    <w:rsid w:val="0099638E"/>
    <w:rsid w:val="0099665F"/>
    <w:rsid w:val="00996CB2"/>
    <w:rsid w:val="009971B7"/>
    <w:rsid w:val="00997319"/>
    <w:rsid w:val="00997533"/>
    <w:rsid w:val="00997CBC"/>
    <w:rsid w:val="009A09D7"/>
    <w:rsid w:val="009A0A93"/>
    <w:rsid w:val="009A0C7E"/>
    <w:rsid w:val="009A1170"/>
    <w:rsid w:val="009A1210"/>
    <w:rsid w:val="009A1442"/>
    <w:rsid w:val="009A2044"/>
    <w:rsid w:val="009A2434"/>
    <w:rsid w:val="009A2918"/>
    <w:rsid w:val="009A296A"/>
    <w:rsid w:val="009A29B3"/>
    <w:rsid w:val="009A2B54"/>
    <w:rsid w:val="009A2E95"/>
    <w:rsid w:val="009A2EED"/>
    <w:rsid w:val="009A31B7"/>
    <w:rsid w:val="009A3B37"/>
    <w:rsid w:val="009A3FC2"/>
    <w:rsid w:val="009A43D4"/>
    <w:rsid w:val="009A4819"/>
    <w:rsid w:val="009A48F7"/>
    <w:rsid w:val="009A4B85"/>
    <w:rsid w:val="009A51D5"/>
    <w:rsid w:val="009A5735"/>
    <w:rsid w:val="009A5829"/>
    <w:rsid w:val="009A5866"/>
    <w:rsid w:val="009A5E27"/>
    <w:rsid w:val="009A668B"/>
    <w:rsid w:val="009A6C5A"/>
    <w:rsid w:val="009A71C4"/>
    <w:rsid w:val="009A796D"/>
    <w:rsid w:val="009A7B17"/>
    <w:rsid w:val="009A7B68"/>
    <w:rsid w:val="009A7DF1"/>
    <w:rsid w:val="009B0030"/>
    <w:rsid w:val="009B023E"/>
    <w:rsid w:val="009B04C0"/>
    <w:rsid w:val="009B06E8"/>
    <w:rsid w:val="009B0A29"/>
    <w:rsid w:val="009B0A75"/>
    <w:rsid w:val="009B0C7D"/>
    <w:rsid w:val="009B1291"/>
    <w:rsid w:val="009B1A8F"/>
    <w:rsid w:val="009B1AD0"/>
    <w:rsid w:val="009B1FE0"/>
    <w:rsid w:val="009B20B7"/>
    <w:rsid w:val="009B2134"/>
    <w:rsid w:val="009B314A"/>
    <w:rsid w:val="009B3290"/>
    <w:rsid w:val="009B331F"/>
    <w:rsid w:val="009B343F"/>
    <w:rsid w:val="009B36D4"/>
    <w:rsid w:val="009B3D08"/>
    <w:rsid w:val="009B417B"/>
    <w:rsid w:val="009B48CC"/>
    <w:rsid w:val="009B4B21"/>
    <w:rsid w:val="009B54A0"/>
    <w:rsid w:val="009B5AC6"/>
    <w:rsid w:val="009B728F"/>
    <w:rsid w:val="009B7341"/>
    <w:rsid w:val="009B7DC5"/>
    <w:rsid w:val="009B7FA0"/>
    <w:rsid w:val="009C0290"/>
    <w:rsid w:val="009C0718"/>
    <w:rsid w:val="009C1294"/>
    <w:rsid w:val="009C137D"/>
    <w:rsid w:val="009C1910"/>
    <w:rsid w:val="009C2076"/>
    <w:rsid w:val="009C232E"/>
    <w:rsid w:val="009C30B6"/>
    <w:rsid w:val="009C35A0"/>
    <w:rsid w:val="009C35A8"/>
    <w:rsid w:val="009C38B0"/>
    <w:rsid w:val="009C3B9B"/>
    <w:rsid w:val="009C496B"/>
    <w:rsid w:val="009C4A2D"/>
    <w:rsid w:val="009C4EDC"/>
    <w:rsid w:val="009C6272"/>
    <w:rsid w:val="009C637F"/>
    <w:rsid w:val="009C68B3"/>
    <w:rsid w:val="009C6DDD"/>
    <w:rsid w:val="009C6EE3"/>
    <w:rsid w:val="009C7036"/>
    <w:rsid w:val="009C7640"/>
    <w:rsid w:val="009C7CF2"/>
    <w:rsid w:val="009D000E"/>
    <w:rsid w:val="009D0533"/>
    <w:rsid w:val="009D0C25"/>
    <w:rsid w:val="009D0E17"/>
    <w:rsid w:val="009D179F"/>
    <w:rsid w:val="009D2076"/>
    <w:rsid w:val="009D20B5"/>
    <w:rsid w:val="009D2133"/>
    <w:rsid w:val="009D2323"/>
    <w:rsid w:val="009D2E2F"/>
    <w:rsid w:val="009D2F3F"/>
    <w:rsid w:val="009D3117"/>
    <w:rsid w:val="009D36AA"/>
    <w:rsid w:val="009D3C17"/>
    <w:rsid w:val="009D3E36"/>
    <w:rsid w:val="009D4092"/>
    <w:rsid w:val="009D40C4"/>
    <w:rsid w:val="009D54B0"/>
    <w:rsid w:val="009D5F76"/>
    <w:rsid w:val="009D698C"/>
    <w:rsid w:val="009D6E83"/>
    <w:rsid w:val="009D6ED2"/>
    <w:rsid w:val="009D7215"/>
    <w:rsid w:val="009D743B"/>
    <w:rsid w:val="009D74FE"/>
    <w:rsid w:val="009D754D"/>
    <w:rsid w:val="009D7952"/>
    <w:rsid w:val="009D7E3D"/>
    <w:rsid w:val="009E0531"/>
    <w:rsid w:val="009E09B8"/>
    <w:rsid w:val="009E0D0A"/>
    <w:rsid w:val="009E0D10"/>
    <w:rsid w:val="009E0F14"/>
    <w:rsid w:val="009E127A"/>
    <w:rsid w:val="009E1AE2"/>
    <w:rsid w:val="009E1B02"/>
    <w:rsid w:val="009E1B38"/>
    <w:rsid w:val="009E1C18"/>
    <w:rsid w:val="009E22E1"/>
    <w:rsid w:val="009E279A"/>
    <w:rsid w:val="009E2A98"/>
    <w:rsid w:val="009E3237"/>
    <w:rsid w:val="009E331F"/>
    <w:rsid w:val="009E3941"/>
    <w:rsid w:val="009E3AC0"/>
    <w:rsid w:val="009E41AC"/>
    <w:rsid w:val="009E450D"/>
    <w:rsid w:val="009E469B"/>
    <w:rsid w:val="009E471F"/>
    <w:rsid w:val="009E49B7"/>
    <w:rsid w:val="009E49D3"/>
    <w:rsid w:val="009E4EF9"/>
    <w:rsid w:val="009E5304"/>
    <w:rsid w:val="009E55D1"/>
    <w:rsid w:val="009E59D7"/>
    <w:rsid w:val="009E5B0E"/>
    <w:rsid w:val="009E5CFB"/>
    <w:rsid w:val="009E669A"/>
    <w:rsid w:val="009E6C0E"/>
    <w:rsid w:val="009E6D1A"/>
    <w:rsid w:val="009E6D4F"/>
    <w:rsid w:val="009E6DE6"/>
    <w:rsid w:val="009E6F7D"/>
    <w:rsid w:val="009E7226"/>
    <w:rsid w:val="009E7273"/>
    <w:rsid w:val="009E7422"/>
    <w:rsid w:val="009E7539"/>
    <w:rsid w:val="009E7C5F"/>
    <w:rsid w:val="009F030D"/>
    <w:rsid w:val="009F07B1"/>
    <w:rsid w:val="009F164F"/>
    <w:rsid w:val="009F1D09"/>
    <w:rsid w:val="009F2292"/>
    <w:rsid w:val="009F2B5F"/>
    <w:rsid w:val="009F2C05"/>
    <w:rsid w:val="009F34BE"/>
    <w:rsid w:val="009F3DD2"/>
    <w:rsid w:val="009F3FFC"/>
    <w:rsid w:val="009F4080"/>
    <w:rsid w:val="009F44A7"/>
    <w:rsid w:val="009F488D"/>
    <w:rsid w:val="009F4D33"/>
    <w:rsid w:val="009F542A"/>
    <w:rsid w:val="009F5896"/>
    <w:rsid w:val="009F60F3"/>
    <w:rsid w:val="009F611C"/>
    <w:rsid w:val="009F68D2"/>
    <w:rsid w:val="009F6F3C"/>
    <w:rsid w:val="009F7518"/>
    <w:rsid w:val="00A00466"/>
    <w:rsid w:val="00A00A33"/>
    <w:rsid w:val="00A00AA6"/>
    <w:rsid w:val="00A00DEF"/>
    <w:rsid w:val="00A0180E"/>
    <w:rsid w:val="00A0188D"/>
    <w:rsid w:val="00A01931"/>
    <w:rsid w:val="00A01B34"/>
    <w:rsid w:val="00A0230D"/>
    <w:rsid w:val="00A02AF5"/>
    <w:rsid w:val="00A030B1"/>
    <w:rsid w:val="00A03223"/>
    <w:rsid w:val="00A03C92"/>
    <w:rsid w:val="00A045E9"/>
    <w:rsid w:val="00A04978"/>
    <w:rsid w:val="00A04C5E"/>
    <w:rsid w:val="00A04CA2"/>
    <w:rsid w:val="00A0531C"/>
    <w:rsid w:val="00A05473"/>
    <w:rsid w:val="00A05801"/>
    <w:rsid w:val="00A05D1E"/>
    <w:rsid w:val="00A06AC9"/>
    <w:rsid w:val="00A070F9"/>
    <w:rsid w:val="00A07D89"/>
    <w:rsid w:val="00A07E5F"/>
    <w:rsid w:val="00A10167"/>
    <w:rsid w:val="00A1024A"/>
    <w:rsid w:val="00A10306"/>
    <w:rsid w:val="00A1058F"/>
    <w:rsid w:val="00A105C3"/>
    <w:rsid w:val="00A11173"/>
    <w:rsid w:val="00A113F3"/>
    <w:rsid w:val="00A11E33"/>
    <w:rsid w:val="00A121B9"/>
    <w:rsid w:val="00A1242A"/>
    <w:rsid w:val="00A12731"/>
    <w:rsid w:val="00A129B8"/>
    <w:rsid w:val="00A12A35"/>
    <w:rsid w:val="00A12A42"/>
    <w:rsid w:val="00A12AA4"/>
    <w:rsid w:val="00A12EE9"/>
    <w:rsid w:val="00A1323C"/>
    <w:rsid w:val="00A13272"/>
    <w:rsid w:val="00A1395F"/>
    <w:rsid w:val="00A13A01"/>
    <w:rsid w:val="00A13A2D"/>
    <w:rsid w:val="00A13D15"/>
    <w:rsid w:val="00A13D1D"/>
    <w:rsid w:val="00A13D49"/>
    <w:rsid w:val="00A140B4"/>
    <w:rsid w:val="00A14B6D"/>
    <w:rsid w:val="00A157AB"/>
    <w:rsid w:val="00A15CCC"/>
    <w:rsid w:val="00A15E8D"/>
    <w:rsid w:val="00A15F7E"/>
    <w:rsid w:val="00A17114"/>
    <w:rsid w:val="00A176EE"/>
    <w:rsid w:val="00A209B6"/>
    <w:rsid w:val="00A20A76"/>
    <w:rsid w:val="00A20EB8"/>
    <w:rsid w:val="00A21199"/>
    <w:rsid w:val="00A211A9"/>
    <w:rsid w:val="00A2132F"/>
    <w:rsid w:val="00A2138C"/>
    <w:rsid w:val="00A2184A"/>
    <w:rsid w:val="00A219E2"/>
    <w:rsid w:val="00A21AAA"/>
    <w:rsid w:val="00A21F49"/>
    <w:rsid w:val="00A2278B"/>
    <w:rsid w:val="00A22AF5"/>
    <w:rsid w:val="00A22B25"/>
    <w:rsid w:val="00A2315C"/>
    <w:rsid w:val="00A233EA"/>
    <w:rsid w:val="00A237C2"/>
    <w:rsid w:val="00A23BFA"/>
    <w:rsid w:val="00A240EC"/>
    <w:rsid w:val="00A2419A"/>
    <w:rsid w:val="00A24BD1"/>
    <w:rsid w:val="00A25382"/>
    <w:rsid w:val="00A255FE"/>
    <w:rsid w:val="00A26746"/>
    <w:rsid w:val="00A267B6"/>
    <w:rsid w:val="00A26983"/>
    <w:rsid w:val="00A26B6A"/>
    <w:rsid w:val="00A26F3B"/>
    <w:rsid w:val="00A26F7B"/>
    <w:rsid w:val="00A27373"/>
    <w:rsid w:val="00A2794D"/>
    <w:rsid w:val="00A27EC7"/>
    <w:rsid w:val="00A30A37"/>
    <w:rsid w:val="00A30E73"/>
    <w:rsid w:val="00A30FD1"/>
    <w:rsid w:val="00A312E7"/>
    <w:rsid w:val="00A31437"/>
    <w:rsid w:val="00A31CFE"/>
    <w:rsid w:val="00A31F5E"/>
    <w:rsid w:val="00A324A1"/>
    <w:rsid w:val="00A327C5"/>
    <w:rsid w:val="00A32A8C"/>
    <w:rsid w:val="00A33918"/>
    <w:rsid w:val="00A33E32"/>
    <w:rsid w:val="00A343FD"/>
    <w:rsid w:val="00A34987"/>
    <w:rsid w:val="00A34BFC"/>
    <w:rsid w:val="00A34D16"/>
    <w:rsid w:val="00A3561B"/>
    <w:rsid w:val="00A3691B"/>
    <w:rsid w:val="00A37510"/>
    <w:rsid w:val="00A37CAF"/>
    <w:rsid w:val="00A37DB9"/>
    <w:rsid w:val="00A406D1"/>
    <w:rsid w:val="00A4093B"/>
    <w:rsid w:val="00A40AF2"/>
    <w:rsid w:val="00A40D1F"/>
    <w:rsid w:val="00A40F48"/>
    <w:rsid w:val="00A40F9A"/>
    <w:rsid w:val="00A41BAB"/>
    <w:rsid w:val="00A42223"/>
    <w:rsid w:val="00A42373"/>
    <w:rsid w:val="00A42AC4"/>
    <w:rsid w:val="00A4331B"/>
    <w:rsid w:val="00A43339"/>
    <w:rsid w:val="00A43502"/>
    <w:rsid w:val="00A4375C"/>
    <w:rsid w:val="00A43AB2"/>
    <w:rsid w:val="00A43B5F"/>
    <w:rsid w:val="00A441BC"/>
    <w:rsid w:val="00A4465A"/>
    <w:rsid w:val="00A44AF4"/>
    <w:rsid w:val="00A44BE9"/>
    <w:rsid w:val="00A44E57"/>
    <w:rsid w:val="00A460C2"/>
    <w:rsid w:val="00A46155"/>
    <w:rsid w:val="00A46160"/>
    <w:rsid w:val="00A4626A"/>
    <w:rsid w:val="00A46437"/>
    <w:rsid w:val="00A468FF"/>
    <w:rsid w:val="00A46F21"/>
    <w:rsid w:val="00A46F60"/>
    <w:rsid w:val="00A4729D"/>
    <w:rsid w:val="00A474FA"/>
    <w:rsid w:val="00A47BCC"/>
    <w:rsid w:val="00A47D27"/>
    <w:rsid w:val="00A47E39"/>
    <w:rsid w:val="00A47EFC"/>
    <w:rsid w:val="00A50184"/>
    <w:rsid w:val="00A5074D"/>
    <w:rsid w:val="00A50A0C"/>
    <w:rsid w:val="00A50BBD"/>
    <w:rsid w:val="00A50EE9"/>
    <w:rsid w:val="00A511D0"/>
    <w:rsid w:val="00A51326"/>
    <w:rsid w:val="00A513AB"/>
    <w:rsid w:val="00A515BE"/>
    <w:rsid w:val="00A51B6F"/>
    <w:rsid w:val="00A523E2"/>
    <w:rsid w:val="00A5261F"/>
    <w:rsid w:val="00A52683"/>
    <w:rsid w:val="00A52C8B"/>
    <w:rsid w:val="00A52EF3"/>
    <w:rsid w:val="00A52F11"/>
    <w:rsid w:val="00A52FA3"/>
    <w:rsid w:val="00A53A43"/>
    <w:rsid w:val="00A54101"/>
    <w:rsid w:val="00A5454F"/>
    <w:rsid w:val="00A54D9F"/>
    <w:rsid w:val="00A55522"/>
    <w:rsid w:val="00A55F4A"/>
    <w:rsid w:val="00A55F6F"/>
    <w:rsid w:val="00A560DC"/>
    <w:rsid w:val="00A564C2"/>
    <w:rsid w:val="00A564E2"/>
    <w:rsid w:val="00A56EA0"/>
    <w:rsid w:val="00A573A7"/>
    <w:rsid w:val="00A57AC8"/>
    <w:rsid w:val="00A603F2"/>
    <w:rsid w:val="00A604CD"/>
    <w:rsid w:val="00A60B79"/>
    <w:rsid w:val="00A610E7"/>
    <w:rsid w:val="00A61DFB"/>
    <w:rsid w:val="00A61F2E"/>
    <w:rsid w:val="00A62CD5"/>
    <w:rsid w:val="00A62F61"/>
    <w:rsid w:val="00A62FAB"/>
    <w:rsid w:val="00A64386"/>
    <w:rsid w:val="00A6446C"/>
    <w:rsid w:val="00A645FB"/>
    <w:rsid w:val="00A651B9"/>
    <w:rsid w:val="00A6521D"/>
    <w:rsid w:val="00A6543B"/>
    <w:rsid w:val="00A6560A"/>
    <w:rsid w:val="00A6593C"/>
    <w:rsid w:val="00A65C24"/>
    <w:rsid w:val="00A65CE5"/>
    <w:rsid w:val="00A65D2A"/>
    <w:rsid w:val="00A6606D"/>
    <w:rsid w:val="00A664DE"/>
    <w:rsid w:val="00A66FAA"/>
    <w:rsid w:val="00A671E8"/>
    <w:rsid w:val="00A67774"/>
    <w:rsid w:val="00A677F1"/>
    <w:rsid w:val="00A67F85"/>
    <w:rsid w:val="00A67FD7"/>
    <w:rsid w:val="00A700C2"/>
    <w:rsid w:val="00A70218"/>
    <w:rsid w:val="00A70265"/>
    <w:rsid w:val="00A70280"/>
    <w:rsid w:val="00A70A14"/>
    <w:rsid w:val="00A70D3D"/>
    <w:rsid w:val="00A71035"/>
    <w:rsid w:val="00A71116"/>
    <w:rsid w:val="00A7116A"/>
    <w:rsid w:val="00A717C7"/>
    <w:rsid w:val="00A719A7"/>
    <w:rsid w:val="00A71CD9"/>
    <w:rsid w:val="00A72082"/>
    <w:rsid w:val="00A72155"/>
    <w:rsid w:val="00A7331B"/>
    <w:rsid w:val="00A73527"/>
    <w:rsid w:val="00A7361B"/>
    <w:rsid w:val="00A7395C"/>
    <w:rsid w:val="00A73A89"/>
    <w:rsid w:val="00A73DD4"/>
    <w:rsid w:val="00A74C7A"/>
    <w:rsid w:val="00A753DE"/>
    <w:rsid w:val="00A75895"/>
    <w:rsid w:val="00A75B65"/>
    <w:rsid w:val="00A75E7F"/>
    <w:rsid w:val="00A76160"/>
    <w:rsid w:val="00A762E3"/>
    <w:rsid w:val="00A76498"/>
    <w:rsid w:val="00A764E3"/>
    <w:rsid w:val="00A76BD1"/>
    <w:rsid w:val="00A77517"/>
    <w:rsid w:val="00A80357"/>
    <w:rsid w:val="00A80759"/>
    <w:rsid w:val="00A80845"/>
    <w:rsid w:val="00A80EF4"/>
    <w:rsid w:val="00A819E2"/>
    <w:rsid w:val="00A81C92"/>
    <w:rsid w:val="00A8224C"/>
    <w:rsid w:val="00A828AA"/>
    <w:rsid w:val="00A82912"/>
    <w:rsid w:val="00A82962"/>
    <w:rsid w:val="00A82DD3"/>
    <w:rsid w:val="00A83041"/>
    <w:rsid w:val="00A83D1E"/>
    <w:rsid w:val="00A83EA3"/>
    <w:rsid w:val="00A8421A"/>
    <w:rsid w:val="00A84411"/>
    <w:rsid w:val="00A845DA"/>
    <w:rsid w:val="00A848E8"/>
    <w:rsid w:val="00A84F7D"/>
    <w:rsid w:val="00A85BE5"/>
    <w:rsid w:val="00A86171"/>
    <w:rsid w:val="00A8629F"/>
    <w:rsid w:val="00A86730"/>
    <w:rsid w:val="00A86766"/>
    <w:rsid w:val="00A86DF1"/>
    <w:rsid w:val="00A86EF0"/>
    <w:rsid w:val="00A9028E"/>
    <w:rsid w:val="00A905B1"/>
    <w:rsid w:val="00A908F1"/>
    <w:rsid w:val="00A90A41"/>
    <w:rsid w:val="00A91714"/>
    <w:rsid w:val="00A91F31"/>
    <w:rsid w:val="00A92208"/>
    <w:rsid w:val="00A92A21"/>
    <w:rsid w:val="00A92B44"/>
    <w:rsid w:val="00A92E78"/>
    <w:rsid w:val="00A93024"/>
    <w:rsid w:val="00A930E3"/>
    <w:rsid w:val="00A93A79"/>
    <w:rsid w:val="00A93F23"/>
    <w:rsid w:val="00A94167"/>
    <w:rsid w:val="00A9470E"/>
    <w:rsid w:val="00A9481C"/>
    <w:rsid w:val="00A948B7"/>
    <w:rsid w:val="00A94A36"/>
    <w:rsid w:val="00A94EB7"/>
    <w:rsid w:val="00A9503E"/>
    <w:rsid w:val="00A95995"/>
    <w:rsid w:val="00A95A4A"/>
    <w:rsid w:val="00A95B8C"/>
    <w:rsid w:val="00A95BDB"/>
    <w:rsid w:val="00A96396"/>
    <w:rsid w:val="00A9677D"/>
    <w:rsid w:val="00A96818"/>
    <w:rsid w:val="00A96C98"/>
    <w:rsid w:val="00A97365"/>
    <w:rsid w:val="00A97C19"/>
    <w:rsid w:val="00AA007D"/>
    <w:rsid w:val="00AA02AE"/>
    <w:rsid w:val="00AA0725"/>
    <w:rsid w:val="00AA0E49"/>
    <w:rsid w:val="00AA101E"/>
    <w:rsid w:val="00AA1A32"/>
    <w:rsid w:val="00AA2079"/>
    <w:rsid w:val="00AA21A2"/>
    <w:rsid w:val="00AA2525"/>
    <w:rsid w:val="00AA2DD6"/>
    <w:rsid w:val="00AA2E8A"/>
    <w:rsid w:val="00AA334E"/>
    <w:rsid w:val="00AA378B"/>
    <w:rsid w:val="00AA3D19"/>
    <w:rsid w:val="00AA4047"/>
    <w:rsid w:val="00AA437A"/>
    <w:rsid w:val="00AA4516"/>
    <w:rsid w:val="00AA4902"/>
    <w:rsid w:val="00AA49AB"/>
    <w:rsid w:val="00AA4E53"/>
    <w:rsid w:val="00AA4F78"/>
    <w:rsid w:val="00AA4F8F"/>
    <w:rsid w:val="00AA508F"/>
    <w:rsid w:val="00AA5F7F"/>
    <w:rsid w:val="00AA5FE0"/>
    <w:rsid w:val="00AA6333"/>
    <w:rsid w:val="00AA6556"/>
    <w:rsid w:val="00AA66E6"/>
    <w:rsid w:val="00AA718C"/>
    <w:rsid w:val="00AA7276"/>
    <w:rsid w:val="00AA762E"/>
    <w:rsid w:val="00AA770A"/>
    <w:rsid w:val="00AA7EAE"/>
    <w:rsid w:val="00AB03AA"/>
    <w:rsid w:val="00AB14CF"/>
    <w:rsid w:val="00AB1611"/>
    <w:rsid w:val="00AB2084"/>
    <w:rsid w:val="00AB237D"/>
    <w:rsid w:val="00AB25A0"/>
    <w:rsid w:val="00AB2BA1"/>
    <w:rsid w:val="00AB2C23"/>
    <w:rsid w:val="00AB30C7"/>
    <w:rsid w:val="00AB3278"/>
    <w:rsid w:val="00AB3837"/>
    <w:rsid w:val="00AB3B46"/>
    <w:rsid w:val="00AB3CC9"/>
    <w:rsid w:val="00AB3E2D"/>
    <w:rsid w:val="00AB3F90"/>
    <w:rsid w:val="00AB4085"/>
    <w:rsid w:val="00AB40EE"/>
    <w:rsid w:val="00AB4441"/>
    <w:rsid w:val="00AB47E0"/>
    <w:rsid w:val="00AB4988"/>
    <w:rsid w:val="00AB5166"/>
    <w:rsid w:val="00AB5274"/>
    <w:rsid w:val="00AB5683"/>
    <w:rsid w:val="00AB59B6"/>
    <w:rsid w:val="00AB5D0B"/>
    <w:rsid w:val="00AB6410"/>
    <w:rsid w:val="00AB661C"/>
    <w:rsid w:val="00AB6931"/>
    <w:rsid w:val="00AB6B15"/>
    <w:rsid w:val="00AB6C4F"/>
    <w:rsid w:val="00AB71DE"/>
    <w:rsid w:val="00AB745D"/>
    <w:rsid w:val="00AB745F"/>
    <w:rsid w:val="00AB787B"/>
    <w:rsid w:val="00AB794B"/>
    <w:rsid w:val="00AB7A14"/>
    <w:rsid w:val="00AB7C8A"/>
    <w:rsid w:val="00AB7C90"/>
    <w:rsid w:val="00AC0216"/>
    <w:rsid w:val="00AC036C"/>
    <w:rsid w:val="00AC08B2"/>
    <w:rsid w:val="00AC09A3"/>
    <w:rsid w:val="00AC0C8D"/>
    <w:rsid w:val="00AC0D7D"/>
    <w:rsid w:val="00AC0E64"/>
    <w:rsid w:val="00AC176D"/>
    <w:rsid w:val="00AC1F86"/>
    <w:rsid w:val="00AC22A3"/>
    <w:rsid w:val="00AC276E"/>
    <w:rsid w:val="00AC27D6"/>
    <w:rsid w:val="00AC2E01"/>
    <w:rsid w:val="00AC3370"/>
    <w:rsid w:val="00AC3981"/>
    <w:rsid w:val="00AC3FE7"/>
    <w:rsid w:val="00AC405F"/>
    <w:rsid w:val="00AC416B"/>
    <w:rsid w:val="00AC465D"/>
    <w:rsid w:val="00AC4AC1"/>
    <w:rsid w:val="00AC514E"/>
    <w:rsid w:val="00AC51F1"/>
    <w:rsid w:val="00AC5B5D"/>
    <w:rsid w:val="00AC5FEE"/>
    <w:rsid w:val="00AC65F6"/>
    <w:rsid w:val="00AC69A9"/>
    <w:rsid w:val="00AC6A48"/>
    <w:rsid w:val="00AC7266"/>
    <w:rsid w:val="00AC7300"/>
    <w:rsid w:val="00AC7673"/>
    <w:rsid w:val="00AC7BB8"/>
    <w:rsid w:val="00AD01A2"/>
    <w:rsid w:val="00AD027A"/>
    <w:rsid w:val="00AD04AF"/>
    <w:rsid w:val="00AD0A05"/>
    <w:rsid w:val="00AD0D3C"/>
    <w:rsid w:val="00AD10E0"/>
    <w:rsid w:val="00AD12BF"/>
    <w:rsid w:val="00AD19E9"/>
    <w:rsid w:val="00AD1B30"/>
    <w:rsid w:val="00AD20F3"/>
    <w:rsid w:val="00AD245F"/>
    <w:rsid w:val="00AD2649"/>
    <w:rsid w:val="00AD28C7"/>
    <w:rsid w:val="00AD2B23"/>
    <w:rsid w:val="00AD2E02"/>
    <w:rsid w:val="00AD31BD"/>
    <w:rsid w:val="00AD3650"/>
    <w:rsid w:val="00AD37F0"/>
    <w:rsid w:val="00AD4831"/>
    <w:rsid w:val="00AD4A4F"/>
    <w:rsid w:val="00AD4EFF"/>
    <w:rsid w:val="00AD5083"/>
    <w:rsid w:val="00AD549C"/>
    <w:rsid w:val="00AD58FD"/>
    <w:rsid w:val="00AD5A79"/>
    <w:rsid w:val="00AD6382"/>
    <w:rsid w:val="00AD63F3"/>
    <w:rsid w:val="00AD66C3"/>
    <w:rsid w:val="00AD6AF1"/>
    <w:rsid w:val="00AD721A"/>
    <w:rsid w:val="00AD77B6"/>
    <w:rsid w:val="00AE0E54"/>
    <w:rsid w:val="00AE107A"/>
    <w:rsid w:val="00AE1563"/>
    <w:rsid w:val="00AE1CA0"/>
    <w:rsid w:val="00AE1E02"/>
    <w:rsid w:val="00AE1F3C"/>
    <w:rsid w:val="00AE1FA8"/>
    <w:rsid w:val="00AE2350"/>
    <w:rsid w:val="00AE3B0B"/>
    <w:rsid w:val="00AE3B5F"/>
    <w:rsid w:val="00AE3E69"/>
    <w:rsid w:val="00AE4AD8"/>
    <w:rsid w:val="00AE4EA2"/>
    <w:rsid w:val="00AE50DC"/>
    <w:rsid w:val="00AE55D9"/>
    <w:rsid w:val="00AE5A5A"/>
    <w:rsid w:val="00AE6508"/>
    <w:rsid w:val="00AE65E3"/>
    <w:rsid w:val="00AE66C6"/>
    <w:rsid w:val="00AE69DC"/>
    <w:rsid w:val="00AE6C6C"/>
    <w:rsid w:val="00AE6D78"/>
    <w:rsid w:val="00AE6F95"/>
    <w:rsid w:val="00AE74D0"/>
    <w:rsid w:val="00AE7878"/>
    <w:rsid w:val="00AE794A"/>
    <w:rsid w:val="00AE7E86"/>
    <w:rsid w:val="00AE7F3A"/>
    <w:rsid w:val="00AF04FB"/>
    <w:rsid w:val="00AF05B3"/>
    <w:rsid w:val="00AF09CF"/>
    <w:rsid w:val="00AF0F12"/>
    <w:rsid w:val="00AF179F"/>
    <w:rsid w:val="00AF17EA"/>
    <w:rsid w:val="00AF198E"/>
    <w:rsid w:val="00AF1AB8"/>
    <w:rsid w:val="00AF2051"/>
    <w:rsid w:val="00AF2184"/>
    <w:rsid w:val="00AF2290"/>
    <w:rsid w:val="00AF2364"/>
    <w:rsid w:val="00AF248F"/>
    <w:rsid w:val="00AF260A"/>
    <w:rsid w:val="00AF28C8"/>
    <w:rsid w:val="00AF28FF"/>
    <w:rsid w:val="00AF308D"/>
    <w:rsid w:val="00AF37FD"/>
    <w:rsid w:val="00AF3AAF"/>
    <w:rsid w:val="00AF3C19"/>
    <w:rsid w:val="00AF4312"/>
    <w:rsid w:val="00AF4991"/>
    <w:rsid w:val="00AF4AC7"/>
    <w:rsid w:val="00AF506A"/>
    <w:rsid w:val="00AF55CB"/>
    <w:rsid w:val="00AF5895"/>
    <w:rsid w:val="00AF628B"/>
    <w:rsid w:val="00AF6559"/>
    <w:rsid w:val="00AF68CA"/>
    <w:rsid w:val="00AF69FA"/>
    <w:rsid w:val="00AF6FF7"/>
    <w:rsid w:val="00AF7466"/>
    <w:rsid w:val="00AF77C6"/>
    <w:rsid w:val="00AF78D2"/>
    <w:rsid w:val="00B0079F"/>
    <w:rsid w:val="00B007CF"/>
    <w:rsid w:val="00B00EE7"/>
    <w:rsid w:val="00B01475"/>
    <w:rsid w:val="00B015B8"/>
    <w:rsid w:val="00B02126"/>
    <w:rsid w:val="00B02622"/>
    <w:rsid w:val="00B027D4"/>
    <w:rsid w:val="00B02CFB"/>
    <w:rsid w:val="00B030BB"/>
    <w:rsid w:val="00B03374"/>
    <w:rsid w:val="00B04070"/>
    <w:rsid w:val="00B04154"/>
    <w:rsid w:val="00B043FB"/>
    <w:rsid w:val="00B04684"/>
    <w:rsid w:val="00B04699"/>
    <w:rsid w:val="00B047AE"/>
    <w:rsid w:val="00B04E1C"/>
    <w:rsid w:val="00B04EDD"/>
    <w:rsid w:val="00B05A73"/>
    <w:rsid w:val="00B05C46"/>
    <w:rsid w:val="00B06E3B"/>
    <w:rsid w:val="00B06ED3"/>
    <w:rsid w:val="00B07087"/>
    <w:rsid w:val="00B071C7"/>
    <w:rsid w:val="00B072F0"/>
    <w:rsid w:val="00B077D4"/>
    <w:rsid w:val="00B07945"/>
    <w:rsid w:val="00B079D6"/>
    <w:rsid w:val="00B07BDE"/>
    <w:rsid w:val="00B10046"/>
    <w:rsid w:val="00B101BA"/>
    <w:rsid w:val="00B10A6B"/>
    <w:rsid w:val="00B10C81"/>
    <w:rsid w:val="00B10CC2"/>
    <w:rsid w:val="00B10CF6"/>
    <w:rsid w:val="00B11140"/>
    <w:rsid w:val="00B11520"/>
    <w:rsid w:val="00B11C5E"/>
    <w:rsid w:val="00B11DEC"/>
    <w:rsid w:val="00B11F53"/>
    <w:rsid w:val="00B12AB9"/>
    <w:rsid w:val="00B12C37"/>
    <w:rsid w:val="00B132A7"/>
    <w:rsid w:val="00B137F0"/>
    <w:rsid w:val="00B13BA3"/>
    <w:rsid w:val="00B13D8B"/>
    <w:rsid w:val="00B13F9B"/>
    <w:rsid w:val="00B14021"/>
    <w:rsid w:val="00B1465C"/>
    <w:rsid w:val="00B1486D"/>
    <w:rsid w:val="00B14A61"/>
    <w:rsid w:val="00B14BB4"/>
    <w:rsid w:val="00B14D43"/>
    <w:rsid w:val="00B14E76"/>
    <w:rsid w:val="00B15625"/>
    <w:rsid w:val="00B156D1"/>
    <w:rsid w:val="00B156EC"/>
    <w:rsid w:val="00B15B2A"/>
    <w:rsid w:val="00B1680F"/>
    <w:rsid w:val="00B16892"/>
    <w:rsid w:val="00B16B84"/>
    <w:rsid w:val="00B16E84"/>
    <w:rsid w:val="00B17827"/>
    <w:rsid w:val="00B17E34"/>
    <w:rsid w:val="00B200E1"/>
    <w:rsid w:val="00B208C5"/>
    <w:rsid w:val="00B209D4"/>
    <w:rsid w:val="00B20A43"/>
    <w:rsid w:val="00B20E8D"/>
    <w:rsid w:val="00B2161A"/>
    <w:rsid w:val="00B219C1"/>
    <w:rsid w:val="00B2202A"/>
    <w:rsid w:val="00B22257"/>
    <w:rsid w:val="00B222CA"/>
    <w:rsid w:val="00B224EB"/>
    <w:rsid w:val="00B22E12"/>
    <w:rsid w:val="00B22F59"/>
    <w:rsid w:val="00B23309"/>
    <w:rsid w:val="00B2334D"/>
    <w:rsid w:val="00B233A3"/>
    <w:rsid w:val="00B23803"/>
    <w:rsid w:val="00B23ACB"/>
    <w:rsid w:val="00B23DF3"/>
    <w:rsid w:val="00B2445F"/>
    <w:rsid w:val="00B24AC7"/>
    <w:rsid w:val="00B24EE5"/>
    <w:rsid w:val="00B25457"/>
    <w:rsid w:val="00B25A59"/>
    <w:rsid w:val="00B25ADB"/>
    <w:rsid w:val="00B25DE3"/>
    <w:rsid w:val="00B26770"/>
    <w:rsid w:val="00B26BB5"/>
    <w:rsid w:val="00B26DC4"/>
    <w:rsid w:val="00B26DE2"/>
    <w:rsid w:val="00B26E03"/>
    <w:rsid w:val="00B272C0"/>
    <w:rsid w:val="00B27E82"/>
    <w:rsid w:val="00B30080"/>
    <w:rsid w:val="00B3054C"/>
    <w:rsid w:val="00B30929"/>
    <w:rsid w:val="00B310E0"/>
    <w:rsid w:val="00B31109"/>
    <w:rsid w:val="00B3199E"/>
    <w:rsid w:val="00B31AE0"/>
    <w:rsid w:val="00B31DE5"/>
    <w:rsid w:val="00B329B4"/>
    <w:rsid w:val="00B32D0A"/>
    <w:rsid w:val="00B32EEE"/>
    <w:rsid w:val="00B33497"/>
    <w:rsid w:val="00B33800"/>
    <w:rsid w:val="00B33973"/>
    <w:rsid w:val="00B34084"/>
    <w:rsid w:val="00B341EC"/>
    <w:rsid w:val="00B348BF"/>
    <w:rsid w:val="00B34D7B"/>
    <w:rsid w:val="00B34D8C"/>
    <w:rsid w:val="00B353FF"/>
    <w:rsid w:val="00B3591D"/>
    <w:rsid w:val="00B35EC8"/>
    <w:rsid w:val="00B3620E"/>
    <w:rsid w:val="00B36818"/>
    <w:rsid w:val="00B36A4A"/>
    <w:rsid w:val="00B36D63"/>
    <w:rsid w:val="00B36D89"/>
    <w:rsid w:val="00B37037"/>
    <w:rsid w:val="00B370C7"/>
    <w:rsid w:val="00B37934"/>
    <w:rsid w:val="00B37D18"/>
    <w:rsid w:val="00B40601"/>
    <w:rsid w:val="00B40B34"/>
    <w:rsid w:val="00B412B2"/>
    <w:rsid w:val="00B413CC"/>
    <w:rsid w:val="00B41809"/>
    <w:rsid w:val="00B41EC7"/>
    <w:rsid w:val="00B42536"/>
    <w:rsid w:val="00B42672"/>
    <w:rsid w:val="00B428A2"/>
    <w:rsid w:val="00B42958"/>
    <w:rsid w:val="00B4352A"/>
    <w:rsid w:val="00B4455D"/>
    <w:rsid w:val="00B44837"/>
    <w:rsid w:val="00B44BE9"/>
    <w:rsid w:val="00B45649"/>
    <w:rsid w:val="00B45E0E"/>
    <w:rsid w:val="00B46043"/>
    <w:rsid w:val="00B4666F"/>
    <w:rsid w:val="00B46727"/>
    <w:rsid w:val="00B46E77"/>
    <w:rsid w:val="00B4708D"/>
    <w:rsid w:val="00B47348"/>
    <w:rsid w:val="00B47B5C"/>
    <w:rsid w:val="00B47D59"/>
    <w:rsid w:val="00B47F1C"/>
    <w:rsid w:val="00B47FC1"/>
    <w:rsid w:val="00B503DF"/>
    <w:rsid w:val="00B50798"/>
    <w:rsid w:val="00B507BE"/>
    <w:rsid w:val="00B50EE0"/>
    <w:rsid w:val="00B51130"/>
    <w:rsid w:val="00B511D8"/>
    <w:rsid w:val="00B51B50"/>
    <w:rsid w:val="00B52064"/>
    <w:rsid w:val="00B52837"/>
    <w:rsid w:val="00B529FC"/>
    <w:rsid w:val="00B5330C"/>
    <w:rsid w:val="00B53526"/>
    <w:rsid w:val="00B5420A"/>
    <w:rsid w:val="00B54215"/>
    <w:rsid w:val="00B54A95"/>
    <w:rsid w:val="00B54BFB"/>
    <w:rsid w:val="00B55426"/>
    <w:rsid w:val="00B5562E"/>
    <w:rsid w:val="00B55937"/>
    <w:rsid w:val="00B55C5F"/>
    <w:rsid w:val="00B55D2D"/>
    <w:rsid w:val="00B55D70"/>
    <w:rsid w:val="00B55E42"/>
    <w:rsid w:val="00B573D7"/>
    <w:rsid w:val="00B57786"/>
    <w:rsid w:val="00B57E50"/>
    <w:rsid w:val="00B60166"/>
    <w:rsid w:val="00B60939"/>
    <w:rsid w:val="00B60982"/>
    <w:rsid w:val="00B60ECA"/>
    <w:rsid w:val="00B61069"/>
    <w:rsid w:val="00B6126A"/>
    <w:rsid w:val="00B61271"/>
    <w:rsid w:val="00B61424"/>
    <w:rsid w:val="00B61A8D"/>
    <w:rsid w:val="00B61C65"/>
    <w:rsid w:val="00B61F1D"/>
    <w:rsid w:val="00B61FE1"/>
    <w:rsid w:val="00B625F5"/>
    <w:rsid w:val="00B626A6"/>
    <w:rsid w:val="00B62C79"/>
    <w:rsid w:val="00B62CF6"/>
    <w:rsid w:val="00B62FC2"/>
    <w:rsid w:val="00B63061"/>
    <w:rsid w:val="00B635A3"/>
    <w:rsid w:val="00B63C7E"/>
    <w:rsid w:val="00B63F2A"/>
    <w:rsid w:val="00B643F9"/>
    <w:rsid w:val="00B646EA"/>
    <w:rsid w:val="00B64AF3"/>
    <w:rsid w:val="00B64B09"/>
    <w:rsid w:val="00B64B85"/>
    <w:rsid w:val="00B64FE5"/>
    <w:rsid w:val="00B6587A"/>
    <w:rsid w:val="00B658B5"/>
    <w:rsid w:val="00B65D38"/>
    <w:rsid w:val="00B65E66"/>
    <w:rsid w:val="00B664DA"/>
    <w:rsid w:val="00B66529"/>
    <w:rsid w:val="00B66862"/>
    <w:rsid w:val="00B66C54"/>
    <w:rsid w:val="00B66F0D"/>
    <w:rsid w:val="00B6708B"/>
    <w:rsid w:val="00B6711C"/>
    <w:rsid w:val="00B6796D"/>
    <w:rsid w:val="00B67A54"/>
    <w:rsid w:val="00B67D18"/>
    <w:rsid w:val="00B70114"/>
    <w:rsid w:val="00B709BF"/>
    <w:rsid w:val="00B719C5"/>
    <w:rsid w:val="00B71B67"/>
    <w:rsid w:val="00B7204D"/>
    <w:rsid w:val="00B720A8"/>
    <w:rsid w:val="00B725AF"/>
    <w:rsid w:val="00B72976"/>
    <w:rsid w:val="00B7298F"/>
    <w:rsid w:val="00B72BF9"/>
    <w:rsid w:val="00B72D30"/>
    <w:rsid w:val="00B72E3E"/>
    <w:rsid w:val="00B72EB2"/>
    <w:rsid w:val="00B72EB3"/>
    <w:rsid w:val="00B72F66"/>
    <w:rsid w:val="00B7338D"/>
    <w:rsid w:val="00B73835"/>
    <w:rsid w:val="00B73F64"/>
    <w:rsid w:val="00B742CB"/>
    <w:rsid w:val="00B74466"/>
    <w:rsid w:val="00B749A2"/>
    <w:rsid w:val="00B74A8D"/>
    <w:rsid w:val="00B74B24"/>
    <w:rsid w:val="00B74DA3"/>
    <w:rsid w:val="00B7511A"/>
    <w:rsid w:val="00B75513"/>
    <w:rsid w:val="00B75A0C"/>
    <w:rsid w:val="00B75C9B"/>
    <w:rsid w:val="00B75CA7"/>
    <w:rsid w:val="00B764D3"/>
    <w:rsid w:val="00B76749"/>
    <w:rsid w:val="00B76924"/>
    <w:rsid w:val="00B76D54"/>
    <w:rsid w:val="00B76F9B"/>
    <w:rsid w:val="00B7749A"/>
    <w:rsid w:val="00B778F4"/>
    <w:rsid w:val="00B8045B"/>
    <w:rsid w:val="00B804B5"/>
    <w:rsid w:val="00B80B36"/>
    <w:rsid w:val="00B81881"/>
    <w:rsid w:val="00B8194C"/>
    <w:rsid w:val="00B8198A"/>
    <w:rsid w:val="00B81B76"/>
    <w:rsid w:val="00B81CA8"/>
    <w:rsid w:val="00B81CB5"/>
    <w:rsid w:val="00B82103"/>
    <w:rsid w:val="00B8215E"/>
    <w:rsid w:val="00B822C2"/>
    <w:rsid w:val="00B823A2"/>
    <w:rsid w:val="00B82803"/>
    <w:rsid w:val="00B83012"/>
    <w:rsid w:val="00B83300"/>
    <w:rsid w:val="00B83428"/>
    <w:rsid w:val="00B838DB"/>
    <w:rsid w:val="00B842D9"/>
    <w:rsid w:val="00B85531"/>
    <w:rsid w:val="00B8591D"/>
    <w:rsid w:val="00B85C06"/>
    <w:rsid w:val="00B85D3B"/>
    <w:rsid w:val="00B85DFA"/>
    <w:rsid w:val="00B85E95"/>
    <w:rsid w:val="00B86931"/>
    <w:rsid w:val="00B87146"/>
    <w:rsid w:val="00B874CB"/>
    <w:rsid w:val="00B87698"/>
    <w:rsid w:val="00B87B67"/>
    <w:rsid w:val="00B87CAC"/>
    <w:rsid w:val="00B90647"/>
    <w:rsid w:val="00B915AA"/>
    <w:rsid w:val="00B919C5"/>
    <w:rsid w:val="00B91D84"/>
    <w:rsid w:val="00B91EDA"/>
    <w:rsid w:val="00B921F4"/>
    <w:rsid w:val="00B928C3"/>
    <w:rsid w:val="00B9294A"/>
    <w:rsid w:val="00B92F50"/>
    <w:rsid w:val="00B93103"/>
    <w:rsid w:val="00B931C4"/>
    <w:rsid w:val="00B93D44"/>
    <w:rsid w:val="00B94040"/>
    <w:rsid w:val="00B951F6"/>
    <w:rsid w:val="00B95444"/>
    <w:rsid w:val="00B95F5D"/>
    <w:rsid w:val="00B96051"/>
    <w:rsid w:val="00B963B5"/>
    <w:rsid w:val="00B96E42"/>
    <w:rsid w:val="00B9780F"/>
    <w:rsid w:val="00B9790A"/>
    <w:rsid w:val="00B97D2C"/>
    <w:rsid w:val="00BA03A4"/>
    <w:rsid w:val="00BA054F"/>
    <w:rsid w:val="00BA0683"/>
    <w:rsid w:val="00BA0695"/>
    <w:rsid w:val="00BA0836"/>
    <w:rsid w:val="00BA09BB"/>
    <w:rsid w:val="00BA0CBA"/>
    <w:rsid w:val="00BA1040"/>
    <w:rsid w:val="00BA134B"/>
    <w:rsid w:val="00BA1E1E"/>
    <w:rsid w:val="00BA1F99"/>
    <w:rsid w:val="00BA222B"/>
    <w:rsid w:val="00BA2F99"/>
    <w:rsid w:val="00BA33DC"/>
    <w:rsid w:val="00BA35EC"/>
    <w:rsid w:val="00BA36E8"/>
    <w:rsid w:val="00BA37A1"/>
    <w:rsid w:val="00BA3BBB"/>
    <w:rsid w:val="00BA446B"/>
    <w:rsid w:val="00BA5290"/>
    <w:rsid w:val="00BA5472"/>
    <w:rsid w:val="00BA549F"/>
    <w:rsid w:val="00BA57D4"/>
    <w:rsid w:val="00BA5A56"/>
    <w:rsid w:val="00BA5F77"/>
    <w:rsid w:val="00BA5FF5"/>
    <w:rsid w:val="00BA609A"/>
    <w:rsid w:val="00BA615C"/>
    <w:rsid w:val="00BA6294"/>
    <w:rsid w:val="00BA649D"/>
    <w:rsid w:val="00BA6908"/>
    <w:rsid w:val="00BA6BF6"/>
    <w:rsid w:val="00BA6D38"/>
    <w:rsid w:val="00BA6E0D"/>
    <w:rsid w:val="00BA6E77"/>
    <w:rsid w:val="00BA734E"/>
    <w:rsid w:val="00BA7A98"/>
    <w:rsid w:val="00BB1522"/>
    <w:rsid w:val="00BB18A4"/>
    <w:rsid w:val="00BB228A"/>
    <w:rsid w:val="00BB230B"/>
    <w:rsid w:val="00BB230D"/>
    <w:rsid w:val="00BB246D"/>
    <w:rsid w:val="00BB3114"/>
    <w:rsid w:val="00BB3330"/>
    <w:rsid w:val="00BB33D2"/>
    <w:rsid w:val="00BB379F"/>
    <w:rsid w:val="00BB3A0E"/>
    <w:rsid w:val="00BB3C60"/>
    <w:rsid w:val="00BB3EC3"/>
    <w:rsid w:val="00BB3ED1"/>
    <w:rsid w:val="00BB40DC"/>
    <w:rsid w:val="00BB482A"/>
    <w:rsid w:val="00BB4920"/>
    <w:rsid w:val="00BB4B1D"/>
    <w:rsid w:val="00BB4C3D"/>
    <w:rsid w:val="00BB5123"/>
    <w:rsid w:val="00BB5873"/>
    <w:rsid w:val="00BB5D37"/>
    <w:rsid w:val="00BB5DDF"/>
    <w:rsid w:val="00BB614A"/>
    <w:rsid w:val="00BB62F4"/>
    <w:rsid w:val="00BB6575"/>
    <w:rsid w:val="00BB68C4"/>
    <w:rsid w:val="00BB69B7"/>
    <w:rsid w:val="00BB6B44"/>
    <w:rsid w:val="00BB72D8"/>
    <w:rsid w:val="00BB7382"/>
    <w:rsid w:val="00BB74BF"/>
    <w:rsid w:val="00BB753F"/>
    <w:rsid w:val="00BB7BA5"/>
    <w:rsid w:val="00BC012E"/>
    <w:rsid w:val="00BC0311"/>
    <w:rsid w:val="00BC039F"/>
    <w:rsid w:val="00BC079E"/>
    <w:rsid w:val="00BC0998"/>
    <w:rsid w:val="00BC124C"/>
    <w:rsid w:val="00BC1318"/>
    <w:rsid w:val="00BC19CF"/>
    <w:rsid w:val="00BC1B51"/>
    <w:rsid w:val="00BC1B5E"/>
    <w:rsid w:val="00BC1CE2"/>
    <w:rsid w:val="00BC1CF5"/>
    <w:rsid w:val="00BC2217"/>
    <w:rsid w:val="00BC3593"/>
    <w:rsid w:val="00BC40C5"/>
    <w:rsid w:val="00BC43DE"/>
    <w:rsid w:val="00BC5B49"/>
    <w:rsid w:val="00BC69A1"/>
    <w:rsid w:val="00BC77CB"/>
    <w:rsid w:val="00BC7B1A"/>
    <w:rsid w:val="00BC7DB9"/>
    <w:rsid w:val="00BD0468"/>
    <w:rsid w:val="00BD0959"/>
    <w:rsid w:val="00BD0FF7"/>
    <w:rsid w:val="00BD1189"/>
    <w:rsid w:val="00BD1AAB"/>
    <w:rsid w:val="00BD1E8B"/>
    <w:rsid w:val="00BD22C3"/>
    <w:rsid w:val="00BD26B3"/>
    <w:rsid w:val="00BD2D56"/>
    <w:rsid w:val="00BD4951"/>
    <w:rsid w:val="00BD54EC"/>
    <w:rsid w:val="00BD5680"/>
    <w:rsid w:val="00BD56A0"/>
    <w:rsid w:val="00BD5E8E"/>
    <w:rsid w:val="00BD5FBD"/>
    <w:rsid w:val="00BD6327"/>
    <w:rsid w:val="00BD7394"/>
    <w:rsid w:val="00BD73A0"/>
    <w:rsid w:val="00BD7870"/>
    <w:rsid w:val="00BD79B8"/>
    <w:rsid w:val="00BD7BB5"/>
    <w:rsid w:val="00BD7F12"/>
    <w:rsid w:val="00BE05A4"/>
    <w:rsid w:val="00BE082E"/>
    <w:rsid w:val="00BE0CDB"/>
    <w:rsid w:val="00BE0CE1"/>
    <w:rsid w:val="00BE0D10"/>
    <w:rsid w:val="00BE0ED5"/>
    <w:rsid w:val="00BE22FF"/>
    <w:rsid w:val="00BE25B3"/>
    <w:rsid w:val="00BE2C8B"/>
    <w:rsid w:val="00BE2DF0"/>
    <w:rsid w:val="00BE3446"/>
    <w:rsid w:val="00BE37CE"/>
    <w:rsid w:val="00BE41D3"/>
    <w:rsid w:val="00BE489D"/>
    <w:rsid w:val="00BE49F5"/>
    <w:rsid w:val="00BE4A78"/>
    <w:rsid w:val="00BE5078"/>
    <w:rsid w:val="00BE5192"/>
    <w:rsid w:val="00BE51CB"/>
    <w:rsid w:val="00BE54D4"/>
    <w:rsid w:val="00BE5A93"/>
    <w:rsid w:val="00BE5C30"/>
    <w:rsid w:val="00BE5C6B"/>
    <w:rsid w:val="00BE5F74"/>
    <w:rsid w:val="00BE5FB6"/>
    <w:rsid w:val="00BE65FC"/>
    <w:rsid w:val="00BE6638"/>
    <w:rsid w:val="00BE66E4"/>
    <w:rsid w:val="00BE67D5"/>
    <w:rsid w:val="00BE67D9"/>
    <w:rsid w:val="00BE67F2"/>
    <w:rsid w:val="00BE6905"/>
    <w:rsid w:val="00BE6E13"/>
    <w:rsid w:val="00BE73F5"/>
    <w:rsid w:val="00BE743A"/>
    <w:rsid w:val="00BE7572"/>
    <w:rsid w:val="00BF0FFB"/>
    <w:rsid w:val="00BF15AC"/>
    <w:rsid w:val="00BF15EA"/>
    <w:rsid w:val="00BF1637"/>
    <w:rsid w:val="00BF1D65"/>
    <w:rsid w:val="00BF228E"/>
    <w:rsid w:val="00BF25F2"/>
    <w:rsid w:val="00BF2619"/>
    <w:rsid w:val="00BF2996"/>
    <w:rsid w:val="00BF29AB"/>
    <w:rsid w:val="00BF2EFF"/>
    <w:rsid w:val="00BF30F3"/>
    <w:rsid w:val="00BF37CA"/>
    <w:rsid w:val="00BF3A99"/>
    <w:rsid w:val="00BF3DFD"/>
    <w:rsid w:val="00BF4087"/>
    <w:rsid w:val="00BF41DB"/>
    <w:rsid w:val="00BF4690"/>
    <w:rsid w:val="00BF474E"/>
    <w:rsid w:val="00BF4EE5"/>
    <w:rsid w:val="00BF4FBF"/>
    <w:rsid w:val="00BF5106"/>
    <w:rsid w:val="00BF55F1"/>
    <w:rsid w:val="00BF61EB"/>
    <w:rsid w:val="00BF6515"/>
    <w:rsid w:val="00BF65DD"/>
    <w:rsid w:val="00BF6608"/>
    <w:rsid w:val="00BF69F3"/>
    <w:rsid w:val="00BF6CD7"/>
    <w:rsid w:val="00BF6F88"/>
    <w:rsid w:val="00BF704E"/>
    <w:rsid w:val="00BF7814"/>
    <w:rsid w:val="00C003AD"/>
    <w:rsid w:val="00C005E1"/>
    <w:rsid w:val="00C00714"/>
    <w:rsid w:val="00C00E2E"/>
    <w:rsid w:val="00C010E0"/>
    <w:rsid w:val="00C0161E"/>
    <w:rsid w:val="00C01756"/>
    <w:rsid w:val="00C01936"/>
    <w:rsid w:val="00C01CBF"/>
    <w:rsid w:val="00C01D72"/>
    <w:rsid w:val="00C01DDC"/>
    <w:rsid w:val="00C02166"/>
    <w:rsid w:val="00C0245E"/>
    <w:rsid w:val="00C02546"/>
    <w:rsid w:val="00C02A59"/>
    <w:rsid w:val="00C02DE5"/>
    <w:rsid w:val="00C033B6"/>
    <w:rsid w:val="00C03798"/>
    <w:rsid w:val="00C03829"/>
    <w:rsid w:val="00C03D97"/>
    <w:rsid w:val="00C03ED0"/>
    <w:rsid w:val="00C03EF9"/>
    <w:rsid w:val="00C04358"/>
    <w:rsid w:val="00C04387"/>
    <w:rsid w:val="00C0470E"/>
    <w:rsid w:val="00C04F0B"/>
    <w:rsid w:val="00C052DD"/>
    <w:rsid w:val="00C055BF"/>
    <w:rsid w:val="00C05704"/>
    <w:rsid w:val="00C05B92"/>
    <w:rsid w:val="00C05E4F"/>
    <w:rsid w:val="00C05E7D"/>
    <w:rsid w:val="00C06885"/>
    <w:rsid w:val="00C06FA2"/>
    <w:rsid w:val="00C07A0B"/>
    <w:rsid w:val="00C07BAA"/>
    <w:rsid w:val="00C07CD0"/>
    <w:rsid w:val="00C07EEE"/>
    <w:rsid w:val="00C10075"/>
    <w:rsid w:val="00C10214"/>
    <w:rsid w:val="00C10750"/>
    <w:rsid w:val="00C10A2B"/>
    <w:rsid w:val="00C10BBD"/>
    <w:rsid w:val="00C10C46"/>
    <w:rsid w:val="00C10C9B"/>
    <w:rsid w:val="00C10DC9"/>
    <w:rsid w:val="00C11363"/>
    <w:rsid w:val="00C11B4E"/>
    <w:rsid w:val="00C11FF5"/>
    <w:rsid w:val="00C12297"/>
    <w:rsid w:val="00C122A8"/>
    <w:rsid w:val="00C1240E"/>
    <w:rsid w:val="00C12BA1"/>
    <w:rsid w:val="00C12D4B"/>
    <w:rsid w:val="00C13461"/>
    <w:rsid w:val="00C1352B"/>
    <w:rsid w:val="00C13E93"/>
    <w:rsid w:val="00C13F0B"/>
    <w:rsid w:val="00C140C3"/>
    <w:rsid w:val="00C1416F"/>
    <w:rsid w:val="00C14236"/>
    <w:rsid w:val="00C148F2"/>
    <w:rsid w:val="00C149B6"/>
    <w:rsid w:val="00C149ED"/>
    <w:rsid w:val="00C14E0C"/>
    <w:rsid w:val="00C15A35"/>
    <w:rsid w:val="00C15FA9"/>
    <w:rsid w:val="00C16B5E"/>
    <w:rsid w:val="00C16CA2"/>
    <w:rsid w:val="00C16F67"/>
    <w:rsid w:val="00C1729E"/>
    <w:rsid w:val="00C17346"/>
    <w:rsid w:val="00C17466"/>
    <w:rsid w:val="00C175FD"/>
    <w:rsid w:val="00C17A4C"/>
    <w:rsid w:val="00C20481"/>
    <w:rsid w:val="00C20A90"/>
    <w:rsid w:val="00C20BEF"/>
    <w:rsid w:val="00C20C5E"/>
    <w:rsid w:val="00C21244"/>
    <w:rsid w:val="00C21C15"/>
    <w:rsid w:val="00C228BE"/>
    <w:rsid w:val="00C22D20"/>
    <w:rsid w:val="00C23400"/>
    <w:rsid w:val="00C2351C"/>
    <w:rsid w:val="00C23936"/>
    <w:rsid w:val="00C23AE9"/>
    <w:rsid w:val="00C23BBF"/>
    <w:rsid w:val="00C23DC6"/>
    <w:rsid w:val="00C23F87"/>
    <w:rsid w:val="00C244E2"/>
    <w:rsid w:val="00C24B3E"/>
    <w:rsid w:val="00C24CF4"/>
    <w:rsid w:val="00C24E91"/>
    <w:rsid w:val="00C251E1"/>
    <w:rsid w:val="00C2530C"/>
    <w:rsid w:val="00C255B3"/>
    <w:rsid w:val="00C25AF6"/>
    <w:rsid w:val="00C261F3"/>
    <w:rsid w:val="00C264A9"/>
    <w:rsid w:val="00C26560"/>
    <w:rsid w:val="00C26668"/>
    <w:rsid w:val="00C26DE3"/>
    <w:rsid w:val="00C3000C"/>
    <w:rsid w:val="00C300A4"/>
    <w:rsid w:val="00C30455"/>
    <w:rsid w:val="00C3052B"/>
    <w:rsid w:val="00C30610"/>
    <w:rsid w:val="00C30EB7"/>
    <w:rsid w:val="00C313BC"/>
    <w:rsid w:val="00C31425"/>
    <w:rsid w:val="00C31B12"/>
    <w:rsid w:val="00C31B3A"/>
    <w:rsid w:val="00C323C9"/>
    <w:rsid w:val="00C32466"/>
    <w:rsid w:val="00C32B42"/>
    <w:rsid w:val="00C32DD6"/>
    <w:rsid w:val="00C33925"/>
    <w:rsid w:val="00C33CED"/>
    <w:rsid w:val="00C33EEB"/>
    <w:rsid w:val="00C341FD"/>
    <w:rsid w:val="00C3497A"/>
    <w:rsid w:val="00C34C67"/>
    <w:rsid w:val="00C34E6E"/>
    <w:rsid w:val="00C35A55"/>
    <w:rsid w:val="00C35A59"/>
    <w:rsid w:val="00C36595"/>
    <w:rsid w:val="00C36796"/>
    <w:rsid w:val="00C367F3"/>
    <w:rsid w:val="00C36977"/>
    <w:rsid w:val="00C36C2D"/>
    <w:rsid w:val="00C36EFC"/>
    <w:rsid w:val="00C375A6"/>
    <w:rsid w:val="00C37618"/>
    <w:rsid w:val="00C37AB2"/>
    <w:rsid w:val="00C37AF6"/>
    <w:rsid w:val="00C40430"/>
    <w:rsid w:val="00C40619"/>
    <w:rsid w:val="00C40AB6"/>
    <w:rsid w:val="00C41E2A"/>
    <w:rsid w:val="00C41F0F"/>
    <w:rsid w:val="00C41FF3"/>
    <w:rsid w:val="00C42233"/>
    <w:rsid w:val="00C427F0"/>
    <w:rsid w:val="00C42F53"/>
    <w:rsid w:val="00C430DD"/>
    <w:rsid w:val="00C435E6"/>
    <w:rsid w:val="00C43C6A"/>
    <w:rsid w:val="00C43CB9"/>
    <w:rsid w:val="00C43D44"/>
    <w:rsid w:val="00C43F88"/>
    <w:rsid w:val="00C44132"/>
    <w:rsid w:val="00C447E9"/>
    <w:rsid w:val="00C4489B"/>
    <w:rsid w:val="00C44E33"/>
    <w:rsid w:val="00C44EBD"/>
    <w:rsid w:val="00C45608"/>
    <w:rsid w:val="00C457DC"/>
    <w:rsid w:val="00C45B36"/>
    <w:rsid w:val="00C460C3"/>
    <w:rsid w:val="00C46199"/>
    <w:rsid w:val="00C464E2"/>
    <w:rsid w:val="00C4666A"/>
    <w:rsid w:val="00C46763"/>
    <w:rsid w:val="00C46855"/>
    <w:rsid w:val="00C46C56"/>
    <w:rsid w:val="00C47899"/>
    <w:rsid w:val="00C50527"/>
    <w:rsid w:val="00C5079E"/>
    <w:rsid w:val="00C5186A"/>
    <w:rsid w:val="00C52126"/>
    <w:rsid w:val="00C5259F"/>
    <w:rsid w:val="00C52AEB"/>
    <w:rsid w:val="00C52AFE"/>
    <w:rsid w:val="00C52CB4"/>
    <w:rsid w:val="00C52ED1"/>
    <w:rsid w:val="00C5317B"/>
    <w:rsid w:val="00C53AA0"/>
    <w:rsid w:val="00C53B3F"/>
    <w:rsid w:val="00C54296"/>
    <w:rsid w:val="00C544E6"/>
    <w:rsid w:val="00C5450B"/>
    <w:rsid w:val="00C545CB"/>
    <w:rsid w:val="00C5499B"/>
    <w:rsid w:val="00C54CFA"/>
    <w:rsid w:val="00C54D10"/>
    <w:rsid w:val="00C54EAF"/>
    <w:rsid w:val="00C55294"/>
    <w:rsid w:val="00C558D2"/>
    <w:rsid w:val="00C558FF"/>
    <w:rsid w:val="00C55E7C"/>
    <w:rsid w:val="00C55F81"/>
    <w:rsid w:val="00C55FA9"/>
    <w:rsid w:val="00C56073"/>
    <w:rsid w:val="00C563D0"/>
    <w:rsid w:val="00C564AC"/>
    <w:rsid w:val="00C56810"/>
    <w:rsid w:val="00C56AA6"/>
    <w:rsid w:val="00C56B61"/>
    <w:rsid w:val="00C56C7F"/>
    <w:rsid w:val="00C56D34"/>
    <w:rsid w:val="00C56E16"/>
    <w:rsid w:val="00C56F7A"/>
    <w:rsid w:val="00C571EA"/>
    <w:rsid w:val="00C5794E"/>
    <w:rsid w:val="00C57D34"/>
    <w:rsid w:val="00C601B5"/>
    <w:rsid w:val="00C6097D"/>
    <w:rsid w:val="00C614C7"/>
    <w:rsid w:val="00C6155A"/>
    <w:rsid w:val="00C61EC0"/>
    <w:rsid w:val="00C61ED0"/>
    <w:rsid w:val="00C6263E"/>
    <w:rsid w:val="00C629CA"/>
    <w:rsid w:val="00C62B70"/>
    <w:rsid w:val="00C62B95"/>
    <w:rsid w:val="00C6309A"/>
    <w:rsid w:val="00C645E3"/>
    <w:rsid w:val="00C64871"/>
    <w:rsid w:val="00C64AF6"/>
    <w:rsid w:val="00C65168"/>
    <w:rsid w:val="00C654AC"/>
    <w:rsid w:val="00C65621"/>
    <w:rsid w:val="00C66071"/>
    <w:rsid w:val="00C66173"/>
    <w:rsid w:val="00C66253"/>
    <w:rsid w:val="00C663BB"/>
    <w:rsid w:val="00C671C3"/>
    <w:rsid w:val="00C67E34"/>
    <w:rsid w:val="00C67EFF"/>
    <w:rsid w:val="00C70611"/>
    <w:rsid w:val="00C7134B"/>
    <w:rsid w:val="00C71354"/>
    <w:rsid w:val="00C713A2"/>
    <w:rsid w:val="00C713BB"/>
    <w:rsid w:val="00C718F1"/>
    <w:rsid w:val="00C719EC"/>
    <w:rsid w:val="00C71F0E"/>
    <w:rsid w:val="00C722E7"/>
    <w:rsid w:val="00C72369"/>
    <w:rsid w:val="00C7303A"/>
    <w:rsid w:val="00C7381B"/>
    <w:rsid w:val="00C73A42"/>
    <w:rsid w:val="00C73E2D"/>
    <w:rsid w:val="00C7438F"/>
    <w:rsid w:val="00C746BA"/>
    <w:rsid w:val="00C749E2"/>
    <w:rsid w:val="00C74F7F"/>
    <w:rsid w:val="00C75019"/>
    <w:rsid w:val="00C7513F"/>
    <w:rsid w:val="00C75153"/>
    <w:rsid w:val="00C76F76"/>
    <w:rsid w:val="00C77047"/>
    <w:rsid w:val="00C77424"/>
    <w:rsid w:val="00C80058"/>
    <w:rsid w:val="00C804D3"/>
    <w:rsid w:val="00C80591"/>
    <w:rsid w:val="00C807CF"/>
    <w:rsid w:val="00C80CEC"/>
    <w:rsid w:val="00C80D2B"/>
    <w:rsid w:val="00C811F8"/>
    <w:rsid w:val="00C81782"/>
    <w:rsid w:val="00C818AC"/>
    <w:rsid w:val="00C82A1D"/>
    <w:rsid w:val="00C82C31"/>
    <w:rsid w:val="00C82EA6"/>
    <w:rsid w:val="00C83097"/>
    <w:rsid w:val="00C83109"/>
    <w:rsid w:val="00C831D2"/>
    <w:rsid w:val="00C83477"/>
    <w:rsid w:val="00C836A1"/>
    <w:rsid w:val="00C8394B"/>
    <w:rsid w:val="00C83982"/>
    <w:rsid w:val="00C83DE5"/>
    <w:rsid w:val="00C841EF"/>
    <w:rsid w:val="00C84A08"/>
    <w:rsid w:val="00C84CE2"/>
    <w:rsid w:val="00C85901"/>
    <w:rsid w:val="00C868F8"/>
    <w:rsid w:val="00C86ACF"/>
    <w:rsid w:val="00C86F82"/>
    <w:rsid w:val="00C86FA5"/>
    <w:rsid w:val="00C86FB6"/>
    <w:rsid w:val="00C8733F"/>
    <w:rsid w:val="00C8762C"/>
    <w:rsid w:val="00C8770B"/>
    <w:rsid w:val="00C87D18"/>
    <w:rsid w:val="00C907C3"/>
    <w:rsid w:val="00C90901"/>
    <w:rsid w:val="00C90A42"/>
    <w:rsid w:val="00C90ABC"/>
    <w:rsid w:val="00C91265"/>
    <w:rsid w:val="00C91455"/>
    <w:rsid w:val="00C91879"/>
    <w:rsid w:val="00C91996"/>
    <w:rsid w:val="00C91DAD"/>
    <w:rsid w:val="00C921EE"/>
    <w:rsid w:val="00C92960"/>
    <w:rsid w:val="00C92A97"/>
    <w:rsid w:val="00C92AB7"/>
    <w:rsid w:val="00C93707"/>
    <w:rsid w:val="00C93720"/>
    <w:rsid w:val="00C93BFC"/>
    <w:rsid w:val="00C93D0F"/>
    <w:rsid w:val="00C93D1B"/>
    <w:rsid w:val="00C94B69"/>
    <w:rsid w:val="00C94FE4"/>
    <w:rsid w:val="00C950A5"/>
    <w:rsid w:val="00C952F8"/>
    <w:rsid w:val="00C95539"/>
    <w:rsid w:val="00C95E71"/>
    <w:rsid w:val="00C96010"/>
    <w:rsid w:val="00C96110"/>
    <w:rsid w:val="00C9648F"/>
    <w:rsid w:val="00C96E5C"/>
    <w:rsid w:val="00C970D7"/>
    <w:rsid w:val="00C9720F"/>
    <w:rsid w:val="00C979D7"/>
    <w:rsid w:val="00C97A7C"/>
    <w:rsid w:val="00CA0632"/>
    <w:rsid w:val="00CA06EE"/>
    <w:rsid w:val="00CA0E7E"/>
    <w:rsid w:val="00CA0EE2"/>
    <w:rsid w:val="00CA14BD"/>
    <w:rsid w:val="00CA1CED"/>
    <w:rsid w:val="00CA1D16"/>
    <w:rsid w:val="00CA32B9"/>
    <w:rsid w:val="00CA3414"/>
    <w:rsid w:val="00CA3A1F"/>
    <w:rsid w:val="00CA3C2B"/>
    <w:rsid w:val="00CA3FDD"/>
    <w:rsid w:val="00CA44BF"/>
    <w:rsid w:val="00CA44FC"/>
    <w:rsid w:val="00CA568C"/>
    <w:rsid w:val="00CA69CD"/>
    <w:rsid w:val="00CA740F"/>
    <w:rsid w:val="00CA7693"/>
    <w:rsid w:val="00CA776E"/>
    <w:rsid w:val="00CA7949"/>
    <w:rsid w:val="00CB056B"/>
    <w:rsid w:val="00CB0897"/>
    <w:rsid w:val="00CB0BD3"/>
    <w:rsid w:val="00CB13F1"/>
    <w:rsid w:val="00CB168D"/>
    <w:rsid w:val="00CB1DF6"/>
    <w:rsid w:val="00CB220E"/>
    <w:rsid w:val="00CB2370"/>
    <w:rsid w:val="00CB23C1"/>
    <w:rsid w:val="00CB3522"/>
    <w:rsid w:val="00CB379E"/>
    <w:rsid w:val="00CB39E5"/>
    <w:rsid w:val="00CB3A60"/>
    <w:rsid w:val="00CB3F32"/>
    <w:rsid w:val="00CB4031"/>
    <w:rsid w:val="00CB4394"/>
    <w:rsid w:val="00CB48D7"/>
    <w:rsid w:val="00CB4967"/>
    <w:rsid w:val="00CB52FC"/>
    <w:rsid w:val="00CB5601"/>
    <w:rsid w:val="00CB5700"/>
    <w:rsid w:val="00CB5B46"/>
    <w:rsid w:val="00CB6120"/>
    <w:rsid w:val="00CB61FA"/>
    <w:rsid w:val="00CB6D8B"/>
    <w:rsid w:val="00CB74A8"/>
    <w:rsid w:val="00CC0670"/>
    <w:rsid w:val="00CC0835"/>
    <w:rsid w:val="00CC0840"/>
    <w:rsid w:val="00CC0AF5"/>
    <w:rsid w:val="00CC0BA4"/>
    <w:rsid w:val="00CC0D40"/>
    <w:rsid w:val="00CC112A"/>
    <w:rsid w:val="00CC15DF"/>
    <w:rsid w:val="00CC1A4A"/>
    <w:rsid w:val="00CC1BF8"/>
    <w:rsid w:val="00CC1C44"/>
    <w:rsid w:val="00CC273E"/>
    <w:rsid w:val="00CC2F48"/>
    <w:rsid w:val="00CC339F"/>
    <w:rsid w:val="00CC3817"/>
    <w:rsid w:val="00CC394E"/>
    <w:rsid w:val="00CC3965"/>
    <w:rsid w:val="00CC3A03"/>
    <w:rsid w:val="00CC3AAC"/>
    <w:rsid w:val="00CC3B06"/>
    <w:rsid w:val="00CC3B85"/>
    <w:rsid w:val="00CC4185"/>
    <w:rsid w:val="00CC4A98"/>
    <w:rsid w:val="00CC563B"/>
    <w:rsid w:val="00CC5C7E"/>
    <w:rsid w:val="00CC5D84"/>
    <w:rsid w:val="00CC5F9D"/>
    <w:rsid w:val="00CC64C1"/>
    <w:rsid w:val="00CC6591"/>
    <w:rsid w:val="00CC6DCF"/>
    <w:rsid w:val="00CC70FE"/>
    <w:rsid w:val="00CC763E"/>
    <w:rsid w:val="00CC7846"/>
    <w:rsid w:val="00CC7ACB"/>
    <w:rsid w:val="00CC7D1A"/>
    <w:rsid w:val="00CD003E"/>
    <w:rsid w:val="00CD0560"/>
    <w:rsid w:val="00CD078E"/>
    <w:rsid w:val="00CD0819"/>
    <w:rsid w:val="00CD09F5"/>
    <w:rsid w:val="00CD0A49"/>
    <w:rsid w:val="00CD0B62"/>
    <w:rsid w:val="00CD0DF8"/>
    <w:rsid w:val="00CD0F20"/>
    <w:rsid w:val="00CD1CE3"/>
    <w:rsid w:val="00CD1D4E"/>
    <w:rsid w:val="00CD1F70"/>
    <w:rsid w:val="00CD26A2"/>
    <w:rsid w:val="00CD28E3"/>
    <w:rsid w:val="00CD2A65"/>
    <w:rsid w:val="00CD3705"/>
    <w:rsid w:val="00CD3C23"/>
    <w:rsid w:val="00CD3E21"/>
    <w:rsid w:val="00CD3EB7"/>
    <w:rsid w:val="00CD564A"/>
    <w:rsid w:val="00CD5B0F"/>
    <w:rsid w:val="00CD5CC7"/>
    <w:rsid w:val="00CD5F92"/>
    <w:rsid w:val="00CD64A5"/>
    <w:rsid w:val="00CD6673"/>
    <w:rsid w:val="00CD68E7"/>
    <w:rsid w:val="00CD7811"/>
    <w:rsid w:val="00CD7CA8"/>
    <w:rsid w:val="00CE005A"/>
    <w:rsid w:val="00CE02FE"/>
    <w:rsid w:val="00CE0E79"/>
    <w:rsid w:val="00CE0FA9"/>
    <w:rsid w:val="00CE1179"/>
    <w:rsid w:val="00CE1420"/>
    <w:rsid w:val="00CE15A0"/>
    <w:rsid w:val="00CE1CC4"/>
    <w:rsid w:val="00CE2051"/>
    <w:rsid w:val="00CE2205"/>
    <w:rsid w:val="00CE2279"/>
    <w:rsid w:val="00CE251A"/>
    <w:rsid w:val="00CE326E"/>
    <w:rsid w:val="00CE3464"/>
    <w:rsid w:val="00CE375D"/>
    <w:rsid w:val="00CE3B05"/>
    <w:rsid w:val="00CE3D3E"/>
    <w:rsid w:val="00CE419B"/>
    <w:rsid w:val="00CE422A"/>
    <w:rsid w:val="00CE43D0"/>
    <w:rsid w:val="00CE4711"/>
    <w:rsid w:val="00CE4779"/>
    <w:rsid w:val="00CE4B72"/>
    <w:rsid w:val="00CE4BD8"/>
    <w:rsid w:val="00CE4FC4"/>
    <w:rsid w:val="00CE57C4"/>
    <w:rsid w:val="00CE5C05"/>
    <w:rsid w:val="00CE5CC7"/>
    <w:rsid w:val="00CE6287"/>
    <w:rsid w:val="00CE630C"/>
    <w:rsid w:val="00CE67B2"/>
    <w:rsid w:val="00CE6818"/>
    <w:rsid w:val="00CE6AE0"/>
    <w:rsid w:val="00CE74AB"/>
    <w:rsid w:val="00CE7E66"/>
    <w:rsid w:val="00CE7F73"/>
    <w:rsid w:val="00CF02FE"/>
    <w:rsid w:val="00CF0891"/>
    <w:rsid w:val="00CF0C1A"/>
    <w:rsid w:val="00CF0D3E"/>
    <w:rsid w:val="00CF1028"/>
    <w:rsid w:val="00CF106A"/>
    <w:rsid w:val="00CF10A1"/>
    <w:rsid w:val="00CF172A"/>
    <w:rsid w:val="00CF1F4B"/>
    <w:rsid w:val="00CF2228"/>
    <w:rsid w:val="00CF2382"/>
    <w:rsid w:val="00CF247A"/>
    <w:rsid w:val="00CF24CC"/>
    <w:rsid w:val="00CF2662"/>
    <w:rsid w:val="00CF2FB7"/>
    <w:rsid w:val="00CF32EA"/>
    <w:rsid w:val="00CF3936"/>
    <w:rsid w:val="00CF3AA1"/>
    <w:rsid w:val="00CF3DEF"/>
    <w:rsid w:val="00CF4136"/>
    <w:rsid w:val="00CF444A"/>
    <w:rsid w:val="00CF4811"/>
    <w:rsid w:val="00CF4A26"/>
    <w:rsid w:val="00CF4EA8"/>
    <w:rsid w:val="00CF5489"/>
    <w:rsid w:val="00CF5CE4"/>
    <w:rsid w:val="00CF629D"/>
    <w:rsid w:val="00CF6819"/>
    <w:rsid w:val="00CF6DEA"/>
    <w:rsid w:val="00CF7954"/>
    <w:rsid w:val="00CF7E70"/>
    <w:rsid w:val="00D0009A"/>
    <w:rsid w:val="00D00175"/>
    <w:rsid w:val="00D002A9"/>
    <w:rsid w:val="00D00A8A"/>
    <w:rsid w:val="00D017E4"/>
    <w:rsid w:val="00D01DF2"/>
    <w:rsid w:val="00D01E04"/>
    <w:rsid w:val="00D01E39"/>
    <w:rsid w:val="00D01EF6"/>
    <w:rsid w:val="00D01F2B"/>
    <w:rsid w:val="00D0213C"/>
    <w:rsid w:val="00D0288B"/>
    <w:rsid w:val="00D0297C"/>
    <w:rsid w:val="00D02D93"/>
    <w:rsid w:val="00D032B8"/>
    <w:rsid w:val="00D0333A"/>
    <w:rsid w:val="00D03432"/>
    <w:rsid w:val="00D03973"/>
    <w:rsid w:val="00D0417B"/>
    <w:rsid w:val="00D049E5"/>
    <w:rsid w:val="00D04EEA"/>
    <w:rsid w:val="00D051A6"/>
    <w:rsid w:val="00D0523F"/>
    <w:rsid w:val="00D057CA"/>
    <w:rsid w:val="00D058EB"/>
    <w:rsid w:val="00D05D09"/>
    <w:rsid w:val="00D05DD2"/>
    <w:rsid w:val="00D05F4C"/>
    <w:rsid w:val="00D06132"/>
    <w:rsid w:val="00D0625B"/>
    <w:rsid w:val="00D06465"/>
    <w:rsid w:val="00D067E7"/>
    <w:rsid w:val="00D067E9"/>
    <w:rsid w:val="00D06BD4"/>
    <w:rsid w:val="00D06CE4"/>
    <w:rsid w:val="00D06EBA"/>
    <w:rsid w:val="00D071EA"/>
    <w:rsid w:val="00D07DBB"/>
    <w:rsid w:val="00D1036F"/>
    <w:rsid w:val="00D10D13"/>
    <w:rsid w:val="00D118BF"/>
    <w:rsid w:val="00D124C7"/>
    <w:rsid w:val="00D12F31"/>
    <w:rsid w:val="00D134AF"/>
    <w:rsid w:val="00D134B3"/>
    <w:rsid w:val="00D138FA"/>
    <w:rsid w:val="00D139C2"/>
    <w:rsid w:val="00D14471"/>
    <w:rsid w:val="00D14496"/>
    <w:rsid w:val="00D145B6"/>
    <w:rsid w:val="00D14970"/>
    <w:rsid w:val="00D14B8F"/>
    <w:rsid w:val="00D151A3"/>
    <w:rsid w:val="00D151E7"/>
    <w:rsid w:val="00D156FA"/>
    <w:rsid w:val="00D15D88"/>
    <w:rsid w:val="00D15E34"/>
    <w:rsid w:val="00D170B5"/>
    <w:rsid w:val="00D17277"/>
    <w:rsid w:val="00D17662"/>
    <w:rsid w:val="00D22123"/>
    <w:rsid w:val="00D22430"/>
    <w:rsid w:val="00D225D6"/>
    <w:rsid w:val="00D22A05"/>
    <w:rsid w:val="00D22C93"/>
    <w:rsid w:val="00D23583"/>
    <w:rsid w:val="00D237F4"/>
    <w:rsid w:val="00D23925"/>
    <w:rsid w:val="00D240B0"/>
    <w:rsid w:val="00D240B4"/>
    <w:rsid w:val="00D248FD"/>
    <w:rsid w:val="00D24A00"/>
    <w:rsid w:val="00D24EBF"/>
    <w:rsid w:val="00D2505A"/>
    <w:rsid w:val="00D250AF"/>
    <w:rsid w:val="00D26AAF"/>
    <w:rsid w:val="00D26E0D"/>
    <w:rsid w:val="00D26E19"/>
    <w:rsid w:val="00D27B20"/>
    <w:rsid w:val="00D3060A"/>
    <w:rsid w:val="00D308D6"/>
    <w:rsid w:val="00D3091C"/>
    <w:rsid w:val="00D30B22"/>
    <w:rsid w:val="00D3136B"/>
    <w:rsid w:val="00D3180D"/>
    <w:rsid w:val="00D3199D"/>
    <w:rsid w:val="00D31B28"/>
    <w:rsid w:val="00D31C10"/>
    <w:rsid w:val="00D31CC3"/>
    <w:rsid w:val="00D32295"/>
    <w:rsid w:val="00D32A15"/>
    <w:rsid w:val="00D32DA0"/>
    <w:rsid w:val="00D33292"/>
    <w:rsid w:val="00D332B5"/>
    <w:rsid w:val="00D33941"/>
    <w:rsid w:val="00D33E16"/>
    <w:rsid w:val="00D341CD"/>
    <w:rsid w:val="00D34D5E"/>
    <w:rsid w:val="00D3556A"/>
    <w:rsid w:val="00D360DD"/>
    <w:rsid w:val="00D36BE6"/>
    <w:rsid w:val="00D36CA7"/>
    <w:rsid w:val="00D37056"/>
    <w:rsid w:val="00D3727B"/>
    <w:rsid w:val="00D3735B"/>
    <w:rsid w:val="00D40E0C"/>
    <w:rsid w:val="00D40F00"/>
    <w:rsid w:val="00D4176A"/>
    <w:rsid w:val="00D417CC"/>
    <w:rsid w:val="00D41BD7"/>
    <w:rsid w:val="00D41C8C"/>
    <w:rsid w:val="00D41CDC"/>
    <w:rsid w:val="00D41DA5"/>
    <w:rsid w:val="00D426F0"/>
    <w:rsid w:val="00D42A61"/>
    <w:rsid w:val="00D42AA3"/>
    <w:rsid w:val="00D42D4B"/>
    <w:rsid w:val="00D42EA0"/>
    <w:rsid w:val="00D43348"/>
    <w:rsid w:val="00D436CA"/>
    <w:rsid w:val="00D438EB"/>
    <w:rsid w:val="00D43B35"/>
    <w:rsid w:val="00D441FA"/>
    <w:rsid w:val="00D44412"/>
    <w:rsid w:val="00D44EA3"/>
    <w:rsid w:val="00D4533D"/>
    <w:rsid w:val="00D45723"/>
    <w:rsid w:val="00D45A3D"/>
    <w:rsid w:val="00D4603D"/>
    <w:rsid w:val="00D46176"/>
    <w:rsid w:val="00D46213"/>
    <w:rsid w:val="00D46222"/>
    <w:rsid w:val="00D46506"/>
    <w:rsid w:val="00D46549"/>
    <w:rsid w:val="00D46A95"/>
    <w:rsid w:val="00D46DA5"/>
    <w:rsid w:val="00D46FA5"/>
    <w:rsid w:val="00D476CD"/>
    <w:rsid w:val="00D4776C"/>
    <w:rsid w:val="00D47D91"/>
    <w:rsid w:val="00D50393"/>
    <w:rsid w:val="00D50A49"/>
    <w:rsid w:val="00D50BF5"/>
    <w:rsid w:val="00D51263"/>
    <w:rsid w:val="00D513CA"/>
    <w:rsid w:val="00D516C3"/>
    <w:rsid w:val="00D51734"/>
    <w:rsid w:val="00D51A86"/>
    <w:rsid w:val="00D51C45"/>
    <w:rsid w:val="00D51DB9"/>
    <w:rsid w:val="00D51E43"/>
    <w:rsid w:val="00D51ECB"/>
    <w:rsid w:val="00D52079"/>
    <w:rsid w:val="00D523E0"/>
    <w:rsid w:val="00D52544"/>
    <w:rsid w:val="00D52639"/>
    <w:rsid w:val="00D5263D"/>
    <w:rsid w:val="00D52CEA"/>
    <w:rsid w:val="00D53461"/>
    <w:rsid w:val="00D53709"/>
    <w:rsid w:val="00D53A6A"/>
    <w:rsid w:val="00D53AB5"/>
    <w:rsid w:val="00D54185"/>
    <w:rsid w:val="00D54190"/>
    <w:rsid w:val="00D547AA"/>
    <w:rsid w:val="00D547F7"/>
    <w:rsid w:val="00D54DA7"/>
    <w:rsid w:val="00D54E13"/>
    <w:rsid w:val="00D54FCC"/>
    <w:rsid w:val="00D552BA"/>
    <w:rsid w:val="00D5629E"/>
    <w:rsid w:val="00D562F0"/>
    <w:rsid w:val="00D563BD"/>
    <w:rsid w:val="00D564B1"/>
    <w:rsid w:val="00D56793"/>
    <w:rsid w:val="00D567BA"/>
    <w:rsid w:val="00D56AB4"/>
    <w:rsid w:val="00D56BB5"/>
    <w:rsid w:val="00D577D0"/>
    <w:rsid w:val="00D608D1"/>
    <w:rsid w:val="00D60BED"/>
    <w:rsid w:val="00D60D2D"/>
    <w:rsid w:val="00D61EE3"/>
    <w:rsid w:val="00D621ED"/>
    <w:rsid w:val="00D62DFC"/>
    <w:rsid w:val="00D62F97"/>
    <w:rsid w:val="00D63B9F"/>
    <w:rsid w:val="00D6401E"/>
    <w:rsid w:val="00D648D5"/>
    <w:rsid w:val="00D649D8"/>
    <w:rsid w:val="00D65F5C"/>
    <w:rsid w:val="00D6662A"/>
    <w:rsid w:val="00D6676A"/>
    <w:rsid w:val="00D671CE"/>
    <w:rsid w:val="00D6736F"/>
    <w:rsid w:val="00D67D47"/>
    <w:rsid w:val="00D67E26"/>
    <w:rsid w:val="00D67F61"/>
    <w:rsid w:val="00D7036E"/>
    <w:rsid w:val="00D703EA"/>
    <w:rsid w:val="00D70839"/>
    <w:rsid w:val="00D70D34"/>
    <w:rsid w:val="00D70F54"/>
    <w:rsid w:val="00D70FB1"/>
    <w:rsid w:val="00D70FB7"/>
    <w:rsid w:val="00D710F9"/>
    <w:rsid w:val="00D712A5"/>
    <w:rsid w:val="00D712C3"/>
    <w:rsid w:val="00D7153A"/>
    <w:rsid w:val="00D7175B"/>
    <w:rsid w:val="00D71839"/>
    <w:rsid w:val="00D71944"/>
    <w:rsid w:val="00D71C4B"/>
    <w:rsid w:val="00D72D11"/>
    <w:rsid w:val="00D72E4A"/>
    <w:rsid w:val="00D72E78"/>
    <w:rsid w:val="00D73250"/>
    <w:rsid w:val="00D73B9E"/>
    <w:rsid w:val="00D73DC6"/>
    <w:rsid w:val="00D73E7A"/>
    <w:rsid w:val="00D73FBD"/>
    <w:rsid w:val="00D7502C"/>
    <w:rsid w:val="00D751BD"/>
    <w:rsid w:val="00D75395"/>
    <w:rsid w:val="00D7561F"/>
    <w:rsid w:val="00D764EF"/>
    <w:rsid w:val="00D76807"/>
    <w:rsid w:val="00D76BF6"/>
    <w:rsid w:val="00D76EE6"/>
    <w:rsid w:val="00D77008"/>
    <w:rsid w:val="00D77391"/>
    <w:rsid w:val="00D77DDF"/>
    <w:rsid w:val="00D80DC5"/>
    <w:rsid w:val="00D815A1"/>
    <w:rsid w:val="00D81ACC"/>
    <w:rsid w:val="00D81F9B"/>
    <w:rsid w:val="00D82041"/>
    <w:rsid w:val="00D82933"/>
    <w:rsid w:val="00D8316E"/>
    <w:rsid w:val="00D8325B"/>
    <w:rsid w:val="00D8345B"/>
    <w:rsid w:val="00D8347D"/>
    <w:rsid w:val="00D84337"/>
    <w:rsid w:val="00D84538"/>
    <w:rsid w:val="00D84912"/>
    <w:rsid w:val="00D84E9F"/>
    <w:rsid w:val="00D84FF2"/>
    <w:rsid w:val="00D857F4"/>
    <w:rsid w:val="00D858BE"/>
    <w:rsid w:val="00D85A75"/>
    <w:rsid w:val="00D85F35"/>
    <w:rsid w:val="00D85F6E"/>
    <w:rsid w:val="00D86395"/>
    <w:rsid w:val="00D8683F"/>
    <w:rsid w:val="00D8686D"/>
    <w:rsid w:val="00D86D22"/>
    <w:rsid w:val="00D87473"/>
    <w:rsid w:val="00D87A0C"/>
    <w:rsid w:val="00D87DE2"/>
    <w:rsid w:val="00D9054A"/>
    <w:rsid w:val="00D90DE3"/>
    <w:rsid w:val="00D915D4"/>
    <w:rsid w:val="00D91A4B"/>
    <w:rsid w:val="00D91D88"/>
    <w:rsid w:val="00D920B2"/>
    <w:rsid w:val="00D92C35"/>
    <w:rsid w:val="00D92D2B"/>
    <w:rsid w:val="00D92FD3"/>
    <w:rsid w:val="00D9307E"/>
    <w:rsid w:val="00D93089"/>
    <w:rsid w:val="00D93231"/>
    <w:rsid w:val="00D939AA"/>
    <w:rsid w:val="00D93C39"/>
    <w:rsid w:val="00D93D82"/>
    <w:rsid w:val="00D93DFB"/>
    <w:rsid w:val="00D9414A"/>
    <w:rsid w:val="00D9454A"/>
    <w:rsid w:val="00D94EB1"/>
    <w:rsid w:val="00D95F25"/>
    <w:rsid w:val="00D9652D"/>
    <w:rsid w:val="00D96936"/>
    <w:rsid w:val="00D96F41"/>
    <w:rsid w:val="00D972C7"/>
    <w:rsid w:val="00DA0144"/>
    <w:rsid w:val="00DA0B55"/>
    <w:rsid w:val="00DA0D6F"/>
    <w:rsid w:val="00DA10DB"/>
    <w:rsid w:val="00DA1230"/>
    <w:rsid w:val="00DA16C2"/>
    <w:rsid w:val="00DA1778"/>
    <w:rsid w:val="00DA1E78"/>
    <w:rsid w:val="00DA22AF"/>
    <w:rsid w:val="00DA243E"/>
    <w:rsid w:val="00DA2E19"/>
    <w:rsid w:val="00DA32B2"/>
    <w:rsid w:val="00DA3F33"/>
    <w:rsid w:val="00DA40AA"/>
    <w:rsid w:val="00DA469F"/>
    <w:rsid w:val="00DA47EC"/>
    <w:rsid w:val="00DA4AD0"/>
    <w:rsid w:val="00DA4AF0"/>
    <w:rsid w:val="00DA4F58"/>
    <w:rsid w:val="00DA510D"/>
    <w:rsid w:val="00DA5824"/>
    <w:rsid w:val="00DA5FCF"/>
    <w:rsid w:val="00DA623C"/>
    <w:rsid w:val="00DA62E0"/>
    <w:rsid w:val="00DA62E9"/>
    <w:rsid w:val="00DA6306"/>
    <w:rsid w:val="00DA639F"/>
    <w:rsid w:val="00DA665F"/>
    <w:rsid w:val="00DA6A04"/>
    <w:rsid w:val="00DA6A7F"/>
    <w:rsid w:val="00DA6C58"/>
    <w:rsid w:val="00DA7027"/>
    <w:rsid w:val="00DA7515"/>
    <w:rsid w:val="00DA78CF"/>
    <w:rsid w:val="00DA7932"/>
    <w:rsid w:val="00DA7CF5"/>
    <w:rsid w:val="00DB0329"/>
    <w:rsid w:val="00DB0621"/>
    <w:rsid w:val="00DB069E"/>
    <w:rsid w:val="00DB0AFB"/>
    <w:rsid w:val="00DB0D13"/>
    <w:rsid w:val="00DB154A"/>
    <w:rsid w:val="00DB1733"/>
    <w:rsid w:val="00DB1A74"/>
    <w:rsid w:val="00DB1EFC"/>
    <w:rsid w:val="00DB2872"/>
    <w:rsid w:val="00DB2F85"/>
    <w:rsid w:val="00DB2FEF"/>
    <w:rsid w:val="00DB331F"/>
    <w:rsid w:val="00DB3517"/>
    <w:rsid w:val="00DB3EA6"/>
    <w:rsid w:val="00DB4644"/>
    <w:rsid w:val="00DB4AA2"/>
    <w:rsid w:val="00DB5C72"/>
    <w:rsid w:val="00DB64E3"/>
    <w:rsid w:val="00DB6675"/>
    <w:rsid w:val="00DB6687"/>
    <w:rsid w:val="00DB72FE"/>
    <w:rsid w:val="00DB7457"/>
    <w:rsid w:val="00DB770B"/>
    <w:rsid w:val="00DB7A1E"/>
    <w:rsid w:val="00DB7F08"/>
    <w:rsid w:val="00DC0126"/>
    <w:rsid w:val="00DC0804"/>
    <w:rsid w:val="00DC089C"/>
    <w:rsid w:val="00DC0ABD"/>
    <w:rsid w:val="00DC167B"/>
    <w:rsid w:val="00DC167D"/>
    <w:rsid w:val="00DC1702"/>
    <w:rsid w:val="00DC1A22"/>
    <w:rsid w:val="00DC206E"/>
    <w:rsid w:val="00DC212F"/>
    <w:rsid w:val="00DC25D6"/>
    <w:rsid w:val="00DC2AC1"/>
    <w:rsid w:val="00DC32BC"/>
    <w:rsid w:val="00DC33E4"/>
    <w:rsid w:val="00DC3A6F"/>
    <w:rsid w:val="00DC4083"/>
    <w:rsid w:val="00DC520A"/>
    <w:rsid w:val="00DC57C4"/>
    <w:rsid w:val="00DC5DFB"/>
    <w:rsid w:val="00DC5EB9"/>
    <w:rsid w:val="00DC6AA8"/>
    <w:rsid w:val="00DC6B24"/>
    <w:rsid w:val="00DC6C30"/>
    <w:rsid w:val="00DC6E52"/>
    <w:rsid w:val="00DC7321"/>
    <w:rsid w:val="00DC7458"/>
    <w:rsid w:val="00DC7735"/>
    <w:rsid w:val="00DD047A"/>
    <w:rsid w:val="00DD0579"/>
    <w:rsid w:val="00DD0991"/>
    <w:rsid w:val="00DD0DC0"/>
    <w:rsid w:val="00DD0FBF"/>
    <w:rsid w:val="00DD103C"/>
    <w:rsid w:val="00DD1508"/>
    <w:rsid w:val="00DD15F1"/>
    <w:rsid w:val="00DD17AF"/>
    <w:rsid w:val="00DD1A19"/>
    <w:rsid w:val="00DD1FCE"/>
    <w:rsid w:val="00DD2240"/>
    <w:rsid w:val="00DD254C"/>
    <w:rsid w:val="00DD2FB8"/>
    <w:rsid w:val="00DD3135"/>
    <w:rsid w:val="00DD3435"/>
    <w:rsid w:val="00DD3C9D"/>
    <w:rsid w:val="00DD3D10"/>
    <w:rsid w:val="00DD5879"/>
    <w:rsid w:val="00DD5BD7"/>
    <w:rsid w:val="00DD5DBF"/>
    <w:rsid w:val="00DD5FAE"/>
    <w:rsid w:val="00DD6311"/>
    <w:rsid w:val="00DD63A1"/>
    <w:rsid w:val="00DD6665"/>
    <w:rsid w:val="00DD695D"/>
    <w:rsid w:val="00DD6DE4"/>
    <w:rsid w:val="00DD71D1"/>
    <w:rsid w:val="00DD72DA"/>
    <w:rsid w:val="00DD7388"/>
    <w:rsid w:val="00DD7616"/>
    <w:rsid w:val="00DD777A"/>
    <w:rsid w:val="00DE0A86"/>
    <w:rsid w:val="00DE0B6E"/>
    <w:rsid w:val="00DE13D9"/>
    <w:rsid w:val="00DE179F"/>
    <w:rsid w:val="00DE1FD9"/>
    <w:rsid w:val="00DE2223"/>
    <w:rsid w:val="00DE23E1"/>
    <w:rsid w:val="00DE263F"/>
    <w:rsid w:val="00DE2724"/>
    <w:rsid w:val="00DE28A7"/>
    <w:rsid w:val="00DE29A7"/>
    <w:rsid w:val="00DE368F"/>
    <w:rsid w:val="00DE38F0"/>
    <w:rsid w:val="00DE39DC"/>
    <w:rsid w:val="00DE3B96"/>
    <w:rsid w:val="00DE3E4E"/>
    <w:rsid w:val="00DE47B9"/>
    <w:rsid w:val="00DE4853"/>
    <w:rsid w:val="00DE518F"/>
    <w:rsid w:val="00DE5549"/>
    <w:rsid w:val="00DE582E"/>
    <w:rsid w:val="00DE5DC0"/>
    <w:rsid w:val="00DE5DE1"/>
    <w:rsid w:val="00DE5F2C"/>
    <w:rsid w:val="00DE6950"/>
    <w:rsid w:val="00DE6C58"/>
    <w:rsid w:val="00DE6DEF"/>
    <w:rsid w:val="00DE70AD"/>
    <w:rsid w:val="00DF0318"/>
    <w:rsid w:val="00DF05C0"/>
    <w:rsid w:val="00DF0846"/>
    <w:rsid w:val="00DF08CB"/>
    <w:rsid w:val="00DF092B"/>
    <w:rsid w:val="00DF095E"/>
    <w:rsid w:val="00DF22D1"/>
    <w:rsid w:val="00DF2649"/>
    <w:rsid w:val="00DF34AD"/>
    <w:rsid w:val="00DF380A"/>
    <w:rsid w:val="00DF3A75"/>
    <w:rsid w:val="00DF4777"/>
    <w:rsid w:val="00DF53E6"/>
    <w:rsid w:val="00DF563F"/>
    <w:rsid w:val="00DF56DF"/>
    <w:rsid w:val="00DF609D"/>
    <w:rsid w:val="00DF6356"/>
    <w:rsid w:val="00DF64CA"/>
    <w:rsid w:val="00DF6849"/>
    <w:rsid w:val="00DF68A6"/>
    <w:rsid w:val="00DF6BA8"/>
    <w:rsid w:val="00DF6D2C"/>
    <w:rsid w:val="00DF6E37"/>
    <w:rsid w:val="00DF70BC"/>
    <w:rsid w:val="00DF72B1"/>
    <w:rsid w:val="00DF7335"/>
    <w:rsid w:val="00DF754C"/>
    <w:rsid w:val="00DF77D3"/>
    <w:rsid w:val="00DF78F7"/>
    <w:rsid w:val="00E00839"/>
    <w:rsid w:val="00E00FD3"/>
    <w:rsid w:val="00E011A0"/>
    <w:rsid w:val="00E011F4"/>
    <w:rsid w:val="00E01AD9"/>
    <w:rsid w:val="00E028DE"/>
    <w:rsid w:val="00E03205"/>
    <w:rsid w:val="00E03D5C"/>
    <w:rsid w:val="00E041E6"/>
    <w:rsid w:val="00E0429C"/>
    <w:rsid w:val="00E043FF"/>
    <w:rsid w:val="00E04697"/>
    <w:rsid w:val="00E04A44"/>
    <w:rsid w:val="00E04E19"/>
    <w:rsid w:val="00E05E66"/>
    <w:rsid w:val="00E05FC6"/>
    <w:rsid w:val="00E0612A"/>
    <w:rsid w:val="00E06655"/>
    <w:rsid w:val="00E06986"/>
    <w:rsid w:val="00E06A31"/>
    <w:rsid w:val="00E070FE"/>
    <w:rsid w:val="00E0732D"/>
    <w:rsid w:val="00E074D0"/>
    <w:rsid w:val="00E07B1A"/>
    <w:rsid w:val="00E10BAC"/>
    <w:rsid w:val="00E10FCE"/>
    <w:rsid w:val="00E10FCF"/>
    <w:rsid w:val="00E11441"/>
    <w:rsid w:val="00E114DC"/>
    <w:rsid w:val="00E1171C"/>
    <w:rsid w:val="00E11DDC"/>
    <w:rsid w:val="00E11E4B"/>
    <w:rsid w:val="00E11FD2"/>
    <w:rsid w:val="00E12184"/>
    <w:rsid w:val="00E12254"/>
    <w:rsid w:val="00E12628"/>
    <w:rsid w:val="00E12698"/>
    <w:rsid w:val="00E126AB"/>
    <w:rsid w:val="00E12907"/>
    <w:rsid w:val="00E129E0"/>
    <w:rsid w:val="00E13F09"/>
    <w:rsid w:val="00E14214"/>
    <w:rsid w:val="00E14763"/>
    <w:rsid w:val="00E148B5"/>
    <w:rsid w:val="00E14EAC"/>
    <w:rsid w:val="00E14FC0"/>
    <w:rsid w:val="00E15811"/>
    <w:rsid w:val="00E160A6"/>
    <w:rsid w:val="00E169C1"/>
    <w:rsid w:val="00E16FEF"/>
    <w:rsid w:val="00E1705C"/>
    <w:rsid w:val="00E171D2"/>
    <w:rsid w:val="00E17201"/>
    <w:rsid w:val="00E173D4"/>
    <w:rsid w:val="00E17540"/>
    <w:rsid w:val="00E177E7"/>
    <w:rsid w:val="00E17B4F"/>
    <w:rsid w:val="00E17BA9"/>
    <w:rsid w:val="00E2022C"/>
    <w:rsid w:val="00E2052C"/>
    <w:rsid w:val="00E209FF"/>
    <w:rsid w:val="00E20A6C"/>
    <w:rsid w:val="00E20F01"/>
    <w:rsid w:val="00E21E3F"/>
    <w:rsid w:val="00E21F55"/>
    <w:rsid w:val="00E2208A"/>
    <w:rsid w:val="00E2297D"/>
    <w:rsid w:val="00E22CC0"/>
    <w:rsid w:val="00E22CEC"/>
    <w:rsid w:val="00E23072"/>
    <w:rsid w:val="00E23663"/>
    <w:rsid w:val="00E2374D"/>
    <w:rsid w:val="00E2384F"/>
    <w:rsid w:val="00E23A71"/>
    <w:rsid w:val="00E23C44"/>
    <w:rsid w:val="00E24173"/>
    <w:rsid w:val="00E243A2"/>
    <w:rsid w:val="00E243F9"/>
    <w:rsid w:val="00E2440D"/>
    <w:rsid w:val="00E24735"/>
    <w:rsid w:val="00E2473B"/>
    <w:rsid w:val="00E24BE5"/>
    <w:rsid w:val="00E253EB"/>
    <w:rsid w:val="00E25A50"/>
    <w:rsid w:val="00E26889"/>
    <w:rsid w:val="00E26AC8"/>
    <w:rsid w:val="00E26F15"/>
    <w:rsid w:val="00E272B6"/>
    <w:rsid w:val="00E273E5"/>
    <w:rsid w:val="00E27EAA"/>
    <w:rsid w:val="00E27F66"/>
    <w:rsid w:val="00E3084A"/>
    <w:rsid w:val="00E30D0A"/>
    <w:rsid w:val="00E31788"/>
    <w:rsid w:val="00E3240E"/>
    <w:rsid w:val="00E334BE"/>
    <w:rsid w:val="00E33569"/>
    <w:rsid w:val="00E335DF"/>
    <w:rsid w:val="00E336CC"/>
    <w:rsid w:val="00E3382B"/>
    <w:rsid w:val="00E33A85"/>
    <w:rsid w:val="00E33C4F"/>
    <w:rsid w:val="00E34525"/>
    <w:rsid w:val="00E34693"/>
    <w:rsid w:val="00E34753"/>
    <w:rsid w:val="00E34807"/>
    <w:rsid w:val="00E34B5F"/>
    <w:rsid w:val="00E35755"/>
    <w:rsid w:val="00E358B5"/>
    <w:rsid w:val="00E36096"/>
    <w:rsid w:val="00E36189"/>
    <w:rsid w:val="00E36441"/>
    <w:rsid w:val="00E36525"/>
    <w:rsid w:val="00E36550"/>
    <w:rsid w:val="00E365A0"/>
    <w:rsid w:val="00E36CB2"/>
    <w:rsid w:val="00E36CD5"/>
    <w:rsid w:val="00E370CE"/>
    <w:rsid w:val="00E37216"/>
    <w:rsid w:val="00E374FB"/>
    <w:rsid w:val="00E37F44"/>
    <w:rsid w:val="00E403CA"/>
    <w:rsid w:val="00E40BF5"/>
    <w:rsid w:val="00E40F07"/>
    <w:rsid w:val="00E41641"/>
    <w:rsid w:val="00E418EC"/>
    <w:rsid w:val="00E41A1A"/>
    <w:rsid w:val="00E41F42"/>
    <w:rsid w:val="00E42202"/>
    <w:rsid w:val="00E42451"/>
    <w:rsid w:val="00E428F5"/>
    <w:rsid w:val="00E42CD1"/>
    <w:rsid w:val="00E433F2"/>
    <w:rsid w:val="00E43525"/>
    <w:rsid w:val="00E439C1"/>
    <w:rsid w:val="00E43B39"/>
    <w:rsid w:val="00E43EC1"/>
    <w:rsid w:val="00E43EF0"/>
    <w:rsid w:val="00E44562"/>
    <w:rsid w:val="00E44752"/>
    <w:rsid w:val="00E44B8F"/>
    <w:rsid w:val="00E44C3E"/>
    <w:rsid w:val="00E44FC4"/>
    <w:rsid w:val="00E45018"/>
    <w:rsid w:val="00E45188"/>
    <w:rsid w:val="00E4541F"/>
    <w:rsid w:val="00E4656C"/>
    <w:rsid w:val="00E466C1"/>
    <w:rsid w:val="00E46977"/>
    <w:rsid w:val="00E46B02"/>
    <w:rsid w:val="00E47397"/>
    <w:rsid w:val="00E504EF"/>
    <w:rsid w:val="00E504F3"/>
    <w:rsid w:val="00E5052E"/>
    <w:rsid w:val="00E50F26"/>
    <w:rsid w:val="00E50F39"/>
    <w:rsid w:val="00E51918"/>
    <w:rsid w:val="00E51E6B"/>
    <w:rsid w:val="00E5312C"/>
    <w:rsid w:val="00E53752"/>
    <w:rsid w:val="00E5402A"/>
    <w:rsid w:val="00E552B3"/>
    <w:rsid w:val="00E552D2"/>
    <w:rsid w:val="00E55C4E"/>
    <w:rsid w:val="00E560D6"/>
    <w:rsid w:val="00E56822"/>
    <w:rsid w:val="00E569E2"/>
    <w:rsid w:val="00E56BF7"/>
    <w:rsid w:val="00E56F5A"/>
    <w:rsid w:val="00E570DF"/>
    <w:rsid w:val="00E57148"/>
    <w:rsid w:val="00E57172"/>
    <w:rsid w:val="00E57513"/>
    <w:rsid w:val="00E5753D"/>
    <w:rsid w:val="00E577F7"/>
    <w:rsid w:val="00E57966"/>
    <w:rsid w:val="00E57DE4"/>
    <w:rsid w:val="00E60863"/>
    <w:rsid w:val="00E60871"/>
    <w:rsid w:val="00E60B86"/>
    <w:rsid w:val="00E61244"/>
    <w:rsid w:val="00E613AF"/>
    <w:rsid w:val="00E625BB"/>
    <w:rsid w:val="00E62BEF"/>
    <w:rsid w:val="00E632EC"/>
    <w:rsid w:val="00E63CD5"/>
    <w:rsid w:val="00E64072"/>
    <w:rsid w:val="00E6468A"/>
    <w:rsid w:val="00E652A2"/>
    <w:rsid w:val="00E65582"/>
    <w:rsid w:val="00E65660"/>
    <w:rsid w:val="00E65699"/>
    <w:rsid w:val="00E6586A"/>
    <w:rsid w:val="00E65A82"/>
    <w:rsid w:val="00E65C81"/>
    <w:rsid w:val="00E65D8C"/>
    <w:rsid w:val="00E65E82"/>
    <w:rsid w:val="00E65F66"/>
    <w:rsid w:val="00E6675E"/>
    <w:rsid w:val="00E6684F"/>
    <w:rsid w:val="00E66B28"/>
    <w:rsid w:val="00E66BA6"/>
    <w:rsid w:val="00E66BB7"/>
    <w:rsid w:val="00E67365"/>
    <w:rsid w:val="00E6737B"/>
    <w:rsid w:val="00E673FC"/>
    <w:rsid w:val="00E67574"/>
    <w:rsid w:val="00E677E2"/>
    <w:rsid w:val="00E678D1"/>
    <w:rsid w:val="00E67D60"/>
    <w:rsid w:val="00E7017E"/>
    <w:rsid w:val="00E703FF"/>
    <w:rsid w:val="00E70A0A"/>
    <w:rsid w:val="00E70AB8"/>
    <w:rsid w:val="00E70D78"/>
    <w:rsid w:val="00E71083"/>
    <w:rsid w:val="00E715F9"/>
    <w:rsid w:val="00E71687"/>
    <w:rsid w:val="00E71A13"/>
    <w:rsid w:val="00E71CC4"/>
    <w:rsid w:val="00E72DFD"/>
    <w:rsid w:val="00E72EB8"/>
    <w:rsid w:val="00E737D4"/>
    <w:rsid w:val="00E73944"/>
    <w:rsid w:val="00E73A4A"/>
    <w:rsid w:val="00E73C71"/>
    <w:rsid w:val="00E73D20"/>
    <w:rsid w:val="00E73D8E"/>
    <w:rsid w:val="00E74250"/>
    <w:rsid w:val="00E74609"/>
    <w:rsid w:val="00E74862"/>
    <w:rsid w:val="00E7498B"/>
    <w:rsid w:val="00E74C4B"/>
    <w:rsid w:val="00E74D4C"/>
    <w:rsid w:val="00E752DD"/>
    <w:rsid w:val="00E75508"/>
    <w:rsid w:val="00E755DF"/>
    <w:rsid w:val="00E75BB3"/>
    <w:rsid w:val="00E75D4A"/>
    <w:rsid w:val="00E75FB4"/>
    <w:rsid w:val="00E7653F"/>
    <w:rsid w:val="00E766F9"/>
    <w:rsid w:val="00E76B46"/>
    <w:rsid w:val="00E76BC9"/>
    <w:rsid w:val="00E77333"/>
    <w:rsid w:val="00E77368"/>
    <w:rsid w:val="00E774C9"/>
    <w:rsid w:val="00E77A94"/>
    <w:rsid w:val="00E77B3E"/>
    <w:rsid w:val="00E77B54"/>
    <w:rsid w:val="00E77F20"/>
    <w:rsid w:val="00E8091F"/>
    <w:rsid w:val="00E80CB4"/>
    <w:rsid w:val="00E80FDE"/>
    <w:rsid w:val="00E82043"/>
    <w:rsid w:val="00E821B9"/>
    <w:rsid w:val="00E823B3"/>
    <w:rsid w:val="00E824BE"/>
    <w:rsid w:val="00E825C9"/>
    <w:rsid w:val="00E826B0"/>
    <w:rsid w:val="00E8285D"/>
    <w:rsid w:val="00E82D63"/>
    <w:rsid w:val="00E82FC6"/>
    <w:rsid w:val="00E83A47"/>
    <w:rsid w:val="00E83A96"/>
    <w:rsid w:val="00E83ED8"/>
    <w:rsid w:val="00E84192"/>
    <w:rsid w:val="00E84486"/>
    <w:rsid w:val="00E84A21"/>
    <w:rsid w:val="00E84BF4"/>
    <w:rsid w:val="00E84FBF"/>
    <w:rsid w:val="00E85709"/>
    <w:rsid w:val="00E859F7"/>
    <w:rsid w:val="00E85BFF"/>
    <w:rsid w:val="00E85FA0"/>
    <w:rsid w:val="00E85FBC"/>
    <w:rsid w:val="00E861C6"/>
    <w:rsid w:val="00E863C7"/>
    <w:rsid w:val="00E863EE"/>
    <w:rsid w:val="00E863EF"/>
    <w:rsid w:val="00E86492"/>
    <w:rsid w:val="00E86720"/>
    <w:rsid w:val="00E870D6"/>
    <w:rsid w:val="00E871E0"/>
    <w:rsid w:val="00E872AF"/>
    <w:rsid w:val="00E873E0"/>
    <w:rsid w:val="00E8754F"/>
    <w:rsid w:val="00E87DA2"/>
    <w:rsid w:val="00E90592"/>
    <w:rsid w:val="00E90970"/>
    <w:rsid w:val="00E910C4"/>
    <w:rsid w:val="00E91A67"/>
    <w:rsid w:val="00E91CA3"/>
    <w:rsid w:val="00E91F33"/>
    <w:rsid w:val="00E92449"/>
    <w:rsid w:val="00E9248B"/>
    <w:rsid w:val="00E92495"/>
    <w:rsid w:val="00E92566"/>
    <w:rsid w:val="00E927CF"/>
    <w:rsid w:val="00E92E51"/>
    <w:rsid w:val="00E92F93"/>
    <w:rsid w:val="00E936E1"/>
    <w:rsid w:val="00E93B1F"/>
    <w:rsid w:val="00E93B37"/>
    <w:rsid w:val="00E93F0E"/>
    <w:rsid w:val="00E94607"/>
    <w:rsid w:val="00E94AC9"/>
    <w:rsid w:val="00E94DE2"/>
    <w:rsid w:val="00E94FD0"/>
    <w:rsid w:val="00E95440"/>
    <w:rsid w:val="00E957AA"/>
    <w:rsid w:val="00E95A27"/>
    <w:rsid w:val="00E95B87"/>
    <w:rsid w:val="00E96499"/>
    <w:rsid w:val="00E96503"/>
    <w:rsid w:val="00E969F7"/>
    <w:rsid w:val="00E96A88"/>
    <w:rsid w:val="00E96C94"/>
    <w:rsid w:val="00E96CD7"/>
    <w:rsid w:val="00E96FFF"/>
    <w:rsid w:val="00E976E0"/>
    <w:rsid w:val="00E978DF"/>
    <w:rsid w:val="00EA024B"/>
    <w:rsid w:val="00EA078F"/>
    <w:rsid w:val="00EA0D9A"/>
    <w:rsid w:val="00EA0E16"/>
    <w:rsid w:val="00EA0EDC"/>
    <w:rsid w:val="00EA1551"/>
    <w:rsid w:val="00EA1CBF"/>
    <w:rsid w:val="00EA1D8E"/>
    <w:rsid w:val="00EA1D91"/>
    <w:rsid w:val="00EA244C"/>
    <w:rsid w:val="00EA2815"/>
    <w:rsid w:val="00EA291B"/>
    <w:rsid w:val="00EA303A"/>
    <w:rsid w:val="00EA3123"/>
    <w:rsid w:val="00EA33F5"/>
    <w:rsid w:val="00EA343C"/>
    <w:rsid w:val="00EA3504"/>
    <w:rsid w:val="00EA3817"/>
    <w:rsid w:val="00EA3A2E"/>
    <w:rsid w:val="00EA3C8C"/>
    <w:rsid w:val="00EA3E55"/>
    <w:rsid w:val="00EA410A"/>
    <w:rsid w:val="00EA4336"/>
    <w:rsid w:val="00EA4465"/>
    <w:rsid w:val="00EA4589"/>
    <w:rsid w:val="00EA4998"/>
    <w:rsid w:val="00EA4CF0"/>
    <w:rsid w:val="00EA520F"/>
    <w:rsid w:val="00EA58C6"/>
    <w:rsid w:val="00EA60AE"/>
    <w:rsid w:val="00EA6177"/>
    <w:rsid w:val="00EA69FF"/>
    <w:rsid w:val="00EA6D59"/>
    <w:rsid w:val="00EA7377"/>
    <w:rsid w:val="00EA7520"/>
    <w:rsid w:val="00EA7F91"/>
    <w:rsid w:val="00EA7FFC"/>
    <w:rsid w:val="00EB02AF"/>
    <w:rsid w:val="00EB02D1"/>
    <w:rsid w:val="00EB06B6"/>
    <w:rsid w:val="00EB088F"/>
    <w:rsid w:val="00EB1322"/>
    <w:rsid w:val="00EB16C9"/>
    <w:rsid w:val="00EB185F"/>
    <w:rsid w:val="00EB1882"/>
    <w:rsid w:val="00EB2232"/>
    <w:rsid w:val="00EB24BA"/>
    <w:rsid w:val="00EB24D2"/>
    <w:rsid w:val="00EB257B"/>
    <w:rsid w:val="00EB268D"/>
    <w:rsid w:val="00EB2EC2"/>
    <w:rsid w:val="00EB30B4"/>
    <w:rsid w:val="00EB31C2"/>
    <w:rsid w:val="00EB32D8"/>
    <w:rsid w:val="00EB3E5B"/>
    <w:rsid w:val="00EB41C5"/>
    <w:rsid w:val="00EB4429"/>
    <w:rsid w:val="00EB4507"/>
    <w:rsid w:val="00EB4A1B"/>
    <w:rsid w:val="00EB4DAC"/>
    <w:rsid w:val="00EB535E"/>
    <w:rsid w:val="00EB5650"/>
    <w:rsid w:val="00EB566C"/>
    <w:rsid w:val="00EB5B6E"/>
    <w:rsid w:val="00EB5BF1"/>
    <w:rsid w:val="00EB6556"/>
    <w:rsid w:val="00EB6A4C"/>
    <w:rsid w:val="00EB6E6A"/>
    <w:rsid w:val="00EB755E"/>
    <w:rsid w:val="00EB78C2"/>
    <w:rsid w:val="00EC00EE"/>
    <w:rsid w:val="00EC030E"/>
    <w:rsid w:val="00EC04B6"/>
    <w:rsid w:val="00EC084C"/>
    <w:rsid w:val="00EC0B09"/>
    <w:rsid w:val="00EC0E11"/>
    <w:rsid w:val="00EC172D"/>
    <w:rsid w:val="00EC19F8"/>
    <w:rsid w:val="00EC1D0C"/>
    <w:rsid w:val="00EC2117"/>
    <w:rsid w:val="00EC2199"/>
    <w:rsid w:val="00EC2675"/>
    <w:rsid w:val="00EC2AF6"/>
    <w:rsid w:val="00EC364E"/>
    <w:rsid w:val="00EC3786"/>
    <w:rsid w:val="00EC3791"/>
    <w:rsid w:val="00EC388F"/>
    <w:rsid w:val="00EC3DB5"/>
    <w:rsid w:val="00EC43E8"/>
    <w:rsid w:val="00EC43E9"/>
    <w:rsid w:val="00EC4B28"/>
    <w:rsid w:val="00EC5437"/>
    <w:rsid w:val="00EC59EB"/>
    <w:rsid w:val="00EC5B74"/>
    <w:rsid w:val="00EC5F8E"/>
    <w:rsid w:val="00EC5FA7"/>
    <w:rsid w:val="00EC619D"/>
    <w:rsid w:val="00EC67DE"/>
    <w:rsid w:val="00EC6A84"/>
    <w:rsid w:val="00EC6F55"/>
    <w:rsid w:val="00EC7046"/>
    <w:rsid w:val="00EC7CE4"/>
    <w:rsid w:val="00EC7D95"/>
    <w:rsid w:val="00EC7DD0"/>
    <w:rsid w:val="00ED0541"/>
    <w:rsid w:val="00ED081A"/>
    <w:rsid w:val="00ED08FE"/>
    <w:rsid w:val="00ED0A6F"/>
    <w:rsid w:val="00ED102E"/>
    <w:rsid w:val="00ED115B"/>
    <w:rsid w:val="00ED13D6"/>
    <w:rsid w:val="00ED1481"/>
    <w:rsid w:val="00ED14EC"/>
    <w:rsid w:val="00ED18B0"/>
    <w:rsid w:val="00ED2202"/>
    <w:rsid w:val="00ED2592"/>
    <w:rsid w:val="00ED2A95"/>
    <w:rsid w:val="00ED2C37"/>
    <w:rsid w:val="00ED2C75"/>
    <w:rsid w:val="00ED2DD3"/>
    <w:rsid w:val="00ED372C"/>
    <w:rsid w:val="00ED3EB3"/>
    <w:rsid w:val="00ED3EE3"/>
    <w:rsid w:val="00ED4098"/>
    <w:rsid w:val="00ED4D25"/>
    <w:rsid w:val="00ED557F"/>
    <w:rsid w:val="00ED55D0"/>
    <w:rsid w:val="00ED5906"/>
    <w:rsid w:val="00ED5C18"/>
    <w:rsid w:val="00ED6915"/>
    <w:rsid w:val="00ED69AB"/>
    <w:rsid w:val="00ED732E"/>
    <w:rsid w:val="00ED7382"/>
    <w:rsid w:val="00ED7727"/>
    <w:rsid w:val="00ED784E"/>
    <w:rsid w:val="00ED798F"/>
    <w:rsid w:val="00ED7D10"/>
    <w:rsid w:val="00EE02D3"/>
    <w:rsid w:val="00EE06D7"/>
    <w:rsid w:val="00EE1190"/>
    <w:rsid w:val="00EE1673"/>
    <w:rsid w:val="00EE1CA4"/>
    <w:rsid w:val="00EE21BC"/>
    <w:rsid w:val="00EE2339"/>
    <w:rsid w:val="00EE3058"/>
    <w:rsid w:val="00EE3458"/>
    <w:rsid w:val="00EE34E5"/>
    <w:rsid w:val="00EE3B14"/>
    <w:rsid w:val="00EE3BF6"/>
    <w:rsid w:val="00EE3D02"/>
    <w:rsid w:val="00EE42B1"/>
    <w:rsid w:val="00EE4475"/>
    <w:rsid w:val="00EE44AD"/>
    <w:rsid w:val="00EE4666"/>
    <w:rsid w:val="00EE475F"/>
    <w:rsid w:val="00EE4AC4"/>
    <w:rsid w:val="00EE4BF4"/>
    <w:rsid w:val="00EE4CF8"/>
    <w:rsid w:val="00EE5229"/>
    <w:rsid w:val="00EE52A5"/>
    <w:rsid w:val="00EE5345"/>
    <w:rsid w:val="00EE583F"/>
    <w:rsid w:val="00EE59F2"/>
    <w:rsid w:val="00EE617B"/>
    <w:rsid w:val="00EE6265"/>
    <w:rsid w:val="00EE64BD"/>
    <w:rsid w:val="00EE6C02"/>
    <w:rsid w:val="00EE779A"/>
    <w:rsid w:val="00EF006C"/>
    <w:rsid w:val="00EF012A"/>
    <w:rsid w:val="00EF0162"/>
    <w:rsid w:val="00EF029D"/>
    <w:rsid w:val="00EF047E"/>
    <w:rsid w:val="00EF0B9E"/>
    <w:rsid w:val="00EF273B"/>
    <w:rsid w:val="00EF2D71"/>
    <w:rsid w:val="00EF2E4A"/>
    <w:rsid w:val="00EF3201"/>
    <w:rsid w:val="00EF3440"/>
    <w:rsid w:val="00EF36E1"/>
    <w:rsid w:val="00EF3A44"/>
    <w:rsid w:val="00EF3C0C"/>
    <w:rsid w:val="00EF4EC4"/>
    <w:rsid w:val="00EF4F77"/>
    <w:rsid w:val="00EF5B00"/>
    <w:rsid w:val="00EF5D2A"/>
    <w:rsid w:val="00EF5E19"/>
    <w:rsid w:val="00EF5F2B"/>
    <w:rsid w:val="00EF607B"/>
    <w:rsid w:val="00EF60B5"/>
    <w:rsid w:val="00EF65F3"/>
    <w:rsid w:val="00EF6684"/>
    <w:rsid w:val="00EF6A01"/>
    <w:rsid w:val="00EF6A8D"/>
    <w:rsid w:val="00EF6C62"/>
    <w:rsid w:val="00EF72A2"/>
    <w:rsid w:val="00EF7707"/>
    <w:rsid w:val="00EF7AD2"/>
    <w:rsid w:val="00EF7FC2"/>
    <w:rsid w:val="00F00DC8"/>
    <w:rsid w:val="00F01099"/>
    <w:rsid w:val="00F01111"/>
    <w:rsid w:val="00F016DF"/>
    <w:rsid w:val="00F0199B"/>
    <w:rsid w:val="00F01B11"/>
    <w:rsid w:val="00F01DD2"/>
    <w:rsid w:val="00F0287C"/>
    <w:rsid w:val="00F02A8F"/>
    <w:rsid w:val="00F02B9F"/>
    <w:rsid w:val="00F0329C"/>
    <w:rsid w:val="00F032D5"/>
    <w:rsid w:val="00F037B0"/>
    <w:rsid w:val="00F0428B"/>
    <w:rsid w:val="00F04EC3"/>
    <w:rsid w:val="00F0633A"/>
    <w:rsid w:val="00F0645A"/>
    <w:rsid w:val="00F0682D"/>
    <w:rsid w:val="00F06A3A"/>
    <w:rsid w:val="00F06FB6"/>
    <w:rsid w:val="00F073E3"/>
    <w:rsid w:val="00F07660"/>
    <w:rsid w:val="00F0792C"/>
    <w:rsid w:val="00F10000"/>
    <w:rsid w:val="00F10144"/>
    <w:rsid w:val="00F1034D"/>
    <w:rsid w:val="00F10E45"/>
    <w:rsid w:val="00F1108E"/>
    <w:rsid w:val="00F112EA"/>
    <w:rsid w:val="00F117D0"/>
    <w:rsid w:val="00F11828"/>
    <w:rsid w:val="00F119C5"/>
    <w:rsid w:val="00F11B0D"/>
    <w:rsid w:val="00F11C9B"/>
    <w:rsid w:val="00F12424"/>
    <w:rsid w:val="00F1262C"/>
    <w:rsid w:val="00F127D1"/>
    <w:rsid w:val="00F12BD2"/>
    <w:rsid w:val="00F12F40"/>
    <w:rsid w:val="00F1381B"/>
    <w:rsid w:val="00F1395F"/>
    <w:rsid w:val="00F13CD5"/>
    <w:rsid w:val="00F13EAE"/>
    <w:rsid w:val="00F143E0"/>
    <w:rsid w:val="00F147E9"/>
    <w:rsid w:val="00F14A03"/>
    <w:rsid w:val="00F14A6E"/>
    <w:rsid w:val="00F14D5D"/>
    <w:rsid w:val="00F155EF"/>
    <w:rsid w:val="00F15FA6"/>
    <w:rsid w:val="00F16143"/>
    <w:rsid w:val="00F16518"/>
    <w:rsid w:val="00F1722D"/>
    <w:rsid w:val="00F174C5"/>
    <w:rsid w:val="00F20403"/>
    <w:rsid w:val="00F20C86"/>
    <w:rsid w:val="00F20D04"/>
    <w:rsid w:val="00F20E45"/>
    <w:rsid w:val="00F2107C"/>
    <w:rsid w:val="00F21566"/>
    <w:rsid w:val="00F21750"/>
    <w:rsid w:val="00F21B08"/>
    <w:rsid w:val="00F22763"/>
    <w:rsid w:val="00F2288B"/>
    <w:rsid w:val="00F229C1"/>
    <w:rsid w:val="00F22DA7"/>
    <w:rsid w:val="00F231CD"/>
    <w:rsid w:val="00F23599"/>
    <w:rsid w:val="00F23BE4"/>
    <w:rsid w:val="00F23C66"/>
    <w:rsid w:val="00F2409F"/>
    <w:rsid w:val="00F24327"/>
    <w:rsid w:val="00F250A0"/>
    <w:rsid w:val="00F2543B"/>
    <w:rsid w:val="00F25D66"/>
    <w:rsid w:val="00F260BA"/>
    <w:rsid w:val="00F26280"/>
    <w:rsid w:val="00F2630E"/>
    <w:rsid w:val="00F2713B"/>
    <w:rsid w:val="00F27165"/>
    <w:rsid w:val="00F271B0"/>
    <w:rsid w:val="00F2780F"/>
    <w:rsid w:val="00F27847"/>
    <w:rsid w:val="00F27CA0"/>
    <w:rsid w:val="00F27EF2"/>
    <w:rsid w:val="00F3017A"/>
    <w:rsid w:val="00F303A1"/>
    <w:rsid w:val="00F30CE3"/>
    <w:rsid w:val="00F318F8"/>
    <w:rsid w:val="00F320F1"/>
    <w:rsid w:val="00F32762"/>
    <w:rsid w:val="00F32951"/>
    <w:rsid w:val="00F32AFE"/>
    <w:rsid w:val="00F32D1A"/>
    <w:rsid w:val="00F33932"/>
    <w:rsid w:val="00F33A84"/>
    <w:rsid w:val="00F33EAB"/>
    <w:rsid w:val="00F33FE3"/>
    <w:rsid w:val="00F34703"/>
    <w:rsid w:val="00F34715"/>
    <w:rsid w:val="00F34C94"/>
    <w:rsid w:val="00F34F47"/>
    <w:rsid w:val="00F34F4F"/>
    <w:rsid w:val="00F35166"/>
    <w:rsid w:val="00F3518A"/>
    <w:rsid w:val="00F355A8"/>
    <w:rsid w:val="00F3570D"/>
    <w:rsid w:val="00F358D9"/>
    <w:rsid w:val="00F35CC1"/>
    <w:rsid w:val="00F36921"/>
    <w:rsid w:val="00F36CAD"/>
    <w:rsid w:val="00F36FD2"/>
    <w:rsid w:val="00F37047"/>
    <w:rsid w:val="00F373DE"/>
    <w:rsid w:val="00F37BC8"/>
    <w:rsid w:val="00F37C89"/>
    <w:rsid w:val="00F40354"/>
    <w:rsid w:val="00F40BB3"/>
    <w:rsid w:val="00F40CAB"/>
    <w:rsid w:val="00F40F32"/>
    <w:rsid w:val="00F4171B"/>
    <w:rsid w:val="00F4174C"/>
    <w:rsid w:val="00F417DD"/>
    <w:rsid w:val="00F418DC"/>
    <w:rsid w:val="00F4234C"/>
    <w:rsid w:val="00F423FD"/>
    <w:rsid w:val="00F4312C"/>
    <w:rsid w:val="00F4335E"/>
    <w:rsid w:val="00F434A6"/>
    <w:rsid w:val="00F43507"/>
    <w:rsid w:val="00F43635"/>
    <w:rsid w:val="00F43F85"/>
    <w:rsid w:val="00F44B20"/>
    <w:rsid w:val="00F45081"/>
    <w:rsid w:val="00F456B5"/>
    <w:rsid w:val="00F456E9"/>
    <w:rsid w:val="00F459A9"/>
    <w:rsid w:val="00F461EB"/>
    <w:rsid w:val="00F466BD"/>
    <w:rsid w:val="00F46AFA"/>
    <w:rsid w:val="00F47F2D"/>
    <w:rsid w:val="00F5062B"/>
    <w:rsid w:val="00F51564"/>
    <w:rsid w:val="00F519C2"/>
    <w:rsid w:val="00F51DF5"/>
    <w:rsid w:val="00F52121"/>
    <w:rsid w:val="00F522B3"/>
    <w:rsid w:val="00F528C8"/>
    <w:rsid w:val="00F52AC4"/>
    <w:rsid w:val="00F52CE5"/>
    <w:rsid w:val="00F52D33"/>
    <w:rsid w:val="00F536A2"/>
    <w:rsid w:val="00F53C08"/>
    <w:rsid w:val="00F53CB5"/>
    <w:rsid w:val="00F53DF5"/>
    <w:rsid w:val="00F54137"/>
    <w:rsid w:val="00F54496"/>
    <w:rsid w:val="00F54782"/>
    <w:rsid w:val="00F54DCE"/>
    <w:rsid w:val="00F54EAC"/>
    <w:rsid w:val="00F54FA3"/>
    <w:rsid w:val="00F54FF0"/>
    <w:rsid w:val="00F55CF4"/>
    <w:rsid w:val="00F56120"/>
    <w:rsid w:val="00F5620F"/>
    <w:rsid w:val="00F565DA"/>
    <w:rsid w:val="00F568EF"/>
    <w:rsid w:val="00F56BD4"/>
    <w:rsid w:val="00F56CC9"/>
    <w:rsid w:val="00F5717E"/>
    <w:rsid w:val="00F57A4B"/>
    <w:rsid w:val="00F60221"/>
    <w:rsid w:val="00F603CE"/>
    <w:rsid w:val="00F609FB"/>
    <w:rsid w:val="00F60F9F"/>
    <w:rsid w:val="00F6105E"/>
    <w:rsid w:val="00F61824"/>
    <w:rsid w:val="00F61ACE"/>
    <w:rsid w:val="00F62041"/>
    <w:rsid w:val="00F628DC"/>
    <w:rsid w:val="00F62D17"/>
    <w:rsid w:val="00F62D9A"/>
    <w:rsid w:val="00F62DE5"/>
    <w:rsid w:val="00F62F44"/>
    <w:rsid w:val="00F63226"/>
    <w:rsid w:val="00F637BF"/>
    <w:rsid w:val="00F63E96"/>
    <w:rsid w:val="00F640D9"/>
    <w:rsid w:val="00F64230"/>
    <w:rsid w:val="00F647A4"/>
    <w:rsid w:val="00F64CEA"/>
    <w:rsid w:val="00F658EE"/>
    <w:rsid w:val="00F65A01"/>
    <w:rsid w:val="00F669AE"/>
    <w:rsid w:val="00F66B70"/>
    <w:rsid w:val="00F66B93"/>
    <w:rsid w:val="00F66C75"/>
    <w:rsid w:val="00F66DE3"/>
    <w:rsid w:val="00F6741B"/>
    <w:rsid w:val="00F6778B"/>
    <w:rsid w:val="00F67856"/>
    <w:rsid w:val="00F67968"/>
    <w:rsid w:val="00F67F6D"/>
    <w:rsid w:val="00F7014A"/>
    <w:rsid w:val="00F7032C"/>
    <w:rsid w:val="00F705C7"/>
    <w:rsid w:val="00F70690"/>
    <w:rsid w:val="00F708AB"/>
    <w:rsid w:val="00F70BDC"/>
    <w:rsid w:val="00F7108B"/>
    <w:rsid w:val="00F711F3"/>
    <w:rsid w:val="00F71B27"/>
    <w:rsid w:val="00F72024"/>
    <w:rsid w:val="00F72038"/>
    <w:rsid w:val="00F72F49"/>
    <w:rsid w:val="00F731CF"/>
    <w:rsid w:val="00F73CA6"/>
    <w:rsid w:val="00F73CEA"/>
    <w:rsid w:val="00F74365"/>
    <w:rsid w:val="00F74A8D"/>
    <w:rsid w:val="00F74D45"/>
    <w:rsid w:val="00F75756"/>
    <w:rsid w:val="00F75B8F"/>
    <w:rsid w:val="00F762FB"/>
    <w:rsid w:val="00F76310"/>
    <w:rsid w:val="00F76343"/>
    <w:rsid w:val="00F76427"/>
    <w:rsid w:val="00F7667E"/>
    <w:rsid w:val="00F76AE3"/>
    <w:rsid w:val="00F77179"/>
    <w:rsid w:val="00F77EF6"/>
    <w:rsid w:val="00F80DF0"/>
    <w:rsid w:val="00F80F38"/>
    <w:rsid w:val="00F810C5"/>
    <w:rsid w:val="00F8116B"/>
    <w:rsid w:val="00F811BA"/>
    <w:rsid w:val="00F81659"/>
    <w:rsid w:val="00F81B04"/>
    <w:rsid w:val="00F81CC3"/>
    <w:rsid w:val="00F823D6"/>
    <w:rsid w:val="00F82A08"/>
    <w:rsid w:val="00F82E47"/>
    <w:rsid w:val="00F82FE8"/>
    <w:rsid w:val="00F8310A"/>
    <w:rsid w:val="00F83525"/>
    <w:rsid w:val="00F8362C"/>
    <w:rsid w:val="00F83749"/>
    <w:rsid w:val="00F837F7"/>
    <w:rsid w:val="00F83B08"/>
    <w:rsid w:val="00F83C19"/>
    <w:rsid w:val="00F83C60"/>
    <w:rsid w:val="00F83FA3"/>
    <w:rsid w:val="00F83FDF"/>
    <w:rsid w:val="00F845BF"/>
    <w:rsid w:val="00F847B7"/>
    <w:rsid w:val="00F848E9"/>
    <w:rsid w:val="00F84AC0"/>
    <w:rsid w:val="00F84B0C"/>
    <w:rsid w:val="00F84E46"/>
    <w:rsid w:val="00F84EB3"/>
    <w:rsid w:val="00F855DD"/>
    <w:rsid w:val="00F8563A"/>
    <w:rsid w:val="00F857B3"/>
    <w:rsid w:val="00F85BE9"/>
    <w:rsid w:val="00F85DE1"/>
    <w:rsid w:val="00F85DE8"/>
    <w:rsid w:val="00F85EC1"/>
    <w:rsid w:val="00F85FAE"/>
    <w:rsid w:val="00F8623E"/>
    <w:rsid w:val="00F86EB6"/>
    <w:rsid w:val="00F87090"/>
    <w:rsid w:val="00F8716F"/>
    <w:rsid w:val="00F87355"/>
    <w:rsid w:val="00F87826"/>
    <w:rsid w:val="00F87922"/>
    <w:rsid w:val="00F879BF"/>
    <w:rsid w:val="00F87F4A"/>
    <w:rsid w:val="00F9037A"/>
    <w:rsid w:val="00F904FF"/>
    <w:rsid w:val="00F908A8"/>
    <w:rsid w:val="00F90C46"/>
    <w:rsid w:val="00F90D8B"/>
    <w:rsid w:val="00F91EF6"/>
    <w:rsid w:val="00F91EFD"/>
    <w:rsid w:val="00F929D3"/>
    <w:rsid w:val="00F92C26"/>
    <w:rsid w:val="00F92DF7"/>
    <w:rsid w:val="00F935B5"/>
    <w:rsid w:val="00F936D4"/>
    <w:rsid w:val="00F939D1"/>
    <w:rsid w:val="00F94568"/>
    <w:rsid w:val="00F948DB"/>
    <w:rsid w:val="00F94B50"/>
    <w:rsid w:val="00F94C4D"/>
    <w:rsid w:val="00F94D47"/>
    <w:rsid w:val="00F94E07"/>
    <w:rsid w:val="00F952F5"/>
    <w:rsid w:val="00F954E8"/>
    <w:rsid w:val="00F95761"/>
    <w:rsid w:val="00F95A94"/>
    <w:rsid w:val="00F95D7A"/>
    <w:rsid w:val="00F95F42"/>
    <w:rsid w:val="00F96141"/>
    <w:rsid w:val="00F962C3"/>
    <w:rsid w:val="00F9635F"/>
    <w:rsid w:val="00F96384"/>
    <w:rsid w:val="00F96497"/>
    <w:rsid w:val="00F96EBB"/>
    <w:rsid w:val="00F9718C"/>
    <w:rsid w:val="00F975AA"/>
    <w:rsid w:val="00F97A5D"/>
    <w:rsid w:val="00F97CDA"/>
    <w:rsid w:val="00F97D4E"/>
    <w:rsid w:val="00F97F17"/>
    <w:rsid w:val="00FA0005"/>
    <w:rsid w:val="00FA09E1"/>
    <w:rsid w:val="00FA0DDC"/>
    <w:rsid w:val="00FA0E53"/>
    <w:rsid w:val="00FA104A"/>
    <w:rsid w:val="00FA1380"/>
    <w:rsid w:val="00FA1956"/>
    <w:rsid w:val="00FA19DF"/>
    <w:rsid w:val="00FA283A"/>
    <w:rsid w:val="00FA2EAC"/>
    <w:rsid w:val="00FA3302"/>
    <w:rsid w:val="00FA3494"/>
    <w:rsid w:val="00FA394A"/>
    <w:rsid w:val="00FA4648"/>
    <w:rsid w:val="00FA468A"/>
    <w:rsid w:val="00FA496F"/>
    <w:rsid w:val="00FA54AA"/>
    <w:rsid w:val="00FA5DD7"/>
    <w:rsid w:val="00FA631F"/>
    <w:rsid w:val="00FA6413"/>
    <w:rsid w:val="00FA6C24"/>
    <w:rsid w:val="00FA6D06"/>
    <w:rsid w:val="00FA774C"/>
    <w:rsid w:val="00FA77FF"/>
    <w:rsid w:val="00FA7901"/>
    <w:rsid w:val="00FA7C60"/>
    <w:rsid w:val="00FA7D15"/>
    <w:rsid w:val="00FA7D94"/>
    <w:rsid w:val="00FB01C1"/>
    <w:rsid w:val="00FB057E"/>
    <w:rsid w:val="00FB0AAF"/>
    <w:rsid w:val="00FB1141"/>
    <w:rsid w:val="00FB14BB"/>
    <w:rsid w:val="00FB14CD"/>
    <w:rsid w:val="00FB16D7"/>
    <w:rsid w:val="00FB1708"/>
    <w:rsid w:val="00FB19C3"/>
    <w:rsid w:val="00FB1AD0"/>
    <w:rsid w:val="00FB1BE1"/>
    <w:rsid w:val="00FB22D1"/>
    <w:rsid w:val="00FB2505"/>
    <w:rsid w:val="00FB2640"/>
    <w:rsid w:val="00FB2D19"/>
    <w:rsid w:val="00FB31E4"/>
    <w:rsid w:val="00FB32E8"/>
    <w:rsid w:val="00FB334A"/>
    <w:rsid w:val="00FB4510"/>
    <w:rsid w:val="00FB4AFC"/>
    <w:rsid w:val="00FB4C18"/>
    <w:rsid w:val="00FB51DB"/>
    <w:rsid w:val="00FB5249"/>
    <w:rsid w:val="00FB5394"/>
    <w:rsid w:val="00FB5584"/>
    <w:rsid w:val="00FB5630"/>
    <w:rsid w:val="00FB58F7"/>
    <w:rsid w:val="00FB595D"/>
    <w:rsid w:val="00FB5D6E"/>
    <w:rsid w:val="00FB6203"/>
    <w:rsid w:val="00FB62E6"/>
    <w:rsid w:val="00FB64B8"/>
    <w:rsid w:val="00FB64E5"/>
    <w:rsid w:val="00FB65CE"/>
    <w:rsid w:val="00FB697D"/>
    <w:rsid w:val="00FB6981"/>
    <w:rsid w:val="00FB6A59"/>
    <w:rsid w:val="00FB6C35"/>
    <w:rsid w:val="00FB6E54"/>
    <w:rsid w:val="00FB708A"/>
    <w:rsid w:val="00FB7261"/>
    <w:rsid w:val="00FB7F0A"/>
    <w:rsid w:val="00FC0301"/>
    <w:rsid w:val="00FC07F1"/>
    <w:rsid w:val="00FC080A"/>
    <w:rsid w:val="00FC0811"/>
    <w:rsid w:val="00FC1C6F"/>
    <w:rsid w:val="00FC1E3D"/>
    <w:rsid w:val="00FC2784"/>
    <w:rsid w:val="00FC28FC"/>
    <w:rsid w:val="00FC29F1"/>
    <w:rsid w:val="00FC2A6E"/>
    <w:rsid w:val="00FC2C16"/>
    <w:rsid w:val="00FC2F8B"/>
    <w:rsid w:val="00FC384B"/>
    <w:rsid w:val="00FC3B30"/>
    <w:rsid w:val="00FC3DF0"/>
    <w:rsid w:val="00FC3DFE"/>
    <w:rsid w:val="00FC42A1"/>
    <w:rsid w:val="00FC46D3"/>
    <w:rsid w:val="00FC47D9"/>
    <w:rsid w:val="00FC500A"/>
    <w:rsid w:val="00FC527E"/>
    <w:rsid w:val="00FC5530"/>
    <w:rsid w:val="00FC5AB0"/>
    <w:rsid w:val="00FC5C1E"/>
    <w:rsid w:val="00FC5FF0"/>
    <w:rsid w:val="00FC6070"/>
    <w:rsid w:val="00FC67A3"/>
    <w:rsid w:val="00FC688B"/>
    <w:rsid w:val="00FC693F"/>
    <w:rsid w:val="00FC703D"/>
    <w:rsid w:val="00FC7100"/>
    <w:rsid w:val="00FC78D6"/>
    <w:rsid w:val="00FC790D"/>
    <w:rsid w:val="00FC7C12"/>
    <w:rsid w:val="00FC7D20"/>
    <w:rsid w:val="00FD0134"/>
    <w:rsid w:val="00FD0339"/>
    <w:rsid w:val="00FD0423"/>
    <w:rsid w:val="00FD046C"/>
    <w:rsid w:val="00FD0921"/>
    <w:rsid w:val="00FD0A6A"/>
    <w:rsid w:val="00FD1492"/>
    <w:rsid w:val="00FD1569"/>
    <w:rsid w:val="00FD15C1"/>
    <w:rsid w:val="00FD1BA7"/>
    <w:rsid w:val="00FD2702"/>
    <w:rsid w:val="00FD2710"/>
    <w:rsid w:val="00FD2909"/>
    <w:rsid w:val="00FD2B19"/>
    <w:rsid w:val="00FD32B0"/>
    <w:rsid w:val="00FD330F"/>
    <w:rsid w:val="00FD34AA"/>
    <w:rsid w:val="00FD367B"/>
    <w:rsid w:val="00FD4412"/>
    <w:rsid w:val="00FD4606"/>
    <w:rsid w:val="00FD47BE"/>
    <w:rsid w:val="00FD4AC3"/>
    <w:rsid w:val="00FD4BA0"/>
    <w:rsid w:val="00FD4BE4"/>
    <w:rsid w:val="00FD5139"/>
    <w:rsid w:val="00FD52B8"/>
    <w:rsid w:val="00FD57A5"/>
    <w:rsid w:val="00FD62F8"/>
    <w:rsid w:val="00FD65B6"/>
    <w:rsid w:val="00FD67BD"/>
    <w:rsid w:val="00FD6877"/>
    <w:rsid w:val="00FD721A"/>
    <w:rsid w:val="00FD73E2"/>
    <w:rsid w:val="00FD77B1"/>
    <w:rsid w:val="00FD77E6"/>
    <w:rsid w:val="00FD7837"/>
    <w:rsid w:val="00FD7EC7"/>
    <w:rsid w:val="00FE0018"/>
    <w:rsid w:val="00FE01B8"/>
    <w:rsid w:val="00FE02C7"/>
    <w:rsid w:val="00FE0596"/>
    <w:rsid w:val="00FE05DA"/>
    <w:rsid w:val="00FE0996"/>
    <w:rsid w:val="00FE0ACF"/>
    <w:rsid w:val="00FE0AFC"/>
    <w:rsid w:val="00FE0B3E"/>
    <w:rsid w:val="00FE0F58"/>
    <w:rsid w:val="00FE10DB"/>
    <w:rsid w:val="00FE176C"/>
    <w:rsid w:val="00FE1863"/>
    <w:rsid w:val="00FE1B71"/>
    <w:rsid w:val="00FE1E2B"/>
    <w:rsid w:val="00FE1E56"/>
    <w:rsid w:val="00FE1F44"/>
    <w:rsid w:val="00FE23AB"/>
    <w:rsid w:val="00FE2BDE"/>
    <w:rsid w:val="00FE2DC2"/>
    <w:rsid w:val="00FE2E9A"/>
    <w:rsid w:val="00FE3250"/>
    <w:rsid w:val="00FE35A3"/>
    <w:rsid w:val="00FE3891"/>
    <w:rsid w:val="00FE3C34"/>
    <w:rsid w:val="00FE3D7C"/>
    <w:rsid w:val="00FE3EE9"/>
    <w:rsid w:val="00FE4161"/>
    <w:rsid w:val="00FE469F"/>
    <w:rsid w:val="00FE5083"/>
    <w:rsid w:val="00FE53A8"/>
    <w:rsid w:val="00FE5C4B"/>
    <w:rsid w:val="00FE5C6B"/>
    <w:rsid w:val="00FE64DA"/>
    <w:rsid w:val="00FE659C"/>
    <w:rsid w:val="00FE67DC"/>
    <w:rsid w:val="00FE72EF"/>
    <w:rsid w:val="00FE751C"/>
    <w:rsid w:val="00FE78BF"/>
    <w:rsid w:val="00FE7940"/>
    <w:rsid w:val="00FE7C71"/>
    <w:rsid w:val="00FF054D"/>
    <w:rsid w:val="00FF09B6"/>
    <w:rsid w:val="00FF143D"/>
    <w:rsid w:val="00FF15A5"/>
    <w:rsid w:val="00FF1C7B"/>
    <w:rsid w:val="00FF2368"/>
    <w:rsid w:val="00FF2962"/>
    <w:rsid w:val="00FF3865"/>
    <w:rsid w:val="00FF3B09"/>
    <w:rsid w:val="00FF4145"/>
    <w:rsid w:val="00FF4574"/>
    <w:rsid w:val="00FF485A"/>
    <w:rsid w:val="00FF4ABF"/>
    <w:rsid w:val="00FF4ADD"/>
    <w:rsid w:val="00FF4BA8"/>
    <w:rsid w:val="00FF4CA7"/>
    <w:rsid w:val="00FF4E51"/>
    <w:rsid w:val="00FF4FC9"/>
    <w:rsid w:val="00FF5171"/>
    <w:rsid w:val="00FF543A"/>
    <w:rsid w:val="00FF554C"/>
    <w:rsid w:val="00FF56C7"/>
    <w:rsid w:val="00FF58A3"/>
    <w:rsid w:val="00FF592D"/>
    <w:rsid w:val="00FF6140"/>
    <w:rsid w:val="00FF65C5"/>
    <w:rsid w:val="00FF6810"/>
    <w:rsid w:val="00FF6C04"/>
    <w:rsid w:val="00FF6DE2"/>
    <w:rsid w:val="00FF7502"/>
    <w:rsid w:val="00FF7991"/>
    <w:rsid w:val="00FF7CB0"/>
    <w:rsid w:val="0DB47846"/>
    <w:rsid w:val="13CB038C"/>
    <w:rsid w:val="155D5F83"/>
    <w:rsid w:val="18331BAE"/>
    <w:rsid w:val="18D09F00"/>
    <w:rsid w:val="1B2A9579"/>
    <w:rsid w:val="1E6BEF18"/>
    <w:rsid w:val="223C3817"/>
    <w:rsid w:val="23F67E62"/>
    <w:rsid w:val="2D255243"/>
    <w:rsid w:val="2DAADE9A"/>
    <w:rsid w:val="2EA2E6BE"/>
    <w:rsid w:val="36E7DDF1"/>
    <w:rsid w:val="3BCDE9F7"/>
    <w:rsid w:val="40CEC557"/>
    <w:rsid w:val="53532627"/>
    <w:rsid w:val="5A018661"/>
    <w:rsid w:val="5BD21373"/>
    <w:rsid w:val="5D0E8126"/>
    <w:rsid w:val="66D8876B"/>
    <w:rsid w:val="69F71CAF"/>
    <w:rsid w:val="6B629D9F"/>
    <w:rsid w:val="745B6BED"/>
    <w:rsid w:val="774B761A"/>
    <w:rsid w:val="780E7008"/>
    <w:rsid w:val="7BD03D88"/>
    <w:rsid w:val="7D31F7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FA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21C"/>
    <w:rPr>
      <w:kern w:val="2"/>
      <w:lang w:val="en-AU"/>
      <w14:ligatures w14:val="standardContextual"/>
    </w:rPr>
  </w:style>
  <w:style w:type="paragraph" w:styleId="Heading1">
    <w:name w:val="heading 1"/>
    <w:basedOn w:val="Normal"/>
    <w:next w:val="Normal"/>
    <w:link w:val="Heading1Char"/>
    <w:uiPriority w:val="9"/>
    <w:qFormat/>
    <w:rsid w:val="008872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721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8721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88721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1A6A3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E0D1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721C"/>
    <w:rPr>
      <w:rFonts w:asciiTheme="majorHAnsi" w:eastAsiaTheme="majorEastAsia" w:hAnsiTheme="majorHAnsi" w:cstheme="majorBidi"/>
      <w:color w:val="2E74B5" w:themeColor="accent1" w:themeShade="BF"/>
      <w:kern w:val="2"/>
      <w:sz w:val="32"/>
      <w:szCs w:val="32"/>
      <w:lang w:val="en-AU"/>
      <w14:ligatures w14:val="standardContextual"/>
    </w:rPr>
  </w:style>
  <w:style w:type="character" w:customStyle="1" w:styleId="Heading3Char">
    <w:name w:val="Heading 3 Char"/>
    <w:basedOn w:val="DefaultParagraphFont"/>
    <w:link w:val="Heading3"/>
    <w:uiPriority w:val="9"/>
    <w:rsid w:val="0088721C"/>
    <w:rPr>
      <w:rFonts w:eastAsiaTheme="majorEastAsia" w:cstheme="majorBidi"/>
      <w:color w:val="2E74B5" w:themeColor="accent1" w:themeShade="BF"/>
      <w:kern w:val="2"/>
      <w:sz w:val="28"/>
      <w:szCs w:val="28"/>
      <w:lang w:val="en-AU"/>
      <w14:ligatures w14:val="standardContextual"/>
    </w:rPr>
  </w:style>
  <w:style w:type="character" w:customStyle="1" w:styleId="Heading4Char">
    <w:name w:val="Heading 4 Char"/>
    <w:basedOn w:val="DefaultParagraphFont"/>
    <w:link w:val="Heading4"/>
    <w:uiPriority w:val="9"/>
    <w:rsid w:val="0088721C"/>
    <w:rPr>
      <w:rFonts w:eastAsiaTheme="majorEastAsia" w:cstheme="majorBidi"/>
      <w:i/>
      <w:iCs/>
      <w:color w:val="2E74B5" w:themeColor="accent1" w:themeShade="BF"/>
      <w:kern w:val="2"/>
      <w:lang w:val="en-AU"/>
      <w14:ligatures w14:val="standardContextual"/>
    </w:rPr>
  </w:style>
  <w:style w:type="paragraph" w:customStyle="1" w:styleId="Bullet">
    <w:name w:val="Bullet"/>
    <w:aliases w:val="Body,Bullet + line,b,b + line,b1,level 1"/>
    <w:basedOn w:val="Normal"/>
    <w:link w:val="BulletChar"/>
    <w:qFormat/>
    <w:rsid w:val="0088721C"/>
    <w:pPr>
      <w:numPr>
        <w:numId w:val="1"/>
      </w:numPr>
    </w:pPr>
  </w:style>
  <w:style w:type="character" w:customStyle="1" w:styleId="BulletChar">
    <w:name w:val="Bullet Char"/>
    <w:basedOn w:val="DefaultParagraphFont"/>
    <w:link w:val="Bullet"/>
    <w:rsid w:val="0088721C"/>
    <w:rPr>
      <w:kern w:val="2"/>
      <w:lang w:val="en-AU"/>
      <w14:ligatures w14:val="standardContextual"/>
    </w:rPr>
  </w:style>
  <w:style w:type="paragraph" w:customStyle="1" w:styleId="Dash">
    <w:name w:val="Dash"/>
    <w:basedOn w:val="Normal"/>
    <w:link w:val="DashChar"/>
    <w:rsid w:val="0088721C"/>
    <w:pPr>
      <w:numPr>
        <w:ilvl w:val="1"/>
        <w:numId w:val="1"/>
      </w:numPr>
    </w:pPr>
  </w:style>
  <w:style w:type="paragraph" w:customStyle="1" w:styleId="DoubleDot">
    <w:name w:val="Double Dot"/>
    <w:basedOn w:val="Normal"/>
    <w:link w:val="DoubleDotChar"/>
    <w:rsid w:val="0088721C"/>
    <w:pPr>
      <w:numPr>
        <w:ilvl w:val="2"/>
        <w:numId w:val="1"/>
      </w:numPr>
    </w:pPr>
  </w:style>
  <w:style w:type="character" w:styleId="CommentReference">
    <w:name w:val="annotation reference"/>
    <w:basedOn w:val="DefaultParagraphFont"/>
    <w:uiPriority w:val="99"/>
    <w:semiHidden/>
    <w:unhideWhenUsed/>
    <w:rsid w:val="0088721C"/>
    <w:rPr>
      <w:sz w:val="16"/>
      <w:szCs w:val="16"/>
    </w:rPr>
  </w:style>
  <w:style w:type="paragraph" w:styleId="CommentText">
    <w:name w:val="annotation text"/>
    <w:basedOn w:val="Normal"/>
    <w:link w:val="CommentTextChar"/>
    <w:uiPriority w:val="99"/>
    <w:unhideWhenUsed/>
    <w:rsid w:val="0088721C"/>
    <w:pPr>
      <w:spacing w:line="240" w:lineRule="auto"/>
    </w:pPr>
    <w:rPr>
      <w:sz w:val="20"/>
      <w:szCs w:val="20"/>
    </w:rPr>
  </w:style>
  <w:style w:type="character" w:customStyle="1" w:styleId="CommentTextChar">
    <w:name w:val="Comment Text Char"/>
    <w:basedOn w:val="DefaultParagraphFont"/>
    <w:link w:val="CommentText"/>
    <w:uiPriority w:val="99"/>
    <w:rsid w:val="0088721C"/>
    <w:rPr>
      <w:kern w:val="2"/>
      <w:sz w:val="20"/>
      <w:szCs w:val="20"/>
      <w:lang w:val="en-AU"/>
      <w14:ligatures w14:val="standardContextual"/>
    </w:rPr>
  </w:style>
  <w:style w:type="table" w:styleId="TableGrid">
    <w:name w:val="Table Grid"/>
    <w:basedOn w:val="TableNormal"/>
    <w:uiPriority w:val="59"/>
    <w:rsid w:val="0088721C"/>
    <w:pPr>
      <w:spacing w:before="40" w:after="40" w:line="240" w:lineRule="auto"/>
    </w:pPr>
    <w:rPr>
      <w:rFonts w:ascii="Calibri Light" w:eastAsia="Times New Roman" w:hAnsi="Calibri Light" w:cs="Times New Roman"/>
      <w:sz w:val="20"/>
      <w:szCs w:val="20"/>
      <w:lang w:val="en-AU"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5B9BD5" w:themeColor="accent1"/>
        <w:sz w:val="20"/>
      </w:rPr>
      <w:tblPr/>
      <w:tcPr>
        <w:shd w:val="clear" w:color="auto" w:fill="E7E6E6" w:themeFill="background2"/>
      </w:tcPr>
    </w:tblStylePr>
  </w:style>
  <w:style w:type="paragraph" w:styleId="BodyText">
    <w:name w:val="Body Text"/>
    <w:aliases w:val="CAB Body Text"/>
    <w:link w:val="BodyTextChar"/>
    <w:qFormat/>
    <w:rsid w:val="0088721C"/>
    <w:pPr>
      <w:spacing w:before="120" w:after="0" w:line="240" w:lineRule="auto"/>
    </w:pPr>
    <w:rPr>
      <w:rFonts w:ascii="Arial" w:hAnsi="Arial"/>
      <w:lang w:val="en-AU"/>
    </w:rPr>
  </w:style>
  <w:style w:type="character" w:customStyle="1" w:styleId="BodyTextChar">
    <w:name w:val="Body Text Char"/>
    <w:aliases w:val="CAB Body Text Char"/>
    <w:basedOn w:val="DefaultParagraphFont"/>
    <w:link w:val="BodyText"/>
    <w:rsid w:val="0088721C"/>
    <w:rPr>
      <w:rFonts w:ascii="Arial" w:hAnsi="Arial"/>
      <w:lang w:val="en-AU"/>
    </w:rPr>
  </w:style>
  <w:style w:type="character" w:customStyle="1" w:styleId="Heading1Char">
    <w:name w:val="Heading 1 Char"/>
    <w:basedOn w:val="DefaultParagraphFont"/>
    <w:link w:val="Heading1"/>
    <w:uiPriority w:val="9"/>
    <w:rsid w:val="0088721C"/>
    <w:rPr>
      <w:rFonts w:asciiTheme="majorHAnsi" w:eastAsiaTheme="majorEastAsia" w:hAnsiTheme="majorHAnsi" w:cstheme="majorBidi"/>
      <w:color w:val="2E74B5" w:themeColor="accent1" w:themeShade="BF"/>
      <w:kern w:val="2"/>
      <w:sz w:val="32"/>
      <w:szCs w:val="32"/>
      <w:lang w:val="en-AU"/>
      <w14:ligatures w14:val="standardContextual"/>
    </w:rPr>
  </w:style>
  <w:style w:type="paragraph" w:styleId="Title">
    <w:name w:val="Title"/>
    <w:basedOn w:val="Normal"/>
    <w:next w:val="Normal"/>
    <w:link w:val="TitleChar"/>
    <w:uiPriority w:val="10"/>
    <w:qFormat/>
    <w:rsid w:val="008872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21C"/>
    <w:rPr>
      <w:rFonts w:asciiTheme="majorHAnsi" w:eastAsiaTheme="majorEastAsia" w:hAnsiTheme="majorHAnsi" w:cstheme="majorBidi"/>
      <w:spacing w:val="-10"/>
      <w:kern w:val="28"/>
      <w:sz w:val="56"/>
      <w:szCs w:val="56"/>
      <w:lang w:val="en-AU"/>
      <w14:ligatures w14:val="standardContextual"/>
    </w:rPr>
  </w:style>
  <w:style w:type="paragraph" w:styleId="Header">
    <w:name w:val="header"/>
    <w:basedOn w:val="Normal"/>
    <w:link w:val="HeaderChar"/>
    <w:uiPriority w:val="99"/>
    <w:unhideWhenUsed/>
    <w:rsid w:val="00887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21C"/>
    <w:rPr>
      <w:kern w:val="2"/>
      <w:lang w:val="en-AU"/>
      <w14:ligatures w14:val="standardContextual"/>
    </w:rPr>
  </w:style>
  <w:style w:type="paragraph" w:styleId="Footer">
    <w:name w:val="footer"/>
    <w:basedOn w:val="Normal"/>
    <w:link w:val="FooterChar"/>
    <w:uiPriority w:val="99"/>
    <w:unhideWhenUsed/>
    <w:rsid w:val="00887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21C"/>
    <w:rPr>
      <w:kern w:val="2"/>
      <w:lang w:val="en-AU"/>
      <w14:ligatures w14:val="standardContextual"/>
    </w:rPr>
  </w:style>
  <w:style w:type="paragraph" w:styleId="CommentSubject">
    <w:name w:val="annotation subject"/>
    <w:basedOn w:val="CommentText"/>
    <w:next w:val="CommentText"/>
    <w:link w:val="CommentSubjectChar"/>
    <w:uiPriority w:val="99"/>
    <w:semiHidden/>
    <w:unhideWhenUsed/>
    <w:rsid w:val="007819C6"/>
    <w:rPr>
      <w:b/>
      <w:bCs/>
    </w:rPr>
  </w:style>
  <w:style w:type="character" w:customStyle="1" w:styleId="CommentSubjectChar">
    <w:name w:val="Comment Subject Char"/>
    <w:basedOn w:val="CommentTextChar"/>
    <w:link w:val="CommentSubject"/>
    <w:uiPriority w:val="99"/>
    <w:semiHidden/>
    <w:rsid w:val="007819C6"/>
    <w:rPr>
      <w:b/>
      <w:bCs/>
      <w:kern w:val="2"/>
      <w:sz w:val="20"/>
      <w:szCs w:val="20"/>
      <w:lang w:val="en-AU"/>
      <w14:ligatures w14:val="standardContextual"/>
    </w:rPr>
  </w:style>
  <w:style w:type="character" w:styleId="Hyperlink">
    <w:name w:val="Hyperlink"/>
    <w:basedOn w:val="DefaultParagraphFont"/>
    <w:uiPriority w:val="99"/>
    <w:unhideWhenUsed/>
    <w:rsid w:val="00B81881"/>
    <w:rPr>
      <w:color w:val="0563C1" w:themeColor="hyperlink"/>
      <w:u w:val="single"/>
    </w:rPr>
  </w:style>
  <w:style w:type="character" w:customStyle="1" w:styleId="UnresolvedMention">
    <w:name w:val="Unresolved Mention"/>
    <w:basedOn w:val="DefaultParagraphFont"/>
    <w:uiPriority w:val="99"/>
    <w:semiHidden/>
    <w:unhideWhenUsed/>
    <w:rsid w:val="00B81881"/>
    <w:rPr>
      <w:color w:val="605E5C"/>
      <w:shd w:val="clear" w:color="auto" w:fill="E1DFDD"/>
    </w:rPr>
  </w:style>
  <w:style w:type="character" w:customStyle="1" w:styleId="Heading5Char">
    <w:name w:val="Heading 5 Char"/>
    <w:basedOn w:val="DefaultParagraphFont"/>
    <w:link w:val="Heading5"/>
    <w:uiPriority w:val="9"/>
    <w:rsid w:val="001A6A3A"/>
    <w:rPr>
      <w:rFonts w:asciiTheme="majorHAnsi" w:eastAsiaTheme="majorEastAsia" w:hAnsiTheme="majorHAnsi" w:cstheme="majorBidi"/>
      <w:color w:val="2E74B5" w:themeColor="accent1" w:themeShade="BF"/>
      <w:kern w:val="2"/>
      <w:lang w:val="en-AU"/>
      <w14:ligatures w14:val="standardContextual"/>
    </w:rPr>
  </w:style>
  <w:style w:type="character" w:styleId="Strong">
    <w:name w:val="Strong"/>
    <w:basedOn w:val="DefaultParagraphFont"/>
    <w:uiPriority w:val="22"/>
    <w:qFormat/>
    <w:rsid w:val="001A6A3A"/>
    <w:rPr>
      <w:b/>
      <w:bCs/>
    </w:rPr>
  </w:style>
  <w:style w:type="character" w:styleId="FollowedHyperlink">
    <w:name w:val="FollowedHyperlink"/>
    <w:basedOn w:val="DefaultParagraphFont"/>
    <w:uiPriority w:val="99"/>
    <w:semiHidden/>
    <w:unhideWhenUsed/>
    <w:rsid w:val="00133AE6"/>
    <w:rPr>
      <w:color w:val="954F72" w:themeColor="followedHyperlink"/>
      <w:u w:val="single"/>
    </w:rPr>
  </w:style>
  <w:style w:type="paragraph" w:styleId="FootnoteText">
    <w:name w:val="footnote text"/>
    <w:basedOn w:val="Normal"/>
    <w:link w:val="FootnoteTextChar"/>
    <w:uiPriority w:val="99"/>
    <w:qFormat/>
    <w:rsid w:val="003F74A9"/>
    <w:pPr>
      <w:spacing w:after="0" w:line="240" w:lineRule="auto"/>
      <w:ind w:left="397" w:hanging="397"/>
    </w:pPr>
    <w:rPr>
      <w:rFonts w:ascii="Calibri Light" w:eastAsia="Times New Roman" w:hAnsi="Calibri Light" w:cs="Times New Roman"/>
      <w:kern w:val="0"/>
      <w:sz w:val="20"/>
      <w:szCs w:val="20"/>
      <w:lang w:eastAsia="en-AU"/>
      <w14:ligatures w14:val="none"/>
    </w:rPr>
  </w:style>
  <w:style w:type="character" w:customStyle="1" w:styleId="FootnoteTextChar">
    <w:name w:val="Footnote Text Char"/>
    <w:basedOn w:val="DefaultParagraphFont"/>
    <w:link w:val="FootnoteText"/>
    <w:uiPriority w:val="99"/>
    <w:rsid w:val="003F74A9"/>
    <w:rPr>
      <w:rFonts w:ascii="Calibri Light" w:eastAsia="Times New Roman" w:hAnsi="Calibri Light" w:cs="Times New Roman"/>
      <w:sz w:val="20"/>
      <w:szCs w:val="20"/>
      <w:lang w:val="en-AU" w:eastAsia="en-AU"/>
    </w:rPr>
  </w:style>
  <w:style w:type="character" w:styleId="FootnoteReference">
    <w:name w:val="footnote reference"/>
    <w:basedOn w:val="DefaultParagraphFont"/>
    <w:uiPriority w:val="99"/>
    <w:rsid w:val="003F74A9"/>
    <w:rPr>
      <w:sz w:val="18"/>
    </w:rPr>
  </w:style>
  <w:style w:type="character" w:customStyle="1" w:styleId="DashChar">
    <w:name w:val="Dash Char"/>
    <w:basedOn w:val="DefaultParagraphFont"/>
    <w:link w:val="Dash"/>
    <w:rsid w:val="00D93231"/>
    <w:rPr>
      <w:kern w:val="2"/>
      <w:lang w:val="en-AU"/>
      <w14:ligatures w14:val="standardContextual"/>
    </w:rPr>
  </w:style>
  <w:style w:type="character" w:customStyle="1" w:styleId="DoubleDotChar">
    <w:name w:val="Double Dot Char"/>
    <w:basedOn w:val="DefaultParagraphFont"/>
    <w:link w:val="DoubleDot"/>
    <w:rsid w:val="00D93231"/>
    <w:rPr>
      <w:kern w:val="2"/>
      <w:lang w:val="en-AU"/>
      <w14:ligatures w14:val="standardContextual"/>
    </w:rPr>
  </w:style>
  <w:style w:type="character" w:customStyle="1" w:styleId="HousingauthoritymainbodytextChar">
    <w:name w:val="Housing authority main body text Char"/>
    <w:basedOn w:val="DefaultParagraphFont"/>
    <w:link w:val="Housingauthoritymainbodytext"/>
    <w:locked/>
    <w:rsid w:val="00F01B11"/>
    <w:rPr>
      <w:rFonts w:ascii="Arial" w:eastAsia="Calibri" w:hAnsi="Arial" w:cs="Arial"/>
    </w:rPr>
  </w:style>
  <w:style w:type="paragraph" w:customStyle="1" w:styleId="Housingauthoritymainbodytext">
    <w:name w:val="Housing authority main body text"/>
    <w:basedOn w:val="Normal"/>
    <w:link w:val="HousingauthoritymainbodytextChar"/>
    <w:qFormat/>
    <w:rsid w:val="00F01B11"/>
    <w:pPr>
      <w:spacing w:after="200" w:line="276" w:lineRule="auto"/>
      <w:jc w:val="both"/>
    </w:pPr>
    <w:rPr>
      <w:rFonts w:ascii="Arial" w:eastAsia="Calibri" w:hAnsi="Arial" w:cs="Arial"/>
      <w:kern w:val="0"/>
      <w:lang w:val="en-US"/>
      <w14:ligatures w14:val="none"/>
    </w:rPr>
  </w:style>
  <w:style w:type="paragraph" w:styleId="Revision">
    <w:name w:val="Revision"/>
    <w:hidden/>
    <w:uiPriority w:val="99"/>
    <w:semiHidden/>
    <w:rsid w:val="00192D75"/>
    <w:pPr>
      <w:spacing w:after="0" w:line="240" w:lineRule="auto"/>
    </w:pPr>
    <w:rPr>
      <w:kern w:val="2"/>
      <w:lang w:val="en-AU"/>
      <w14:ligatures w14:val="standardContextual"/>
    </w:rPr>
  </w:style>
  <w:style w:type="paragraph" w:styleId="ListParagraph">
    <w:name w:val="List Paragraph"/>
    <w:basedOn w:val="Normal"/>
    <w:uiPriority w:val="34"/>
    <w:qFormat/>
    <w:rsid w:val="002761AA"/>
    <w:pPr>
      <w:ind w:left="720"/>
      <w:contextualSpacing/>
    </w:pPr>
  </w:style>
  <w:style w:type="character" w:customStyle="1" w:styleId="Heading6Char">
    <w:name w:val="Heading 6 Char"/>
    <w:basedOn w:val="DefaultParagraphFont"/>
    <w:link w:val="Heading6"/>
    <w:uiPriority w:val="9"/>
    <w:rsid w:val="009E0D10"/>
    <w:rPr>
      <w:rFonts w:asciiTheme="majorHAnsi" w:eastAsiaTheme="majorEastAsia" w:hAnsiTheme="majorHAnsi" w:cstheme="majorBidi"/>
      <w:color w:val="1F4D78" w:themeColor="accent1" w:themeShade="7F"/>
      <w:kern w:val="2"/>
      <w:lang w:val="en-AU"/>
      <w14:ligatures w14:val="standardContextual"/>
    </w:rPr>
  </w:style>
  <w:style w:type="character" w:styleId="IntenseEmphasis">
    <w:name w:val="Intense Emphasis"/>
    <w:basedOn w:val="DefaultParagraphFont"/>
    <w:uiPriority w:val="21"/>
    <w:qFormat/>
    <w:rsid w:val="009E0D10"/>
    <w:rPr>
      <w:i/>
      <w:iCs/>
      <w:color w:val="5B9BD5" w:themeColor="accent1"/>
    </w:rPr>
  </w:style>
  <w:style w:type="character" w:customStyle="1" w:styleId="Mention">
    <w:name w:val="Mention"/>
    <w:basedOn w:val="DefaultParagraphFont"/>
    <w:uiPriority w:val="99"/>
    <w:unhideWhenUsed/>
    <w:rsid w:val="007B2298"/>
    <w:rPr>
      <w:color w:val="2B579A"/>
      <w:shd w:val="clear" w:color="auto" w:fill="E1DFDD"/>
    </w:rPr>
  </w:style>
  <w:style w:type="paragraph" w:styleId="NormalWeb">
    <w:name w:val="Normal (Web)"/>
    <w:basedOn w:val="Normal"/>
    <w:uiPriority w:val="99"/>
    <w:semiHidden/>
    <w:unhideWhenUsed/>
    <w:rsid w:val="00CD0DF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Light">
    <w:name w:val="Grid Table Light"/>
    <w:basedOn w:val="TableNormal"/>
    <w:uiPriority w:val="40"/>
    <w:rsid w:val="00CD0DF8"/>
    <w:pPr>
      <w:spacing w:after="0" w:line="240" w:lineRule="auto"/>
    </w:pPr>
    <w:rPr>
      <w:rFonts w:ascii="Calibri" w:hAnsi="Calibri" w:cs="Calibri"/>
      <w:kern w:val="2"/>
      <w:sz w:val="24"/>
      <w:lang w:val="en-AU"/>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892322">
      <w:bodyDiv w:val="1"/>
      <w:marLeft w:val="0"/>
      <w:marRight w:val="0"/>
      <w:marTop w:val="0"/>
      <w:marBottom w:val="0"/>
      <w:divBdr>
        <w:top w:val="none" w:sz="0" w:space="0" w:color="auto"/>
        <w:left w:val="none" w:sz="0" w:space="0" w:color="auto"/>
        <w:bottom w:val="none" w:sz="0" w:space="0" w:color="auto"/>
        <w:right w:val="none" w:sz="0" w:space="0" w:color="auto"/>
      </w:divBdr>
    </w:div>
    <w:div w:id="1141800164">
      <w:bodyDiv w:val="1"/>
      <w:marLeft w:val="0"/>
      <w:marRight w:val="0"/>
      <w:marTop w:val="0"/>
      <w:marBottom w:val="0"/>
      <w:divBdr>
        <w:top w:val="none" w:sz="0" w:space="0" w:color="auto"/>
        <w:left w:val="none" w:sz="0" w:space="0" w:color="auto"/>
        <w:bottom w:val="none" w:sz="0" w:space="0" w:color="auto"/>
        <w:right w:val="none" w:sz="0" w:space="0" w:color="auto"/>
      </w:divBdr>
    </w:div>
    <w:div w:id="1168179500">
      <w:bodyDiv w:val="1"/>
      <w:marLeft w:val="0"/>
      <w:marRight w:val="0"/>
      <w:marTop w:val="0"/>
      <w:marBottom w:val="0"/>
      <w:divBdr>
        <w:top w:val="none" w:sz="0" w:space="0" w:color="auto"/>
        <w:left w:val="none" w:sz="0" w:space="0" w:color="auto"/>
        <w:bottom w:val="none" w:sz="0" w:space="0" w:color="auto"/>
        <w:right w:val="none" w:sz="0" w:space="0" w:color="auto"/>
      </w:divBdr>
    </w:div>
    <w:div w:id="1188562724">
      <w:bodyDiv w:val="1"/>
      <w:marLeft w:val="0"/>
      <w:marRight w:val="0"/>
      <w:marTop w:val="0"/>
      <w:marBottom w:val="0"/>
      <w:divBdr>
        <w:top w:val="none" w:sz="0" w:space="0" w:color="auto"/>
        <w:left w:val="none" w:sz="0" w:space="0" w:color="auto"/>
        <w:bottom w:val="none" w:sz="0" w:space="0" w:color="auto"/>
        <w:right w:val="none" w:sz="0" w:space="0" w:color="auto"/>
      </w:divBdr>
    </w:div>
    <w:div w:id="1275331600">
      <w:bodyDiv w:val="1"/>
      <w:marLeft w:val="0"/>
      <w:marRight w:val="0"/>
      <w:marTop w:val="0"/>
      <w:marBottom w:val="0"/>
      <w:divBdr>
        <w:top w:val="none" w:sz="0" w:space="0" w:color="auto"/>
        <w:left w:val="none" w:sz="0" w:space="0" w:color="auto"/>
        <w:bottom w:val="none" w:sz="0" w:space="0" w:color="auto"/>
        <w:right w:val="none" w:sz="0" w:space="0" w:color="auto"/>
      </w:divBdr>
    </w:div>
    <w:div w:id="170937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ia.pmc.gov.au/published-impact-analyses-and-reports/home-guarantee-schem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ia.pmc.gov.au/published-impact-analyses-and-reports/home-guarantee-schem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rba.gov.au/publications/bulletin/2024/jul/pdf/recent-drivers-of-housing-loan-arrears.pdf" TargetMode="External"/><Relationship Id="rId1" Type="http://schemas.openxmlformats.org/officeDocument/2006/relationships/hyperlink" Target="https://www.housingaustralia.gov.au/research-data-analytics/hgs-trends-and-insights-report-20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4648</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31086</CharactersWithSpaces>
  <SharedDoc>false</SharedDoc>
  <HLinks>
    <vt:vector size="24" baseType="variant">
      <vt:variant>
        <vt:i4>7274609</vt:i4>
      </vt:variant>
      <vt:variant>
        <vt:i4>3</vt:i4>
      </vt:variant>
      <vt:variant>
        <vt:i4>0</vt:i4>
      </vt:variant>
      <vt:variant>
        <vt:i4>5</vt:i4>
      </vt:variant>
      <vt:variant>
        <vt:lpwstr>https://oia.pmc.gov.au/published-impact-analyses-and-reports/home-guarantee-scheme</vt:lpwstr>
      </vt:variant>
      <vt:variant>
        <vt:lpwstr/>
      </vt:variant>
      <vt:variant>
        <vt:i4>7274609</vt:i4>
      </vt:variant>
      <vt:variant>
        <vt:i4>0</vt:i4>
      </vt:variant>
      <vt:variant>
        <vt:i4>0</vt:i4>
      </vt:variant>
      <vt:variant>
        <vt:i4>5</vt:i4>
      </vt:variant>
      <vt:variant>
        <vt:lpwstr>https://oia.pmc.gov.au/published-impact-analyses-and-reports/home-guarantee-scheme</vt:lpwstr>
      </vt:variant>
      <vt:variant>
        <vt:lpwstr/>
      </vt:variant>
      <vt:variant>
        <vt:i4>5963860</vt:i4>
      </vt:variant>
      <vt:variant>
        <vt:i4>3</vt:i4>
      </vt:variant>
      <vt:variant>
        <vt:i4>0</vt:i4>
      </vt:variant>
      <vt:variant>
        <vt:i4>5</vt:i4>
      </vt:variant>
      <vt:variant>
        <vt:lpwstr>https://www.rba.gov.au/publications/bulletin/2024/jul/pdf/recent-drivers-of-housing-loan-arrears.pdf</vt:lpwstr>
      </vt:variant>
      <vt:variant>
        <vt:lpwstr/>
      </vt:variant>
      <vt:variant>
        <vt:i4>7733373</vt:i4>
      </vt:variant>
      <vt:variant>
        <vt:i4>0</vt:i4>
      </vt:variant>
      <vt:variant>
        <vt:i4>0</vt:i4>
      </vt:variant>
      <vt:variant>
        <vt:i4>5</vt:i4>
      </vt:variant>
      <vt:variant>
        <vt:lpwstr>https://www.housingaustralia.gov.au/research-data-analytics/hgs-trends-and-insights-report-2023-24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2025-08-25T05:26:00Z</dcterms:created>
  <dcterms:modified xsi:type="dcterms:W3CDTF">2025-08-25T05:26:00Z</dcterms:modified>
</cp:coreProperties>
</file>